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83654" w14:textId="77777777" w:rsidR="00B4613A" w:rsidRPr="002A5D4B" w:rsidRDefault="00B4613A" w:rsidP="00586F47">
      <w:pPr>
        <w:spacing w:line="240" w:lineRule="auto"/>
        <w:ind w:firstLine="0"/>
        <w:contextualSpacing/>
        <w:rPr>
          <w:b/>
          <w:sz w:val="26"/>
          <w:szCs w:val="26"/>
        </w:rPr>
      </w:pPr>
      <w:r w:rsidRPr="002A5D4B">
        <w:rPr>
          <w:b/>
          <w:sz w:val="26"/>
          <w:szCs w:val="26"/>
        </w:rPr>
        <w:t>PENNSYLVANIA</w:t>
      </w:r>
    </w:p>
    <w:p w14:paraId="2C78ED17" w14:textId="77777777" w:rsidR="00B4613A" w:rsidRPr="002A5D4B" w:rsidRDefault="00B4613A" w:rsidP="00586F47">
      <w:pPr>
        <w:spacing w:line="240" w:lineRule="auto"/>
        <w:ind w:firstLine="0"/>
        <w:contextualSpacing/>
        <w:rPr>
          <w:b/>
          <w:sz w:val="26"/>
          <w:szCs w:val="26"/>
        </w:rPr>
      </w:pPr>
      <w:r w:rsidRPr="002A5D4B">
        <w:rPr>
          <w:b/>
          <w:sz w:val="26"/>
          <w:szCs w:val="26"/>
        </w:rPr>
        <w:t>PUBLIC UTILITY COMMISSION</w:t>
      </w:r>
    </w:p>
    <w:p w14:paraId="362C4427" w14:textId="77777777" w:rsidR="00B4613A" w:rsidRDefault="00B4613A" w:rsidP="00586F47">
      <w:pPr>
        <w:spacing w:line="240" w:lineRule="auto"/>
        <w:ind w:firstLine="0"/>
        <w:contextualSpacing/>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14:paraId="5B3F59DE" w14:textId="77777777" w:rsidR="00B4613A" w:rsidRPr="00BA66A4" w:rsidRDefault="00B4613A" w:rsidP="00586F47">
      <w:pPr>
        <w:spacing w:line="240" w:lineRule="auto"/>
        <w:ind w:firstLine="0"/>
        <w:contextualSpacing/>
        <w:jc w:val="left"/>
        <w:rPr>
          <w:sz w:val="26"/>
          <w:szCs w:val="26"/>
        </w:rPr>
      </w:pPr>
    </w:p>
    <w:p w14:paraId="2867815A" w14:textId="77777777" w:rsidR="00B4613A" w:rsidRPr="002A5D4B" w:rsidRDefault="00B4613A" w:rsidP="00586F47">
      <w:pPr>
        <w:ind w:firstLine="0"/>
        <w:contextualSpacing/>
        <w:jc w:val="right"/>
        <w:rPr>
          <w:sz w:val="26"/>
          <w:szCs w:val="26"/>
        </w:rPr>
      </w:pPr>
      <w:r>
        <w:rPr>
          <w:sz w:val="26"/>
          <w:szCs w:val="26"/>
        </w:rPr>
        <w:t>P</w:t>
      </w:r>
      <w:r w:rsidRPr="002A5D4B">
        <w:rPr>
          <w:sz w:val="26"/>
          <w:szCs w:val="26"/>
        </w:rPr>
        <w:t xml:space="preserve">ublic Meeting held </w:t>
      </w:r>
      <w:r w:rsidR="004D4CAF">
        <w:rPr>
          <w:sz w:val="26"/>
          <w:szCs w:val="26"/>
        </w:rPr>
        <w:t>May 17</w:t>
      </w:r>
      <w:r>
        <w:rPr>
          <w:sz w:val="26"/>
          <w:szCs w:val="26"/>
        </w:rPr>
        <w:t>,</w:t>
      </w:r>
      <w:r w:rsidRPr="00B01CA9">
        <w:rPr>
          <w:kern w:val="1"/>
          <w:sz w:val="26"/>
          <w:szCs w:val="26"/>
        </w:rPr>
        <w:t xml:space="preserve"> 20</w:t>
      </w:r>
      <w:r>
        <w:rPr>
          <w:kern w:val="1"/>
          <w:sz w:val="26"/>
          <w:szCs w:val="26"/>
        </w:rPr>
        <w:t>1</w:t>
      </w:r>
      <w:r w:rsidR="005C041B">
        <w:rPr>
          <w:kern w:val="1"/>
          <w:sz w:val="26"/>
          <w:szCs w:val="26"/>
        </w:rPr>
        <w:t>8</w:t>
      </w:r>
    </w:p>
    <w:p w14:paraId="25DA1C29" w14:textId="77777777" w:rsidR="00B4613A" w:rsidRPr="002A5D4B" w:rsidRDefault="00B4613A" w:rsidP="00586F47">
      <w:pPr>
        <w:spacing w:line="240" w:lineRule="auto"/>
        <w:ind w:firstLine="0"/>
        <w:contextualSpacing/>
        <w:jc w:val="left"/>
        <w:rPr>
          <w:sz w:val="26"/>
          <w:szCs w:val="26"/>
        </w:rPr>
      </w:pPr>
    </w:p>
    <w:p w14:paraId="3B7708CB" w14:textId="77777777" w:rsidR="00B4613A" w:rsidRPr="002A5D4B" w:rsidRDefault="00B4613A" w:rsidP="00586F47">
      <w:pPr>
        <w:spacing w:line="240" w:lineRule="auto"/>
        <w:ind w:firstLine="0"/>
        <w:contextualSpacing/>
        <w:jc w:val="left"/>
        <w:rPr>
          <w:sz w:val="26"/>
          <w:szCs w:val="26"/>
        </w:rPr>
      </w:pPr>
      <w:r w:rsidRPr="002A5D4B">
        <w:rPr>
          <w:sz w:val="26"/>
          <w:szCs w:val="26"/>
        </w:rPr>
        <w:t>Commissioners Present:</w:t>
      </w:r>
    </w:p>
    <w:p w14:paraId="60991A8D" w14:textId="77777777" w:rsidR="00B4613A" w:rsidRPr="002A5D4B" w:rsidRDefault="00B4613A" w:rsidP="00586F47">
      <w:pPr>
        <w:spacing w:line="240" w:lineRule="auto"/>
        <w:ind w:firstLine="0"/>
        <w:contextualSpacing/>
        <w:jc w:val="left"/>
        <w:rPr>
          <w:sz w:val="26"/>
          <w:szCs w:val="26"/>
        </w:rPr>
      </w:pPr>
    </w:p>
    <w:p w14:paraId="6C9C8603" w14:textId="77777777" w:rsidR="00B4613A" w:rsidRPr="002A5D4B" w:rsidRDefault="00B4613A" w:rsidP="00586F47">
      <w:pPr>
        <w:spacing w:line="240" w:lineRule="auto"/>
        <w:ind w:firstLine="0"/>
        <w:contextualSpacing/>
        <w:jc w:val="left"/>
        <w:rPr>
          <w:sz w:val="26"/>
          <w:szCs w:val="26"/>
        </w:rPr>
      </w:pPr>
      <w:r>
        <w:rPr>
          <w:sz w:val="26"/>
          <w:szCs w:val="26"/>
        </w:rPr>
        <w:tab/>
        <w:t>Gladys M. Brown</w:t>
      </w:r>
      <w:r w:rsidRPr="002A5D4B">
        <w:rPr>
          <w:sz w:val="26"/>
          <w:szCs w:val="26"/>
        </w:rPr>
        <w:t>, Chairman</w:t>
      </w:r>
    </w:p>
    <w:p w14:paraId="4BCE056B" w14:textId="77777777" w:rsidR="00B4613A" w:rsidRDefault="00B4613A" w:rsidP="00B6415C">
      <w:pPr>
        <w:spacing w:line="240" w:lineRule="auto"/>
        <w:ind w:right="-450" w:firstLine="0"/>
        <w:contextualSpacing/>
        <w:jc w:val="left"/>
        <w:rPr>
          <w:sz w:val="26"/>
          <w:szCs w:val="26"/>
        </w:rPr>
      </w:pPr>
      <w:r>
        <w:rPr>
          <w:sz w:val="26"/>
          <w:szCs w:val="26"/>
        </w:rPr>
        <w:tab/>
        <w:t>Andrew G. Place</w:t>
      </w:r>
      <w:r w:rsidRPr="002A5D4B">
        <w:rPr>
          <w:sz w:val="26"/>
          <w:szCs w:val="26"/>
        </w:rPr>
        <w:t>, Vice Chairman</w:t>
      </w:r>
    </w:p>
    <w:p w14:paraId="39B2BC1A" w14:textId="77777777" w:rsidR="00B4613A" w:rsidRDefault="00B4613A" w:rsidP="00B6415C">
      <w:pPr>
        <w:spacing w:line="240" w:lineRule="auto"/>
        <w:ind w:right="-360" w:firstLine="0"/>
        <w:contextualSpacing/>
        <w:jc w:val="left"/>
        <w:rPr>
          <w:sz w:val="26"/>
          <w:szCs w:val="26"/>
        </w:rPr>
      </w:pPr>
      <w:r>
        <w:rPr>
          <w:sz w:val="26"/>
          <w:szCs w:val="26"/>
        </w:rPr>
        <w:tab/>
        <w:t>Norman J. Kennard</w:t>
      </w:r>
    </w:p>
    <w:p w14:paraId="18E7104F" w14:textId="358DE64B" w:rsidR="00B4613A" w:rsidRDefault="00D4306E" w:rsidP="00D4306E">
      <w:pPr>
        <w:spacing w:line="240" w:lineRule="auto"/>
        <w:ind w:firstLine="0"/>
        <w:contextualSpacing/>
        <w:jc w:val="left"/>
        <w:rPr>
          <w:sz w:val="26"/>
          <w:szCs w:val="26"/>
        </w:rPr>
      </w:pPr>
      <w:r>
        <w:rPr>
          <w:sz w:val="26"/>
          <w:szCs w:val="26"/>
        </w:rPr>
        <w:tab/>
      </w:r>
      <w:r w:rsidR="00B4613A">
        <w:rPr>
          <w:sz w:val="26"/>
          <w:szCs w:val="26"/>
        </w:rPr>
        <w:t>David W. Sweet</w:t>
      </w:r>
    </w:p>
    <w:p w14:paraId="73695886" w14:textId="1FC8A310" w:rsidR="00B4613A" w:rsidRPr="002A5D4B" w:rsidRDefault="00D4306E" w:rsidP="00D4306E">
      <w:pPr>
        <w:spacing w:line="240" w:lineRule="auto"/>
        <w:ind w:firstLine="0"/>
        <w:contextualSpacing/>
        <w:jc w:val="left"/>
        <w:rPr>
          <w:sz w:val="26"/>
          <w:szCs w:val="26"/>
        </w:rPr>
      </w:pPr>
      <w:r>
        <w:rPr>
          <w:sz w:val="26"/>
          <w:szCs w:val="26"/>
        </w:rPr>
        <w:tab/>
      </w:r>
      <w:r w:rsidR="00B4613A">
        <w:rPr>
          <w:sz w:val="26"/>
          <w:szCs w:val="26"/>
        </w:rPr>
        <w:t>John F. Coleman, Jr.</w:t>
      </w:r>
    </w:p>
    <w:p w14:paraId="2B7604DE" w14:textId="6F247227" w:rsidR="00B4613A" w:rsidRPr="002A5D4B" w:rsidRDefault="00B4613A" w:rsidP="00586F47">
      <w:pPr>
        <w:spacing w:line="240" w:lineRule="auto"/>
        <w:ind w:firstLine="0"/>
        <w:contextualSpacing/>
        <w:jc w:val="left"/>
        <w:rPr>
          <w:sz w:val="26"/>
          <w:szCs w:val="26"/>
        </w:rPr>
      </w:pPr>
    </w:p>
    <w:p w14:paraId="69A5799C" w14:textId="77777777" w:rsidR="00B4613A" w:rsidRPr="007F73BF" w:rsidRDefault="00B4613A" w:rsidP="00D4306E">
      <w:pPr>
        <w:spacing w:line="240" w:lineRule="auto"/>
        <w:ind w:firstLine="0"/>
        <w:contextualSpacing/>
        <w:jc w:val="left"/>
        <w:rPr>
          <w:sz w:val="26"/>
          <w:szCs w:val="26"/>
        </w:rPr>
      </w:pPr>
    </w:p>
    <w:p w14:paraId="0C374206" w14:textId="77777777" w:rsidR="00B4613A" w:rsidRPr="007F73BF" w:rsidRDefault="00B4613A" w:rsidP="00D4306E">
      <w:pPr>
        <w:spacing w:line="240" w:lineRule="auto"/>
        <w:ind w:firstLine="0"/>
        <w:contextualSpacing/>
        <w:jc w:val="left"/>
        <w:rPr>
          <w:sz w:val="26"/>
          <w:szCs w:val="26"/>
        </w:rPr>
      </w:pPr>
    </w:p>
    <w:p w14:paraId="3EEC8652" w14:textId="08CBE220" w:rsidR="00B4613A" w:rsidRDefault="00703F66" w:rsidP="00B6415C">
      <w:pPr>
        <w:tabs>
          <w:tab w:val="left" w:pos="-720"/>
          <w:tab w:val="left" w:pos="0"/>
        </w:tabs>
        <w:suppressAutoHyphens/>
        <w:spacing w:line="240" w:lineRule="auto"/>
        <w:ind w:firstLine="0"/>
        <w:contextualSpacing/>
        <w:jc w:val="left"/>
        <w:rPr>
          <w:sz w:val="26"/>
          <w:szCs w:val="26"/>
        </w:rPr>
      </w:pPr>
      <w:r>
        <w:rPr>
          <w:sz w:val="26"/>
          <w:szCs w:val="26"/>
        </w:rPr>
        <w:t>K &amp; J Pizza</w:t>
      </w:r>
      <w:r w:rsidR="00B4613A">
        <w:rPr>
          <w:sz w:val="26"/>
          <w:szCs w:val="26"/>
        </w:rPr>
        <w:t xml:space="preserve"> </w:t>
      </w:r>
      <w:r w:rsidR="00B4613A">
        <w:rPr>
          <w:sz w:val="26"/>
          <w:szCs w:val="26"/>
        </w:rPr>
        <w:tab/>
      </w:r>
      <w:r w:rsidR="00B4613A">
        <w:rPr>
          <w:sz w:val="26"/>
          <w:szCs w:val="26"/>
        </w:rPr>
        <w:tab/>
      </w:r>
      <w:r w:rsidR="00B4613A">
        <w:rPr>
          <w:sz w:val="26"/>
          <w:szCs w:val="26"/>
        </w:rPr>
        <w:tab/>
      </w:r>
      <w:r w:rsidR="00B4613A">
        <w:rPr>
          <w:sz w:val="26"/>
          <w:szCs w:val="26"/>
        </w:rPr>
        <w:tab/>
      </w:r>
      <w:r w:rsidR="00B4613A">
        <w:rPr>
          <w:sz w:val="26"/>
          <w:szCs w:val="26"/>
        </w:rPr>
        <w:tab/>
      </w:r>
      <w:r w:rsidR="00B4613A">
        <w:rPr>
          <w:sz w:val="26"/>
          <w:szCs w:val="26"/>
        </w:rPr>
        <w:tab/>
      </w:r>
      <w:r w:rsidR="00D4306E">
        <w:rPr>
          <w:sz w:val="26"/>
          <w:szCs w:val="26"/>
        </w:rPr>
        <w:tab/>
      </w:r>
      <w:r w:rsidR="00D4306E">
        <w:rPr>
          <w:sz w:val="26"/>
          <w:szCs w:val="26"/>
        </w:rPr>
        <w:tab/>
      </w:r>
      <w:r>
        <w:rPr>
          <w:sz w:val="26"/>
          <w:szCs w:val="26"/>
        </w:rPr>
        <w:t xml:space="preserve">           </w:t>
      </w:r>
      <w:r>
        <w:rPr>
          <w:sz w:val="26"/>
          <w:szCs w:val="26"/>
        </w:rPr>
        <w:tab/>
        <w:t>C-2015-2501838</w:t>
      </w:r>
    </w:p>
    <w:p w14:paraId="12E9BCBA" w14:textId="77777777" w:rsidR="00B4613A" w:rsidRDefault="00B4613A" w:rsidP="00586F47">
      <w:pPr>
        <w:tabs>
          <w:tab w:val="left" w:pos="-720"/>
          <w:tab w:val="left" w:pos="0"/>
        </w:tabs>
        <w:suppressAutoHyphens/>
        <w:spacing w:line="240" w:lineRule="auto"/>
        <w:ind w:firstLine="0"/>
        <w:contextualSpacing/>
        <w:jc w:val="left"/>
        <w:rPr>
          <w:b/>
          <w:sz w:val="26"/>
          <w:szCs w:val="26"/>
        </w:rPr>
      </w:pPr>
    </w:p>
    <w:p w14:paraId="2BF9E33E" w14:textId="77777777" w:rsidR="00B4613A" w:rsidRDefault="00B4613A" w:rsidP="00586F47">
      <w:pPr>
        <w:tabs>
          <w:tab w:val="left" w:pos="-720"/>
          <w:tab w:val="left" w:pos="0"/>
        </w:tabs>
        <w:suppressAutoHyphens/>
        <w:spacing w:line="240" w:lineRule="auto"/>
        <w:ind w:firstLine="0"/>
        <w:contextualSpacing/>
        <w:jc w:val="left"/>
        <w:rPr>
          <w:sz w:val="26"/>
          <w:szCs w:val="26"/>
        </w:rPr>
      </w:pPr>
      <w:r>
        <w:rPr>
          <w:b/>
          <w:sz w:val="26"/>
          <w:szCs w:val="26"/>
        </w:rPr>
        <w:tab/>
        <w:t xml:space="preserve">     </w:t>
      </w:r>
      <w:r>
        <w:rPr>
          <w:sz w:val="26"/>
          <w:szCs w:val="26"/>
        </w:rPr>
        <w:t>v.</w:t>
      </w:r>
    </w:p>
    <w:p w14:paraId="2C8F99CA" w14:textId="77777777" w:rsidR="00B4613A" w:rsidRDefault="00B4613A" w:rsidP="00586F47">
      <w:pPr>
        <w:tabs>
          <w:tab w:val="left" w:pos="-720"/>
          <w:tab w:val="left" w:pos="0"/>
        </w:tabs>
        <w:suppressAutoHyphens/>
        <w:spacing w:line="240" w:lineRule="auto"/>
        <w:ind w:firstLine="0"/>
        <w:contextualSpacing/>
        <w:jc w:val="left"/>
        <w:rPr>
          <w:sz w:val="26"/>
          <w:szCs w:val="26"/>
        </w:rPr>
      </w:pPr>
    </w:p>
    <w:p w14:paraId="1C0BB32D" w14:textId="77777777" w:rsidR="00B4613A" w:rsidRDefault="00703F66" w:rsidP="00586F47">
      <w:pPr>
        <w:tabs>
          <w:tab w:val="left" w:pos="-720"/>
          <w:tab w:val="left" w:pos="0"/>
        </w:tabs>
        <w:suppressAutoHyphens/>
        <w:spacing w:line="240" w:lineRule="auto"/>
        <w:ind w:firstLine="0"/>
        <w:contextualSpacing/>
        <w:jc w:val="left"/>
        <w:rPr>
          <w:sz w:val="26"/>
          <w:szCs w:val="26"/>
        </w:rPr>
      </w:pPr>
      <w:r>
        <w:rPr>
          <w:sz w:val="26"/>
          <w:szCs w:val="26"/>
        </w:rPr>
        <w:t>PECO Energy Company</w:t>
      </w:r>
    </w:p>
    <w:p w14:paraId="07E58231" w14:textId="77777777" w:rsidR="00B4613A" w:rsidRPr="001E0694" w:rsidRDefault="00B4613A" w:rsidP="00586F47">
      <w:pPr>
        <w:tabs>
          <w:tab w:val="left" w:pos="-720"/>
          <w:tab w:val="left" w:pos="0"/>
        </w:tabs>
        <w:suppressAutoHyphens/>
        <w:spacing w:line="240" w:lineRule="auto"/>
        <w:ind w:firstLine="0"/>
        <w:contextualSpacing/>
        <w:jc w:val="left"/>
        <w:rPr>
          <w:sz w:val="26"/>
          <w:szCs w:val="26"/>
        </w:rPr>
      </w:pPr>
    </w:p>
    <w:p w14:paraId="0AC05829" w14:textId="77777777" w:rsidR="00B4613A" w:rsidRDefault="00B4613A" w:rsidP="00586F47">
      <w:pPr>
        <w:tabs>
          <w:tab w:val="left" w:pos="-720"/>
        </w:tabs>
        <w:suppressAutoHyphens/>
        <w:ind w:firstLine="0"/>
        <w:contextualSpacing/>
        <w:jc w:val="left"/>
        <w:rPr>
          <w:sz w:val="26"/>
        </w:rPr>
      </w:pPr>
    </w:p>
    <w:p w14:paraId="1002E5E1" w14:textId="77777777" w:rsidR="00B4613A" w:rsidRDefault="00B4613A" w:rsidP="00586F47">
      <w:pPr>
        <w:suppressAutoHyphens/>
        <w:ind w:firstLine="0"/>
        <w:contextualSpacing/>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14:paraId="5A399911" w14:textId="77777777" w:rsidR="00B4613A" w:rsidRDefault="00B4613A" w:rsidP="00586F47">
      <w:pPr>
        <w:suppressAutoHyphens/>
        <w:ind w:firstLine="0"/>
        <w:contextualSpacing/>
        <w:rPr>
          <w:b/>
          <w:sz w:val="26"/>
          <w:szCs w:val="26"/>
        </w:rPr>
      </w:pPr>
    </w:p>
    <w:p w14:paraId="6EB20115" w14:textId="77777777" w:rsidR="00B4613A" w:rsidRDefault="00B4613A" w:rsidP="00586F47">
      <w:pPr>
        <w:tabs>
          <w:tab w:val="left" w:pos="-720"/>
        </w:tabs>
        <w:suppressAutoHyphens/>
        <w:ind w:firstLine="0"/>
        <w:contextualSpacing/>
        <w:jc w:val="left"/>
        <w:rPr>
          <w:sz w:val="26"/>
        </w:rPr>
      </w:pPr>
      <w:r w:rsidRPr="00624B80">
        <w:rPr>
          <w:b/>
          <w:sz w:val="26"/>
        </w:rPr>
        <w:t>BY THE COMMISSION:</w:t>
      </w:r>
    </w:p>
    <w:p w14:paraId="3DE06FA6" w14:textId="77777777" w:rsidR="00B4613A" w:rsidRDefault="00B4613A" w:rsidP="00586F47">
      <w:pPr>
        <w:ind w:firstLine="0"/>
        <w:contextualSpacing/>
        <w:jc w:val="left"/>
        <w:rPr>
          <w:sz w:val="26"/>
          <w:szCs w:val="26"/>
        </w:rPr>
      </w:pPr>
    </w:p>
    <w:p w14:paraId="6628183B" w14:textId="0CF41BBA" w:rsidR="004A44D1" w:rsidRDefault="00703F66" w:rsidP="00586F47">
      <w:pPr>
        <w:ind w:firstLine="1440"/>
        <w:contextualSpacing/>
        <w:jc w:val="left"/>
        <w:rPr>
          <w:sz w:val="26"/>
          <w:szCs w:val="26"/>
        </w:rPr>
      </w:pPr>
      <w:r w:rsidRPr="001B388B">
        <w:rPr>
          <w:sz w:val="26"/>
          <w:szCs w:val="26"/>
        </w:rPr>
        <w:t>Before the Pennsylvania Public Utility Commission (Commission) for consideration and disposition are th</w:t>
      </w:r>
      <w:r w:rsidR="001904C5">
        <w:rPr>
          <w:sz w:val="26"/>
          <w:szCs w:val="26"/>
        </w:rPr>
        <w:t>e Exceptions filed by K&amp;J Pizza</w:t>
      </w:r>
      <w:r w:rsidR="00941EB1">
        <w:rPr>
          <w:sz w:val="26"/>
          <w:szCs w:val="26"/>
        </w:rPr>
        <w:t xml:space="preserve"> (Complainant), on September 18</w:t>
      </w:r>
      <w:r w:rsidRPr="001B388B">
        <w:rPr>
          <w:sz w:val="26"/>
          <w:szCs w:val="26"/>
        </w:rPr>
        <w:t>, 2017, to the Initial Decision (I.D.) of Administrative Law Judge (AL</w:t>
      </w:r>
      <w:r w:rsidR="00941EB1">
        <w:rPr>
          <w:sz w:val="26"/>
          <w:szCs w:val="26"/>
        </w:rPr>
        <w:t>J) Eranda Vero, issued on August 31</w:t>
      </w:r>
      <w:r w:rsidRPr="001B388B">
        <w:rPr>
          <w:sz w:val="26"/>
          <w:szCs w:val="26"/>
        </w:rPr>
        <w:t>, 2017</w:t>
      </w:r>
      <w:r w:rsidR="00332DF3" w:rsidRPr="001B388B">
        <w:rPr>
          <w:sz w:val="26"/>
          <w:szCs w:val="26"/>
        </w:rPr>
        <w:t xml:space="preserve">.  </w:t>
      </w:r>
      <w:r w:rsidR="00941EB1">
        <w:rPr>
          <w:sz w:val="26"/>
          <w:szCs w:val="26"/>
        </w:rPr>
        <w:t>Replies to the Complainant’s</w:t>
      </w:r>
      <w:r w:rsidR="00332DF3" w:rsidRPr="001B388B">
        <w:rPr>
          <w:sz w:val="26"/>
          <w:szCs w:val="26"/>
        </w:rPr>
        <w:t xml:space="preserve"> Exceptions </w:t>
      </w:r>
      <w:r w:rsidR="00941EB1">
        <w:rPr>
          <w:sz w:val="26"/>
          <w:szCs w:val="26"/>
        </w:rPr>
        <w:t xml:space="preserve">were </w:t>
      </w:r>
      <w:r w:rsidR="00332DF3" w:rsidRPr="001B388B">
        <w:rPr>
          <w:sz w:val="26"/>
          <w:szCs w:val="26"/>
        </w:rPr>
        <w:t>filed by PECO En</w:t>
      </w:r>
      <w:r w:rsidR="00941EB1">
        <w:rPr>
          <w:sz w:val="26"/>
          <w:szCs w:val="26"/>
        </w:rPr>
        <w:t>ergy Company (PECO or Company</w:t>
      </w:r>
      <w:r w:rsidR="00332DF3" w:rsidRPr="001B388B">
        <w:rPr>
          <w:sz w:val="26"/>
          <w:szCs w:val="26"/>
        </w:rPr>
        <w:t>) on September</w:t>
      </w:r>
      <w:r w:rsidR="00B6415C">
        <w:rPr>
          <w:sz w:val="26"/>
          <w:szCs w:val="26"/>
        </w:rPr>
        <w:t> </w:t>
      </w:r>
      <w:r w:rsidR="00332DF3" w:rsidRPr="001B388B">
        <w:rPr>
          <w:sz w:val="26"/>
          <w:szCs w:val="26"/>
        </w:rPr>
        <w:t xml:space="preserve">29, 2017.  </w:t>
      </w:r>
      <w:r w:rsidR="005845FE">
        <w:rPr>
          <w:sz w:val="26"/>
          <w:szCs w:val="26"/>
        </w:rPr>
        <w:t>For the reasons stated below,</w:t>
      </w:r>
      <w:r w:rsidR="00FD19B9" w:rsidRPr="00ED22D3">
        <w:rPr>
          <w:sz w:val="26"/>
          <w:szCs w:val="26"/>
        </w:rPr>
        <w:t xml:space="preserve"> </w:t>
      </w:r>
      <w:r w:rsidR="00332DF3" w:rsidRPr="00ED22D3">
        <w:rPr>
          <w:sz w:val="26"/>
          <w:szCs w:val="26"/>
        </w:rPr>
        <w:t>we shall deny the Complainant’s Exceptions</w:t>
      </w:r>
      <w:r w:rsidR="001C5CCA">
        <w:rPr>
          <w:sz w:val="26"/>
          <w:szCs w:val="26"/>
        </w:rPr>
        <w:t xml:space="preserve"> and</w:t>
      </w:r>
      <w:r w:rsidR="00332DF3" w:rsidRPr="00ED22D3">
        <w:rPr>
          <w:sz w:val="26"/>
          <w:szCs w:val="26"/>
        </w:rPr>
        <w:t xml:space="preserve"> adop</w:t>
      </w:r>
      <w:r w:rsidR="00ED22D3" w:rsidRPr="00ED22D3">
        <w:rPr>
          <w:sz w:val="26"/>
          <w:szCs w:val="26"/>
        </w:rPr>
        <w:t>t the ALJ’s Initial Decision</w:t>
      </w:r>
      <w:r w:rsidR="00ED22D3">
        <w:rPr>
          <w:sz w:val="26"/>
          <w:szCs w:val="26"/>
        </w:rPr>
        <w:t xml:space="preserve">, </w:t>
      </w:r>
      <w:r w:rsidR="00ED22D3" w:rsidRPr="00350E6E">
        <w:rPr>
          <w:sz w:val="26"/>
          <w:szCs w:val="26"/>
        </w:rPr>
        <w:t>as modified</w:t>
      </w:r>
      <w:r w:rsidR="00ED22D3">
        <w:rPr>
          <w:sz w:val="26"/>
          <w:szCs w:val="26"/>
        </w:rPr>
        <w:t xml:space="preserve"> </w:t>
      </w:r>
      <w:r w:rsidR="00C301B0">
        <w:rPr>
          <w:sz w:val="26"/>
          <w:szCs w:val="26"/>
        </w:rPr>
        <w:t xml:space="preserve">by </w:t>
      </w:r>
      <w:r w:rsidR="00ED22D3">
        <w:rPr>
          <w:sz w:val="26"/>
          <w:szCs w:val="26"/>
        </w:rPr>
        <w:t>this Opinion and Order.</w:t>
      </w:r>
    </w:p>
    <w:p w14:paraId="2B3682FA" w14:textId="76D7F1AE" w:rsidR="005845FE" w:rsidRDefault="005845FE" w:rsidP="00586F47">
      <w:pPr>
        <w:ind w:firstLine="1440"/>
        <w:contextualSpacing/>
        <w:jc w:val="left"/>
        <w:rPr>
          <w:sz w:val="26"/>
          <w:szCs w:val="26"/>
        </w:rPr>
      </w:pPr>
    </w:p>
    <w:p w14:paraId="555F8A62" w14:textId="77777777" w:rsidR="000E4E08" w:rsidRDefault="000E4E08" w:rsidP="00586F47">
      <w:pPr>
        <w:ind w:firstLine="1440"/>
        <w:contextualSpacing/>
        <w:jc w:val="left"/>
        <w:rPr>
          <w:sz w:val="26"/>
          <w:szCs w:val="26"/>
        </w:rPr>
      </w:pPr>
    </w:p>
    <w:p w14:paraId="654B67BE" w14:textId="77777777" w:rsidR="00B4613A" w:rsidRDefault="00013A88" w:rsidP="00EF1FC5">
      <w:pPr>
        <w:pStyle w:val="ListParagraph"/>
        <w:keepNext/>
        <w:keepLines/>
        <w:numPr>
          <w:ilvl w:val="0"/>
          <w:numId w:val="4"/>
        </w:numPr>
        <w:rPr>
          <w:b/>
          <w:sz w:val="26"/>
          <w:szCs w:val="26"/>
        </w:rPr>
      </w:pPr>
      <w:r>
        <w:rPr>
          <w:b/>
          <w:sz w:val="26"/>
          <w:szCs w:val="26"/>
        </w:rPr>
        <w:t xml:space="preserve">Background and </w:t>
      </w:r>
      <w:r w:rsidR="00FB1FF7">
        <w:rPr>
          <w:b/>
          <w:sz w:val="26"/>
          <w:szCs w:val="26"/>
        </w:rPr>
        <w:t>Procedural History</w:t>
      </w:r>
    </w:p>
    <w:p w14:paraId="18D7C356" w14:textId="77777777" w:rsidR="00D46080" w:rsidRDefault="00D46080" w:rsidP="00EF1FC5">
      <w:pPr>
        <w:pStyle w:val="ListParagraph"/>
        <w:keepNext/>
        <w:keepLines/>
        <w:ind w:left="0" w:firstLine="0"/>
        <w:jc w:val="both"/>
        <w:rPr>
          <w:b/>
          <w:sz w:val="26"/>
          <w:szCs w:val="26"/>
        </w:rPr>
      </w:pPr>
    </w:p>
    <w:p w14:paraId="286D6F85" w14:textId="77777777" w:rsidR="00FB1FF7" w:rsidRDefault="00540AA7" w:rsidP="00586F47">
      <w:pPr>
        <w:pStyle w:val="Default"/>
        <w:spacing w:line="360" w:lineRule="auto"/>
        <w:ind w:firstLine="1440"/>
        <w:contextualSpacing/>
        <w:rPr>
          <w:sz w:val="26"/>
          <w:szCs w:val="26"/>
        </w:rPr>
      </w:pPr>
      <w:r>
        <w:rPr>
          <w:sz w:val="26"/>
          <w:szCs w:val="26"/>
        </w:rPr>
        <w:t>The Complainant, K&amp;J Pizza, operates a business at 2601 Jenkintown Road, Glenside, PA</w:t>
      </w:r>
      <w:r w:rsidR="00D80A4E">
        <w:rPr>
          <w:sz w:val="26"/>
          <w:szCs w:val="26"/>
        </w:rPr>
        <w:t xml:space="preserve"> (</w:t>
      </w:r>
      <w:r w:rsidR="0079271F">
        <w:rPr>
          <w:sz w:val="26"/>
          <w:szCs w:val="26"/>
        </w:rPr>
        <w:t xml:space="preserve">Jenkintown </w:t>
      </w:r>
      <w:r w:rsidR="00D80A4E">
        <w:rPr>
          <w:sz w:val="26"/>
          <w:szCs w:val="26"/>
        </w:rPr>
        <w:t>Service Address)</w:t>
      </w:r>
      <w:r>
        <w:rPr>
          <w:sz w:val="26"/>
          <w:szCs w:val="26"/>
        </w:rPr>
        <w:t xml:space="preserve"> that receives electric</w:t>
      </w:r>
      <w:r w:rsidR="00C6156E">
        <w:rPr>
          <w:sz w:val="26"/>
          <w:szCs w:val="26"/>
        </w:rPr>
        <w:t xml:space="preserve"> and gas</w:t>
      </w:r>
      <w:r>
        <w:rPr>
          <w:sz w:val="26"/>
          <w:szCs w:val="26"/>
        </w:rPr>
        <w:t xml:space="preserve"> utility service from PECO.  Khaled Mostafa, a.k.a. Tony Moss,</w:t>
      </w:r>
      <w:r w:rsidR="00D80A4E">
        <w:rPr>
          <w:sz w:val="26"/>
          <w:szCs w:val="26"/>
        </w:rPr>
        <w:t xml:space="preserve"> </w:t>
      </w:r>
      <w:r w:rsidR="00C6156E">
        <w:rPr>
          <w:sz w:val="26"/>
          <w:szCs w:val="26"/>
        </w:rPr>
        <w:t>the sole owner of K&amp;J Pizza</w:t>
      </w:r>
      <w:r w:rsidR="00D80A4E">
        <w:rPr>
          <w:sz w:val="26"/>
          <w:szCs w:val="26"/>
        </w:rPr>
        <w:t>,</w:t>
      </w:r>
      <w:r w:rsidR="00C6156E">
        <w:rPr>
          <w:sz w:val="26"/>
          <w:szCs w:val="26"/>
        </w:rPr>
        <w:t xml:space="preserve"> </w:t>
      </w:r>
      <w:r>
        <w:rPr>
          <w:sz w:val="26"/>
          <w:szCs w:val="26"/>
        </w:rPr>
        <w:t xml:space="preserve">established </w:t>
      </w:r>
      <w:r w:rsidR="00C6156E">
        <w:rPr>
          <w:sz w:val="26"/>
          <w:szCs w:val="26"/>
        </w:rPr>
        <w:t xml:space="preserve">commercial electric </w:t>
      </w:r>
      <w:r w:rsidR="00D80A4E">
        <w:rPr>
          <w:sz w:val="26"/>
          <w:szCs w:val="26"/>
        </w:rPr>
        <w:t xml:space="preserve">and gas </w:t>
      </w:r>
      <w:r w:rsidR="00C6156E">
        <w:rPr>
          <w:sz w:val="26"/>
          <w:szCs w:val="26"/>
        </w:rPr>
        <w:t>service</w:t>
      </w:r>
      <w:r w:rsidR="00993BDA">
        <w:rPr>
          <w:sz w:val="26"/>
          <w:szCs w:val="26"/>
        </w:rPr>
        <w:t xml:space="preserve"> at the</w:t>
      </w:r>
      <w:r w:rsidR="0079271F">
        <w:rPr>
          <w:sz w:val="26"/>
          <w:szCs w:val="26"/>
        </w:rPr>
        <w:t xml:space="preserve"> Jenkintown</w:t>
      </w:r>
      <w:r w:rsidR="00993BDA">
        <w:rPr>
          <w:sz w:val="26"/>
          <w:szCs w:val="26"/>
        </w:rPr>
        <w:t xml:space="preserve"> Service Address on July 7, 1999</w:t>
      </w:r>
      <w:r w:rsidR="00BB565A">
        <w:rPr>
          <w:sz w:val="26"/>
          <w:szCs w:val="26"/>
        </w:rPr>
        <w:t>.</w:t>
      </w:r>
      <w:r w:rsidR="00993BDA">
        <w:rPr>
          <w:sz w:val="26"/>
          <w:szCs w:val="26"/>
        </w:rPr>
        <w:t xml:space="preserve">  </w:t>
      </w:r>
      <w:r w:rsidR="0079271F">
        <w:rPr>
          <w:sz w:val="26"/>
          <w:szCs w:val="26"/>
        </w:rPr>
        <w:t>I.D. at 6.</w:t>
      </w:r>
    </w:p>
    <w:p w14:paraId="095BFA6A" w14:textId="77777777" w:rsidR="00EE5F25" w:rsidRDefault="00EE5F25" w:rsidP="00586F47">
      <w:pPr>
        <w:pStyle w:val="Default"/>
        <w:spacing w:line="360" w:lineRule="auto"/>
        <w:ind w:firstLine="1440"/>
        <w:contextualSpacing/>
        <w:rPr>
          <w:sz w:val="26"/>
          <w:szCs w:val="26"/>
        </w:rPr>
      </w:pPr>
    </w:p>
    <w:p w14:paraId="44FAAD33" w14:textId="77777777" w:rsidR="000E3AA9" w:rsidRDefault="0079271F" w:rsidP="00586F47">
      <w:pPr>
        <w:pStyle w:val="Default"/>
        <w:spacing w:line="360" w:lineRule="auto"/>
        <w:ind w:firstLine="1440"/>
        <w:contextualSpacing/>
        <w:rPr>
          <w:sz w:val="26"/>
          <w:szCs w:val="26"/>
        </w:rPr>
      </w:pPr>
      <w:r>
        <w:rPr>
          <w:sz w:val="26"/>
          <w:szCs w:val="26"/>
        </w:rPr>
        <w:t>On October 5, 2009, K&amp;J Pizza established commercial service at 1333B Easton Road, Roslyn, PA</w:t>
      </w:r>
      <w:r w:rsidR="00201A13">
        <w:rPr>
          <w:sz w:val="26"/>
          <w:szCs w:val="26"/>
        </w:rPr>
        <w:t xml:space="preserve"> (Easton Service Address)</w:t>
      </w:r>
      <w:r>
        <w:rPr>
          <w:sz w:val="26"/>
          <w:szCs w:val="26"/>
        </w:rPr>
        <w:t xml:space="preserve"> under</w:t>
      </w:r>
      <w:r w:rsidR="00D979C5">
        <w:rPr>
          <w:sz w:val="26"/>
          <w:szCs w:val="26"/>
        </w:rPr>
        <w:t xml:space="preserve"> a different</w:t>
      </w:r>
      <w:r>
        <w:rPr>
          <w:sz w:val="26"/>
          <w:szCs w:val="26"/>
        </w:rPr>
        <w:t xml:space="preserve"> PECO account </w:t>
      </w:r>
      <w:r w:rsidR="00D979C5">
        <w:rPr>
          <w:sz w:val="26"/>
          <w:szCs w:val="26"/>
        </w:rPr>
        <w:t>number, but with the same tax</w:t>
      </w:r>
      <w:r w:rsidR="0086046D">
        <w:rPr>
          <w:sz w:val="26"/>
          <w:szCs w:val="26"/>
        </w:rPr>
        <w:t xml:space="preserve"> payer</w:t>
      </w:r>
      <w:r w:rsidR="00D979C5">
        <w:rPr>
          <w:sz w:val="26"/>
          <w:szCs w:val="26"/>
        </w:rPr>
        <w:t xml:space="preserve"> identification number</w:t>
      </w:r>
      <w:r w:rsidR="00BB565A">
        <w:rPr>
          <w:sz w:val="26"/>
          <w:szCs w:val="26"/>
        </w:rPr>
        <w:t xml:space="preserve"> attached to it</w:t>
      </w:r>
      <w:r w:rsidR="00D979C5">
        <w:rPr>
          <w:sz w:val="26"/>
          <w:szCs w:val="26"/>
        </w:rPr>
        <w:t xml:space="preserve"> as the business located at the Jenkintown Service Address</w:t>
      </w:r>
      <w:r w:rsidR="00BB565A">
        <w:rPr>
          <w:sz w:val="26"/>
          <w:szCs w:val="26"/>
        </w:rPr>
        <w:t>.</w:t>
      </w:r>
      <w:r w:rsidR="00FA51F9">
        <w:rPr>
          <w:rStyle w:val="FootnoteReference"/>
          <w:sz w:val="26"/>
          <w:szCs w:val="26"/>
        </w:rPr>
        <w:footnoteReference w:id="1"/>
      </w:r>
      <w:r w:rsidR="00D47489">
        <w:rPr>
          <w:sz w:val="26"/>
          <w:szCs w:val="26"/>
        </w:rPr>
        <w:t xml:space="preserve">  </w:t>
      </w:r>
    </w:p>
    <w:p w14:paraId="4ABCF7F5" w14:textId="77777777" w:rsidR="000E3AA9" w:rsidRDefault="000E3AA9" w:rsidP="00586F47">
      <w:pPr>
        <w:pStyle w:val="Default"/>
        <w:spacing w:line="360" w:lineRule="auto"/>
        <w:ind w:firstLine="1440"/>
        <w:contextualSpacing/>
        <w:rPr>
          <w:sz w:val="26"/>
          <w:szCs w:val="26"/>
        </w:rPr>
      </w:pPr>
    </w:p>
    <w:p w14:paraId="28A277B8" w14:textId="5FD35DA9" w:rsidR="008A4F07" w:rsidRDefault="00D47489" w:rsidP="00586F47">
      <w:pPr>
        <w:pStyle w:val="Default"/>
        <w:spacing w:line="360" w:lineRule="auto"/>
        <w:ind w:firstLine="1440"/>
        <w:contextualSpacing/>
        <w:rPr>
          <w:sz w:val="26"/>
          <w:szCs w:val="26"/>
        </w:rPr>
      </w:pPr>
      <w:r>
        <w:rPr>
          <w:sz w:val="26"/>
          <w:szCs w:val="26"/>
        </w:rPr>
        <w:t xml:space="preserve">Milano’s Pizzeria &amp; Family Restaurant is a limited liability company registered at 1335 Easton Road, Roslyn, PA to </w:t>
      </w:r>
      <w:proofErr w:type="spellStart"/>
      <w:r>
        <w:rPr>
          <w:sz w:val="26"/>
          <w:szCs w:val="26"/>
        </w:rPr>
        <w:t>Nesma</w:t>
      </w:r>
      <w:proofErr w:type="spellEnd"/>
      <w:r>
        <w:rPr>
          <w:sz w:val="26"/>
          <w:szCs w:val="26"/>
        </w:rPr>
        <w:t xml:space="preserve"> Mohammad, who is Mr. Mostafa’s wife.  </w:t>
      </w:r>
      <w:r w:rsidRPr="00D47489">
        <w:rPr>
          <w:i/>
          <w:sz w:val="26"/>
          <w:szCs w:val="26"/>
        </w:rPr>
        <w:t>Id.</w:t>
      </w:r>
      <w:r>
        <w:rPr>
          <w:sz w:val="26"/>
          <w:szCs w:val="26"/>
        </w:rPr>
        <w:t xml:space="preserve"> at 6-7.</w:t>
      </w:r>
      <w:r w:rsidR="0083325A">
        <w:rPr>
          <w:sz w:val="26"/>
          <w:szCs w:val="26"/>
        </w:rPr>
        <w:t xml:space="preserve"> </w:t>
      </w:r>
    </w:p>
    <w:p w14:paraId="0FD9E0BA" w14:textId="1E8979F8" w:rsidR="001904C5" w:rsidRDefault="001904C5" w:rsidP="00586F47">
      <w:pPr>
        <w:pStyle w:val="Default"/>
        <w:spacing w:line="360" w:lineRule="auto"/>
        <w:ind w:firstLine="1440"/>
        <w:contextualSpacing/>
        <w:rPr>
          <w:sz w:val="26"/>
          <w:szCs w:val="26"/>
        </w:rPr>
      </w:pPr>
    </w:p>
    <w:p w14:paraId="1AE41AC6" w14:textId="77777777" w:rsidR="007C0D94" w:rsidRDefault="007C0D94" w:rsidP="00586F47">
      <w:pPr>
        <w:pStyle w:val="Default"/>
        <w:spacing w:line="360" w:lineRule="auto"/>
        <w:ind w:firstLine="1440"/>
        <w:contextualSpacing/>
        <w:rPr>
          <w:sz w:val="26"/>
          <w:szCs w:val="26"/>
        </w:rPr>
      </w:pPr>
      <w:r>
        <w:rPr>
          <w:sz w:val="26"/>
          <w:szCs w:val="26"/>
        </w:rPr>
        <w:t xml:space="preserve">On </w:t>
      </w:r>
      <w:r w:rsidR="004E5F07">
        <w:rPr>
          <w:sz w:val="26"/>
          <w:szCs w:val="26"/>
        </w:rPr>
        <w:t>August 30, 2014, electric service was discontinued at the Easton Service Address with a final balance owed on the account in the amount of $1,018.62.  On September 14, 2014, the final balance of $1,018.62 for service at the Easton Service Address was transferred to K&amp;J Pizza’s active account</w:t>
      </w:r>
      <w:r w:rsidR="004868D6">
        <w:rPr>
          <w:sz w:val="26"/>
          <w:szCs w:val="26"/>
        </w:rPr>
        <w:t xml:space="preserve"> for service at the Jenkinto</w:t>
      </w:r>
      <w:r w:rsidR="00D979C5">
        <w:rPr>
          <w:sz w:val="26"/>
          <w:szCs w:val="26"/>
        </w:rPr>
        <w:t>wn Service Address</w:t>
      </w:r>
      <w:r w:rsidR="004E5F07">
        <w:rPr>
          <w:sz w:val="26"/>
          <w:szCs w:val="26"/>
        </w:rPr>
        <w:t xml:space="preserve">.  </w:t>
      </w:r>
      <w:r w:rsidR="004E5F07" w:rsidRPr="00D47489">
        <w:rPr>
          <w:i/>
          <w:sz w:val="26"/>
          <w:szCs w:val="26"/>
        </w:rPr>
        <w:t>Id.</w:t>
      </w:r>
      <w:r w:rsidR="004E5F07">
        <w:rPr>
          <w:sz w:val="26"/>
          <w:szCs w:val="26"/>
        </w:rPr>
        <w:t xml:space="preserve"> at 7.</w:t>
      </w:r>
    </w:p>
    <w:p w14:paraId="3BE3EE2E" w14:textId="77777777" w:rsidR="007C0D94" w:rsidRDefault="007C0D94" w:rsidP="00586F47">
      <w:pPr>
        <w:pStyle w:val="Default"/>
        <w:spacing w:line="360" w:lineRule="auto"/>
        <w:ind w:firstLine="1440"/>
        <w:contextualSpacing/>
        <w:rPr>
          <w:sz w:val="26"/>
          <w:szCs w:val="26"/>
        </w:rPr>
      </w:pPr>
    </w:p>
    <w:p w14:paraId="323522CB" w14:textId="03F8415A" w:rsidR="004868D6" w:rsidRDefault="004868D6" w:rsidP="00586F47">
      <w:pPr>
        <w:pStyle w:val="Default"/>
        <w:spacing w:line="360" w:lineRule="auto"/>
        <w:ind w:firstLine="1440"/>
        <w:contextualSpacing/>
        <w:rPr>
          <w:sz w:val="26"/>
          <w:szCs w:val="26"/>
        </w:rPr>
      </w:pPr>
      <w:r>
        <w:rPr>
          <w:sz w:val="26"/>
          <w:szCs w:val="26"/>
        </w:rPr>
        <w:t>On March 10</w:t>
      </w:r>
      <w:r w:rsidR="00AD0F61">
        <w:rPr>
          <w:sz w:val="26"/>
          <w:szCs w:val="26"/>
        </w:rPr>
        <w:t xml:space="preserve">, 2015, the Complainant contacted the Company disputing the transferred balance and averring that he never had a business at the Easton Service Address.  </w:t>
      </w:r>
      <w:r w:rsidR="00D64275">
        <w:rPr>
          <w:sz w:val="26"/>
          <w:szCs w:val="26"/>
        </w:rPr>
        <w:t>After failing in attempts to reach the Complainant, PECO informed the Complainant by letter dated March 24, 2015</w:t>
      </w:r>
      <w:r w:rsidR="00C11C04">
        <w:rPr>
          <w:sz w:val="26"/>
          <w:szCs w:val="26"/>
        </w:rPr>
        <w:t>,</w:t>
      </w:r>
      <w:r w:rsidR="00D64275">
        <w:rPr>
          <w:sz w:val="26"/>
          <w:szCs w:val="26"/>
        </w:rPr>
        <w:t xml:space="preserve"> that the investigation was being closed and would be reopened once the Complainant sent the Company verification that </w:t>
      </w:r>
      <w:r w:rsidR="00C301B0">
        <w:rPr>
          <w:sz w:val="26"/>
          <w:szCs w:val="26"/>
        </w:rPr>
        <w:t>it</w:t>
      </w:r>
      <w:r w:rsidR="00D64275">
        <w:rPr>
          <w:sz w:val="26"/>
          <w:szCs w:val="26"/>
        </w:rPr>
        <w:t xml:space="preserve"> did not have a business at the Easton Service Address.  </w:t>
      </w:r>
      <w:r w:rsidR="00D64275" w:rsidRPr="00D47489">
        <w:rPr>
          <w:i/>
          <w:sz w:val="26"/>
          <w:szCs w:val="26"/>
        </w:rPr>
        <w:t>Id.</w:t>
      </w:r>
      <w:r w:rsidR="00D64275">
        <w:rPr>
          <w:sz w:val="26"/>
          <w:szCs w:val="26"/>
        </w:rPr>
        <w:t xml:space="preserve"> at </w:t>
      </w:r>
      <w:r w:rsidR="00B604FD">
        <w:rPr>
          <w:sz w:val="26"/>
          <w:szCs w:val="26"/>
        </w:rPr>
        <w:t>8</w:t>
      </w:r>
      <w:r w:rsidR="00D64275">
        <w:rPr>
          <w:sz w:val="26"/>
          <w:szCs w:val="26"/>
        </w:rPr>
        <w:t>.</w:t>
      </w:r>
    </w:p>
    <w:p w14:paraId="3B84958C" w14:textId="77777777" w:rsidR="00D64275" w:rsidRDefault="00D64275" w:rsidP="00586F47">
      <w:pPr>
        <w:pStyle w:val="Default"/>
        <w:spacing w:line="360" w:lineRule="auto"/>
        <w:ind w:firstLine="1440"/>
        <w:contextualSpacing/>
        <w:rPr>
          <w:sz w:val="26"/>
          <w:szCs w:val="26"/>
        </w:rPr>
      </w:pPr>
    </w:p>
    <w:p w14:paraId="6869E07E" w14:textId="77777777" w:rsidR="00D64275" w:rsidRDefault="008631FF" w:rsidP="00586F47">
      <w:pPr>
        <w:pStyle w:val="Default"/>
        <w:spacing w:line="360" w:lineRule="auto"/>
        <w:ind w:firstLine="1440"/>
        <w:contextualSpacing/>
        <w:rPr>
          <w:sz w:val="26"/>
          <w:szCs w:val="26"/>
        </w:rPr>
      </w:pPr>
      <w:r>
        <w:rPr>
          <w:sz w:val="26"/>
          <w:szCs w:val="26"/>
        </w:rPr>
        <w:t>On April 28,</w:t>
      </w:r>
      <w:r w:rsidR="005A7FCA">
        <w:rPr>
          <w:sz w:val="26"/>
          <w:szCs w:val="26"/>
        </w:rPr>
        <w:t xml:space="preserve"> 2015,</w:t>
      </w:r>
      <w:r>
        <w:rPr>
          <w:sz w:val="26"/>
          <w:szCs w:val="26"/>
        </w:rPr>
        <w:t xml:space="preserve"> the Complainant filed an informal complaint with the Commission’s Bureau of Consumer Services (BCS) at BCS Case No. 3339449</w:t>
      </w:r>
      <w:r w:rsidR="00461AAA">
        <w:rPr>
          <w:sz w:val="26"/>
          <w:szCs w:val="26"/>
        </w:rPr>
        <w:t>, disputing responsibility for the outstanding balance of $1,018.62 transferred from the Easton Service Address.  BCS issued a written informal decision on June 29, 2015</w:t>
      </w:r>
      <w:r w:rsidR="00F66A45">
        <w:rPr>
          <w:sz w:val="26"/>
          <w:szCs w:val="26"/>
        </w:rPr>
        <w:t xml:space="preserve"> (BCS Informal Decision)</w:t>
      </w:r>
      <w:r w:rsidR="00461AAA">
        <w:rPr>
          <w:sz w:val="26"/>
          <w:szCs w:val="26"/>
        </w:rPr>
        <w:t>, advising the Complainant that “[t]his is a non-residential</w:t>
      </w:r>
      <w:r w:rsidR="00B604FD">
        <w:rPr>
          <w:sz w:val="26"/>
          <w:szCs w:val="26"/>
        </w:rPr>
        <w:t xml:space="preserve"> account.  The PUC does not have the authority to issue a decision on a non-residential account.”  </w:t>
      </w:r>
      <w:r w:rsidR="00B604FD" w:rsidRPr="00D47489">
        <w:rPr>
          <w:i/>
          <w:sz w:val="26"/>
          <w:szCs w:val="26"/>
        </w:rPr>
        <w:t>Id.</w:t>
      </w:r>
      <w:r w:rsidR="00B604FD">
        <w:rPr>
          <w:sz w:val="26"/>
          <w:szCs w:val="26"/>
        </w:rPr>
        <w:t xml:space="preserve"> at 8.</w:t>
      </w:r>
    </w:p>
    <w:p w14:paraId="40D62A4C" w14:textId="77777777" w:rsidR="00651F72" w:rsidRDefault="00651F72" w:rsidP="00586F47">
      <w:pPr>
        <w:pStyle w:val="Default"/>
        <w:spacing w:line="360" w:lineRule="auto"/>
        <w:ind w:firstLine="1440"/>
        <w:contextualSpacing/>
        <w:rPr>
          <w:sz w:val="26"/>
          <w:szCs w:val="26"/>
        </w:rPr>
      </w:pPr>
    </w:p>
    <w:p w14:paraId="73218E5B" w14:textId="2438A29D" w:rsidR="00FB1FF7" w:rsidRDefault="00F56E1D" w:rsidP="00586F47">
      <w:pPr>
        <w:pStyle w:val="Default"/>
        <w:spacing w:line="360" w:lineRule="auto"/>
        <w:ind w:firstLine="1440"/>
        <w:contextualSpacing/>
        <w:rPr>
          <w:sz w:val="26"/>
          <w:szCs w:val="26"/>
        </w:rPr>
      </w:pPr>
      <w:r>
        <w:rPr>
          <w:sz w:val="26"/>
          <w:szCs w:val="26"/>
        </w:rPr>
        <w:t>On September 1, 2015, the Complainant, K&amp;J Pizza</w:t>
      </w:r>
      <w:r w:rsidR="00C301B0">
        <w:rPr>
          <w:sz w:val="26"/>
          <w:szCs w:val="26"/>
        </w:rPr>
        <w:t>,</w:t>
      </w:r>
      <w:r>
        <w:rPr>
          <w:sz w:val="26"/>
          <w:szCs w:val="26"/>
        </w:rPr>
        <w:t xml:space="preserve"> through its corporate officers, Khaled Mostafa, a.k.a. Tony Moss, </w:t>
      </w:r>
      <w:r w:rsidRPr="001B388B">
        <w:rPr>
          <w:sz w:val="26"/>
          <w:szCs w:val="26"/>
        </w:rPr>
        <w:t xml:space="preserve">and Jerry </w:t>
      </w:r>
      <w:proofErr w:type="spellStart"/>
      <w:r w:rsidRPr="001B388B">
        <w:rPr>
          <w:sz w:val="26"/>
          <w:szCs w:val="26"/>
        </w:rPr>
        <w:t>Simoti</w:t>
      </w:r>
      <w:r>
        <w:rPr>
          <w:sz w:val="26"/>
          <w:szCs w:val="26"/>
        </w:rPr>
        <w:t>s</w:t>
      </w:r>
      <w:proofErr w:type="spellEnd"/>
      <w:r>
        <w:rPr>
          <w:sz w:val="26"/>
          <w:szCs w:val="26"/>
        </w:rPr>
        <w:t>, filed a Formal Complaint (Complaint) with the Commission against PECO.</w:t>
      </w:r>
      <w:r>
        <w:rPr>
          <w:rStyle w:val="FootnoteReference"/>
          <w:sz w:val="26"/>
          <w:szCs w:val="26"/>
        </w:rPr>
        <w:footnoteReference w:id="2"/>
      </w:r>
      <w:r w:rsidR="008003A4">
        <w:rPr>
          <w:sz w:val="26"/>
          <w:szCs w:val="26"/>
        </w:rPr>
        <w:t xml:space="preserve">  In the Complaint, the Complainant checked the </w:t>
      </w:r>
      <w:r w:rsidR="007B7D8E">
        <w:rPr>
          <w:sz w:val="26"/>
          <w:szCs w:val="26"/>
        </w:rPr>
        <w:t>boxes</w:t>
      </w:r>
      <w:r w:rsidR="008003A4">
        <w:rPr>
          <w:sz w:val="26"/>
          <w:szCs w:val="26"/>
        </w:rPr>
        <w:t xml:space="preserve"> under Paragraph No. 4, indicating that “[t]he utility is threatening to shut off my service or has already shut off my service,” “[</w:t>
      </w:r>
      <w:proofErr w:type="spellStart"/>
      <w:r w:rsidR="008003A4">
        <w:rPr>
          <w:sz w:val="26"/>
          <w:szCs w:val="26"/>
        </w:rPr>
        <w:t>i</w:t>
      </w:r>
      <w:proofErr w:type="spellEnd"/>
      <w:r w:rsidR="008003A4">
        <w:rPr>
          <w:sz w:val="26"/>
          <w:szCs w:val="26"/>
        </w:rPr>
        <w:t>]</w:t>
      </w:r>
      <w:proofErr w:type="spellStart"/>
      <w:r w:rsidR="008003A4">
        <w:rPr>
          <w:sz w:val="26"/>
          <w:szCs w:val="26"/>
        </w:rPr>
        <w:t>ncorrect</w:t>
      </w:r>
      <w:proofErr w:type="spellEnd"/>
      <w:r w:rsidR="008003A4">
        <w:rPr>
          <w:sz w:val="26"/>
          <w:szCs w:val="26"/>
        </w:rPr>
        <w:t xml:space="preserve"> charges are on my bill,” and “</w:t>
      </w:r>
      <w:r w:rsidR="00CE117F">
        <w:rPr>
          <w:sz w:val="26"/>
          <w:szCs w:val="26"/>
        </w:rPr>
        <w:t>[o]</w:t>
      </w:r>
      <w:proofErr w:type="spellStart"/>
      <w:r w:rsidR="00CE117F">
        <w:rPr>
          <w:sz w:val="26"/>
          <w:szCs w:val="26"/>
        </w:rPr>
        <w:t>ther</w:t>
      </w:r>
      <w:proofErr w:type="spellEnd"/>
      <w:r w:rsidR="00CE117F">
        <w:rPr>
          <w:sz w:val="26"/>
          <w:szCs w:val="26"/>
        </w:rPr>
        <w:t xml:space="preserve">: PECO had add (sic) some other restaurant bill to our corporation K&amp;J Pizza [although they] never have any other businesses only K&amp;J Pizza.”  Complaint at </w:t>
      </w:r>
      <w:r w:rsidR="00CE117F" w:rsidRPr="001F5B6C">
        <w:rPr>
          <w:sz w:val="26"/>
          <w:szCs w:val="26"/>
        </w:rPr>
        <w:t>¶</w:t>
      </w:r>
      <w:r w:rsidR="00CE117F">
        <w:rPr>
          <w:sz w:val="26"/>
          <w:szCs w:val="26"/>
        </w:rPr>
        <w:t xml:space="preserve"> 4.</w:t>
      </w:r>
    </w:p>
    <w:p w14:paraId="695F36B6" w14:textId="77777777" w:rsidR="00773862" w:rsidRDefault="00773862" w:rsidP="00586F47">
      <w:pPr>
        <w:pStyle w:val="Default"/>
        <w:spacing w:line="360" w:lineRule="auto"/>
        <w:ind w:firstLine="1440"/>
        <w:contextualSpacing/>
        <w:rPr>
          <w:sz w:val="26"/>
          <w:szCs w:val="26"/>
        </w:rPr>
      </w:pPr>
    </w:p>
    <w:p w14:paraId="04C2D57D" w14:textId="1BC5DC79" w:rsidR="00D46080" w:rsidRPr="00773862" w:rsidRDefault="00C83BF5" w:rsidP="00586F47">
      <w:pPr>
        <w:pStyle w:val="Default"/>
        <w:spacing w:line="360" w:lineRule="auto"/>
        <w:ind w:firstLine="1440"/>
        <w:contextualSpacing/>
        <w:rPr>
          <w:sz w:val="26"/>
          <w:szCs w:val="26"/>
        </w:rPr>
      </w:pPr>
      <w:r>
        <w:rPr>
          <w:sz w:val="26"/>
          <w:szCs w:val="26"/>
        </w:rPr>
        <w:t>As reli</w:t>
      </w:r>
      <w:r w:rsidR="00773862">
        <w:rPr>
          <w:sz w:val="26"/>
          <w:szCs w:val="26"/>
        </w:rPr>
        <w:t xml:space="preserve">ef, the Complainant requested the removal of charges which the Complainant avers were transferred from the electric bill of another business </w:t>
      </w:r>
      <w:r w:rsidR="00FE550A">
        <w:rPr>
          <w:sz w:val="26"/>
          <w:szCs w:val="26"/>
        </w:rPr>
        <w:t xml:space="preserve">with </w:t>
      </w:r>
      <w:r w:rsidR="00773862">
        <w:rPr>
          <w:sz w:val="26"/>
          <w:szCs w:val="26"/>
        </w:rPr>
        <w:t xml:space="preserve">which the Complainant claims it is not affiliated.  </w:t>
      </w:r>
      <w:r>
        <w:rPr>
          <w:sz w:val="26"/>
          <w:szCs w:val="26"/>
        </w:rPr>
        <w:t>Complaint at ¶ </w:t>
      </w:r>
      <w:r w:rsidR="00E56C73" w:rsidRPr="001F5B6C">
        <w:rPr>
          <w:sz w:val="26"/>
          <w:szCs w:val="26"/>
        </w:rPr>
        <w:t>5.</w:t>
      </w:r>
    </w:p>
    <w:p w14:paraId="4184C911" w14:textId="77777777" w:rsidR="006101F6" w:rsidRPr="00D46080" w:rsidRDefault="006101F6" w:rsidP="00586F47">
      <w:pPr>
        <w:pStyle w:val="Default"/>
        <w:spacing w:line="360" w:lineRule="auto"/>
        <w:ind w:firstLine="1440"/>
        <w:contextualSpacing/>
        <w:rPr>
          <w:color w:val="auto"/>
          <w:sz w:val="26"/>
          <w:szCs w:val="26"/>
        </w:rPr>
      </w:pPr>
    </w:p>
    <w:p w14:paraId="1E2274E8" w14:textId="77777777" w:rsidR="00E20831" w:rsidRDefault="000B5458" w:rsidP="00586F47">
      <w:pPr>
        <w:pStyle w:val="Default"/>
        <w:spacing w:line="360" w:lineRule="auto"/>
        <w:ind w:firstLine="1440"/>
        <w:contextualSpacing/>
        <w:rPr>
          <w:color w:val="auto"/>
          <w:sz w:val="26"/>
          <w:szCs w:val="26"/>
        </w:rPr>
      </w:pPr>
      <w:r w:rsidRPr="00357E45">
        <w:rPr>
          <w:color w:val="auto"/>
          <w:sz w:val="26"/>
          <w:szCs w:val="26"/>
        </w:rPr>
        <w:t xml:space="preserve">On </w:t>
      </w:r>
      <w:r w:rsidR="00A85833">
        <w:rPr>
          <w:color w:val="auto"/>
          <w:sz w:val="26"/>
          <w:szCs w:val="26"/>
        </w:rPr>
        <w:t>September 23, 2015</w:t>
      </w:r>
      <w:r w:rsidR="00B63502" w:rsidRPr="00357E45">
        <w:rPr>
          <w:color w:val="auto"/>
          <w:sz w:val="26"/>
          <w:szCs w:val="26"/>
        </w:rPr>
        <w:t>,</w:t>
      </w:r>
      <w:r w:rsidR="00B63502">
        <w:rPr>
          <w:color w:val="auto"/>
          <w:sz w:val="26"/>
          <w:szCs w:val="26"/>
        </w:rPr>
        <w:t xml:space="preserve"> </w:t>
      </w:r>
      <w:r w:rsidR="00A85833">
        <w:rPr>
          <w:color w:val="auto"/>
          <w:sz w:val="26"/>
          <w:szCs w:val="26"/>
        </w:rPr>
        <w:t>PECO filed an Answer and New Matter (</w:t>
      </w:r>
      <w:r w:rsidR="00CE2463">
        <w:rPr>
          <w:color w:val="auto"/>
          <w:sz w:val="26"/>
          <w:szCs w:val="26"/>
        </w:rPr>
        <w:t xml:space="preserve">2015 </w:t>
      </w:r>
      <w:r w:rsidR="00A85833">
        <w:rPr>
          <w:color w:val="auto"/>
          <w:sz w:val="26"/>
          <w:szCs w:val="26"/>
        </w:rPr>
        <w:t xml:space="preserve">Answer), accompanied by a Notice to Plead.  In its Answer PECO </w:t>
      </w:r>
      <w:r w:rsidR="006A1635">
        <w:rPr>
          <w:color w:val="auto"/>
          <w:sz w:val="26"/>
          <w:szCs w:val="26"/>
        </w:rPr>
        <w:t xml:space="preserve">denied the material allegations set forth in the Complaint.  In responding to the Complainant’s allegations, PECO </w:t>
      </w:r>
      <w:r w:rsidR="00E20831">
        <w:rPr>
          <w:color w:val="auto"/>
          <w:sz w:val="26"/>
          <w:szCs w:val="26"/>
        </w:rPr>
        <w:t>set forth the following assertions:</w:t>
      </w:r>
    </w:p>
    <w:p w14:paraId="2AEBB90E" w14:textId="77777777" w:rsidR="00F00F31" w:rsidRDefault="00F00F31" w:rsidP="00586F47">
      <w:pPr>
        <w:pStyle w:val="Default"/>
        <w:spacing w:line="360" w:lineRule="auto"/>
        <w:ind w:firstLine="1440"/>
        <w:contextualSpacing/>
        <w:rPr>
          <w:color w:val="auto"/>
          <w:sz w:val="26"/>
          <w:szCs w:val="26"/>
        </w:rPr>
      </w:pPr>
    </w:p>
    <w:p w14:paraId="30272095" w14:textId="60B5F623" w:rsidR="00E20831" w:rsidRPr="006803A8" w:rsidRDefault="006803A8" w:rsidP="006803A8">
      <w:pPr>
        <w:pStyle w:val="ListParagraph"/>
        <w:ind w:left="1440" w:hanging="720"/>
        <w:jc w:val="left"/>
        <w:rPr>
          <w:rFonts w:eastAsia="Times New Roman"/>
          <w:sz w:val="26"/>
          <w:szCs w:val="20"/>
        </w:rPr>
      </w:pPr>
      <w:r w:rsidRPr="006803A8">
        <w:rPr>
          <w:rFonts w:eastAsia="Times New Roman"/>
          <w:sz w:val="26"/>
          <w:szCs w:val="20"/>
        </w:rPr>
        <w:t>(1)</w:t>
      </w:r>
      <w:r w:rsidRPr="006803A8">
        <w:rPr>
          <w:rFonts w:eastAsia="Times New Roman"/>
          <w:sz w:val="26"/>
          <w:szCs w:val="20"/>
        </w:rPr>
        <w:tab/>
      </w:r>
      <w:r w:rsidR="00E20831" w:rsidRPr="006803A8">
        <w:rPr>
          <w:rFonts w:eastAsia="Times New Roman"/>
          <w:sz w:val="26"/>
          <w:szCs w:val="20"/>
        </w:rPr>
        <w:t>The employee identification numbers provided by the Complainant for the businesses located at the Jenkintown</w:t>
      </w:r>
      <w:r w:rsidR="00797093" w:rsidRPr="006803A8">
        <w:rPr>
          <w:rFonts w:eastAsia="Times New Roman"/>
          <w:sz w:val="26"/>
          <w:szCs w:val="20"/>
        </w:rPr>
        <w:t xml:space="preserve"> Service Address and the Easton Service Address matched;</w:t>
      </w:r>
    </w:p>
    <w:p w14:paraId="6819CD71" w14:textId="77777777" w:rsidR="00797093" w:rsidRPr="006803A8" w:rsidRDefault="00797093" w:rsidP="006803A8">
      <w:pPr>
        <w:pStyle w:val="ListParagraph"/>
        <w:ind w:left="1440" w:hanging="720"/>
        <w:jc w:val="left"/>
        <w:rPr>
          <w:rFonts w:eastAsia="Times New Roman"/>
          <w:sz w:val="26"/>
          <w:szCs w:val="20"/>
        </w:rPr>
      </w:pPr>
    </w:p>
    <w:p w14:paraId="40EB55AC" w14:textId="5A42EA9E" w:rsidR="00797093" w:rsidRPr="006803A8" w:rsidRDefault="006803A8" w:rsidP="006803A8">
      <w:pPr>
        <w:pStyle w:val="ListParagraph"/>
        <w:ind w:left="1440" w:hanging="720"/>
        <w:jc w:val="left"/>
        <w:rPr>
          <w:rFonts w:eastAsia="Times New Roman"/>
          <w:sz w:val="26"/>
          <w:szCs w:val="20"/>
        </w:rPr>
      </w:pPr>
      <w:r w:rsidRPr="006803A8">
        <w:rPr>
          <w:rFonts w:eastAsia="Times New Roman"/>
          <w:sz w:val="26"/>
          <w:szCs w:val="20"/>
        </w:rPr>
        <w:t>(2)</w:t>
      </w:r>
      <w:r w:rsidRPr="006803A8">
        <w:rPr>
          <w:rFonts w:eastAsia="Times New Roman"/>
          <w:sz w:val="26"/>
          <w:szCs w:val="20"/>
        </w:rPr>
        <w:tab/>
      </w:r>
      <w:r w:rsidR="00797093" w:rsidRPr="006803A8">
        <w:rPr>
          <w:rFonts w:eastAsia="Times New Roman"/>
          <w:sz w:val="26"/>
          <w:szCs w:val="20"/>
        </w:rPr>
        <w:t>According to PECO’s payment records, the Complainant used the same checking account to make payments for the service on the accounts at both the Jenkintown Service Address and the Easton Service Address;</w:t>
      </w:r>
      <w:r w:rsidR="00700A40" w:rsidRPr="006803A8">
        <w:rPr>
          <w:rFonts w:eastAsia="Times New Roman"/>
          <w:sz w:val="26"/>
          <w:szCs w:val="20"/>
        </w:rPr>
        <w:t xml:space="preserve"> and</w:t>
      </w:r>
    </w:p>
    <w:p w14:paraId="1F42775C" w14:textId="77777777" w:rsidR="00614148" w:rsidRPr="006803A8" w:rsidRDefault="00614148" w:rsidP="006803A8">
      <w:pPr>
        <w:pStyle w:val="ListParagraph"/>
        <w:ind w:left="1440" w:hanging="720"/>
        <w:jc w:val="left"/>
        <w:rPr>
          <w:rFonts w:eastAsia="Times New Roman"/>
          <w:sz w:val="26"/>
          <w:szCs w:val="20"/>
        </w:rPr>
      </w:pPr>
    </w:p>
    <w:p w14:paraId="53E9D006" w14:textId="0A946414" w:rsidR="00797093" w:rsidRDefault="006803A8" w:rsidP="006803A8">
      <w:pPr>
        <w:pStyle w:val="ListParagraph"/>
        <w:ind w:left="1440" w:hanging="720"/>
        <w:jc w:val="left"/>
        <w:rPr>
          <w:rFonts w:eastAsia="Times New Roman"/>
          <w:sz w:val="26"/>
          <w:szCs w:val="20"/>
        </w:rPr>
      </w:pPr>
      <w:r w:rsidRPr="006803A8">
        <w:rPr>
          <w:rFonts w:eastAsia="Times New Roman"/>
          <w:sz w:val="26"/>
          <w:szCs w:val="20"/>
        </w:rPr>
        <w:t>(3)</w:t>
      </w:r>
      <w:r w:rsidRPr="006803A8">
        <w:rPr>
          <w:rFonts w:eastAsia="Times New Roman"/>
          <w:sz w:val="26"/>
          <w:szCs w:val="20"/>
        </w:rPr>
        <w:tab/>
      </w:r>
      <w:r w:rsidR="002536BF" w:rsidRPr="006803A8">
        <w:rPr>
          <w:rFonts w:eastAsia="Times New Roman"/>
          <w:sz w:val="26"/>
          <w:szCs w:val="20"/>
        </w:rPr>
        <w:t>On October 28, 2009, an informal complaint was filed with BCS at Case No.</w:t>
      </w:r>
      <w:r w:rsidR="00955EB4" w:rsidRPr="006803A8">
        <w:rPr>
          <w:rFonts w:eastAsia="Times New Roman"/>
          <w:sz w:val="26"/>
          <w:szCs w:val="20"/>
        </w:rPr>
        <w:t> </w:t>
      </w:r>
      <w:r w:rsidR="002536BF" w:rsidRPr="006803A8">
        <w:rPr>
          <w:rFonts w:eastAsia="Times New Roman"/>
          <w:sz w:val="26"/>
          <w:szCs w:val="20"/>
        </w:rPr>
        <w:t>2612569 by “Tony” (the same person who filed the instant Compla</w:t>
      </w:r>
      <w:r w:rsidR="00B1239E" w:rsidRPr="006803A8">
        <w:rPr>
          <w:rFonts w:eastAsia="Times New Roman"/>
          <w:sz w:val="26"/>
          <w:szCs w:val="20"/>
        </w:rPr>
        <w:t>i</w:t>
      </w:r>
      <w:r w:rsidR="002536BF" w:rsidRPr="006803A8">
        <w:rPr>
          <w:rFonts w:eastAsia="Times New Roman"/>
          <w:sz w:val="26"/>
          <w:szCs w:val="20"/>
        </w:rPr>
        <w:t>nt denying affiliation with the business at the Easton Service Address) on behalf of K&amp;J Pizza concerning the Easton Service Address.  The informal complaint noted the customer’s assertion that the demand for a security deposit was “ridiculous when he has business with PECO at another address in good standing.”</w:t>
      </w:r>
    </w:p>
    <w:p w14:paraId="7A1B6973" w14:textId="77777777" w:rsidR="00330583" w:rsidRDefault="00330583" w:rsidP="00586F47">
      <w:pPr>
        <w:spacing w:line="240" w:lineRule="auto"/>
        <w:ind w:firstLine="0"/>
        <w:contextualSpacing/>
        <w:jc w:val="left"/>
        <w:rPr>
          <w:sz w:val="26"/>
          <w:szCs w:val="26"/>
        </w:rPr>
      </w:pPr>
    </w:p>
    <w:p w14:paraId="2C45EF41" w14:textId="73D98049" w:rsidR="002536BF" w:rsidRPr="002536BF" w:rsidRDefault="00CE2463" w:rsidP="00586F47">
      <w:pPr>
        <w:spacing w:line="240" w:lineRule="auto"/>
        <w:ind w:firstLine="0"/>
        <w:contextualSpacing/>
        <w:jc w:val="left"/>
        <w:rPr>
          <w:sz w:val="26"/>
          <w:szCs w:val="26"/>
        </w:rPr>
      </w:pPr>
      <w:r>
        <w:rPr>
          <w:sz w:val="26"/>
          <w:szCs w:val="26"/>
        </w:rPr>
        <w:t xml:space="preserve">2015 </w:t>
      </w:r>
      <w:r w:rsidR="002536BF">
        <w:rPr>
          <w:sz w:val="26"/>
          <w:szCs w:val="26"/>
        </w:rPr>
        <w:t>Answer at 3-6.</w:t>
      </w:r>
    </w:p>
    <w:p w14:paraId="11F86463" w14:textId="77777777" w:rsidR="00E20831" w:rsidRPr="00F3274E" w:rsidRDefault="00E20831" w:rsidP="00B4549A">
      <w:pPr>
        <w:pStyle w:val="ListParagraph"/>
        <w:ind w:left="1080"/>
        <w:rPr>
          <w:sz w:val="26"/>
          <w:szCs w:val="26"/>
        </w:rPr>
      </w:pPr>
    </w:p>
    <w:p w14:paraId="012FE04B" w14:textId="6A8BD8FE" w:rsidR="00E20831" w:rsidRDefault="00450D5A" w:rsidP="00586F47">
      <w:pPr>
        <w:pStyle w:val="Default"/>
        <w:spacing w:line="360" w:lineRule="auto"/>
        <w:ind w:firstLine="1440"/>
        <w:contextualSpacing/>
        <w:rPr>
          <w:color w:val="auto"/>
          <w:sz w:val="26"/>
          <w:szCs w:val="26"/>
        </w:rPr>
      </w:pPr>
      <w:r>
        <w:rPr>
          <w:color w:val="auto"/>
          <w:sz w:val="26"/>
          <w:szCs w:val="26"/>
        </w:rPr>
        <w:t>In</w:t>
      </w:r>
      <w:r w:rsidR="006326D4">
        <w:rPr>
          <w:color w:val="auto"/>
          <w:sz w:val="26"/>
          <w:szCs w:val="26"/>
        </w:rPr>
        <w:t xml:space="preserve"> its</w:t>
      </w:r>
      <w:r w:rsidR="001D6634">
        <w:rPr>
          <w:color w:val="auto"/>
          <w:sz w:val="26"/>
          <w:szCs w:val="26"/>
        </w:rPr>
        <w:t xml:space="preserve"> New Matter, PECO </w:t>
      </w:r>
      <w:r w:rsidR="00B4549A">
        <w:rPr>
          <w:color w:val="auto"/>
          <w:sz w:val="26"/>
          <w:szCs w:val="26"/>
        </w:rPr>
        <w:t xml:space="preserve">argued </w:t>
      </w:r>
      <w:r w:rsidR="001D6634">
        <w:rPr>
          <w:color w:val="auto"/>
          <w:sz w:val="26"/>
          <w:szCs w:val="26"/>
        </w:rPr>
        <w:t>that, the Complainant</w:t>
      </w:r>
      <w:r w:rsidR="00B26703">
        <w:rPr>
          <w:color w:val="auto"/>
          <w:sz w:val="26"/>
          <w:szCs w:val="26"/>
        </w:rPr>
        <w:t xml:space="preserve">, as a commercial customer, </w:t>
      </w:r>
      <w:r w:rsidR="001D6634">
        <w:rPr>
          <w:color w:val="auto"/>
          <w:sz w:val="26"/>
          <w:szCs w:val="26"/>
        </w:rPr>
        <w:t xml:space="preserve">is required to be represented by counsel in an adversarial proceeding and that </w:t>
      </w:r>
      <w:r w:rsidR="005A543D">
        <w:rPr>
          <w:color w:val="auto"/>
          <w:sz w:val="26"/>
          <w:szCs w:val="26"/>
        </w:rPr>
        <w:t>t</w:t>
      </w:r>
      <w:r w:rsidR="001D6634">
        <w:rPr>
          <w:color w:val="auto"/>
          <w:sz w:val="26"/>
          <w:szCs w:val="26"/>
        </w:rPr>
        <w:t>his proceeding became adversarial when PECO filed its Answer.  PECO request</w:t>
      </w:r>
      <w:r w:rsidR="00523E2C">
        <w:rPr>
          <w:color w:val="auto"/>
          <w:sz w:val="26"/>
          <w:szCs w:val="26"/>
        </w:rPr>
        <w:t>ed</w:t>
      </w:r>
      <w:r w:rsidR="001D6634">
        <w:rPr>
          <w:color w:val="auto"/>
          <w:sz w:val="26"/>
          <w:szCs w:val="26"/>
        </w:rPr>
        <w:t xml:space="preserve"> that the Commission establish a date certain by which the Complainant </w:t>
      </w:r>
      <w:r w:rsidR="002D1C16">
        <w:rPr>
          <w:color w:val="auto"/>
          <w:sz w:val="26"/>
          <w:szCs w:val="26"/>
        </w:rPr>
        <w:t xml:space="preserve">was </w:t>
      </w:r>
      <w:r w:rsidR="001D6634">
        <w:rPr>
          <w:color w:val="auto"/>
          <w:sz w:val="26"/>
          <w:szCs w:val="26"/>
        </w:rPr>
        <w:t xml:space="preserve">required to enter an appearance in this matter.  </w:t>
      </w:r>
      <w:r w:rsidR="00CE2463">
        <w:rPr>
          <w:color w:val="auto"/>
          <w:sz w:val="26"/>
          <w:szCs w:val="26"/>
        </w:rPr>
        <w:t xml:space="preserve">2015 </w:t>
      </w:r>
      <w:r w:rsidR="001D6634">
        <w:rPr>
          <w:color w:val="auto"/>
          <w:sz w:val="26"/>
          <w:szCs w:val="26"/>
        </w:rPr>
        <w:t>Answer at 7-8.</w:t>
      </w:r>
      <w:r w:rsidR="00953B37">
        <w:rPr>
          <w:color w:val="auto"/>
          <w:sz w:val="26"/>
          <w:szCs w:val="26"/>
        </w:rPr>
        <w:t xml:space="preserve">  The Complainant did not file a response to PECO’s New Matter.</w:t>
      </w:r>
    </w:p>
    <w:p w14:paraId="24BC44CF" w14:textId="77777777" w:rsidR="005A4C9D" w:rsidRDefault="005A4C9D" w:rsidP="00731961">
      <w:pPr>
        <w:pStyle w:val="Default"/>
        <w:spacing w:line="360" w:lineRule="auto"/>
        <w:contextualSpacing/>
        <w:rPr>
          <w:color w:val="auto"/>
          <w:sz w:val="26"/>
          <w:szCs w:val="26"/>
        </w:rPr>
      </w:pPr>
    </w:p>
    <w:p w14:paraId="65A88F71" w14:textId="5CA7D7CB" w:rsidR="000B4851" w:rsidRDefault="006C3255" w:rsidP="00586F47">
      <w:pPr>
        <w:pStyle w:val="Default"/>
        <w:spacing w:line="360" w:lineRule="auto"/>
        <w:ind w:firstLine="1440"/>
        <w:contextualSpacing/>
        <w:rPr>
          <w:sz w:val="26"/>
          <w:szCs w:val="26"/>
        </w:rPr>
      </w:pPr>
      <w:r>
        <w:rPr>
          <w:color w:val="auto"/>
          <w:sz w:val="26"/>
          <w:szCs w:val="26"/>
        </w:rPr>
        <w:t xml:space="preserve">On November 4, 2015, PECO filed a Motion for Judgement on the Pleadings (Motion) accompanied by a Notice to Plead.  </w:t>
      </w:r>
      <w:r w:rsidR="000541E4">
        <w:rPr>
          <w:color w:val="auto"/>
          <w:sz w:val="26"/>
          <w:szCs w:val="26"/>
        </w:rPr>
        <w:t>As in its New Matter, PECO reiterated its assertion that the Complainant is a limited liability corporation operating a commercial establishment and</w:t>
      </w:r>
      <w:r w:rsidR="004B6E3D">
        <w:rPr>
          <w:color w:val="auto"/>
          <w:sz w:val="26"/>
          <w:szCs w:val="26"/>
        </w:rPr>
        <w:t>,</w:t>
      </w:r>
      <w:r w:rsidR="000541E4">
        <w:rPr>
          <w:color w:val="auto"/>
          <w:sz w:val="26"/>
          <w:szCs w:val="26"/>
        </w:rPr>
        <w:t xml:space="preserve"> therefore, the Complainant is required to obtain counsel </w:t>
      </w:r>
      <w:proofErr w:type="gramStart"/>
      <w:r w:rsidR="000541E4">
        <w:rPr>
          <w:color w:val="auto"/>
          <w:sz w:val="26"/>
          <w:szCs w:val="26"/>
        </w:rPr>
        <w:t xml:space="preserve">in </w:t>
      </w:r>
      <w:r w:rsidR="00731961">
        <w:rPr>
          <w:color w:val="auto"/>
          <w:sz w:val="26"/>
          <w:szCs w:val="26"/>
        </w:rPr>
        <w:t>order to</w:t>
      </w:r>
      <w:proofErr w:type="gramEnd"/>
      <w:r w:rsidR="00731961">
        <w:rPr>
          <w:color w:val="auto"/>
          <w:sz w:val="26"/>
          <w:szCs w:val="26"/>
        </w:rPr>
        <w:t xml:space="preserve"> litigate this matter.</w:t>
      </w:r>
      <w:r w:rsidR="00953B37">
        <w:rPr>
          <w:sz w:val="26"/>
          <w:szCs w:val="26"/>
        </w:rPr>
        <w:t xml:space="preserve">  </w:t>
      </w:r>
      <w:r w:rsidR="00CE2463">
        <w:rPr>
          <w:sz w:val="26"/>
          <w:szCs w:val="26"/>
        </w:rPr>
        <w:t xml:space="preserve">2015 </w:t>
      </w:r>
      <w:r w:rsidR="00953B37">
        <w:rPr>
          <w:sz w:val="26"/>
          <w:szCs w:val="26"/>
        </w:rPr>
        <w:t>Answer at 7.</w:t>
      </w:r>
      <w:r w:rsidR="000B4851">
        <w:rPr>
          <w:sz w:val="26"/>
          <w:szCs w:val="26"/>
        </w:rPr>
        <w:t xml:space="preserve">  </w:t>
      </w:r>
      <w:r w:rsidR="00D76F13">
        <w:rPr>
          <w:sz w:val="26"/>
          <w:szCs w:val="26"/>
        </w:rPr>
        <w:t>PECO</w:t>
      </w:r>
      <w:r w:rsidR="00953B37">
        <w:rPr>
          <w:sz w:val="26"/>
          <w:szCs w:val="26"/>
        </w:rPr>
        <w:t xml:space="preserve"> contended that because no factual dispute </w:t>
      </w:r>
      <w:proofErr w:type="gramStart"/>
      <w:r w:rsidR="00953B37">
        <w:rPr>
          <w:sz w:val="26"/>
          <w:szCs w:val="26"/>
        </w:rPr>
        <w:t>exist</w:t>
      </w:r>
      <w:r w:rsidR="00DA7DA9">
        <w:rPr>
          <w:sz w:val="26"/>
          <w:szCs w:val="26"/>
        </w:rPr>
        <w:t>ed</w:t>
      </w:r>
      <w:proofErr w:type="gramEnd"/>
      <w:r w:rsidR="00953B37">
        <w:rPr>
          <w:sz w:val="26"/>
          <w:szCs w:val="26"/>
        </w:rPr>
        <w:t xml:space="preserve"> and the Complainant </w:t>
      </w:r>
      <w:r w:rsidR="00030BD0">
        <w:rPr>
          <w:sz w:val="26"/>
          <w:szCs w:val="26"/>
        </w:rPr>
        <w:t xml:space="preserve">did not have </w:t>
      </w:r>
      <w:r w:rsidR="00953B37">
        <w:rPr>
          <w:sz w:val="26"/>
          <w:szCs w:val="26"/>
        </w:rPr>
        <w:t xml:space="preserve">counsel enter an appearance for this matter, PECO </w:t>
      </w:r>
      <w:r w:rsidR="00DA7DA9">
        <w:rPr>
          <w:sz w:val="26"/>
          <w:szCs w:val="26"/>
        </w:rPr>
        <w:t xml:space="preserve">was </w:t>
      </w:r>
      <w:r w:rsidR="00953B37">
        <w:rPr>
          <w:sz w:val="26"/>
          <w:szCs w:val="26"/>
        </w:rPr>
        <w:t>entitled to judgement as a matter of law.  Accordingly, PECO requested that the Commission dismiss the Compla</w:t>
      </w:r>
      <w:r w:rsidR="004F796B">
        <w:rPr>
          <w:sz w:val="26"/>
          <w:szCs w:val="26"/>
        </w:rPr>
        <w:t>i</w:t>
      </w:r>
      <w:r w:rsidR="00953B37">
        <w:rPr>
          <w:sz w:val="26"/>
          <w:szCs w:val="26"/>
        </w:rPr>
        <w:t>nt for failure to be represented by counsel, or in the alternative, designate a date certain the Complainant must have counsel enter an appearance.  Motion at 4-6.  The Complainant did not file a response to PECO’s Motion.</w:t>
      </w:r>
    </w:p>
    <w:p w14:paraId="0E93CA04" w14:textId="77777777" w:rsidR="00D00DD1" w:rsidRDefault="00D00DD1" w:rsidP="00586F47">
      <w:pPr>
        <w:pStyle w:val="Default"/>
        <w:spacing w:line="360" w:lineRule="auto"/>
        <w:ind w:firstLine="1440"/>
        <w:contextualSpacing/>
        <w:rPr>
          <w:sz w:val="26"/>
          <w:szCs w:val="26"/>
        </w:rPr>
      </w:pPr>
    </w:p>
    <w:p w14:paraId="56B9C315" w14:textId="49334AB7" w:rsidR="00D00DD1" w:rsidRPr="000B4851" w:rsidRDefault="00F35999" w:rsidP="00586F47">
      <w:pPr>
        <w:pStyle w:val="Default"/>
        <w:spacing w:line="360" w:lineRule="auto"/>
        <w:ind w:firstLine="1440"/>
        <w:contextualSpacing/>
        <w:rPr>
          <w:sz w:val="26"/>
          <w:szCs w:val="26"/>
        </w:rPr>
      </w:pPr>
      <w:r>
        <w:rPr>
          <w:sz w:val="26"/>
          <w:szCs w:val="26"/>
        </w:rPr>
        <w:t>An initial hearing was held in this matter on December 7, 2015.  PECO was represented by counsel, while Mr. Mostafa appeared at the hearing prepared to te</w:t>
      </w:r>
      <w:r w:rsidR="00467D98">
        <w:rPr>
          <w:sz w:val="26"/>
          <w:szCs w:val="26"/>
        </w:rPr>
        <w:t>stify on behalf of the Complainant</w:t>
      </w:r>
      <w:r>
        <w:rPr>
          <w:sz w:val="26"/>
          <w:szCs w:val="26"/>
        </w:rPr>
        <w:t xml:space="preserve">.  Preliminarily, ALJ Vero addressed PECO’s Motion for Judgement on the Pleadings.  </w:t>
      </w:r>
      <w:r w:rsidR="005B12FE">
        <w:rPr>
          <w:sz w:val="26"/>
          <w:szCs w:val="26"/>
        </w:rPr>
        <w:t xml:space="preserve">Because </w:t>
      </w:r>
      <w:r>
        <w:rPr>
          <w:sz w:val="26"/>
          <w:szCs w:val="26"/>
        </w:rPr>
        <w:t>Mr. Mostafa explained that K&amp;J Pizza is a limited liability company and that it identifies itself as such in its tax returns</w:t>
      </w:r>
      <w:r w:rsidR="005B12FE">
        <w:rPr>
          <w:sz w:val="26"/>
          <w:szCs w:val="26"/>
        </w:rPr>
        <w:t xml:space="preserve">, </w:t>
      </w:r>
      <w:r w:rsidR="005A543D">
        <w:rPr>
          <w:sz w:val="26"/>
          <w:szCs w:val="26"/>
        </w:rPr>
        <w:t>ALJ Vero instructed Mr. Mostafa</w:t>
      </w:r>
      <w:r>
        <w:rPr>
          <w:sz w:val="26"/>
          <w:szCs w:val="26"/>
        </w:rPr>
        <w:t xml:space="preserve"> that the Complainant was required to have an attorney represent it in a formal adversarial proceeding before the Commission and informed him that he had until January 7, 2016</w:t>
      </w:r>
      <w:r w:rsidR="005B12FE">
        <w:rPr>
          <w:sz w:val="26"/>
          <w:szCs w:val="26"/>
        </w:rPr>
        <w:t>,</w:t>
      </w:r>
      <w:r>
        <w:rPr>
          <w:sz w:val="26"/>
          <w:szCs w:val="26"/>
        </w:rPr>
        <w:t xml:space="preserve"> to obtain legal represent</w:t>
      </w:r>
      <w:r w:rsidR="00467D98">
        <w:rPr>
          <w:sz w:val="26"/>
          <w:szCs w:val="26"/>
        </w:rPr>
        <w:t>ation on behalf of the Complainant</w:t>
      </w:r>
      <w:r>
        <w:rPr>
          <w:sz w:val="26"/>
          <w:szCs w:val="26"/>
        </w:rPr>
        <w:t>.</w:t>
      </w:r>
    </w:p>
    <w:p w14:paraId="2F7DEF58" w14:textId="77777777" w:rsidR="0063399B" w:rsidRDefault="0063399B" w:rsidP="00586F47">
      <w:pPr>
        <w:pStyle w:val="Default"/>
        <w:spacing w:line="360" w:lineRule="auto"/>
        <w:ind w:firstLine="1440"/>
        <w:contextualSpacing/>
        <w:rPr>
          <w:color w:val="auto"/>
          <w:sz w:val="26"/>
          <w:szCs w:val="26"/>
        </w:rPr>
      </w:pPr>
    </w:p>
    <w:p w14:paraId="0D53E055" w14:textId="77777777" w:rsidR="00275DA4" w:rsidRDefault="00275DA4" w:rsidP="00586F47">
      <w:pPr>
        <w:pStyle w:val="Default"/>
        <w:spacing w:line="360" w:lineRule="auto"/>
        <w:ind w:firstLine="1440"/>
        <w:contextualSpacing/>
        <w:rPr>
          <w:color w:val="auto"/>
          <w:sz w:val="26"/>
          <w:szCs w:val="26"/>
        </w:rPr>
      </w:pPr>
      <w:r>
        <w:rPr>
          <w:color w:val="auto"/>
          <w:sz w:val="26"/>
          <w:szCs w:val="26"/>
        </w:rPr>
        <w:t>Pursuant to a Hearing Notice issued by the ALJ Vero on December 15, 2015, a further hearing on this matter was scheduled for February 24, 2016, in Philadelphia, Pennsylvania.</w:t>
      </w:r>
    </w:p>
    <w:p w14:paraId="65D1DCCA" w14:textId="77777777" w:rsidR="0004245D" w:rsidRDefault="0004245D" w:rsidP="00586F47">
      <w:pPr>
        <w:pStyle w:val="Default"/>
        <w:spacing w:line="360" w:lineRule="auto"/>
        <w:ind w:firstLine="1440"/>
        <w:contextualSpacing/>
        <w:rPr>
          <w:color w:val="auto"/>
          <w:sz w:val="26"/>
          <w:szCs w:val="26"/>
        </w:rPr>
      </w:pPr>
    </w:p>
    <w:p w14:paraId="3F102F43" w14:textId="77777777" w:rsidR="00E22BB2" w:rsidRDefault="000B515E" w:rsidP="00586F47">
      <w:pPr>
        <w:pStyle w:val="Default"/>
        <w:spacing w:line="360" w:lineRule="auto"/>
        <w:ind w:firstLine="1440"/>
        <w:contextualSpacing/>
        <w:rPr>
          <w:color w:val="auto"/>
          <w:sz w:val="26"/>
          <w:szCs w:val="26"/>
        </w:rPr>
      </w:pPr>
      <w:r>
        <w:rPr>
          <w:color w:val="auto"/>
          <w:sz w:val="26"/>
          <w:szCs w:val="26"/>
        </w:rPr>
        <w:t>In January and early February of 2016</w:t>
      </w:r>
      <w:r w:rsidR="007A4D11">
        <w:rPr>
          <w:color w:val="auto"/>
          <w:sz w:val="26"/>
          <w:szCs w:val="26"/>
        </w:rPr>
        <w:t>,</w:t>
      </w:r>
      <w:r>
        <w:rPr>
          <w:color w:val="auto"/>
          <w:sz w:val="26"/>
          <w:szCs w:val="26"/>
        </w:rPr>
        <w:t xml:space="preserve"> Mr. Mostafa contacted the Commission’s Philadelphia Office seeking assistance in finding an attorney to represent the Complainant.  Consequently, Mr. Mostafa was provided with the contact information for the Public Utility Law Section of the Pennsylvania Bar Association and for the Office of Consumer Advocate, and was advised to contact those entities for a list of attorneys who practice before this Commission.</w:t>
      </w:r>
    </w:p>
    <w:p w14:paraId="6AF1FD2C" w14:textId="77777777" w:rsidR="000B515E" w:rsidRDefault="000B515E" w:rsidP="00586F47">
      <w:pPr>
        <w:pStyle w:val="Default"/>
        <w:spacing w:line="360" w:lineRule="auto"/>
        <w:ind w:firstLine="1440"/>
        <w:contextualSpacing/>
        <w:rPr>
          <w:color w:val="auto"/>
          <w:sz w:val="26"/>
          <w:szCs w:val="26"/>
        </w:rPr>
      </w:pPr>
    </w:p>
    <w:p w14:paraId="389FAD65" w14:textId="3A1171F6" w:rsidR="005D7931" w:rsidRDefault="005D7931" w:rsidP="000E4E08">
      <w:pPr>
        <w:pStyle w:val="Default"/>
        <w:spacing w:line="360" w:lineRule="auto"/>
        <w:ind w:firstLine="1440"/>
        <w:contextualSpacing/>
        <w:rPr>
          <w:color w:val="auto"/>
          <w:sz w:val="26"/>
          <w:szCs w:val="26"/>
        </w:rPr>
      </w:pPr>
      <w:r>
        <w:rPr>
          <w:color w:val="auto"/>
          <w:sz w:val="26"/>
          <w:szCs w:val="26"/>
        </w:rPr>
        <w:t>On February 18, 2016, Allen L. Cohen, Esq. requested a continuance of the hearing, indicating that he had recently been obtained by the Complainant and needed time to review the file and obtain discovery of PECO Energy Company.  I.D. at</w:t>
      </w:r>
      <w:r w:rsidR="006B13A5">
        <w:rPr>
          <w:color w:val="auto"/>
          <w:sz w:val="26"/>
          <w:szCs w:val="26"/>
        </w:rPr>
        <w:t> </w:t>
      </w:r>
      <w:r>
        <w:rPr>
          <w:color w:val="auto"/>
          <w:sz w:val="26"/>
          <w:szCs w:val="26"/>
        </w:rPr>
        <w:t>3</w:t>
      </w:r>
    </w:p>
    <w:p w14:paraId="60CBCF76" w14:textId="77777777" w:rsidR="005D7931" w:rsidRDefault="005D7931" w:rsidP="00586F47">
      <w:pPr>
        <w:pStyle w:val="Default"/>
        <w:spacing w:line="360" w:lineRule="auto"/>
        <w:ind w:firstLine="1440"/>
        <w:contextualSpacing/>
        <w:rPr>
          <w:color w:val="auto"/>
          <w:sz w:val="26"/>
          <w:szCs w:val="26"/>
        </w:rPr>
      </w:pPr>
      <w:r>
        <w:rPr>
          <w:color w:val="auto"/>
          <w:sz w:val="26"/>
          <w:szCs w:val="26"/>
        </w:rPr>
        <w:t xml:space="preserve">ALJ Vero granted the Complainant’s request for a continuance of the hearing at a later date and issued a Hearing Notice on March 25, 2016, notifying the </w:t>
      </w:r>
      <w:r w:rsidR="007A4D11">
        <w:rPr>
          <w:color w:val="auto"/>
          <w:sz w:val="26"/>
          <w:szCs w:val="26"/>
        </w:rPr>
        <w:t>P</w:t>
      </w:r>
      <w:r>
        <w:rPr>
          <w:color w:val="auto"/>
          <w:sz w:val="26"/>
          <w:szCs w:val="26"/>
        </w:rPr>
        <w:t xml:space="preserve">arties that a further hearing was scheduled in this matter for April 22, 2016.  </w:t>
      </w:r>
      <w:r w:rsidRPr="005D7931">
        <w:rPr>
          <w:i/>
          <w:color w:val="auto"/>
          <w:sz w:val="26"/>
          <w:szCs w:val="26"/>
        </w:rPr>
        <w:t>Id</w:t>
      </w:r>
      <w:r>
        <w:rPr>
          <w:color w:val="auto"/>
          <w:sz w:val="26"/>
          <w:szCs w:val="26"/>
        </w:rPr>
        <w:t>.</w:t>
      </w:r>
    </w:p>
    <w:p w14:paraId="05E2BE8F" w14:textId="77777777" w:rsidR="00051432" w:rsidRDefault="00051432" w:rsidP="00586F47">
      <w:pPr>
        <w:pStyle w:val="Default"/>
        <w:spacing w:line="360" w:lineRule="auto"/>
        <w:ind w:firstLine="1440"/>
        <w:contextualSpacing/>
        <w:rPr>
          <w:color w:val="auto"/>
          <w:sz w:val="26"/>
          <w:szCs w:val="26"/>
        </w:rPr>
      </w:pPr>
    </w:p>
    <w:p w14:paraId="66B51B82" w14:textId="401707B2" w:rsidR="00097DF6" w:rsidRDefault="00AA68A1" w:rsidP="00586F47">
      <w:pPr>
        <w:pStyle w:val="Default"/>
        <w:spacing w:line="360" w:lineRule="auto"/>
        <w:ind w:firstLine="1440"/>
        <w:contextualSpacing/>
        <w:rPr>
          <w:color w:val="auto"/>
          <w:sz w:val="26"/>
          <w:szCs w:val="26"/>
        </w:rPr>
      </w:pPr>
      <w:r>
        <w:rPr>
          <w:color w:val="auto"/>
          <w:sz w:val="26"/>
          <w:szCs w:val="26"/>
        </w:rPr>
        <w:t xml:space="preserve">An evidentiary hearing was convened on April 22, 2016, as scheduled.  </w:t>
      </w:r>
      <w:r w:rsidR="00097DF6">
        <w:rPr>
          <w:color w:val="auto"/>
          <w:sz w:val="26"/>
          <w:szCs w:val="26"/>
        </w:rPr>
        <w:t>The Complainant was represented by counsel and presented the testimony of Khaled Mostafa.  PECO was also represented by counsel.  During the hearing</w:t>
      </w:r>
      <w:r w:rsidR="007A4D11">
        <w:rPr>
          <w:color w:val="auto"/>
          <w:sz w:val="26"/>
          <w:szCs w:val="26"/>
        </w:rPr>
        <w:t>,</w:t>
      </w:r>
      <w:r w:rsidR="00097DF6">
        <w:rPr>
          <w:color w:val="auto"/>
          <w:sz w:val="26"/>
          <w:szCs w:val="26"/>
        </w:rPr>
        <w:t xml:space="preserve"> the Complainant’s counsel requested an opportunity to file an amended complaint in this matter.  Tr. at 45.  The ALJ granted this request, and the Complainant was instructed to file an Amended Complaint by May 22, 2016.  </w:t>
      </w:r>
      <w:r w:rsidR="00B4549A">
        <w:rPr>
          <w:i/>
          <w:color w:val="auto"/>
          <w:sz w:val="26"/>
          <w:szCs w:val="26"/>
        </w:rPr>
        <w:t>Id</w:t>
      </w:r>
      <w:r w:rsidR="00097DF6">
        <w:rPr>
          <w:color w:val="auto"/>
          <w:sz w:val="26"/>
          <w:szCs w:val="26"/>
        </w:rPr>
        <w:t>. 61-62.</w:t>
      </w:r>
    </w:p>
    <w:p w14:paraId="4CED46D5" w14:textId="77777777" w:rsidR="007A4D11" w:rsidRDefault="007A4D11" w:rsidP="00586F47">
      <w:pPr>
        <w:pStyle w:val="Default"/>
        <w:spacing w:line="360" w:lineRule="auto"/>
        <w:ind w:firstLine="1440"/>
        <w:contextualSpacing/>
        <w:rPr>
          <w:color w:val="auto"/>
          <w:sz w:val="26"/>
          <w:szCs w:val="26"/>
        </w:rPr>
      </w:pPr>
    </w:p>
    <w:p w14:paraId="45C335D7" w14:textId="49FD6408" w:rsidR="00097DF6" w:rsidRDefault="0090409A" w:rsidP="00586F47">
      <w:pPr>
        <w:pStyle w:val="Default"/>
        <w:spacing w:line="360" w:lineRule="auto"/>
        <w:ind w:firstLine="1440"/>
        <w:contextualSpacing/>
        <w:rPr>
          <w:color w:val="auto"/>
          <w:sz w:val="26"/>
          <w:szCs w:val="26"/>
        </w:rPr>
      </w:pPr>
      <w:r>
        <w:rPr>
          <w:color w:val="auto"/>
          <w:sz w:val="26"/>
          <w:szCs w:val="26"/>
        </w:rPr>
        <w:t>On May 19, 2016</w:t>
      </w:r>
      <w:r w:rsidR="00FE6B7E">
        <w:rPr>
          <w:color w:val="auto"/>
          <w:sz w:val="26"/>
          <w:szCs w:val="26"/>
        </w:rPr>
        <w:t xml:space="preserve">, </w:t>
      </w:r>
      <w:r w:rsidR="00B4549A">
        <w:rPr>
          <w:color w:val="auto"/>
          <w:sz w:val="26"/>
          <w:szCs w:val="26"/>
        </w:rPr>
        <w:t xml:space="preserve">the </w:t>
      </w:r>
      <w:r w:rsidR="00FE6B7E">
        <w:rPr>
          <w:color w:val="auto"/>
          <w:sz w:val="26"/>
          <w:szCs w:val="26"/>
        </w:rPr>
        <w:t>Complainant’s counsel filed its</w:t>
      </w:r>
      <w:r>
        <w:rPr>
          <w:color w:val="auto"/>
          <w:sz w:val="26"/>
          <w:szCs w:val="26"/>
        </w:rPr>
        <w:t xml:space="preserve"> Amended Complaint with the Commission’s Philadelphia Office.</w:t>
      </w:r>
      <w:r>
        <w:rPr>
          <w:rStyle w:val="FootnoteReference"/>
          <w:color w:val="auto"/>
          <w:sz w:val="26"/>
          <w:szCs w:val="26"/>
        </w:rPr>
        <w:footnoteReference w:id="3"/>
      </w:r>
      <w:r w:rsidR="00A917EF" w:rsidRPr="00A917EF">
        <w:rPr>
          <w:color w:val="auto"/>
          <w:sz w:val="26"/>
          <w:szCs w:val="26"/>
          <w:vertAlign w:val="superscript"/>
        </w:rPr>
        <w:t>,</w:t>
      </w:r>
      <w:r w:rsidR="00A917EF" w:rsidRPr="004B6E3D">
        <w:rPr>
          <w:color w:val="auto"/>
          <w:sz w:val="26"/>
          <w:szCs w:val="26"/>
          <w:vertAlign w:val="superscript"/>
        </w:rPr>
        <w:t xml:space="preserve"> </w:t>
      </w:r>
      <w:r w:rsidR="00DC3AFE">
        <w:rPr>
          <w:rStyle w:val="FootnoteReference"/>
          <w:color w:val="auto"/>
          <w:sz w:val="26"/>
          <w:szCs w:val="26"/>
        </w:rPr>
        <w:footnoteReference w:id="4"/>
      </w:r>
      <w:r w:rsidR="00266846">
        <w:rPr>
          <w:color w:val="auto"/>
          <w:sz w:val="26"/>
          <w:szCs w:val="26"/>
        </w:rPr>
        <w:t xml:space="preserve">  The allegations in the </w:t>
      </w:r>
      <w:r>
        <w:rPr>
          <w:color w:val="auto"/>
          <w:sz w:val="26"/>
          <w:szCs w:val="26"/>
        </w:rPr>
        <w:t xml:space="preserve">Amended Complaint </w:t>
      </w:r>
      <w:r w:rsidR="00A8311C">
        <w:rPr>
          <w:color w:val="auto"/>
          <w:sz w:val="26"/>
          <w:szCs w:val="26"/>
        </w:rPr>
        <w:t xml:space="preserve">are comprised of those in the </w:t>
      </w:r>
      <w:r w:rsidR="005A543D">
        <w:rPr>
          <w:color w:val="auto"/>
          <w:sz w:val="26"/>
          <w:szCs w:val="26"/>
        </w:rPr>
        <w:t>original Complaint</w:t>
      </w:r>
      <w:r w:rsidR="00591D20">
        <w:rPr>
          <w:color w:val="auto"/>
          <w:sz w:val="26"/>
          <w:szCs w:val="26"/>
        </w:rPr>
        <w:t>,</w:t>
      </w:r>
      <w:r w:rsidR="00A8311C">
        <w:rPr>
          <w:color w:val="auto"/>
          <w:sz w:val="26"/>
          <w:szCs w:val="26"/>
        </w:rPr>
        <w:t xml:space="preserve"> filed on </w:t>
      </w:r>
      <w:r w:rsidR="006076AF">
        <w:rPr>
          <w:color w:val="auto"/>
          <w:sz w:val="26"/>
          <w:szCs w:val="26"/>
        </w:rPr>
        <w:t>September 1, 2015, as well as the following</w:t>
      </w:r>
      <w:r w:rsidR="00264FE0">
        <w:rPr>
          <w:color w:val="auto"/>
          <w:sz w:val="26"/>
          <w:szCs w:val="26"/>
        </w:rPr>
        <w:t xml:space="preserve"> additional allegations</w:t>
      </w:r>
      <w:r>
        <w:rPr>
          <w:color w:val="auto"/>
          <w:sz w:val="26"/>
          <w:szCs w:val="26"/>
        </w:rPr>
        <w:t>:</w:t>
      </w:r>
    </w:p>
    <w:p w14:paraId="6CF5587D" w14:textId="77777777" w:rsidR="00B4549A" w:rsidRDefault="00B4549A" w:rsidP="00586F47">
      <w:pPr>
        <w:pStyle w:val="Default"/>
        <w:spacing w:line="360" w:lineRule="auto"/>
        <w:ind w:firstLine="1440"/>
        <w:contextualSpacing/>
        <w:rPr>
          <w:color w:val="auto"/>
          <w:sz w:val="26"/>
          <w:szCs w:val="26"/>
        </w:rPr>
      </w:pPr>
    </w:p>
    <w:p w14:paraId="1B509605" w14:textId="303166B2" w:rsidR="00266846" w:rsidRPr="00266846" w:rsidRDefault="00973EB5" w:rsidP="00D515D9">
      <w:pPr>
        <w:pStyle w:val="ListParagraph"/>
        <w:ind w:left="1440" w:hanging="720"/>
        <w:jc w:val="left"/>
        <w:rPr>
          <w:rFonts w:eastAsia="Times New Roman"/>
          <w:sz w:val="26"/>
          <w:szCs w:val="20"/>
        </w:rPr>
      </w:pPr>
      <w:r>
        <w:rPr>
          <w:rFonts w:eastAsia="Times New Roman"/>
          <w:sz w:val="26"/>
          <w:szCs w:val="20"/>
        </w:rPr>
        <w:t>(</w:t>
      </w:r>
      <w:r w:rsidR="004B6E3D">
        <w:rPr>
          <w:rFonts w:eastAsia="Times New Roman"/>
          <w:sz w:val="26"/>
          <w:szCs w:val="20"/>
        </w:rPr>
        <w:t>1</w:t>
      </w:r>
      <w:r>
        <w:rPr>
          <w:rFonts w:eastAsia="Times New Roman"/>
          <w:sz w:val="26"/>
          <w:szCs w:val="20"/>
        </w:rPr>
        <w:t>)</w:t>
      </w:r>
      <w:r>
        <w:rPr>
          <w:rFonts w:eastAsia="Times New Roman"/>
          <w:sz w:val="26"/>
          <w:szCs w:val="20"/>
        </w:rPr>
        <w:tab/>
      </w:r>
      <w:r w:rsidR="00266846">
        <w:rPr>
          <w:rFonts w:eastAsia="Times New Roman"/>
          <w:sz w:val="26"/>
          <w:szCs w:val="20"/>
        </w:rPr>
        <w:t>PECO has improperly withheld a security deposit assessed against the Complainant</w:t>
      </w:r>
      <w:r w:rsidR="00266846" w:rsidRPr="00266846">
        <w:rPr>
          <w:rFonts w:eastAsia="Times New Roman"/>
          <w:sz w:val="26"/>
          <w:szCs w:val="20"/>
        </w:rPr>
        <w:t xml:space="preserve">; </w:t>
      </w:r>
    </w:p>
    <w:p w14:paraId="7D97F2CA" w14:textId="77777777" w:rsidR="00266846" w:rsidRPr="00266846" w:rsidRDefault="00266846" w:rsidP="00D515D9">
      <w:pPr>
        <w:pStyle w:val="ListParagraph"/>
        <w:ind w:left="1440" w:hanging="720"/>
        <w:jc w:val="left"/>
        <w:rPr>
          <w:rFonts w:eastAsia="Times New Roman"/>
          <w:sz w:val="26"/>
          <w:szCs w:val="20"/>
        </w:rPr>
      </w:pPr>
    </w:p>
    <w:p w14:paraId="494A1955" w14:textId="0118DC3C" w:rsidR="00266846" w:rsidRPr="004B6E3D" w:rsidRDefault="004B6E3D" w:rsidP="00D515D9">
      <w:pPr>
        <w:pStyle w:val="ListParagraph"/>
        <w:ind w:left="1440" w:hanging="720"/>
        <w:jc w:val="left"/>
        <w:rPr>
          <w:rFonts w:eastAsia="Times New Roman"/>
          <w:sz w:val="26"/>
          <w:szCs w:val="20"/>
        </w:rPr>
      </w:pPr>
      <w:r>
        <w:rPr>
          <w:rFonts w:eastAsia="Times New Roman"/>
          <w:sz w:val="26"/>
          <w:szCs w:val="20"/>
        </w:rPr>
        <w:t>(2)</w:t>
      </w:r>
      <w:r w:rsidR="00973EB5">
        <w:rPr>
          <w:rFonts w:eastAsia="Times New Roman"/>
          <w:sz w:val="26"/>
          <w:szCs w:val="20"/>
        </w:rPr>
        <w:tab/>
      </w:r>
      <w:r w:rsidR="000B6E20" w:rsidRPr="004B6E3D">
        <w:rPr>
          <w:rFonts w:eastAsia="Times New Roman"/>
          <w:sz w:val="26"/>
          <w:szCs w:val="20"/>
        </w:rPr>
        <w:t>During the tenure of service, which began in 1998, m</w:t>
      </w:r>
      <w:r w:rsidR="00266846" w:rsidRPr="004B6E3D">
        <w:rPr>
          <w:rFonts w:eastAsia="Times New Roman"/>
          <w:sz w:val="26"/>
          <w:szCs w:val="20"/>
        </w:rPr>
        <w:t>ost of the PECO bill</w:t>
      </w:r>
      <w:r w:rsidR="000B6E20" w:rsidRPr="004B6E3D">
        <w:rPr>
          <w:rFonts w:eastAsia="Times New Roman"/>
          <w:sz w:val="26"/>
          <w:szCs w:val="20"/>
        </w:rPr>
        <w:t>s</w:t>
      </w:r>
      <w:r w:rsidR="00266846" w:rsidRPr="004B6E3D">
        <w:rPr>
          <w:rFonts w:eastAsia="Times New Roman"/>
          <w:sz w:val="26"/>
          <w:szCs w:val="20"/>
        </w:rPr>
        <w:t xml:space="preserve"> received by the Complainant were estimated and not based on actual readings; </w:t>
      </w:r>
    </w:p>
    <w:p w14:paraId="3ABAA5B9" w14:textId="77777777" w:rsidR="00266846" w:rsidRPr="00266846" w:rsidRDefault="00266846" w:rsidP="00D515D9">
      <w:pPr>
        <w:ind w:left="1440" w:hanging="720"/>
        <w:contextualSpacing/>
        <w:jc w:val="left"/>
        <w:rPr>
          <w:rFonts w:eastAsia="Times New Roman"/>
          <w:sz w:val="26"/>
          <w:szCs w:val="20"/>
        </w:rPr>
      </w:pPr>
    </w:p>
    <w:p w14:paraId="25748DDD" w14:textId="4D9D7344" w:rsidR="00EA5DFF" w:rsidRPr="004B6E3D" w:rsidRDefault="004B6E3D" w:rsidP="00D515D9">
      <w:pPr>
        <w:pStyle w:val="ListParagraph"/>
        <w:ind w:left="1440" w:hanging="720"/>
        <w:jc w:val="left"/>
        <w:rPr>
          <w:rFonts w:eastAsia="Times New Roman"/>
          <w:sz w:val="26"/>
          <w:szCs w:val="20"/>
        </w:rPr>
      </w:pPr>
      <w:r>
        <w:rPr>
          <w:rFonts w:eastAsia="Times New Roman"/>
          <w:sz w:val="26"/>
          <w:szCs w:val="20"/>
        </w:rPr>
        <w:t>(3)</w:t>
      </w:r>
      <w:r w:rsidR="00973EB5">
        <w:rPr>
          <w:rFonts w:eastAsia="Times New Roman"/>
          <w:sz w:val="26"/>
          <w:szCs w:val="20"/>
        </w:rPr>
        <w:tab/>
      </w:r>
      <w:r w:rsidR="00266846" w:rsidRPr="004B6E3D">
        <w:rPr>
          <w:rFonts w:eastAsia="Times New Roman"/>
          <w:sz w:val="26"/>
          <w:szCs w:val="20"/>
        </w:rPr>
        <w:t xml:space="preserve">The Complainant’s bills were abnormally high as compared to similar businesses in PECO’s service territory; </w:t>
      </w:r>
    </w:p>
    <w:p w14:paraId="03732118" w14:textId="77777777" w:rsidR="00266846" w:rsidRPr="00266846" w:rsidRDefault="00266846" w:rsidP="00D515D9">
      <w:pPr>
        <w:ind w:left="1440" w:hanging="720"/>
        <w:contextualSpacing/>
        <w:jc w:val="left"/>
        <w:rPr>
          <w:rFonts w:eastAsia="Times New Roman"/>
          <w:sz w:val="26"/>
          <w:szCs w:val="20"/>
        </w:rPr>
      </w:pPr>
    </w:p>
    <w:p w14:paraId="72C945F8" w14:textId="7F017FA0" w:rsidR="00266846" w:rsidRPr="00266846" w:rsidRDefault="004B6E3D" w:rsidP="00D515D9">
      <w:pPr>
        <w:pStyle w:val="ListParagraph"/>
        <w:ind w:left="1440" w:hanging="720"/>
        <w:jc w:val="left"/>
        <w:rPr>
          <w:rFonts w:eastAsia="Times New Roman"/>
          <w:sz w:val="26"/>
          <w:szCs w:val="20"/>
        </w:rPr>
      </w:pPr>
      <w:r>
        <w:rPr>
          <w:rFonts w:eastAsia="Times New Roman"/>
          <w:sz w:val="26"/>
          <w:szCs w:val="20"/>
        </w:rPr>
        <w:t>(4)</w:t>
      </w:r>
      <w:r w:rsidR="00973EB5">
        <w:rPr>
          <w:rFonts w:eastAsia="Times New Roman"/>
          <w:sz w:val="26"/>
          <w:szCs w:val="20"/>
        </w:rPr>
        <w:tab/>
      </w:r>
      <w:r w:rsidR="00971031">
        <w:rPr>
          <w:rFonts w:eastAsia="Times New Roman"/>
          <w:sz w:val="26"/>
          <w:szCs w:val="20"/>
        </w:rPr>
        <w:t>PECO employees informed the Complainant that the Commission lacks authority to issue a decision on a non-residential account, thereby causing the Complainant to delay bringing the present Compla</w:t>
      </w:r>
      <w:r w:rsidR="00CE55E9">
        <w:rPr>
          <w:rFonts w:eastAsia="Times New Roman"/>
          <w:sz w:val="26"/>
          <w:szCs w:val="20"/>
        </w:rPr>
        <w:t>i</w:t>
      </w:r>
      <w:r w:rsidR="00971031">
        <w:rPr>
          <w:rFonts w:eastAsia="Times New Roman"/>
          <w:sz w:val="26"/>
          <w:szCs w:val="20"/>
        </w:rPr>
        <w:t>nt before the Commission</w:t>
      </w:r>
      <w:r w:rsidR="00266846" w:rsidRPr="00266846">
        <w:rPr>
          <w:rFonts w:eastAsia="Times New Roman"/>
          <w:sz w:val="26"/>
          <w:szCs w:val="20"/>
        </w:rPr>
        <w:t xml:space="preserve">; </w:t>
      </w:r>
      <w:r w:rsidR="00971031">
        <w:rPr>
          <w:rFonts w:eastAsia="Times New Roman"/>
          <w:sz w:val="26"/>
          <w:szCs w:val="20"/>
        </w:rPr>
        <w:t>and</w:t>
      </w:r>
    </w:p>
    <w:p w14:paraId="2E8E3A66" w14:textId="77777777" w:rsidR="00266846" w:rsidRPr="00266846" w:rsidRDefault="00266846" w:rsidP="00D515D9">
      <w:pPr>
        <w:ind w:left="1440" w:hanging="720"/>
        <w:contextualSpacing/>
        <w:jc w:val="left"/>
        <w:rPr>
          <w:rFonts w:eastAsia="Times New Roman"/>
          <w:sz w:val="26"/>
          <w:szCs w:val="20"/>
        </w:rPr>
      </w:pPr>
    </w:p>
    <w:p w14:paraId="216325E9" w14:textId="2FDA3B4D" w:rsidR="00266846" w:rsidRDefault="004B6E3D" w:rsidP="00D515D9">
      <w:pPr>
        <w:pStyle w:val="ListParagraph"/>
        <w:ind w:left="1440" w:hanging="720"/>
        <w:jc w:val="left"/>
        <w:rPr>
          <w:rFonts w:eastAsia="Times New Roman"/>
          <w:sz w:val="26"/>
          <w:szCs w:val="20"/>
        </w:rPr>
      </w:pPr>
      <w:r>
        <w:rPr>
          <w:rFonts w:eastAsia="Times New Roman"/>
          <w:sz w:val="26"/>
          <w:szCs w:val="20"/>
        </w:rPr>
        <w:t>(5)</w:t>
      </w:r>
      <w:r w:rsidR="00973EB5">
        <w:rPr>
          <w:rFonts w:eastAsia="Times New Roman"/>
          <w:sz w:val="26"/>
          <w:szCs w:val="20"/>
        </w:rPr>
        <w:tab/>
      </w:r>
      <w:r w:rsidR="00971031" w:rsidRPr="004B6E3D">
        <w:rPr>
          <w:rFonts w:eastAsia="Times New Roman"/>
          <w:sz w:val="26"/>
          <w:szCs w:val="20"/>
        </w:rPr>
        <w:t xml:space="preserve">As a result of overcharging the Complainant, PECO rendered the Complainant unable to pay the bills in a timely manner and unfairly assessed </w:t>
      </w:r>
      <w:r w:rsidR="00CE55E9" w:rsidRPr="004B6E3D">
        <w:rPr>
          <w:rFonts w:eastAsia="Times New Roman"/>
          <w:sz w:val="26"/>
          <w:szCs w:val="20"/>
        </w:rPr>
        <w:t xml:space="preserve">a </w:t>
      </w:r>
      <w:r w:rsidR="00971031" w:rsidRPr="004B6E3D">
        <w:rPr>
          <w:rFonts w:eastAsia="Times New Roman"/>
          <w:sz w:val="26"/>
          <w:szCs w:val="20"/>
        </w:rPr>
        <w:t>substantial sum in late payment charges.</w:t>
      </w:r>
    </w:p>
    <w:p w14:paraId="6221D13D" w14:textId="77777777" w:rsidR="002A3F04" w:rsidRPr="004B6E3D" w:rsidRDefault="002A3F04" w:rsidP="002A3F04">
      <w:pPr>
        <w:pStyle w:val="ListParagraph"/>
        <w:ind w:left="2160" w:hanging="720"/>
        <w:jc w:val="left"/>
        <w:rPr>
          <w:rFonts w:eastAsia="Times New Roman"/>
          <w:sz w:val="26"/>
          <w:szCs w:val="20"/>
        </w:rPr>
      </w:pPr>
    </w:p>
    <w:p w14:paraId="139E6B8C" w14:textId="77777777" w:rsidR="00116AEE" w:rsidRDefault="00116AEE" w:rsidP="002A6A08">
      <w:pPr>
        <w:pStyle w:val="Default"/>
        <w:spacing w:line="360" w:lineRule="auto"/>
        <w:contextualSpacing/>
        <w:rPr>
          <w:color w:val="auto"/>
          <w:sz w:val="26"/>
          <w:szCs w:val="26"/>
        </w:rPr>
      </w:pPr>
      <w:r>
        <w:rPr>
          <w:color w:val="auto"/>
          <w:sz w:val="26"/>
          <w:szCs w:val="26"/>
        </w:rPr>
        <w:t xml:space="preserve">As relief, the Complainant sought review of its accounts with PECO and a refund of all overcharges placed in its account since September 2003, which the Complainant calculated to be in the amount of $99,192.86.  Amended Complaint at </w:t>
      </w:r>
      <w:r w:rsidR="00EA5DFF">
        <w:rPr>
          <w:color w:val="auto"/>
          <w:sz w:val="26"/>
          <w:szCs w:val="26"/>
        </w:rPr>
        <w:t>1-2.</w:t>
      </w:r>
    </w:p>
    <w:p w14:paraId="3F908398" w14:textId="77777777" w:rsidR="00A8311C" w:rsidRDefault="00A8311C" w:rsidP="002A6A08">
      <w:pPr>
        <w:pStyle w:val="Default"/>
        <w:spacing w:line="360" w:lineRule="auto"/>
        <w:contextualSpacing/>
        <w:rPr>
          <w:color w:val="auto"/>
          <w:sz w:val="26"/>
          <w:szCs w:val="26"/>
        </w:rPr>
      </w:pPr>
    </w:p>
    <w:p w14:paraId="26153EBA" w14:textId="77777777" w:rsidR="00A8311C" w:rsidRDefault="00A8311C" w:rsidP="00B4549A">
      <w:pPr>
        <w:pStyle w:val="Default"/>
        <w:spacing w:line="360" w:lineRule="auto"/>
        <w:ind w:firstLine="1440"/>
        <w:contextualSpacing/>
        <w:rPr>
          <w:color w:val="auto"/>
          <w:sz w:val="26"/>
          <w:szCs w:val="26"/>
        </w:rPr>
      </w:pPr>
      <w:r w:rsidRPr="00357E45">
        <w:rPr>
          <w:color w:val="auto"/>
          <w:sz w:val="26"/>
          <w:szCs w:val="26"/>
        </w:rPr>
        <w:t xml:space="preserve">On </w:t>
      </w:r>
      <w:r>
        <w:rPr>
          <w:color w:val="auto"/>
          <w:sz w:val="26"/>
          <w:szCs w:val="26"/>
        </w:rPr>
        <w:t>June 8, 2016</w:t>
      </w:r>
      <w:r w:rsidRPr="00357E45">
        <w:rPr>
          <w:color w:val="auto"/>
          <w:sz w:val="26"/>
          <w:szCs w:val="26"/>
        </w:rPr>
        <w:t>,</w:t>
      </w:r>
      <w:r>
        <w:rPr>
          <w:color w:val="auto"/>
          <w:sz w:val="26"/>
          <w:szCs w:val="26"/>
        </w:rPr>
        <w:t xml:space="preserve"> PECO filed an Answer and New Matter</w:t>
      </w:r>
      <w:r w:rsidR="00CE2463">
        <w:rPr>
          <w:color w:val="auto"/>
          <w:sz w:val="26"/>
          <w:szCs w:val="26"/>
        </w:rPr>
        <w:t xml:space="preserve"> (2016 Answer)</w:t>
      </w:r>
      <w:r>
        <w:rPr>
          <w:color w:val="auto"/>
          <w:sz w:val="26"/>
          <w:szCs w:val="26"/>
        </w:rPr>
        <w:t xml:space="preserve"> to t</w:t>
      </w:r>
      <w:r w:rsidR="005A543D">
        <w:rPr>
          <w:color w:val="auto"/>
          <w:sz w:val="26"/>
          <w:szCs w:val="26"/>
        </w:rPr>
        <w:t>he Complainant’s Amended Complai</w:t>
      </w:r>
      <w:r>
        <w:rPr>
          <w:color w:val="auto"/>
          <w:sz w:val="26"/>
          <w:szCs w:val="26"/>
        </w:rPr>
        <w:t xml:space="preserve">nt, accompanied by a Notice to Plead.  In its </w:t>
      </w:r>
      <w:r w:rsidR="00CE2463">
        <w:rPr>
          <w:color w:val="auto"/>
          <w:sz w:val="26"/>
          <w:szCs w:val="26"/>
        </w:rPr>
        <w:t xml:space="preserve">2016 </w:t>
      </w:r>
      <w:r>
        <w:rPr>
          <w:color w:val="auto"/>
          <w:sz w:val="26"/>
          <w:szCs w:val="26"/>
        </w:rPr>
        <w:t>Answer PECO denied the material allegations set forth in the</w:t>
      </w:r>
      <w:r w:rsidR="00F30B7F">
        <w:rPr>
          <w:color w:val="auto"/>
          <w:sz w:val="26"/>
          <w:szCs w:val="26"/>
        </w:rPr>
        <w:t xml:space="preserve"> Amended</w:t>
      </w:r>
      <w:r>
        <w:rPr>
          <w:color w:val="auto"/>
          <w:sz w:val="26"/>
          <w:szCs w:val="26"/>
        </w:rPr>
        <w:t xml:space="preserve"> Complaint.  In responding to the Complainant’s allegations, PECO set forth the following assertions</w:t>
      </w:r>
      <w:r w:rsidR="00F30B7F">
        <w:rPr>
          <w:color w:val="auto"/>
          <w:sz w:val="26"/>
          <w:szCs w:val="26"/>
        </w:rPr>
        <w:t xml:space="preserve">, in addition to reiterating the </w:t>
      </w:r>
      <w:r w:rsidR="00CE2463">
        <w:rPr>
          <w:color w:val="auto"/>
          <w:sz w:val="26"/>
          <w:szCs w:val="26"/>
        </w:rPr>
        <w:t xml:space="preserve">statements made in its 2015 </w:t>
      </w:r>
      <w:r w:rsidR="00F30B7F">
        <w:rPr>
          <w:color w:val="auto"/>
          <w:sz w:val="26"/>
          <w:szCs w:val="26"/>
        </w:rPr>
        <w:t>Answer</w:t>
      </w:r>
      <w:r>
        <w:rPr>
          <w:color w:val="auto"/>
          <w:sz w:val="26"/>
          <w:szCs w:val="26"/>
        </w:rPr>
        <w:t>:</w:t>
      </w:r>
    </w:p>
    <w:p w14:paraId="18143D9D" w14:textId="77777777" w:rsidR="008B395B" w:rsidRDefault="008B395B" w:rsidP="002A6A08">
      <w:pPr>
        <w:pStyle w:val="Default"/>
        <w:spacing w:line="360" w:lineRule="auto"/>
        <w:ind w:firstLine="1440"/>
        <w:contextualSpacing/>
        <w:rPr>
          <w:color w:val="auto"/>
          <w:sz w:val="26"/>
          <w:szCs w:val="26"/>
        </w:rPr>
      </w:pPr>
    </w:p>
    <w:p w14:paraId="5B8C73EB" w14:textId="03609ACB" w:rsidR="00F30B7F" w:rsidRPr="00D515D9" w:rsidRDefault="00D515D9" w:rsidP="00D515D9">
      <w:pPr>
        <w:pStyle w:val="ListParagraph"/>
        <w:ind w:left="1440" w:hanging="720"/>
        <w:jc w:val="left"/>
        <w:rPr>
          <w:rFonts w:eastAsia="Times New Roman"/>
          <w:sz w:val="26"/>
          <w:szCs w:val="20"/>
        </w:rPr>
      </w:pPr>
      <w:r w:rsidRPr="00D515D9">
        <w:rPr>
          <w:rFonts w:eastAsia="Times New Roman"/>
          <w:sz w:val="26"/>
          <w:szCs w:val="20"/>
        </w:rPr>
        <w:t>(1)</w:t>
      </w:r>
      <w:r w:rsidR="00C87874">
        <w:rPr>
          <w:rFonts w:eastAsia="Times New Roman"/>
          <w:sz w:val="26"/>
          <w:szCs w:val="20"/>
        </w:rPr>
        <w:tab/>
      </w:r>
      <w:r w:rsidR="0073166C" w:rsidRPr="00D515D9">
        <w:rPr>
          <w:rFonts w:eastAsia="Times New Roman"/>
          <w:sz w:val="26"/>
          <w:szCs w:val="20"/>
        </w:rPr>
        <w:t>The Com</w:t>
      </w:r>
      <w:r w:rsidR="00CD0CFE" w:rsidRPr="00D515D9">
        <w:rPr>
          <w:rFonts w:eastAsia="Times New Roman"/>
          <w:sz w:val="26"/>
          <w:szCs w:val="20"/>
        </w:rPr>
        <w:t>mission is expressly barred by the Statute of Limitations set forth in 66 Pa. C.S § 1312 from</w:t>
      </w:r>
      <w:r w:rsidR="0073166C" w:rsidRPr="00D515D9">
        <w:rPr>
          <w:rFonts w:eastAsia="Times New Roman"/>
          <w:sz w:val="26"/>
          <w:szCs w:val="20"/>
        </w:rPr>
        <w:t xml:space="preserve"> refunding Complainant payments made more than four years before the filing of the Complaint</w:t>
      </w:r>
      <w:r w:rsidR="00F30B7F" w:rsidRPr="00D515D9">
        <w:rPr>
          <w:rFonts w:eastAsia="Times New Roman"/>
          <w:sz w:val="26"/>
          <w:szCs w:val="20"/>
        </w:rPr>
        <w:t>;</w:t>
      </w:r>
    </w:p>
    <w:p w14:paraId="3647EDF1" w14:textId="77777777" w:rsidR="00F30B7F" w:rsidRPr="00D515D9" w:rsidRDefault="00F30B7F" w:rsidP="00D515D9">
      <w:pPr>
        <w:pStyle w:val="ListParagraph"/>
        <w:ind w:left="1440" w:hanging="720"/>
        <w:jc w:val="left"/>
        <w:rPr>
          <w:rFonts w:eastAsia="Times New Roman"/>
          <w:sz w:val="26"/>
          <w:szCs w:val="20"/>
        </w:rPr>
      </w:pPr>
    </w:p>
    <w:p w14:paraId="007FFBCA" w14:textId="3FC79F2A" w:rsidR="00A8311C" w:rsidRPr="00D515D9" w:rsidRDefault="00D515D9" w:rsidP="00D515D9">
      <w:pPr>
        <w:pStyle w:val="ListParagraph"/>
        <w:ind w:left="1440" w:hanging="720"/>
        <w:jc w:val="left"/>
        <w:rPr>
          <w:rFonts w:eastAsia="Times New Roman"/>
          <w:sz w:val="26"/>
          <w:szCs w:val="20"/>
        </w:rPr>
      </w:pPr>
      <w:r w:rsidRPr="00D515D9">
        <w:rPr>
          <w:rFonts w:eastAsia="Times New Roman"/>
          <w:sz w:val="26"/>
          <w:szCs w:val="20"/>
        </w:rPr>
        <w:t>(2)</w:t>
      </w:r>
      <w:r w:rsidR="00C87874">
        <w:rPr>
          <w:rFonts w:eastAsia="Times New Roman"/>
          <w:sz w:val="26"/>
          <w:szCs w:val="20"/>
        </w:rPr>
        <w:tab/>
      </w:r>
      <w:r w:rsidR="0073166C" w:rsidRPr="00D515D9">
        <w:rPr>
          <w:rFonts w:eastAsia="Times New Roman"/>
          <w:sz w:val="26"/>
          <w:szCs w:val="20"/>
        </w:rPr>
        <w:t xml:space="preserve">Pursuant to 66 Pa. C.S. § 1404(a) and </w:t>
      </w:r>
      <w:r w:rsidR="00561320" w:rsidRPr="00D515D9">
        <w:rPr>
          <w:rFonts w:eastAsia="Times New Roman"/>
          <w:sz w:val="26"/>
          <w:szCs w:val="20"/>
        </w:rPr>
        <w:t xml:space="preserve">PECO’s </w:t>
      </w:r>
      <w:r w:rsidR="00CD0CFE" w:rsidRPr="00D515D9">
        <w:rPr>
          <w:rFonts w:eastAsia="Times New Roman"/>
          <w:sz w:val="26"/>
          <w:szCs w:val="20"/>
        </w:rPr>
        <w:t>Commission approved tariff, PECO energy properly assessed the security deposit to the Complainant’s account based on the Complainant</w:t>
      </w:r>
      <w:r w:rsidR="003D0F8D" w:rsidRPr="00D515D9">
        <w:rPr>
          <w:rFonts w:eastAsia="Times New Roman"/>
          <w:sz w:val="26"/>
          <w:szCs w:val="20"/>
        </w:rPr>
        <w:t>’</w:t>
      </w:r>
      <w:r w:rsidR="00CD0CFE" w:rsidRPr="00D515D9">
        <w:rPr>
          <w:rFonts w:eastAsia="Times New Roman"/>
          <w:sz w:val="26"/>
          <w:szCs w:val="20"/>
        </w:rPr>
        <w:t>s poor payment history</w:t>
      </w:r>
      <w:r w:rsidR="00F30B7F" w:rsidRPr="00D515D9">
        <w:rPr>
          <w:rFonts w:eastAsia="Times New Roman"/>
          <w:sz w:val="26"/>
          <w:szCs w:val="20"/>
        </w:rPr>
        <w:t>;</w:t>
      </w:r>
    </w:p>
    <w:p w14:paraId="48EB2190" w14:textId="77777777" w:rsidR="00CD0CFE" w:rsidRPr="00D515D9" w:rsidRDefault="00CD0CFE" w:rsidP="00D515D9">
      <w:pPr>
        <w:pStyle w:val="ListParagraph"/>
        <w:ind w:left="1440" w:hanging="720"/>
        <w:jc w:val="left"/>
        <w:rPr>
          <w:rFonts w:eastAsia="Times New Roman"/>
          <w:sz w:val="26"/>
          <w:szCs w:val="20"/>
        </w:rPr>
      </w:pPr>
    </w:p>
    <w:p w14:paraId="7F737F74" w14:textId="5AC4D9BB" w:rsidR="00CD0CFE" w:rsidRPr="00D515D9" w:rsidRDefault="00D515D9" w:rsidP="00D515D9">
      <w:pPr>
        <w:pStyle w:val="ListParagraph"/>
        <w:ind w:left="1440" w:hanging="720"/>
        <w:jc w:val="left"/>
        <w:rPr>
          <w:rFonts w:eastAsia="Times New Roman"/>
          <w:sz w:val="26"/>
          <w:szCs w:val="20"/>
        </w:rPr>
      </w:pPr>
      <w:r w:rsidRPr="00D515D9">
        <w:rPr>
          <w:rFonts w:eastAsia="Times New Roman"/>
          <w:sz w:val="26"/>
          <w:szCs w:val="20"/>
        </w:rPr>
        <w:t>(3)</w:t>
      </w:r>
      <w:r w:rsidR="00C87874">
        <w:rPr>
          <w:rFonts w:eastAsia="Times New Roman"/>
          <w:sz w:val="26"/>
          <w:szCs w:val="20"/>
        </w:rPr>
        <w:tab/>
      </w:r>
      <w:r w:rsidR="00CD0CFE" w:rsidRPr="00D515D9">
        <w:rPr>
          <w:rFonts w:eastAsia="Times New Roman"/>
          <w:sz w:val="26"/>
          <w:szCs w:val="20"/>
        </w:rPr>
        <w:t>The Complainant received actual meter readings up until the September 2014 billing period at which time the Complainant began to receive intermittent estimated and actual reads</w:t>
      </w:r>
      <w:r w:rsidR="00BB5017" w:rsidRPr="00D515D9">
        <w:rPr>
          <w:rFonts w:eastAsia="Times New Roman"/>
          <w:sz w:val="26"/>
          <w:szCs w:val="20"/>
        </w:rPr>
        <w:t>.  This was due to the Complainant’s Automatic Meter Reading (AMR) meter being changed to an Automated Meter Infrastructure (AMI) meter and the resulting technical problems with the AMI meters being able to communicate with PECO’s system</w:t>
      </w:r>
      <w:r w:rsidR="00CD0CFE" w:rsidRPr="00D515D9">
        <w:rPr>
          <w:rFonts w:eastAsia="Times New Roman"/>
          <w:sz w:val="26"/>
          <w:szCs w:val="20"/>
        </w:rPr>
        <w:t>;</w:t>
      </w:r>
      <w:r w:rsidR="00BB5017" w:rsidRPr="00D515D9">
        <w:rPr>
          <w:rFonts w:eastAsia="Times New Roman"/>
          <w:sz w:val="26"/>
          <w:szCs w:val="20"/>
        </w:rPr>
        <w:t xml:space="preserve"> and</w:t>
      </w:r>
    </w:p>
    <w:p w14:paraId="0CED9143" w14:textId="77777777" w:rsidR="00CD0CFE" w:rsidRPr="00D515D9" w:rsidRDefault="00CD0CFE" w:rsidP="00D515D9">
      <w:pPr>
        <w:pStyle w:val="ListParagraph"/>
        <w:ind w:left="1440" w:hanging="720"/>
        <w:jc w:val="left"/>
        <w:rPr>
          <w:rFonts w:eastAsia="Times New Roman"/>
          <w:sz w:val="26"/>
          <w:szCs w:val="20"/>
        </w:rPr>
      </w:pPr>
    </w:p>
    <w:p w14:paraId="10EA5E3B" w14:textId="158AAF38" w:rsidR="00CD0CFE" w:rsidRPr="00D515D9" w:rsidRDefault="00D515D9" w:rsidP="00D515D9">
      <w:pPr>
        <w:pStyle w:val="ListParagraph"/>
        <w:ind w:left="1440" w:hanging="720"/>
        <w:jc w:val="left"/>
        <w:rPr>
          <w:rFonts w:eastAsia="Times New Roman"/>
          <w:sz w:val="26"/>
          <w:szCs w:val="20"/>
        </w:rPr>
      </w:pPr>
      <w:r w:rsidRPr="00D515D9">
        <w:rPr>
          <w:rFonts w:eastAsia="Times New Roman"/>
          <w:sz w:val="26"/>
          <w:szCs w:val="20"/>
        </w:rPr>
        <w:t>(4)</w:t>
      </w:r>
      <w:r w:rsidR="00C87874">
        <w:rPr>
          <w:rFonts w:eastAsia="Times New Roman"/>
          <w:sz w:val="26"/>
          <w:szCs w:val="20"/>
        </w:rPr>
        <w:tab/>
      </w:r>
      <w:r w:rsidR="00632303" w:rsidRPr="00D515D9">
        <w:rPr>
          <w:rFonts w:eastAsia="Times New Roman"/>
          <w:sz w:val="26"/>
          <w:szCs w:val="20"/>
        </w:rPr>
        <w:t>As shown through two high bill field investigations and an instrument meter test at the Jenkintown Service Address, the Complainant’s use is justified</w:t>
      </w:r>
      <w:r w:rsidR="005A543D" w:rsidRPr="00D515D9">
        <w:rPr>
          <w:rFonts w:eastAsia="Times New Roman"/>
          <w:sz w:val="26"/>
          <w:szCs w:val="20"/>
        </w:rPr>
        <w:t>,</w:t>
      </w:r>
      <w:r w:rsidR="00632303" w:rsidRPr="00D515D9">
        <w:rPr>
          <w:rFonts w:eastAsia="Times New Roman"/>
          <w:sz w:val="26"/>
          <w:szCs w:val="20"/>
        </w:rPr>
        <w:t xml:space="preserve"> and the meter is operating within PUC and PECO guidelines</w:t>
      </w:r>
      <w:r w:rsidR="00BB5017" w:rsidRPr="00D515D9">
        <w:rPr>
          <w:rFonts w:eastAsia="Times New Roman"/>
          <w:sz w:val="26"/>
          <w:szCs w:val="20"/>
        </w:rPr>
        <w:t>.</w:t>
      </w:r>
    </w:p>
    <w:p w14:paraId="0A2DBB54" w14:textId="77777777" w:rsidR="00CD0CFE" w:rsidRPr="00CD0CFE" w:rsidRDefault="00CD0CFE" w:rsidP="002A6A08">
      <w:pPr>
        <w:spacing w:line="240" w:lineRule="auto"/>
        <w:ind w:firstLine="0"/>
        <w:contextualSpacing/>
        <w:jc w:val="left"/>
        <w:rPr>
          <w:sz w:val="26"/>
          <w:szCs w:val="26"/>
        </w:rPr>
      </w:pPr>
    </w:p>
    <w:p w14:paraId="17783A58" w14:textId="77777777" w:rsidR="0090409A" w:rsidRDefault="00CE2463" w:rsidP="002A6A08">
      <w:pPr>
        <w:ind w:firstLine="0"/>
        <w:contextualSpacing/>
        <w:jc w:val="left"/>
        <w:rPr>
          <w:sz w:val="26"/>
          <w:szCs w:val="26"/>
        </w:rPr>
      </w:pPr>
      <w:r>
        <w:rPr>
          <w:sz w:val="26"/>
          <w:szCs w:val="26"/>
        </w:rPr>
        <w:t>2016 Answer at 2-5.</w:t>
      </w:r>
    </w:p>
    <w:p w14:paraId="7A62F79D" w14:textId="77777777" w:rsidR="003D2B5C" w:rsidRDefault="003D2B5C" w:rsidP="002A6A08">
      <w:pPr>
        <w:ind w:firstLine="0"/>
        <w:contextualSpacing/>
        <w:jc w:val="left"/>
        <w:rPr>
          <w:sz w:val="26"/>
          <w:szCs w:val="26"/>
        </w:rPr>
      </w:pPr>
    </w:p>
    <w:p w14:paraId="41C24456" w14:textId="77777777" w:rsidR="00B73F86" w:rsidRDefault="003D2B5C" w:rsidP="002A6A08">
      <w:pPr>
        <w:ind w:firstLine="0"/>
        <w:contextualSpacing/>
        <w:jc w:val="left"/>
        <w:rPr>
          <w:sz w:val="26"/>
          <w:szCs w:val="26"/>
        </w:rPr>
      </w:pPr>
      <w:r>
        <w:rPr>
          <w:sz w:val="26"/>
          <w:szCs w:val="26"/>
        </w:rPr>
        <w:tab/>
      </w:r>
      <w:r>
        <w:rPr>
          <w:sz w:val="26"/>
          <w:szCs w:val="26"/>
        </w:rPr>
        <w:tab/>
        <w:t>In its New Matter</w:t>
      </w:r>
      <w:r w:rsidR="005B18C7">
        <w:rPr>
          <w:sz w:val="26"/>
          <w:szCs w:val="26"/>
        </w:rPr>
        <w:t xml:space="preserve">, PECO indicated that, pursuant to 66 Pa. C.S. § 1312, a Complainant may not recover a refund for more than four years prior to the date of the filing of the Complaint.  Therefore, PECO </w:t>
      </w:r>
      <w:r w:rsidR="003715C5">
        <w:rPr>
          <w:sz w:val="26"/>
          <w:szCs w:val="26"/>
        </w:rPr>
        <w:t>submitted</w:t>
      </w:r>
      <w:r w:rsidR="005B18C7">
        <w:rPr>
          <w:sz w:val="26"/>
          <w:szCs w:val="26"/>
        </w:rPr>
        <w:t xml:space="preserve"> that the Complainant is barred by the Statute of Limitations, set forth in Section 1312 of the </w:t>
      </w:r>
      <w:r w:rsidR="0005762D">
        <w:rPr>
          <w:sz w:val="26"/>
          <w:szCs w:val="26"/>
        </w:rPr>
        <w:t xml:space="preserve">Pennsylvania </w:t>
      </w:r>
      <w:r w:rsidR="005B18C7">
        <w:rPr>
          <w:sz w:val="26"/>
          <w:szCs w:val="26"/>
        </w:rPr>
        <w:t>Public Utility Code</w:t>
      </w:r>
      <w:r w:rsidR="003715C5">
        <w:rPr>
          <w:sz w:val="26"/>
          <w:szCs w:val="26"/>
        </w:rPr>
        <w:t xml:space="preserve"> (Code)</w:t>
      </w:r>
      <w:r w:rsidR="005B18C7">
        <w:rPr>
          <w:sz w:val="26"/>
          <w:szCs w:val="26"/>
        </w:rPr>
        <w:t>, from recovering a refund of charges since September 16, 2003, as requested.  2016 Answer at 8-9.</w:t>
      </w:r>
    </w:p>
    <w:p w14:paraId="54C46C49" w14:textId="77777777" w:rsidR="00B73F86" w:rsidRDefault="00B73F86" w:rsidP="002A6A08">
      <w:pPr>
        <w:ind w:firstLine="0"/>
        <w:contextualSpacing/>
        <w:jc w:val="left"/>
        <w:rPr>
          <w:sz w:val="26"/>
          <w:szCs w:val="26"/>
        </w:rPr>
      </w:pPr>
    </w:p>
    <w:p w14:paraId="0E7B0C95" w14:textId="77777777" w:rsidR="00B73F86" w:rsidRDefault="00B73F86" w:rsidP="002A6A08">
      <w:pPr>
        <w:ind w:firstLine="0"/>
        <w:contextualSpacing/>
        <w:jc w:val="left"/>
        <w:rPr>
          <w:sz w:val="26"/>
          <w:szCs w:val="26"/>
        </w:rPr>
      </w:pPr>
      <w:r>
        <w:rPr>
          <w:sz w:val="26"/>
          <w:szCs w:val="26"/>
        </w:rPr>
        <w:tab/>
      </w:r>
      <w:r>
        <w:rPr>
          <w:sz w:val="26"/>
          <w:szCs w:val="26"/>
        </w:rPr>
        <w:tab/>
      </w:r>
      <w:r w:rsidR="00D671AF">
        <w:rPr>
          <w:sz w:val="26"/>
          <w:szCs w:val="26"/>
        </w:rPr>
        <w:t>On June 27, 2016, the Complainant filed an Answer to New Matter generally denying the material averments in PECO’s New Matter.</w:t>
      </w:r>
    </w:p>
    <w:p w14:paraId="219E5E5D" w14:textId="77777777" w:rsidR="00D671AF" w:rsidRDefault="00D671AF" w:rsidP="002A6A08">
      <w:pPr>
        <w:ind w:firstLine="0"/>
        <w:contextualSpacing/>
        <w:jc w:val="left"/>
        <w:rPr>
          <w:sz w:val="26"/>
          <w:szCs w:val="26"/>
        </w:rPr>
      </w:pPr>
    </w:p>
    <w:p w14:paraId="5396CC08" w14:textId="1313737B" w:rsidR="00D671AF" w:rsidRDefault="004D6EAF" w:rsidP="002A6A08">
      <w:pPr>
        <w:ind w:firstLine="0"/>
        <w:contextualSpacing/>
        <w:jc w:val="left"/>
        <w:rPr>
          <w:sz w:val="26"/>
          <w:szCs w:val="26"/>
        </w:rPr>
      </w:pPr>
      <w:r>
        <w:rPr>
          <w:sz w:val="26"/>
          <w:szCs w:val="26"/>
        </w:rPr>
        <w:tab/>
      </w:r>
      <w:r>
        <w:rPr>
          <w:sz w:val="26"/>
          <w:szCs w:val="26"/>
        </w:rPr>
        <w:tab/>
        <w:t xml:space="preserve">An evidentiary hearing convened, as scheduled, on July 20, 2016.  </w:t>
      </w:r>
      <w:r w:rsidR="0029745B">
        <w:rPr>
          <w:sz w:val="26"/>
          <w:szCs w:val="26"/>
        </w:rPr>
        <w:t>The Complainant, K&amp;J Pizza, was represented by counsel and presented the testimony of Khaled Mostafa.  PECO was also represented by counsel and presented four witnesses, Teresa Ferrier, Margaret O’Donnell, Thomas Lerro, and Richard King.</w:t>
      </w:r>
    </w:p>
    <w:p w14:paraId="5B1E3C3A" w14:textId="77777777" w:rsidR="0029745B" w:rsidRDefault="0029745B" w:rsidP="002A6A08">
      <w:pPr>
        <w:ind w:firstLine="0"/>
        <w:contextualSpacing/>
        <w:jc w:val="left"/>
        <w:rPr>
          <w:sz w:val="26"/>
          <w:szCs w:val="26"/>
        </w:rPr>
      </w:pPr>
    </w:p>
    <w:p w14:paraId="31F9576F" w14:textId="4312187E" w:rsidR="005D7931" w:rsidRDefault="0029745B" w:rsidP="002A6A08">
      <w:pPr>
        <w:ind w:firstLine="0"/>
        <w:contextualSpacing/>
        <w:jc w:val="left"/>
        <w:rPr>
          <w:sz w:val="26"/>
          <w:szCs w:val="26"/>
        </w:rPr>
      </w:pPr>
      <w:r>
        <w:rPr>
          <w:sz w:val="26"/>
          <w:szCs w:val="26"/>
        </w:rPr>
        <w:tab/>
      </w:r>
      <w:r>
        <w:rPr>
          <w:sz w:val="26"/>
          <w:szCs w:val="26"/>
        </w:rPr>
        <w:tab/>
        <w:t>A further hearing convened on September 23, 2016.  PECO was represented by counsel and presented the remainder of Richard King’s testimony, as well as the testimony of Michael Begley.  The Complainant was represented by counsel and presented the rebuttal testimony of Khaled Mostafa.</w:t>
      </w:r>
      <w:r w:rsidR="003A35DE">
        <w:rPr>
          <w:sz w:val="26"/>
          <w:szCs w:val="26"/>
        </w:rPr>
        <w:t xml:space="preserve">  The record in this proceeding contains a 604-page transcript</w:t>
      </w:r>
      <w:r w:rsidR="00EB0C48">
        <w:rPr>
          <w:sz w:val="26"/>
          <w:szCs w:val="26"/>
        </w:rPr>
        <w:t xml:space="preserve"> and </w:t>
      </w:r>
      <w:r w:rsidR="003D0F8D">
        <w:rPr>
          <w:sz w:val="26"/>
          <w:szCs w:val="26"/>
        </w:rPr>
        <w:t>thirty-six</w:t>
      </w:r>
      <w:r w:rsidR="00EB0C48">
        <w:rPr>
          <w:sz w:val="26"/>
          <w:szCs w:val="26"/>
        </w:rPr>
        <w:t xml:space="preserve"> exhibits.  The Complainant presented </w:t>
      </w:r>
      <w:r w:rsidR="003B0A41">
        <w:rPr>
          <w:sz w:val="26"/>
          <w:szCs w:val="26"/>
        </w:rPr>
        <w:t>seven</w:t>
      </w:r>
      <w:r w:rsidR="003715C5">
        <w:rPr>
          <w:sz w:val="26"/>
          <w:szCs w:val="26"/>
        </w:rPr>
        <w:t xml:space="preserve"> </w:t>
      </w:r>
      <w:r w:rsidR="00EB0C48">
        <w:rPr>
          <w:sz w:val="26"/>
          <w:szCs w:val="26"/>
        </w:rPr>
        <w:t xml:space="preserve">exhibits (Complainant Exhs. 1-7), and PECO presented </w:t>
      </w:r>
      <w:r w:rsidR="003D0F8D">
        <w:rPr>
          <w:sz w:val="26"/>
          <w:szCs w:val="26"/>
        </w:rPr>
        <w:t>twenty-nine</w:t>
      </w:r>
      <w:r w:rsidR="00EB0C48">
        <w:rPr>
          <w:sz w:val="26"/>
          <w:szCs w:val="26"/>
        </w:rPr>
        <w:t xml:space="preserve"> exhibits (PECO Exhs. 1-29).  The record was closed on October 23, 2016.</w:t>
      </w:r>
    </w:p>
    <w:p w14:paraId="459C1969" w14:textId="77777777" w:rsidR="00EB0C48" w:rsidRDefault="00EB0C48" w:rsidP="002A6A08">
      <w:pPr>
        <w:ind w:firstLine="0"/>
        <w:contextualSpacing/>
        <w:jc w:val="left"/>
        <w:rPr>
          <w:sz w:val="26"/>
          <w:szCs w:val="26"/>
        </w:rPr>
      </w:pPr>
    </w:p>
    <w:p w14:paraId="1087B40E" w14:textId="1651D71E" w:rsidR="00274AFD" w:rsidRDefault="00AC1763" w:rsidP="002A6A08">
      <w:pPr>
        <w:ind w:firstLine="0"/>
        <w:contextualSpacing/>
        <w:jc w:val="left"/>
        <w:rPr>
          <w:sz w:val="26"/>
          <w:szCs w:val="26"/>
        </w:rPr>
      </w:pPr>
      <w:r w:rsidRPr="005A46A8">
        <w:rPr>
          <w:sz w:val="26"/>
          <w:szCs w:val="26"/>
        </w:rPr>
        <w:tab/>
      </w:r>
      <w:r w:rsidRPr="005A46A8">
        <w:rPr>
          <w:sz w:val="26"/>
          <w:szCs w:val="26"/>
        </w:rPr>
        <w:tab/>
        <w:t>On August 31, 2017, we issued the Initial Decision of ALJ Vero wherein she granted the Amended Complaint, in part, and dismissed it, in part.  The ALJ concluded that the Complainant failed to carry its burden of proof on its allegations relating to claims of high billing, improper billing for services not rendered, improper withholding of security deposit, and improper assessment of late payment charges.  The ALJ, however, sustained the portions of the Amended Complaint concerning inadequate service relating to numerous estimated bills.  I.D. at</w:t>
      </w:r>
      <w:r w:rsidR="003B0A41">
        <w:rPr>
          <w:sz w:val="26"/>
          <w:szCs w:val="26"/>
        </w:rPr>
        <w:t> </w:t>
      </w:r>
      <w:r w:rsidRPr="005A46A8">
        <w:rPr>
          <w:sz w:val="26"/>
          <w:szCs w:val="26"/>
        </w:rPr>
        <w:t>1.</w:t>
      </w:r>
      <w:r w:rsidR="00B25964">
        <w:rPr>
          <w:sz w:val="26"/>
          <w:szCs w:val="26"/>
        </w:rPr>
        <w:t xml:space="preserve">  ALJ Vero further recommended the imposition of a civil penalty against PECO based</w:t>
      </w:r>
      <w:r w:rsidR="001E4E84">
        <w:rPr>
          <w:sz w:val="26"/>
          <w:szCs w:val="26"/>
        </w:rPr>
        <w:t xml:space="preserve"> on inadequate service relating to numerous estimated bills.  </w:t>
      </w:r>
      <w:r w:rsidR="001E4E84" w:rsidRPr="001E4E84">
        <w:rPr>
          <w:i/>
          <w:sz w:val="26"/>
          <w:szCs w:val="26"/>
        </w:rPr>
        <w:t>Id.</w:t>
      </w:r>
      <w:r w:rsidR="001E4E84">
        <w:rPr>
          <w:sz w:val="26"/>
          <w:szCs w:val="26"/>
        </w:rPr>
        <w:t xml:space="preserve"> at 41-42.</w:t>
      </w:r>
    </w:p>
    <w:p w14:paraId="41132792" w14:textId="77777777" w:rsidR="008A17A2" w:rsidRPr="005A46A8" w:rsidRDefault="008A17A2" w:rsidP="002A6A08">
      <w:pPr>
        <w:ind w:firstLine="0"/>
        <w:contextualSpacing/>
        <w:jc w:val="left"/>
        <w:rPr>
          <w:sz w:val="26"/>
          <w:szCs w:val="26"/>
        </w:rPr>
      </w:pPr>
    </w:p>
    <w:p w14:paraId="16E1E582" w14:textId="3130FB4A" w:rsidR="0088484F" w:rsidRPr="005A46A8" w:rsidRDefault="004A44D1" w:rsidP="000252EE">
      <w:pPr>
        <w:pStyle w:val="ListParagraph"/>
        <w:ind w:left="0" w:firstLine="1440"/>
        <w:jc w:val="left"/>
        <w:rPr>
          <w:sz w:val="26"/>
          <w:szCs w:val="26"/>
        </w:rPr>
      </w:pPr>
      <w:r w:rsidRPr="005A46A8">
        <w:rPr>
          <w:sz w:val="26"/>
          <w:szCs w:val="26"/>
        </w:rPr>
        <w:t>As previously noted, o</w:t>
      </w:r>
      <w:r w:rsidR="00B3046D" w:rsidRPr="005A46A8">
        <w:rPr>
          <w:sz w:val="26"/>
          <w:szCs w:val="26"/>
        </w:rPr>
        <w:t xml:space="preserve">n </w:t>
      </w:r>
      <w:r w:rsidR="00274AFD" w:rsidRPr="005A46A8">
        <w:rPr>
          <w:sz w:val="26"/>
          <w:szCs w:val="26"/>
        </w:rPr>
        <w:t>September 18, 2017, the Complainant</w:t>
      </w:r>
      <w:r w:rsidR="00B3046D" w:rsidRPr="005A46A8">
        <w:rPr>
          <w:sz w:val="26"/>
          <w:szCs w:val="26"/>
        </w:rPr>
        <w:t xml:space="preserve"> </w:t>
      </w:r>
      <w:r w:rsidR="0088484F" w:rsidRPr="005A46A8">
        <w:rPr>
          <w:sz w:val="26"/>
          <w:szCs w:val="26"/>
        </w:rPr>
        <w:t>filed Exceptions to</w:t>
      </w:r>
      <w:r w:rsidR="00A121B1" w:rsidRPr="005A46A8">
        <w:rPr>
          <w:sz w:val="26"/>
          <w:szCs w:val="26"/>
        </w:rPr>
        <w:t xml:space="preserve"> the Initial Decision.  </w:t>
      </w:r>
      <w:r w:rsidR="00274AFD" w:rsidRPr="005A46A8">
        <w:rPr>
          <w:sz w:val="26"/>
          <w:szCs w:val="26"/>
        </w:rPr>
        <w:t>PECO</w:t>
      </w:r>
      <w:r w:rsidR="0088484F" w:rsidRPr="005A46A8">
        <w:rPr>
          <w:sz w:val="26"/>
          <w:szCs w:val="26"/>
        </w:rPr>
        <w:t xml:space="preserve"> filed Rep</w:t>
      </w:r>
      <w:r w:rsidR="00B3046D" w:rsidRPr="005A46A8">
        <w:rPr>
          <w:sz w:val="26"/>
          <w:szCs w:val="26"/>
        </w:rPr>
        <w:t xml:space="preserve">lies </w:t>
      </w:r>
      <w:r w:rsidR="00274AFD" w:rsidRPr="005A46A8">
        <w:rPr>
          <w:sz w:val="26"/>
          <w:szCs w:val="26"/>
        </w:rPr>
        <w:t>to Exceptions on September</w:t>
      </w:r>
      <w:r w:rsidR="003B0A41">
        <w:rPr>
          <w:sz w:val="26"/>
          <w:szCs w:val="26"/>
        </w:rPr>
        <w:t> </w:t>
      </w:r>
      <w:r w:rsidR="00274AFD" w:rsidRPr="005A46A8">
        <w:rPr>
          <w:sz w:val="26"/>
          <w:szCs w:val="26"/>
        </w:rPr>
        <w:t>29</w:t>
      </w:r>
      <w:r w:rsidR="00A121B1" w:rsidRPr="005A46A8">
        <w:rPr>
          <w:sz w:val="26"/>
          <w:szCs w:val="26"/>
        </w:rPr>
        <w:t>, 2017</w:t>
      </w:r>
      <w:r w:rsidR="0088484F" w:rsidRPr="005A46A8">
        <w:rPr>
          <w:sz w:val="26"/>
          <w:szCs w:val="26"/>
        </w:rPr>
        <w:t>.</w:t>
      </w:r>
    </w:p>
    <w:p w14:paraId="732E5B0E" w14:textId="77777777" w:rsidR="00001CD3" w:rsidRPr="005A46A8" w:rsidRDefault="00001CD3" w:rsidP="002A6A08">
      <w:pPr>
        <w:ind w:firstLine="0"/>
        <w:contextualSpacing/>
        <w:jc w:val="both"/>
        <w:rPr>
          <w:sz w:val="26"/>
          <w:szCs w:val="26"/>
        </w:rPr>
      </w:pPr>
    </w:p>
    <w:p w14:paraId="54681614" w14:textId="09C6D565" w:rsidR="00001CD3" w:rsidRDefault="00001CD3" w:rsidP="00EF1FC5">
      <w:pPr>
        <w:pStyle w:val="ListParagraph"/>
        <w:keepNext/>
        <w:keepLines/>
        <w:numPr>
          <w:ilvl w:val="0"/>
          <w:numId w:val="4"/>
        </w:numPr>
        <w:rPr>
          <w:b/>
          <w:sz w:val="26"/>
          <w:szCs w:val="26"/>
        </w:rPr>
      </w:pPr>
      <w:r w:rsidRPr="005A46A8">
        <w:rPr>
          <w:b/>
          <w:sz w:val="26"/>
          <w:szCs w:val="26"/>
        </w:rPr>
        <w:t>Discussion</w:t>
      </w:r>
    </w:p>
    <w:p w14:paraId="2BF52C4E" w14:textId="7CC94D9E" w:rsidR="00CD1D7B" w:rsidRDefault="00CD1D7B" w:rsidP="00EF1FC5">
      <w:pPr>
        <w:keepNext/>
        <w:keepLines/>
        <w:ind w:firstLine="0"/>
        <w:jc w:val="both"/>
        <w:rPr>
          <w:b/>
          <w:sz w:val="26"/>
          <w:szCs w:val="26"/>
        </w:rPr>
      </w:pPr>
    </w:p>
    <w:p w14:paraId="2625FFC7" w14:textId="77777777" w:rsidR="00CD1D7B" w:rsidRPr="00CD1D7B" w:rsidRDefault="00CD1D7B" w:rsidP="00CD1D7B">
      <w:pPr>
        <w:autoSpaceDE w:val="0"/>
        <w:autoSpaceDN w:val="0"/>
        <w:adjustRightInd w:val="0"/>
        <w:ind w:firstLine="1440"/>
        <w:contextualSpacing/>
        <w:jc w:val="left"/>
        <w:rPr>
          <w:sz w:val="26"/>
          <w:szCs w:val="26"/>
        </w:rPr>
      </w:pPr>
      <w:r w:rsidRPr="00CD1D7B">
        <w:rPr>
          <w:sz w:val="26"/>
          <w:szCs w:val="26"/>
        </w:rPr>
        <w:t>ALJ Vero made 110 Findings of Fact and reached eleven Conclusions of Law.  I.D. at 5-18, 44-46.  The Findings of Fact and Conclusions of Law are incorporated herein by reference and are adopted without comment unless they are either expressly or by necessary implication rejected or modified by this Opinion and Order.</w:t>
      </w:r>
    </w:p>
    <w:p w14:paraId="16848DC8" w14:textId="571CA99D" w:rsidR="00CD1D7B" w:rsidRDefault="00CD1D7B" w:rsidP="00CD1D7B">
      <w:pPr>
        <w:ind w:firstLine="0"/>
        <w:jc w:val="both"/>
        <w:rPr>
          <w:b/>
          <w:sz w:val="26"/>
          <w:szCs w:val="26"/>
        </w:rPr>
      </w:pPr>
    </w:p>
    <w:p w14:paraId="746EF94D" w14:textId="77777777" w:rsidR="00CD1D7B" w:rsidRPr="00CD1D7B" w:rsidRDefault="00CD1D7B" w:rsidP="00CD1D7B">
      <w:pPr>
        <w:ind w:firstLine="1440"/>
        <w:contextualSpacing/>
        <w:jc w:val="left"/>
        <w:rPr>
          <w:sz w:val="26"/>
          <w:szCs w:val="26"/>
        </w:rPr>
      </w:pPr>
      <w:r w:rsidRPr="00CD1D7B">
        <w:rPr>
          <w:sz w:val="26"/>
          <w:szCs w:val="26"/>
        </w:rPr>
        <w:t xml:space="preserve">Before addressing the Exceptions, we note that any issue or Exception that we do not specifically address shall be deemed to have been duly considered and denied without further discussion.  The Commission is not required to consider, either expressly or at length, each contention or argument raised by the Parties.  </w:t>
      </w:r>
      <w:r w:rsidRPr="00CD1D7B">
        <w:rPr>
          <w:i/>
          <w:iCs/>
          <w:sz w:val="26"/>
          <w:szCs w:val="26"/>
        </w:rPr>
        <w:t xml:space="preserve">Consolidated Rail Corp. v. Pa. PUC, </w:t>
      </w:r>
      <w:r w:rsidRPr="00CD1D7B">
        <w:rPr>
          <w:sz w:val="26"/>
          <w:szCs w:val="26"/>
        </w:rPr>
        <w:t xml:space="preserve">625 A.2d 741 (Pa. Cmwlth. 1993); </w:t>
      </w:r>
      <w:r w:rsidRPr="00CD1D7B">
        <w:rPr>
          <w:i/>
          <w:sz w:val="26"/>
          <w:szCs w:val="26"/>
        </w:rPr>
        <w:t xml:space="preserve">also </w:t>
      </w:r>
      <w:r w:rsidRPr="00CD1D7B">
        <w:rPr>
          <w:i/>
          <w:iCs/>
          <w:sz w:val="26"/>
          <w:szCs w:val="26"/>
        </w:rPr>
        <w:t>see, generally, University of Pennsylvania v. Pa. PUC</w:t>
      </w:r>
      <w:r w:rsidRPr="00CD1D7B">
        <w:rPr>
          <w:sz w:val="26"/>
          <w:szCs w:val="26"/>
        </w:rPr>
        <w:t>, 485 A.2d 1217 (Pa. Cmwlth. 1984).  Additionally, 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we shall waive the lack of conformity and consider the merits of the Complainant’s Exceptions.</w:t>
      </w:r>
    </w:p>
    <w:p w14:paraId="605F0205" w14:textId="77777777" w:rsidR="00CD1D7B" w:rsidRPr="00CD1D7B" w:rsidRDefault="00CD1D7B" w:rsidP="00CD1D7B">
      <w:pPr>
        <w:ind w:firstLine="1440"/>
        <w:contextualSpacing/>
        <w:jc w:val="left"/>
        <w:rPr>
          <w:sz w:val="26"/>
          <w:szCs w:val="26"/>
        </w:rPr>
      </w:pPr>
    </w:p>
    <w:p w14:paraId="37DD6E2E" w14:textId="0885BB09" w:rsidR="00CD1D7B" w:rsidRPr="00CD1D7B" w:rsidRDefault="00CD1D7B" w:rsidP="00CD1D7B">
      <w:pPr>
        <w:ind w:firstLine="1440"/>
        <w:contextualSpacing/>
        <w:jc w:val="left"/>
        <w:rPr>
          <w:sz w:val="26"/>
          <w:szCs w:val="26"/>
        </w:rPr>
      </w:pPr>
      <w:r w:rsidRPr="00CD1D7B">
        <w:rPr>
          <w:sz w:val="26"/>
          <w:szCs w:val="26"/>
        </w:rPr>
        <w:t>The Complainant filed nineteen separate Exceptions to the Initial Decision.  Some of these Exceptions focus on evidentiary rulings by the ALJ, while others address the alleged inadequate service by PECO.</w:t>
      </w:r>
    </w:p>
    <w:p w14:paraId="7CF6BC6E" w14:textId="34522227" w:rsidR="00CD1D7B" w:rsidRDefault="00CD1D7B" w:rsidP="00CD1D7B">
      <w:pPr>
        <w:ind w:firstLine="0"/>
        <w:jc w:val="both"/>
        <w:rPr>
          <w:b/>
          <w:sz w:val="26"/>
          <w:szCs w:val="26"/>
        </w:rPr>
      </w:pPr>
    </w:p>
    <w:p w14:paraId="30D2D1D0" w14:textId="75CA23AD" w:rsidR="00CD1D7B" w:rsidRPr="00CD1D7B" w:rsidRDefault="00CD1D7B" w:rsidP="00CD1D7B">
      <w:pPr>
        <w:tabs>
          <w:tab w:val="left" w:pos="720"/>
          <w:tab w:val="left" w:pos="1440"/>
        </w:tabs>
        <w:ind w:firstLine="1440"/>
        <w:contextualSpacing/>
        <w:jc w:val="left"/>
      </w:pPr>
      <w:r w:rsidRPr="00CD1D7B">
        <w:rPr>
          <w:sz w:val="26"/>
          <w:szCs w:val="26"/>
        </w:rPr>
        <w:t>In summary, based upon our review of the record and the applicable law, we are in agreement with the ALJ’s determination that the Complainant has failed to carry its burden of proof on the pertinent issues.  As outlined below, we will specifically address several issues raised by the Complainant’s Exceptions according to the subject matter that they cover, instead of in numerical order.</w:t>
      </w:r>
    </w:p>
    <w:p w14:paraId="3823EFFB" w14:textId="05783553" w:rsidR="004A44D1" w:rsidRPr="005A46A8" w:rsidRDefault="004A44D1" w:rsidP="002A6A08">
      <w:pPr>
        <w:ind w:firstLine="0"/>
        <w:contextualSpacing/>
        <w:jc w:val="left"/>
      </w:pPr>
    </w:p>
    <w:p w14:paraId="55BA4D8B" w14:textId="77777777" w:rsidR="004A44D1" w:rsidRPr="005A46A8" w:rsidRDefault="00013A88" w:rsidP="00EF1FC5">
      <w:pPr>
        <w:keepNext/>
        <w:keepLines/>
        <w:autoSpaceDE w:val="0"/>
        <w:autoSpaceDN w:val="0"/>
        <w:adjustRightInd w:val="0"/>
        <w:ind w:firstLine="0"/>
        <w:contextualSpacing/>
        <w:jc w:val="left"/>
        <w:rPr>
          <w:rFonts w:eastAsiaTheme="minorHAnsi"/>
          <w:b/>
          <w:sz w:val="26"/>
          <w:szCs w:val="26"/>
        </w:rPr>
      </w:pPr>
      <w:r w:rsidRPr="005A46A8">
        <w:rPr>
          <w:rFonts w:eastAsiaTheme="minorHAnsi"/>
          <w:b/>
          <w:sz w:val="26"/>
          <w:szCs w:val="26"/>
        </w:rPr>
        <w:t>A.</w:t>
      </w:r>
      <w:r w:rsidRPr="005A46A8">
        <w:rPr>
          <w:rFonts w:eastAsiaTheme="minorHAnsi"/>
          <w:b/>
          <w:sz w:val="26"/>
          <w:szCs w:val="26"/>
        </w:rPr>
        <w:tab/>
      </w:r>
      <w:r w:rsidR="004A44D1" w:rsidRPr="005A46A8">
        <w:rPr>
          <w:rFonts w:eastAsiaTheme="minorHAnsi"/>
          <w:b/>
          <w:sz w:val="26"/>
          <w:szCs w:val="26"/>
        </w:rPr>
        <w:t>Legal Standards</w:t>
      </w:r>
    </w:p>
    <w:p w14:paraId="4C5B8918" w14:textId="63AD3B44" w:rsidR="00DF496D" w:rsidRDefault="00DF496D" w:rsidP="00EF1FC5">
      <w:pPr>
        <w:keepNext/>
        <w:keepLines/>
        <w:ind w:firstLine="0"/>
        <w:contextualSpacing/>
        <w:jc w:val="left"/>
        <w:rPr>
          <w:rFonts w:eastAsia="Times New Roman"/>
          <w:sz w:val="26"/>
          <w:szCs w:val="26"/>
        </w:rPr>
      </w:pPr>
    </w:p>
    <w:p w14:paraId="6EA73DA0" w14:textId="13E798BB" w:rsidR="0072735F" w:rsidRPr="0072735F" w:rsidRDefault="0072735F" w:rsidP="003715C5">
      <w:pPr>
        <w:ind w:firstLine="1440"/>
        <w:contextualSpacing/>
        <w:jc w:val="left"/>
        <w:rPr>
          <w:rFonts w:eastAsia="Times New Roman"/>
          <w:sz w:val="26"/>
          <w:szCs w:val="26"/>
        </w:rPr>
      </w:pPr>
      <w:r w:rsidRPr="0072735F">
        <w:rPr>
          <w:rFonts w:eastAsia="Times New Roman"/>
          <w:sz w:val="26"/>
          <w:szCs w:val="26"/>
        </w:rPr>
        <w:t>As the proponent of a rule or order, the Complainant in this proceeding bears the burden of proof pu</w:t>
      </w:r>
      <w:r w:rsidR="004D1565">
        <w:rPr>
          <w:rFonts w:eastAsia="Times New Roman"/>
          <w:sz w:val="26"/>
          <w:szCs w:val="26"/>
        </w:rPr>
        <w:t>rsuant to Section 332(a) of the Code</w:t>
      </w:r>
      <w:r w:rsidRPr="004D1565">
        <w:rPr>
          <w:rFonts w:eastAsia="Times New Roman"/>
          <w:sz w:val="26"/>
          <w:szCs w:val="26"/>
        </w:rPr>
        <w:t>.</w:t>
      </w:r>
      <w:r w:rsidRPr="0072735F">
        <w:rPr>
          <w:rFonts w:eastAsia="Times New Roman"/>
          <w:sz w:val="26"/>
          <w:szCs w:val="26"/>
        </w:rPr>
        <w:t xml:space="preserve">  66 Pa. C.S. §</w:t>
      </w:r>
      <w:r w:rsidR="00B031CD">
        <w:rPr>
          <w:rFonts w:eastAsia="Times New Roman"/>
          <w:sz w:val="26"/>
          <w:szCs w:val="26"/>
        </w:rPr>
        <w:t> </w:t>
      </w:r>
      <w:r w:rsidRPr="0072735F">
        <w:rPr>
          <w:rFonts w:eastAsia="Times New Roman"/>
          <w:sz w:val="26"/>
          <w:szCs w:val="26"/>
        </w:rPr>
        <w:t xml:space="preserve">332(a).  To establish a sufficient case and satisfy the burden of proof, the Complainant must show that </w:t>
      </w:r>
      <w:r>
        <w:rPr>
          <w:rFonts w:eastAsia="Times New Roman"/>
          <w:sz w:val="26"/>
          <w:szCs w:val="26"/>
        </w:rPr>
        <w:t>PECO</w:t>
      </w:r>
      <w:r w:rsidRPr="0072735F">
        <w:rPr>
          <w:rFonts w:eastAsia="Times New Roman"/>
          <w:sz w:val="26"/>
          <w:szCs w:val="26"/>
        </w:rPr>
        <w:t xml:space="preserve"> is responsible or accountable for the problem described in the Complaint.  </w:t>
      </w:r>
      <w:r w:rsidRPr="0072735F">
        <w:rPr>
          <w:rFonts w:eastAsia="Times New Roman"/>
          <w:i/>
          <w:sz w:val="26"/>
          <w:szCs w:val="26"/>
        </w:rPr>
        <w:t>Patterson v. The Bell Telephone Company of Pennsylvania</w:t>
      </w:r>
      <w:r w:rsidRPr="0072735F">
        <w:rPr>
          <w:rFonts w:eastAsia="Times New Roman"/>
          <w:sz w:val="26"/>
          <w:szCs w:val="26"/>
        </w:rPr>
        <w:t xml:space="preserve">, 72 Pa. P.U.C. 196 (1990).  Such a showing must be by a preponderance of the evidence.  </w:t>
      </w:r>
      <w:r w:rsidRPr="0072735F">
        <w:rPr>
          <w:rFonts w:eastAsia="Times New Roman"/>
          <w:i/>
          <w:iCs/>
          <w:sz w:val="26"/>
          <w:szCs w:val="26"/>
        </w:rPr>
        <w:t>Samuel J. Lansberry, Inc. v. Pa. PUC</w:t>
      </w:r>
      <w:r w:rsidRPr="0072735F">
        <w:rPr>
          <w:rFonts w:eastAsia="Times New Roman"/>
          <w:sz w:val="26"/>
          <w:szCs w:val="26"/>
        </w:rPr>
        <w:t xml:space="preserve">, 578 A.2d 600 (Pa. Cmwlth. 1990), </w:t>
      </w:r>
      <w:r w:rsidRPr="0072735F">
        <w:rPr>
          <w:rFonts w:eastAsia="Times New Roman"/>
          <w:i/>
          <w:sz w:val="26"/>
          <w:szCs w:val="26"/>
        </w:rPr>
        <w:t>alloc. denied,</w:t>
      </w:r>
      <w:r w:rsidRPr="0072735F">
        <w:rPr>
          <w:rFonts w:eastAsia="Times New Roman"/>
          <w:sz w:val="26"/>
          <w:szCs w:val="26"/>
        </w:rPr>
        <w:t xml:space="preserve"> 529 Pa. 654, 602 A.2d 863 (1992).  That is, the Complainant’s evidence must be more convincing, by even the smallest amount, than that presented by </w:t>
      </w:r>
      <w:r>
        <w:rPr>
          <w:rFonts w:eastAsia="Times New Roman"/>
          <w:sz w:val="26"/>
          <w:szCs w:val="26"/>
        </w:rPr>
        <w:t>PECO</w:t>
      </w:r>
      <w:r w:rsidRPr="0072735F">
        <w:rPr>
          <w:rFonts w:eastAsia="Times New Roman"/>
          <w:sz w:val="26"/>
          <w:szCs w:val="26"/>
        </w:rPr>
        <w:t xml:space="preserve">.  </w:t>
      </w:r>
      <w:r w:rsidRPr="0072735F">
        <w:rPr>
          <w:rFonts w:eastAsia="Times New Roman"/>
          <w:i/>
          <w:sz w:val="26"/>
          <w:szCs w:val="26"/>
        </w:rPr>
        <w:t>Se-Ling Hosiery, Inc. v. Margulies</w:t>
      </w:r>
      <w:r w:rsidRPr="0072735F">
        <w:rPr>
          <w:rFonts w:eastAsia="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72735F">
        <w:rPr>
          <w:rFonts w:eastAsia="Times New Roman"/>
          <w:i/>
          <w:sz w:val="26"/>
          <w:szCs w:val="26"/>
        </w:rPr>
        <w:t xml:space="preserve">Norfolk &amp; Western Ry. Co. v. Pa. PUC, </w:t>
      </w:r>
      <w:r w:rsidRPr="0072735F">
        <w:rPr>
          <w:rFonts w:eastAsia="Times New Roman"/>
          <w:sz w:val="26"/>
          <w:szCs w:val="26"/>
        </w:rPr>
        <w:t>489 Pa. 109, 413 A.2d 1037 (1980).</w:t>
      </w:r>
    </w:p>
    <w:p w14:paraId="20F41026" w14:textId="77777777" w:rsidR="007B34A4" w:rsidRDefault="007B34A4" w:rsidP="002A6A08">
      <w:pPr>
        <w:ind w:firstLine="1440"/>
        <w:contextualSpacing/>
        <w:jc w:val="left"/>
        <w:rPr>
          <w:rFonts w:ascii="Times New (W1)" w:hAnsi="Times New (W1)"/>
          <w:sz w:val="26"/>
          <w:szCs w:val="26"/>
        </w:rPr>
      </w:pPr>
    </w:p>
    <w:p w14:paraId="4E1C405F" w14:textId="77777777" w:rsidR="00C10A53" w:rsidRDefault="007B34A4" w:rsidP="002A6A08">
      <w:pPr>
        <w:ind w:firstLine="1440"/>
        <w:contextualSpacing/>
        <w:jc w:val="left"/>
        <w:rPr>
          <w:iCs/>
          <w:sz w:val="26"/>
          <w:szCs w:val="26"/>
        </w:rPr>
      </w:pPr>
      <w:r w:rsidRPr="005E00AF">
        <w:rPr>
          <w:sz w:val="26"/>
          <w:szCs w:val="26"/>
        </w:rPr>
        <w:t xml:space="preserve">Upon the presentation by the Complainant of evidence sufficient to initially satisfy the burden of proof, the burden of going forward with the evidence to rebut the evidence of the Complainant shifts to </w:t>
      </w:r>
      <w:r w:rsidR="0072735F">
        <w:rPr>
          <w:sz w:val="26"/>
          <w:szCs w:val="26"/>
        </w:rPr>
        <w:t>PECO</w:t>
      </w:r>
      <w:r w:rsidRPr="005E00AF">
        <w:rPr>
          <w:sz w:val="26"/>
          <w:szCs w:val="26"/>
        </w:rPr>
        <w:t xml:space="preserve">.  If the evidence presented by </w:t>
      </w:r>
      <w:r w:rsidR="0072735F">
        <w:rPr>
          <w:sz w:val="26"/>
          <w:szCs w:val="26"/>
        </w:rPr>
        <w:t>PECO</w:t>
      </w:r>
      <w:r w:rsidRPr="005E00AF">
        <w:rPr>
          <w:sz w:val="26"/>
          <w:szCs w:val="26"/>
        </w:rPr>
        <w:t xml:space="preserve"> is of co-equal value or “weight,” the burden of proof has not been satisfied.  The Complainant now has to provide some additional evidence to rebut that of </w:t>
      </w:r>
      <w:r w:rsidR="0072735F">
        <w:rPr>
          <w:sz w:val="26"/>
          <w:szCs w:val="26"/>
        </w:rPr>
        <w:t>PECO</w:t>
      </w:r>
      <w:r w:rsidRPr="005E00AF">
        <w:rPr>
          <w:sz w:val="26"/>
          <w:szCs w:val="26"/>
        </w:rPr>
        <w:t xml:space="preserve">. </w:t>
      </w:r>
      <w:r w:rsidRPr="005E00AF">
        <w:rPr>
          <w:iCs/>
          <w:sz w:val="26"/>
          <w:szCs w:val="26"/>
        </w:rPr>
        <w:t xml:space="preserve"> </w:t>
      </w:r>
      <w:r w:rsidRPr="005E00AF">
        <w:rPr>
          <w:i/>
          <w:iCs/>
          <w:sz w:val="26"/>
          <w:szCs w:val="26"/>
        </w:rPr>
        <w:t>Burleson v. Pa. PUC,</w:t>
      </w:r>
      <w:r w:rsidRPr="005E00AF">
        <w:rPr>
          <w:iCs/>
          <w:sz w:val="26"/>
          <w:szCs w:val="26"/>
        </w:rPr>
        <w:t xml:space="preserve"> 443 A.2d 1373 (Pa. Cmwlth. 1982), </w:t>
      </w:r>
      <w:r w:rsidRPr="005E00AF">
        <w:rPr>
          <w:i/>
          <w:iCs/>
          <w:sz w:val="26"/>
          <w:szCs w:val="26"/>
        </w:rPr>
        <w:t>aff’d,</w:t>
      </w:r>
      <w:r w:rsidRPr="005E00AF">
        <w:rPr>
          <w:iCs/>
          <w:sz w:val="26"/>
          <w:szCs w:val="26"/>
        </w:rPr>
        <w:t xml:space="preserve"> 501 Pa. 433, 461 A.2d 1234 (1983).</w:t>
      </w:r>
    </w:p>
    <w:p w14:paraId="2CDE49B0" w14:textId="77777777" w:rsidR="00752CD2" w:rsidRPr="0072735F" w:rsidRDefault="00752CD2" w:rsidP="002A6A08">
      <w:pPr>
        <w:ind w:firstLine="1440"/>
        <w:contextualSpacing/>
        <w:jc w:val="left"/>
        <w:rPr>
          <w:i/>
          <w:sz w:val="26"/>
          <w:szCs w:val="26"/>
        </w:rPr>
      </w:pPr>
    </w:p>
    <w:p w14:paraId="66BDC239" w14:textId="77777777" w:rsidR="00C10A53" w:rsidRDefault="00C10A53" w:rsidP="002A6A08">
      <w:pPr>
        <w:ind w:firstLine="1440"/>
        <w:contextualSpacing/>
        <w:jc w:val="left"/>
        <w:rPr>
          <w:rFonts w:ascii="Times New (W1)" w:hAnsi="Times New (W1)"/>
          <w:sz w:val="26"/>
          <w:szCs w:val="26"/>
        </w:rPr>
      </w:pPr>
      <w:r>
        <w:rPr>
          <w:rFonts w:ascii="Times New (W1)" w:hAnsi="Times New (W1)"/>
          <w:sz w:val="26"/>
          <w:szCs w:val="26"/>
        </w:rPr>
        <w:t xml:space="preserve">While the burden of persuasion may shift back and forth during a proceeding, the burden of proof always remains on the party seeking affirmative relief from the Commission.  </w:t>
      </w:r>
      <w:r>
        <w:rPr>
          <w:rFonts w:ascii="Times New (W1)" w:hAnsi="Times New (W1)"/>
          <w:i/>
          <w:sz w:val="26"/>
          <w:szCs w:val="26"/>
        </w:rPr>
        <w:t xml:space="preserve">Milkie v. Pa. PUC, </w:t>
      </w:r>
      <w:r>
        <w:rPr>
          <w:rFonts w:ascii="Times New (W1)" w:hAnsi="Times New (W1)"/>
          <w:sz w:val="26"/>
          <w:szCs w:val="26"/>
        </w:rPr>
        <w:t>768 A.2d 1217 (Pa. Cmwlth. 2001).</w:t>
      </w:r>
    </w:p>
    <w:p w14:paraId="18D0E405" w14:textId="77777777" w:rsidR="0040414E" w:rsidRPr="00C10A53" w:rsidRDefault="0040414E" w:rsidP="002A6A08">
      <w:pPr>
        <w:ind w:firstLine="1440"/>
        <w:contextualSpacing/>
        <w:jc w:val="left"/>
        <w:rPr>
          <w:rFonts w:ascii="Times New (W1)" w:hAnsi="Times New (W1)"/>
          <w:sz w:val="26"/>
          <w:szCs w:val="26"/>
        </w:rPr>
      </w:pPr>
    </w:p>
    <w:p w14:paraId="20C84918" w14:textId="77777777" w:rsidR="0027544D" w:rsidRPr="0027544D" w:rsidRDefault="0027544D" w:rsidP="002A6A08">
      <w:pPr>
        <w:ind w:firstLine="0"/>
        <w:contextualSpacing/>
        <w:jc w:val="left"/>
        <w:rPr>
          <w:rFonts w:eastAsia="Times New Roman"/>
          <w:sz w:val="26"/>
          <w:szCs w:val="26"/>
        </w:rPr>
      </w:pPr>
      <w:r>
        <w:rPr>
          <w:rFonts w:eastAsia="Times New Roman"/>
          <w:sz w:val="26"/>
          <w:szCs w:val="26"/>
        </w:rPr>
        <w:tab/>
      </w:r>
      <w:r>
        <w:rPr>
          <w:rFonts w:eastAsia="Times New Roman"/>
          <w:sz w:val="26"/>
          <w:szCs w:val="26"/>
        </w:rPr>
        <w:tab/>
      </w:r>
      <w:r w:rsidRPr="0027544D">
        <w:rPr>
          <w:rFonts w:eastAsia="Times New Roman"/>
          <w:sz w:val="26"/>
          <w:szCs w:val="26"/>
        </w:rPr>
        <w:t xml:space="preserve">The burden of proof for “high bill” complaints has been explained in </w:t>
      </w:r>
      <w:hyperlink r:id="rId8" w:history="1">
        <w:r w:rsidRPr="0027544D">
          <w:rPr>
            <w:rFonts w:eastAsia="Times New Roman"/>
            <w:bCs/>
            <w:i/>
            <w:iCs/>
            <w:sz w:val="26"/>
            <w:szCs w:val="26"/>
          </w:rPr>
          <w:t>Waldron</w:t>
        </w:r>
        <w:r w:rsidRPr="0027544D">
          <w:rPr>
            <w:rFonts w:eastAsia="Times New Roman"/>
            <w:i/>
            <w:iCs/>
            <w:sz w:val="26"/>
            <w:szCs w:val="26"/>
          </w:rPr>
          <w:t xml:space="preserve"> v. Philadelphia Electric Company,</w:t>
        </w:r>
        <w:r w:rsidRPr="0027544D">
          <w:rPr>
            <w:rFonts w:eastAsia="Times New Roman"/>
            <w:sz w:val="26"/>
            <w:szCs w:val="26"/>
          </w:rPr>
          <w:t xml:space="preserve"> 54 Pa. P.U.C. 98 (1980)</w:t>
        </w:r>
      </w:hyperlink>
      <w:r w:rsidR="00B250B9">
        <w:rPr>
          <w:rFonts w:eastAsia="Times New Roman"/>
          <w:sz w:val="26"/>
          <w:szCs w:val="26"/>
        </w:rPr>
        <w:t xml:space="preserve"> (</w:t>
      </w:r>
      <w:r w:rsidR="00B250B9">
        <w:rPr>
          <w:rFonts w:eastAsia="Times New Roman"/>
          <w:i/>
          <w:sz w:val="26"/>
          <w:szCs w:val="26"/>
        </w:rPr>
        <w:t>Waldron</w:t>
      </w:r>
      <w:r w:rsidR="00B250B9">
        <w:rPr>
          <w:rFonts w:eastAsia="Times New Roman"/>
          <w:sz w:val="26"/>
          <w:szCs w:val="26"/>
        </w:rPr>
        <w:t>)</w:t>
      </w:r>
      <w:r w:rsidRPr="0027544D">
        <w:rPr>
          <w:rFonts w:eastAsia="Times New Roman"/>
          <w:sz w:val="26"/>
          <w:szCs w:val="26"/>
        </w:rPr>
        <w:t xml:space="preserve">, and its progeny. </w:t>
      </w:r>
      <w:r w:rsidR="00B250B9">
        <w:rPr>
          <w:rFonts w:eastAsia="Times New Roman"/>
          <w:sz w:val="26"/>
          <w:szCs w:val="26"/>
        </w:rPr>
        <w:t xml:space="preserve"> </w:t>
      </w:r>
      <w:r w:rsidRPr="0027544D">
        <w:rPr>
          <w:rFonts w:eastAsia="Times New Roman"/>
          <w:sz w:val="26"/>
          <w:szCs w:val="26"/>
        </w:rPr>
        <w:t xml:space="preserve">In </w:t>
      </w:r>
      <w:r w:rsidRPr="0027544D">
        <w:rPr>
          <w:rFonts w:eastAsia="Times New Roman"/>
          <w:bCs/>
          <w:i/>
          <w:iCs/>
          <w:sz w:val="26"/>
          <w:szCs w:val="26"/>
        </w:rPr>
        <w:t>Waldron</w:t>
      </w:r>
      <w:r w:rsidRPr="0027544D">
        <w:rPr>
          <w:rFonts w:eastAsia="Times New Roman"/>
          <w:sz w:val="26"/>
          <w:szCs w:val="26"/>
        </w:rPr>
        <w:t xml:space="preserve">, we stated that while the accuracy of the meter is an important factor in resolving billing disputes, it is not the sole criterion.  </w:t>
      </w:r>
      <w:r w:rsidR="00837378">
        <w:rPr>
          <w:rFonts w:eastAsia="Times New Roman"/>
          <w:sz w:val="26"/>
          <w:szCs w:val="26"/>
        </w:rPr>
        <w:t xml:space="preserve">We indicated that we would also consider </w:t>
      </w:r>
      <w:r w:rsidRPr="0027544D">
        <w:rPr>
          <w:rFonts w:eastAsia="Times New Roman"/>
          <w:sz w:val="26"/>
          <w:szCs w:val="26"/>
        </w:rPr>
        <w:t xml:space="preserve">the following factors: the billing history of the complainant; any change in the number of occupants residing at the household; the potential for energy utilization; and any other relevant facts or circumstances that are brought to light during the complaint proceeding. </w:t>
      </w:r>
      <w:r w:rsidR="00F73C23">
        <w:rPr>
          <w:rFonts w:eastAsia="Times New Roman"/>
          <w:sz w:val="26"/>
          <w:szCs w:val="26"/>
        </w:rPr>
        <w:t xml:space="preserve"> </w:t>
      </w:r>
      <w:r w:rsidRPr="0027544D">
        <w:rPr>
          <w:rFonts w:eastAsia="Times New Roman"/>
          <w:bCs/>
          <w:i/>
          <w:iCs/>
          <w:sz w:val="26"/>
          <w:szCs w:val="26"/>
        </w:rPr>
        <w:t>Waldron</w:t>
      </w:r>
      <w:r w:rsidRPr="0027544D">
        <w:rPr>
          <w:rFonts w:eastAsia="Times New Roman"/>
          <w:sz w:val="26"/>
          <w:szCs w:val="26"/>
        </w:rPr>
        <w:t xml:space="preserve"> at 100.</w:t>
      </w:r>
    </w:p>
    <w:p w14:paraId="3EA8D6D1" w14:textId="77777777" w:rsidR="0027544D" w:rsidRPr="0027544D" w:rsidRDefault="0027544D" w:rsidP="002A6A08">
      <w:pPr>
        <w:ind w:firstLine="0"/>
        <w:contextualSpacing/>
        <w:jc w:val="left"/>
        <w:rPr>
          <w:rFonts w:eastAsia="Times New Roman"/>
          <w:sz w:val="26"/>
          <w:szCs w:val="26"/>
        </w:rPr>
      </w:pPr>
    </w:p>
    <w:p w14:paraId="6E45D322" w14:textId="77777777" w:rsidR="0027544D" w:rsidRPr="0027544D" w:rsidRDefault="0027544D" w:rsidP="002A6A08">
      <w:pPr>
        <w:ind w:firstLine="0"/>
        <w:contextualSpacing/>
        <w:jc w:val="left"/>
        <w:rPr>
          <w:rFonts w:eastAsia="Times New Roman"/>
          <w:sz w:val="26"/>
          <w:szCs w:val="26"/>
        </w:rPr>
      </w:pPr>
      <w:r w:rsidRPr="0027544D">
        <w:rPr>
          <w:rFonts w:eastAsia="Times New Roman"/>
          <w:sz w:val="26"/>
          <w:szCs w:val="26"/>
        </w:rPr>
        <w:tab/>
      </w:r>
      <w:r w:rsidRPr="0027544D">
        <w:rPr>
          <w:rFonts w:eastAsia="Times New Roman"/>
          <w:sz w:val="26"/>
          <w:szCs w:val="26"/>
        </w:rPr>
        <w:tab/>
      </w:r>
      <w:r w:rsidR="00837378">
        <w:rPr>
          <w:rFonts w:eastAsia="Times New Roman"/>
          <w:sz w:val="26"/>
          <w:szCs w:val="26"/>
        </w:rPr>
        <w:t>We</w:t>
      </w:r>
      <w:r w:rsidRPr="0027544D">
        <w:rPr>
          <w:rFonts w:eastAsia="Times New Roman"/>
          <w:sz w:val="26"/>
          <w:szCs w:val="26"/>
        </w:rPr>
        <w:t xml:space="preserve"> explained the burden of proof set forth in </w:t>
      </w:r>
      <w:r w:rsidRPr="0027544D">
        <w:rPr>
          <w:rFonts w:eastAsia="Times New Roman"/>
          <w:bCs/>
          <w:i/>
          <w:iCs/>
          <w:sz w:val="26"/>
          <w:szCs w:val="26"/>
        </w:rPr>
        <w:t>Waldron</w:t>
      </w:r>
      <w:r w:rsidRPr="0027544D">
        <w:rPr>
          <w:rFonts w:eastAsia="Times New Roman"/>
          <w:sz w:val="26"/>
          <w:szCs w:val="26"/>
        </w:rPr>
        <w:t xml:space="preserve"> as follows:</w:t>
      </w:r>
    </w:p>
    <w:p w14:paraId="07C1BCEF" w14:textId="77777777" w:rsidR="0027544D" w:rsidRPr="0027544D" w:rsidRDefault="0027544D" w:rsidP="002A6A08">
      <w:pPr>
        <w:ind w:firstLine="0"/>
        <w:contextualSpacing/>
        <w:jc w:val="left"/>
        <w:rPr>
          <w:rFonts w:eastAsia="Times New Roman"/>
          <w:sz w:val="26"/>
          <w:szCs w:val="26"/>
        </w:rPr>
      </w:pPr>
    </w:p>
    <w:p w14:paraId="2E79E0C9" w14:textId="77777777" w:rsidR="0027544D" w:rsidRPr="0027544D" w:rsidRDefault="0027544D" w:rsidP="002A6A08">
      <w:pPr>
        <w:spacing w:line="240" w:lineRule="auto"/>
        <w:ind w:left="1440" w:right="1440" w:firstLine="0"/>
        <w:contextualSpacing/>
        <w:jc w:val="left"/>
        <w:rPr>
          <w:rFonts w:eastAsia="Times New Roman"/>
          <w:sz w:val="26"/>
          <w:szCs w:val="26"/>
        </w:rPr>
      </w:pPr>
      <w:r w:rsidRPr="0027544D">
        <w:rPr>
          <w:rFonts w:eastAsia="Times New Roman"/>
          <w:sz w:val="26"/>
          <w:szCs w:val="26"/>
        </w:rPr>
        <w:t xml:space="preserve">[T]he </w:t>
      </w:r>
      <w:r w:rsidRPr="0027544D">
        <w:rPr>
          <w:rFonts w:eastAsia="Times New Roman"/>
          <w:bCs/>
          <w:i/>
          <w:iCs/>
          <w:sz w:val="26"/>
          <w:szCs w:val="26"/>
        </w:rPr>
        <w:t>Waldron</w:t>
      </w:r>
      <w:r w:rsidRPr="0027544D">
        <w:rPr>
          <w:rFonts w:eastAsia="Times New Roman"/>
          <w:sz w:val="26"/>
          <w:szCs w:val="26"/>
        </w:rPr>
        <w:t xml:space="preserve"> Rule allows a complainant to establish a </w:t>
      </w:r>
      <w:r w:rsidRPr="0027544D">
        <w:rPr>
          <w:rFonts w:eastAsia="Times New Roman"/>
          <w:i/>
          <w:iCs/>
          <w:sz w:val="26"/>
          <w:szCs w:val="26"/>
        </w:rPr>
        <w:t>prima facie</w:t>
      </w:r>
      <w:r w:rsidRPr="0027544D">
        <w:rPr>
          <w:rFonts w:eastAsia="Times New Roman"/>
          <w:sz w:val="26"/>
          <w:szCs w:val="26"/>
        </w:rPr>
        <w:t xml:space="preserve"> case in a “high bill” complaint by showing that the disputed bill is abnormally high when compared to prior usage patterns and his or her pattern of usage has not changed </w:t>
      </w:r>
      <w:r w:rsidRPr="0027544D">
        <w:rPr>
          <w:rFonts w:eastAsia="Times New Roman"/>
          <w:i/>
          <w:iCs/>
          <w:sz w:val="26"/>
          <w:szCs w:val="26"/>
        </w:rPr>
        <w:t>or by providing other relevant evidence showing that the disputed bill is unreasonably high</w:t>
      </w:r>
      <w:r w:rsidRPr="0027544D">
        <w:rPr>
          <w:rFonts w:eastAsia="Times New Roman"/>
          <w:sz w:val="26"/>
          <w:szCs w:val="26"/>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Pr="0027544D">
        <w:rPr>
          <w:rFonts w:eastAsia="Times New Roman"/>
          <w:i/>
          <w:iCs/>
          <w:sz w:val="26"/>
          <w:szCs w:val="26"/>
        </w:rPr>
        <w:t>and any other relevant facts or circumstances that come to light during the proceeding</w:t>
      </w:r>
      <w:r w:rsidRPr="0027544D">
        <w:rPr>
          <w:rFonts w:eastAsia="Times New Roman"/>
          <w:sz w:val="26"/>
          <w:szCs w:val="26"/>
        </w:rPr>
        <w:t>.”</w:t>
      </w:r>
    </w:p>
    <w:p w14:paraId="14B14F32" w14:textId="77777777" w:rsidR="0027544D" w:rsidRPr="0027544D" w:rsidRDefault="0027544D" w:rsidP="002A6A08">
      <w:pPr>
        <w:ind w:firstLine="0"/>
        <w:contextualSpacing/>
        <w:jc w:val="left"/>
        <w:rPr>
          <w:rFonts w:eastAsia="Times New Roman"/>
          <w:i/>
          <w:iCs/>
          <w:sz w:val="26"/>
          <w:szCs w:val="26"/>
        </w:rPr>
      </w:pPr>
    </w:p>
    <w:p w14:paraId="7137F246" w14:textId="16CF970D" w:rsidR="0027544D" w:rsidRDefault="0027544D" w:rsidP="00BB7E0F">
      <w:pPr>
        <w:ind w:firstLine="0"/>
        <w:contextualSpacing/>
        <w:jc w:val="left"/>
        <w:rPr>
          <w:rFonts w:eastAsia="Times New Roman"/>
          <w:sz w:val="26"/>
          <w:szCs w:val="26"/>
        </w:rPr>
      </w:pPr>
      <w:r w:rsidRPr="0027544D">
        <w:rPr>
          <w:rFonts w:eastAsia="Times New Roman"/>
          <w:i/>
          <w:iCs/>
          <w:sz w:val="26"/>
          <w:szCs w:val="26"/>
        </w:rPr>
        <w:t>Thomas v. PECO Energy Company,</w:t>
      </w:r>
      <w:r w:rsidRPr="0027544D">
        <w:rPr>
          <w:rFonts w:eastAsia="Times New Roman"/>
          <w:sz w:val="26"/>
          <w:szCs w:val="26"/>
        </w:rPr>
        <w:t xml:space="preserve"> Docket No. C-2010-2187197 (Order entered November 15, 2011) at 5 (quoting </w:t>
      </w:r>
      <w:r w:rsidRPr="0027544D">
        <w:rPr>
          <w:rFonts w:eastAsia="Times New Roman"/>
          <w:i/>
          <w:iCs/>
          <w:sz w:val="26"/>
          <w:szCs w:val="26"/>
        </w:rPr>
        <w:t>Bennett v. The Peoples Natural Gas Company,</w:t>
      </w:r>
      <w:r w:rsidRPr="0027544D">
        <w:rPr>
          <w:rFonts w:eastAsia="Times New Roman"/>
          <w:sz w:val="26"/>
          <w:szCs w:val="26"/>
        </w:rPr>
        <w:t xml:space="preserve"> Docket No. C-2009-2122979 (Order entered October 13, 2010) (emphasis in original)</w:t>
      </w:r>
      <w:r w:rsidR="00F31FEC">
        <w:rPr>
          <w:rFonts w:eastAsia="Times New Roman"/>
          <w:sz w:val="26"/>
          <w:szCs w:val="26"/>
        </w:rPr>
        <w:t>)</w:t>
      </w:r>
      <w:r w:rsidRPr="0027544D">
        <w:rPr>
          <w:rFonts w:eastAsia="Times New Roman"/>
          <w:sz w:val="26"/>
          <w:szCs w:val="26"/>
        </w:rPr>
        <w:t>.</w:t>
      </w:r>
    </w:p>
    <w:p w14:paraId="0A5661B7" w14:textId="4A58E2EF" w:rsidR="004B7217" w:rsidRDefault="004B7217" w:rsidP="00CD1D7B">
      <w:pPr>
        <w:ind w:firstLine="0"/>
        <w:contextualSpacing/>
        <w:jc w:val="left"/>
        <w:rPr>
          <w:rFonts w:ascii="Times New (W1)" w:hAnsi="Times New (W1)"/>
          <w:sz w:val="26"/>
        </w:rPr>
      </w:pPr>
    </w:p>
    <w:p w14:paraId="489A20C6" w14:textId="4EF51DFA" w:rsidR="001D31AF" w:rsidRPr="00E51505" w:rsidRDefault="001D31AF" w:rsidP="00EF1FC5">
      <w:pPr>
        <w:keepNext/>
        <w:keepLines/>
        <w:autoSpaceDE w:val="0"/>
        <w:autoSpaceDN w:val="0"/>
        <w:adjustRightInd w:val="0"/>
        <w:spacing w:line="240" w:lineRule="auto"/>
        <w:ind w:left="720" w:hanging="720"/>
        <w:contextualSpacing/>
        <w:jc w:val="left"/>
        <w:rPr>
          <w:b/>
          <w:sz w:val="26"/>
          <w:szCs w:val="26"/>
        </w:rPr>
      </w:pPr>
      <w:r>
        <w:rPr>
          <w:rFonts w:eastAsiaTheme="minorHAnsi"/>
          <w:b/>
          <w:sz w:val="26"/>
          <w:szCs w:val="26"/>
        </w:rPr>
        <w:t>B</w:t>
      </w:r>
      <w:r w:rsidRPr="005A46A8">
        <w:rPr>
          <w:rFonts w:eastAsiaTheme="minorHAnsi"/>
          <w:b/>
          <w:sz w:val="26"/>
          <w:szCs w:val="26"/>
        </w:rPr>
        <w:t>.</w:t>
      </w:r>
      <w:r w:rsidRPr="005A46A8">
        <w:rPr>
          <w:rFonts w:eastAsiaTheme="minorHAnsi"/>
          <w:b/>
          <w:sz w:val="26"/>
          <w:szCs w:val="26"/>
        </w:rPr>
        <w:tab/>
      </w:r>
      <w:r w:rsidRPr="00E51505">
        <w:rPr>
          <w:b/>
          <w:sz w:val="26"/>
          <w:szCs w:val="26"/>
        </w:rPr>
        <w:t>Claims Precluded Based on the Statute of Limitations and Allegation of Improper Billing for Service at the Easton Service Address</w:t>
      </w:r>
    </w:p>
    <w:p w14:paraId="5BCC60BC" w14:textId="20D9DBDC" w:rsidR="001D31AF" w:rsidRDefault="001D31AF" w:rsidP="00EF1FC5">
      <w:pPr>
        <w:keepNext/>
        <w:keepLines/>
        <w:ind w:firstLine="1440"/>
        <w:contextualSpacing/>
        <w:jc w:val="left"/>
        <w:rPr>
          <w:rFonts w:ascii="Times New (W1)" w:hAnsi="Times New (W1)"/>
          <w:sz w:val="26"/>
        </w:rPr>
      </w:pPr>
    </w:p>
    <w:p w14:paraId="61072D04" w14:textId="7EC3ADCA" w:rsidR="00CD1D7B" w:rsidRDefault="00CD1D7B" w:rsidP="00EF1FC5">
      <w:pPr>
        <w:keepNext/>
        <w:keepLines/>
        <w:numPr>
          <w:ilvl w:val="0"/>
          <w:numId w:val="11"/>
        </w:numPr>
        <w:autoSpaceDE w:val="0"/>
        <w:autoSpaceDN w:val="0"/>
        <w:adjustRightInd w:val="0"/>
        <w:ind w:left="1440" w:hanging="720"/>
        <w:contextualSpacing/>
        <w:jc w:val="left"/>
        <w:rPr>
          <w:b/>
          <w:sz w:val="26"/>
          <w:szCs w:val="26"/>
        </w:rPr>
      </w:pPr>
      <w:r>
        <w:rPr>
          <w:b/>
          <w:sz w:val="26"/>
          <w:szCs w:val="26"/>
        </w:rPr>
        <w:t>ALJ’s Initial Decision</w:t>
      </w:r>
    </w:p>
    <w:p w14:paraId="33EF29D3" w14:textId="0CB25EA8" w:rsidR="00D73BD4" w:rsidRDefault="00D73BD4" w:rsidP="00EF1FC5">
      <w:pPr>
        <w:keepNext/>
        <w:keepLines/>
        <w:autoSpaceDE w:val="0"/>
        <w:autoSpaceDN w:val="0"/>
        <w:adjustRightInd w:val="0"/>
        <w:ind w:left="1440" w:firstLine="0"/>
        <w:contextualSpacing/>
        <w:jc w:val="left"/>
        <w:rPr>
          <w:b/>
          <w:sz w:val="26"/>
          <w:szCs w:val="26"/>
        </w:rPr>
      </w:pPr>
    </w:p>
    <w:p w14:paraId="559128EE" w14:textId="5F2D9D4E" w:rsidR="00D73BD4" w:rsidRDefault="00D73BD4" w:rsidP="00EF1FC5">
      <w:pPr>
        <w:pStyle w:val="ListParagraph"/>
        <w:keepNext/>
        <w:keepLines/>
        <w:numPr>
          <w:ilvl w:val="1"/>
          <w:numId w:val="11"/>
        </w:numPr>
        <w:autoSpaceDE w:val="0"/>
        <w:autoSpaceDN w:val="0"/>
        <w:adjustRightInd w:val="0"/>
        <w:ind w:left="2160" w:hanging="720"/>
        <w:jc w:val="left"/>
        <w:rPr>
          <w:b/>
          <w:sz w:val="26"/>
          <w:szCs w:val="26"/>
        </w:rPr>
      </w:pPr>
      <w:r w:rsidRPr="00D73BD4">
        <w:rPr>
          <w:b/>
          <w:sz w:val="26"/>
          <w:szCs w:val="26"/>
        </w:rPr>
        <w:t>Claims Precluded Based on Statute of Limitations</w:t>
      </w:r>
    </w:p>
    <w:p w14:paraId="73F8A827" w14:textId="7BFBB92A" w:rsidR="00D73BD4" w:rsidRDefault="00D73BD4" w:rsidP="00EF1FC5">
      <w:pPr>
        <w:keepNext/>
        <w:keepLines/>
        <w:autoSpaceDE w:val="0"/>
        <w:autoSpaceDN w:val="0"/>
        <w:adjustRightInd w:val="0"/>
        <w:jc w:val="left"/>
        <w:rPr>
          <w:b/>
          <w:sz w:val="26"/>
          <w:szCs w:val="26"/>
        </w:rPr>
      </w:pPr>
    </w:p>
    <w:p w14:paraId="6DB54B88" w14:textId="77777777" w:rsidR="00D73BD4" w:rsidRPr="00D73BD4" w:rsidRDefault="00D73BD4" w:rsidP="00D73BD4">
      <w:pPr>
        <w:autoSpaceDE w:val="0"/>
        <w:autoSpaceDN w:val="0"/>
        <w:adjustRightInd w:val="0"/>
        <w:ind w:firstLine="1440"/>
        <w:contextualSpacing/>
        <w:jc w:val="left"/>
        <w:rPr>
          <w:rFonts w:eastAsia="Times New Roman"/>
          <w:sz w:val="26"/>
          <w:szCs w:val="26"/>
        </w:rPr>
      </w:pPr>
      <w:r w:rsidRPr="00D73BD4">
        <w:rPr>
          <w:sz w:val="26"/>
          <w:szCs w:val="26"/>
        </w:rPr>
        <w:t xml:space="preserve">In addition to considerations involving the burden of proof, the billing controversy between the Complainant and PECO spanned a period of approximately thirteen years (2003 – 2016).  Based on the foregoing, the Code’s statute of limitations was implicated.  ALJ Vero pointed to </w:t>
      </w:r>
      <w:r w:rsidRPr="00D73BD4">
        <w:rPr>
          <w:rFonts w:eastAsia="Times New Roman"/>
          <w:sz w:val="26"/>
          <w:szCs w:val="26"/>
        </w:rPr>
        <w:t xml:space="preserve">Section 3314(a) of the Code, 66 Pa. C.S. § 3314(a), which establishes a general limitations period of three years for the prosecution of any action under the Code, except as otherwise provided.  I.D. at 20, citing </w:t>
      </w:r>
      <w:r w:rsidRPr="00D73BD4">
        <w:rPr>
          <w:rFonts w:eastAsia="Times New Roman"/>
          <w:i/>
          <w:sz w:val="26"/>
          <w:szCs w:val="26"/>
        </w:rPr>
        <w:t xml:space="preserve">Duquesne Light Co. v. Pa. PUC, </w:t>
      </w:r>
      <w:r w:rsidRPr="00D73BD4">
        <w:rPr>
          <w:rFonts w:eastAsia="Times New Roman"/>
          <w:sz w:val="26"/>
          <w:szCs w:val="26"/>
        </w:rPr>
        <w:t xml:space="preserve">611 A.2d 370 (Pa. Cmwlth. 1992) </w:t>
      </w:r>
      <w:r w:rsidRPr="00D73BD4">
        <w:rPr>
          <w:rFonts w:eastAsia="Times New Roman"/>
          <w:i/>
          <w:sz w:val="26"/>
          <w:szCs w:val="26"/>
        </w:rPr>
        <w:t>(Duquesne)</w:t>
      </w:r>
      <w:r w:rsidRPr="00D73BD4">
        <w:rPr>
          <w:rFonts w:eastAsia="Times New Roman"/>
          <w:sz w:val="26"/>
          <w:szCs w:val="26"/>
        </w:rPr>
        <w:t xml:space="preserve">.  The ALJ noted, however, that the statute of limitations can be tolled by the application of the doctrine of equitable estoppel.  I.D. at 20., citing </w:t>
      </w:r>
      <w:r w:rsidRPr="00D73BD4">
        <w:rPr>
          <w:i/>
          <w:sz w:val="26"/>
          <w:szCs w:val="26"/>
        </w:rPr>
        <w:t>Lester Ely v. Pa. American Water Compan</w:t>
      </w:r>
      <w:r w:rsidRPr="00D73BD4">
        <w:rPr>
          <w:sz w:val="26"/>
          <w:szCs w:val="26"/>
        </w:rPr>
        <w:t>y, Docket No. C-20055616 (Order entered July 10, 2006) (</w:t>
      </w:r>
      <w:r w:rsidRPr="00D73BD4">
        <w:rPr>
          <w:i/>
          <w:sz w:val="26"/>
          <w:szCs w:val="26"/>
        </w:rPr>
        <w:t>Ely</w:t>
      </w:r>
      <w:r w:rsidRPr="00D73BD4">
        <w:rPr>
          <w:sz w:val="26"/>
          <w:szCs w:val="26"/>
        </w:rPr>
        <w:t xml:space="preserve">).  Also, the statute of limitations may be tolled by the filing of an informal complaint with the Commission.  </w:t>
      </w:r>
      <w:r w:rsidRPr="00D73BD4">
        <w:rPr>
          <w:rFonts w:eastAsia="Times New Roman"/>
          <w:i/>
          <w:sz w:val="26"/>
          <w:szCs w:val="26"/>
        </w:rPr>
        <w:t>See</w:t>
      </w:r>
      <w:r w:rsidRPr="00D73BD4">
        <w:rPr>
          <w:rFonts w:eastAsia="Times New Roman"/>
          <w:sz w:val="26"/>
          <w:szCs w:val="26"/>
        </w:rPr>
        <w:t xml:space="preserve"> </w:t>
      </w:r>
      <w:r w:rsidRPr="00D73BD4">
        <w:rPr>
          <w:rFonts w:eastAsia="Times New Roman"/>
          <w:i/>
          <w:sz w:val="26"/>
          <w:szCs w:val="26"/>
        </w:rPr>
        <w:t xml:space="preserve">Duquesne </w:t>
      </w:r>
      <w:r w:rsidRPr="00D73BD4">
        <w:rPr>
          <w:rFonts w:eastAsia="Times New Roman"/>
          <w:sz w:val="26"/>
          <w:szCs w:val="26"/>
        </w:rPr>
        <w:t>at 383.  I.D. at 20.</w:t>
      </w:r>
    </w:p>
    <w:p w14:paraId="5F1F955E" w14:textId="77777777" w:rsidR="00D73BD4" w:rsidRPr="00D73BD4" w:rsidRDefault="00D73BD4" w:rsidP="00D73BD4">
      <w:pPr>
        <w:autoSpaceDE w:val="0"/>
        <w:autoSpaceDN w:val="0"/>
        <w:adjustRightInd w:val="0"/>
        <w:ind w:firstLine="1440"/>
        <w:contextualSpacing/>
        <w:jc w:val="left"/>
        <w:rPr>
          <w:sz w:val="26"/>
          <w:szCs w:val="26"/>
        </w:rPr>
      </w:pPr>
    </w:p>
    <w:p w14:paraId="59B225D1" w14:textId="77777777" w:rsidR="00D73BD4" w:rsidRPr="00D73BD4" w:rsidRDefault="00D73BD4" w:rsidP="00D73BD4">
      <w:pPr>
        <w:ind w:firstLine="1440"/>
        <w:contextualSpacing/>
        <w:jc w:val="left"/>
        <w:rPr>
          <w:rFonts w:eastAsia="Times New Roman"/>
          <w:sz w:val="26"/>
          <w:szCs w:val="26"/>
        </w:rPr>
      </w:pPr>
      <w:r w:rsidRPr="00D73BD4">
        <w:rPr>
          <w:rFonts w:eastAsia="Times New Roman"/>
          <w:sz w:val="26"/>
          <w:szCs w:val="26"/>
        </w:rPr>
        <w:t xml:space="preserve">ALJ Vero considered the holdings of </w:t>
      </w:r>
      <w:r w:rsidRPr="00D73BD4">
        <w:rPr>
          <w:rFonts w:eastAsia="Times New Roman"/>
          <w:i/>
          <w:sz w:val="26"/>
          <w:szCs w:val="26"/>
        </w:rPr>
        <w:t xml:space="preserve">Duquesne </w:t>
      </w:r>
      <w:r w:rsidRPr="00D73BD4">
        <w:rPr>
          <w:rFonts w:eastAsia="Times New Roman"/>
          <w:sz w:val="26"/>
          <w:szCs w:val="26"/>
        </w:rPr>
        <w:t xml:space="preserve">and </w:t>
      </w:r>
      <w:r w:rsidRPr="00D73BD4">
        <w:rPr>
          <w:i/>
          <w:sz w:val="26"/>
          <w:szCs w:val="26"/>
        </w:rPr>
        <w:t>Ely</w:t>
      </w:r>
      <w:r w:rsidRPr="00D73BD4">
        <w:rPr>
          <w:sz w:val="26"/>
          <w:szCs w:val="26"/>
        </w:rPr>
        <w:t xml:space="preserve">, </w:t>
      </w:r>
      <w:r w:rsidRPr="00D73BD4">
        <w:rPr>
          <w:i/>
          <w:sz w:val="26"/>
          <w:szCs w:val="26"/>
        </w:rPr>
        <w:t>supra,</w:t>
      </w:r>
      <w:r w:rsidRPr="00D73BD4">
        <w:rPr>
          <w:rFonts w:eastAsia="Times New Roman"/>
          <w:sz w:val="26"/>
          <w:szCs w:val="26"/>
        </w:rPr>
        <w:t xml:space="preserve"> for their application to the facts in this proceeding.  The testimony of Mr. Mostafa, on behalf of the Complainant, and related documents that summarized and recorded the interaction between the Complainant and PECO regarding the Jenkintown Service Address was reviewed by ALJ Vero to ascertain whether the statute of limitations should be tolled based on the precedent of </w:t>
      </w:r>
      <w:r w:rsidRPr="00D73BD4">
        <w:rPr>
          <w:i/>
          <w:sz w:val="26"/>
          <w:szCs w:val="26"/>
        </w:rPr>
        <w:t>Ely</w:t>
      </w:r>
      <w:r w:rsidRPr="00D73BD4">
        <w:rPr>
          <w:sz w:val="26"/>
          <w:szCs w:val="26"/>
        </w:rPr>
        <w:t xml:space="preserve">.  </w:t>
      </w:r>
      <w:r w:rsidRPr="00D73BD4">
        <w:rPr>
          <w:i/>
          <w:sz w:val="26"/>
          <w:szCs w:val="26"/>
        </w:rPr>
        <w:t>Ely</w:t>
      </w:r>
      <w:r w:rsidRPr="00D73BD4">
        <w:rPr>
          <w:sz w:val="26"/>
          <w:szCs w:val="26"/>
        </w:rPr>
        <w:t xml:space="preserve"> was</w:t>
      </w:r>
      <w:r w:rsidRPr="00D73BD4">
        <w:rPr>
          <w:rFonts w:eastAsia="Times New Roman"/>
          <w:sz w:val="26"/>
          <w:szCs w:val="26"/>
        </w:rPr>
        <w:t xml:space="preserve"> cited for the proposition that the Commission’s statute of limitations could be tolled based on a finding </w:t>
      </w:r>
      <w:r w:rsidRPr="00D73BD4">
        <w:rPr>
          <w:sz w:val="26"/>
          <w:szCs w:val="26"/>
        </w:rPr>
        <w:t xml:space="preserve">that PECO’s actions or statements with regard to the bills either misled the Complainant or caused the Complainant to, essentially, relax its vigilance in pursuing formal or informal action before the Commission.  </w:t>
      </w:r>
      <w:r w:rsidRPr="00D73BD4">
        <w:rPr>
          <w:rFonts w:eastAsia="Times New Roman"/>
          <w:sz w:val="26"/>
          <w:szCs w:val="26"/>
        </w:rPr>
        <w:t>I.D. at 20-21.</w:t>
      </w:r>
    </w:p>
    <w:p w14:paraId="2261A7A2" w14:textId="77777777" w:rsidR="00D73BD4" w:rsidRPr="00D73BD4" w:rsidRDefault="00D73BD4" w:rsidP="00D73BD4">
      <w:pPr>
        <w:autoSpaceDE w:val="0"/>
        <w:autoSpaceDN w:val="0"/>
        <w:adjustRightInd w:val="0"/>
        <w:ind w:firstLine="1440"/>
        <w:contextualSpacing/>
        <w:jc w:val="left"/>
        <w:rPr>
          <w:sz w:val="26"/>
          <w:szCs w:val="26"/>
        </w:rPr>
      </w:pPr>
    </w:p>
    <w:p w14:paraId="1768AA20" w14:textId="77777777" w:rsidR="00D73BD4" w:rsidRPr="00D73BD4" w:rsidRDefault="00D73BD4" w:rsidP="00D73BD4">
      <w:pPr>
        <w:autoSpaceDE w:val="0"/>
        <w:autoSpaceDN w:val="0"/>
        <w:adjustRightInd w:val="0"/>
        <w:ind w:firstLine="1440"/>
        <w:contextualSpacing/>
        <w:jc w:val="left"/>
        <w:rPr>
          <w:sz w:val="26"/>
          <w:szCs w:val="26"/>
        </w:rPr>
      </w:pPr>
      <w:r w:rsidRPr="00D73BD4">
        <w:rPr>
          <w:sz w:val="26"/>
          <w:szCs w:val="26"/>
        </w:rPr>
        <w:t>ALJ Vero noted Mr. Mostafa’s testimony, in which the Complainant asserts its long history of questioning PECO regarding its high bills and its allegations of unfair and deceptive practices, which the Complainant claims serves as an equitable basis to toll the statute of limitations.  The Complainant’s Memorandum in Support of Amended Complaint states that the Complainant “has been hobbled in his ability to protect his rights by the obfuscation on the part of PECO which failed to make timely meter readings for the account statements, kept inaccurate records in part, and the utility telling its customer that relief was not available to him from the Public Utility Commission.”  I.D. at 20-21.</w:t>
      </w:r>
    </w:p>
    <w:p w14:paraId="255350EA" w14:textId="77777777" w:rsidR="00D73BD4" w:rsidRPr="00D73BD4" w:rsidRDefault="00D73BD4" w:rsidP="00D73BD4">
      <w:pPr>
        <w:autoSpaceDE w:val="0"/>
        <w:autoSpaceDN w:val="0"/>
        <w:adjustRightInd w:val="0"/>
        <w:ind w:firstLine="1440"/>
        <w:contextualSpacing/>
        <w:jc w:val="left"/>
        <w:rPr>
          <w:sz w:val="26"/>
          <w:szCs w:val="26"/>
        </w:rPr>
      </w:pPr>
    </w:p>
    <w:p w14:paraId="0853D8D5" w14:textId="77777777" w:rsidR="00D73BD4" w:rsidRPr="00D73BD4" w:rsidRDefault="00D73BD4" w:rsidP="00D73BD4">
      <w:pPr>
        <w:autoSpaceDE w:val="0"/>
        <w:autoSpaceDN w:val="0"/>
        <w:adjustRightInd w:val="0"/>
        <w:ind w:firstLine="1440"/>
        <w:contextualSpacing/>
        <w:jc w:val="left"/>
        <w:rPr>
          <w:sz w:val="26"/>
          <w:szCs w:val="26"/>
        </w:rPr>
      </w:pPr>
      <w:r w:rsidRPr="00D73BD4">
        <w:rPr>
          <w:sz w:val="26"/>
          <w:szCs w:val="26"/>
        </w:rPr>
        <w:t xml:space="preserve">During cross-examination, Mr. Mostafa conceded that PECO never indicated that relief was not available to it from the Commission.  The information regarding the Commission’s authority had come from the BCS Informal Decision, stating that BCS does not issue written informal decisions on complaints involving commercial accounts.  Moreover, according to the ALJ, the evidence shows that, as a result of the Complainant’s informal complaint at BCS Case No. 002918963, filed on December 8, 2011, the formal complaint process was explained to the Complainant, and a formal complaint form was provided.  However, there is no record of the Complainant availing itself of the process.  </w:t>
      </w:r>
      <w:r w:rsidRPr="00D73BD4">
        <w:rPr>
          <w:rFonts w:eastAsia="Times New Roman"/>
          <w:sz w:val="26"/>
          <w:szCs w:val="26"/>
        </w:rPr>
        <w:t>I.D. at 22.</w:t>
      </w:r>
    </w:p>
    <w:p w14:paraId="13B22339" w14:textId="77777777" w:rsidR="00D73BD4" w:rsidRPr="00D73BD4" w:rsidRDefault="00D73BD4" w:rsidP="00D73BD4">
      <w:pPr>
        <w:autoSpaceDE w:val="0"/>
        <w:autoSpaceDN w:val="0"/>
        <w:adjustRightInd w:val="0"/>
        <w:ind w:firstLine="1440"/>
        <w:contextualSpacing/>
        <w:jc w:val="left"/>
        <w:rPr>
          <w:sz w:val="26"/>
          <w:szCs w:val="26"/>
        </w:rPr>
      </w:pPr>
    </w:p>
    <w:p w14:paraId="33FDEBE5" w14:textId="437B4990" w:rsidR="00D73BD4" w:rsidRDefault="00D73BD4" w:rsidP="00D73BD4">
      <w:pPr>
        <w:autoSpaceDE w:val="0"/>
        <w:autoSpaceDN w:val="0"/>
        <w:adjustRightInd w:val="0"/>
        <w:ind w:firstLine="1440"/>
        <w:contextualSpacing/>
        <w:jc w:val="left"/>
        <w:rPr>
          <w:sz w:val="26"/>
          <w:szCs w:val="26"/>
        </w:rPr>
      </w:pPr>
      <w:r w:rsidRPr="00D73BD4">
        <w:rPr>
          <w:sz w:val="26"/>
          <w:szCs w:val="26"/>
        </w:rPr>
        <w:t>On consideration of the Code’s statute of limitations, ALJ Vero made the following conclusion concerning the Complainant’s overbilling claims dating back to 2003:</w:t>
      </w:r>
    </w:p>
    <w:p w14:paraId="1A0A229C" w14:textId="77777777" w:rsidR="006F7D4A" w:rsidRPr="00D73BD4" w:rsidRDefault="006F7D4A" w:rsidP="00D73BD4">
      <w:pPr>
        <w:autoSpaceDE w:val="0"/>
        <w:autoSpaceDN w:val="0"/>
        <w:adjustRightInd w:val="0"/>
        <w:ind w:firstLine="1440"/>
        <w:contextualSpacing/>
        <w:jc w:val="left"/>
        <w:rPr>
          <w:sz w:val="26"/>
          <w:szCs w:val="26"/>
        </w:rPr>
      </w:pPr>
    </w:p>
    <w:p w14:paraId="2F4F6DC9" w14:textId="77777777" w:rsidR="00D73BD4" w:rsidRPr="00D73BD4" w:rsidRDefault="00D73BD4" w:rsidP="00D73BD4">
      <w:pPr>
        <w:spacing w:line="240" w:lineRule="auto"/>
        <w:ind w:left="1440" w:right="1440" w:firstLine="0"/>
        <w:contextualSpacing/>
        <w:jc w:val="left"/>
        <w:rPr>
          <w:rFonts w:eastAsia="Times New Roman"/>
          <w:sz w:val="26"/>
          <w:szCs w:val="26"/>
        </w:rPr>
      </w:pPr>
      <w:r w:rsidRPr="00D73BD4">
        <w:rPr>
          <w:rFonts w:eastAsia="Times New Roman"/>
          <w:sz w:val="26"/>
          <w:szCs w:val="26"/>
        </w:rPr>
        <w:t xml:space="preserve">After considering Mr. Mostafa’s testimony, I found that none of the events or statements listed warranted the tolling of the statute of limitations for any of the Complainant’s claims.  Tr. 141.  The Complainant failed to make a </w:t>
      </w:r>
      <w:r w:rsidRPr="00D73BD4">
        <w:rPr>
          <w:rFonts w:eastAsia="Times New Roman"/>
          <w:i/>
          <w:sz w:val="26"/>
          <w:szCs w:val="26"/>
        </w:rPr>
        <w:t>prima facie</w:t>
      </w:r>
      <w:r w:rsidRPr="00D73BD4">
        <w:rPr>
          <w:rFonts w:eastAsia="Times New Roman"/>
          <w:sz w:val="26"/>
          <w:szCs w:val="26"/>
        </w:rPr>
        <w:t xml:space="preserve"> case that PECO engaged in fraud or concealment causing the Complainant to deviate from its right of inquiry into the facts.</w:t>
      </w:r>
    </w:p>
    <w:p w14:paraId="15337756" w14:textId="77777777" w:rsidR="00D73BD4" w:rsidRPr="00D73BD4" w:rsidRDefault="00D73BD4" w:rsidP="00D73BD4">
      <w:pPr>
        <w:ind w:right="1440" w:firstLine="0"/>
        <w:contextualSpacing/>
        <w:jc w:val="left"/>
        <w:rPr>
          <w:rFonts w:eastAsia="Times New Roman"/>
          <w:sz w:val="26"/>
          <w:szCs w:val="26"/>
        </w:rPr>
      </w:pPr>
    </w:p>
    <w:p w14:paraId="7275E45F" w14:textId="77777777" w:rsidR="00D73BD4" w:rsidRPr="00D73BD4" w:rsidRDefault="00D73BD4" w:rsidP="00D73BD4">
      <w:pPr>
        <w:ind w:right="1440" w:firstLine="0"/>
        <w:contextualSpacing/>
        <w:jc w:val="left"/>
        <w:rPr>
          <w:rFonts w:eastAsia="Times New Roman"/>
          <w:sz w:val="26"/>
          <w:szCs w:val="26"/>
        </w:rPr>
      </w:pPr>
      <w:r w:rsidRPr="00D73BD4">
        <w:rPr>
          <w:rFonts w:eastAsia="Times New Roman"/>
          <w:sz w:val="26"/>
          <w:szCs w:val="26"/>
        </w:rPr>
        <w:t>I.D. at 22.</w:t>
      </w:r>
    </w:p>
    <w:p w14:paraId="02FB6B8F" w14:textId="77777777" w:rsidR="00D73BD4" w:rsidRPr="00D73BD4" w:rsidRDefault="00D73BD4" w:rsidP="00D73BD4">
      <w:pPr>
        <w:autoSpaceDE w:val="0"/>
        <w:autoSpaceDN w:val="0"/>
        <w:adjustRightInd w:val="0"/>
        <w:ind w:left="720"/>
        <w:jc w:val="left"/>
        <w:rPr>
          <w:b/>
          <w:sz w:val="26"/>
          <w:szCs w:val="26"/>
        </w:rPr>
      </w:pPr>
    </w:p>
    <w:p w14:paraId="4F708909" w14:textId="3BE51AE9" w:rsidR="00D73BD4" w:rsidRDefault="00D73BD4" w:rsidP="00EF1FC5">
      <w:pPr>
        <w:pStyle w:val="ListParagraph"/>
        <w:keepNext/>
        <w:keepLines/>
        <w:numPr>
          <w:ilvl w:val="1"/>
          <w:numId w:val="11"/>
        </w:numPr>
        <w:autoSpaceDE w:val="0"/>
        <w:autoSpaceDN w:val="0"/>
        <w:adjustRightInd w:val="0"/>
        <w:spacing w:line="240" w:lineRule="auto"/>
        <w:ind w:left="2160" w:hanging="720"/>
        <w:jc w:val="left"/>
        <w:rPr>
          <w:b/>
          <w:sz w:val="26"/>
          <w:szCs w:val="26"/>
        </w:rPr>
      </w:pPr>
      <w:r>
        <w:rPr>
          <w:b/>
          <w:sz w:val="26"/>
          <w:szCs w:val="26"/>
        </w:rPr>
        <w:t>Allegations of Improper Billing for Service at the Easton Service Address</w:t>
      </w:r>
    </w:p>
    <w:p w14:paraId="27EB78CB" w14:textId="584DFE16" w:rsidR="00CD1D7B" w:rsidRDefault="00CD1D7B" w:rsidP="00EF1FC5">
      <w:pPr>
        <w:keepNext/>
        <w:keepLines/>
        <w:autoSpaceDE w:val="0"/>
        <w:autoSpaceDN w:val="0"/>
        <w:adjustRightInd w:val="0"/>
        <w:ind w:firstLine="0"/>
        <w:contextualSpacing/>
        <w:jc w:val="left"/>
        <w:rPr>
          <w:b/>
          <w:sz w:val="26"/>
          <w:szCs w:val="26"/>
        </w:rPr>
      </w:pPr>
    </w:p>
    <w:p w14:paraId="41C84351" w14:textId="77777777" w:rsidR="00D73BD4" w:rsidRPr="00D73BD4" w:rsidRDefault="00D73BD4" w:rsidP="00D73BD4">
      <w:pPr>
        <w:ind w:firstLine="1440"/>
        <w:contextualSpacing/>
        <w:jc w:val="left"/>
        <w:rPr>
          <w:sz w:val="26"/>
          <w:szCs w:val="26"/>
        </w:rPr>
      </w:pPr>
      <w:r w:rsidRPr="00D73BD4">
        <w:rPr>
          <w:sz w:val="26"/>
          <w:szCs w:val="26"/>
        </w:rPr>
        <w:t>The issue here is whether the Complainant sustained its burden of proof to show that PECO erred in transferring the account balance attributed to service at the Easton Service Address (Milano’s Pizzeria &amp; Family Restaurant) in the amount of $1,018.62, to the account for service at the Jenkintown Service Address (K&amp;J Pizza).  The Complainant admits that it owns K&amp;J Pizza.  However, the Complainant denies any affiliation with Milano’s Pizzeria &amp; Family Restaurant.  Tr. at 147, 158.  Nevertheless, ALJ Vero, on consideration of the record of evidence, found this to be untrue.  I.D. at 25-26.</w:t>
      </w:r>
    </w:p>
    <w:p w14:paraId="3ACB4AAD" w14:textId="41FA2C7D" w:rsidR="00D73BD4" w:rsidRPr="00D73BD4" w:rsidRDefault="00D73BD4" w:rsidP="00D73BD4">
      <w:pPr>
        <w:ind w:firstLine="0"/>
        <w:contextualSpacing/>
        <w:jc w:val="left"/>
        <w:rPr>
          <w:sz w:val="26"/>
          <w:szCs w:val="26"/>
        </w:rPr>
      </w:pPr>
    </w:p>
    <w:p w14:paraId="23FCA265" w14:textId="726CC3DB" w:rsidR="00D73BD4" w:rsidRPr="00D73BD4" w:rsidRDefault="00D73BD4" w:rsidP="00D73BD4">
      <w:pPr>
        <w:ind w:firstLine="0"/>
        <w:contextualSpacing/>
        <w:jc w:val="left"/>
        <w:rPr>
          <w:sz w:val="26"/>
          <w:szCs w:val="26"/>
        </w:rPr>
      </w:pPr>
      <w:r w:rsidRPr="00D73BD4">
        <w:rPr>
          <w:sz w:val="26"/>
          <w:szCs w:val="26"/>
        </w:rPr>
        <w:tab/>
      </w:r>
      <w:r w:rsidRPr="00D73BD4">
        <w:rPr>
          <w:sz w:val="26"/>
          <w:szCs w:val="26"/>
        </w:rPr>
        <w:tab/>
        <w:t>ALJ Vero</w:t>
      </w:r>
      <w:r w:rsidR="003D6E53">
        <w:rPr>
          <w:sz w:val="26"/>
          <w:szCs w:val="26"/>
        </w:rPr>
        <w:t xml:space="preserve"> set out </w:t>
      </w:r>
      <w:r w:rsidRPr="00D73BD4">
        <w:rPr>
          <w:sz w:val="26"/>
          <w:szCs w:val="26"/>
        </w:rPr>
        <w:t xml:space="preserve">the facts pertaining to this </w:t>
      </w:r>
      <w:r w:rsidR="00582F4B">
        <w:rPr>
          <w:sz w:val="26"/>
          <w:szCs w:val="26"/>
        </w:rPr>
        <w:t xml:space="preserve">improper billing </w:t>
      </w:r>
      <w:r w:rsidRPr="00D73BD4">
        <w:rPr>
          <w:sz w:val="26"/>
          <w:szCs w:val="26"/>
        </w:rPr>
        <w:t xml:space="preserve">issue on pages five through eight of her Initial Decision.  The Complainant, K&amp;J Pizza, has a single owner, Mr. Mostafa, a.k.a. Tony Moss.  The Complainant established electric and natural gas service at the Jenkintown Service Address.  The Complainant also established electric service for the Easton Service Address under the same name, K&amp;J Pizza, and same tax payer identification number.  Additionally, </w:t>
      </w:r>
      <w:r w:rsidR="00284008">
        <w:rPr>
          <w:sz w:val="26"/>
          <w:szCs w:val="26"/>
        </w:rPr>
        <w:t xml:space="preserve">the ALJ </w:t>
      </w:r>
      <w:r w:rsidRPr="00D73BD4">
        <w:rPr>
          <w:sz w:val="26"/>
          <w:szCs w:val="26"/>
        </w:rPr>
        <w:t xml:space="preserve">established that Milano’s Pizzeria was registered to Mr. Mostafa’s wife, </w:t>
      </w:r>
      <w:proofErr w:type="spellStart"/>
      <w:r w:rsidRPr="00D73BD4">
        <w:rPr>
          <w:sz w:val="26"/>
          <w:szCs w:val="26"/>
        </w:rPr>
        <w:t>Nesma</w:t>
      </w:r>
      <w:proofErr w:type="spellEnd"/>
      <w:r w:rsidRPr="00D73BD4">
        <w:rPr>
          <w:sz w:val="26"/>
          <w:szCs w:val="26"/>
        </w:rPr>
        <w:t xml:space="preserve"> Mohammad.  Furthermore, ALJ Vero noted that “Tony Owner” initiated an informal complaint with the Commission’s BCS, on behalf of K&amp;J Pizza, regarding service at the Easton Service Address.  Tony states in this informal complaint that the deposit is “ridiculous when he has a business with PECO at another address in good standing.”  I.D. at 6-7.</w:t>
      </w:r>
    </w:p>
    <w:p w14:paraId="2DEEC479" w14:textId="77777777" w:rsidR="00D73BD4" w:rsidRPr="00D73BD4" w:rsidRDefault="00D73BD4" w:rsidP="00D73BD4">
      <w:pPr>
        <w:ind w:firstLine="0"/>
        <w:contextualSpacing/>
        <w:jc w:val="left"/>
        <w:rPr>
          <w:sz w:val="26"/>
          <w:szCs w:val="26"/>
        </w:rPr>
      </w:pPr>
    </w:p>
    <w:p w14:paraId="3BF4303F" w14:textId="11FA3E41" w:rsidR="00D73BD4" w:rsidRPr="00D73BD4" w:rsidRDefault="00D73BD4" w:rsidP="00D73BD4">
      <w:pPr>
        <w:ind w:firstLine="0"/>
        <w:contextualSpacing/>
        <w:jc w:val="left"/>
        <w:rPr>
          <w:sz w:val="26"/>
          <w:szCs w:val="26"/>
        </w:rPr>
      </w:pPr>
      <w:r w:rsidRPr="00D73BD4">
        <w:rPr>
          <w:sz w:val="26"/>
          <w:szCs w:val="26"/>
        </w:rPr>
        <w:tab/>
      </w:r>
      <w:r w:rsidRPr="00D73BD4">
        <w:rPr>
          <w:sz w:val="26"/>
          <w:szCs w:val="26"/>
        </w:rPr>
        <w:tab/>
        <w:t>Moreover,</w:t>
      </w:r>
      <w:r w:rsidR="00A9306A">
        <w:rPr>
          <w:sz w:val="26"/>
          <w:szCs w:val="26"/>
        </w:rPr>
        <w:t xml:space="preserve"> </w:t>
      </w:r>
      <w:r w:rsidRPr="00D73BD4">
        <w:rPr>
          <w:sz w:val="26"/>
          <w:szCs w:val="26"/>
        </w:rPr>
        <w:t xml:space="preserve">ALJ Vero pointed </w:t>
      </w:r>
      <w:r w:rsidR="002C1C8C">
        <w:rPr>
          <w:sz w:val="26"/>
          <w:szCs w:val="26"/>
        </w:rPr>
        <w:t xml:space="preserve">out </w:t>
      </w:r>
      <w:r w:rsidRPr="00D73BD4">
        <w:rPr>
          <w:sz w:val="26"/>
          <w:szCs w:val="26"/>
        </w:rPr>
        <w:t xml:space="preserve">Mr. Mostafa’s testimony which indicates that the Complainant has a website at </w:t>
      </w:r>
      <w:hyperlink r:id="rId9" w:history="1">
        <w:r w:rsidRPr="00D73BD4">
          <w:rPr>
            <w:color w:val="0000FF"/>
            <w:sz w:val="26"/>
            <w:szCs w:val="26"/>
            <w:u w:val="single"/>
          </w:rPr>
          <w:t>www.kjandmilanospizzeria.com</w:t>
        </w:r>
      </w:hyperlink>
      <w:r w:rsidRPr="00D73BD4">
        <w:rPr>
          <w:sz w:val="26"/>
          <w:szCs w:val="26"/>
        </w:rPr>
        <w:t xml:space="preserve"> which reads “K&amp;J &amp; Milano’s” and informs customers that “Milano’s and its friendly staff have merged shops with K&amp;J Pizza.”  </w:t>
      </w:r>
      <w:r w:rsidRPr="00D73BD4">
        <w:rPr>
          <w:i/>
          <w:sz w:val="26"/>
          <w:szCs w:val="26"/>
        </w:rPr>
        <w:t>Id</w:t>
      </w:r>
      <w:r w:rsidRPr="00D73BD4">
        <w:rPr>
          <w:sz w:val="26"/>
          <w:szCs w:val="26"/>
        </w:rPr>
        <w:t>. at 23.</w:t>
      </w:r>
    </w:p>
    <w:p w14:paraId="21EBB602" w14:textId="77777777" w:rsidR="00D73BD4" w:rsidRPr="00D73BD4" w:rsidRDefault="00D73BD4" w:rsidP="00D73BD4">
      <w:pPr>
        <w:ind w:firstLine="0"/>
        <w:contextualSpacing/>
        <w:jc w:val="left"/>
        <w:rPr>
          <w:sz w:val="26"/>
          <w:szCs w:val="26"/>
        </w:rPr>
      </w:pPr>
    </w:p>
    <w:p w14:paraId="6AB22B63" w14:textId="77777777" w:rsidR="00D73BD4" w:rsidRPr="00D73BD4" w:rsidRDefault="00D73BD4" w:rsidP="00D73BD4">
      <w:pPr>
        <w:ind w:firstLine="0"/>
        <w:contextualSpacing/>
        <w:jc w:val="left"/>
        <w:rPr>
          <w:sz w:val="26"/>
          <w:szCs w:val="26"/>
        </w:rPr>
      </w:pPr>
      <w:r w:rsidRPr="00D73BD4">
        <w:rPr>
          <w:sz w:val="26"/>
          <w:szCs w:val="26"/>
        </w:rPr>
        <w:tab/>
      </w:r>
      <w:r w:rsidRPr="00D73BD4">
        <w:rPr>
          <w:sz w:val="26"/>
          <w:szCs w:val="26"/>
        </w:rPr>
        <w:tab/>
        <w:t xml:space="preserve">ALJ Vero’s discussion also highlights the fact that a check belonging to Milano’s Pizzeria &amp; Family Restaurant was used to make a payment towards a PECO bill addressed to K&amp;J Pizza at the Easton Service Address.  The Complainant’s bank account number was also used to make electronic payments for PECO accounts at both the Jenkintown Service Address and the Easton Service Address.  </w:t>
      </w:r>
      <w:r w:rsidRPr="00D73BD4">
        <w:rPr>
          <w:i/>
          <w:sz w:val="26"/>
          <w:szCs w:val="26"/>
        </w:rPr>
        <w:t>Id</w:t>
      </w:r>
      <w:r w:rsidRPr="00D73BD4">
        <w:rPr>
          <w:sz w:val="26"/>
          <w:szCs w:val="26"/>
        </w:rPr>
        <w:t>. at 25.</w:t>
      </w:r>
    </w:p>
    <w:p w14:paraId="50376BCD" w14:textId="77777777" w:rsidR="00D73BD4" w:rsidRPr="00D73BD4" w:rsidRDefault="00D73BD4" w:rsidP="00D73BD4">
      <w:pPr>
        <w:autoSpaceDE w:val="0"/>
        <w:autoSpaceDN w:val="0"/>
        <w:adjustRightInd w:val="0"/>
        <w:ind w:firstLine="1440"/>
        <w:contextualSpacing/>
        <w:jc w:val="left"/>
        <w:rPr>
          <w:sz w:val="26"/>
          <w:szCs w:val="26"/>
        </w:rPr>
      </w:pPr>
    </w:p>
    <w:p w14:paraId="792F7475" w14:textId="6BE1C4FF" w:rsidR="00D73BD4" w:rsidRPr="00D73BD4" w:rsidRDefault="00D73BD4" w:rsidP="00D73BD4">
      <w:pPr>
        <w:autoSpaceDE w:val="0"/>
        <w:autoSpaceDN w:val="0"/>
        <w:adjustRightInd w:val="0"/>
        <w:ind w:firstLine="1440"/>
        <w:contextualSpacing/>
        <w:jc w:val="left"/>
        <w:rPr>
          <w:sz w:val="26"/>
          <w:szCs w:val="26"/>
        </w:rPr>
      </w:pPr>
      <w:r w:rsidRPr="00D73BD4">
        <w:rPr>
          <w:sz w:val="26"/>
          <w:szCs w:val="26"/>
        </w:rPr>
        <w:t xml:space="preserve">On consideration of the evidence of record, ALJ Vero found that the Complainant opened an account for </w:t>
      </w:r>
      <w:r w:rsidR="002C1C8C">
        <w:rPr>
          <w:sz w:val="26"/>
          <w:szCs w:val="26"/>
        </w:rPr>
        <w:t>electric</w:t>
      </w:r>
      <w:r w:rsidR="0067752C">
        <w:rPr>
          <w:sz w:val="26"/>
          <w:szCs w:val="26"/>
        </w:rPr>
        <w:t xml:space="preserve"> </w:t>
      </w:r>
      <w:r w:rsidRPr="00D73BD4">
        <w:rPr>
          <w:sz w:val="26"/>
          <w:szCs w:val="26"/>
        </w:rPr>
        <w:t xml:space="preserve">service at Milano’s Pizzeria at the Easton Service Address, and both K&amp;J Pizza at the Jenkintown Service Address and Milano’s Pizzeria at the Easton Service Address were treated as a family business and owned jointly by Mr. Mostafa and his wife.  Therefore, the ALJ concluded that when the service account at the Easton Service Address was closed with a final unpaid balance of $1,018.62, the unpaid balance was properly transferred to the active service account at the Jenkintown Service Address.  </w:t>
      </w:r>
      <w:r w:rsidRPr="00D73BD4">
        <w:rPr>
          <w:i/>
          <w:sz w:val="26"/>
          <w:szCs w:val="26"/>
        </w:rPr>
        <w:t>Id</w:t>
      </w:r>
      <w:r w:rsidRPr="00D73BD4">
        <w:rPr>
          <w:sz w:val="26"/>
          <w:szCs w:val="26"/>
        </w:rPr>
        <w:t>. at 26.</w:t>
      </w:r>
    </w:p>
    <w:p w14:paraId="43196563" w14:textId="77777777" w:rsidR="00CD1D7B" w:rsidRPr="00E51505" w:rsidRDefault="00CD1D7B" w:rsidP="00CD1D7B">
      <w:pPr>
        <w:autoSpaceDE w:val="0"/>
        <w:autoSpaceDN w:val="0"/>
        <w:adjustRightInd w:val="0"/>
        <w:ind w:firstLine="0"/>
        <w:contextualSpacing/>
        <w:jc w:val="left"/>
        <w:rPr>
          <w:b/>
          <w:sz w:val="26"/>
          <w:szCs w:val="26"/>
        </w:rPr>
      </w:pPr>
    </w:p>
    <w:p w14:paraId="28738743" w14:textId="755B61C5" w:rsidR="00D73BD4" w:rsidRDefault="00D73BD4" w:rsidP="00EF1FC5">
      <w:pPr>
        <w:keepNext/>
        <w:keepLines/>
        <w:numPr>
          <w:ilvl w:val="0"/>
          <w:numId w:val="11"/>
        </w:numPr>
        <w:autoSpaceDE w:val="0"/>
        <w:autoSpaceDN w:val="0"/>
        <w:adjustRightInd w:val="0"/>
        <w:ind w:left="1440" w:hanging="720"/>
        <w:contextualSpacing/>
        <w:jc w:val="left"/>
        <w:rPr>
          <w:b/>
          <w:sz w:val="26"/>
          <w:szCs w:val="26"/>
        </w:rPr>
      </w:pPr>
      <w:r>
        <w:rPr>
          <w:b/>
          <w:sz w:val="26"/>
          <w:szCs w:val="26"/>
        </w:rPr>
        <w:t>Exceptions, Replies and Disposition</w:t>
      </w:r>
    </w:p>
    <w:p w14:paraId="60D45718" w14:textId="23245291" w:rsidR="001D31AF" w:rsidRDefault="001D31AF" w:rsidP="00EF1FC5">
      <w:pPr>
        <w:keepNext/>
        <w:keepLines/>
        <w:ind w:firstLine="1440"/>
        <w:contextualSpacing/>
        <w:jc w:val="left"/>
        <w:rPr>
          <w:rFonts w:ascii="Times New (W1)" w:hAnsi="Times New (W1)"/>
          <w:sz w:val="26"/>
        </w:rPr>
      </w:pPr>
    </w:p>
    <w:p w14:paraId="43803A1A" w14:textId="25418795" w:rsidR="001D31AF" w:rsidRDefault="00D73BD4" w:rsidP="002A6A08">
      <w:pPr>
        <w:ind w:firstLine="1440"/>
        <w:contextualSpacing/>
        <w:jc w:val="left"/>
        <w:rPr>
          <w:rFonts w:ascii="Times New (W1)" w:hAnsi="Times New (W1)"/>
          <w:sz w:val="26"/>
        </w:rPr>
      </w:pPr>
      <w:r w:rsidRPr="00CD1D7B">
        <w:rPr>
          <w:sz w:val="26"/>
          <w:szCs w:val="26"/>
        </w:rPr>
        <w:t>We will consider and dispose of the Complainant’s arguments regarding the tolling of the statute of limitations for improper billing and its contention that it should not be held responsible for the outstanding balance of $1,018.62 transferred from the Easton Service Address in conjunction, finding that the Complainant’s support for these arguments are contradictory in nature.</w:t>
      </w:r>
    </w:p>
    <w:p w14:paraId="115CB640" w14:textId="3A0FEE09" w:rsidR="001D31AF" w:rsidRDefault="001D31AF" w:rsidP="002A6A08">
      <w:pPr>
        <w:ind w:firstLine="1440"/>
        <w:contextualSpacing/>
        <w:jc w:val="left"/>
        <w:rPr>
          <w:rFonts w:ascii="Times New (W1)" w:hAnsi="Times New (W1)"/>
          <w:sz w:val="26"/>
        </w:rPr>
      </w:pPr>
    </w:p>
    <w:p w14:paraId="5F9E9707" w14:textId="41B3DBFB" w:rsidR="00D73BD4" w:rsidRPr="00D73BD4" w:rsidRDefault="00D73BD4" w:rsidP="00906C76">
      <w:pPr>
        <w:autoSpaceDE w:val="0"/>
        <w:autoSpaceDN w:val="0"/>
        <w:adjustRightInd w:val="0"/>
        <w:ind w:firstLine="1440"/>
        <w:contextualSpacing/>
        <w:jc w:val="left"/>
        <w:rPr>
          <w:sz w:val="26"/>
          <w:szCs w:val="26"/>
        </w:rPr>
      </w:pPr>
      <w:r w:rsidRPr="00D73BD4">
        <w:rPr>
          <w:sz w:val="26"/>
          <w:szCs w:val="26"/>
        </w:rPr>
        <w:t>The Complainant’s Exceptions state that it has “met its burden of proof of establishing that it was excessively billed, improperly billed, over</w:t>
      </w:r>
      <w:r w:rsidR="0067752C">
        <w:rPr>
          <w:sz w:val="26"/>
          <w:szCs w:val="26"/>
        </w:rPr>
        <w:t>-</w:t>
      </w:r>
      <w:r w:rsidRPr="00D73BD4">
        <w:rPr>
          <w:sz w:val="26"/>
          <w:szCs w:val="26"/>
        </w:rPr>
        <w:t xml:space="preserve">billed and made over payments” for the period September 2002 through the date of the hearing.  The Complainant additionally indicates that not only should its claim for overpayment be granted back to September 1, 2012, three years prior to the filing of its Formal Complaint, but it should be granted retroactive to October 28, 2006.  Exc. at 2.  The Complainant attempts to justify a tolling of the statute of limitations by referencing an informal complaint filed with the Commission on October 28, 2009. </w:t>
      </w:r>
      <w:r w:rsidRPr="00D73BD4">
        <w:rPr>
          <w:i/>
          <w:sz w:val="26"/>
          <w:szCs w:val="26"/>
        </w:rPr>
        <w:t xml:space="preserve"> Id</w:t>
      </w:r>
      <w:r w:rsidRPr="00D73BD4">
        <w:rPr>
          <w:sz w:val="26"/>
          <w:szCs w:val="26"/>
        </w:rPr>
        <w:t>.</w:t>
      </w:r>
      <w:r w:rsidR="0047487B">
        <w:rPr>
          <w:rStyle w:val="FootnoteReference"/>
          <w:sz w:val="26"/>
          <w:szCs w:val="26"/>
        </w:rPr>
        <w:footnoteReference w:id="5"/>
      </w:r>
    </w:p>
    <w:p w14:paraId="6214CBB8" w14:textId="77777777" w:rsidR="00D73BD4" w:rsidRPr="00D73BD4" w:rsidRDefault="00D73BD4" w:rsidP="00D73BD4">
      <w:pPr>
        <w:ind w:firstLine="0"/>
        <w:contextualSpacing/>
        <w:jc w:val="left"/>
        <w:rPr>
          <w:sz w:val="26"/>
          <w:szCs w:val="26"/>
        </w:rPr>
      </w:pPr>
    </w:p>
    <w:p w14:paraId="3A92CE7F" w14:textId="27D23F78" w:rsidR="00D73BD4" w:rsidRPr="00D73BD4" w:rsidRDefault="00D73BD4" w:rsidP="00D73BD4">
      <w:pPr>
        <w:autoSpaceDE w:val="0"/>
        <w:autoSpaceDN w:val="0"/>
        <w:adjustRightInd w:val="0"/>
        <w:ind w:firstLine="1440"/>
        <w:contextualSpacing/>
        <w:jc w:val="left"/>
        <w:rPr>
          <w:sz w:val="26"/>
          <w:szCs w:val="26"/>
        </w:rPr>
      </w:pPr>
      <w:r w:rsidRPr="00D73BD4">
        <w:rPr>
          <w:sz w:val="26"/>
          <w:szCs w:val="26"/>
        </w:rPr>
        <w:t>In response, PECO contends that the ALJ properly addressed this issue during the hearing, finding that none of the events or statements warrant tolling the statute of limitations for any of the Complainant’s claims.  R. Exc. at 8-9.  PECO counters the Complainant’s argument in its Exceptions by noting that the informal complaint filed on October 28, 2009 pertained to service at the Easton Service Address and only raises a deposit dispute</w:t>
      </w:r>
      <w:r w:rsidR="00355838">
        <w:rPr>
          <w:sz w:val="26"/>
          <w:szCs w:val="26"/>
        </w:rPr>
        <w:t xml:space="preserve"> but </w:t>
      </w:r>
      <w:r w:rsidRPr="00D73BD4">
        <w:rPr>
          <w:sz w:val="26"/>
          <w:szCs w:val="26"/>
        </w:rPr>
        <w:t xml:space="preserve">no billing claims.  Therefore, PECO contends that this informal complaint cannot be considered to toll the statute of limitations, and consistent with 66 Pa. C.S. § 3314 and 66 Pa. C.S. § 1312(a), the Complainant is expressly barred from the recovery of billing claims dating back to 2002.  </w:t>
      </w:r>
      <w:r w:rsidRPr="00D73BD4">
        <w:rPr>
          <w:i/>
          <w:sz w:val="26"/>
          <w:szCs w:val="26"/>
        </w:rPr>
        <w:t>Id</w:t>
      </w:r>
      <w:r w:rsidRPr="00D73BD4">
        <w:rPr>
          <w:sz w:val="26"/>
          <w:szCs w:val="26"/>
        </w:rPr>
        <w:t>. at 9.</w:t>
      </w:r>
    </w:p>
    <w:p w14:paraId="2D08B6A1" w14:textId="77777777" w:rsidR="00D73BD4" w:rsidRPr="00D73BD4" w:rsidRDefault="00D73BD4" w:rsidP="00D73BD4">
      <w:pPr>
        <w:autoSpaceDE w:val="0"/>
        <w:autoSpaceDN w:val="0"/>
        <w:adjustRightInd w:val="0"/>
        <w:ind w:firstLine="1440"/>
        <w:contextualSpacing/>
        <w:jc w:val="left"/>
        <w:rPr>
          <w:sz w:val="26"/>
          <w:szCs w:val="26"/>
        </w:rPr>
      </w:pPr>
    </w:p>
    <w:p w14:paraId="425305D2" w14:textId="038E6E24" w:rsidR="00D73BD4" w:rsidRPr="00D73BD4" w:rsidRDefault="00D73BD4" w:rsidP="00D73BD4">
      <w:pPr>
        <w:autoSpaceDE w:val="0"/>
        <w:autoSpaceDN w:val="0"/>
        <w:adjustRightInd w:val="0"/>
        <w:ind w:firstLine="1440"/>
        <w:contextualSpacing/>
        <w:jc w:val="left"/>
        <w:rPr>
          <w:sz w:val="26"/>
          <w:szCs w:val="26"/>
        </w:rPr>
      </w:pPr>
      <w:r w:rsidRPr="00D73BD4">
        <w:rPr>
          <w:sz w:val="26"/>
          <w:szCs w:val="26"/>
        </w:rPr>
        <w:t>With respect to its argument attempting to toll the statute of limitations, the Complainant has not asserted any new facts, but has raised a new legal argument based on record evidence submitted by PECO.  As stated previously, the statute of limitations can be tolled by the filing of an informal complaint with the Commission or by application of the doctrine of equitable estoppel.  As previously mentioned, the latter was used as justification in the Amended Complaint.</w:t>
      </w:r>
    </w:p>
    <w:p w14:paraId="06132023" w14:textId="77777777" w:rsidR="00D73BD4" w:rsidRPr="00D73BD4" w:rsidRDefault="00D73BD4" w:rsidP="00D73BD4">
      <w:pPr>
        <w:autoSpaceDE w:val="0"/>
        <w:autoSpaceDN w:val="0"/>
        <w:adjustRightInd w:val="0"/>
        <w:ind w:firstLine="1440"/>
        <w:contextualSpacing/>
        <w:jc w:val="left"/>
        <w:rPr>
          <w:sz w:val="26"/>
          <w:szCs w:val="26"/>
        </w:rPr>
      </w:pPr>
    </w:p>
    <w:p w14:paraId="26C47FD6" w14:textId="4A2FE4A0" w:rsidR="00D73BD4" w:rsidRPr="00D73BD4" w:rsidRDefault="00D73BD4" w:rsidP="00D73BD4">
      <w:pPr>
        <w:autoSpaceDE w:val="0"/>
        <w:autoSpaceDN w:val="0"/>
        <w:adjustRightInd w:val="0"/>
        <w:ind w:firstLine="1440"/>
        <w:contextualSpacing/>
        <w:jc w:val="left"/>
        <w:rPr>
          <w:sz w:val="26"/>
          <w:szCs w:val="26"/>
        </w:rPr>
      </w:pPr>
      <w:r w:rsidRPr="00D73BD4">
        <w:rPr>
          <w:sz w:val="26"/>
          <w:szCs w:val="26"/>
        </w:rPr>
        <w:t xml:space="preserve">The basis of the Complainant’s new legal argument is contradictory to its assertion that it was “billed for charges related to other businesses unrelated to the Complainant’s business, including Milano’s Pizzeria, which is a business unrelated to its business.”  The Complaint claims that a “$1,018.62 bill from the former business </w:t>
      </w:r>
      <w:r w:rsidR="001904C5">
        <w:rPr>
          <w:sz w:val="26"/>
          <w:szCs w:val="26"/>
        </w:rPr>
        <w:t>[at the Easton Service Address]</w:t>
      </w:r>
      <w:r w:rsidRPr="00D73BD4">
        <w:rPr>
          <w:sz w:val="26"/>
          <w:szCs w:val="26"/>
        </w:rPr>
        <w:t xml:space="preserve"> should not have been transferred to t</w:t>
      </w:r>
      <w:r w:rsidR="001904C5">
        <w:rPr>
          <w:sz w:val="26"/>
          <w:szCs w:val="26"/>
        </w:rPr>
        <w:t>he new account [at the Jenkintown Service Address]</w:t>
      </w:r>
      <w:r w:rsidRPr="00D73BD4">
        <w:rPr>
          <w:sz w:val="26"/>
          <w:szCs w:val="26"/>
        </w:rPr>
        <w:t xml:space="preserve">”  </w:t>
      </w:r>
    </w:p>
    <w:p w14:paraId="5B68F328" w14:textId="77777777" w:rsidR="00D73BD4" w:rsidRPr="00D73BD4" w:rsidRDefault="00D73BD4" w:rsidP="00D73BD4">
      <w:pPr>
        <w:autoSpaceDE w:val="0"/>
        <w:autoSpaceDN w:val="0"/>
        <w:adjustRightInd w:val="0"/>
        <w:ind w:firstLine="1440"/>
        <w:contextualSpacing/>
        <w:jc w:val="left"/>
        <w:rPr>
          <w:sz w:val="26"/>
          <w:szCs w:val="26"/>
        </w:rPr>
      </w:pPr>
    </w:p>
    <w:p w14:paraId="64452B22" w14:textId="77777777" w:rsidR="00D73BD4" w:rsidRPr="00D73BD4" w:rsidRDefault="00D73BD4" w:rsidP="00D73BD4">
      <w:pPr>
        <w:autoSpaceDE w:val="0"/>
        <w:autoSpaceDN w:val="0"/>
        <w:adjustRightInd w:val="0"/>
        <w:ind w:firstLine="1440"/>
        <w:contextualSpacing/>
        <w:jc w:val="left"/>
        <w:rPr>
          <w:sz w:val="26"/>
          <w:szCs w:val="26"/>
        </w:rPr>
      </w:pPr>
      <w:r w:rsidRPr="00D73BD4">
        <w:rPr>
          <w:sz w:val="26"/>
          <w:szCs w:val="26"/>
        </w:rPr>
        <w:t>In its Replies to Exceptions, PECO counters by pointing to the evidence of record outlined on pages 23 through 26 of ALJ Vero’s Initial Decision.  PECO asserts that the Complainant cannot avoid its debt by claiming it has no affiliation with Milano’s Pizzeria (a.k.a. the Easton Service Address), and PECO properly transferred the $1,018.62 balance to the account associated with the Jenkintown Service Address.  R. Exc. at 13-16.</w:t>
      </w:r>
    </w:p>
    <w:p w14:paraId="4C949CE1" w14:textId="77777777" w:rsidR="00D73BD4" w:rsidRPr="00D73BD4" w:rsidRDefault="00D73BD4" w:rsidP="00D73BD4">
      <w:pPr>
        <w:autoSpaceDE w:val="0"/>
        <w:autoSpaceDN w:val="0"/>
        <w:adjustRightInd w:val="0"/>
        <w:ind w:firstLine="1440"/>
        <w:contextualSpacing/>
        <w:jc w:val="left"/>
        <w:rPr>
          <w:sz w:val="26"/>
          <w:szCs w:val="26"/>
        </w:rPr>
      </w:pPr>
    </w:p>
    <w:p w14:paraId="475F49DD" w14:textId="52E346AC" w:rsidR="00A95C74" w:rsidRPr="00A95C74" w:rsidRDefault="00A95C74" w:rsidP="00A95C74">
      <w:pPr>
        <w:ind w:firstLine="1440"/>
        <w:contextualSpacing/>
        <w:jc w:val="left"/>
        <w:rPr>
          <w:rFonts w:eastAsia="Times New Roman"/>
          <w:sz w:val="26"/>
          <w:szCs w:val="26"/>
        </w:rPr>
      </w:pPr>
      <w:r w:rsidRPr="00A95C74">
        <w:rPr>
          <w:rFonts w:eastAsia="Times New Roman"/>
          <w:sz w:val="26"/>
          <w:szCs w:val="26"/>
        </w:rPr>
        <w:t>Under Section 701 of the Code, any person or entity with an interest may file a complaint with the Commission in writing “setting forth any act or thing done or omitted to be done by any public utility in violation, or claimed violation, of any law which the Commission has jurisdiction to administer, or of any regulation or order of the Commission.”  66 Pa. C.S. § 701.  However, a person’s right to file a complaint with the Commission against a utility is not absolute; under Section 3314(a), no action for recovery of any penalties under the Code can be maintained unless brought within three years from the date that any liability arose.  66 Pa. C.S. § 3314(a).  Therefore, the Code imposes a three-year statute of limitations on any alleged Code violations for which relief is sought.</w:t>
      </w:r>
    </w:p>
    <w:p w14:paraId="2DA18A63" w14:textId="77777777" w:rsidR="00A95C74" w:rsidRPr="00A95C74" w:rsidRDefault="00A95C74" w:rsidP="00A95C74">
      <w:pPr>
        <w:ind w:firstLine="1440"/>
        <w:contextualSpacing/>
        <w:jc w:val="left"/>
        <w:rPr>
          <w:rFonts w:eastAsia="Times New Roman"/>
          <w:sz w:val="26"/>
          <w:szCs w:val="26"/>
        </w:rPr>
      </w:pPr>
    </w:p>
    <w:p w14:paraId="2946CF68" w14:textId="77777777" w:rsidR="00A95C74" w:rsidRPr="00A95C74" w:rsidRDefault="00A95C74" w:rsidP="00A95C74">
      <w:pPr>
        <w:ind w:firstLine="1440"/>
        <w:contextualSpacing/>
        <w:jc w:val="left"/>
        <w:rPr>
          <w:rFonts w:eastAsia="Times New Roman"/>
          <w:sz w:val="26"/>
          <w:szCs w:val="26"/>
        </w:rPr>
      </w:pPr>
      <w:r w:rsidRPr="00A95C74">
        <w:rPr>
          <w:rFonts w:eastAsia="Times New Roman"/>
          <w:sz w:val="26"/>
          <w:szCs w:val="26"/>
        </w:rPr>
        <w:t>Section 3314 (a) of the Code, 66 Pa. C.S. §3314(a), is as follows:</w:t>
      </w:r>
    </w:p>
    <w:p w14:paraId="1C8FA1A6" w14:textId="77777777" w:rsidR="00A95C74" w:rsidRPr="00A95C74" w:rsidRDefault="00A95C74" w:rsidP="00A95C74">
      <w:pPr>
        <w:ind w:firstLine="1440"/>
        <w:contextualSpacing/>
        <w:jc w:val="left"/>
        <w:rPr>
          <w:rFonts w:eastAsia="Times New Roman"/>
          <w:sz w:val="26"/>
          <w:szCs w:val="26"/>
        </w:rPr>
      </w:pPr>
    </w:p>
    <w:p w14:paraId="4D39211D" w14:textId="0D6FD96F" w:rsidR="00A95C74" w:rsidRDefault="00A95C74" w:rsidP="00A95C74">
      <w:pPr>
        <w:spacing w:line="240" w:lineRule="auto"/>
        <w:ind w:firstLine="1440"/>
        <w:contextualSpacing/>
        <w:jc w:val="left"/>
        <w:rPr>
          <w:sz w:val="26"/>
          <w:szCs w:val="26"/>
        </w:rPr>
      </w:pPr>
      <w:r w:rsidRPr="00A95C74">
        <w:rPr>
          <w:b/>
          <w:sz w:val="26"/>
          <w:szCs w:val="26"/>
        </w:rPr>
        <w:t>§ 3314.  Limitation of actions and cumulation of remedies.</w:t>
      </w:r>
    </w:p>
    <w:p w14:paraId="16F53EBC" w14:textId="77777777" w:rsidR="0050371D" w:rsidRPr="00A95C74" w:rsidRDefault="0050371D" w:rsidP="00A95C74">
      <w:pPr>
        <w:spacing w:line="240" w:lineRule="auto"/>
        <w:ind w:firstLine="1440"/>
        <w:contextualSpacing/>
        <w:jc w:val="left"/>
        <w:rPr>
          <w:sz w:val="26"/>
          <w:szCs w:val="26"/>
        </w:rPr>
      </w:pPr>
    </w:p>
    <w:p w14:paraId="23B83E23" w14:textId="597469BE" w:rsidR="00A95C74" w:rsidRPr="00A95C74" w:rsidRDefault="00A95C74" w:rsidP="00A95C74">
      <w:pPr>
        <w:spacing w:line="240" w:lineRule="auto"/>
        <w:ind w:left="1440" w:right="1440" w:firstLine="0"/>
        <w:contextualSpacing/>
        <w:jc w:val="left"/>
        <w:rPr>
          <w:sz w:val="26"/>
          <w:szCs w:val="26"/>
        </w:rPr>
      </w:pPr>
      <w:r w:rsidRPr="00A95C74">
        <w:rPr>
          <w:sz w:val="26"/>
          <w:szCs w:val="26"/>
        </w:rPr>
        <w:t xml:space="preserve">(a)  </w:t>
      </w:r>
      <w:r w:rsidRPr="00A95C74">
        <w:rPr>
          <w:b/>
          <w:iCs/>
          <w:sz w:val="26"/>
          <w:szCs w:val="26"/>
        </w:rPr>
        <w:t>General rule.</w:t>
      </w:r>
      <w:r w:rsidRPr="00A95C74">
        <w:rPr>
          <w:iCs/>
          <w:sz w:val="26"/>
          <w:szCs w:val="26"/>
        </w:rPr>
        <w:t xml:space="preserve"> </w:t>
      </w:r>
      <w:r w:rsidRPr="00A95C74">
        <w:rPr>
          <w:i/>
          <w:iCs/>
          <w:sz w:val="26"/>
          <w:szCs w:val="26"/>
        </w:rPr>
        <w:t xml:space="preserve"> – </w:t>
      </w:r>
      <w:r w:rsidRPr="00A95C74">
        <w:rPr>
          <w:sz w:val="26"/>
          <w:szCs w:val="26"/>
        </w:rPr>
        <w:t>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except as otherwise provided in this part.</w:t>
      </w:r>
    </w:p>
    <w:p w14:paraId="713B1BB5" w14:textId="620987BF" w:rsidR="00A95C74" w:rsidRDefault="00A95C74" w:rsidP="00A95C74">
      <w:pPr>
        <w:spacing w:line="240" w:lineRule="auto"/>
        <w:ind w:left="1440" w:right="1440" w:firstLine="0"/>
        <w:contextualSpacing/>
        <w:jc w:val="left"/>
        <w:rPr>
          <w:sz w:val="26"/>
          <w:szCs w:val="26"/>
        </w:rPr>
      </w:pPr>
    </w:p>
    <w:p w14:paraId="22A98F8B" w14:textId="77777777" w:rsidR="0050371D" w:rsidRPr="00A95C74" w:rsidRDefault="0050371D" w:rsidP="00A95C74">
      <w:pPr>
        <w:spacing w:line="240" w:lineRule="auto"/>
        <w:ind w:left="1440" w:right="1440" w:firstLine="0"/>
        <w:contextualSpacing/>
        <w:jc w:val="left"/>
        <w:rPr>
          <w:sz w:val="26"/>
          <w:szCs w:val="26"/>
        </w:rPr>
      </w:pPr>
    </w:p>
    <w:p w14:paraId="03A2E093" w14:textId="77777777" w:rsidR="00A95C74" w:rsidRPr="00A95C74" w:rsidRDefault="00A95C74" w:rsidP="00A95C74">
      <w:pPr>
        <w:spacing w:line="240" w:lineRule="auto"/>
        <w:ind w:firstLine="1440"/>
        <w:contextualSpacing/>
        <w:jc w:val="left"/>
        <w:rPr>
          <w:sz w:val="26"/>
          <w:szCs w:val="26"/>
        </w:rPr>
      </w:pPr>
      <w:r w:rsidRPr="00A95C74">
        <w:rPr>
          <w:sz w:val="26"/>
          <w:szCs w:val="26"/>
        </w:rPr>
        <w:t>Additionally, Section 1312(a) of the Code, 66 Pa. C.S. § 1312(a), is as follows:</w:t>
      </w:r>
    </w:p>
    <w:p w14:paraId="1A8E1795" w14:textId="77777777" w:rsidR="00A95C74" w:rsidRPr="00A95C74" w:rsidRDefault="00A95C74" w:rsidP="00A95C74">
      <w:pPr>
        <w:spacing w:line="240" w:lineRule="auto"/>
        <w:ind w:firstLine="1440"/>
        <w:contextualSpacing/>
        <w:jc w:val="left"/>
        <w:rPr>
          <w:color w:val="333333"/>
          <w:sz w:val="26"/>
          <w:szCs w:val="26"/>
        </w:rPr>
      </w:pPr>
    </w:p>
    <w:p w14:paraId="582B8119" w14:textId="77777777" w:rsidR="00A95C74" w:rsidRPr="00A95C74" w:rsidRDefault="00A95C74" w:rsidP="00A95C74">
      <w:pPr>
        <w:spacing w:line="240" w:lineRule="auto"/>
        <w:ind w:left="720"/>
        <w:contextualSpacing/>
        <w:jc w:val="left"/>
        <w:rPr>
          <w:rFonts w:eastAsia="Times New Roman"/>
          <w:b/>
          <w:sz w:val="26"/>
          <w:szCs w:val="26"/>
        </w:rPr>
      </w:pPr>
      <w:r w:rsidRPr="00A95C74">
        <w:rPr>
          <w:rFonts w:eastAsia="Times New Roman"/>
          <w:b/>
          <w:sz w:val="26"/>
          <w:szCs w:val="26"/>
        </w:rPr>
        <w:t>§ 1312.  Refunds.</w:t>
      </w:r>
    </w:p>
    <w:p w14:paraId="18049159" w14:textId="77777777" w:rsidR="00A95C74" w:rsidRPr="00A95C74" w:rsidRDefault="00A95C74" w:rsidP="00A95C74">
      <w:pPr>
        <w:spacing w:line="240" w:lineRule="auto"/>
        <w:ind w:left="720"/>
        <w:contextualSpacing/>
        <w:jc w:val="left"/>
        <w:rPr>
          <w:rFonts w:eastAsia="Times New Roman"/>
          <w:b/>
          <w:sz w:val="26"/>
          <w:szCs w:val="26"/>
        </w:rPr>
      </w:pPr>
    </w:p>
    <w:p w14:paraId="0248C114" w14:textId="77777777" w:rsidR="00A95C74" w:rsidRPr="00A95C74" w:rsidRDefault="00A95C74" w:rsidP="00A95C74">
      <w:pPr>
        <w:tabs>
          <w:tab w:val="left" w:pos="1440"/>
        </w:tabs>
        <w:spacing w:before="100" w:beforeAutospacing="1" w:after="100" w:afterAutospacing="1" w:line="240" w:lineRule="auto"/>
        <w:ind w:left="1440" w:right="1440" w:firstLine="0"/>
        <w:contextualSpacing/>
        <w:jc w:val="left"/>
        <w:rPr>
          <w:rFonts w:eastAsia="Times New Roman"/>
          <w:sz w:val="26"/>
          <w:szCs w:val="26"/>
        </w:rPr>
      </w:pPr>
      <w:r w:rsidRPr="00A95C74">
        <w:rPr>
          <w:rFonts w:eastAsia="Times New Roman"/>
          <w:sz w:val="26"/>
          <w:szCs w:val="26"/>
        </w:rPr>
        <w:t xml:space="preserve">(a)  </w:t>
      </w:r>
      <w:r w:rsidRPr="00A95C74">
        <w:rPr>
          <w:rFonts w:eastAsia="Times New Roman"/>
          <w:b/>
          <w:sz w:val="26"/>
          <w:szCs w:val="26"/>
        </w:rPr>
        <w:t>General Rule.</w:t>
      </w:r>
      <w:r w:rsidRPr="00A95C74">
        <w:rPr>
          <w:rFonts w:eastAsia="Times New Roman"/>
          <w:sz w:val="26"/>
          <w:szCs w:val="26"/>
        </w:rPr>
        <w:t xml:space="preserve"> – 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the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 . . . </w:t>
      </w:r>
    </w:p>
    <w:p w14:paraId="38BBC782" w14:textId="0B8606A9" w:rsidR="00A95C74" w:rsidRDefault="00A95C74" w:rsidP="00A95C74">
      <w:pPr>
        <w:autoSpaceDE w:val="0"/>
        <w:autoSpaceDN w:val="0"/>
        <w:adjustRightInd w:val="0"/>
        <w:ind w:firstLine="0"/>
        <w:contextualSpacing/>
        <w:jc w:val="left"/>
        <w:rPr>
          <w:sz w:val="26"/>
          <w:szCs w:val="26"/>
        </w:rPr>
      </w:pPr>
    </w:p>
    <w:p w14:paraId="2FBA2F37" w14:textId="77777777" w:rsidR="00A95C74" w:rsidRDefault="00A95C74" w:rsidP="00A95C74">
      <w:pPr>
        <w:autoSpaceDE w:val="0"/>
        <w:autoSpaceDN w:val="0"/>
        <w:adjustRightInd w:val="0"/>
        <w:ind w:firstLine="0"/>
        <w:contextualSpacing/>
        <w:jc w:val="left"/>
        <w:rPr>
          <w:sz w:val="26"/>
          <w:szCs w:val="26"/>
        </w:rPr>
      </w:pPr>
    </w:p>
    <w:p w14:paraId="7C53424B" w14:textId="20F571B7" w:rsidR="00D73BD4" w:rsidRPr="00D73BD4" w:rsidRDefault="006D49CF" w:rsidP="00D73BD4">
      <w:pPr>
        <w:autoSpaceDE w:val="0"/>
        <w:autoSpaceDN w:val="0"/>
        <w:adjustRightInd w:val="0"/>
        <w:ind w:firstLine="1440"/>
        <w:contextualSpacing/>
        <w:jc w:val="left"/>
        <w:rPr>
          <w:sz w:val="26"/>
          <w:szCs w:val="26"/>
        </w:rPr>
      </w:pPr>
      <w:r>
        <w:rPr>
          <w:sz w:val="26"/>
          <w:szCs w:val="26"/>
        </w:rPr>
        <w:t>In our opinion, t</w:t>
      </w:r>
      <w:r w:rsidR="00D73BD4" w:rsidRPr="00D73BD4">
        <w:rPr>
          <w:sz w:val="26"/>
          <w:szCs w:val="26"/>
        </w:rPr>
        <w:t>he ALJ’s conclusion that the Complainant is barred under the three-year statute of limitations contained in Section 3314 of the Code, 66 Pa. C.S. § 3314, from seeking a refund of overcharges outside the three-year period is misdirected in this case.  Section 3314 limits actions for the recovery of penalties or forfeitures, incurred under the provisions of the Code, to three years from the date at which the liability arose.  However, the present Complainant seeks a refund from what had been over</w:t>
      </w:r>
      <w:r w:rsidR="0050371D">
        <w:rPr>
          <w:sz w:val="26"/>
          <w:szCs w:val="26"/>
        </w:rPr>
        <w:t>-</w:t>
      </w:r>
      <w:r w:rsidR="00D73BD4" w:rsidRPr="00D73BD4">
        <w:rPr>
          <w:sz w:val="26"/>
          <w:szCs w:val="26"/>
        </w:rPr>
        <w:t xml:space="preserve">billed since September 2003.  As previously mentioned, the </w:t>
      </w:r>
      <w:r w:rsidR="008E0C1A">
        <w:rPr>
          <w:sz w:val="26"/>
          <w:szCs w:val="26"/>
        </w:rPr>
        <w:t>Complainant</w:t>
      </w:r>
      <w:r w:rsidR="00DB7EAC">
        <w:rPr>
          <w:sz w:val="26"/>
          <w:szCs w:val="26"/>
        </w:rPr>
        <w:t>’s</w:t>
      </w:r>
      <w:r w:rsidR="008E0C1A">
        <w:rPr>
          <w:sz w:val="26"/>
          <w:szCs w:val="26"/>
        </w:rPr>
        <w:t xml:space="preserve"> calculation of the </w:t>
      </w:r>
      <w:r w:rsidR="00D73BD4" w:rsidRPr="00D73BD4">
        <w:rPr>
          <w:sz w:val="26"/>
          <w:szCs w:val="26"/>
        </w:rPr>
        <w:t xml:space="preserve">amount </w:t>
      </w:r>
      <w:r w:rsidR="00DB7EAC">
        <w:rPr>
          <w:sz w:val="26"/>
          <w:szCs w:val="26"/>
        </w:rPr>
        <w:t xml:space="preserve">he claims he was overcharged was </w:t>
      </w:r>
      <w:r w:rsidR="00D73BD4" w:rsidRPr="00D73BD4">
        <w:rPr>
          <w:sz w:val="26"/>
          <w:szCs w:val="26"/>
        </w:rPr>
        <w:t>$99,192.86.  Amended Complaint at 1-2.</w:t>
      </w:r>
    </w:p>
    <w:p w14:paraId="2123404B" w14:textId="77777777" w:rsidR="00D73BD4" w:rsidRPr="00D73BD4" w:rsidRDefault="00D73BD4" w:rsidP="00D73BD4">
      <w:pPr>
        <w:autoSpaceDE w:val="0"/>
        <w:autoSpaceDN w:val="0"/>
        <w:adjustRightInd w:val="0"/>
        <w:ind w:firstLine="1440"/>
        <w:contextualSpacing/>
        <w:jc w:val="left"/>
        <w:rPr>
          <w:sz w:val="26"/>
          <w:szCs w:val="26"/>
        </w:rPr>
      </w:pPr>
    </w:p>
    <w:p w14:paraId="60663943" w14:textId="7886F841" w:rsidR="00D73BD4" w:rsidRPr="00D73BD4" w:rsidRDefault="00D73BD4" w:rsidP="00D73BD4">
      <w:pPr>
        <w:ind w:firstLine="1440"/>
        <w:contextualSpacing/>
        <w:jc w:val="left"/>
        <w:rPr>
          <w:rFonts w:eastAsia="Times New Roman"/>
          <w:sz w:val="26"/>
          <w:szCs w:val="26"/>
        </w:rPr>
      </w:pPr>
      <w:r w:rsidRPr="00D73BD4">
        <w:rPr>
          <w:rFonts w:eastAsia="Times New Roman"/>
          <w:sz w:val="26"/>
          <w:szCs w:val="26"/>
        </w:rPr>
        <w:t xml:space="preserve">In </w:t>
      </w:r>
      <w:r w:rsidRPr="00D73BD4">
        <w:rPr>
          <w:rFonts w:eastAsia="Times New Roman"/>
          <w:i/>
          <w:sz w:val="26"/>
          <w:szCs w:val="26"/>
        </w:rPr>
        <w:t xml:space="preserve">Beverly Layne v. PGW, </w:t>
      </w:r>
      <w:r w:rsidRPr="00D73BD4">
        <w:rPr>
          <w:rFonts w:eastAsia="Times New Roman"/>
          <w:sz w:val="26"/>
          <w:szCs w:val="26"/>
        </w:rPr>
        <w:t xml:space="preserve">Docket No. F-00820471 (Order entered February 24, 2003), </w:t>
      </w:r>
      <w:r w:rsidR="00DB7EAC">
        <w:rPr>
          <w:rFonts w:eastAsia="Times New Roman"/>
          <w:sz w:val="26"/>
          <w:szCs w:val="26"/>
        </w:rPr>
        <w:t xml:space="preserve">we </w:t>
      </w:r>
      <w:r w:rsidRPr="00D73BD4">
        <w:rPr>
          <w:rFonts w:eastAsia="Times New Roman"/>
          <w:sz w:val="26"/>
          <w:szCs w:val="26"/>
        </w:rPr>
        <w:t xml:space="preserve">held that ALJ Nguyen’s similar analysis applying Section 3314 was misplaced because the complainant in that proceeding sought a refund (or credit) for charges on a make-up bill.  </w:t>
      </w:r>
      <w:r w:rsidR="00DB7EAC">
        <w:rPr>
          <w:rFonts w:eastAsia="Times New Roman"/>
          <w:sz w:val="26"/>
          <w:szCs w:val="26"/>
        </w:rPr>
        <w:t>We stated</w:t>
      </w:r>
      <w:r w:rsidRPr="00D73BD4">
        <w:rPr>
          <w:rFonts w:eastAsia="Times New Roman"/>
          <w:sz w:val="26"/>
          <w:szCs w:val="26"/>
        </w:rPr>
        <w:t xml:space="preserve"> that Section 1312(a) of the Code specifically addresses the limitations in a refund proceeding, 66 Pa. C.S. § 1312(a).  </w:t>
      </w:r>
      <w:r w:rsidR="00DB7EAC">
        <w:rPr>
          <w:rFonts w:eastAsia="Times New Roman"/>
          <w:sz w:val="26"/>
          <w:szCs w:val="26"/>
        </w:rPr>
        <w:t>We</w:t>
      </w:r>
      <w:r w:rsidRPr="00D73BD4">
        <w:rPr>
          <w:rFonts w:eastAsia="Times New Roman"/>
          <w:sz w:val="26"/>
          <w:szCs w:val="26"/>
        </w:rPr>
        <w:t xml:space="preserve"> relied upon the Commonwealth Court’s opinion in </w:t>
      </w:r>
      <w:r w:rsidRPr="00D73BD4">
        <w:rPr>
          <w:rFonts w:eastAsia="Times New Roman"/>
          <w:i/>
          <w:sz w:val="26"/>
          <w:szCs w:val="26"/>
        </w:rPr>
        <w:t>LP Water and Sewer Co. v. Pa. PUC</w:t>
      </w:r>
      <w:r w:rsidRPr="00D73BD4">
        <w:rPr>
          <w:rFonts w:eastAsia="Times New Roman"/>
          <w:sz w:val="26"/>
          <w:szCs w:val="26"/>
        </w:rPr>
        <w:t>, 772 A.2d 733 (Pa. Cmwlth. 1988) which held that the Section 1312 four</w:t>
      </w:r>
      <w:r w:rsidRPr="00D73BD4">
        <w:rPr>
          <w:rFonts w:eastAsia="Times New Roman"/>
          <w:sz w:val="26"/>
          <w:szCs w:val="26"/>
        </w:rPr>
        <w:noBreakHyphen/>
        <w:t>year statute of limitations for a refund suit, rather than Section 3314’s three-year statute of limitations for recovery of penalties or forfeitures, applied to a water and sewer customer’s action to recover a refund of residential water rates.</w:t>
      </w:r>
    </w:p>
    <w:p w14:paraId="4CAFAC23" w14:textId="77777777" w:rsidR="00D73BD4" w:rsidRPr="00D73BD4" w:rsidRDefault="00D73BD4" w:rsidP="00D73BD4">
      <w:pPr>
        <w:ind w:firstLine="1440"/>
        <w:contextualSpacing/>
        <w:jc w:val="left"/>
        <w:rPr>
          <w:rFonts w:eastAsia="Times New Roman"/>
          <w:sz w:val="26"/>
          <w:szCs w:val="26"/>
        </w:rPr>
      </w:pPr>
    </w:p>
    <w:p w14:paraId="5AB36E54" w14:textId="6454802E" w:rsidR="00D73BD4" w:rsidRDefault="00D73BD4" w:rsidP="00A95C74">
      <w:pPr>
        <w:ind w:firstLine="1440"/>
        <w:contextualSpacing/>
        <w:jc w:val="left"/>
        <w:rPr>
          <w:sz w:val="26"/>
          <w:szCs w:val="26"/>
        </w:rPr>
      </w:pPr>
      <w:r w:rsidRPr="00D73BD4">
        <w:rPr>
          <w:rFonts w:eastAsia="Times New Roman"/>
          <w:sz w:val="26"/>
          <w:szCs w:val="26"/>
        </w:rPr>
        <w:t xml:space="preserve">Furthermore, </w:t>
      </w:r>
      <w:r w:rsidRPr="00D73BD4">
        <w:rPr>
          <w:sz w:val="26"/>
          <w:szCs w:val="26"/>
        </w:rPr>
        <w:t xml:space="preserve">we note that in </w:t>
      </w:r>
      <w:r w:rsidRPr="00D73BD4">
        <w:rPr>
          <w:i/>
          <w:sz w:val="26"/>
          <w:szCs w:val="26"/>
        </w:rPr>
        <w:t xml:space="preserve">Angie’s Bar v. Duquesne Light Company, </w:t>
      </w:r>
      <w:r w:rsidRPr="00D73BD4">
        <w:rPr>
          <w:sz w:val="26"/>
          <w:szCs w:val="26"/>
        </w:rPr>
        <w:t xml:space="preserve">72 Pa. P.U.C. 213 (1990), </w:t>
      </w:r>
      <w:r w:rsidR="00DB7EAC">
        <w:rPr>
          <w:sz w:val="26"/>
          <w:szCs w:val="26"/>
        </w:rPr>
        <w:t>we</w:t>
      </w:r>
      <w:r w:rsidRPr="00D73BD4">
        <w:rPr>
          <w:sz w:val="26"/>
          <w:szCs w:val="26"/>
        </w:rPr>
        <w:t xml:space="preserve"> </w:t>
      </w:r>
      <w:r w:rsidR="005B1AA0">
        <w:rPr>
          <w:sz w:val="26"/>
          <w:szCs w:val="26"/>
        </w:rPr>
        <w:t xml:space="preserve">determined </w:t>
      </w:r>
      <w:r w:rsidRPr="00D73BD4">
        <w:rPr>
          <w:sz w:val="26"/>
          <w:szCs w:val="26"/>
        </w:rPr>
        <w:t>that Section 1312 of the Code permits ratepayers to seek refunds up to a four-year period measured from the date that the improper billing was discovered when certain findings are made.</w:t>
      </w:r>
    </w:p>
    <w:p w14:paraId="21D5615E" w14:textId="77777777" w:rsidR="00DB7EAC" w:rsidRPr="00A95C74" w:rsidRDefault="00DB7EAC" w:rsidP="00A95C74">
      <w:pPr>
        <w:ind w:firstLine="1440"/>
        <w:contextualSpacing/>
        <w:jc w:val="left"/>
        <w:rPr>
          <w:rFonts w:eastAsia="Times New Roman"/>
          <w:sz w:val="26"/>
          <w:szCs w:val="26"/>
        </w:rPr>
      </w:pPr>
    </w:p>
    <w:p w14:paraId="309C6CCD" w14:textId="5F696FE4" w:rsidR="00D73BD4" w:rsidRPr="00D73BD4" w:rsidRDefault="00D73BD4" w:rsidP="00D73BD4">
      <w:pPr>
        <w:autoSpaceDE w:val="0"/>
        <w:autoSpaceDN w:val="0"/>
        <w:adjustRightInd w:val="0"/>
        <w:ind w:firstLine="1440"/>
        <w:contextualSpacing/>
        <w:jc w:val="left"/>
        <w:rPr>
          <w:sz w:val="26"/>
          <w:szCs w:val="26"/>
        </w:rPr>
      </w:pPr>
      <w:r w:rsidRPr="00D73BD4">
        <w:rPr>
          <w:sz w:val="26"/>
          <w:szCs w:val="26"/>
        </w:rPr>
        <w:t xml:space="preserve">Nevertheless, we find that </w:t>
      </w:r>
      <w:r w:rsidR="005B1AA0">
        <w:rPr>
          <w:sz w:val="26"/>
          <w:szCs w:val="26"/>
        </w:rPr>
        <w:t xml:space="preserve">in the instant proceeding, </w:t>
      </w:r>
      <w:r w:rsidRPr="00D73BD4">
        <w:rPr>
          <w:sz w:val="26"/>
          <w:szCs w:val="26"/>
        </w:rPr>
        <w:t>ALJ Vero employed sound rationale in concluding that PECO did not deceive the Complainant, and the doctrine of equitable estoppel does not act to toll the statute of limitations in this matter.  Furthermore, we find the Complainant’s new legal argument</w:t>
      </w:r>
      <w:r w:rsidR="00872EC3">
        <w:rPr>
          <w:sz w:val="26"/>
          <w:szCs w:val="26"/>
        </w:rPr>
        <w:t xml:space="preserve"> that it </w:t>
      </w:r>
      <w:r w:rsidRPr="00D73BD4">
        <w:rPr>
          <w:sz w:val="26"/>
          <w:szCs w:val="26"/>
        </w:rPr>
        <w:t>introduce</w:t>
      </w:r>
      <w:r w:rsidR="00872EC3">
        <w:rPr>
          <w:sz w:val="26"/>
          <w:szCs w:val="26"/>
        </w:rPr>
        <w:t>s</w:t>
      </w:r>
      <w:r w:rsidRPr="00D73BD4">
        <w:rPr>
          <w:sz w:val="26"/>
          <w:szCs w:val="26"/>
        </w:rPr>
        <w:t xml:space="preserve"> in its Exceptions</w:t>
      </w:r>
      <w:r w:rsidR="00872EC3">
        <w:rPr>
          <w:sz w:val="26"/>
          <w:szCs w:val="26"/>
        </w:rPr>
        <w:t xml:space="preserve"> </w:t>
      </w:r>
      <w:r w:rsidR="008A7344">
        <w:rPr>
          <w:sz w:val="26"/>
          <w:szCs w:val="26"/>
        </w:rPr>
        <w:t xml:space="preserve">as an </w:t>
      </w:r>
      <w:r w:rsidRPr="00D73BD4">
        <w:rPr>
          <w:sz w:val="26"/>
          <w:szCs w:val="26"/>
        </w:rPr>
        <w:t xml:space="preserve">attempt to justify a tolling of the statute of limitations by referencing an informal complaint filed with the Commission, does not toll the statute of limitations in the way envisioned by the ruling in </w:t>
      </w:r>
      <w:r w:rsidRPr="00D73BD4">
        <w:rPr>
          <w:i/>
          <w:sz w:val="26"/>
          <w:szCs w:val="26"/>
        </w:rPr>
        <w:t>Duquesne</w:t>
      </w:r>
      <w:r w:rsidRPr="00D73BD4">
        <w:rPr>
          <w:sz w:val="26"/>
          <w:szCs w:val="26"/>
        </w:rPr>
        <w:t>.  The record in this case shows that the Complainant, through its owner, Mr. Mostafa, did file an informal complaint with BCS on October 28, 2009</w:t>
      </w:r>
      <w:r w:rsidR="008A7344">
        <w:rPr>
          <w:sz w:val="26"/>
          <w:szCs w:val="26"/>
        </w:rPr>
        <w:t>,</w:t>
      </w:r>
      <w:r w:rsidRPr="00D73BD4">
        <w:rPr>
          <w:sz w:val="26"/>
          <w:szCs w:val="26"/>
        </w:rPr>
        <w:t xml:space="preserve"> at Case No. 2612569.  However, contrary to the Complainant’s argument that it has no affiliation with the business at the Easton Service Address, the informal complaint at BCS Case No. 2612569 pertained to service PECO was providing to the Easton Service Address and simply raised a deposit dispute.  The </w:t>
      </w:r>
      <w:proofErr w:type="gramStart"/>
      <w:r w:rsidRPr="00D73BD4">
        <w:rPr>
          <w:sz w:val="26"/>
          <w:szCs w:val="26"/>
        </w:rPr>
        <w:t>aforementioned informal</w:t>
      </w:r>
      <w:proofErr w:type="gramEnd"/>
      <w:r w:rsidRPr="00D73BD4">
        <w:rPr>
          <w:sz w:val="26"/>
          <w:szCs w:val="26"/>
        </w:rPr>
        <w:t xml:space="preserve"> complaint contained no allegations regarding billing claims</w:t>
      </w:r>
      <w:r w:rsidR="0028718E">
        <w:rPr>
          <w:sz w:val="26"/>
          <w:szCs w:val="26"/>
        </w:rPr>
        <w:t>;</w:t>
      </w:r>
      <w:r w:rsidRPr="00D73BD4">
        <w:rPr>
          <w:sz w:val="26"/>
          <w:szCs w:val="26"/>
        </w:rPr>
        <w:t xml:space="preserve"> nor did it pertain to service provided to the Jenkintown Service Address.  Furthermore, the Complainant offers no reason why this argument was not, or could not, have been previously made </w:t>
      </w:r>
      <w:proofErr w:type="gramStart"/>
      <w:r w:rsidRPr="00D73BD4">
        <w:rPr>
          <w:sz w:val="26"/>
          <w:szCs w:val="26"/>
        </w:rPr>
        <w:t>during the course of</w:t>
      </w:r>
      <w:proofErr w:type="gramEnd"/>
      <w:r w:rsidRPr="00D73BD4">
        <w:rPr>
          <w:sz w:val="26"/>
          <w:szCs w:val="26"/>
        </w:rPr>
        <w:t xml:space="preserve"> the proceeding.</w:t>
      </w:r>
      <w:r w:rsidRPr="00D73BD4">
        <w:rPr>
          <w:sz w:val="26"/>
          <w:szCs w:val="26"/>
          <w:vertAlign w:val="superscript"/>
        </w:rPr>
        <w:footnoteReference w:id="6"/>
      </w:r>
      <w:r w:rsidRPr="00D73BD4">
        <w:rPr>
          <w:sz w:val="26"/>
          <w:szCs w:val="26"/>
        </w:rPr>
        <w:t xml:space="preserve">  Therefore, we </w:t>
      </w:r>
      <w:r w:rsidR="00EA0127">
        <w:rPr>
          <w:sz w:val="26"/>
          <w:szCs w:val="26"/>
        </w:rPr>
        <w:t xml:space="preserve">conclude that </w:t>
      </w:r>
      <w:r w:rsidRPr="00D73BD4">
        <w:rPr>
          <w:sz w:val="26"/>
          <w:szCs w:val="26"/>
        </w:rPr>
        <w:t>the prior filing of the informal complaint at BCS Case No. 2612569 does not toll the statute of limitations on the Complainant’s over</w:t>
      </w:r>
      <w:r w:rsidR="00EA0127">
        <w:rPr>
          <w:sz w:val="26"/>
          <w:szCs w:val="26"/>
        </w:rPr>
        <w:t>-</w:t>
      </w:r>
      <w:r w:rsidRPr="00D73BD4">
        <w:rPr>
          <w:sz w:val="26"/>
          <w:szCs w:val="26"/>
        </w:rPr>
        <w:t>billing claims arising from the Jenkintown Service Address in this case.</w:t>
      </w:r>
      <w:r w:rsidRPr="00D73BD4">
        <w:rPr>
          <w:vertAlign w:val="superscript"/>
        </w:rPr>
        <w:footnoteReference w:id="7"/>
      </w:r>
    </w:p>
    <w:p w14:paraId="7C06B79B" w14:textId="77777777" w:rsidR="00D73BD4" w:rsidRPr="00D73BD4" w:rsidRDefault="00D73BD4" w:rsidP="00D73BD4">
      <w:pPr>
        <w:autoSpaceDE w:val="0"/>
        <w:autoSpaceDN w:val="0"/>
        <w:adjustRightInd w:val="0"/>
        <w:ind w:firstLine="1440"/>
        <w:contextualSpacing/>
        <w:jc w:val="left"/>
        <w:rPr>
          <w:sz w:val="26"/>
          <w:szCs w:val="26"/>
        </w:rPr>
      </w:pPr>
    </w:p>
    <w:p w14:paraId="28BEABEC" w14:textId="1AE936E8" w:rsidR="00D73BD4" w:rsidRPr="00D73BD4" w:rsidRDefault="00D73BD4" w:rsidP="00D73BD4">
      <w:pPr>
        <w:autoSpaceDE w:val="0"/>
        <w:autoSpaceDN w:val="0"/>
        <w:adjustRightInd w:val="0"/>
        <w:ind w:firstLine="1440"/>
        <w:contextualSpacing/>
        <w:jc w:val="left"/>
        <w:rPr>
          <w:sz w:val="26"/>
          <w:szCs w:val="26"/>
        </w:rPr>
      </w:pPr>
      <w:r w:rsidRPr="00D73BD4">
        <w:rPr>
          <w:sz w:val="26"/>
          <w:szCs w:val="26"/>
        </w:rPr>
        <w:t xml:space="preserve">Concerning the Complainant’s contention that it was improperly billed for service at the Easton Service Address, we are compelled by the facts of the case, as well as the ALJ’s discussion of this issue, to agree with ALJ Vero’s conclusion that PECO properly transferred the $1,018.62 balance from the Easton Service Address account to the Jenkintown Service Address account.  Furthermore, as indicated above, the Complainant, through its Exceptions, accepted ownership of the BCS informal complaint filed on October 28, 2009.  By doing this, the Complainant has </w:t>
      </w:r>
      <w:r w:rsidR="00D050AF">
        <w:rPr>
          <w:sz w:val="26"/>
          <w:szCs w:val="26"/>
        </w:rPr>
        <w:t xml:space="preserve">essentially </w:t>
      </w:r>
      <w:r w:rsidRPr="00D73BD4">
        <w:rPr>
          <w:sz w:val="26"/>
          <w:szCs w:val="26"/>
        </w:rPr>
        <w:t xml:space="preserve">admitted liability for billed electric service at the Easton Service Address, including the transferred balance of $1,018.62 now in dispute.  Therefore, we find that the ALJ properly concluded that when the service account at the Easton Service Address was closed with a final unpaid balance of 1,018.62, </w:t>
      </w:r>
      <w:r w:rsidR="00D050AF">
        <w:rPr>
          <w:sz w:val="26"/>
          <w:szCs w:val="26"/>
        </w:rPr>
        <w:t xml:space="preserve">PECO properly transferred </w:t>
      </w:r>
      <w:r w:rsidRPr="00D73BD4">
        <w:rPr>
          <w:sz w:val="26"/>
          <w:szCs w:val="26"/>
        </w:rPr>
        <w:t>the unpaid balance to the active service account at the Jenkintown Service Address.</w:t>
      </w:r>
    </w:p>
    <w:p w14:paraId="102BADE8" w14:textId="23A139DD" w:rsidR="001D31AF" w:rsidRDefault="001D31AF" w:rsidP="002A6A08">
      <w:pPr>
        <w:ind w:firstLine="1440"/>
        <w:contextualSpacing/>
        <w:jc w:val="left"/>
        <w:rPr>
          <w:rFonts w:ascii="Times New (W1)" w:hAnsi="Times New (W1)"/>
          <w:sz w:val="26"/>
        </w:rPr>
      </w:pPr>
    </w:p>
    <w:p w14:paraId="5AC467CF" w14:textId="1427C4B6" w:rsidR="001E069E" w:rsidRPr="00E51505" w:rsidRDefault="001E069E" w:rsidP="00EF1FC5">
      <w:pPr>
        <w:keepNext/>
        <w:keepLines/>
        <w:autoSpaceDE w:val="0"/>
        <w:autoSpaceDN w:val="0"/>
        <w:adjustRightInd w:val="0"/>
        <w:spacing w:line="240" w:lineRule="auto"/>
        <w:ind w:left="720" w:hanging="720"/>
        <w:contextualSpacing/>
        <w:jc w:val="left"/>
        <w:rPr>
          <w:b/>
          <w:sz w:val="26"/>
          <w:szCs w:val="26"/>
        </w:rPr>
      </w:pPr>
      <w:r>
        <w:rPr>
          <w:rFonts w:eastAsiaTheme="minorHAnsi"/>
          <w:b/>
          <w:sz w:val="26"/>
          <w:szCs w:val="26"/>
        </w:rPr>
        <w:t>C</w:t>
      </w:r>
      <w:r w:rsidRPr="005A46A8">
        <w:rPr>
          <w:rFonts w:eastAsiaTheme="minorHAnsi"/>
          <w:b/>
          <w:sz w:val="26"/>
          <w:szCs w:val="26"/>
        </w:rPr>
        <w:t>.</w:t>
      </w:r>
      <w:r w:rsidRPr="005A46A8">
        <w:rPr>
          <w:rFonts w:eastAsiaTheme="minorHAnsi"/>
          <w:b/>
          <w:sz w:val="26"/>
          <w:szCs w:val="26"/>
        </w:rPr>
        <w:tab/>
      </w:r>
      <w:r>
        <w:rPr>
          <w:b/>
          <w:sz w:val="26"/>
          <w:szCs w:val="26"/>
        </w:rPr>
        <w:t>High Billing Dispute for the Jenkintown Service Address</w:t>
      </w:r>
    </w:p>
    <w:p w14:paraId="3BCF4E16" w14:textId="77777777" w:rsidR="001E069E" w:rsidRDefault="001E069E" w:rsidP="00EF1FC5">
      <w:pPr>
        <w:keepNext/>
        <w:keepLines/>
        <w:ind w:firstLine="1440"/>
        <w:contextualSpacing/>
        <w:jc w:val="left"/>
        <w:rPr>
          <w:rFonts w:ascii="Times New (W1)" w:hAnsi="Times New (W1)"/>
          <w:sz w:val="26"/>
        </w:rPr>
      </w:pPr>
    </w:p>
    <w:p w14:paraId="1AF38354" w14:textId="77777777" w:rsidR="001E069E" w:rsidRDefault="001E069E" w:rsidP="00EF1FC5">
      <w:pPr>
        <w:keepNext/>
        <w:keepLines/>
        <w:numPr>
          <w:ilvl w:val="0"/>
          <w:numId w:val="15"/>
        </w:numPr>
        <w:autoSpaceDE w:val="0"/>
        <w:autoSpaceDN w:val="0"/>
        <w:adjustRightInd w:val="0"/>
        <w:ind w:left="1440" w:hanging="720"/>
        <w:contextualSpacing/>
        <w:jc w:val="left"/>
        <w:rPr>
          <w:b/>
          <w:sz w:val="26"/>
          <w:szCs w:val="26"/>
        </w:rPr>
      </w:pPr>
      <w:r>
        <w:rPr>
          <w:b/>
          <w:sz w:val="26"/>
          <w:szCs w:val="26"/>
        </w:rPr>
        <w:t>ALJ’s Initial Decision</w:t>
      </w:r>
    </w:p>
    <w:p w14:paraId="7B3588DB" w14:textId="20DA9C17" w:rsidR="001D31AF" w:rsidRDefault="001D31AF" w:rsidP="00EF1FC5">
      <w:pPr>
        <w:keepNext/>
        <w:keepLines/>
        <w:ind w:firstLine="1440"/>
        <w:contextualSpacing/>
        <w:jc w:val="left"/>
        <w:rPr>
          <w:rFonts w:ascii="Times New (W1)" w:hAnsi="Times New (W1)"/>
          <w:sz w:val="26"/>
        </w:rPr>
      </w:pPr>
    </w:p>
    <w:p w14:paraId="328160F3" w14:textId="6BE52B96" w:rsidR="001E069E" w:rsidRPr="001E069E" w:rsidRDefault="001E069E" w:rsidP="001E069E">
      <w:pPr>
        <w:autoSpaceDE w:val="0"/>
        <w:autoSpaceDN w:val="0"/>
        <w:adjustRightInd w:val="0"/>
        <w:ind w:firstLine="1440"/>
        <w:contextualSpacing/>
        <w:jc w:val="left"/>
        <w:rPr>
          <w:sz w:val="26"/>
          <w:szCs w:val="26"/>
        </w:rPr>
      </w:pPr>
      <w:r w:rsidRPr="001E069E">
        <w:rPr>
          <w:spacing w:val="-3"/>
          <w:sz w:val="26"/>
          <w:szCs w:val="26"/>
        </w:rPr>
        <w:t xml:space="preserve">The ALJ cited </w:t>
      </w:r>
      <w:r w:rsidRPr="001E069E">
        <w:rPr>
          <w:i/>
          <w:sz w:val="26"/>
          <w:szCs w:val="26"/>
        </w:rPr>
        <w:t xml:space="preserve">Waldron </w:t>
      </w:r>
      <w:r w:rsidRPr="001E069E">
        <w:rPr>
          <w:sz w:val="26"/>
          <w:szCs w:val="26"/>
        </w:rPr>
        <w:t xml:space="preserve">for the proposition that a customer establishes a </w:t>
      </w:r>
      <w:r w:rsidRPr="001E069E">
        <w:rPr>
          <w:i/>
          <w:sz w:val="26"/>
          <w:szCs w:val="26"/>
        </w:rPr>
        <w:t>prima facie</w:t>
      </w:r>
      <w:r w:rsidRPr="001E069E">
        <w:rPr>
          <w:sz w:val="26"/>
          <w:szCs w:val="26"/>
        </w:rPr>
        <w:t xml:space="preserve"> case, sufficient to initially satisfy the burden of proof, upon the presentation of evidence establishing that: (1) the number of occupants in the household has not changed; (2) the customer has a low potential for energy use; and (3)</w:t>
      </w:r>
      <w:r w:rsidR="00A1774A">
        <w:rPr>
          <w:sz w:val="26"/>
          <w:szCs w:val="26"/>
        </w:rPr>
        <w:t> </w:t>
      </w:r>
      <w:r w:rsidRPr="001E069E">
        <w:rPr>
          <w:sz w:val="26"/>
          <w:szCs w:val="26"/>
        </w:rPr>
        <w:t>the customer’s billing history shows no previous abnormalities.  I.D. at 26-27.</w:t>
      </w:r>
    </w:p>
    <w:p w14:paraId="28712338" w14:textId="77777777" w:rsidR="001E069E" w:rsidRPr="001E069E" w:rsidRDefault="001E069E" w:rsidP="001E069E">
      <w:pPr>
        <w:autoSpaceDE w:val="0"/>
        <w:autoSpaceDN w:val="0"/>
        <w:adjustRightInd w:val="0"/>
        <w:ind w:firstLine="1440"/>
        <w:contextualSpacing/>
        <w:jc w:val="left"/>
        <w:rPr>
          <w:sz w:val="26"/>
          <w:szCs w:val="26"/>
        </w:rPr>
      </w:pPr>
    </w:p>
    <w:p w14:paraId="1760E620" w14:textId="3CE553A7" w:rsidR="001E069E" w:rsidRPr="001E069E" w:rsidRDefault="00A1774A" w:rsidP="001E069E">
      <w:pPr>
        <w:autoSpaceDE w:val="0"/>
        <w:autoSpaceDN w:val="0"/>
        <w:adjustRightInd w:val="0"/>
        <w:ind w:firstLine="1440"/>
        <w:contextualSpacing/>
        <w:jc w:val="left"/>
        <w:rPr>
          <w:sz w:val="26"/>
          <w:szCs w:val="26"/>
        </w:rPr>
      </w:pPr>
      <w:r>
        <w:rPr>
          <w:sz w:val="26"/>
          <w:szCs w:val="26"/>
        </w:rPr>
        <w:t xml:space="preserve">In addressing </w:t>
      </w:r>
      <w:r w:rsidR="001E069E" w:rsidRPr="001E069E">
        <w:rPr>
          <w:sz w:val="26"/>
          <w:szCs w:val="26"/>
        </w:rPr>
        <w:t>the Complainant’s contention that its bills were unreasonably high</w:t>
      </w:r>
      <w:r>
        <w:rPr>
          <w:sz w:val="26"/>
          <w:szCs w:val="26"/>
        </w:rPr>
        <w:t xml:space="preserve">, the ALJ noted that </w:t>
      </w:r>
      <w:r w:rsidR="001E069E" w:rsidRPr="001E069E">
        <w:rPr>
          <w:sz w:val="26"/>
          <w:szCs w:val="26"/>
        </w:rPr>
        <w:t xml:space="preserve">the Complainant </w:t>
      </w:r>
      <w:r w:rsidR="00047C09">
        <w:rPr>
          <w:sz w:val="26"/>
          <w:szCs w:val="26"/>
        </w:rPr>
        <w:t xml:space="preserve">never </w:t>
      </w:r>
      <w:r w:rsidR="001E069E" w:rsidRPr="001E069E">
        <w:rPr>
          <w:sz w:val="26"/>
          <w:szCs w:val="26"/>
        </w:rPr>
        <w:t>specif</w:t>
      </w:r>
      <w:r w:rsidR="00047C09">
        <w:rPr>
          <w:sz w:val="26"/>
          <w:szCs w:val="26"/>
        </w:rPr>
        <w:t>ied</w:t>
      </w:r>
      <w:r w:rsidR="001E069E" w:rsidRPr="001E069E">
        <w:rPr>
          <w:sz w:val="26"/>
          <w:szCs w:val="26"/>
        </w:rPr>
        <w:t xml:space="preserve"> when its bills allegedly began to increase</w:t>
      </w:r>
      <w:r w:rsidR="00047C09">
        <w:rPr>
          <w:sz w:val="26"/>
          <w:szCs w:val="26"/>
        </w:rPr>
        <w:t xml:space="preserve">; </w:t>
      </w:r>
      <w:r w:rsidR="001E069E" w:rsidRPr="001E069E">
        <w:rPr>
          <w:sz w:val="26"/>
          <w:szCs w:val="26"/>
        </w:rPr>
        <w:t xml:space="preserve">nor </w:t>
      </w:r>
      <w:r w:rsidR="00047C09">
        <w:rPr>
          <w:sz w:val="26"/>
          <w:szCs w:val="26"/>
        </w:rPr>
        <w:t xml:space="preserve">did the Complainant </w:t>
      </w:r>
      <w:r w:rsidR="001E069E" w:rsidRPr="001E069E">
        <w:rPr>
          <w:sz w:val="26"/>
          <w:szCs w:val="26"/>
        </w:rPr>
        <w:t>single out any bills or billing period for comparison purposes.  The ALJ examined the data provided by PECO regarding the Complainant’s historical energy usage at the Jenkintown Service Address over approximately a seven</w:t>
      </w:r>
      <w:r w:rsidR="001E069E" w:rsidRPr="001E069E">
        <w:rPr>
          <w:sz w:val="26"/>
          <w:szCs w:val="26"/>
        </w:rPr>
        <w:noBreakHyphen/>
        <w:t xml:space="preserve">year period, </w:t>
      </w:r>
      <w:r w:rsidR="00047C09">
        <w:rPr>
          <w:sz w:val="26"/>
          <w:szCs w:val="26"/>
        </w:rPr>
        <w:t xml:space="preserve">from </w:t>
      </w:r>
      <w:r w:rsidR="001E069E" w:rsidRPr="001E069E">
        <w:rPr>
          <w:sz w:val="26"/>
          <w:szCs w:val="26"/>
        </w:rPr>
        <w:t>2010</w:t>
      </w:r>
      <w:r w:rsidR="00047C09">
        <w:rPr>
          <w:sz w:val="26"/>
          <w:szCs w:val="26"/>
        </w:rPr>
        <w:t xml:space="preserve"> to 2</w:t>
      </w:r>
      <w:r w:rsidR="001E069E" w:rsidRPr="001E069E">
        <w:rPr>
          <w:sz w:val="26"/>
          <w:szCs w:val="26"/>
        </w:rPr>
        <w:t xml:space="preserve">016.  ALJ Vero noted that the Complainant’s electrical usage is seasonal, characterized by higher usage in warmer months.  The ALJ </w:t>
      </w:r>
      <w:r w:rsidR="00047C09">
        <w:rPr>
          <w:sz w:val="26"/>
          <w:szCs w:val="26"/>
        </w:rPr>
        <w:t xml:space="preserve">found that </w:t>
      </w:r>
      <w:r w:rsidR="001E069E" w:rsidRPr="001E069E">
        <w:rPr>
          <w:sz w:val="26"/>
          <w:szCs w:val="26"/>
        </w:rPr>
        <w:t xml:space="preserve">although the Complainant’s electricity usage declined during the period 2012-2014, </w:t>
      </w:r>
      <w:r w:rsidR="00550676">
        <w:rPr>
          <w:sz w:val="26"/>
          <w:szCs w:val="26"/>
        </w:rPr>
        <w:t xml:space="preserve">its </w:t>
      </w:r>
      <w:r w:rsidR="001E069E" w:rsidRPr="001E069E">
        <w:rPr>
          <w:sz w:val="26"/>
          <w:szCs w:val="26"/>
        </w:rPr>
        <w:t>usage increased again in the warmer months of July</w:t>
      </w:r>
      <w:r w:rsidR="00550676">
        <w:rPr>
          <w:sz w:val="26"/>
          <w:szCs w:val="26"/>
        </w:rPr>
        <w:t xml:space="preserve"> to O</w:t>
      </w:r>
      <w:r w:rsidR="001E069E" w:rsidRPr="001E069E">
        <w:rPr>
          <w:sz w:val="26"/>
          <w:szCs w:val="26"/>
        </w:rPr>
        <w:t>ctober 2016.  The ALJ opined that, based on the Complainant’s testimony, the increase in electricity usage in 2016 likely resulted from the installation of an air conditioning unit at the Jenkintown Service Address.  Additionally, the ALJ noted that the Complainant’s gas usage is not seasonal and has been constant through the years with slight decreases in 2011 and 2016.  I.D. at 29-30.</w:t>
      </w:r>
    </w:p>
    <w:p w14:paraId="7B6917BD" w14:textId="77777777" w:rsidR="001E069E" w:rsidRPr="001E069E" w:rsidRDefault="001E069E" w:rsidP="001E069E">
      <w:pPr>
        <w:autoSpaceDE w:val="0"/>
        <w:autoSpaceDN w:val="0"/>
        <w:adjustRightInd w:val="0"/>
        <w:ind w:firstLine="1440"/>
        <w:contextualSpacing/>
        <w:jc w:val="left"/>
        <w:rPr>
          <w:sz w:val="26"/>
          <w:szCs w:val="26"/>
        </w:rPr>
      </w:pPr>
    </w:p>
    <w:p w14:paraId="09C09DC2" w14:textId="77777777" w:rsidR="001E069E" w:rsidRPr="001E069E" w:rsidRDefault="001E069E" w:rsidP="001E069E">
      <w:pPr>
        <w:autoSpaceDE w:val="0"/>
        <w:autoSpaceDN w:val="0"/>
        <w:adjustRightInd w:val="0"/>
        <w:ind w:firstLine="1440"/>
        <w:contextualSpacing/>
        <w:jc w:val="left"/>
        <w:rPr>
          <w:sz w:val="26"/>
          <w:szCs w:val="26"/>
        </w:rPr>
      </w:pPr>
      <w:r w:rsidRPr="001E069E">
        <w:rPr>
          <w:sz w:val="26"/>
          <w:szCs w:val="26"/>
        </w:rPr>
        <w:t xml:space="preserve">The ALJ also noted that based on the results of PECO’s field investigation on December 15, 2015, a PECO technician concluded that the Complainant had the potential for using between 3,000-9,000 kWh per month, as well as the potential for using between 300-600 CCFs of gas per month.  I.D. at 28.  ALJ Vero, therefore, concluded that the aforementioned historical usage which she examined was within the Complainant’s potential for energy usage as calculated by PECO.  I.D. at 30.  </w:t>
      </w:r>
    </w:p>
    <w:p w14:paraId="3D70C4C3" w14:textId="77777777" w:rsidR="001E069E" w:rsidRPr="001E069E" w:rsidRDefault="001E069E" w:rsidP="001E069E">
      <w:pPr>
        <w:autoSpaceDE w:val="0"/>
        <w:autoSpaceDN w:val="0"/>
        <w:adjustRightInd w:val="0"/>
        <w:ind w:firstLine="1440"/>
        <w:contextualSpacing/>
        <w:jc w:val="left"/>
        <w:rPr>
          <w:sz w:val="26"/>
          <w:szCs w:val="26"/>
        </w:rPr>
      </w:pPr>
    </w:p>
    <w:p w14:paraId="2A3949E7" w14:textId="36968092" w:rsidR="001E069E" w:rsidRPr="001E069E" w:rsidRDefault="001E069E" w:rsidP="001E069E">
      <w:pPr>
        <w:autoSpaceDE w:val="0"/>
        <w:autoSpaceDN w:val="0"/>
        <w:adjustRightInd w:val="0"/>
        <w:ind w:firstLine="1440"/>
        <w:contextualSpacing/>
        <w:jc w:val="left"/>
        <w:rPr>
          <w:sz w:val="26"/>
          <w:szCs w:val="26"/>
        </w:rPr>
      </w:pPr>
      <w:r w:rsidRPr="001E069E">
        <w:rPr>
          <w:sz w:val="26"/>
          <w:szCs w:val="26"/>
        </w:rPr>
        <w:t>The ALJ also reasoned that the Complainant failed to prove that its meters were not accurately reporting its consumption.  In this regard, the ALJ noted that on February 22, 2016, PECO tested the Complainant’s electric meter at the Jenkintown Service Address and determined that the meter registered 100.03 percent accurate on full load tests, and 100.05 percent accurate on light load tests.</w:t>
      </w:r>
      <w:r w:rsidRPr="001E069E">
        <w:rPr>
          <w:sz w:val="26"/>
          <w:szCs w:val="26"/>
          <w:vertAlign w:val="superscript"/>
        </w:rPr>
        <w:t xml:space="preserve"> </w:t>
      </w:r>
      <w:r w:rsidRPr="001E069E">
        <w:rPr>
          <w:sz w:val="26"/>
          <w:szCs w:val="26"/>
          <w:vertAlign w:val="superscript"/>
        </w:rPr>
        <w:footnoteReference w:id="8"/>
      </w:r>
      <w:r w:rsidRPr="001E069E">
        <w:rPr>
          <w:sz w:val="26"/>
          <w:szCs w:val="26"/>
        </w:rPr>
        <w:t xml:space="preserve">  I.D. at 29.</w:t>
      </w:r>
    </w:p>
    <w:p w14:paraId="72D4ED52" w14:textId="77777777" w:rsidR="001E069E" w:rsidRPr="001E069E" w:rsidRDefault="001E069E" w:rsidP="001E069E">
      <w:pPr>
        <w:autoSpaceDE w:val="0"/>
        <w:autoSpaceDN w:val="0"/>
        <w:adjustRightInd w:val="0"/>
        <w:ind w:firstLine="1440"/>
        <w:contextualSpacing/>
        <w:jc w:val="left"/>
        <w:rPr>
          <w:sz w:val="26"/>
          <w:szCs w:val="26"/>
        </w:rPr>
      </w:pPr>
    </w:p>
    <w:p w14:paraId="6DA14AC9" w14:textId="1B3A4575" w:rsidR="001E069E" w:rsidRPr="001E069E" w:rsidRDefault="001E069E" w:rsidP="001E069E">
      <w:pPr>
        <w:autoSpaceDE w:val="0"/>
        <w:autoSpaceDN w:val="0"/>
        <w:adjustRightInd w:val="0"/>
        <w:ind w:firstLine="1440"/>
        <w:contextualSpacing/>
        <w:jc w:val="left"/>
        <w:rPr>
          <w:sz w:val="26"/>
          <w:szCs w:val="26"/>
        </w:rPr>
      </w:pPr>
      <w:r w:rsidRPr="001E069E">
        <w:rPr>
          <w:sz w:val="26"/>
          <w:szCs w:val="26"/>
        </w:rPr>
        <w:t xml:space="preserve">ALJ Vero also saw no merit in Mr. Mostafa’s suspicions raised as a result of the comparisons he made between PECO’s readings and his own meter readings.  Mr. Mostafa argued that his meter readings, which he claims were taken in very close proximity to the dates in which PECO performed its readings, are inconsistent with PECO’s readings.  I.D. at 31.  </w:t>
      </w:r>
      <w:r w:rsidR="00B15CD2">
        <w:rPr>
          <w:sz w:val="26"/>
          <w:szCs w:val="26"/>
        </w:rPr>
        <w:t xml:space="preserve">PECO countered </w:t>
      </w:r>
      <w:r w:rsidRPr="001E069E">
        <w:rPr>
          <w:sz w:val="26"/>
          <w:szCs w:val="26"/>
        </w:rPr>
        <w:t xml:space="preserve">Mr. Mostafa’s suspicions by </w:t>
      </w:r>
      <w:r w:rsidR="00663C65">
        <w:rPr>
          <w:sz w:val="26"/>
          <w:szCs w:val="26"/>
        </w:rPr>
        <w:t xml:space="preserve">comparing the </w:t>
      </w:r>
      <w:r w:rsidRPr="001E069E">
        <w:rPr>
          <w:sz w:val="26"/>
          <w:szCs w:val="26"/>
        </w:rPr>
        <w:t xml:space="preserve">closest PECO readings to Mr. Mostafa’s readings and </w:t>
      </w:r>
      <w:r w:rsidR="00663C65">
        <w:rPr>
          <w:sz w:val="26"/>
          <w:szCs w:val="26"/>
        </w:rPr>
        <w:t xml:space="preserve">noting that </w:t>
      </w:r>
      <w:r w:rsidRPr="001E069E">
        <w:rPr>
          <w:sz w:val="26"/>
          <w:szCs w:val="26"/>
        </w:rPr>
        <w:t xml:space="preserve">PECO’s readings are collected at midnight.  </w:t>
      </w:r>
      <w:r w:rsidRPr="001E069E">
        <w:rPr>
          <w:i/>
          <w:sz w:val="26"/>
          <w:szCs w:val="26"/>
        </w:rPr>
        <w:t>Id</w:t>
      </w:r>
      <w:r w:rsidRPr="001E069E">
        <w:rPr>
          <w:sz w:val="26"/>
          <w:szCs w:val="26"/>
        </w:rPr>
        <w:t>.</w:t>
      </w:r>
    </w:p>
    <w:p w14:paraId="5FBF05B7" w14:textId="77777777" w:rsidR="001E069E" w:rsidRPr="001E069E" w:rsidRDefault="001E069E" w:rsidP="001E069E">
      <w:pPr>
        <w:autoSpaceDE w:val="0"/>
        <w:autoSpaceDN w:val="0"/>
        <w:adjustRightInd w:val="0"/>
        <w:ind w:firstLine="1440"/>
        <w:contextualSpacing/>
        <w:jc w:val="left"/>
        <w:rPr>
          <w:sz w:val="26"/>
          <w:szCs w:val="26"/>
        </w:rPr>
      </w:pPr>
    </w:p>
    <w:p w14:paraId="3E4B31B2" w14:textId="386C4A6D" w:rsidR="001E069E" w:rsidRPr="001E069E" w:rsidRDefault="001E069E" w:rsidP="001E069E">
      <w:pPr>
        <w:autoSpaceDE w:val="0"/>
        <w:autoSpaceDN w:val="0"/>
        <w:adjustRightInd w:val="0"/>
        <w:ind w:firstLine="1440"/>
        <w:contextualSpacing/>
        <w:jc w:val="left"/>
        <w:rPr>
          <w:sz w:val="26"/>
          <w:szCs w:val="26"/>
        </w:rPr>
      </w:pPr>
      <w:r w:rsidRPr="001E069E">
        <w:rPr>
          <w:sz w:val="26"/>
          <w:szCs w:val="26"/>
        </w:rPr>
        <w:t>Therefore, based on the record evidence</w:t>
      </w:r>
      <w:r w:rsidR="00663C65">
        <w:rPr>
          <w:sz w:val="26"/>
          <w:szCs w:val="26"/>
        </w:rPr>
        <w:t xml:space="preserve"> that </w:t>
      </w:r>
      <w:r w:rsidR="000837AA">
        <w:rPr>
          <w:sz w:val="26"/>
          <w:szCs w:val="26"/>
        </w:rPr>
        <w:t xml:space="preserve">proved that </w:t>
      </w:r>
      <w:r w:rsidR="00663C65">
        <w:rPr>
          <w:sz w:val="26"/>
          <w:szCs w:val="26"/>
        </w:rPr>
        <w:t xml:space="preserve">Complainant’s </w:t>
      </w:r>
      <w:r w:rsidRPr="001E069E">
        <w:rPr>
          <w:sz w:val="26"/>
          <w:szCs w:val="26"/>
        </w:rPr>
        <w:t xml:space="preserve">meter was accurately measuring its usage and the Complainant had the capacity to use the amount of energy that was consumed, </w:t>
      </w:r>
      <w:r w:rsidR="000837AA" w:rsidRPr="001E069E">
        <w:rPr>
          <w:sz w:val="26"/>
          <w:szCs w:val="26"/>
        </w:rPr>
        <w:t>ALJ Vero concluded that</w:t>
      </w:r>
      <w:r w:rsidR="000837AA">
        <w:rPr>
          <w:sz w:val="26"/>
          <w:szCs w:val="26"/>
        </w:rPr>
        <w:t xml:space="preserve"> </w:t>
      </w:r>
      <w:r w:rsidRPr="001E069E">
        <w:rPr>
          <w:sz w:val="26"/>
          <w:szCs w:val="26"/>
        </w:rPr>
        <w:t>the Complainant failed to show that its electric and/or gas bills from PECO were abnormally large.  I.D. at 32.</w:t>
      </w:r>
    </w:p>
    <w:p w14:paraId="7DA2E409" w14:textId="371F2860" w:rsidR="001D31AF" w:rsidRDefault="001D31AF" w:rsidP="002A6A08">
      <w:pPr>
        <w:ind w:firstLine="1440"/>
        <w:contextualSpacing/>
        <w:jc w:val="left"/>
        <w:rPr>
          <w:rFonts w:ascii="Times New (W1)" w:hAnsi="Times New (W1)"/>
          <w:sz w:val="26"/>
        </w:rPr>
      </w:pPr>
    </w:p>
    <w:p w14:paraId="68CDD820" w14:textId="28F95A10" w:rsidR="001E069E" w:rsidRPr="001E069E" w:rsidRDefault="001E069E" w:rsidP="00EF1FC5">
      <w:pPr>
        <w:pStyle w:val="ListParagraph"/>
        <w:keepNext/>
        <w:keepLines/>
        <w:numPr>
          <w:ilvl w:val="0"/>
          <w:numId w:val="15"/>
        </w:numPr>
        <w:autoSpaceDE w:val="0"/>
        <w:autoSpaceDN w:val="0"/>
        <w:adjustRightInd w:val="0"/>
        <w:ind w:left="1440" w:hanging="720"/>
        <w:jc w:val="left"/>
        <w:rPr>
          <w:b/>
          <w:sz w:val="26"/>
          <w:szCs w:val="26"/>
        </w:rPr>
      </w:pPr>
      <w:r w:rsidRPr="001E069E">
        <w:rPr>
          <w:b/>
          <w:sz w:val="26"/>
          <w:szCs w:val="26"/>
        </w:rPr>
        <w:t>Exceptions, Replies and Disposition</w:t>
      </w:r>
    </w:p>
    <w:p w14:paraId="415CCE28" w14:textId="7364535D" w:rsidR="001D31AF" w:rsidRDefault="001D31AF" w:rsidP="00EF1FC5">
      <w:pPr>
        <w:keepNext/>
        <w:keepLines/>
        <w:ind w:firstLine="1440"/>
        <w:contextualSpacing/>
        <w:jc w:val="left"/>
        <w:rPr>
          <w:rFonts w:ascii="Times New (W1)" w:hAnsi="Times New (W1)"/>
          <w:sz w:val="26"/>
        </w:rPr>
      </w:pPr>
    </w:p>
    <w:p w14:paraId="32DA8184" w14:textId="3D2119E5" w:rsidR="001E069E" w:rsidRPr="001E069E" w:rsidRDefault="001E069E" w:rsidP="001E069E">
      <w:pPr>
        <w:ind w:firstLine="1440"/>
        <w:contextualSpacing/>
        <w:jc w:val="left"/>
        <w:rPr>
          <w:sz w:val="26"/>
          <w:szCs w:val="26"/>
        </w:rPr>
      </w:pPr>
      <w:r w:rsidRPr="001E069E">
        <w:rPr>
          <w:sz w:val="26"/>
          <w:szCs w:val="26"/>
        </w:rPr>
        <w:t>Generally, as previously indicated, in a billing dispute before th</w:t>
      </w:r>
      <w:r w:rsidR="000837AA">
        <w:rPr>
          <w:sz w:val="26"/>
          <w:szCs w:val="26"/>
        </w:rPr>
        <w:t xml:space="preserve">is </w:t>
      </w:r>
      <w:r w:rsidRPr="001E069E">
        <w:rPr>
          <w:sz w:val="26"/>
          <w:szCs w:val="26"/>
        </w:rPr>
        <w:t>Commission, the Complainant has the burden of proving by a preponderance of the evidence that: (1) there has been no change in occupancy; (2) the customers do not have the capacity to use the amount billed; and (3) there were no prior consumption abnormalities.</w:t>
      </w:r>
    </w:p>
    <w:p w14:paraId="03A77CD9" w14:textId="77777777" w:rsidR="001E069E" w:rsidRPr="001E069E" w:rsidRDefault="001E069E" w:rsidP="001E069E">
      <w:pPr>
        <w:autoSpaceDE w:val="0"/>
        <w:autoSpaceDN w:val="0"/>
        <w:adjustRightInd w:val="0"/>
        <w:ind w:left="1440" w:firstLine="0"/>
        <w:contextualSpacing/>
        <w:jc w:val="left"/>
        <w:rPr>
          <w:sz w:val="26"/>
          <w:szCs w:val="26"/>
        </w:rPr>
      </w:pPr>
    </w:p>
    <w:p w14:paraId="4B6D46C8" w14:textId="1C618157" w:rsidR="001E069E" w:rsidRPr="001E069E" w:rsidRDefault="001E069E" w:rsidP="001E069E">
      <w:pPr>
        <w:autoSpaceDE w:val="0"/>
        <w:autoSpaceDN w:val="0"/>
        <w:adjustRightInd w:val="0"/>
        <w:ind w:firstLine="1440"/>
        <w:contextualSpacing/>
        <w:jc w:val="left"/>
        <w:rPr>
          <w:sz w:val="26"/>
          <w:szCs w:val="26"/>
        </w:rPr>
      </w:pPr>
      <w:r w:rsidRPr="001E069E">
        <w:rPr>
          <w:sz w:val="26"/>
          <w:szCs w:val="26"/>
        </w:rPr>
        <w:t>However, the principals involving high</w:t>
      </w:r>
      <w:r w:rsidR="006F19D7">
        <w:rPr>
          <w:sz w:val="26"/>
          <w:szCs w:val="26"/>
        </w:rPr>
        <w:t>-</w:t>
      </w:r>
      <w:r w:rsidRPr="001E069E">
        <w:rPr>
          <w:sz w:val="26"/>
          <w:szCs w:val="26"/>
        </w:rPr>
        <w:t>bill complaint proceedings that have been developed with respect to residential utility service cannot all be readily applied in this case because the Complainant is a corporation operating a commercial establishment.  However, we find that evidence tending to establish that the commercial Complainant has a low potential for energy use and that the billing history shows no previous abnormalities, would be relevant to a determination in this proceeding as to whether the bills were too high.</w:t>
      </w:r>
    </w:p>
    <w:p w14:paraId="3A41381B" w14:textId="77777777" w:rsidR="001E069E" w:rsidRPr="001E069E" w:rsidRDefault="001E069E" w:rsidP="001E069E">
      <w:pPr>
        <w:autoSpaceDE w:val="0"/>
        <w:autoSpaceDN w:val="0"/>
        <w:adjustRightInd w:val="0"/>
        <w:ind w:firstLine="1440"/>
        <w:contextualSpacing/>
        <w:jc w:val="left"/>
        <w:rPr>
          <w:sz w:val="26"/>
          <w:szCs w:val="26"/>
        </w:rPr>
      </w:pPr>
    </w:p>
    <w:p w14:paraId="7312284A" w14:textId="4FAEBEA4" w:rsidR="001E069E" w:rsidRPr="001E069E" w:rsidRDefault="001E069E" w:rsidP="001E069E">
      <w:pPr>
        <w:autoSpaceDE w:val="0"/>
        <w:autoSpaceDN w:val="0"/>
        <w:adjustRightInd w:val="0"/>
        <w:ind w:firstLine="1440"/>
        <w:contextualSpacing/>
        <w:jc w:val="left"/>
        <w:rPr>
          <w:sz w:val="26"/>
          <w:szCs w:val="26"/>
        </w:rPr>
      </w:pPr>
      <w:r w:rsidRPr="001E069E">
        <w:rPr>
          <w:sz w:val="26"/>
          <w:szCs w:val="26"/>
        </w:rPr>
        <w:t xml:space="preserve">In its Exceptions, the Complainant continues to dispute its billing and attempts to re-litigate </w:t>
      </w:r>
      <w:r w:rsidR="003E1735">
        <w:rPr>
          <w:sz w:val="26"/>
          <w:szCs w:val="26"/>
        </w:rPr>
        <w:t xml:space="preserve">its same </w:t>
      </w:r>
      <w:r w:rsidRPr="001E069E">
        <w:rPr>
          <w:sz w:val="26"/>
          <w:szCs w:val="26"/>
        </w:rPr>
        <w:t>issues in the form of Exceptions.  The Complainant does not challenge the results of PECO’s December15, 2015 field investigation, which outlines the Complainant’s potential for energy usage at the Jenkintown Service Address</w:t>
      </w:r>
      <w:r w:rsidR="00D87AAA">
        <w:rPr>
          <w:sz w:val="26"/>
          <w:szCs w:val="26"/>
        </w:rPr>
        <w:t>;</w:t>
      </w:r>
      <w:r w:rsidRPr="001E069E">
        <w:rPr>
          <w:sz w:val="26"/>
          <w:szCs w:val="26"/>
        </w:rPr>
        <w:t xml:space="preserve"> nor does the Complainant challenge the results of the meter test conducted by PECO on February 22, 2016.  The ALJ used these results in conjunction with the Complainant’s monthly electric and gas usage for the years 2010-2016, provided in PECO Exhibit No. 9, to conclude that the Complainant had the potential to use the electric and gas for which it was billed and that the meter was recording usage accurately.</w:t>
      </w:r>
    </w:p>
    <w:p w14:paraId="1AA09FD6" w14:textId="77777777" w:rsidR="001E069E" w:rsidRPr="001E069E" w:rsidRDefault="001E069E" w:rsidP="001E069E">
      <w:pPr>
        <w:autoSpaceDE w:val="0"/>
        <w:autoSpaceDN w:val="0"/>
        <w:adjustRightInd w:val="0"/>
        <w:ind w:firstLine="1440"/>
        <w:contextualSpacing/>
        <w:jc w:val="left"/>
        <w:rPr>
          <w:sz w:val="26"/>
          <w:szCs w:val="26"/>
        </w:rPr>
      </w:pPr>
    </w:p>
    <w:p w14:paraId="1F209F73" w14:textId="240EF9C1" w:rsidR="001E069E" w:rsidRPr="001E069E" w:rsidRDefault="001E069E" w:rsidP="001E069E">
      <w:pPr>
        <w:autoSpaceDE w:val="0"/>
        <w:autoSpaceDN w:val="0"/>
        <w:adjustRightInd w:val="0"/>
        <w:ind w:firstLine="1440"/>
        <w:contextualSpacing/>
        <w:jc w:val="left"/>
        <w:rPr>
          <w:sz w:val="26"/>
          <w:szCs w:val="26"/>
        </w:rPr>
      </w:pPr>
      <w:r w:rsidRPr="001E069E">
        <w:rPr>
          <w:sz w:val="26"/>
          <w:szCs w:val="26"/>
        </w:rPr>
        <w:t xml:space="preserve">Nothing in the Complainant’s Exceptions compels us to revise the ALJ’s Initial Decision.  Based upon the ALJ’s discussion and our analysis of the issue, we conclude that the Complainant did not satisfy the criteria established in </w:t>
      </w:r>
      <w:r w:rsidRPr="001E069E">
        <w:rPr>
          <w:i/>
          <w:sz w:val="26"/>
          <w:szCs w:val="26"/>
        </w:rPr>
        <w:t>Waldron</w:t>
      </w:r>
      <w:r w:rsidRPr="001E069E">
        <w:rPr>
          <w:sz w:val="26"/>
          <w:szCs w:val="26"/>
        </w:rPr>
        <w:t xml:space="preserve"> to establish a prima facie case of overbilling.  Therefore, </w:t>
      </w:r>
      <w:r w:rsidR="00D87AAA">
        <w:rPr>
          <w:sz w:val="26"/>
          <w:szCs w:val="26"/>
        </w:rPr>
        <w:t xml:space="preserve">we </w:t>
      </w:r>
      <w:proofErr w:type="gramStart"/>
      <w:r w:rsidR="00D87AAA">
        <w:rPr>
          <w:sz w:val="26"/>
          <w:szCs w:val="26"/>
        </w:rPr>
        <w:t>are of the opinion that</w:t>
      </w:r>
      <w:proofErr w:type="gramEnd"/>
      <w:r w:rsidR="00D87AAA">
        <w:rPr>
          <w:sz w:val="26"/>
          <w:szCs w:val="26"/>
        </w:rPr>
        <w:t xml:space="preserve"> </w:t>
      </w:r>
      <w:r w:rsidRPr="001E069E">
        <w:rPr>
          <w:sz w:val="26"/>
          <w:szCs w:val="26"/>
        </w:rPr>
        <w:t>the ALJ properly dismissed the portion of the Complaint concerning claims of high billing at the Jenkintown Service address.  Accordingly, we will deny the Complainant’s Exception on this issue as well as its request for reimbursement of any alleged overcharged amounts.</w:t>
      </w:r>
    </w:p>
    <w:p w14:paraId="6ADF1B55" w14:textId="53D11665" w:rsidR="001D31AF" w:rsidRDefault="001D31AF" w:rsidP="002A6A08">
      <w:pPr>
        <w:ind w:firstLine="1440"/>
        <w:contextualSpacing/>
        <w:jc w:val="left"/>
        <w:rPr>
          <w:rFonts w:ascii="Times New (W1)" w:hAnsi="Times New (W1)"/>
          <w:sz w:val="26"/>
        </w:rPr>
      </w:pPr>
    </w:p>
    <w:p w14:paraId="357920AB" w14:textId="3B088FC6" w:rsidR="001E069E" w:rsidRPr="00E51505" w:rsidRDefault="001E069E" w:rsidP="00EF1FC5">
      <w:pPr>
        <w:keepNext/>
        <w:keepLines/>
        <w:autoSpaceDE w:val="0"/>
        <w:autoSpaceDN w:val="0"/>
        <w:adjustRightInd w:val="0"/>
        <w:spacing w:line="240" w:lineRule="auto"/>
        <w:ind w:left="720" w:hanging="720"/>
        <w:contextualSpacing/>
        <w:jc w:val="left"/>
        <w:rPr>
          <w:b/>
          <w:sz w:val="26"/>
          <w:szCs w:val="26"/>
        </w:rPr>
      </w:pPr>
      <w:r>
        <w:rPr>
          <w:rFonts w:eastAsiaTheme="minorHAnsi"/>
          <w:b/>
          <w:sz w:val="26"/>
          <w:szCs w:val="26"/>
        </w:rPr>
        <w:t>D</w:t>
      </w:r>
      <w:r w:rsidRPr="005A46A8">
        <w:rPr>
          <w:rFonts w:eastAsiaTheme="minorHAnsi"/>
          <w:b/>
          <w:sz w:val="26"/>
          <w:szCs w:val="26"/>
        </w:rPr>
        <w:t>.</w:t>
      </w:r>
      <w:r w:rsidRPr="005A46A8">
        <w:rPr>
          <w:rFonts w:eastAsiaTheme="minorHAnsi"/>
          <w:b/>
          <w:sz w:val="26"/>
          <w:szCs w:val="26"/>
        </w:rPr>
        <w:tab/>
      </w:r>
      <w:r>
        <w:rPr>
          <w:b/>
          <w:sz w:val="26"/>
          <w:szCs w:val="26"/>
        </w:rPr>
        <w:t>Estimated Bills for the Jenkintown Service Address and Civil Penalty for Violations of the Code and Commission Regulations</w:t>
      </w:r>
    </w:p>
    <w:p w14:paraId="02E71D43" w14:textId="77777777" w:rsidR="001E069E" w:rsidRDefault="001E069E" w:rsidP="00EF1FC5">
      <w:pPr>
        <w:keepNext/>
        <w:keepLines/>
        <w:ind w:firstLine="1440"/>
        <w:contextualSpacing/>
        <w:jc w:val="left"/>
        <w:rPr>
          <w:rFonts w:ascii="Times New (W1)" w:hAnsi="Times New (W1)"/>
          <w:sz w:val="26"/>
        </w:rPr>
      </w:pPr>
    </w:p>
    <w:p w14:paraId="775A3E58" w14:textId="77777777" w:rsidR="001E069E" w:rsidRDefault="001E069E" w:rsidP="00EF1FC5">
      <w:pPr>
        <w:keepNext/>
        <w:keepLines/>
        <w:numPr>
          <w:ilvl w:val="0"/>
          <w:numId w:val="18"/>
        </w:numPr>
        <w:autoSpaceDE w:val="0"/>
        <w:autoSpaceDN w:val="0"/>
        <w:adjustRightInd w:val="0"/>
        <w:ind w:left="1440" w:hanging="720"/>
        <w:contextualSpacing/>
        <w:jc w:val="left"/>
        <w:rPr>
          <w:b/>
          <w:sz w:val="26"/>
          <w:szCs w:val="26"/>
        </w:rPr>
      </w:pPr>
      <w:r>
        <w:rPr>
          <w:b/>
          <w:sz w:val="26"/>
          <w:szCs w:val="26"/>
        </w:rPr>
        <w:t>ALJ’s Initial Decision</w:t>
      </w:r>
    </w:p>
    <w:p w14:paraId="5C16C036" w14:textId="77777777" w:rsidR="001E069E" w:rsidRDefault="001E069E" w:rsidP="00EF1FC5">
      <w:pPr>
        <w:keepNext/>
        <w:keepLines/>
        <w:autoSpaceDE w:val="0"/>
        <w:autoSpaceDN w:val="0"/>
        <w:adjustRightInd w:val="0"/>
        <w:ind w:left="1440" w:firstLine="0"/>
        <w:contextualSpacing/>
        <w:jc w:val="left"/>
        <w:rPr>
          <w:b/>
          <w:sz w:val="26"/>
          <w:szCs w:val="26"/>
        </w:rPr>
      </w:pPr>
    </w:p>
    <w:p w14:paraId="6FD8CD54" w14:textId="5CDABE28" w:rsidR="001E069E" w:rsidRDefault="009811ED" w:rsidP="00EF1FC5">
      <w:pPr>
        <w:pStyle w:val="ListParagraph"/>
        <w:keepNext/>
        <w:keepLines/>
        <w:numPr>
          <w:ilvl w:val="1"/>
          <w:numId w:val="18"/>
        </w:numPr>
        <w:autoSpaceDE w:val="0"/>
        <w:autoSpaceDN w:val="0"/>
        <w:adjustRightInd w:val="0"/>
        <w:ind w:left="2160" w:hanging="720"/>
        <w:jc w:val="left"/>
        <w:rPr>
          <w:b/>
          <w:sz w:val="26"/>
          <w:szCs w:val="26"/>
        </w:rPr>
      </w:pPr>
      <w:r>
        <w:rPr>
          <w:b/>
          <w:sz w:val="26"/>
          <w:szCs w:val="26"/>
        </w:rPr>
        <w:t>Estimated Electric Bills – Jenkintown Service Address</w:t>
      </w:r>
    </w:p>
    <w:p w14:paraId="4EBDDA79" w14:textId="30D458B9" w:rsidR="009811ED" w:rsidRDefault="009811ED" w:rsidP="00EF1FC5">
      <w:pPr>
        <w:keepNext/>
        <w:keepLines/>
        <w:autoSpaceDE w:val="0"/>
        <w:autoSpaceDN w:val="0"/>
        <w:adjustRightInd w:val="0"/>
        <w:jc w:val="left"/>
        <w:rPr>
          <w:b/>
          <w:sz w:val="26"/>
          <w:szCs w:val="26"/>
        </w:rPr>
      </w:pPr>
    </w:p>
    <w:p w14:paraId="0546C730" w14:textId="24ED4FCE"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 xml:space="preserve">PECO Exhibit 9 reveals that during the period </w:t>
      </w:r>
      <w:r w:rsidR="006748FD">
        <w:rPr>
          <w:sz w:val="26"/>
          <w:szCs w:val="26"/>
        </w:rPr>
        <w:t xml:space="preserve">from </w:t>
      </w:r>
      <w:r w:rsidRPr="009811ED">
        <w:rPr>
          <w:sz w:val="26"/>
          <w:szCs w:val="26"/>
        </w:rPr>
        <w:t>September 24, 2014 to January 22, 2016, the Complainant received fifteen estimated bills, only one actual bill, and only three actual readings (February 18, 2015, June 9, 2015, and December</w:t>
      </w:r>
      <w:r w:rsidR="00E47169">
        <w:rPr>
          <w:sz w:val="26"/>
          <w:szCs w:val="26"/>
        </w:rPr>
        <w:t> </w:t>
      </w:r>
      <w:r w:rsidRPr="009811ED">
        <w:rPr>
          <w:sz w:val="26"/>
          <w:szCs w:val="26"/>
        </w:rPr>
        <w:t>4, 2015).</w:t>
      </w:r>
    </w:p>
    <w:p w14:paraId="0754346A" w14:textId="77777777" w:rsidR="009811ED" w:rsidRPr="009811ED" w:rsidRDefault="009811ED" w:rsidP="009811ED">
      <w:pPr>
        <w:autoSpaceDE w:val="0"/>
        <w:autoSpaceDN w:val="0"/>
        <w:adjustRightInd w:val="0"/>
        <w:ind w:firstLine="1440"/>
        <w:contextualSpacing/>
        <w:jc w:val="left"/>
        <w:rPr>
          <w:sz w:val="26"/>
          <w:szCs w:val="26"/>
        </w:rPr>
      </w:pPr>
    </w:p>
    <w:p w14:paraId="446B6DEC" w14:textId="3F1B4A7B" w:rsidR="009811ED" w:rsidRPr="009811ED" w:rsidRDefault="009811ED" w:rsidP="009811ED">
      <w:pPr>
        <w:ind w:firstLine="1440"/>
        <w:contextualSpacing/>
        <w:jc w:val="left"/>
        <w:rPr>
          <w:rFonts w:eastAsia="MS Mincho"/>
          <w:sz w:val="26"/>
          <w:szCs w:val="26"/>
        </w:rPr>
      </w:pPr>
      <w:r w:rsidRPr="009811ED">
        <w:rPr>
          <w:sz w:val="26"/>
          <w:szCs w:val="26"/>
        </w:rPr>
        <w:t xml:space="preserve">ALJ Vero pointed to Section 56.12 of our Regulations, 52 Pa. Code § 56.12, which requires that unless specific circumstances exist, bills are to be based on actual meter readings at least every other billing month.  </w:t>
      </w:r>
      <w:r w:rsidRPr="009811ED">
        <w:rPr>
          <w:rFonts w:eastAsia="MS Mincho"/>
          <w:sz w:val="26"/>
          <w:szCs w:val="26"/>
        </w:rPr>
        <w:t>These Regulations state, in pertinent part, as follows:</w:t>
      </w:r>
    </w:p>
    <w:p w14:paraId="6864BF0A" w14:textId="77777777" w:rsidR="009811ED" w:rsidRPr="009811ED" w:rsidRDefault="009811ED" w:rsidP="009811ED">
      <w:pPr>
        <w:spacing w:beforeAutospacing="1" w:afterAutospacing="1" w:line="240" w:lineRule="auto"/>
        <w:ind w:left="1440" w:right="1440" w:firstLine="0"/>
        <w:contextualSpacing/>
        <w:jc w:val="left"/>
        <w:outlineLvl w:val="3"/>
        <w:rPr>
          <w:rFonts w:eastAsia="Times New Roman"/>
          <w:b/>
          <w:bCs/>
          <w:sz w:val="26"/>
          <w:szCs w:val="26"/>
        </w:rPr>
      </w:pPr>
    </w:p>
    <w:p w14:paraId="7C01C755" w14:textId="77777777" w:rsidR="009811ED" w:rsidRPr="009811ED" w:rsidRDefault="009811ED" w:rsidP="009811ED">
      <w:pPr>
        <w:spacing w:beforeAutospacing="1" w:afterAutospacing="1" w:line="240" w:lineRule="auto"/>
        <w:ind w:left="1440" w:right="1440" w:firstLine="0"/>
        <w:contextualSpacing/>
        <w:jc w:val="left"/>
        <w:outlineLvl w:val="3"/>
        <w:rPr>
          <w:rFonts w:eastAsia="Times New Roman"/>
          <w:b/>
          <w:bCs/>
          <w:sz w:val="26"/>
          <w:szCs w:val="26"/>
        </w:rPr>
      </w:pPr>
      <w:r w:rsidRPr="009811ED">
        <w:rPr>
          <w:rFonts w:eastAsia="Times New Roman"/>
          <w:b/>
          <w:bCs/>
          <w:sz w:val="26"/>
          <w:szCs w:val="26"/>
        </w:rPr>
        <w:t>§ 56.12. Meter reading; estimated billing; customer readings.</w:t>
      </w:r>
    </w:p>
    <w:p w14:paraId="6B490CE0" w14:textId="77777777" w:rsidR="009811ED" w:rsidRPr="009811ED" w:rsidRDefault="009811ED" w:rsidP="009811ED">
      <w:pPr>
        <w:spacing w:beforeAutospacing="1" w:afterAutospacing="1" w:line="240" w:lineRule="auto"/>
        <w:ind w:left="1440" w:right="1440" w:firstLine="0"/>
        <w:contextualSpacing/>
        <w:jc w:val="left"/>
        <w:outlineLvl w:val="3"/>
        <w:rPr>
          <w:rFonts w:eastAsia="Times New Roman"/>
          <w:b/>
          <w:bCs/>
          <w:sz w:val="26"/>
          <w:szCs w:val="26"/>
        </w:rPr>
      </w:pPr>
    </w:p>
    <w:p w14:paraId="6C7FD719" w14:textId="77777777" w:rsidR="009811ED" w:rsidRPr="009811ED" w:rsidRDefault="009811ED" w:rsidP="009811ED">
      <w:pPr>
        <w:spacing w:before="100" w:beforeAutospacing="1" w:after="100" w:afterAutospacing="1" w:line="240" w:lineRule="auto"/>
        <w:ind w:left="1440" w:right="1440" w:firstLine="0"/>
        <w:contextualSpacing/>
        <w:jc w:val="left"/>
        <w:rPr>
          <w:rFonts w:eastAsia="Times New Roman"/>
          <w:sz w:val="26"/>
          <w:szCs w:val="26"/>
        </w:rPr>
      </w:pPr>
      <w:r w:rsidRPr="009811ED">
        <w:rPr>
          <w:rFonts w:eastAsia="Times New Roman"/>
          <w:sz w:val="26"/>
          <w:szCs w:val="26"/>
        </w:rPr>
        <w:t xml:space="preserve">Except as provided in this section, a public utility shall render bills based on actual meter readings by public utility company personnel. </w:t>
      </w:r>
    </w:p>
    <w:p w14:paraId="7F6BBF4E" w14:textId="77777777" w:rsidR="009811ED" w:rsidRPr="009811ED" w:rsidRDefault="009811ED" w:rsidP="009811ED">
      <w:pPr>
        <w:spacing w:before="100" w:beforeAutospacing="1" w:after="100" w:afterAutospacing="1" w:line="240" w:lineRule="auto"/>
        <w:ind w:left="1440" w:right="1440" w:firstLine="0"/>
        <w:contextualSpacing/>
        <w:jc w:val="left"/>
        <w:rPr>
          <w:rFonts w:eastAsia="Times New Roman"/>
          <w:sz w:val="26"/>
          <w:szCs w:val="26"/>
        </w:rPr>
      </w:pPr>
    </w:p>
    <w:p w14:paraId="639722D2" w14:textId="77777777" w:rsidR="009811ED" w:rsidRPr="009811ED" w:rsidRDefault="009811ED" w:rsidP="009811ED">
      <w:pPr>
        <w:autoSpaceDE w:val="0"/>
        <w:autoSpaceDN w:val="0"/>
        <w:spacing w:line="240" w:lineRule="auto"/>
        <w:ind w:left="1440" w:right="1440" w:firstLine="0"/>
        <w:contextualSpacing/>
        <w:rPr>
          <w:sz w:val="26"/>
          <w:szCs w:val="26"/>
        </w:rPr>
      </w:pPr>
      <w:r w:rsidRPr="009811ED">
        <w:rPr>
          <w:sz w:val="26"/>
          <w:szCs w:val="26"/>
        </w:rPr>
        <w:t>*</w:t>
      </w:r>
      <w:r w:rsidRPr="009811ED">
        <w:rPr>
          <w:sz w:val="26"/>
          <w:szCs w:val="26"/>
        </w:rPr>
        <w:tab/>
        <w:t>*</w:t>
      </w:r>
      <w:r w:rsidRPr="009811ED">
        <w:rPr>
          <w:sz w:val="26"/>
          <w:szCs w:val="26"/>
        </w:rPr>
        <w:tab/>
        <w:t>*</w:t>
      </w:r>
    </w:p>
    <w:p w14:paraId="381FCC7F" w14:textId="77777777" w:rsidR="009811ED" w:rsidRPr="009811ED" w:rsidRDefault="009811ED" w:rsidP="009811ED">
      <w:pPr>
        <w:spacing w:beforeAutospacing="1" w:afterAutospacing="1" w:line="240" w:lineRule="auto"/>
        <w:ind w:left="1440" w:right="1440" w:firstLine="0"/>
        <w:contextualSpacing/>
        <w:jc w:val="left"/>
        <w:outlineLvl w:val="3"/>
        <w:rPr>
          <w:rFonts w:eastAsia="Times New Roman"/>
          <w:b/>
          <w:bCs/>
          <w:sz w:val="26"/>
          <w:szCs w:val="26"/>
        </w:rPr>
      </w:pPr>
    </w:p>
    <w:p w14:paraId="36F507CB" w14:textId="6E2C305B" w:rsidR="009811ED" w:rsidRPr="009811ED" w:rsidRDefault="009811ED" w:rsidP="009811ED">
      <w:pPr>
        <w:spacing w:beforeAutospacing="1" w:afterAutospacing="1" w:line="240" w:lineRule="auto"/>
        <w:ind w:left="1440" w:right="1440" w:firstLine="0"/>
        <w:contextualSpacing/>
        <w:jc w:val="left"/>
        <w:outlineLvl w:val="3"/>
        <w:rPr>
          <w:rFonts w:eastAsia="Times New Roman"/>
          <w:sz w:val="26"/>
          <w:szCs w:val="26"/>
        </w:rPr>
      </w:pPr>
      <w:r w:rsidRPr="009811ED">
        <w:rPr>
          <w:rFonts w:eastAsia="Times New Roman"/>
          <w:sz w:val="26"/>
          <w:szCs w:val="26"/>
        </w:rPr>
        <w:t xml:space="preserve">(2) </w:t>
      </w:r>
      <w:r w:rsidRPr="009811ED">
        <w:rPr>
          <w:rFonts w:eastAsia="Times New Roman"/>
          <w:i/>
          <w:iCs/>
          <w:sz w:val="26"/>
          <w:szCs w:val="26"/>
        </w:rPr>
        <w:t xml:space="preserve">Estimates for bills rendered on a monthly basis. </w:t>
      </w:r>
      <w:r w:rsidRPr="009811ED">
        <w:rPr>
          <w:rFonts w:eastAsia="Times New Roman"/>
          <w:sz w:val="26"/>
          <w:szCs w:val="26"/>
        </w:rPr>
        <w:t xml:space="preserve">If a public utility bills </w:t>
      </w:r>
      <w:proofErr w:type="gramStart"/>
      <w:r w:rsidRPr="009811ED">
        <w:rPr>
          <w:rFonts w:eastAsia="Times New Roman"/>
          <w:sz w:val="26"/>
          <w:szCs w:val="26"/>
        </w:rPr>
        <w:t>on a monthly basis</w:t>
      </w:r>
      <w:proofErr w:type="gramEnd"/>
      <w:r w:rsidRPr="009811ED">
        <w:rPr>
          <w:rFonts w:eastAsia="Times New Roman"/>
          <w:sz w:val="26"/>
          <w:szCs w:val="26"/>
        </w:rPr>
        <w:t xml:space="preserve">, it may estimate usage of service every other billing month, so long as the public utility provides a customer with the opportunity to read the meter and report the quantity of usage in lieu of the estimated bill. </w:t>
      </w:r>
      <w:r w:rsidR="00003661">
        <w:rPr>
          <w:rFonts w:eastAsia="Times New Roman"/>
          <w:sz w:val="26"/>
          <w:szCs w:val="26"/>
        </w:rPr>
        <w:t xml:space="preserve"> </w:t>
      </w:r>
      <w:r w:rsidRPr="009811ED">
        <w:rPr>
          <w:rFonts w:eastAsia="Times New Roman"/>
          <w:sz w:val="26"/>
          <w:szCs w:val="26"/>
        </w:rPr>
        <w:t>The resulting bills must be based on the information provided, except for an account when it is apparent that the information is erroneous.</w:t>
      </w:r>
    </w:p>
    <w:p w14:paraId="7138C08C" w14:textId="77777777" w:rsidR="009811ED" w:rsidRPr="00003661" w:rsidRDefault="009811ED" w:rsidP="009811ED">
      <w:pPr>
        <w:spacing w:beforeAutospacing="1" w:afterAutospacing="1" w:line="240" w:lineRule="auto"/>
        <w:ind w:left="1440" w:right="1440" w:firstLine="0"/>
        <w:contextualSpacing/>
        <w:jc w:val="left"/>
        <w:outlineLvl w:val="3"/>
        <w:rPr>
          <w:rFonts w:eastAsia="Times New Roman"/>
          <w:bCs/>
          <w:sz w:val="26"/>
          <w:szCs w:val="26"/>
        </w:rPr>
      </w:pPr>
    </w:p>
    <w:p w14:paraId="293FB7D7" w14:textId="77777777" w:rsidR="009811ED" w:rsidRPr="00003661" w:rsidRDefault="009811ED" w:rsidP="009811ED">
      <w:pPr>
        <w:autoSpaceDE w:val="0"/>
        <w:autoSpaceDN w:val="0"/>
        <w:spacing w:line="240" w:lineRule="auto"/>
        <w:ind w:left="1440" w:right="1440" w:firstLine="0"/>
        <w:contextualSpacing/>
        <w:rPr>
          <w:sz w:val="26"/>
          <w:szCs w:val="26"/>
        </w:rPr>
      </w:pPr>
      <w:r w:rsidRPr="00003661">
        <w:rPr>
          <w:sz w:val="26"/>
          <w:szCs w:val="26"/>
        </w:rPr>
        <w:t>*</w:t>
      </w:r>
      <w:r w:rsidRPr="00003661">
        <w:rPr>
          <w:sz w:val="26"/>
          <w:szCs w:val="26"/>
        </w:rPr>
        <w:tab/>
        <w:t>*</w:t>
      </w:r>
      <w:r w:rsidRPr="00003661">
        <w:rPr>
          <w:sz w:val="26"/>
          <w:szCs w:val="26"/>
        </w:rPr>
        <w:tab/>
        <w:t>*</w:t>
      </w:r>
    </w:p>
    <w:p w14:paraId="0C7C8C0C" w14:textId="77777777" w:rsidR="009811ED" w:rsidRPr="00003661" w:rsidRDefault="009811ED" w:rsidP="009811ED">
      <w:pPr>
        <w:spacing w:beforeAutospacing="1" w:afterAutospacing="1" w:line="240" w:lineRule="auto"/>
        <w:ind w:left="1440" w:right="1440" w:firstLine="0"/>
        <w:contextualSpacing/>
        <w:jc w:val="left"/>
        <w:outlineLvl w:val="3"/>
        <w:rPr>
          <w:rFonts w:eastAsia="Times New Roman"/>
          <w:bCs/>
          <w:sz w:val="26"/>
          <w:szCs w:val="26"/>
        </w:rPr>
      </w:pPr>
    </w:p>
    <w:p w14:paraId="21157324" w14:textId="77777777" w:rsidR="009811ED" w:rsidRPr="00003661" w:rsidRDefault="009811ED" w:rsidP="00003661">
      <w:pPr>
        <w:spacing w:line="240" w:lineRule="auto"/>
        <w:ind w:left="1440" w:right="1440" w:firstLine="0"/>
        <w:contextualSpacing/>
        <w:jc w:val="left"/>
        <w:outlineLvl w:val="3"/>
        <w:rPr>
          <w:rFonts w:eastAsia="Times New Roman"/>
          <w:bCs/>
          <w:sz w:val="26"/>
          <w:szCs w:val="26"/>
        </w:rPr>
      </w:pPr>
      <w:r w:rsidRPr="009811ED">
        <w:rPr>
          <w:rFonts w:eastAsia="Times New Roman"/>
          <w:sz w:val="26"/>
          <w:szCs w:val="26"/>
        </w:rPr>
        <w:t xml:space="preserve">(3) </w:t>
      </w:r>
      <w:r w:rsidRPr="009811ED">
        <w:rPr>
          <w:rFonts w:eastAsia="Times New Roman"/>
          <w:i/>
          <w:iCs/>
          <w:sz w:val="26"/>
          <w:szCs w:val="26"/>
        </w:rPr>
        <w:t xml:space="preserve">Estimates permitted under exigent circumstances. </w:t>
      </w:r>
      <w:r w:rsidRPr="009811ED">
        <w:rPr>
          <w:rFonts w:eastAsia="Times New Roman"/>
          <w:sz w:val="26"/>
          <w:szCs w:val="26"/>
        </w:rPr>
        <w:t>A public utility may estimate the bill of a customer if extreme weather conditions, emergencies, equipment failure, work stoppages or other circumstances prevent actual meter reading.</w:t>
      </w:r>
    </w:p>
    <w:p w14:paraId="4EEEEA31" w14:textId="5767723E" w:rsidR="009811ED" w:rsidRDefault="009811ED" w:rsidP="00003661">
      <w:pPr>
        <w:autoSpaceDE w:val="0"/>
        <w:autoSpaceDN w:val="0"/>
        <w:adjustRightInd w:val="0"/>
        <w:spacing w:line="240" w:lineRule="auto"/>
        <w:ind w:firstLine="0"/>
        <w:contextualSpacing/>
        <w:jc w:val="left"/>
        <w:rPr>
          <w:sz w:val="26"/>
          <w:szCs w:val="26"/>
        </w:rPr>
      </w:pPr>
    </w:p>
    <w:p w14:paraId="369689B8" w14:textId="77777777" w:rsidR="00003661" w:rsidRPr="009811ED" w:rsidRDefault="00003661" w:rsidP="00003661">
      <w:pPr>
        <w:autoSpaceDE w:val="0"/>
        <w:autoSpaceDN w:val="0"/>
        <w:adjustRightInd w:val="0"/>
        <w:spacing w:line="240" w:lineRule="auto"/>
        <w:ind w:firstLine="0"/>
        <w:contextualSpacing/>
        <w:jc w:val="left"/>
        <w:rPr>
          <w:sz w:val="26"/>
          <w:szCs w:val="26"/>
        </w:rPr>
      </w:pPr>
    </w:p>
    <w:p w14:paraId="666EA5D7" w14:textId="4A4C5172"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 xml:space="preserve">Pages 33-35 of ALJ Vero’s Initial Decision outline the circumstances that led to the prolonged period of estimated readings.  The ALJ’s discussion notes that even though the meter was tested for accuracy and was found to be accurately recording the Complainant’s usage, the technical problems associated with the recently installed AMI meter resulted in communication problems with PECO’s billing system that ultimately resulted in the issuance of estimated rather than actual billing to the Complainant.  </w:t>
      </w:r>
      <w:proofErr w:type="spellStart"/>
      <w:r w:rsidR="00047E15">
        <w:rPr>
          <w:sz w:val="26"/>
          <w:szCs w:val="26"/>
        </w:rPr>
        <w:t>Nevetheless</w:t>
      </w:r>
      <w:proofErr w:type="spellEnd"/>
      <w:r w:rsidR="00047E15">
        <w:rPr>
          <w:sz w:val="26"/>
          <w:szCs w:val="26"/>
        </w:rPr>
        <w:t>, t</w:t>
      </w:r>
      <w:r w:rsidRPr="009811ED">
        <w:rPr>
          <w:sz w:val="26"/>
          <w:szCs w:val="26"/>
        </w:rPr>
        <w:t xml:space="preserve">he ALJ </w:t>
      </w:r>
      <w:r w:rsidR="00047E15">
        <w:rPr>
          <w:sz w:val="26"/>
          <w:szCs w:val="26"/>
        </w:rPr>
        <w:t xml:space="preserve">found that </w:t>
      </w:r>
      <w:r w:rsidRPr="009811ED">
        <w:rPr>
          <w:sz w:val="26"/>
          <w:szCs w:val="26"/>
        </w:rPr>
        <w:t>PECO revised and re-issued the bills based on actual meter readings at the Jenkintown Service Address</w:t>
      </w:r>
      <w:r w:rsidR="00E93DCB">
        <w:rPr>
          <w:sz w:val="26"/>
          <w:szCs w:val="26"/>
        </w:rPr>
        <w:t xml:space="preserve"> and the </w:t>
      </w:r>
      <w:r w:rsidRPr="009811ED">
        <w:rPr>
          <w:sz w:val="26"/>
          <w:szCs w:val="26"/>
        </w:rPr>
        <w:t>issue concerning signal transmission from the AMI meter was resolved in February 2016.  I.D. at 33-35.</w:t>
      </w:r>
    </w:p>
    <w:p w14:paraId="3DDD062B" w14:textId="77777777" w:rsidR="009811ED" w:rsidRPr="009811ED" w:rsidRDefault="009811ED" w:rsidP="009811ED">
      <w:pPr>
        <w:autoSpaceDE w:val="0"/>
        <w:autoSpaceDN w:val="0"/>
        <w:adjustRightInd w:val="0"/>
        <w:ind w:firstLine="1440"/>
        <w:contextualSpacing/>
        <w:jc w:val="left"/>
        <w:rPr>
          <w:sz w:val="26"/>
          <w:szCs w:val="26"/>
        </w:rPr>
      </w:pPr>
    </w:p>
    <w:p w14:paraId="63426A06" w14:textId="0AE264CE"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While ALJ Vero noted that the Commission’s Regulations allow for estimated bills to be issued under circumstances such as those presented in this case, where estimated bills are the result of equipment failure, the ALJ found that</w:t>
      </w:r>
      <w:r w:rsidR="008412F0">
        <w:rPr>
          <w:sz w:val="26"/>
          <w:szCs w:val="26"/>
        </w:rPr>
        <w:t>, as will be discussed in more detail, below,</w:t>
      </w:r>
      <w:r w:rsidRPr="009811ED">
        <w:rPr>
          <w:sz w:val="26"/>
          <w:szCs w:val="26"/>
        </w:rPr>
        <w:t xml:space="preserve"> PECO’s failure to correct the communication between the Complainant’s electric meter and the rest of its system for a prolonged period of fifteen months to be tantamount to providing inadequate </w:t>
      </w:r>
      <w:r w:rsidR="008412F0">
        <w:rPr>
          <w:sz w:val="26"/>
          <w:szCs w:val="26"/>
        </w:rPr>
        <w:t xml:space="preserve">electric </w:t>
      </w:r>
      <w:r w:rsidRPr="009811ED">
        <w:rPr>
          <w:sz w:val="26"/>
          <w:szCs w:val="26"/>
        </w:rPr>
        <w:t>service to the Complainant.  I.D. at 36-37.</w:t>
      </w:r>
    </w:p>
    <w:p w14:paraId="4810A897" w14:textId="7E24BFCF" w:rsidR="009811ED" w:rsidRDefault="009811ED" w:rsidP="009811ED">
      <w:pPr>
        <w:autoSpaceDE w:val="0"/>
        <w:autoSpaceDN w:val="0"/>
        <w:adjustRightInd w:val="0"/>
        <w:ind w:firstLine="0"/>
        <w:contextualSpacing/>
        <w:jc w:val="left"/>
        <w:rPr>
          <w:b/>
          <w:sz w:val="26"/>
          <w:szCs w:val="26"/>
        </w:rPr>
      </w:pPr>
    </w:p>
    <w:p w14:paraId="4220743C" w14:textId="38E5F45A" w:rsidR="009811ED" w:rsidRDefault="009811ED" w:rsidP="000C7B1D">
      <w:pPr>
        <w:pStyle w:val="ListParagraph"/>
        <w:keepNext/>
        <w:keepLines/>
        <w:numPr>
          <w:ilvl w:val="1"/>
          <w:numId w:val="18"/>
        </w:numPr>
        <w:autoSpaceDE w:val="0"/>
        <w:autoSpaceDN w:val="0"/>
        <w:adjustRightInd w:val="0"/>
        <w:ind w:left="2160" w:hanging="720"/>
        <w:jc w:val="left"/>
        <w:rPr>
          <w:b/>
          <w:sz w:val="26"/>
          <w:szCs w:val="26"/>
        </w:rPr>
      </w:pPr>
      <w:r>
        <w:rPr>
          <w:b/>
          <w:sz w:val="26"/>
          <w:szCs w:val="26"/>
        </w:rPr>
        <w:t>Estimated Gas Bills – Jenkintown Service Address</w:t>
      </w:r>
    </w:p>
    <w:p w14:paraId="17550C71" w14:textId="3BCF919D" w:rsidR="001D31AF" w:rsidRDefault="001D31AF" w:rsidP="000C7B1D">
      <w:pPr>
        <w:keepNext/>
        <w:keepLines/>
        <w:ind w:firstLine="1440"/>
        <w:contextualSpacing/>
        <w:jc w:val="left"/>
        <w:rPr>
          <w:rFonts w:ascii="Times New (W1)" w:hAnsi="Times New (W1)"/>
          <w:sz w:val="26"/>
        </w:rPr>
      </w:pPr>
    </w:p>
    <w:p w14:paraId="2263819F" w14:textId="4F739C2C"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PECO Exhibit 9 reveals that during the seventeen-month period</w:t>
      </w:r>
      <w:r w:rsidR="000C7B1D">
        <w:rPr>
          <w:sz w:val="26"/>
          <w:szCs w:val="26"/>
        </w:rPr>
        <w:t xml:space="preserve"> from </w:t>
      </w:r>
      <w:r w:rsidRPr="009811ED">
        <w:rPr>
          <w:sz w:val="26"/>
          <w:szCs w:val="26"/>
        </w:rPr>
        <w:t xml:space="preserve">October 2014 through February 2016, the Complainant received thirteen estimated gas bills, resulting from equipment malfunction.  As noted by ALJ Vero, the record indicates that the AMI module installed in PECO’s gas meter on May 26, 2015, was not in sync with the meter register, and therefore failed to correctly report the readings from the gas meter register.  I.D. at 38. </w:t>
      </w:r>
    </w:p>
    <w:p w14:paraId="5E707253" w14:textId="77777777" w:rsidR="009811ED" w:rsidRPr="009811ED" w:rsidRDefault="009811ED" w:rsidP="009811ED">
      <w:pPr>
        <w:autoSpaceDE w:val="0"/>
        <w:autoSpaceDN w:val="0"/>
        <w:adjustRightInd w:val="0"/>
        <w:ind w:firstLine="1440"/>
        <w:contextualSpacing/>
        <w:jc w:val="left"/>
        <w:rPr>
          <w:sz w:val="26"/>
          <w:szCs w:val="26"/>
        </w:rPr>
      </w:pPr>
    </w:p>
    <w:p w14:paraId="1ADEB185" w14:textId="3A796022"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The ALJ noted that although PECO was able to reprogram the AMI module on July 21, 2015, the reprogramming appeared to be unsuccessful.  The ALJ explained that the record contains no other details as to what happened with the gas meter</w:t>
      </w:r>
      <w:r w:rsidR="00412439">
        <w:rPr>
          <w:sz w:val="26"/>
          <w:szCs w:val="26"/>
        </w:rPr>
        <w:t xml:space="preserve"> </w:t>
      </w:r>
      <w:r w:rsidR="00883402">
        <w:rPr>
          <w:sz w:val="26"/>
          <w:szCs w:val="26"/>
        </w:rPr>
        <w:t xml:space="preserve">from July 21, 2015, until February 2016, during which time the </w:t>
      </w:r>
      <w:r w:rsidRPr="009811ED">
        <w:rPr>
          <w:sz w:val="26"/>
          <w:szCs w:val="26"/>
        </w:rPr>
        <w:t>Complainant continued to receive estimated gas bills</w:t>
      </w:r>
      <w:r w:rsidR="00883402">
        <w:rPr>
          <w:sz w:val="26"/>
          <w:szCs w:val="26"/>
        </w:rPr>
        <w:t>.</w:t>
      </w:r>
      <w:r w:rsidRPr="009811ED">
        <w:rPr>
          <w:sz w:val="26"/>
          <w:szCs w:val="26"/>
        </w:rPr>
        <w:t xml:space="preserve">  The ALJ indicated that, similar to the estimated electric bills, the estimated gas bills were revised and re-issued based on actual meter readings at the Jenkintown Service Address.  </w:t>
      </w:r>
      <w:r w:rsidRPr="009811ED">
        <w:rPr>
          <w:i/>
          <w:sz w:val="26"/>
          <w:szCs w:val="26"/>
        </w:rPr>
        <w:t>Id.</w:t>
      </w:r>
    </w:p>
    <w:p w14:paraId="6C4D0D36" w14:textId="77777777" w:rsidR="009811ED" w:rsidRPr="009811ED" w:rsidRDefault="009811ED" w:rsidP="009811ED">
      <w:pPr>
        <w:autoSpaceDE w:val="0"/>
        <w:autoSpaceDN w:val="0"/>
        <w:adjustRightInd w:val="0"/>
        <w:ind w:firstLine="1440"/>
        <w:contextualSpacing/>
        <w:jc w:val="left"/>
        <w:rPr>
          <w:sz w:val="26"/>
          <w:szCs w:val="26"/>
        </w:rPr>
      </w:pPr>
    </w:p>
    <w:p w14:paraId="6300BEE9" w14:textId="722CE757"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ALJ Vero found that since the AMI module was not installed correctly and repeated attempts to remedy the problem were needed, PECO’s failure to correct the communication between the Complainant’s gas meter and the rest of its system between May 2015 and February 2016 was the result of human error and</w:t>
      </w:r>
      <w:r w:rsidR="000319D2">
        <w:rPr>
          <w:sz w:val="26"/>
          <w:szCs w:val="26"/>
        </w:rPr>
        <w:t>, as will be discussed in more detail below,</w:t>
      </w:r>
      <w:r w:rsidRPr="009811ED">
        <w:rPr>
          <w:sz w:val="26"/>
          <w:szCs w:val="26"/>
        </w:rPr>
        <w:t xml:space="preserve"> was tantamount to providing inadequate </w:t>
      </w:r>
      <w:r w:rsidR="008412F0">
        <w:rPr>
          <w:sz w:val="26"/>
          <w:szCs w:val="26"/>
        </w:rPr>
        <w:t xml:space="preserve">gas </w:t>
      </w:r>
      <w:r w:rsidRPr="009811ED">
        <w:rPr>
          <w:sz w:val="26"/>
          <w:szCs w:val="26"/>
        </w:rPr>
        <w:t xml:space="preserve">service to the Complainant.  </w:t>
      </w:r>
      <w:r w:rsidRPr="009811ED">
        <w:rPr>
          <w:i/>
          <w:sz w:val="26"/>
          <w:szCs w:val="26"/>
        </w:rPr>
        <w:t>Id.</w:t>
      </w:r>
    </w:p>
    <w:p w14:paraId="2511FD3E" w14:textId="367A1346" w:rsidR="001D31AF" w:rsidRDefault="001D31AF" w:rsidP="002A6A08">
      <w:pPr>
        <w:ind w:firstLine="1440"/>
        <w:contextualSpacing/>
        <w:jc w:val="left"/>
        <w:rPr>
          <w:rFonts w:ascii="Times New (W1)" w:hAnsi="Times New (W1)"/>
          <w:sz w:val="26"/>
        </w:rPr>
      </w:pPr>
    </w:p>
    <w:p w14:paraId="79295DD7" w14:textId="38E27DB3" w:rsidR="009811ED" w:rsidRDefault="009811ED" w:rsidP="009811ED">
      <w:pPr>
        <w:pStyle w:val="ListParagraph"/>
        <w:numPr>
          <w:ilvl w:val="1"/>
          <w:numId w:val="18"/>
        </w:numPr>
        <w:autoSpaceDE w:val="0"/>
        <w:autoSpaceDN w:val="0"/>
        <w:adjustRightInd w:val="0"/>
        <w:spacing w:line="240" w:lineRule="auto"/>
        <w:ind w:left="2160" w:hanging="720"/>
        <w:jc w:val="left"/>
        <w:rPr>
          <w:b/>
          <w:sz w:val="26"/>
          <w:szCs w:val="26"/>
        </w:rPr>
      </w:pPr>
      <w:r>
        <w:rPr>
          <w:b/>
          <w:sz w:val="26"/>
          <w:szCs w:val="26"/>
        </w:rPr>
        <w:t>Civil Penalty for Violations of the Code and Commission Regulations</w:t>
      </w:r>
    </w:p>
    <w:p w14:paraId="04422672" w14:textId="067CFB81" w:rsidR="001D31AF" w:rsidRDefault="001D31AF" w:rsidP="002A6A08">
      <w:pPr>
        <w:ind w:firstLine="1440"/>
        <w:contextualSpacing/>
        <w:jc w:val="left"/>
        <w:rPr>
          <w:rFonts w:ascii="Times New (W1)" w:hAnsi="Times New (W1)"/>
          <w:sz w:val="26"/>
        </w:rPr>
      </w:pPr>
    </w:p>
    <w:p w14:paraId="2D741C0E" w14:textId="77777777" w:rsidR="009811ED" w:rsidRPr="009811ED" w:rsidRDefault="009811ED" w:rsidP="009811ED">
      <w:pPr>
        <w:ind w:firstLine="1440"/>
        <w:contextualSpacing/>
        <w:jc w:val="left"/>
        <w:rPr>
          <w:rFonts w:eastAsia="Times New Roman"/>
          <w:snapToGrid w:val="0"/>
          <w:sz w:val="26"/>
          <w:szCs w:val="26"/>
        </w:rPr>
      </w:pPr>
      <w:r w:rsidRPr="009811ED">
        <w:rPr>
          <w:rFonts w:eastAsia="Times New Roman"/>
          <w:snapToGrid w:val="0"/>
          <w:sz w:val="26"/>
          <w:szCs w:val="26"/>
        </w:rPr>
        <w:t>ALJ Vero concluded that PECO violated its statutory duty to provide adequate and reasonable service, 66 Pa. C.S. § 1501, relating to numerous estimated bills.  I.D. at 37-38.</w:t>
      </w:r>
    </w:p>
    <w:p w14:paraId="5A650C91" w14:textId="77777777" w:rsidR="009811ED" w:rsidRPr="009811ED" w:rsidRDefault="009811ED" w:rsidP="009811ED">
      <w:pPr>
        <w:ind w:firstLine="1440"/>
        <w:contextualSpacing/>
        <w:jc w:val="left"/>
        <w:rPr>
          <w:rFonts w:eastAsia="Times New Roman"/>
          <w:snapToGrid w:val="0"/>
          <w:sz w:val="26"/>
          <w:szCs w:val="26"/>
        </w:rPr>
      </w:pPr>
    </w:p>
    <w:p w14:paraId="719FFB74" w14:textId="4F199518" w:rsidR="009811ED" w:rsidRPr="009811ED" w:rsidRDefault="009811ED" w:rsidP="009811ED">
      <w:pPr>
        <w:ind w:firstLine="1440"/>
        <w:contextualSpacing/>
        <w:jc w:val="left"/>
        <w:rPr>
          <w:rFonts w:eastAsia="Times New Roman"/>
          <w:snapToGrid w:val="0"/>
          <w:sz w:val="26"/>
          <w:szCs w:val="26"/>
        </w:rPr>
      </w:pPr>
      <w:r w:rsidRPr="009811ED">
        <w:rPr>
          <w:rFonts w:eastAsia="Times New Roman"/>
          <w:snapToGrid w:val="0"/>
          <w:sz w:val="26"/>
          <w:szCs w:val="26"/>
        </w:rPr>
        <w:t xml:space="preserve">Accordingly, pursuant to Section 3301 of the Code, 66 Pa. C.S. § 3301, ALJ Vero recommended the imposition of a civil penalty of $2,000.  </w:t>
      </w:r>
      <w:r w:rsidRPr="009811ED">
        <w:rPr>
          <w:sz w:val="26"/>
          <w:szCs w:val="26"/>
        </w:rPr>
        <w:t xml:space="preserve">After applying the criteria set forth in </w:t>
      </w:r>
      <w:r w:rsidR="00846BD9">
        <w:rPr>
          <w:sz w:val="26"/>
          <w:szCs w:val="26"/>
        </w:rPr>
        <w:t xml:space="preserve">our </w:t>
      </w:r>
      <w:r w:rsidRPr="009811ED">
        <w:rPr>
          <w:sz w:val="26"/>
          <w:szCs w:val="26"/>
        </w:rPr>
        <w:t>Regulations pertaining to the factors to be considered for the purpose of assessing a civil penalty at 52 Pa. Code § 69.1201(c)</w:t>
      </w:r>
      <w:r w:rsidR="009E2490">
        <w:rPr>
          <w:rStyle w:val="FootnoteReference"/>
          <w:sz w:val="26"/>
          <w:szCs w:val="26"/>
        </w:rPr>
        <w:footnoteReference w:id="9"/>
      </w:r>
      <w:r w:rsidRPr="009811ED">
        <w:rPr>
          <w:sz w:val="26"/>
          <w:szCs w:val="26"/>
        </w:rPr>
        <w:t xml:space="preserve"> for a violation of the Code, Commission Regulations, or other provisions which the Commission has been delegated authority to administer, ALJ Vero concluded that a civil penalty in the amount of $1,000 w</w:t>
      </w:r>
      <w:r w:rsidR="000319D2">
        <w:rPr>
          <w:sz w:val="26"/>
          <w:szCs w:val="26"/>
        </w:rPr>
        <w:t xml:space="preserve">ould be </w:t>
      </w:r>
      <w:r w:rsidRPr="009811ED">
        <w:rPr>
          <w:sz w:val="26"/>
          <w:szCs w:val="26"/>
        </w:rPr>
        <w:t xml:space="preserve">sufficient to deter PECO from allowing its electric meters to not communicate properly with its system for prolonged periods of time.  Similarly, the ALJ determined that an additional civil penalty in the amount of $1,000 </w:t>
      </w:r>
      <w:r w:rsidR="000319D2">
        <w:rPr>
          <w:sz w:val="26"/>
          <w:szCs w:val="26"/>
        </w:rPr>
        <w:t xml:space="preserve">would be </w:t>
      </w:r>
      <w:r w:rsidRPr="009811ED">
        <w:rPr>
          <w:sz w:val="26"/>
          <w:szCs w:val="26"/>
        </w:rPr>
        <w:t xml:space="preserve">appropriate to draw PECO’s attention to better train its gas technicians in the field.  I.D. at 39-42.  The </w:t>
      </w:r>
      <w:r w:rsidR="000A2E82">
        <w:rPr>
          <w:sz w:val="26"/>
          <w:szCs w:val="26"/>
        </w:rPr>
        <w:t>ALJ</w:t>
      </w:r>
      <w:r w:rsidR="008908B1">
        <w:rPr>
          <w:sz w:val="26"/>
          <w:szCs w:val="26"/>
        </w:rPr>
        <w:t xml:space="preserve"> further ordered PECO to abide by </w:t>
      </w:r>
      <w:r w:rsidRPr="009811ED">
        <w:rPr>
          <w:sz w:val="26"/>
          <w:szCs w:val="26"/>
        </w:rPr>
        <w:t xml:space="preserve">a “cease and desist” directive </w:t>
      </w:r>
      <w:r w:rsidR="0029616C">
        <w:rPr>
          <w:sz w:val="26"/>
          <w:szCs w:val="26"/>
        </w:rPr>
        <w:t xml:space="preserve">from </w:t>
      </w:r>
      <w:r w:rsidRPr="009811ED">
        <w:rPr>
          <w:sz w:val="26"/>
          <w:szCs w:val="26"/>
        </w:rPr>
        <w:t xml:space="preserve">further violations of the Code or Commission Regulations.  </w:t>
      </w:r>
      <w:r w:rsidRPr="009811ED">
        <w:rPr>
          <w:i/>
          <w:sz w:val="26"/>
          <w:szCs w:val="26"/>
        </w:rPr>
        <w:t>Id.</w:t>
      </w:r>
      <w:r w:rsidRPr="009811ED">
        <w:rPr>
          <w:sz w:val="26"/>
          <w:szCs w:val="26"/>
        </w:rPr>
        <w:t xml:space="preserve"> at 47.</w:t>
      </w:r>
    </w:p>
    <w:p w14:paraId="217E76BF" w14:textId="77777777" w:rsidR="009811ED" w:rsidRPr="009811ED" w:rsidRDefault="009811ED" w:rsidP="009811ED">
      <w:pPr>
        <w:ind w:firstLine="1440"/>
        <w:contextualSpacing/>
        <w:jc w:val="left"/>
        <w:rPr>
          <w:rFonts w:eastAsia="Times New Roman"/>
          <w:snapToGrid w:val="0"/>
          <w:sz w:val="26"/>
          <w:szCs w:val="26"/>
        </w:rPr>
      </w:pPr>
    </w:p>
    <w:p w14:paraId="7AC063CB" w14:textId="77777777" w:rsidR="009811ED" w:rsidRPr="001E069E" w:rsidRDefault="009811ED" w:rsidP="009811ED">
      <w:pPr>
        <w:pStyle w:val="ListParagraph"/>
        <w:numPr>
          <w:ilvl w:val="0"/>
          <w:numId w:val="18"/>
        </w:numPr>
        <w:autoSpaceDE w:val="0"/>
        <w:autoSpaceDN w:val="0"/>
        <w:adjustRightInd w:val="0"/>
        <w:ind w:left="1440" w:hanging="720"/>
        <w:jc w:val="left"/>
        <w:rPr>
          <w:b/>
          <w:sz w:val="26"/>
          <w:szCs w:val="26"/>
        </w:rPr>
      </w:pPr>
      <w:r w:rsidRPr="001E069E">
        <w:rPr>
          <w:b/>
          <w:sz w:val="26"/>
          <w:szCs w:val="26"/>
        </w:rPr>
        <w:t>Exceptions, Replies and Disposition</w:t>
      </w:r>
    </w:p>
    <w:p w14:paraId="6F067BE7" w14:textId="54E9F65B" w:rsidR="001D31AF" w:rsidRDefault="001D31AF" w:rsidP="002A6A08">
      <w:pPr>
        <w:ind w:firstLine="1440"/>
        <w:contextualSpacing/>
        <w:jc w:val="left"/>
        <w:rPr>
          <w:rFonts w:ascii="Times New (W1)" w:hAnsi="Times New (W1)"/>
          <w:sz w:val="26"/>
        </w:rPr>
      </w:pPr>
    </w:p>
    <w:p w14:paraId="63D1B925" w14:textId="72AEE924"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 xml:space="preserve">In its Exceptions, the Complainant claims that “[t]he estimated readings of </w:t>
      </w:r>
      <w:r w:rsidR="00846BD9">
        <w:rPr>
          <w:sz w:val="26"/>
          <w:szCs w:val="26"/>
        </w:rPr>
        <w:t>[C]</w:t>
      </w:r>
      <w:proofErr w:type="spellStart"/>
      <w:r w:rsidRPr="009811ED">
        <w:rPr>
          <w:sz w:val="26"/>
          <w:szCs w:val="26"/>
        </w:rPr>
        <w:t>omplainant’s</w:t>
      </w:r>
      <w:proofErr w:type="spellEnd"/>
      <w:r w:rsidRPr="009811ED">
        <w:rPr>
          <w:sz w:val="26"/>
          <w:szCs w:val="26"/>
        </w:rPr>
        <w:t xml:space="preserve"> PECO bills are in excess of the actual electricity usage by his business,” and therefore, “PECO breached its duty under 66 P[a.] C.S. § 1501 to furnish and maintain adequate efficient safe and reasonable service and facilities, including a reasonable and actual bill for the supply of its electric service.”  Exc. at 2.</w:t>
      </w:r>
    </w:p>
    <w:p w14:paraId="7FB8BB65" w14:textId="77777777" w:rsidR="009811ED" w:rsidRPr="009811ED" w:rsidRDefault="009811ED" w:rsidP="009811ED">
      <w:pPr>
        <w:autoSpaceDE w:val="0"/>
        <w:autoSpaceDN w:val="0"/>
        <w:adjustRightInd w:val="0"/>
        <w:ind w:firstLine="1440"/>
        <w:contextualSpacing/>
        <w:jc w:val="left"/>
        <w:rPr>
          <w:sz w:val="26"/>
          <w:szCs w:val="26"/>
        </w:rPr>
      </w:pPr>
    </w:p>
    <w:p w14:paraId="6CFA14AA" w14:textId="7D37F278"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 xml:space="preserve">In its Reply Exceptions, PECO counters by admitting it was in violation of </w:t>
      </w:r>
      <w:r w:rsidR="00846BD9">
        <w:rPr>
          <w:sz w:val="26"/>
          <w:szCs w:val="26"/>
        </w:rPr>
        <w:t xml:space="preserve">our </w:t>
      </w:r>
      <w:r w:rsidRPr="009811ED">
        <w:rPr>
          <w:sz w:val="26"/>
          <w:szCs w:val="26"/>
        </w:rPr>
        <w:t xml:space="preserve">Regulations for rendering too many estimated </w:t>
      </w:r>
      <w:proofErr w:type="gramStart"/>
      <w:r w:rsidRPr="009811ED">
        <w:rPr>
          <w:sz w:val="26"/>
          <w:szCs w:val="26"/>
        </w:rPr>
        <w:t>bills, but</w:t>
      </w:r>
      <w:proofErr w:type="gramEnd"/>
      <w:r w:rsidRPr="009811ED">
        <w:rPr>
          <w:sz w:val="26"/>
          <w:szCs w:val="26"/>
        </w:rPr>
        <w:t xml:space="preserve"> submits that PECO properly re-billed the Complainant based on actual usage </w:t>
      </w:r>
      <w:r w:rsidR="005B7D5D">
        <w:rPr>
          <w:sz w:val="26"/>
          <w:szCs w:val="26"/>
        </w:rPr>
        <w:t xml:space="preserve">registered on </w:t>
      </w:r>
      <w:r w:rsidRPr="009811ED">
        <w:rPr>
          <w:sz w:val="26"/>
          <w:szCs w:val="26"/>
        </w:rPr>
        <w:t>the meter.  R.</w:t>
      </w:r>
      <w:r w:rsidR="005B7D5D">
        <w:rPr>
          <w:sz w:val="26"/>
          <w:szCs w:val="26"/>
        </w:rPr>
        <w:t> </w:t>
      </w:r>
      <w:r w:rsidRPr="009811ED">
        <w:rPr>
          <w:sz w:val="26"/>
          <w:szCs w:val="26"/>
        </w:rPr>
        <w:t>Exc. at 19.</w:t>
      </w:r>
    </w:p>
    <w:p w14:paraId="50F7AB14" w14:textId="77777777" w:rsidR="009811ED" w:rsidRPr="009811ED" w:rsidRDefault="009811ED" w:rsidP="009811ED">
      <w:pPr>
        <w:autoSpaceDE w:val="0"/>
        <w:autoSpaceDN w:val="0"/>
        <w:adjustRightInd w:val="0"/>
        <w:ind w:firstLine="1440"/>
        <w:contextualSpacing/>
        <w:jc w:val="left"/>
        <w:rPr>
          <w:sz w:val="26"/>
          <w:szCs w:val="26"/>
        </w:rPr>
      </w:pPr>
    </w:p>
    <w:p w14:paraId="486AF8B4" w14:textId="5451A83F"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 xml:space="preserve">In the matter before us, the record indicates that PECO presented testimony explaining why the Complainant was sent fifteen estimated electric bills during the period </w:t>
      </w:r>
      <w:r w:rsidR="005B7D5D">
        <w:rPr>
          <w:sz w:val="26"/>
          <w:szCs w:val="26"/>
        </w:rPr>
        <w:t xml:space="preserve">from </w:t>
      </w:r>
      <w:r w:rsidRPr="009811ED">
        <w:rPr>
          <w:sz w:val="26"/>
          <w:szCs w:val="26"/>
        </w:rPr>
        <w:t xml:space="preserve">September 2014 through January 2016 and thirteen estimated gas bills during the period </w:t>
      </w:r>
      <w:r w:rsidR="005B7D5D">
        <w:rPr>
          <w:sz w:val="26"/>
          <w:szCs w:val="26"/>
        </w:rPr>
        <w:t xml:space="preserve">from </w:t>
      </w:r>
      <w:r w:rsidRPr="009811ED">
        <w:rPr>
          <w:sz w:val="26"/>
          <w:szCs w:val="26"/>
        </w:rPr>
        <w:t xml:space="preserve">October 2014 to February 2016.  Specifically, PECO’s witnesses testified that the estimated bills were the result of equipment malfunction as the AMI module failed to correctly report the readings from the meter register.  </w:t>
      </w:r>
      <w:r w:rsidRPr="009811ED">
        <w:rPr>
          <w:rFonts w:eastAsia="MS Mincho"/>
          <w:sz w:val="26"/>
          <w:szCs w:val="26"/>
        </w:rPr>
        <w:t>In considering the above testimony, the ALJ found that PECO’s use of an estimated meter reading to bill the Complainant for its usage fell squarely within the provisions for estimating a consumer’s bill due to exigent circumstances, as outlined in Section 56.12(3) of our Regulations.  We agree.</w:t>
      </w:r>
    </w:p>
    <w:p w14:paraId="4AD3F472" w14:textId="77777777" w:rsidR="009811ED" w:rsidRPr="009811ED" w:rsidRDefault="009811ED" w:rsidP="009811ED">
      <w:pPr>
        <w:autoSpaceDE w:val="0"/>
        <w:autoSpaceDN w:val="0"/>
        <w:adjustRightInd w:val="0"/>
        <w:ind w:firstLine="1440"/>
        <w:contextualSpacing/>
        <w:jc w:val="left"/>
        <w:rPr>
          <w:sz w:val="26"/>
          <w:szCs w:val="26"/>
        </w:rPr>
      </w:pPr>
    </w:p>
    <w:p w14:paraId="520A47FE" w14:textId="73F0CFCC" w:rsidR="00A95C74" w:rsidRDefault="009811ED" w:rsidP="009811ED">
      <w:pPr>
        <w:autoSpaceDE w:val="0"/>
        <w:autoSpaceDN w:val="0"/>
        <w:adjustRightInd w:val="0"/>
        <w:ind w:firstLine="1440"/>
        <w:contextualSpacing/>
        <w:jc w:val="left"/>
        <w:rPr>
          <w:sz w:val="26"/>
          <w:szCs w:val="26"/>
        </w:rPr>
      </w:pPr>
      <w:r w:rsidRPr="009811ED">
        <w:rPr>
          <w:sz w:val="26"/>
          <w:szCs w:val="26"/>
        </w:rPr>
        <w:t xml:space="preserve">However, we also concur with ALJ Vero’s finding that the record in this proceeding demonstrates that PECO provided unreasonable service, violating its statutory duty under 66 Pa. C.S. § 1501, relating to numerous estimated bills because of failure to correct the communication between the Complainant’s electric and gas meters and the rest of its system for an extended </w:t>
      </w:r>
      <w:proofErr w:type="gramStart"/>
      <w:r w:rsidRPr="009811ED">
        <w:rPr>
          <w:sz w:val="26"/>
          <w:szCs w:val="26"/>
        </w:rPr>
        <w:t>period of time</w:t>
      </w:r>
      <w:proofErr w:type="gramEnd"/>
      <w:r w:rsidRPr="009811ED">
        <w:rPr>
          <w:sz w:val="26"/>
          <w:szCs w:val="26"/>
        </w:rPr>
        <w:t>.</w:t>
      </w:r>
    </w:p>
    <w:p w14:paraId="0F02F2B7" w14:textId="77777777" w:rsidR="00697E51" w:rsidRDefault="00697E51" w:rsidP="009811ED">
      <w:pPr>
        <w:autoSpaceDE w:val="0"/>
        <w:autoSpaceDN w:val="0"/>
        <w:adjustRightInd w:val="0"/>
        <w:ind w:firstLine="1440"/>
        <w:contextualSpacing/>
        <w:jc w:val="left"/>
        <w:rPr>
          <w:sz w:val="26"/>
          <w:szCs w:val="26"/>
        </w:rPr>
      </w:pPr>
    </w:p>
    <w:p w14:paraId="14D6D090" w14:textId="00A6D438" w:rsidR="00A95C74" w:rsidRPr="00A95C74" w:rsidRDefault="00A95C74" w:rsidP="00A95C74">
      <w:pPr>
        <w:ind w:firstLine="1440"/>
        <w:contextualSpacing/>
        <w:jc w:val="left"/>
        <w:rPr>
          <w:rFonts w:eastAsia="Times New Roman"/>
          <w:sz w:val="26"/>
          <w:szCs w:val="26"/>
        </w:rPr>
      </w:pPr>
      <w:r w:rsidRPr="00A95C74">
        <w:rPr>
          <w:rFonts w:eastAsia="Times New Roman"/>
          <w:sz w:val="26"/>
          <w:szCs w:val="26"/>
        </w:rPr>
        <w:t>Under Section 1501 of the Code, every public utility has a duty to “</w:t>
      </w:r>
      <w:proofErr w:type="gramStart"/>
      <w:r w:rsidR="00697E51">
        <w:rPr>
          <w:rFonts w:eastAsia="Times New Roman"/>
          <w:sz w:val="26"/>
          <w:szCs w:val="26"/>
        </w:rPr>
        <w:t>. .</w:t>
      </w:r>
      <w:proofErr w:type="gramEnd"/>
      <w:r w:rsidR="00697E51">
        <w:rPr>
          <w:rFonts w:eastAsia="Times New Roman"/>
          <w:sz w:val="26"/>
          <w:szCs w:val="26"/>
        </w:rPr>
        <w:t xml:space="preserve"> . </w:t>
      </w:r>
      <w:r w:rsidRPr="00A95C74">
        <w:rPr>
          <w:rFonts w:eastAsia="Times New Roman"/>
          <w:sz w:val="26"/>
          <w:szCs w:val="26"/>
        </w:rPr>
        <w:t xml:space="preserve">furnish and maintain adequate, efficient, safe, and reasonable service and facilities and to make all such repairs, changes, alterations, substitutions, extensions and improvements in or to such service and facilities as shall be necessary or proper for the accommodation, convenience and safety of its patrons, employees and the public.”  66 Pa. C.S. § 1501.  The term “service” means not only the distribution of electrical energy, but also includes any and all acts related to that function, even the maintenance practices that an electric utility undertakes.  </w:t>
      </w:r>
      <w:r w:rsidRPr="00A95C74">
        <w:rPr>
          <w:rFonts w:eastAsia="Times New Roman"/>
          <w:i/>
          <w:iCs/>
          <w:sz w:val="26"/>
          <w:szCs w:val="26"/>
        </w:rPr>
        <w:t>Dorothy J. Taylor v. West Penn Power Company</w:t>
      </w:r>
      <w:r w:rsidRPr="00A95C74">
        <w:rPr>
          <w:rFonts w:eastAsia="Times New Roman"/>
          <w:sz w:val="26"/>
          <w:szCs w:val="26"/>
        </w:rPr>
        <w:t xml:space="preserve">, 1993 Pa. PUC LEXIS 53 at 24, </w:t>
      </w:r>
      <w:r w:rsidRPr="00A95C74">
        <w:rPr>
          <w:rFonts w:eastAsia="Times New Roman"/>
          <w:i/>
          <w:sz w:val="26"/>
          <w:szCs w:val="26"/>
        </w:rPr>
        <w:t>citing</w:t>
      </w:r>
      <w:r w:rsidRPr="00A95C74">
        <w:rPr>
          <w:rFonts w:eastAsia="Times New Roman"/>
          <w:sz w:val="26"/>
          <w:szCs w:val="26"/>
        </w:rPr>
        <w:t xml:space="preserve">, </w:t>
      </w:r>
      <w:r w:rsidRPr="00A95C74">
        <w:rPr>
          <w:rFonts w:eastAsia="Times New Roman"/>
          <w:i/>
          <w:sz w:val="26"/>
          <w:szCs w:val="26"/>
        </w:rPr>
        <w:t>West Penn Power Company</w:t>
      </w:r>
      <w:r w:rsidRPr="00A95C74">
        <w:rPr>
          <w:rFonts w:eastAsia="Times New Roman"/>
          <w:i/>
          <w:iCs/>
          <w:sz w:val="26"/>
          <w:szCs w:val="26"/>
        </w:rPr>
        <w:t> v. Pa. PUC,</w:t>
      </w:r>
      <w:r w:rsidRPr="00A95C74">
        <w:rPr>
          <w:rFonts w:eastAsia="Times New Roman"/>
          <w:sz w:val="26"/>
          <w:szCs w:val="26"/>
        </w:rPr>
        <w:t xml:space="preserve"> 578 A.2d 75 (Pa. Cmwlth. 1990).</w:t>
      </w:r>
    </w:p>
    <w:p w14:paraId="270D9B2B" w14:textId="77777777" w:rsidR="00A95C74" w:rsidRDefault="00A95C74" w:rsidP="009811ED">
      <w:pPr>
        <w:autoSpaceDE w:val="0"/>
        <w:autoSpaceDN w:val="0"/>
        <w:adjustRightInd w:val="0"/>
        <w:ind w:firstLine="1440"/>
        <w:contextualSpacing/>
        <w:jc w:val="left"/>
        <w:rPr>
          <w:sz w:val="26"/>
          <w:szCs w:val="26"/>
        </w:rPr>
      </w:pPr>
    </w:p>
    <w:p w14:paraId="40559833" w14:textId="4E28B529"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 xml:space="preserve">Accordingly, we conclude that a civil penalty </w:t>
      </w:r>
      <w:r w:rsidR="00697E51">
        <w:rPr>
          <w:sz w:val="26"/>
          <w:szCs w:val="26"/>
        </w:rPr>
        <w:t xml:space="preserve">against PECO </w:t>
      </w:r>
      <w:r w:rsidRPr="009811ED">
        <w:rPr>
          <w:sz w:val="26"/>
          <w:szCs w:val="26"/>
        </w:rPr>
        <w:t xml:space="preserve">is appropriate and </w:t>
      </w:r>
      <w:r w:rsidR="00697E51">
        <w:rPr>
          <w:sz w:val="26"/>
          <w:szCs w:val="26"/>
        </w:rPr>
        <w:t xml:space="preserve">we </w:t>
      </w:r>
      <w:r w:rsidRPr="009811ED">
        <w:rPr>
          <w:sz w:val="26"/>
          <w:szCs w:val="26"/>
        </w:rPr>
        <w:t>shall adopt the recommendation of ALJ Vero</w:t>
      </w:r>
      <w:r w:rsidR="00697E51">
        <w:rPr>
          <w:sz w:val="26"/>
          <w:szCs w:val="26"/>
        </w:rPr>
        <w:t xml:space="preserve"> that assesses a penalty of $2,000 against PECO</w:t>
      </w:r>
      <w:r w:rsidRPr="009811ED">
        <w:rPr>
          <w:sz w:val="26"/>
          <w:szCs w:val="26"/>
        </w:rPr>
        <w:t xml:space="preserve">.  </w:t>
      </w:r>
      <w:r w:rsidR="00C5568F">
        <w:rPr>
          <w:sz w:val="26"/>
          <w:szCs w:val="26"/>
        </w:rPr>
        <w:t xml:space="preserve">As noted, our </w:t>
      </w:r>
      <w:r w:rsidRPr="009811ED">
        <w:rPr>
          <w:sz w:val="26"/>
          <w:szCs w:val="26"/>
        </w:rPr>
        <w:t xml:space="preserve">Policy Statement at 52 Pa. Code § 69.1201 (Policy Statement) sets forth </w:t>
      </w:r>
      <w:r w:rsidR="00F96AFB">
        <w:rPr>
          <w:sz w:val="26"/>
          <w:szCs w:val="26"/>
        </w:rPr>
        <w:t xml:space="preserve">guidelines </w:t>
      </w:r>
      <w:r w:rsidRPr="009811ED">
        <w:rPr>
          <w:sz w:val="26"/>
          <w:szCs w:val="26"/>
        </w:rPr>
        <w:t xml:space="preserve">in evaluating whether a </w:t>
      </w:r>
      <w:r w:rsidR="00F25B20">
        <w:rPr>
          <w:sz w:val="26"/>
          <w:szCs w:val="26"/>
        </w:rPr>
        <w:t xml:space="preserve">civil penalty </w:t>
      </w:r>
      <w:r w:rsidRPr="009811ED">
        <w:rPr>
          <w:sz w:val="26"/>
          <w:szCs w:val="26"/>
        </w:rPr>
        <w:t xml:space="preserve">for violating a Commission </w:t>
      </w:r>
      <w:r w:rsidR="00F25B20">
        <w:rPr>
          <w:sz w:val="26"/>
          <w:szCs w:val="26"/>
        </w:rPr>
        <w:t>O</w:t>
      </w:r>
      <w:r w:rsidRPr="009811ED">
        <w:rPr>
          <w:sz w:val="26"/>
          <w:szCs w:val="26"/>
        </w:rPr>
        <w:t xml:space="preserve">rder, </w:t>
      </w:r>
      <w:r w:rsidR="00F25B20">
        <w:rPr>
          <w:sz w:val="26"/>
          <w:szCs w:val="26"/>
        </w:rPr>
        <w:t>R</w:t>
      </w:r>
      <w:r w:rsidRPr="009811ED">
        <w:rPr>
          <w:sz w:val="26"/>
          <w:szCs w:val="26"/>
        </w:rPr>
        <w:t xml:space="preserve">egulation or statute is </w:t>
      </w:r>
      <w:r w:rsidR="00F25B20">
        <w:rPr>
          <w:sz w:val="26"/>
          <w:szCs w:val="26"/>
        </w:rPr>
        <w:t xml:space="preserve">warranted </w:t>
      </w:r>
      <w:r w:rsidR="00C5568F">
        <w:rPr>
          <w:sz w:val="26"/>
          <w:szCs w:val="26"/>
        </w:rPr>
        <w:t xml:space="preserve">and </w:t>
      </w:r>
      <w:r w:rsidR="00F96AFB">
        <w:rPr>
          <w:sz w:val="26"/>
          <w:szCs w:val="26"/>
        </w:rPr>
        <w:t xml:space="preserve">includes ten factors to </w:t>
      </w:r>
      <w:r w:rsidR="00F25B20">
        <w:rPr>
          <w:sz w:val="26"/>
          <w:szCs w:val="26"/>
        </w:rPr>
        <w:t>consider in determining an appropriate level of the civil penalty.</w:t>
      </w:r>
    </w:p>
    <w:p w14:paraId="2EBCADC0" w14:textId="77777777" w:rsidR="009811ED" w:rsidRPr="009811ED" w:rsidRDefault="009811ED" w:rsidP="009811ED">
      <w:pPr>
        <w:autoSpaceDE w:val="0"/>
        <w:autoSpaceDN w:val="0"/>
        <w:adjustRightInd w:val="0"/>
        <w:ind w:firstLine="1440"/>
        <w:contextualSpacing/>
        <w:jc w:val="left"/>
        <w:rPr>
          <w:sz w:val="26"/>
          <w:szCs w:val="26"/>
        </w:rPr>
      </w:pPr>
    </w:p>
    <w:p w14:paraId="176274B2" w14:textId="77777777"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 xml:space="preserve">The first factor we may consider is whether the conduct at issue is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9811ED">
        <w:rPr>
          <w:i/>
          <w:sz w:val="26"/>
          <w:szCs w:val="26"/>
        </w:rPr>
        <w:t>Id</w:t>
      </w:r>
      <w:r w:rsidRPr="009811ED">
        <w:rPr>
          <w:sz w:val="26"/>
          <w:szCs w:val="26"/>
        </w:rPr>
        <w:t>.  We find the conduct in the instant case to be of less than serious nature in that there is no evidence that PECO’s conduct constitutes willful fraud or misrepresentation.  Hence, this factor supports a lower civil penalty.</w:t>
      </w:r>
    </w:p>
    <w:p w14:paraId="37239141" w14:textId="77777777" w:rsidR="009811ED" w:rsidRPr="009811ED" w:rsidRDefault="009811ED" w:rsidP="009811ED">
      <w:pPr>
        <w:autoSpaceDE w:val="0"/>
        <w:autoSpaceDN w:val="0"/>
        <w:adjustRightInd w:val="0"/>
        <w:ind w:firstLine="1440"/>
        <w:contextualSpacing/>
        <w:jc w:val="left"/>
        <w:rPr>
          <w:sz w:val="26"/>
          <w:szCs w:val="26"/>
        </w:rPr>
      </w:pPr>
    </w:p>
    <w:p w14:paraId="6A88341E" w14:textId="77777777" w:rsidR="009811ED" w:rsidRPr="009811ED" w:rsidRDefault="009811ED" w:rsidP="009811ED">
      <w:pPr>
        <w:ind w:firstLine="1440"/>
        <w:contextualSpacing/>
        <w:jc w:val="left"/>
        <w:rPr>
          <w:sz w:val="26"/>
          <w:szCs w:val="26"/>
        </w:rPr>
      </w:pPr>
      <w:r w:rsidRPr="009811ED">
        <w:rPr>
          <w:sz w:val="26"/>
          <w:szCs w:val="26"/>
        </w:rPr>
        <w:t xml:space="preserve">The second factor we may consider is whether the resulting consequences of the conduct at issue were of a serious nature.  52 Pa. Code § 69.1201(c)(2).  “When consequences of a serious nature are involved, such as personal injury or property damage, the consequences may warrant a higher penalty.” </w:t>
      </w:r>
      <w:r w:rsidRPr="009811ED">
        <w:rPr>
          <w:i/>
          <w:sz w:val="26"/>
          <w:szCs w:val="26"/>
        </w:rPr>
        <w:t>Id.</w:t>
      </w:r>
      <w:r w:rsidRPr="009811ED">
        <w:rPr>
          <w:sz w:val="26"/>
          <w:szCs w:val="26"/>
        </w:rPr>
        <w:t xml:space="preserve">  We find that the resulting consequences of the conduct were not serious, in that there is insufficient evidence to show that personal injury or property damage occurred as a result of PECO’s conduct.</w:t>
      </w:r>
    </w:p>
    <w:p w14:paraId="06444402" w14:textId="77777777" w:rsidR="009811ED" w:rsidRPr="009811ED" w:rsidRDefault="009811ED" w:rsidP="009811ED">
      <w:pPr>
        <w:autoSpaceDE w:val="0"/>
        <w:autoSpaceDN w:val="0"/>
        <w:adjustRightInd w:val="0"/>
        <w:ind w:firstLine="1440"/>
        <w:contextualSpacing/>
        <w:jc w:val="left"/>
        <w:rPr>
          <w:sz w:val="26"/>
          <w:szCs w:val="26"/>
        </w:rPr>
      </w:pPr>
    </w:p>
    <w:p w14:paraId="03F1C3CB" w14:textId="77777777" w:rsidR="009811ED" w:rsidRPr="009811ED" w:rsidRDefault="009811ED" w:rsidP="009811ED">
      <w:pPr>
        <w:ind w:firstLine="1440"/>
        <w:contextualSpacing/>
        <w:jc w:val="left"/>
        <w:rPr>
          <w:rFonts w:eastAsia="Times New Roman"/>
          <w:sz w:val="26"/>
          <w:szCs w:val="26"/>
        </w:rPr>
      </w:pPr>
      <w:r w:rsidRPr="009811ED">
        <w:rPr>
          <w:rFonts w:eastAsia="Times New Roman"/>
          <w:sz w:val="26"/>
          <w:szCs w:val="26"/>
        </w:rPr>
        <w:t xml:space="preserve">The third factor we may consider is whether the conduct at issue was deemed intentional or negligent.  52 Pa. Code § 69.1201(c)(3).  “When conduct has been deemed intentional, the conduct may result in a higher penalty.” </w:t>
      </w:r>
      <w:r w:rsidRPr="009811ED">
        <w:rPr>
          <w:rFonts w:eastAsia="Times New Roman"/>
          <w:i/>
          <w:sz w:val="26"/>
          <w:szCs w:val="26"/>
        </w:rPr>
        <w:t>Id.</w:t>
      </w:r>
      <w:r w:rsidRPr="009811ED">
        <w:rPr>
          <w:rFonts w:eastAsia="Times New Roman"/>
          <w:sz w:val="26"/>
          <w:szCs w:val="26"/>
        </w:rPr>
        <w:t xml:space="preserve">  Concerning PECO’s issuance of estimated electric bills for a prolonged period of time and its failure to correct the source of the problem, we agree with ALJ Vero’s characterization as follows:</w:t>
      </w:r>
    </w:p>
    <w:p w14:paraId="6CF0E5A9" w14:textId="77777777" w:rsidR="009811ED" w:rsidRPr="009811ED" w:rsidRDefault="009811ED" w:rsidP="009811ED">
      <w:pPr>
        <w:ind w:firstLine="1440"/>
        <w:contextualSpacing/>
        <w:jc w:val="left"/>
        <w:rPr>
          <w:rFonts w:eastAsia="Times New Roman"/>
          <w:sz w:val="26"/>
          <w:szCs w:val="26"/>
        </w:rPr>
      </w:pPr>
    </w:p>
    <w:p w14:paraId="70A776F5" w14:textId="0ABAC68E" w:rsidR="009811ED" w:rsidRDefault="009811ED" w:rsidP="009811ED">
      <w:pPr>
        <w:spacing w:line="240" w:lineRule="auto"/>
        <w:ind w:left="1440" w:right="1440" w:firstLine="0"/>
        <w:contextualSpacing/>
        <w:jc w:val="left"/>
        <w:rPr>
          <w:rFonts w:eastAsia="Times New Roman"/>
          <w:sz w:val="26"/>
          <w:szCs w:val="26"/>
        </w:rPr>
      </w:pPr>
      <w:r w:rsidRPr="009811ED">
        <w:rPr>
          <w:rFonts w:eastAsia="Times New Roman"/>
          <w:sz w:val="26"/>
          <w:szCs w:val="26"/>
        </w:rPr>
        <w:t xml:space="preserve">I find that PECO’s failure to correct the problem with the electric meter for a period of 15 months resulted from a business or technological decision made by PECO on how to address the issue.  While PECO may not have intended to provide the Complainant with inadequate service, it intended to continue to address the problem “from the office” even after many months of repeated failures. </w:t>
      </w:r>
    </w:p>
    <w:p w14:paraId="3A5FF533" w14:textId="20EA8F67" w:rsidR="00F25B20" w:rsidRDefault="00F25B20" w:rsidP="009811ED">
      <w:pPr>
        <w:spacing w:line="240" w:lineRule="auto"/>
        <w:ind w:left="1440" w:right="1440" w:firstLine="0"/>
        <w:contextualSpacing/>
        <w:jc w:val="left"/>
        <w:rPr>
          <w:rFonts w:eastAsia="Times New Roman"/>
          <w:sz w:val="26"/>
          <w:szCs w:val="26"/>
        </w:rPr>
      </w:pPr>
    </w:p>
    <w:p w14:paraId="618C379C" w14:textId="77777777" w:rsidR="009B3B2E" w:rsidRPr="009811ED" w:rsidRDefault="009B3B2E" w:rsidP="009811ED">
      <w:pPr>
        <w:spacing w:line="240" w:lineRule="auto"/>
        <w:ind w:left="1440" w:right="1440" w:firstLine="0"/>
        <w:contextualSpacing/>
        <w:jc w:val="left"/>
        <w:rPr>
          <w:rFonts w:eastAsia="Times New Roman"/>
          <w:sz w:val="26"/>
          <w:szCs w:val="26"/>
        </w:rPr>
      </w:pPr>
    </w:p>
    <w:p w14:paraId="7B5B35D8" w14:textId="75DE91A4" w:rsidR="009811ED" w:rsidRPr="009B3B2E" w:rsidRDefault="009B3B2E" w:rsidP="009811ED">
      <w:pPr>
        <w:ind w:firstLine="0"/>
        <w:contextualSpacing/>
        <w:jc w:val="left"/>
        <w:rPr>
          <w:rFonts w:eastAsia="Times New Roman"/>
          <w:i/>
          <w:sz w:val="26"/>
          <w:szCs w:val="26"/>
        </w:rPr>
      </w:pPr>
      <w:r w:rsidRPr="009811ED">
        <w:rPr>
          <w:rFonts w:eastAsia="Times New Roman"/>
          <w:sz w:val="26"/>
          <w:szCs w:val="26"/>
        </w:rPr>
        <w:t>I.D. at 40-41.</w:t>
      </w:r>
      <w:r>
        <w:rPr>
          <w:rFonts w:eastAsia="Times New Roman"/>
          <w:sz w:val="26"/>
          <w:szCs w:val="26"/>
        </w:rPr>
        <w:t xml:space="preserve">  </w:t>
      </w:r>
      <w:r w:rsidR="009811ED" w:rsidRPr="009811ED">
        <w:rPr>
          <w:rFonts w:eastAsia="Times New Roman"/>
          <w:sz w:val="26"/>
          <w:szCs w:val="26"/>
        </w:rPr>
        <w:t xml:space="preserve">However, as for PECO’s failure to repair the module in the Complainant’s gas meter, we likewise agree with the ALJ that there is no substantial evidence in the record to indicate that the offending conduct was intentional.  </w:t>
      </w:r>
      <w:r>
        <w:rPr>
          <w:rFonts w:eastAsia="Times New Roman"/>
          <w:i/>
          <w:sz w:val="26"/>
          <w:szCs w:val="26"/>
        </w:rPr>
        <w:t>Id.</w:t>
      </w:r>
    </w:p>
    <w:p w14:paraId="752D9F71" w14:textId="77777777" w:rsidR="009811ED" w:rsidRPr="009811ED" w:rsidRDefault="009811ED" w:rsidP="009811ED">
      <w:pPr>
        <w:ind w:firstLine="0"/>
        <w:contextualSpacing/>
        <w:jc w:val="left"/>
        <w:rPr>
          <w:rFonts w:eastAsia="Times New Roman"/>
          <w:sz w:val="26"/>
          <w:szCs w:val="26"/>
        </w:rPr>
      </w:pPr>
    </w:p>
    <w:p w14:paraId="724ABB8B" w14:textId="77777777"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 xml:space="preserve">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As previously indicated, PECO failed to correct the source of the problem for a period of fifteen months, and offered no explanation as to why it continued to address the problem “from the office” through a process that had repeatedly neglected to yield any positive results.  </w:t>
      </w:r>
    </w:p>
    <w:p w14:paraId="3809A953" w14:textId="77777777" w:rsidR="009811ED" w:rsidRPr="009811ED" w:rsidRDefault="009811ED" w:rsidP="009811ED">
      <w:pPr>
        <w:autoSpaceDE w:val="0"/>
        <w:autoSpaceDN w:val="0"/>
        <w:adjustRightInd w:val="0"/>
        <w:ind w:firstLine="1440"/>
        <w:contextualSpacing/>
        <w:jc w:val="left"/>
        <w:rPr>
          <w:sz w:val="26"/>
          <w:szCs w:val="26"/>
        </w:rPr>
      </w:pPr>
    </w:p>
    <w:p w14:paraId="65B1A94B" w14:textId="77777777" w:rsidR="009811ED" w:rsidRPr="009811ED" w:rsidRDefault="009811ED" w:rsidP="009811ED">
      <w:pPr>
        <w:ind w:firstLine="1440"/>
        <w:contextualSpacing/>
        <w:jc w:val="left"/>
        <w:rPr>
          <w:sz w:val="26"/>
          <w:szCs w:val="26"/>
        </w:rPr>
      </w:pPr>
      <w:r w:rsidRPr="009811ED">
        <w:rPr>
          <w:sz w:val="26"/>
          <w:szCs w:val="26"/>
        </w:rPr>
        <w:t>The fifth factor we may consider is the number of customers affected and the duration of the violation.  52 Pa. Code § 69.1201(c)(5).  Although there was only one customer affected, the record indicates that the Complainant was affected by PECO’s failure to correct the problem for a period of fifteen months.</w:t>
      </w:r>
    </w:p>
    <w:p w14:paraId="6BB8A1C6" w14:textId="77777777" w:rsidR="009811ED" w:rsidRPr="009811ED" w:rsidRDefault="009811ED" w:rsidP="009811ED">
      <w:pPr>
        <w:autoSpaceDE w:val="0"/>
        <w:autoSpaceDN w:val="0"/>
        <w:adjustRightInd w:val="0"/>
        <w:ind w:firstLine="1440"/>
        <w:contextualSpacing/>
        <w:jc w:val="left"/>
        <w:rPr>
          <w:sz w:val="26"/>
          <w:szCs w:val="26"/>
        </w:rPr>
      </w:pPr>
    </w:p>
    <w:p w14:paraId="2523089D" w14:textId="77777777"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 xml:space="preserve">The sixth factor we may consider is the compliance history of the regulated utility that committed the violation.  52 Pa. Code § 69.1201(c)(6).  “An isolated incident from an otherwise compliant utility may result in a lower penalty, whereas frequent, recurrent violations by a utility may result in a higher penalty.” </w:t>
      </w:r>
      <w:r w:rsidRPr="009811ED">
        <w:rPr>
          <w:i/>
          <w:sz w:val="26"/>
          <w:szCs w:val="26"/>
        </w:rPr>
        <w:t>Id.</w:t>
      </w:r>
      <w:r w:rsidRPr="009811ED">
        <w:rPr>
          <w:sz w:val="26"/>
          <w:szCs w:val="26"/>
        </w:rPr>
        <w:t xml:space="preserve">  There is no record evidence that demonstrates that PECO has a poor compliance history with regard to meter reading.</w:t>
      </w:r>
    </w:p>
    <w:p w14:paraId="4C0E473A" w14:textId="77777777" w:rsidR="009811ED" w:rsidRPr="009811ED" w:rsidRDefault="009811ED" w:rsidP="009811ED">
      <w:pPr>
        <w:autoSpaceDE w:val="0"/>
        <w:autoSpaceDN w:val="0"/>
        <w:adjustRightInd w:val="0"/>
        <w:ind w:firstLine="0"/>
        <w:contextualSpacing/>
        <w:jc w:val="left"/>
        <w:rPr>
          <w:sz w:val="26"/>
          <w:szCs w:val="26"/>
        </w:rPr>
      </w:pPr>
    </w:p>
    <w:p w14:paraId="5ACF4DE4" w14:textId="77777777"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The seventh factor we may consider is whether the regulated entity cooperated with the Commission’s investigation.  Facts establishing bad faith, active concealment of violations, or attempts to interfere with Commission investigations may result in a higher penalty.  52 Pa. Code § 69.1201(c)(7).  In this case, there is no Commission investigation associated with this Complaint.  Therefore, this factor is not relevant in determining a civil penalty.</w:t>
      </w:r>
    </w:p>
    <w:p w14:paraId="5DEC0B27" w14:textId="77777777" w:rsidR="009811ED" w:rsidRPr="009811ED" w:rsidRDefault="009811ED" w:rsidP="009811ED">
      <w:pPr>
        <w:autoSpaceDE w:val="0"/>
        <w:autoSpaceDN w:val="0"/>
        <w:adjustRightInd w:val="0"/>
        <w:ind w:firstLine="0"/>
        <w:contextualSpacing/>
        <w:jc w:val="left"/>
        <w:rPr>
          <w:iCs/>
          <w:sz w:val="26"/>
          <w:szCs w:val="26"/>
        </w:rPr>
      </w:pPr>
    </w:p>
    <w:p w14:paraId="4374C384" w14:textId="280F43F1" w:rsidR="009811ED" w:rsidRPr="009811ED" w:rsidRDefault="009811ED" w:rsidP="009811ED">
      <w:pPr>
        <w:ind w:firstLine="1440"/>
        <w:contextualSpacing/>
        <w:jc w:val="left"/>
        <w:rPr>
          <w:rFonts w:eastAsia="Times New Roman"/>
          <w:sz w:val="26"/>
          <w:szCs w:val="26"/>
        </w:rPr>
      </w:pPr>
      <w:r w:rsidRPr="009811ED">
        <w:rPr>
          <w:rFonts w:eastAsia="Times New Roman"/>
          <w:sz w:val="26"/>
          <w:szCs w:val="26"/>
        </w:rPr>
        <w:t>The eighth factor we may consider is the amount of civil penalty or fine necessary to deter future violations.  52 Pa. Code § 69.1201(c)(8).  On consideration of each factor outlined above, we find that a civil penalty in the amount of $1,000</w:t>
      </w:r>
      <w:r w:rsidR="00625197">
        <w:rPr>
          <w:rFonts w:eastAsia="Times New Roman"/>
          <w:sz w:val="26"/>
          <w:szCs w:val="26"/>
        </w:rPr>
        <w:t>, as recommended by ALJ Vero,</w:t>
      </w:r>
      <w:r w:rsidRPr="009811ED">
        <w:rPr>
          <w:rFonts w:eastAsia="Times New Roman"/>
          <w:sz w:val="26"/>
          <w:szCs w:val="26"/>
        </w:rPr>
        <w:t xml:space="preserve"> is appropriate to deter PECO from allowing its electric meters to not communicate properly with its system for a prolonged </w:t>
      </w:r>
      <w:proofErr w:type="gramStart"/>
      <w:r w:rsidRPr="009811ED">
        <w:rPr>
          <w:rFonts w:eastAsia="Times New Roman"/>
          <w:sz w:val="26"/>
          <w:szCs w:val="26"/>
        </w:rPr>
        <w:t>period of time</w:t>
      </w:r>
      <w:proofErr w:type="gramEnd"/>
      <w:r w:rsidRPr="009811ED">
        <w:rPr>
          <w:rFonts w:eastAsia="Times New Roman"/>
          <w:sz w:val="26"/>
          <w:szCs w:val="26"/>
        </w:rPr>
        <w:t>.  Similarly, an additional civil penalty in the amount of $1,000</w:t>
      </w:r>
      <w:r w:rsidR="00625197">
        <w:rPr>
          <w:rFonts w:eastAsia="Times New Roman"/>
          <w:sz w:val="26"/>
          <w:szCs w:val="26"/>
        </w:rPr>
        <w:t>, as recommended by ALJ Vero,</w:t>
      </w:r>
      <w:r w:rsidRPr="009811ED">
        <w:rPr>
          <w:rFonts w:eastAsia="Times New Roman"/>
          <w:sz w:val="26"/>
          <w:szCs w:val="26"/>
        </w:rPr>
        <w:t xml:space="preserve"> is appropriate to draw PECO’s attention to better train its gas technicians on the field.  </w:t>
      </w:r>
      <w:r w:rsidRPr="009811ED">
        <w:rPr>
          <w:sz w:val="26"/>
          <w:szCs w:val="26"/>
        </w:rPr>
        <w:t xml:space="preserve">We </w:t>
      </w:r>
      <w:proofErr w:type="gramStart"/>
      <w:r w:rsidRPr="009811ED">
        <w:rPr>
          <w:sz w:val="26"/>
          <w:szCs w:val="26"/>
        </w:rPr>
        <w:t>are of the opinion that</w:t>
      </w:r>
      <w:proofErr w:type="gramEnd"/>
      <w:r w:rsidRPr="009811ED">
        <w:rPr>
          <w:sz w:val="26"/>
          <w:szCs w:val="26"/>
        </w:rPr>
        <w:t xml:space="preserve"> </w:t>
      </w:r>
      <w:r w:rsidR="00565CCB">
        <w:rPr>
          <w:sz w:val="26"/>
          <w:szCs w:val="26"/>
        </w:rPr>
        <w:t xml:space="preserve">these </w:t>
      </w:r>
      <w:r w:rsidRPr="009811ED">
        <w:rPr>
          <w:sz w:val="26"/>
          <w:szCs w:val="26"/>
        </w:rPr>
        <w:t>civil penalt</w:t>
      </w:r>
      <w:r w:rsidR="00565CCB">
        <w:rPr>
          <w:sz w:val="26"/>
          <w:szCs w:val="26"/>
        </w:rPr>
        <w:t>ies</w:t>
      </w:r>
      <w:r w:rsidRPr="009811ED">
        <w:rPr>
          <w:sz w:val="26"/>
          <w:szCs w:val="26"/>
        </w:rPr>
        <w:t xml:space="preserve"> will help to deter future violations and is in the public interest.</w:t>
      </w:r>
    </w:p>
    <w:p w14:paraId="2E9CF068" w14:textId="77777777" w:rsidR="009811ED" w:rsidRDefault="009811ED" w:rsidP="002A6A08">
      <w:pPr>
        <w:ind w:firstLine="1440"/>
        <w:contextualSpacing/>
        <w:jc w:val="left"/>
        <w:rPr>
          <w:rFonts w:ascii="Times New (W1)" w:hAnsi="Times New (W1)"/>
          <w:sz w:val="26"/>
        </w:rPr>
      </w:pPr>
    </w:p>
    <w:p w14:paraId="15209AC9" w14:textId="5DE2D25F" w:rsidR="009811ED" w:rsidRDefault="009811ED" w:rsidP="00565CCB">
      <w:pPr>
        <w:keepNext/>
        <w:keepLines/>
        <w:autoSpaceDE w:val="0"/>
        <w:autoSpaceDN w:val="0"/>
        <w:adjustRightInd w:val="0"/>
        <w:ind w:left="720" w:hanging="720"/>
        <w:contextualSpacing/>
        <w:jc w:val="left"/>
        <w:rPr>
          <w:b/>
          <w:sz w:val="26"/>
          <w:szCs w:val="26"/>
        </w:rPr>
      </w:pPr>
      <w:r>
        <w:rPr>
          <w:rFonts w:eastAsiaTheme="minorHAnsi"/>
          <w:b/>
          <w:sz w:val="26"/>
          <w:szCs w:val="26"/>
        </w:rPr>
        <w:t>E</w:t>
      </w:r>
      <w:r w:rsidRPr="005A46A8">
        <w:rPr>
          <w:rFonts w:eastAsiaTheme="minorHAnsi"/>
          <w:b/>
          <w:sz w:val="26"/>
          <w:szCs w:val="26"/>
        </w:rPr>
        <w:t>.</w:t>
      </w:r>
      <w:r w:rsidRPr="005A46A8">
        <w:rPr>
          <w:rFonts w:eastAsiaTheme="minorHAnsi"/>
          <w:b/>
          <w:sz w:val="26"/>
          <w:szCs w:val="26"/>
        </w:rPr>
        <w:tab/>
      </w:r>
      <w:r>
        <w:rPr>
          <w:b/>
          <w:sz w:val="26"/>
          <w:szCs w:val="26"/>
        </w:rPr>
        <w:t>Security Deposits and Late Payment Charges</w:t>
      </w:r>
    </w:p>
    <w:p w14:paraId="61AD6FEF" w14:textId="77777777" w:rsidR="00565CCB" w:rsidRPr="00A95C74" w:rsidRDefault="00565CCB" w:rsidP="00565CCB">
      <w:pPr>
        <w:keepNext/>
        <w:keepLines/>
        <w:autoSpaceDE w:val="0"/>
        <w:autoSpaceDN w:val="0"/>
        <w:adjustRightInd w:val="0"/>
        <w:ind w:left="720" w:hanging="720"/>
        <w:contextualSpacing/>
        <w:jc w:val="left"/>
        <w:rPr>
          <w:b/>
          <w:sz w:val="26"/>
          <w:szCs w:val="26"/>
        </w:rPr>
      </w:pPr>
    </w:p>
    <w:p w14:paraId="1EDED37C" w14:textId="77777777" w:rsidR="009811ED" w:rsidRDefault="009811ED" w:rsidP="00565CCB">
      <w:pPr>
        <w:keepNext/>
        <w:keepLines/>
        <w:numPr>
          <w:ilvl w:val="0"/>
          <w:numId w:val="20"/>
        </w:numPr>
        <w:autoSpaceDE w:val="0"/>
        <w:autoSpaceDN w:val="0"/>
        <w:adjustRightInd w:val="0"/>
        <w:ind w:left="1440" w:hanging="720"/>
        <w:contextualSpacing/>
        <w:jc w:val="left"/>
        <w:rPr>
          <w:b/>
          <w:sz w:val="26"/>
          <w:szCs w:val="26"/>
        </w:rPr>
      </w:pPr>
      <w:r>
        <w:rPr>
          <w:b/>
          <w:sz w:val="26"/>
          <w:szCs w:val="26"/>
        </w:rPr>
        <w:t>ALJ’s Initial Decision</w:t>
      </w:r>
    </w:p>
    <w:p w14:paraId="2436F15E" w14:textId="32603C53" w:rsidR="001D31AF" w:rsidRDefault="001D31AF" w:rsidP="00565CCB">
      <w:pPr>
        <w:keepNext/>
        <w:keepLines/>
        <w:ind w:firstLine="1440"/>
        <w:contextualSpacing/>
        <w:jc w:val="left"/>
        <w:rPr>
          <w:rFonts w:ascii="Times New (W1)" w:hAnsi="Times New (W1)"/>
          <w:sz w:val="26"/>
        </w:rPr>
      </w:pPr>
    </w:p>
    <w:p w14:paraId="7D72DF20" w14:textId="149EBF56"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 xml:space="preserve">During the evidentiary hearing and included within the Amended Complaint, Mr. Mostafa challenged the security deposit that PECO assessed against K&amp;J Pizza’s account and </w:t>
      </w:r>
      <w:r w:rsidR="00565CCB">
        <w:rPr>
          <w:sz w:val="26"/>
          <w:szCs w:val="26"/>
        </w:rPr>
        <w:t xml:space="preserve">which had not been </w:t>
      </w:r>
      <w:r w:rsidRPr="009811ED">
        <w:rPr>
          <w:sz w:val="26"/>
          <w:szCs w:val="26"/>
        </w:rPr>
        <w:t>refunded as of the day of the hearing.</w:t>
      </w:r>
    </w:p>
    <w:p w14:paraId="3AE6CF81" w14:textId="77777777" w:rsidR="009811ED" w:rsidRPr="009811ED" w:rsidRDefault="009811ED" w:rsidP="009811ED">
      <w:pPr>
        <w:autoSpaceDE w:val="0"/>
        <w:autoSpaceDN w:val="0"/>
        <w:adjustRightInd w:val="0"/>
        <w:ind w:firstLine="1440"/>
        <w:contextualSpacing/>
        <w:jc w:val="left"/>
        <w:rPr>
          <w:sz w:val="26"/>
          <w:szCs w:val="26"/>
        </w:rPr>
      </w:pPr>
    </w:p>
    <w:p w14:paraId="43B34B86" w14:textId="41842E0F"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According to the Company, the Complainant was assessed a</w:t>
      </w:r>
      <w:r w:rsidR="00565CCB">
        <w:rPr>
          <w:sz w:val="26"/>
          <w:szCs w:val="26"/>
        </w:rPr>
        <w:t>n</w:t>
      </w:r>
      <w:r w:rsidRPr="009811ED">
        <w:rPr>
          <w:sz w:val="26"/>
          <w:szCs w:val="26"/>
        </w:rPr>
        <w:t xml:space="preserve"> $814 security deposit in 1999 and three additional security deposits in 2007 in the amounts of $2,115, $310, and $410, totaling $3,649 in security deposits assessed to K&amp;J Pizza.  PECO </w:t>
      </w:r>
      <w:r w:rsidR="001A5EF5">
        <w:rPr>
          <w:sz w:val="26"/>
          <w:szCs w:val="26"/>
        </w:rPr>
        <w:t>submitted t</w:t>
      </w:r>
      <w:r w:rsidRPr="009811ED">
        <w:rPr>
          <w:sz w:val="26"/>
          <w:szCs w:val="26"/>
        </w:rPr>
        <w:t>hat it is holding the deposits because the Complainant has a credit issue caused by a poor payment history</w:t>
      </w:r>
      <w:r w:rsidR="001A5EF5">
        <w:rPr>
          <w:sz w:val="26"/>
          <w:szCs w:val="26"/>
        </w:rPr>
        <w:t xml:space="preserve">.  PECO claimed that it </w:t>
      </w:r>
      <w:r w:rsidRPr="009811ED">
        <w:rPr>
          <w:sz w:val="26"/>
          <w:szCs w:val="26"/>
        </w:rPr>
        <w:t xml:space="preserve">will refund the deposits when the account is </w:t>
      </w:r>
      <w:proofErr w:type="gramStart"/>
      <w:r w:rsidRPr="009811ED">
        <w:rPr>
          <w:sz w:val="26"/>
          <w:szCs w:val="26"/>
        </w:rPr>
        <w:t>current</w:t>
      </w:r>
      <w:proofErr w:type="gramEnd"/>
      <w:r w:rsidRPr="009811ED">
        <w:rPr>
          <w:sz w:val="26"/>
          <w:szCs w:val="26"/>
        </w:rPr>
        <w:t xml:space="preserve"> and the Complainant has made timely and in</w:t>
      </w:r>
      <w:r w:rsidR="001A5EF5">
        <w:rPr>
          <w:sz w:val="26"/>
          <w:szCs w:val="26"/>
        </w:rPr>
        <w:t>-</w:t>
      </w:r>
      <w:r w:rsidRPr="009811ED">
        <w:rPr>
          <w:sz w:val="26"/>
          <w:szCs w:val="26"/>
        </w:rPr>
        <w:t>full payments for twenty-four consecutive months.  I.D. at 42.</w:t>
      </w:r>
    </w:p>
    <w:p w14:paraId="50652E58" w14:textId="77777777" w:rsidR="009811ED" w:rsidRPr="009811ED" w:rsidRDefault="009811ED" w:rsidP="009811ED">
      <w:pPr>
        <w:autoSpaceDE w:val="0"/>
        <w:autoSpaceDN w:val="0"/>
        <w:adjustRightInd w:val="0"/>
        <w:ind w:firstLine="1440"/>
        <w:contextualSpacing/>
        <w:jc w:val="left"/>
        <w:rPr>
          <w:sz w:val="26"/>
          <w:szCs w:val="26"/>
        </w:rPr>
      </w:pPr>
    </w:p>
    <w:p w14:paraId="54AFB791" w14:textId="6A2BDDDB"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The ALJ noted that PECO’s Tariff</w:t>
      </w:r>
      <w:r w:rsidRPr="009811ED">
        <w:rPr>
          <w:sz w:val="26"/>
          <w:szCs w:val="26"/>
          <w:vertAlign w:val="superscript"/>
        </w:rPr>
        <w:footnoteReference w:id="10"/>
      </w:r>
      <w:r w:rsidRPr="009811ED">
        <w:rPr>
          <w:sz w:val="26"/>
          <w:szCs w:val="26"/>
        </w:rPr>
        <w:t xml:space="preserve"> specifically provides for the imposition of deposits on current customers with bad credit as a guarantee of future payments.  I.D. at 42.  </w:t>
      </w:r>
      <w:r w:rsidRPr="009811ED">
        <w:rPr>
          <w:spacing w:val="-3"/>
          <w:sz w:val="26"/>
          <w:szCs w:val="26"/>
        </w:rPr>
        <w:t>The ALJ concluded that the provisions of a Commission</w:t>
      </w:r>
      <w:r w:rsidR="008C2BBE">
        <w:rPr>
          <w:spacing w:val="-3"/>
          <w:sz w:val="26"/>
          <w:szCs w:val="26"/>
        </w:rPr>
        <w:t>-</w:t>
      </w:r>
      <w:r w:rsidRPr="009811ED">
        <w:rPr>
          <w:spacing w:val="-3"/>
          <w:sz w:val="26"/>
          <w:szCs w:val="26"/>
        </w:rPr>
        <w:t xml:space="preserve">approved tariff have the force of law and are binding on both the utility and its customer.  </w:t>
      </w:r>
      <w:r w:rsidRPr="009811ED">
        <w:rPr>
          <w:i/>
          <w:spacing w:val="-3"/>
          <w:sz w:val="26"/>
          <w:szCs w:val="26"/>
        </w:rPr>
        <w:t xml:space="preserve">Stiteler v. Bell Telephone Co. of Pennsylvania, </w:t>
      </w:r>
      <w:r w:rsidRPr="009811ED">
        <w:rPr>
          <w:spacing w:val="-3"/>
          <w:sz w:val="26"/>
          <w:szCs w:val="26"/>
        </w:rPr>
        <w:t xml:space="preserve">379 A.2d 339 (Pa. Cmwlth. 1977), </w:t>
      </w:r>
      <w:r w:rsidRPr="009811ED">
        <w:rPr>
          <w:i/>
          <w:spacing w:val="-3"/>
          <w:sz w:val="26"/>
          <w:szCs w:val="26"/>
        </w:rPr>
        <w:t xml:space="preserve">Brockway Glass Co. v. Pa. PUC (Brockway Glass Co.), </w:t>
      </w:r>
      <w:r w:rsidRPr="009811ED">
        <w:rPr>
          <w:spacing w:val="-3"/>
          <w:sz w:val="26"/>
          <w:szCs w:val="26"/>
        </w:rPr>
        <w:t>437 A.2d 1067 (Pa. Cmwlth. 1981).</w:t>
      </w:r>
      <w:r w:rsidRPr="009811ED">
        <w:rPr>
          <w:sz w:val="26"/>
          <w:szCs w:val="26"/>
        </w:rPr>
        <w:t xml:space="preserve">  Therefore, the ALJ concluded that the Complainant failed to meet its burden of proving that PECO’s assessed security deposits are unreasonable, unjust, or in violation of a Commission Regulation or Order.  I.D. at 42-44.</w:t>
      </w:r>
    </w:p>
    <w:p w14:paraId="74220818" w14:textId="77777777" w:rsidR="009811ED" w:rsidRPr="009811ED" w:rsidRDefault="009811ED" w:rsidP="009811ED">
      <w:pPr>
        <w:autoSpaceDE w:val="0"/>
        <w:autoSpaceDN w:val="0"/>
        <w:adjustRightInd w:val="0"/>
        <w:ind w:firstLine="1440"/>
        <w:contextualSpacing/>
        <w:jc w:val="left"/>
        <w:rPr>
          <w:sz w:val="26"/>
          <w:szCs w:val="26"/>
        </w:rPr>
      </w:pPr>
    </w:p>
    <w:p w14:paraId="589D796D" w14:textId="77777777" w:rsidR="009811ED" w:rsidRPr="009811ED" w:rsidRDefault="009811ED" w:rsidP="009811ED">
      <w:pPr>
        <w:autoSpaceDE w:val="0"/>
        <w:autoSpaceDN w:val="0"/>
        <w:adjustRightInd w:val="0"/>
        <w:ind w:firstLine="1440"/>
        <w:contextualSpacing/>
        <w:jc w:val="left"/>
        <w:rPr>
          <w:sz w:val="26"/>
          <w:szCs w:val="26"/>
        </w:rPr>
      </w:pPr>
      <w:r w:rsidRPr="009811ED">
        <w:rPr>
          <w:sz w:val="26"/>
          <w:szCs w:val="26"/>
        </w:rPr>
        <w:t>Lastly, ALJ Vero addressed the Complainant’s claim that PECO unfairly assessed late payment charges to the Jenkintown Service Address account.  The ALJ concluded that the Complainant’s claim that PECO’s late fee charges were excessive was not supported by record evidence.  The ALJ specifically noted that $770.31 of the total amount of late payment charges of $1,833.30 assessed to the Complainant’s Jenkintown Service Address from 2005 to the present were credited back to the Complainant’s account following instances of rebilling.  Additionally, the ALJ determined that PECO’s calculation of the amount of late fees that were assessed on the Complainant’s account are consistent with its tariff and in accordance with the Code and the Commission’s Regulations.  Therefore, the ALJ found that the Complainant failed to meet its burden of proving that PECO improperly assessed late payment charges against its Jenkintown Service Address account.  I.D. at 43-44.</w:t>
      </w:r>
    </w:p>
    <w:p w14:paraId="30F71DA3" w14:textId="28282903" w:rsidR="001D31AF" w:rsidRDefault="001D31AF" w:rsidP="002A6A08">
      <w:pPr>
        <w:ind w:firstLine="1440"/>
        <w:contextualSpacing/>
        <w:jc w:val="left"/>
        <w:rPr>
          <w:rFonts w:ascii="Times New (W1)" w:hAnsi="Times New (W1)"/>
          <w:sz w:val="26"/>
        </w:rPr>
      </w:pPr>
    </w:p>
    <w:p w14:paraId="3913E34A" w14:textId="77777777" w:rsidR="009811ED" w:rsidRPr="001E069E" w:rsidRDefault="009811ED" w:rsidP="00BF2E34">
      <w:pPr>
        <w:pStyle w:val="ListParagraph"/>
        <w:keepNext/>
        <w:keepLines/>
        <w:numPr>
          <w:ilvl w:val="0"/>
          <w:numId w:val="20"/>
        </w:numPr>
        <w:autoSpaceDE w:val="0"/>
        <w:autoSpaceDN w:val="0"/>
        <w:adjustRightInd w:val="0"/>
        <w:ind w:left="1440" w:hanging="720"/>
        <w:jc w:val="left"/>
        <w:rPr>
          <w:b/>
          <w:sz w:val="26"/>
          <w:szCs w:val="26"/>
        </w:rPr>
      </w:pPr>
      <w:r w:rsidRPr="001E069E">
        <w:rPr>
          <w:b/>
          <w:sz w:val="26"/>
          <w:szCs w:val="26"/>
        </w:rPr>
        <w:t>Exceptions, Replies and Disposition</w:t>
      </w:r>
    </w:p>
    <w:p w14:paraId="27BA3381" w14:textId="70DBCE84" w:rsidR="001D31AF" w:rsidRDefault="001D31AF" w:rsidP="00BF2E34">
      <w:pPr>
        <w:keepNext/>
        <w:keepLines/>
        <w:ind w:firstLine="1440"/>
        <w:contextualSpacing/>
        <w:jc w:val="left"/>
        <w:rPr>
          <w:rFonts w:ascii="Times New (W1)" w:hAnsi="Times New (W1)"/>
          <w:sz w:val="26"/>
        </w:rPr>
      </w:pPr>
    </w:p>
    <w:p w14:paraId="3F0C3884" w14:textId="31CC2E4B" w:rsidR="007E49F4" w:rsidRPr="007E49F4" w:rsidRDefault="007E49F4" w:rsidP="007E49F4">
      <w:pPr>
        <w:autoSpaceDE w:val="0"/>
        <w:autoSpaceDN w:val="0"/>
        <w:adjustRightInd w:val="0"/>
        <w:ind w:firstLine="1440"/>
        <w:contextualSpacing/>
        <w:jc w:val="left"/>
        <w:rPr>
          <w:sz w:val="26"/>
          <w:szCs w:val="26"/>
        </w:rPr>
      </w:pPr>
      <w:r w:rsidRPr="007E49F4">
        <w:rPr>
          <w:sz w:val="26"/>
          <w:szCs w:val="26"/>
        </w:rPr>
        <w:t>The Complainant simply states in its Exceptions that it is “entitled to a return in full of its security deposit.”  Exc. at 2.</w:t>
      </w:r>
    </w:p>
    <w:p w14:paraId="52E0FB71" w14:textId="77777777" w:rsidR="007E49F4" w:rsidRPr="007E49F4" w:rsidRDefault="007E49F4" w:rsidP="007E49F4">
      <w:pPr>
        <w:autoSpaceDE w:val="0"/>
        <w:autoSpaceDN w:val="0"/>
        <w:adjustRightInd w:val="0"/>
        <w:ind w:firstLine="1440"/>
        <w:contextualSpacing/>
        <w:jc w:val="left"/>
        <w:rPr>
          <w:sz w:val="26"/>
          <w:szCs w:val="26"/>
        </w:rPr>
      </w:pPr>
    </w:p>
    <w:p w14:paraId="1C1AEF93" w14:textId="7787D956" w:rsidR="007E49F4" w:rsidRPr="007E49F4" w:rsidRDefault="007E49F4" w:rsidP="007E49F4">
      <w:pPr>
        <w:autoSpaceDE w:val="0"/>
        <w:autoSpaceDN w:val="0"/>
        <w:adjustRightInd w:val="0"/>
        <w:ind w:firstLine="1440"/>
        <w:contextualSpacing/>
        <w:jc w:val="left"/>
        <w:rPr>
          <w:sz w:val="26"/>
          <w:szCs w:val="26"/>
        </w:rPr>
      </w:pPr>
      <w:r w:rsidRPr="007E49F4">
        <w:rPr>
          <w:sz w:val="26"/>
          <w:szCs w:val="26"/>
        </w:rPr>
        <w:t>The ALJ is correct that both the late charges applied to the Complainant’s delinquent account and the security deposit required due to its poor payment history are legally permissible.  The late charges are permitted pursuant to</w:t>
      </w:r>
      <w:r w:rsidR="00BF2E34">
        <w:rPr>
          <w:sz w:val="26"/>
          <w:szCs w:val="26"/>
        </w:rPr>
        <w:t xml:space="preserve"> </w:t>
      </w:r>
      <w:r w:rsidRPr="007E49F4">
        <w:rPr>
          <w:sz w:val="26"/>
          <w:szCs w:val="26"/>
        </w:rPr>
        <w:t>52</w:t>
      </w:r>
      <w:r w:rsidR="00BF2E34">
        <w:rPr>
          <w:sz w:val="26"/>
          <w:szCs w:val="26"/>
        </w:rPr>
        <w:t> </w:t>
      </w:r>
      <w:r w:rsidRPr="007E49F4">
        <w:rPr>
          <w:sz w:val="26"/>
          <w:szCs w:val="26"/>
        </w:rPr>
        <w:t>Pa. Code § 56.22</w:t>
      </w:r>
      <w:r w:rsidRPr="007E49F4">
        <w:rPr>
          <w:sz w:val="26"/>
          <w:szCs w:val="26"/>
          <w:vertAlign w:val="superscript"/>
        </w:rPr>
        <w:footnoteReference w:id="11"/>
      </w:r>
      <w:r w:rsidRPr="007E49F4">
        <w:rPr>
          <w:sz w:val="26"/>
          <w:szCs w:val="26"/>
        </w:rPr>
        <w:t>, and the deposit to reestablish credit is permitted pursuant to 52</w:t>
      </w:r>
      <w:r w:rsidR="00BF2E34">
        <w:rPr>
          <w:sz w:val="26"/>
          <w:szCs w:val="26"/>
        </w:rPr>
        <w:t> </w:t>
      </w:r>
      <w:r w:rsidRPr="007E49F4">
        <w:rPr>
          <w:sz w:val="26"/>
          <w:szCs w:val="26"/>
        </w:rPr>
        <w:t>Pa. Code § 56.41</w:t>
      </w:r>
      <w:r w:rsidRPr="007E49F4">
        <w:rPr>
          <w:sz w:val="26"/>
          <w:szCs w:val="26"/>
          <w:vertAlign w:val="superscript"/>
        </w:rPr>
        <w:footnoteReference w:id="12"/>
      </w:r>
      <w:r w:rsidRPr="007E49F4">
        <w:rPr>
          <w:sz w:val="26"/>
          <w:szCs w:val="26"/>
        </w:rPr>
        <w:t xml:space="preserve">.  Both are contained in PECO’s applicable tariff provisions at the time of assessment as well as its current Commission-approved tariff.  The rates and charges contained in the tariff have been approved by the Commission and, therefore, are </w:t>
      </w:r>
      <w:r w:rsidRPr="007E49F4">
        <w:rPr>
          <w:i/>
          <w:sz w:val="26"/>
          <w:szCs w:val="26"/>
        </w:rPr>
        <w:t>prima facie</w:t>
      </w:r>
      <w:r w:rsidRPr="007E49F4">
        <w:rPr>
          <w:sz w:val="26"/>
          <w:szCs w:val="26"/>
        </w:rPr>
        <w:t xml:space="preserve"> reasonable.  They have the full force and effect of law and are binding on both the utility and its customers.  66 Pa. C.S. § 316; </w:t>
      </w:r>
      <w:r w:rsidRPr="007E49F4">
        <w:rPr>
          <w:i/>
          <w:sz w:val="26"/>
          <w:szCs w:val="26"/>
        </w:rPr>
        <w:t>Brockway Glass Co.</w:t>
      </w:r>
    </w:p>
    <w:p w14:paraId="5065A5DB" w14:textId="77777777" w:rsidR="007E49F4" w:rsidRPr="007E49F4" w:rsidRDefault="007E49F4" w:rsidP="007E49F4">
      <w:pPr>
        <w:autoSpaceDE w:val="0"/>
        <w:autoSpaceDN w:val="0"/>
        <w:adjustRightInd w:val="0"/>
        <w:ind w:firstLine="1440"/>
        <w:contextualSpacing/>
        <w:jc w:val="left"/>
        <w:rPr>
          <w:sz w:val="26"/>
          <w:szCs w:val="26"/>
        </w:rPr>
      </w:pPr>
    </w:p>
    <w:p w14:paraId="66989906" w14:textId="6C5C4459" w:rsidR="007E49F4" w:rsidRDefault="007E49F4" w:rsidP="007E49F4">
      <w:pPr>
        <w:autoSpaceDE w:val="0"/>
        <w:autoSpaceDN w:val="0"/>
        <w:adjustRightInd w:val="0"/>
        <w:ind w:firstLine="1440"/>
        <w:contextualSpacing/>
        <w:jc w:val="left"/>
        <w:rPr>
          <w:sz w:val="26"/>
          <w:szCs w:val="26"/>
        </w:rPr>
      </w:pPr>
      <w:r w:rsidRPr="007E49F4">
        <w:rPr>
          <w:sz w:val="26"/>
          <w:szCs w:val="26"/>
        </w:rPr>
        <w:t>Pursuant to its current Commission-approved tariff, PECO is permitted to charge a security deposit to customers with bad credit.  PECO’s tariff states in relevant part:</w:t>
      </w:r>
    </w:p>
    <w:p w14:paraId="2AB6F029" w14:textId="77777777" w:rsidR="00AE721C" w:rsidRPr="007E49F4" w:rsidRDefault="00AE721C" w:rsidP="007E49F4">
      <w:pPr>
        <w:autoSpaceDE w:val="0"/>
        <w:autoSpaceDN w:val="0"/>
        <w:adjustRightInd w:val="0"/>
        <w:ind w:firstLine="1440"/>
        <w:contextualSpacing/>
        <w:jc w:val="left"/>
        <w:rPr>
          <w:sz w:val="26"/>
          <w:szCs w:val="26"/>
        </w:rPr>
      </w:pPr>
    </w:p>
    <w:p w14:paraId="07336C8D" w14:textId="75AFA1AD" w:rsidR="007E49F4" w:rsidRPr="007E49F4" w:rsidRDefault="007E49F4" w:rsidP="007E49F4">
      <w:pPr>
        <w:spacing w:line="240" w:lineRule="auto"/>
        <w:ind w:left="1440" w:right="1404" w:firstLine="0"/>
        <w:contextualSpacing/>
        <w:jc w:val="left"/>
        <w:rPr>
          <w:rFonts w:eastAsia="Times New Roman"/>
          <w:sz w:val="26"/>
          <w:szCs w:val="26"/>
        </w:rPr>
      </w:pPr>
      <w:r w:rsidRPr="007E49F4">
        <w:rPr>
          <w:rFonts w:eastAsia="Times New Roman"/>
          <w:b/>
          <w:sz w:val="26"/>
          <w:szCs w:val="26"/>
        </w:rPr>
        <w:t>5.3 Guarantee of Payments.</w:t>
      </w:r>
      <w:r w:rsidRPr="007E49F4">
        <w:rPr>
          <w:rFonts w:eastAsia="Times New Roman"/>
          <w:sz w:val="26"/>
          <w:szCs w:val="26"/>
        </w:rPr>
        <w:t xml:space="preserve"> </w:t>
      </w:r>
      <w:r w:rsidR="00AE721C">
        <w:rPr>
          <w:rFonts w:eastAsia="Times New Roman"/>
          <w:sz w:val="26"/>
          <w:szCs w:val="26"/>
        </w:rPr>
        <w:t xml:space="preserve"> . . . </w:t>
      </w:r>
      <w:r w:rsidRPr="007E49F4">
        <w:rPr>
          <w:rFonts w:eastAsia="Times New Roman"/>
          <w:sz w:val="26"/>
          <w:szCs w:val="26"/>
        </w:rPr>
        <w:t>In addition, the Company may require industrial and commercial customers for which it provides Consolidated EDC Billing or Separate EDC Billing to post a deposit at any time if the Company determines that the customer is no longer creditworthy or has bad credit</w:t>
      </w:r>
      <w:r w:rsidR="00AE721C">
        <w:rPr>
          <w:rFonts w:eastAsia="Times New Roman"/>
          <w:sz w:val="26"/>
          <w:szCs w:val="26"/>
        </w:rPr>
        <w:t xml:space="preserve"> . . .</w:t>
      </w:r>
    </w:p>
    <w:p w14:paraId="5AD809E1" w14:textId="484502A7" w:rsidR="007E49F4" w:rsidRDefault="007E49F4" w:rsidP="007E49F4">
      <w:pPr>
        <w:spacing w:line="240" w:lineRule="auto"/>
        <w:ind w:left="1440" w:right="1404" w:firstLine="0"/>
        <w:contextualSpacing/>
        <w:jc w:val="left"/>
        <w:rPr>
          <w:rFonts w:eastAsia="Times New Roman"/>
          <w:sz w:val="26"/>
          <w:szCs w:val="26"/>
        </w:rPr>
      </w:pPr>
    </w:p>
    <w:p w14:paraId="1A83951D" w14:textId="2F24418B" w:rsidR="003725DA" w:rsidRDefault="003725DA" w:rsidP="007E49F4">
      <w:pPr>
        <w:spacing w:line="240" w:lineRule="auto"/>
        <w:ind w:left="1440" w:right="1404" w:firstLine="0"/>
        <w:contextualSpacing/>
        <w:jc w:val="left"/>
        <w:rPr>
          <w:rFonts w:eastAsia="Times New Roman"/>
          <w:sz w:val="26"/>
          <w:szCs w:val="26"/>
        </w:rPr>
      </w:pPr>
    </w:p>
    <w:p w14:paraId="1CF32E44" w14:textId="09FCD042" w:rsidR="003725DA" w:rsidRDefault="003725DA" w:rsidP="003725DA">
      <w:pPr>
        <w:spacing w:line="240" w:lineRule="auto"/>
        <w:ind w:right="1411" w:firstLine="0"/>
        <w:contextualSpacing/>
        <w:jc w:val="left"/>
        <w:rPr>
          <w:rFonts w:eastAsia="Times New Roman"/>
          <w:sz w:val="26"/>
          <w:szCs w:val="26"/>
        </w:rPr>
      </w:pPr>
      <w:r>
        <w:rPr>
          <w:rFonts w:eastAsia="Times New Roman"/>
          <w:sz w:val="26"/>
          <w:szCs w:val="26"/>
        </w:rPr>
        <w:t xml:space="preserve">PECO Energy Company Tariff </w:t>
      </w:r>
      <w:proofErr w:type="spellStart"/>
      <w:r>
        <w:rPr>
          <w:rFonts w:eastAsia="Times New Roman"/>
          <w:sz w:val="26"/>
          <w:szCs w:val="26"/>
        </w:rPr>
        <w:t>Electiric</w:t>
      </w:r>
      <w:proofErr w:type="spellEnd"/>
      <w:r>
        <w:rPr>
          <w:rFonts w:eastAsia="Times New Roman"/>
          <w:sz w:val="26"/>
          <w:szCs w:val="26"/>
        </w:rPr>
        <w:t xml:space="preserve"> Pa. P.U.C. No. 5</w:t>
      </w:r>
      <w:r w:rsidR="00FF3C5B">
        <w:rPr>
          <w:rFonts w:eastAsia="Times New Roman"/>
          <w:sz w:val="26"/>
          <w:szCs w:val="26"/>
        </w:rPr>
        <w:t>,</w:t>
      </w:r>
      <w:r>
        <w:rPr>
          <w:rFonts w:eastAsia="Times New Roman"/>
          <w:sz w:val="26"/>
          <w:szCs w:val="26"/>
        </w:rPr>
        <w:t xml:space="preserve"> Original Page No. 13</w:t>
      </w:r>
    </w:p>
    <w:p w14:paraId="1D6B0ED2" w14:textId="77777777" w:rsidR="003725DA" w:rsidRPr="007E49F4" w:rsidRDefault="003725DA" w:rsidP="007E49F4">
      <w:pPr>
        <w:spacing w:line="240" w:lineRule="auto"/>
        <w:ind w:left="1440" w:right="1404" w:firstLine="0"/>
        <w:contextualSpacing/>
        <w:jc w:val="left"/>
        <w:rPr>
          <w:rFonts w:eastAsia="Times New Roman"/>
          <w:sz w:val="26"/>
          <w:szCs w:val="26"/>
        </w:rPr>
      </w:pPr>
    </w:p>
    <w:p w14:paraId="2CFFE078" w14:textId="7284B3DF" w:rsidR="007E49F4" w:rsidRDefault="007E49F4" w:rsidP="007E49F4">
      <w:pPr>
        <w:spacing w:line="240" w:lineRule="auto"/>
        <w:ind w:left="1440" w:right="1404" w:firstLine="0"/>
        <w:contextualSpacing/>
        <w:jc w:val="left"/>
        <w:rPr>
          <w:rFonts w:eastAsia="Times New Roman"/>
          <w:sz w:val="26"/>
          <w:szCs w:val="26"/>
        </w:rPr>
      </w:pPr>
      <w:r w:rsidRPr="007E49F4">
        <w:rPr>
          <w:rFonts w:eastAsia="Times New Roman"/>
          <w:b/>
          <w:sz w:val="26"/>
          <w:szCs w:val="26"/>
        </w:rPr>
        <w:t>5.5 Return of Deposit</w:t>
      </w:r>
      <w:r w:rsidRPr="007E49F4">
        <w:rPr>
          <w:rFonts w:eastAsia="Times New Roman"/>
          <w:sz w:val="26"/>
          <w:szCs w:val="26"/>
        </w:rPr>
        <w:t>.</w:t>
      </w:r>
      <w:r w:rsidR="00A877D8">
        <w:rPr>
          <w:rFonts w:eastAsia="Times New Roman"/>
          <w:sz w:val="26"/>
          <w:szCs w:val="26"/>
        </w:rPr>
        <w:t xml:space="preserve"> </w:t>
      </w:r>
      <w:r w:rsidRPr="007E49F4">
        <w:rPr>
          <w:rFonts w:eastAsia="Times New Roman"/>
          <w:sz w:val="26"/>
          <w:szCs w:val="26"/>
        </w:rPr>
        <w:t xml:space="preserve"> </w:t>
      </w:r>
      <w:r w:rsidR="00AE721C">
        <w:rPr>
          <w:rFonts w:eastAsia="Times New Roman"/>
          <w:sz w:val="26"/>
          <w:szCs w:val="26"/>
        </w:rPr>
        <w:t>. . .</w:t>
      </w:r>
      <w:r w:rsidRPr="007E49F4">
        <w:rPr>
          <w:rFonts w:eastAsia="Times New Roman"/>
          <w:sz w:val="26"/>
          <w:szCs w:val="26"/>
        </w:rPr>
        <w:t xml:space="preserve"> Deposits secured from a non-residential customer, plus accrued interest, which may be held until a timely payment history is established, are refunded when a ratepayer is not currently delinquent and has made on time and in full payments for service provided by the Company for 24 consecutive months</w:t>
      </w:r>
      <w:r w:rsidR="00AE721C">
        <w:rPr>
          <w:rFonts w:eastAsia="Times New Roman"/>
          <w:sz w:val="26"/>
          <w:szCs w:val="26"/>
        </w:rPr>
        <w:t xml:space="preserve"> </w:t>
      </w:r>
      <w:proofErr w:type="gramStart"/>
      <w:r w:rsidR="00AE721C">
        <w:rPr>
          <w:rFonts w:eastAsia="Times New Roman"/>
          <w:sz w:val="26"/>
          <w:szCs w:val="26"/>
        </w:rPr>
        <w:t>. . . .</w:t>
      </w:r>
      <w:proofErr w:type="gramEnd"/>
    </w:p>
    <w:p w14:paraId="58899C30" w14:textId="77777777" w:rsidR="00AE721C" w:rsidRPr="007E49F4" w:rsidRDefault="00AE721C" w:rsidP="007E49F4">
      <w:pPr>
        <w:spacing w:line="240" w:lineRule="auto"/>
        <w:ind w:left="1440" w:right="1404" w:firstLine="0"/>
        <w:contextualSpacing/>
        <w:jc w:val="left"/>
        <w:rPr>
          <w:rFonts w:eastAsia="Times New Roman"/>
          <w:sz w:val="26"/>
          <w:szCs w:val="26"/>
        </w:rPr>
      </w:pPr>
    </w:p>
    <w:p w14:paraId="6F532C5D" w14:textId="77777777" w:rsidR="007E49F4" w:rsidRPr="007E49F4" w:rsidRDefault="007E49F4" w:rsidP="007E49F4">
      <w:pPr>
        <w:spacing w:line="240" w:lineRule="auto"/>
        <w:ind w:left="1440" w:right="1404" w:firstLine="0"/>
        <w:contextualSpacing/>
        <w:jc w:val="left"/>
        <w:rPr>
          <w:rFonts w:eastAsia="Times New Roman"/>
        </w:rPr>
      </w:pPr>
    </w:p>
    <w:p w14:paraId="64D9E4A4" w14:textId="3C200BD6" w:rsidR="007E49F4" w:rsidRPr="007E49F4" w:rsidRDefault="003725DA" w:rsidP="007E49F4">
      <w:pPr>
        <w:ind w:right="-36" w:firstLine="0"/>
        <w:contextualSpacing/>
        <w:jc w:val="left"/>
        <w:rPr>
          <w:sz w:val="26"/>
        </w:rPr>
      </w:pPr>
      <w:r>
        <w:rPr>
          <w:rFonts w:eastAsia="Times New Roman"/>
          <w:sz w:val="26"/>
          <w:szCs w:val="26"/>
        </w:rPr>
        <w:t xml:space="preserve">PECO Energy Company Tariff </w:t>
      </w:r>
      <w:proofErr w:type="spellStart"/>
      <w:r>
        <w:rPr>
          <w:rFonts w:eastAsia="Times New Roman"/>
          <w:sz w:val="26"/>
          <w:szCs w:val="26"/>
        </w:rPr>
        <w:t>Electiric</w:t>
      </w:r>
      <w:proofErr w:type="spellEnd"/>
      <w:r>
        <w:rPr>
          <w:rFonts w:eastAsia="Times New Roman"/>
          <w:sz w:val="26"/>
          <w:szCs w:val="26"/>
        </w:rPr>
        <w:t xml:space="preserve"> Pa. P.U.C. No. 5</w:t>
      </w:r>
      <w:r w:rsidR="00FF3C5B">
        <w:rPr>
          <w:rFonts w:eastAsia="Times New Roman"/>
          <w:sz w:val="26"/>
          <w:szCs w:val="26"/>
        </w:rPr>
        <w:t>,</w:t>
      </w:r>
      <w:r>
        <w:rPr>
          <w:rFonts w:eastAsia="Times New Roman"/>
          <w:sz w:val="26"/>
          <w:szCs w:val="26"/>
        </w:rPr>
        <w:t xml:space="preserve"> </w:t>
      </w:r>
      <w:r w:rsidR="00FF3C5B">
        <w:rPr>
          <w:rFonts w:eastAsia="Times New Roman"/>
          <w:sz w:val="26"/>
          <w:szCs w:val="26"/>
        </w:rPr>
        <w:t>First Revised Page 14.</w:t>
      </w:r>
    </w:p>
    <w:p w14:paraId="16256755" w14:textId="77777777" w:rsidR="007E49F4" w:rsidRPr="007E49F4" w:rsidRDefault="007E49F4" w:rsidP="007E49F4">
      <w:pPr>
        <w:autoSpaceDE w:val="0"/>
        <w:autoSpaceDN w:val="0"/>
        <w:adjustRightInd w:val="0"/>
        <w:ind w:firstLine="1440"/>
        <w:contextualSpacing/>
        <w:jc w:val="left"/>
        <w:rPr>
          <w:sz w:val="26"/>
          <w:szCs w:val="26"/>
        </w:rPr>
      </w:pPr>
    </w:p>
    <w:p w14:paraId="33F9F61B" w14:textId="1484C99D" w:rsidR="007E49F4" w:rsidRPr="007E49F4" w:rsidRDefault="007E49F4" w:rsidP="007E49F4">
      <w:pPr>
        <w:autoSpaceDE w:val="0"/>
        <w:autoSpaceDN w:val="0"/>
        <w:adjustRightInd w:val="0"/>
        <w:ind w:firstLine="1440"/>
        <w:contextualSpacing/>
        <w:jc w:val="left"/>
        <w:rPr>
          <w:sz w:val="26"/>
          <w:szCs w:val="26"/>
        </w:rPr>
      </w:pPr>
      <w:r w:rsidRPr="007E49F4">
        <w:rPr>
          <w:sz w:val="26"/>
          <w:szCs w:val="26"/>
        </w:rPr>
        <w:t xml:space="preserve">The Complainant fails to state a claim that PECO has violated any statute, any </w:t>
      </w:r>
      <w:r w:rsidR="00376DD5">
        <w:rPr>
          <w:sz w:val="26"/>
          <w:szCs w:val="26"/>
        </w:rPr>
        <w:t>Commission O</w:t>
      </w:r>
      <w:r w:rsidRPr="007E49F4">
        <w:rPr>
          <w:sz w:val="26"/>
          <w:szCs w:val="26"/>
        </w:rPr>
        <w:t xml:space="preserve">rder or </w:t>
      </w:r>
      <w:r w:rsidR="00376DD5">
        <w:rPr>
          <w:sz w:val="26"/>
          <w:szCs w:val="26"/>
        </w:rPr>
        <w:t>R</w:t>
      </w:r>
      <w:r w:rsidRPr="007E49F4">
        <w:rPr>
          <w:sz w:val="26"/>
          <w:szCs w:val="26"/>
        </w:rPr>
        <w:t xml:space="preserve">egulation of the Commission or PECO’s tariff when it imposed the security deposits on the Complainant’s account.  </w:t>
      </w:r>
      <w:r w:rsidR="00376DD5">
        <w:rPr>
          <w:sz w:val="26"/>
          <w:szCs w:val="26"/>
        </w:rPr>
        <w:t xml:space="preserve">For this </w:t>
      </w:r>
      <w:proofErr w:type="gramStart"/>
      <w:r w:rsidR="00376DD5">
        <w:rPr>
          <w:sz w:val="26"/>
          <w:szCs w:val="26"/>
        </w:rPr>
        <w:t>reason</w:t>
      </w:r>
      <w:proofErr w:type="gramEnd"/>
      <w:r w:rsidR="00376DD5">
        <w:rPr>
          <w:sz w:val="26"/>
          <w:szCs w:val="26"/>
        </w:rPr>
        <w:t xml:space="preserve"> we agree with PECO’s </w:t>
      </w:r>
      <w:r w:rsidRPr="007E49F4">
        <w:rPr>
          <w:sz w:val="26"/>
          <w:szCs w:val="26"/>
        </w:rPr>
        <w:t xml:space="preserve">Reply Exceptions that the Complainant’s Exceptions present no new evidence or material fact.  </w:t>
      </w:r>
      <w:r w:rsidR="009705AF">
        <w:rPr>
          <w:sz w:val="26"/>
          <w:szCs w:val="26"/>
        </w:rPr>
        <w:t xml:space="preserve">We also agree </w:t>
      </w:r>
      <w:r w:rsidR="00CC5449">
        <w:rPr>
          <w:sz w:val="26"/>
          <w:szCs w:val="26"/>
        </w:rPr>
        <w:t xml:space="preserve">with </w:t>
      </w:r>
      <w:r w:rsidR="009705AF">
        <w:rPr>
          <w:sz w:val="26"/>
          <w:szCs w:val="26"/>
        </w:rPr>
        <w:t xml:space="preserve">ALJ Vero’s conclusion that </w:t>
      </w:r>
      <w:r w:rsidR="00CC5449">
        <w:rPr>
          <w:sz w:val="26"/>
          <w:szCs w:val="26"/>
        </w:rPr>
        <w:t>the Compla</w:t>
      </w:r>
      <w:r w:rsidR="00FA50EC">
        <w:rPr>
          <w:sz w:val="26"/>
          <w:szCs w:val="26"/>
        </w:rPr>
        <w:t>in</w:t>
      </w:r>
      <w:r w:rsidR="00CC5449">
        <w:rPr>
          <w:sz w:val="26"/>
          <w:szCs w:val="26"/>
        </w:rPr>
        <w:t xml:space="preserve">ant failed to </w:t>
      </w:r>
      <w:r w:rsidR="00CC5449" w:rsidRPr="005A46A8">
        <w:rPr>
          <w:sz w:val="26"/>
          <w:szCs w:val="26"/>
        </w:rPr>
        <w:t xml:space="preserve">carry its burden of proof </w:t>
      </w:r>
      <w:r w:rsidR="00FA50EC">
        <w:rPr>
          <w:sz w:val="26"/>
          <w:szCs w:val="26"/>
        </w:rPr>
        <w:t xml:space="preserve">in support of its </w:t>
      </w:r>
      <w:r w:rsidR="00CC5449" w:rsidRPr="005A46A8">
        <w:rPr>
          <w:sz w:val="26"/>
          <w:szCs w:val="26"/>
        </w:rPr>
        <w:t>allegation</w:t>
      </w:r>
      <w:r w:rsidR="00FA50EC">
        <w:rPr>
          <w:sz w:val="26"/>
          <w:szCs w:val="26"/>
        </w:rPr>
        <w:t xml:space="preserve"> that PECO is </w:t>
      </w:r>
      <w:r w:rsidR="00FA50EC" w:rsidRPr="005A46A8">
        <w:rPr>
          <w:sz w:val="26"/>
          <w:szCs w:val="26"/>
        </w:rPr>
        <w:t>improper</w:t>
      </w:r>
      <w:r w:rsidR="00FA50EC">
        <w:rPr>
          <w:sz w:val="26"/>
          <w:szCs w:val="26"/>
        </w:rPr>
        <w:t>ly</w:t>
      </w:r>
      <w:r w:rsidR="00FA50EC" w:rsidRPr="005A46A8">
        <w:rPr>
          <w:sz w:val="26"/>
          <w:szCs w:val="26"/>
        </w:rPr>
        <w:t xml:space="preserve"> withholding </w:t>
      </w:r>
      <w:r w:rsidR="00FA50EC">
        <w:rPr>
          <w:sz w:val="26"/>
          <w:szCs w:val="26"/>
        </w:rPr>
        <w:t xml:space="preserve">his </w:t>
      </w:r>
      <w:r w:rsidR="00FA50EC" w:rsidRPr="005A46A8">
        <w:rPr>
          <w:sz w:val="26"/>
          <w:szCs w:val="26"/>
        </w:rPr>
        <w:t>security deposit</w:t>
      </w:r>
      <w:r w:rsidR="00FA50EC">
        <w:rPr>
          <w:sz w:val="26"/>
          <w:szCs w:val="26"/>
        </w:rPr>
        <w:t xml:space="preserve">.  </w:t>
      </w:r>
      <w:r w:rsidR="009705AF">
        <w:rPr>
          <w:sz w:val="26"/>
          <w:szCs w:val="26"/>
        </w:rPr>
        <w:t xml:space="preserve">As such, </w:t>
      </w:r>
      <w:r w:rsidR="00361167">
        <w:rPr>
          <w:sz w:val="26"/>
          <w:szCs w:val="26"/>
        </w:rPr>
        <w:t xml:space="preserve">we shall deny the Complainant’s </w:t>
      </w:r>
      <w:r w:rsidR="00397D47">
        <w:rPr>
          <w:sz w:val="26"/>
          <w:szCs w:val="26"/>
        </w:rPr>
        <w:t xml:space="preserve">Exceptions </w:t>
      </w:r>
      <w:r w:rsidR="009A6597">
        <w:rPr>
          <w:sz w:val="26"/>
          <w:szCs w:val="26"/>
        </w:rPr>
        <w:t>that h</w:t>
      </w:r>
      <w:r w:rsidR="00397D47">
        <w:rPr>
          <w:sz w:val="26"/>
          <w:szCs w:val="26"/>
        </w:rPr>
        <w:t>e is entitled to a</w:t>
      </w:r>
      <w:r w:rsidR="009A6597">
        <w:rPr>
          <w:sz w:val="26"/>
          <w:szCs w:val="26"/>
        </w:rPr>
        <w:t>n immediate</w:t>
      </w:r>
      <w:r w:rsidR="00397D47">
        <w:rPr>
          <w:sz w:val="26"/>
          <w:szCs w:val="26"/>
        </w:rPr>
        <w:t xml:space="preserve"> </w:t>
      </w:r>
      <w:r w:rsidR="009A6597">
        <w:rPr>
          <w:sz w:val="26"/>
          <w:szCs w:val="26"/>
        </w:rPr>
        <w:t xml:space="preserve">full </w:t>
      </w:r>
      <w:r w:rsidR="00397D47">
        <w:rPr>
          <w:sz w:val="26"/>
          <w:szCs w:val="26"/>
        </w:rPr>
        <w:t>return of its security deposit</w:t>
      </w:r>
      <w:r w:rsidR="009A6597">
        <w:rPr>
          <w:sz w:val="26"/>
          <w:szCs w:val="26"/>
        </w:rPr>
        <w:t>.</w:t>
      </w:r>
    </w:p>
    <w:p w14:paraId="4B8DFF5F" w14:textId="16203534" w:rsidR="00B306DC" w:rsidRPr="00D409E4" w:rsidRDefault="00B306DC" w:rsidP="00CF467D">
      <w:pPr>
        <w:autoSpaceDE w:val="0"/>
        <w:autoSpaceDN w:val="0"/>
        <w:adjustRightInd w:val="0"/>
        <w:ind w:firstLine="0"/>
        <w:contextualSpacing/>
        <w:jc w:val="left"/>
        <w:rPr>
          <w:iCs/>
          <w:sz w:val="26"/>
          <w:szCs w:val="26"/>
        </w:rPr>
      </w:pPr>
    </w:p>
    <w:p w14:paraId="218AB754" w14:textId="77777777" w:rsidR="00B776E7" w:rsidRDefault="00B776E7" w:rsidP="009A6597">
      <w:pPr>
        <w:keepNext/>
        <w:keepLines/>
        <w:autoSpaceDE w:val="0"/>
        <w:autoSpaceDN w:val="0"/>
        <w:adjustRightInd w:val="0"/>
        <w:ind w:firstLine="0"/>
        <w:contextualSpacing/>
        <w:rPr>
          <w:sz w:val="26"/>
          <w:szCs w:val="26"/>
        </w:rPr>
      </w:pPr>
      <w:r>
        <w:rPr>
          <w:b/>
          <w:sz w:val="26"/>
          <w:szCs w:val="26"/>
        </w:rPr>
        <w:t>Conclusion</w:t>
      </w:r>
    </w:p>
    <w:p w14:paraId="61A7E6DB" w14:textId="77777777" w:rsidR="00B776E7" w:rsidRDefault="00B776E7" w:rsidP="009A6597">
      <w:pPr>
        <w:keepNext/>
        <w:keepLines/>
        <w:autoSpaceDE w:val="0"/>
        <w:autoSpaceDN w:val="0"/>
        <w:adjustRightInd w:val="0"/>
        <w:contextualSpacing/>
        <w:jc w:val="left"/>
        <w:rPr>
          <w:sz w:val="26"/>
          <w:szCs w:val="26"/>
        </w:rPr>
      </w:pPr>
    </w:p>
    <w:p w14:paraId="01505B7E" w14:textId="77777777" w:rsidR="00B776E7" w:rsidRDefault="00B776E7" w:rsidP="00CF467D">
      <w:pPr>
        <w:autoSpaceDE w:val="0"/>
        <w:autoSpaceDN w:val="0"/>
        <w:adjustRightInd w:val="0"/>
        <w:contextualSpacing/>
        <w:jc w:val="left"/>
        <w:rPr>
          <w:sz w:val="26"/>
          <w:szCs w:val="26"/>
        </w:rPr>
      </w:pPr>
      <w:r>
        <w:rPr>
          <w:sz w:val="26"/>
          <w:szCs w:val="26"/>
        </w:rPr>
        <w:tab/>
      </w:r>
      <w:r w:rsidR="002B2C4C">
        <w:rPr>
          <w:sz w:val="26"/>
          <w:szCs w:val="26"/>
        </w:rPr>
        <w:t xml:space="preserve">Upon review and consideration of the record of this proceeding, and </w:t>
      </w:r>
      <w:proofErr w:type="gramStart"/>
      <w:r w:rsidR="002B2C4C">
        <w:rPr>
          <w:sz w:val="26"/>
          <w:szCs w:val="26"/>
        </w:rPr>
        <w:t>in light of</w:t>
      </w:r>
      <w:proofErr w:type="gramEnd"/>
      <w:r w:rsidR="002B2C4C">
        <w:rPr>
          <w:sz w:val="26"/>
          <w:szCs w:val="26"/>
        </w:rPr>
        <w:t xml:space="preserve"> the foregoing discussion, we shall deny</w:t>
      </w:r>
      <w:r w:rsidR="00D409E4">
        <w:rPr>
          <w:sz w:val="26"/>
          <w:szCs w:val="26"/>
        </w:rPr>
        <w:t xml:space="preserve"> the Complainant’s Exceptions</w:t>
      </w:r>
      <w:r w:rsidR="002B2C4C">
        <w:rPr>
          <w:sz w:val="26"/>
          <w:szCs w:val="26"/>
        </w:rPr>
        <w:t xml:space="preserve"> and adopt the ALJ’s Initial Decision, </w:t>
      </w:r>
      <w:r w:rsidR="002B2C4C" w:rsidRPr="00350E6E">
        <w:rPr>
          <w:sz w:val="26"/>
          <w:szCs w:val="26"/>
        </w:rPr>
        <w:t>as modified</w:t>
      </w:r>
      <w:r w:rsidR="002B2C4C">
        <w:rPr>
          <w:sz w:val="26"/>
          <w:szCs w:val="26"/>
        </w:rPr>
        <w:t xml:space="preserve"> by this Opinion and Order; </w:t>
      </w:r>
      <w:r>
        <w:rPr>
          <w:b/>
          <w:sz w:val="26"/>
          <w:szCs w:val="26"/>
        </w:rPr>
        <w:t>THEREFORE</w:t>
      </w:r>
      <w:r>
        <w:rPr>
          <w:sz w:val="26"/>
          <w:szCs w:val="26"/>
        </w:rPr>
        <w:t>,</w:t>
      </w:r>
    </w:p>
    <w:p w14:paraId="02D2B4E3" w14:textId="77777777" w:rsidR="00B776E7" w:rsidRDefault="00B776E7" w:rsidP="00CF467D">
      <w:pPr>
        <w:autoSpaceDE w:val="0"/>
        <w:autoSpaceDN w:val="0"/>
        <w:adjustRightInd w:val="0"/>
        <w:contextualSpacing/>
        <w:jc w:val="left"/>
        <w:rPr>
          <w:sz w:val="26"/>
          <w:szCs w:val="26"/>
        </w:rPr>
      </w:pPr>
    </w:p>
    <w:p w14:paraId="68722036" w14:textId="77777777" w:rsidR="00B776E7" w:rsidRDefault="00B776E7" w:rsidP="00CF467D">
      <w:pPr>
        <w:keepNext/>
        <w:keepLines/>
        <w:contextualSpacing/>
        <w:jc w:val="left"/>
        <w:rPr>
          <w:b/>
          <w:sz w:val="26"/>
          <w:szCs w:val="26"/>
        </w:rPr>
      </w:pPr>
      <w:r>
        <w:rPr>
          <w:sz w:val="26"/>
          <w:szCs w:val="26"/>
        </w:rPr>
        <w:tab/>
      </w:r>
      <w:r w:rsidRPr="000D6043">
        <w:rPr>
          <w:b/>
          <w:sz w:val="26"/>
          <w:szCs w:val="26"/>
        </w:rPr>
        <w:t>IT IS ORDERED:</w:t>
      </w:r>
    </w:p>
    <w:p w14:paraId="7D4AA259" w14:textId="77777777" w:rsidR="00B776E7" w:rsidRPr="003415A5" w:rsidRDefault="00B776E7" w:rsidP="00CF467D">
      <w:pPr>
        <w:keepNext/>
        <w:keepLines/>
        <w:contextualSpacing/>
        <w:jc w:val="left"/>
        <w:rPr>
          <w:sz w:val="26"/>
          <w:szCs w:val="26"/>
        </w:rPr>
      </w:pPr>
    </w:p>
    <w:p w14:paraId="3343230C" w14:textId="16B69B5A" w:rsidR="00B776E7" w:rsidRDefault="00B776E7" w:rsidP="00CF467D">
      <w:pPr>
        <w:contextualSpacing/>
        <w:jc w:val="left"/>
        <w:rPr>
          <w:sz w:val="26"/>
          <w:szCs w:val="26"/>
        </w:rPr>
      </w:pPr>
      <w:r>
        <w:rPr>
          <w:b/>
          <w:sz w:val="26"/>
          <w:szCs w:val="26"/>
        </w:rPr>
        <w:tab/>
      </w:r>
      <w:r>
        <w:rPr>
          <w:sz w:val="26"/>
          <w:szCs w:val="26"/>
        </w:rPr>
        <w:t>1.</w:t>
      </w:r>
      <w:r>
        <w:rPr>
          <w:sz w:val="26"/>
          <w:szCs w:val="26"/>
        </w:rPr>
        <w:tab/>
      </w:r>
      <w:r w:rsidR="002B2C4C">
        <w:rPr>
          <w:sz w:val="26"/>
          <w:szCs w:val="26"/>
        </w:rPr>
        <w:t xml:space="preserve">That the Exceptions filed by </w:t>
      </w:r>
      <w:r w:rsidR="004D4CAF">
        <w:rPr>
          <w:sz w:val="26"/>
          <w:szCs w:val="26"/>
        </w:rPr>
        <w:t>K&amp;J Pizza</w:t>
      </w:r>
      <w:r w:rsidR="002B2C4C">
        <w:rPr>
          <w:sz w:val="26"/>
          <w:szCs w:val="26"/>
        </w:rPr>
        <w:t xml:space="preserve"> on September 18</w:t>
      </w:r>
      <w:r w:rsidR="002B2C4C" w:rsidRPr="001B388B">
        <w:rPr>
          <w:sz w:val="26"/>
          <w:szCs w:val="26"/>
        </w:rPr>
        <w:t>, 2017,</w:t>
      </w:r>
      <w:r w:rsidR="002B2C4C">
        <w:rPr>
          <w:sz w:val="26"/>
          <w:szCs w:val="26"/>
        </w:rPr>
        <w:t xml:space="preserve"> to the Initial Decision of Administrative Law Judge Eranda Vero, issued on August</w:t>
      </w:r>
      <w:r w:rsidR="009A6597">
        <w:rPr>
          <w:sz w:val="26"/>
          <w:szCs w:val="26"/>
        </w:rPr>
        <w:t> </w:t>
      </w:r>
      <w:r w:rsidR="002B2C4C">
        <w:rPr>
          <w:sz w:val="26"/>
          <w:szCs w:val="26"/>
        </w:rPr>
        <w:t>31</w:t>
      </w:r>
      <w:r w:rsidR="002B2C4C" w:rsidRPr="001B388B">
        <w:rPr>
          <w:sz w:val="26"/>
          <w:szCs w:val="26"/>
        </w:rPr>
        <w:t>, 2017</w:t>
      </w:r>
      <w:r w:rsidR="002B2C4C">
        <w:rPr>
          <w:sz w:val="26"/>
          <w:szCs w:val="26"/>
        </w:rPr>
        <w:t>, are denied consistent with this Opinion and Order.</w:t>
      </w:r>
    </w:p>
    <w:p w14:paraId="31A460CC" w14:textId="77777777" w:rsidR="00B776E7" w:rsidRDefault="00B776E7" w:rsidP="00CF467D">
      <w:pPr>
        <w:contextualSpacing/>
        <w:jc w:val="left"/>
        <w:rPr>
          <w:sz w:val="26"/>
          <w:szCs w:val="26"/>
        </w:rPr>
      </w:pPr>
    </w:p>
    <w:p w14:paraId="0A2238FF" w14:textId="77777777" w:rsidR="006E1AA7" w:rsidRDefault="00B776E7" w:rsidP="00CF467D">
      <w:pPr>
        <w:ind w:firstLine="1440"/>
        <w:contextualSpacing/>
        <w:jc w:val="left"/>
        <w:rPr>
          <w:sz w:val="26"/>
          <w:szCs w:val="26"/>
        </w:rPr>
      </w:pPr>
      <w:r>
        <w:rPr>
          <w:sz w:val="26"/>
          <w:szCs w:val="26"/>
        </w:rPr>
        <w:t>2.</w:t>
      </w:r>
      <w:r>
        <w:rPr>
          <w:sz w:val="26"/>
          <w:szCs w:val="26"/>
        </w:rPr>
        <w:tab/>
        <w:t xml:space="preserve">That the Initial Decision of </w:t>
      </w:r>
      <w:r w:rsidR="002B2C4C">
        <w:rPr>
          <w:sz w:val="26"/>
          <w:szCs w:val="26"/>
        </w:rPr>
        <w:t>Administrative Law Judge Eranda Vero</w:t>
      </w:r>
      <w:r>
        <w:rPr>
          <w:sz w:val="26"/>
          <w:szCs w:val="26"/>
        </w:rPr>
        <w:t>, issued on</w:t>
      </w:r>
      <w:r w:rsidR="000A2650">
        <w:rPr>
          <w:sz w:val="26"/>
          <w:szCs w:val="26"/>
        </w:rPr>
        <w:t xml:space="preserve"> </w:t>
      </w:r>
      <w:r w:rsidR="002B2C4C">
        <w:rPr>
          <w:sz w:val="26"/>
          <w:szCs w:val="26"/>
        </w:rPr>
        <w:t>August 31</w:t>
      </w:r>
      <w:r w:rsidR="00D86BAE">
        <w:rPr>
          <w:sz w:val="26"/>
          <w:szCs w:val="26"/>
        </w:rPr>
        <w:t>, 2017</w:t>
      </w:r>
      <w:r>
        <w:rPr>
          <w:sz w:val="26"/>
          <w:szCs w:val="26"/>
        </w:rPr>
        <w:t>, is adopted,</w:t>
      </w:r>
      <w:r w:rsidR="00D409E4">
        <w:rPr>
          <w:sz w:val="26"/>
          <w:szCs w:val="26"/>
        </w:rPr>
        <w:t xml:space="preserve"> </w:t>
      </w:r>
      <w:r w:rsidR="00D409E4" w:rsidRPr="00350E6E">
        <w:rPr>
          <w:sz w:val="26"/>
          <w:szCs w:val="26"/>
        </w:rPr>
        <w:t>as modified</w:t>
      </w:r>
      <w:r w:rsidR="00D409E4">
        <w:rPr>
          <w:sz w:val="26"/>
          <w:szCs w:val="26"/>
        </w:rPr>
        <w:t xml:space="preserve"> </w:t>
      </w:r>
      <w:r w:rsidR="0005540D">
        <w:rPr>
          <w:sz w:val="26"/>
          <w:szCs w:val="26"/>
        </w:rPr>
        <w:t xml:space="preserve">consistent with </w:t>
      </w:r>
      <w:r>
        <w:rPr>
          <w:sz w:val="26"/>
          <w:szCs w:val="26"/>
        </w:rPr>
        <w:t>this Opinion and Order.</w:t>
      </w:r>
    </w:p>
    <w:p w14:paraId="5DF13BAB" w14:textId="77777777" w:rsidR="002B2C4C" w:rsidRDefault="002B2C4C" w:rsidP="00CF467D">
      <w:pPr>
        <w:ind w:firstLine="1440"/>
        <w:contextualSpacing/>
        <w:jc w:val="left"/>
        <w:rPr>
          <w:sz w:val="26"/>
          <w:szCs w:val="26"/>
        </w:rPr>
      </w:pPr>
    </w:p>
    <w:p w14:paraId="0A8AEF55" w14:textId="3A9FE50F" w:rsidR="000A2650" w:rsidRDefault="00410FC5" w:rsidP="00CF467D">
      <w:pPr>
        <w:ind w:firstLine="1440"/>
        <w:contextualSpacing/>
        <w:jc w:val="left"/>
        <w:rPr>
          <w:sz w:val="26"/>
          <w:szCs w:val="26"/>
        </w:rPr>
      </w:pPr>
      <w:r>
        <w:rPr>
          <w:sz w:val="26"/>
          <w:szCs w:val="26"/>
        </w:rPr>
        <w:t>3</w:t>
      </w:r>
      <w:r w:rsidR="006E1AA7">
        <w:rPr>
          <w:sz w:val="26"/>
          <w:szCs w:val="26"/>
        </w:rPr>
        <w:t>.</w:t>
      </w:r>
      <w:r w:rsidR="006E1AA7">
        <w:rPr>
          <w:sz w:val="26"/>
          <w:szCs w:val="26"/>
        </w:rPr>
        <w:tab/>
      </w:r>
      <w:r w:rsidR="00B776E7">
        <w:rPr>
          <w:sz w:val="26"/>
          <w:szCs w:val="26"/>
        </w:rPr>
        <w:t xml:space="preserve">That the Formal Complaint filed on </w:t>
      </w:r>
      <w:r w:rsidR="00EA5268">
        <w:rPr>
          <w:sz w:val="26"/>
          <w:szCs w:val="26"/>
        </w:rPr>
        <w:t>May 19, 2016</w:t>
      </w:r>
      <w:r w:rsidR="00B776E7">
        <w:rPr>
          <w:sz w:val="26"/>
          <w:szCs w:val="26"/>
        </w:rPr>
        <w:t xml:space="preserve">, by </w:t>
      </w:r>
      <w:r w:rsidR="00EA5268">
        <w:rPr>
          <w:sz w:val="26"/>
          <w:szCs w:val="26"/>
        </w:rPr>
        <w:t xml:space="preserve">K&amp;J Pizza </w:t>
      </w:r>
      <w:r w:rsidR="00B776E7">
        <w:rPr>
          <w:sz w:val="26"/>
          <w:szCs w:val="26"/>
        </w:rPr>
        <w:t xml:space="preserve">against </w:t>
      </w:r>
      <w:r w:rsidR="00EA5268">
        <w:rPr>
          <w:sz w:val="26"/>
          <w:szCs w:val="26"/>
        </w:rPr>
        <w:t>PECO Energy Company at Docket No. C-2015-2501838</w:t>
      </w:r>
      <w:r w:rsidR="00B776E7">
        <w:rPr>
          <w:sz w:val="26"/>
          <w:szCs w:val="26"/>
        </w:rPr>
        <w:t xml:space="preserve"> is </w:t>
      </w:r>
      <w:r w:rsidR="00E612B1">
        <w:rPr>
          <w:sz w:val="26"/>
          <w:szCs w:val="26"/>
        </w:rPr>
        <w:t>granted</w:t>
      </w:r>
      <w:r w:rsidR="00EA5268">
        <w:rPr>
          <w:sz w:val="26"/>
          <w:szCs w:val="26"/>
        </w:rPr>
        <w:t xml:space="preserve"> in part and d</w:t>
      </w:r>
      <w:r w:rsidR="008123C5">
        <w:rPr>
          <w:sz w:val="26"/>
          <w:szCs w:val="26"/>
        </w:rPr>
        <w:t xml:space="preserve">ismissed </w:t>
      </w:r>
      <w:r w:rsidR="00EA5268">
        <w:rPr>
          <w:sz w:val="26"/>
          <w:szCs w:val="26"/>
        </w:rPr>
        <w:t>in part</w:t>
      </w:r>
      <w:r w:rsidR="006E1AA7">
        <w:rPr>
          <w:sz w:val="26"/>
          <w:szCs w:val="26"/>
        </w:rPr>
        <w:t>, consistent with this Opinion and Order</w:t>
      </w:r>
      <w:r w:rsidR="00EA5268">
        <w:rPr>
          <w:sz w:val="26"/>
          <w:szCs w:val="26"/>
        </w:rPr>
        <w:t xml:space="preserve">.  It is </w:t>
      </w:r>
      <w:r w:rsidR="00E612B1">
        <w:rPr>
          <w:sz w:val="26"/>
          <w:szCs w:val="26"/>
        </w:rPr>
        <w:t>granted</w:t>
      </w:r>
      <w:r w:rsidR="00EA5268">
        <w:rPr>
          <w:sz w:val="26"/>
          <w:szCs w:val="26"/>
        </w:rPr>
        <w:t xml:space="preserve"> with regard to claims concerning inadequate service relating to numerous estimated bills, and is d</w:t>
      </w:r>
      <w:r w:rsidR="00E612B1">
        <w:rPr>
          <w:sz w:val="26"/>
          <w:szCs w:val="26"/>
        </w:rPr>
        <w:t>enied</w:t>
      </w:r>
      <w:r w:rsidR="00EA5268">
        <w:rPr>
          <w:sz w:val="26"/>
          <w:szCs w:val="26"/>
        </w:rPr>
        <w:t xml:space="preserve"> with respect to the remaining allegations </w:t>
      </w:r>
      <w:r w:rsidR="00C57EB3">
        <w:rPr>
          <w:sz w:val="26"/>
          <w:szCs w:val="26"/>
        </w:rPr>
        <w:t>of high billing, improper billing for services not rendered, improper withholding of security deposit, and improper assessment of late payment charges.</w:t>
      </w:r>
    </w:p>
    <w:p w14:paraId="0F0C4C0D" w14:textId="77777777" w:rsidR="00C57EB3" w:rsidRDefault="00C57EB3" w:rsidP="00CF467D">
      <w:pPr>
        <w:ind w:firstLine="0"/>
        <w:contextualSpacing/>
        <w:jc w:val="left"/>
        <w:rPr>
          <w:sz w:val="26"/>
          <w:szCs w:val="26"/>
        </w:rPr>
      </w:pPr>
    </w:p>
    <w:p w14:paraId="65CE3CBA" w14:textId="77777777" w:rsidR="00C57EB3" w:rsidRPr="00C57EB3" w:rsidRDefault="00C57EB3" w:rsidP="00A406AF">
      <w:pPr>
        <w:ind w:firstLine="0"/>
        <w:contextualSpacing/>
        <w:jc w:val="left"/>
        <w:rPr>
          <w:sz w:val="26"/>
          <w:szCs w:val="26"/>
        </w:rPr>
      </w:pPr>
      <w:r>
        <w:rPr>
          <w:sz w:val="26"/>
          <w:szCs w:val="26"/>
        </w:rPr>
        <w:tab/>
      </w:r>
      <w:r>
        <w:rPr>
          <w:sz w:val="26"/>
          <w:szCs w:val="26"/>
        </w:rPr>
        <w:tab/>
        <w:t>4.</w:t>
      </w:r>
      <w:r>
        <w:rPr>
          <w:sz w:val="26"/>
          <w:szCs w:val="26"/>
        </w:rPr>
        <w:tab/>
        <w:t xml:space="preserve">That, in accordance with Section 3301 of the Public Utility Code, 66 Pa. C.S. § 3301, within thirty (30) days of the date of entry of this Opinion and Order, PECO Energy Company shall </w:t>
      </w:r>
      <w:r w:rsidR="00A406AF">
        <w:rPr>
          <w:sz w:val="26"/>
          <w:szCs w:val="26"/>
        </w:rPr>
        <w:t xml:space="preserve">remit </w:t>
      </w:r>
      <w:r>
        <w:rPr>
          <w:sz w:val="26"/>
          <w:szCs w:val="26"/>
        </w:rPr>
        <w:t>Two Thousand Dol</w:t>
      </w:r>
      <w:r w:rsidR="004D4CAF">
        <w:rPr>
          <w:sz w:val="26"/>
          <w:szCs w:val="26"/>
        </w:rPr>
        <w:t>lars ($2,000),</w:t>
      </w:r>
      <w:r w:rsidR="00565D6F">
        <w:rPr>
          <w:sz w:val="26"/>
          <w:szCs w:val="26"/>
        </w:rPr>
        <w:t xml:space="preserve"> </w:t>
      </w:r>
      <w:r w:rsidR="00CB4449">
        <w:rPr>
          <w:sz w:val="26"/>
          <w:szCs w:val="26"/>
        </w:rPr>
        <w:t xml:space="preserve">payable </w:t>
      </w:r>
      <w:r w:rsidR="00565D6F">
        <w:rPr>
          <w:sz w:val="26"/>
          <w:szCs w:val="26"/>
        </w:rPr>
        <w:t>by certified check or money order</w:t>
      </w:r>
      <w:r w:rsidR="00CB4449">
        <w:rPr>
          <w:sz w:val="26"/>
          <w:szCs w:val="26"/>
        </w:rPr>
        <w:t>,</w:t>
      </w:r>
      <w:r w:rsidR="00565D6F">
        <w:rPr>
          <w:sz w:val="26"/>
          <w:szCs w:val="26"/>
        </w:rPr>
        <w:t xml:space="preserve"> to “Commonwealth of Pennsylvania” </w:t>
      </w:r>
      <w:r w:rsidR="00CB4449">
        <w:rPr>
          <w:sz w:val="26"/>
          <w:szCs w:val="26"/>
        </w:rPr>
        <w:t>and</w:t>
      </w:r>
      <w:r w:rsidR="00565D6F">
        <w:rPr>
          <w:sz w:val="26"/>
          <w:szCs w:val="26"/>
        </w:rPr>
        <w:t xml:space="preserve"> sent to</w:t>
      </w:r>
      <w:r w:rsidR="00565D6F" w:rsidRPr="00A51432">
        <w:rPr>
          <w:sz w:val="26"/>
          <w:szCs w:val="26"/>
        </w:rPr>
        <w:t>:</w:t>
      </w:r>
    </w:p>
    <w:p w14:paraId="33FC99A4" w14:textId="77777777" w:rsidR="00565D6F" w:rsidRPr="00565D6F" w:rsidRDefault="00565D6F" w:rsidP="00CF467D">
      <w:pPr>
        <w:ind w:firstLine="0"/>
        <w:contextualSpacing/>
        <w:jc w:val="left"/>
        <w:rPr>
          <w:rFonts w:eastAsia="Times New Roman"/>
          <w:sz w:val="26"/>
          <w:szCs w:val="26"/>
        </w:rPr>
      </w:pPr>
    </w:p>
    <w:p w14:paraId="7C9EFBE5" w14:textId="77777777" w:rsidR="00565D6F" w:rsidRPr="00565D6F" w:rsidRDefault="00CB4449" w:rsidP="00CF467D">
      <w:pPr>
        <w:keepNext/>
        <w:spacing w:line="240" w:lineRule="auto"/>
        <w:ind w:left="2880" w:firstLine="0"/>
        <w:contextualSpacing/>
        <w:jc w:val="left"/>
        <w:rPr>
          <w:rFonts w:eastAsiaTheme="minorHAnsi"/>
          <w:sz w:val="26"/>
          <w:szCs w:val="26"/>
        </w:rPr>
      </w:pPr>
      <w:r>
        <w:rPr>
          <w:rFonts w:eastAsiaTheme="minorHAnsi"/>
          <w:sz w:val="26"/>
          <w:szCs w:val="26"/>
        </w:rPr>
        <w:t xml:space="preserve">Rosemary Chiavetta, </w:t>
      </w:r>
      <w:r w:rsidR="00565D6F" w:rsidRPr="00565D6F">
        <w:rPr>
          <w:rFonts w:eastAsiaTheme="minorHAnsi"/>
          <w:sz w:val="26"/>
          <w:szCs w:val="26"/>
        </w:rPr>
        <w:t>Secretary</w:t>
      </w:r>
    </w:p>
    <w:p w14:paraId="7A327FCB" w14:textId="77777777" w:rsidR="00565D6F" w:rsidRPr="00565D6F" w:rsidRDefault="00565D6F" w:rsidP="00CF467D">
      <w:pPr>
        <w:keepNext/>
        <w:spacing w:line="240" w:lineRule="auto"/>
        <w:ind w:left="2880" w:firstLine="0"/>
        <w:contextualSpacing/>
        <w:jc w:val="left"/>
        <w:rPr>
          <w:rFonts w:eastAsiaTheme="minorHAnsi"/>
          <w:sz w:val="26"/>
          <w:szCs w:val="26"/>
        </w:rPr>
      </w:pPr>
      <w:r w:rsidRPr="00565D6F">
        <w:rPr>
          <w:rFonts w:eastAsiaTheme="minorHAnsi"/>
          <w:sz w:val="26"/>
          <w:szCs w:val="26"/>
        </w:rPr>
        <w:t>Pennsylvania Public Utility Commission</w:t>
      </w:r>
    </w:p>
    <w:p w14:paraId="7E5D7578" w14:textId="1663C891" w:rsidR="00CB4449" w:rsidRDefault="00CB4449" w:rsidP="00CF467D">
      <w:pPr>
        <w:keepNext/>
        <w:spacing w:line="240" w:lineRule="auto"/>
        <w:ind w:left="2880" w:firstLine="0"/>
        <w:contextualSpacing/>
        <w:jc w:val="left"/>
        <w:rPr>
          <w:rFonts w:eastAsiaTheme="minorHAnsi"/>
          <w:sz w:val="26"/>
          <w:szCs w:val="26"/>
        </w:rPr>
      </w:pPr>
      <w:r>
        <w:rPr>
          <w:rFonts w:eastAsiaTheme="minorHAnsi"/>
          <w:sz w:val="26"/>
          <w:szCs w:val="26"/>
        </w:rPr>
        <w:t>Commonwealth Keystone Building</w:t>
      </w:r>
      <w:r w:rsidR="003415A5">
        <w:rPr>
          <w:rFonts w:eastAsiaTheme="minorHAnsi"/>
          <w:sz w:val="26"/>
          <w:szCs w:val="26"/>
        </w:rPr>
        <w:t>, 2</w:t>
      </w:r>
      <w:r w:rsidR="003415A5" w:rsidRPr="003415A5">
        <w:rPr>
          <w:rFonts w:eastAsiaTheme="minorHAnsi"/>
          <w:sz w:val="26"/>
          <w:szCs w:val="26"/>
          <w:vertAlign w:val="superscript"/>
        </w:rPr>
        <w:t>nd</w:t>
      </w:r>
      <w:r w:rsidR="003415A5">
        <w:rPr>
          <w:rFonts w:eastAsiaTheme="minorHAnsi"/>
          <w:sz w:val="26"/>
          <w:szCs w:val="26"/>
        </w:rPr>
        <w:t xml:space="preserve"> Floor</w:t>
      </w:r>
    </w:p>
    <w:p w14:paraId="62707DFE" w14:textId="77777777" w:rsidR="00565D6F" w:rsidRPr="00565D6F" w:rsidRDefault="00565D6F" w:rsidP="00CF467D">
      <w:pPr>
        <w:keepNext/>
        <w:spacing w:line="240" w:lineRule="auto"/>
        <w:ind w:left="2880" w:firstLine="0"/>
        <w:contextualSpacing/>
        <w:jc w:val="left"/>
        <w:rPr>
          <w:rFonts w:eastAsiaTheme="minorHAnsi"/>
          <w:sz w:val="26"/>
          <w:szCs w:val="26"/>
        </w:rPr>
      </w:pPr>
      <w:r w:rsidRPr="00565D6F">
        <w:rPr>
          <w:rFonts w:eastAsiaTheme="minorHAnsi"/>
          <w:sz w:val="26"/>
          <w:szCs w:val="26"/>
        </w:rPr>
        <w:t>400 North Street</w:t>
      </w:r>
    </w:p>
    <w:p w14:paraId="109E6DCA" w14:textId="1FFB76AF" w:rsidR="00565D6F" w:rsidRDefault="00565D6F" w:rsidP="00CF467D">
      <w:pPr>
        <w:keepNext/>
        <w:spacing w:line="240" w:lineRule="auto"/>
        <w:ind w:left="2880" w:firstLine="0"/>
        <w:contextualSpacing/>
        <w:jc w:val="left"/>
        <w:rPr>
          <w:rFonts w:eastAsiaTheme="minorHAnsi"/>
          <w:sz w:val="26"/>
          <w:szCs w:val="26"/>
        </w:rPr>
      </w:pPr>
      <w:r w:rsidRPr="00565D6F">
        <w:rPr>
          <w:rFonts w:eastAsiaTheme="minorHAnsi"/>
          <w:sz w:val="26"/>
          <w:szCs w:val="26"/>
        </w:rPr>
        <w:t>Harrisburg, PA 17120</w:t>
      </w:r>
    </w:p>
    <w:p w14:paraId="0D04DE4F" w14:textId="0ED14229" w:rsidR="003415A5" w:rsidRDefault="003415A5" w:rsidP="00CF467D">
      <w:pPr>
        <w:keepNext/>
        <w:spacing w:line="240" w:lineRule="auto"/>
        <w:ind w:left="2880" w:firstLine="0"/>
        <w:contextualSpacing/>
        <w:jc w:val="left"/>
        <w:rPr>
          <w:rFonts w:eastAsiaTheme="minorHAnsi"/>
          <w:sz w:val="26"/>
          <w:szCs w:val="26"/>
        </w:rPr>
      </w:pPr>
    </w:p>
    <w:p w14:paraId="0CE3E0FC" w14:textId="77777777" w:rsidR="003415A5" w:rsidRPr="00565D6F" w:rsidRDefault="003415A5" w:rsidP="00CF467D">
      <w:pPr>
        <w:keepNext/>
        <w:spacing w:line="240" w:lineRule="auto"/>
        <w:ind w:left="2880" w:firstLine="0"/>
        <w:contextualSpacing/>
        <w:jc w:val="left"/>
        <w:rPr>
          <w:rFonts w:eastAsiaTheme="minorHAnsi"/>
          <w:sz w:val="26"/>
          <w:szCs w:val="26"/>
        </w:rPr>
      </w:pPr>
    </w:p>
    <w:p w14:paraId="330E78B8" w14:textId="6DF033E2" w:rsidR="004D4CAF" w:rsidRDefault="003415A5" w:rsidP="004D4CAF">
      <w:pPr>
        <w:ind w:firstLine="0"/>
        <w:contextualSpacing/>
        <w:jc w:val="left"/>
        <w:rPr>
          <w:sz w:val="26"/>
          <w:szCs w:val="26"/>
        </w:rPr>
      </w:pPr>
      <w:r>
        <w:rPr>
          <w:sz w:val="26"/>
          <w:szCs w:val="26"/>
        </w:rPr>
        <w:tab/>
      </w:r>
      <w:r>
        <w:rPr>
          <w:sz w:val="26"/>
          <w:szCs w:val="26"/>
        </w:rPr>
        <w:tab/>
      </w:r>
      <w:r w:rsidRPr="003415A5">
        <w:rPr>
          <w:sz w:val="26"/>
          <w:szCs w:val="26"/>
        </w:rPr>
        <w:t>5.</w:t>
      </w:r>
      <w:r>
        <w:rPr>
          <w:sz w:val="26"/>
          <w:szCs w:val="26"/>
        </w:rPr>
        <w:tab/>
      </w:r>
      <w:r w:rsidRPr="003415A5">
        <w:rPr>
          <w:sz w:val="26"/>
          <w:szCs w:val="26"/>
        </w:rPr>
        <w:t xml:space="preserve">That PECO Energy Company </w:t>
      </w:r>
      <w:r>
        <w:rPr>
          <w:sz w:val="26"/>
          <w:szCs w:val="26"/>
        </w:rPr>
        <w:t xml:space="preserve">shall </w:t>
      </w:r>
      <w:r w:rsidRPr="003415A5">
        <w:rPr>
          <w:sz w:val="26"/>
          <w:szCs w:val="26"/>
        </w:rPr>
        <w:t xml:space="preserve">cease and desist from further violations of the Public Utility Code, 66 Pa.C.S.A. §§ 101 </w:t>
      </w:r>
      <w:r w:rsidRPr="003415A5">
        <w:rPr>
          <w:i/>
          <w:iCs/>
          <w:sz w:val="26"/>
          <w:szCs w:val="26"/>
        </w:rPr>
        <w:t>et seq</w:t>
      </w:r>
      <w:r w:rsidRPr="003415A5">
        <w:rPr>
          <w:sz w:val="26"/>
          <w:szCs w:val="26"/>
        </w:rPr>
        <w:t xml:space="preserve">., and the </w:t>
      </w:r>
      <w:r>
        <w:rPr>
          <w:sz w:val="26"/>
          <w:szCs w:val="26"/>
        </w:rPr>
        <w:t>R</w:t>
      </w:r>
      <w:r w:rsidRPr="003415A5">
        <w:rPr>
          <w:sz w:val="26"/>
          <w:szCs w:val="26"/>
        </w:rPr>
        <w:t xml:space="preserve">egulations of the Pennsylvania Public Utility Commission, 52 </w:t>
      </w:r>
      <w:proofErr w:type="gramStart"/>
      <w:r w:rsidRPr="003415A5">
        <w:rPr>
          <w:sz w:val="26"/>
          <w:szCs w:val="26"/>
        </w:rPr>
        <w:t>Pa.Code</w:t>
      </w:r>
      <w:proofErr w:type="gramEnd"/>
      <w:r w:rsidRPr="003415A5">
        <w:rPr>
          <w:sz w:val="26"/>
          <w:szCs w:val="26"/>
        </w:rPr>
        <w:t xml:space="preserve"> §§ 1.1 </w:t>
      </w:r>
      <w:r w:rsidRPr="003415A5">
        <w:rPr>
          <w:i/>
          <w:iCs/>
          <w:sz w:val="26"/>
          <w:szCs w:val="26"/>
        </w:rPr>
        <w:t>et seq</w:t>
      </w:r>
      <w:r w:rsidRPr="003415A5">
        <w:rPr>
          <w:sz w:val="26"/>
          <w:szCs w:val="26"/>
        </w:rPr>
        <w:t>.</w:t>
      </w:r>
    </w:p>
    <w:p w14:paraId="5C3D51A7" w14:textId="77777777" w:rsidR="003415A5" w:rsidRPr="003415A5" w:rsidRDefault="003415A5" w:rsidP="004D4CAF">
      <w:pPr>
        <w:ind w:firstLine="0"/>
        <w:contextualSpacing/>
        <w:jc w:val="left"/>
        <w:rPr>
          <w:sz w:val="26"/>
          <w:szCs w:val="26"/>
        </w:rPr>
      </w:pPr>
    </w:p>
    <w:p w14:paraId="4D3A0B5A" w14:textId="764B7291" w:rsidR="00565D6F" w:rsidRDefault="00066AA1" w:rsidP="00CF467D">
      <w:pPr>
        <w:ind w:firstLine="1440"/>
        <w:contextualSpacing/>
        <w:jc w:val="left"/>
        <w:rPr>
          <w:sz w:val="26"/>
          <w:szCs w:val="26"/>
        </w:rPr>
      </w:pPr>
      <w:r>
        <w:rPr>
          <w:sz w:val="26"/>
          <w:szCs w:val="26"/>
        </w:rPr>
        <w:t>6</w:t>
      </w:r>
      <w:r w:rsidR="00565D6F">
        <w:rPr>
          <w:sz w:val="26"/>
          <w:szCs w:val="26"/>
        </w:rPr>
        <w:t>.</w:t>
      </w:r>
      <w:r w:rsidR="00565D6F">
        <w:rPr>
          <w:sz w:val="26"/>
          <w:szCs w:val="26"/>
        </w:rPr>
        <w:tab/>
        <w:t>That a copy of this Opinion and Order shall be served upon the Financial and Assessment Chief, Office of Administrative Services.</w:t>
      </w:r>
    </w:p>
    <w:p w14:paraId="46D253BC" w14:textId="77777777" w:rsidR="00565D6F" w:rsidRDefault="00565D6F" w:rsidP="00CF467D">
      <w:pPr>
        <w:ind w:firstLine="1440"/>
        <w:contextualSpacing/>
        <w:jc w:val="left"/>
        <w:rPr>
          <w:sz w:val="26"/>
          <w:szCs w:val="26"/>
        </w:rPr>
      </w:pPr>
    </w:p>
    <w:p w14:paraId="0DE33D8C" w14:textId="414D17CC" w:rsidR="00565D6F" w:rsidRDefault="00066AA1" w:rsidP="00CF467D">
      <w:pPr>
        <w:keepNext/>
        <w:keepLines/>
        <w:ind w:firstLine="1440"/>
        <w:contextualSpacing/>
        <w:jc w:val="left"/>
        <w:rPr>
          <w:sz w:val="26"/>
          <w:szCs w:val="26"/>
        </w:rPr>
      </w:pPr>
      <w:r>
        <w:rPr>
          <w:sz w:val="26"/>
          <w:szCs w:val="26"/>
        </w:rPr>
        <w:t>7</w:t>
      </w:r>
      <w:r w:rsidR="00565D6F">
        <w:rPr>
          <w:sz w:val="26"/>
          <w:szCs w:val="26"/>
        </w:rPr>
        <w:t>.</w:t>
      </w:r>
      <w:r w:rsidR="00565D6F">
        <w:rPr>
          <w:sz w:val="26"/>
          <w:szCs w:val="26"/>
        </w:rPr>
        <w:tab/>
        <w:t xml:space="preserve">That after PECO Energy Company remits the civil penalty set forth in Ordering Paragraph No. 4, </w:t>
      </w:r>
      <w:r w:rsidR="00ED22D3">
        <w:rPr>
          <w:sz w:val="26"/>
          <w:szCs w:val="26"/>
        </w:rPr>
        <w:t>the Secretary’s Bureau shall mark this proceeding closed.</w:t>
      </w:r>
    </w:p>
    <w:p w14:paraId="61BCED10" w14:textId="77777777" w:rsidR="000A2650" w:rsidRPr="00066AA1" w:rsidRDefault="000A2650" w:rsidP="00066AA1">
      <w:pPr>
        <w:keepNext/>
        <w:keepLines/>
        <w:ind w:firstLine="0"/>
        <w:contextualSpacing/>
        <w:jc w:val="left"/>
        <w:rPr>
          <w:sz w:val="26"/>
          <w:szCs w:val="26"/>
        </w:rPr>
      </w:pPr>
    </w:p>
    <w:p w14:paraId="27DF6A69" w14:textId="77777777" w:rsidR="006E1AA7" w:rsidRPr="00066AA1" w:rsidRDefault="006E1AA7" w:rsidP="00CF467D">
      <w:pPr>
        <w:keepNext/>
        <w:keepLines/>
        <w:ind w:firstLine="0"/>
        <w:contextualSpacing/>
        <w:jc w:val="left"/>
        <w:rPr>
          <w:sz w:val="26"/>
          <w:szCs w:val="26"/>
        </w:rPr>
      </w:pPr>
    </w:p>
    <w:p w14:paraId="410211B1" w14:textId="39CA74E4" w:rsidR="00B776E7" w:rsidRPr="000D6043" w:rsidRDefault="003A09C4" w:rsidP="00066AA1">
      <w:pPr>
        <w:keepNext/>
        <w:keepLines/>
        <w:spacing w:line="240" w:lineRule="auto"/>
        <w:ind w:left="4320" w:firstLine="0"/>
        <w:contextualSpacing/>
        <w:jc w:val="left"/>
        <w:rPr>
          <w:b/>
          <w:sz w:val="26"/>
          <w:szCs w:val="26"/>
        </w:rPr>
      </w:pPr>
      <w:bookmarkStart w:id="0" w:name="_GoBack"/>
      <w:r w:rsidRPr="009F01BA">
        <w:rPr>
          <w:b/>
          <w:noProof/>
          <w:sz w:val="20"/>
          <w:szCs w:val="20"/>
        </w:rPr>
        <w:drawing>
          <wp:anchor distT="0" distB="0" distL="114300" distR="114300" simplePos="0" relativeHeight="251659264" behindDoc="1" locked="0" layoutInCell="1" allowOverlap="1" wp14:anchorId="31D5C153" wp14:editId="6981DB0F">
            <wp:simplePos x="0" y="0"/>
            <wp:positionH relativeFrom="column">
              <wp:posOffset>2801073</wp:posOffset>
            </wp:positionH>
            <wp:positionV relativeFrom="paragraph">
              <wp:posOffset>159176</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B776E7" w:rsidRPr="000D6043">
        <w:rPr>
          <w:b/>
          <w:sz w:val="26"/>
          <w:szCs w:val="26"/>
        </w:rPr>
        <w:t>BY THE COMMISSION,</w:t>
      </w:r>
    </w:p>
    <w:p w14:paraId="076D7B16" w14:textId="1FDC2322" w:rsidR="00B776E7" w:rsidRDefault="00B776E7" w:rsidP="00066AA1">
      <w:pPr>
        <w:keepNext/>
        <w:keepLines/>
        <w:spacing w:line="240" w:lineRule="auto"/>
        <w:ind w:firstLine="0"/>
        <w:contextualSpacing/>
        <w:jc w:val="left"/>
        <w:rPr>
          <w:sz w:val="26"/>
          <w:szCs w:val="26"/>
        </w:rPr>
      </w:pPr>
    </w:p>
    <w:p w14:paraId="0E17AEEC" w14:textId="285E03F4" w:rsidR="00B776E7" w:rsidRDefault="00B776E7" w:rsidP="00066AA1">
      <w:pPr>
        <w:keepNext/>
        <w:keepLines/>
        <w:spacing w:line="240" w:lineRule="auto"/>
        <w:ind w:firstLine="0"/>
        <w:contextualSpacing/>
        <w:jc w:val="left"/>
        <w:rPr>
          <w:sz w:val="26"/>
          <w:szCs w:val="26"/>
        </w:rPr>
      </w:pPr>
    </w:p>
    <w:p w14:paraId="03492F47" w14:textId="29A77489" w:rsidR="00066AA1" w:rsidRDefault="00066AA1" w:rsidP="00066AA1">
      <w:pPr>
        <w:keepNext/>
        <w:keepLines/>
        <w:spacing w:line="240" w:lineRule="auto"/>
        <w:ind w:firstLine="0"/>
        <w:contextualSpacing/>
        <w:jc w:val="left"/>
        <w:rPr>
          <w:sz w:val="26"/>
          <w:szCs w:val="26"/>
        </w:rPr>
      </w:pPr>
    </w:p>
    <w:p w14:paraId="182E7907" w14:textId="77777777" w:rsidR="00066AA1" w:rsidRDefault="00066AA1" w:rsidP="00066AA1">
      <w:pPr>
        <w:keepNext/>
        <w:keepLines/>
        <w:spacing w:line="240" w:lineRule="auto"/>
        <w:ind w:firstLine="0"/>
        <w:contextualSpacing/>
        <w:jc w:val="left"/>
        <w:rPr>
          <w:sz w:val="26"/>
          <w:szCs w:val="26"/>
        </w:rPr>
      </w:pPr>
    </w:p>
    <w:p w14:paraId="3D9E427D" w14:textId="13ED9029" w:rsidR="00B776E7" w:rsidRPr="000D6043" w:rsidRDefault="00B776E7" w:rsidP="00066AA1">
      <w:pPr>
        <w:keepNext/>
        <w:keepLines/>
        <w:spacing w:line="240" w:lineRule="auto"/>
        <w:ind w:firstLine="0"/>
        <w:contextualSpacing/>
        <w:jc w:val="left"/>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14:paraId="7B699C6F" w14:textId="1BC02513" w:rsidR="00B776E7" w:rsidRDefault="00B776E7" w:rsidP="00066AA1">
      <w:pPr>
        <w:keepNext/>
        <w:keepLines/>
        <w:spacing w:line="240" w:lineRule="auto"/>
        <w:ind w:firstLine="0"/>
        <w:contextualSpacing/>
        <w:jc w:val="left"/>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14:paraId="1BA11308" w14:textId="77777777" w:rsidR="00B776E7" w:rsidRDefault="00B776E7" w:rsidP="00066AA1">
      <w:pPr>
        <w:keepNext/>
        <w:keepLines/>
        <w:ind w:firstLine="0"/>
        <w:contextualSpacing/>
        <w:jc w:val="left"/>
        <w:rPr>
          <w:sz w:val="26"/>
          <w:szCs w:val="26"/>
        </w:rPr>
      </w:pPr>
    </w:p>
    <w:p w14:paraId="0D63EB48" w14:textId="77777777" w:rsidR="00B776E7" w:rsidRPr="001B2BFB" w:rsidRDefault="00B776E7" w:rsidP="00CF467D">
      <w:pPr>
        <w:keepNext/>
        <w:keepLines/>
        <w:tabs>
          <w:tab w:val="left" w:pos="-720"/>
        </w:tabs>
        <w:suppressAutoHyphens/>
        <w:contextualSpacing/>
        <w:jc w:val="left"/>
        <w:rPr>
          <w:sz w:val="26"/>
          <w:szCs w:val="26"/>
        </w:rPr>
      </w:pPr>
      <w:r w:rsidRPr="00AD292A">
        <w:rPr>
          <w:sz w:val="26"/>
          <w:szCs w:val="26"/>
        </w:rPr>
        <w:t>(SEAL)</w:t>
      </w:r>
    </w:p>
    <w:p w14:paraId="0BA09B07" w14:textId="77777777" w:rsidR="00066AA1" w:rsidRDefault="00066AA1" w:rsidP="00CF467D">
      <w:pPr>
        <w:keepNext/>
        <w:keepLines/>
        <w:tabs>
          <w:tab w:val="left" w:pos="-720"/>
        </w:tabs>
        <w:suppressAutoHyphens/>
        <w:contextualSpacing/>
        <w:jc w:val="left"/>
        <w:rPr>
          <w:sz w:val="26"/>
          <w:szCs w:val="26"/>
        </w:rPr>
      </w:pPr>
    </w:p>
    <w:p w14:paraId="4D45E6AC" w14:textId="49E5B013" w:rsidR="00B776E7" w:rsidRDefault="00B776E7" w:rsidP="00CF467D">
      <w:pPr>
        <w:keepNext/>
        <w:keepLines/>
        <w:tabs>
          <w:tab w:val="left" w:pos="-720"/>
        </w:tabs>
        <w:suppressAutoHyphens/>
        <w:contextualSpacing/>
        <w:jc w:val="left"/>
        <w:rPr>
          <w:sz w:val="26"/>
          <w:szCs w:val="26"/>
        </w:rPr>
      </w:pPr>
      <w:r w:rsidRPr="00AD292A">
        <w:rPr>
          <w:sz w:val="26"/>
          <w:szCs w:val="26"/>
        </w:rPr>
        <w:t>ORDER ADOPTED:</w:t>
      </w:r>
      <w:r w:rsidRPr="001B2BFB">
        <w:rPr>
          <w:sz w:val="26"/>
          <w:szCs w:val="26"/>
        </w:rPr>
        <w:t xml:space="preserve"> </w:t>
      </w:r>
      <w:r>
        <w:rPr>
          <w:sz w:val="26"/>
          <w:szCs w:val="26"/>
        </w:rPr>
        <w:t xml:space="preserve"> </w:t>
      </w:r>
      <w:r w:rsidR="004D4CAF">
        <w:rPr>
          <w:sz w:val="26"/>
          <w:szCs w:val="26"/>
        </w:rPr>
        <w:t>May 17</w:t>
      </w:r>
      <w:r>
        <w:rPr>
          <w:sz w:val="26"/>
          <w:szCs w:val="26"/>
        </w:rPr>
        <w:t>, 201</w:t>
      </w:r>
      <w:r w:rsidR="005B43BA">
        <w:rPr>
          <w:sz w:val="26"/>
          <w:szCs w:val="26"/>
        </w:rPr>
        <w:t>8</w:t>
      </w:r>
    </w:p>
    <w:p w14:paraId="32B33472" w14:textId="2C33C151" w:rsidR="00F64C0E" w:rsidRPr="000544CF" w:rsidRDefault="00B776E7" w:rsidP="00B948AE">
      <w:pPr>
        <w:keepNext/>
        <w:keepLines/>
        <w:tabs>
          <w:tab w:val="left" w:pos="-720"/>
        </w:tabs>
        <w:suppressAutoHyphens/>
        <w:contextualSpacing/>
        <w:jc w:val="left"/>
        <w:rPr>
          <w:sz w:val="26"/>
          <w:szCs w:val="26"/>
        </w:rPr>
      </w:pPr>
      <w:r w:rsidRPr="00507493">
        <w:rPr>
          <w:sz w:val="26"/>
          <w:szCs w:val="26"/>
        </w:rPr>
        <w:t xml:space="preserve">ORDER ENTERED: </w:t>
      </w:r>
      <w:r>
        <w:rPr>
          <w:sz w:val="26"/>
          <w:szCs w:val="26"/>
        </w:rPr>
        <w:t xml:space="preserve"> </w:t>
      </w:r>
      <w:r w:rsidR="003A09C4">
        <w:rPr>
          <w:sz w:val="26"/>
          <w:szCs w:val="26"/>
        </w:rPr>
        <w:t>May 17, 2018</w:t>
      </w:r>
    </w:p>
    <w:sectPr w:rsidR="00F64C0E" w:rsidRPr="000544CF" w:rsidSect="00D4306E">
      <w:footerReference w:type="default" r:id="rId11"/>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75DFB" w14:textId="77777777" w:rsidR="00695D18" w:rsidRDefault="00695D18" w:rsidP="00181C10">
      <w:pPr>
        <w:spacing w:line="240" w:lineRule="auto"/>
      </w:pPr>
      <w:r>
        <w:separator/>
      </w:r>
    </w:p>
  </w:endnote>
  <w:endnote w:type="continuationSeparator" w:id="0">
    <w:p w14:paraId="07C9C835" w14:textId="77777777" w:rsidR="00695D18" w:rsidRDefault="00695D18" w:rsidP="00181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07285"/>
      <w:docPartObj>
        <w:docPartGallery w:val="Page Numbers (Bottom of Page)"/>
        <w:docPartUnique/>
      </w:docPartObj>
    </w:sdtPr>
    <w:sdtEndPr>
      <w:rPr>
        <w:noProof/>
      </w:rPr>
    </w:sdtEndPr>
    <w:sdtContent>
      <w:p w14:paraId="501D2BC0" w14:textId="4AAF5E98" w:rsidR="00F25B20" w:rsidRDefault="00F25B20">
        <w:pPr>
          <w:pStyle w:val="Footer"/>
        </w:pPr>
        <w:r>
          <w:fldChar w:fldCharType="begin"/>
        </w:r>
        <w:r>
          <w:instrText xml:space="preserve"> PAGE   \* MERGEFORMAT </w:instrText>
        </w:r>
        <w:r>
          <w:fldChar w:fldCharType="separate"/>
        </w:r>
        <w:r>
          <w:rPr>
            <w:noProof/>
          </w:rPr>
          <w:t>21</w:t>
        </w:r>
        <w:r>
          <w:rPr>
            <w:noProof/>
          </w:rPr>
          <w:fldChar w:fldCharType="end"/>
        </w:r>
      </w:p>
    </w:sdtContent>
  </w:sdt>
  <w:p w14:paraId="0A244915" w14:textId="77777777" w:rsidR="00F25B20" w:rsidRDefault="00F25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EB04E" w14:textId="77777777" w:rsidR="00695D18" w:rsidRDefault="00695D18" w:rsidP="004737D2">
      <w:pPr>
        <w:spacing w:line="240" w:lineRule="auto"/>
        <w:ind w:firstLine="0"/>
        <w:jc w:val="left"/>
      </w:pPr>
      <w:r>
        <w:separator/>
      </w:r>
    </w:p>
  </w:footnote>
  <w:footnote w:type="continuationSeparator" w:id="0">
    <w:p w14:paraId="30CC3D3C" w14:textId="77777777" w:rsidR="00695D18" w:rsidRDefault="00695D18" w:rsidP="00181C10">
      <w:pPr>
        <w:spacing w:line="240" w:lineRule="auto"/>
      </w:pPr>
      <w:r>
        <w:continuationSeparator/>
      </w:r>
    </w:p>
  </w:footnote>
  <w:footnote w:id="1">
    <w:p w14:paraId="51F948F0" w14:textId="77777777" w:rsidR="00F25B20" w:rsidRDefault="00F25B20" w:rsidP="00A917EF">
      <w:pPr>
        <w:pStyle w:val="FootnoteText"/>
        <w:keepNext/>
        <w:keepLines/>
        <w:spacing w:after="120"/>
        <w:jc w:val="left"/>
      </w:pPr>
      <w:r>
        <w:rPr>
          <w:rStyle w:val="FootnoteReference"/>
        </w:rPr>
        <w:footnoteRef/>
      </w:r>
      <w:r>
        <w:t xml:space="preserve"> </w:t>
      </w:r>
      <w:r>
        <w:tab/>
      </w:r>
      <w:r w:rsidRPr="00FA51F9">
        <w:rPr>
          <w:sz w:val="26"/>
          <w:szCs w:val="26"/>
        </w:rPr>
        <w:t>The bills for the Easton Serv</w:t>
      </w:r>
      <w:r>
        <w:rPr>
          <w:sz w:val="26"/>
          <w:szCs w:val="26"/>
        </w:rPr>
        <w:t>ice Address</w:t>
      </w:r>
      <w:r w:rsidRPr="00FA51F9">
        <w:rPr>
          <w:sz w:val="26"/>
          <w:szCs w:val="26"/>
        </w:rPr>
        <w:t xml:space="preserve"> were mailed to K&amp;J Pizza, 1335 Easton Road, Roslyn, PA 19101.</w:t>
      </w:r>
    </w:p>
  </w:footnote>
  <w:footnote w:id="2">
    <w:p w14:paraId="636FF0A3" w14:textId="27ABCB13" w:rsidR="00F25B20" w:rsidRPr="00F63F97" w:rsidRDefault="00F25B20" w:rsidP="00A917EF">
      <w:pPr>
        <w:pStyle w:val="FootnoteText"/>
        <w:keepNext/>
        <w:keepLines/>
        <w:spacing w:after="120"/>
        <w:jc w:val="left"/>
        <w:rPr>
          <w:sz w:val="26"/>
          <w:szCs w:val="26"/>
        </w:rPr>
      </w:pPr>
      <w:r w:rsidRPr="00F63F97">
        <w:rPr>
          <w:rStyle w:val="FootnoteReference"/>
          <w:sz w:val="26"/>
          <w:szCs w:val="26"/>
        </w:rPr>
        <w:footnoteRef/>
      </w:r>
      <w:r>
        <w:rPr>
          <w:sz w:val="26"/>
          <w:szCs w:val="26"/>
        </w:rPr>
        <w:tab/>
      </w:r>
      <w:r w:rsidRPr="00F63F97">
        <w:rPr>
          <w:sz w:val="26"/>
          <w:szCs w:val="26"/>
        </w:rPr>
        <w:t xml:space="preserve">According to the record, Jerry </w:t>
      </w:r>
      <w:proofErr w:type="spellStart"/>
      <w:r w:rsidRPr="00F63F97">
        <w:rPr>
          <w:sz w:val="26"/>
          <w:szCs w:val="26"/>
        </w:rPr>
        <w:t>Simotis</w:t>
      </w:r>
      <w:proofErr w:type="spellEnd"/>
      <w:r w:rsidRPr="00F63F97">
        <w:rPr>
          <w:sz w:val="26"/>
          <w:szCs w:val="26"/>
        </w:rPr>
        <w:t xml:space="preserve"> left the partnership in 2006.  Tr. at</w:t>
      </w:r>
      <w:r>
        <w:rPr>
          <w:sz w:val="26"/>
          <w:szCs w:val="26"/>
        </w:rPr>
        <w:t> </w:t>
      </w:r>
      <w:r w:rsidRPr="00F63F97">
        <w:rPr>
          <w:sz w:val="26"/>
          <w:szCs w:val="26"/>
        </w:rPr>
        <w:t>145.</w:t>
      </w:r>
    </w:p>
  </w:footnote>
  <w:footnote w:id="3">
    <w:p w14:paraId="586F78B3" w14:textId="27F1421F" w:rsidR="00F25B20" w:rsidRPr="0090409A" w:rsidRDefault="00F25B20" w:rsidP="00A917EF">
      <w:pPr>
        <w:pStyle w:val="FootnoteText"/>
        <w:keepNext/>
        <w:keepLines/>
        <w:spacing w:after="120"/>
        <w:jc w:val="left"/>
        <w:rPr>
          <w:sz w:val="26"/>
          <w:szCs w:val="26"/>
        </w:rPr>
      </w:pPr>
      <w:r w:rsidRPr="0090409A">
        <w:rPr>
          <w:rStyle w:val="FootnoteReference"/>
          <w:sz w:val="26"/>
          <w:szCs w:val="26"/>
        </w:rPr>
        <w:footnoteRef/>
      </w:r>
      <w:r>
        <w:rPr>
          <w:sz w:val="26"/>
          <w:szCs w:val="26"/>
        </w:rPr>
        <w:tab/>
      </w:r>
      <w:r w:rsidRPr="0090409A">
        <w:rPr>
          <w:sz w:val="26"/>
          <w:szCs w:val="26"/>
        </w:rPr>
        <w:t xml:space="preserve">The Amended Complaint was served </w:t>
      </w:r>
      <w:r>
        <w:rPr>
          <w:sz w:val="26"/>
          <w:szCs w:val="26"/>
        </w:rPr>
        <w:t>on</w:t>
      </w:r>
      <w:r w:rsidRPr="0090409A">
        <w:rPr>
          <w:sz w:val="26"/>
          <w:szCs w:val="26"/>
        </w:rPr>
        <w:t xml:space="preserve"> PECO</w:t>
      </w:r>
      <w:r>
        <w:rPr>
          <w:sz w:val="26"/>
          <w:szCs w:val="26"/>
        </w:rPr>
        <w:t xml:space="preserve"> and the Philadelphia OALJ</w:t>
      </w:r>
      <w:r w:rsidRPr="0090409A">
        <w:rPr>
          <w:sz w:val="26"/>
          <w:szCs w:val="26"/>
        </w:rPr>
        <w:t xml:space="preserve"> on May 29, 2016</w:t>
      </w:r>
      <w:r>
        <w:rPr>
          <w:sz w:val="26"/>
          <w:szCs w:val="26"/>
        </w:rPr>
        <w:t>.  However, it</w:t>
      </w:r>
      <w:r w:rsidRPr="0090409A">
        <w:rPr>
          <w:sz w:val="26"/>
          <w:szCs w:val="26"/>
        </w:rPr>
        <w:t xml:space="preserve"> was not received by the Commission’s Secretary</w:t>
      </w:r>
      <w:r>
        <w:rPr>
          <w:sz w:val="26"/>
          <w:szCs w:val="26"/>
        </w:rPr>
        <w:t>’s</w:t>
      </w:r>
      <w:r w:rsidRPr="0090409A">
        <w:rPr>
          <w:sz w:val="26"/>
          <w:szCs w:val="26"/>
        </w:rPr>
        <w:t xml:space="preserve"> Bureau until January 24, 2018.</w:t>
      </w:r>
    </w:p>
  </w:footnote>
  <w:footnote w:id="4">
    <w:p w14:paraId="477662EA" w14:textId="6D827820" w:rsidR="00F25B20" w:rsidRPr="0077367F" w:rsidRDefault="00F25B20" w:rsidP="00A917EF">
      <w:pPr>
        <w:pStyle w:val="FootnoteText"/>
        <w:keepNext/>
        <w:keepLines/>
        <w:spacing w:after="120"/>
        <w:jc w:val="left"/>
        <w:rPr>
          <w:sz w:val="26"/>
          <w:szCs w:val="26"/>
        </w:rPr>
      </w:pPr>
      <w:r w:rsidRPr="0077367F">
        <w:rPr>
          <w:rStyle w:val="FootnoteReference"/>
          <w:sz w:val="26"/>
          <w:szCs w:val="26"/>
        </w:rPr>
        <w:footnoteRef/>
      </w:r>
      <w:r>
        <w:rPr>
          <w:sz w:val="26"/>
          <w:szCs w:val="26"/>
        </w:rPr>
        <w:tab/>
      </w:r>
      <w:r w:rsidRPr="0077367F">
        <w:rPr>
          <w:sz w:val="26"/>
          <w:szCs w:val="26"/>
        </w:rPr>
        <w:t xml:space="preserve">Attached to the Amended Complaint is the Complainant’s Memorandum in Support of Amended Complaint, which </w:t>
      </w:r>
      <w:r>
        <w:rPr>
          <w:sz w:val="26"/>
          <w:szCs w:val="26"/>
        </w:rPr>
        <w:t>sets forth</w:t>
      </w:r>
      <w:r w:rsidRPr="0077367F">
        <w:rPr>
          <w:sz w:val="26"/>
          <w:szCs w:val="26"/>
        </w:rPr>
        <w:t xml:space="preserve"> the Complainant’s allegations and reasoning behind why it believes the statute of limitations should </w:t>
      </w:r>
      <w:r>
        <w:rPr>
          <w:sz w:val="26"/>
          <w:szCs w:val="26"/>
        </w:rPr>
        <w:t>be tolled in this case.</w:t>
      </w:r>
    </w:p>
  </w:footnote>
  <w:footnote w:id="5">
    <w:p w14:paraId="151EB9E1" w14:textId="4C8CC197" w:rsidR="00F25B20" w:rsidRPr="0047487B" w:rsidRDefault="00F25B20" w:rsidP="0047487B">
      <w:pPr>
        <w:pStyle w:val="FootnoteText"/>
        <w:jc w:val="left"/>
        <w:rPr>
          <w:sz w:val="26"/>
        </w:rPr>
      </w:pPr>
      <w:r w:rsidRPr="0047487B">
        <w:rPr>
          <w:rStyle w:val="FootnoteReference"/>
          <w:sz w:val="26"/>
        </w:rPr>
        <w:footnoteRef/>
      </w:r>
      <w:r>
        <w:rPr>
          <w:sz w:val="26"/>
        </w:rPr>
        <w:tab/>
      </w:r>
      <w:r w:rsidRPr="0047487B">
        <w:rPr>
          <w:sz w:val="26"/>
        </w:rPr>
        <w:t xml:space="preserve">This informal complaint was initially referenced by PECO in its 2015 and 2016 Answers </w:t>
      </w:r>
      <w:r>
        <w:rPr>
          <w:sz w:val="26"/>
        </w:rPr>
        <w:t xml:space="preserve">(see 2016 Answer at 7) </w:t>
      </w:r>
      <w:r w:rsidRPr="0047487B">
        <w:rPr>
          <w:sz w:val="26"/>
        </w:rPr>
        <w:t xml:space="preserve">in response to the Complainant’s Complaint and Amended Complaint.  </w:t>
      </w:r>
      <w:r>
        <w:rPr>
          <w:sz w:val="26"/>
        </w:rPr>
        <w:t xml:space="preserve">As noted, </w:t>
      </w:r>
      <w:r>
        <w:rPr>
          <w:i/>
          <w:sz w:val="26"/>
        </w:rPr>
        <w:t>supra</w:t>
      </w:r>
      <w:r w:rsidRPr="00B021AE">
        <w:rPr>
          <w:sz w:val="26"/>
        </w:rPr>
        <w:t>,</w:t>
      </w:r>
      <w:r>
        <w:rPr>
          <w:sz w:val="26"/>
        </w:rPr>
        <w:t xml:space="preserve"> </w:t>
      </w:r>
      <w:r w:rsidRPr="0047487B">
        <w:rPr>
          <w:sz w:val="26"/>
        </w:rPr>
        <w:t>PECO</w:t>
      </w:r>
      <w:r>
        <w:rPr>
          <w:sz w:val="26"/>
        </w:rPr>
        <w:t xml:space="preserve"> submitted that on</w:t>
      </w:r>
      <w:r w:rsidRPr="0047487B">
        <w:rPr>
          <w:sz w:val="26"/>
        </w:rPr>
        <w:t xml:space="preserve"> October 28, 2009, an informal complaint was filed with BCS at Case No. 2612569 by “Tony” (the same person who filed the instant Complaint denying affiliation with the business at the Easton Service Address) on behalf of K&amp;J Pizza, concerning the Easton Service Address.  </w:t>
      </w:r>
      <w:r>
        <w:rPr>
          <w:sz w:val="26"/>
        </w:rPr>
        <w:t>PECO further submitted that t</w:t>
      </w:r>
      <w:r w:rsidRPr="0047487B">
        <w:rPr>
          <w:sz w:val="26"/>
        </w:rPr>
        <w:t>he informal complaint noted the customer’s assertion that the demand for a security deposit was “ridiculous when he has business with PECO at another address in good standing.”</w:t>
      </w:r>
    </w:p>
  </w:footnote>
  <w:footnote w:id="6">
    <w:p w14:paraId="35D644E4" w14:textId="77777777" w:rsidR="00F25B20" w:rsidRPr="006061CB" w:rsidRDefault="00F25B20" w:rsidP="00A917EF">
      <w:pPr>
        <w:pStyle w:val="FootnoteText"/>
        <w:keepNext/>
        <w:keepLines/>
        <w:spacing w:after="120"/>
        <w:jc w:val="left"/>
        <w:rPr>
          <w:sz w:val="26"/>
        </w:rPr>
      </w:pPr>
      <w:r>
        <w:rPr>
          <w:rStyle w:val="FootnoteReference"/>
        </w:rPr>
        <w:footnoteRef/>
      </w:r>
      <w:r>
        <w:t xml:space="preserve"> </w:t>
      </w:r>
      <w:r>
        <w:tab/>
      </w:r>
      <w:r w:rsidRPr="006061CB">
        <w:rPr>
          <w:i/>
          <w:sz w:val="26"/>
        </w:rPr>
        <w:t>See</w:t>
      </w:r>
      <w:r w:rsidRPr="006061CB">
        <w:rPr>
          <w:sz w:val="26"/>
        </w:rPr>
        <w:t xml:space="preserve"> </w:t>
      </w:r>
      <w:r w:rsidRPr="008057D6">
        <w:rPr>
          <w:i/>
          <w:sz w:val="26"/>
          <w:szCs w:val="26"/>
        </w:rPr>
        <w:t xml:space="preserve">Ruth </w:t>
      </w:r>
      <w:proofErr w:type="spellStart"/>
      <w:r w:rsidRPr="008057D6">
        <w:rPr>
          <w:i/>
          <w:sz w:val="26"/>
          <w:szCs w:val="26"/>
        </w:rPr>
        <w:t>Matieu-Alce</w:t>
      </w:r>
      <w:proofErr w:type="spellEnd"/>
      <w:r w:rsidRPr="008057D6">
        <w:rPr>
          <w:i/>
          <w:sz w:val="26"/>
          <w:szCs w:val="26"/>
        </w:rPr>
        <w:t xml:space="preserve"> v. Philadelphia Gas Works</w:t>
      </w:r>
      <w:r w:rsidRPr="008057D6">
        <w:rPr>
          <w:sz w:val="26"/>
          <w:szCs w:val="26"/>
        </w:rPr>
        <w:t xml:space="preserve">, Docket No. F-2015-2473661 (Order entered April 7, 2016) </w:t>
      </w:r>
      <w:r>
        <w:rPr>
          <w:sz w:val="26"/>
          <w:szCs w:val="26"/>
        </w:rPr>
        <w:t>(s</w:t>
      </w:r>
      <w:r w:rsidRPr="008057D6">
        <w:rPr>
          <w:sz w:val="26"/>
          <w:szCs w:val="26"/>
        </w:rPr>
        <w:t>tat</w:t>
      </w:r>
      <w:r>
        <w:rPr>
          <w:sz w:val="26"/>
          <w:szCs w:val="26"/>
        </w:rPr>
        <w:t xml:space="preserve">ing that </w:t>
      </w:r>
      <w:r w:rsidRPr="008057D6">
        <w:rPr>
          <w:sz w:val="26"/>
          <w:szCs w:val="26"/>
        </w:rPr>
        <w:t xml:space="preserve">in the interest of judicial economy, the Commission will not grant </w:t>
      </w:r>
      <w:r>
        <w:rPr>
          <w:sz w:val="26"/>
          <w:szCs w:val="26"/>
        </w:rPr>
        <w:t>E</w:t>
      </w:r>
      <w:r w:rsidRPr="008057D6">
        <w:rPr>
          <w:sz w:val="26"/>
          <w:szCs w:val="26"/>
        </w:rPr>
        <w:t xml:space="preserve">xceptions when </w:t>
      </w:r>
      <w:r>
        <w:rPr>
          <w:sz w:val="26"/>
          <w:szCs w:val="26"/>
        </w:rPr>
        <w:t>a</w:t>
      </w:r>
      <w:r w:rsidRPr="008057D6">
        <w:rPr>
          <w:sz w:val="26"/>
          <w:szCs w:val="26"/>
        </w:rPr>
        <w:t xml:space="preserve"> party failed to raise an argument earlier in the proceeding</w:t>
      </w:r>
      <w:r>
        <w:rPr>
          <w:sz w:val="26"/>
          <w:szCs w:val="26"/>
        </w:rPr>
        <w:t>)</w:t>
      </w:r>
      <w:r w:rsidRPr="008057D6">
        <w:rPr>
          <w:sz w:val="26"/>
          <w:szCs w:val="26"/>
        </w:rPr>
        <w:t xml:space="preserve">.  </w:t>
      </w:r>
    </w:p>
  </w:footnote>
  <w:footnote w:id="7">
    <w:p w14:paraId="26CC6F19" w14:textId="35E58EDE" w:rsidR="00F25B20" w:rsidRDefault="00F25B20" w:rsidP="00157E45">
      <w:pPr>
        <w:pStyle w:val="FootnoteText"/>
        <w:keepNext/>
        <w:keepLines/>
        <w:spacing w:after="120"/>
        <w:jc w:val="left"/>
      </w:pPr>
      <w:r w:rsidRPr="000A1E6F">
        <w:rPr>
          <w:rStyle w:val="FootnoteReference"/>
          <w:sz w:val="26"/>
          <w:szCs w:val="26"/>
        </w:rPr>
        <w:footnoteRef/>
      </w:r>
      <w:r>
        <w:rPr>
          <w:sz w:val="26"/>
          <w:szCs w:val="26"/>
        </w:rPr>
        <w:tab/>
        <w:t>As subsequently discussed, even if the Complainant’s claims of overbilling</w:t>
      </w:r>
      <w:r w:rsidRPr="000A1E6F">
        <w:rPr>
          <w:sz w:val="26"/>
          <w:szCs w:val="26"/>
        </w:rPr>
        <w:t xml:space="preserve"> had been timely and not barred by the s</w:t>
      </w:r>
      <w:r>
        <w:rPr>
          <w:sz w:val="26"/>
          <w:szCs w:val="26"/>
        </w:rPr>
        <w:t xml:space="preserve">tatute of limitations, the Complainant has failed to </w:t>
      </w:r>
      <w:r w:rsidRPr="000A1E6F">
        <w:rPr>
          <w:sz w:val="26"/>
          <w:szCs w:val="26"/>
        </w:rPr>
        <w:t>prove t</w:t>
      </w:r>
      <w:r>
        <w:rPr>
          <w:sz w:val="26"/>
          <w:szCs w:val="26"/>
        </w:rPr>
        <w:t>hat PECO violated any</w:t>
      </w:r>
      <w:r w:rsidRPr="000A1E6F">
        <w:rPr>
          <w:sz w:val="26"/>
          <w:szCs w:val="26"/>
        </w:rPr>
        <w:t xml:space="preserve"> statute,</w:t>
      </w:r>
      <w:r>
        <w:rPr>
          <w:sz w:val="26"/>
          <w:szCs w:val="26"/>
        </w:rPr>
        <w:t xml:space="preserve"> Commission</w:t>
      </w:r>
      <w:r w:rsidRPr="000A1E6F">
        <w:rPr>
          <w:sz w:val="26"/>
          <w:szCs w:val="26"/>
        </w:rPr>
        <w:t xml:space="preserve"> </w:t>
      </w:r>
      <w:r>
        <w:rPr>
          <w:sz w:val="26"/>
          <w:szCs w:val="26"/>
        </w:rPr>
        <w:t>R</w:t>
      </w:r>
      <w:r w:rsidRPr="000A1E6F">
        <w:rPr>
          <w:sz w:val="26"/>
          <w:szCs w:val="26"/>
        </w:rPr>
        <w:t xml:space="preserve">egulation or </w:t>
      </w:r>
      <w:r>
        <w:rPr>
          <w:sz w:val="26"/>
          <w:szCs w:val="26"/>
        </w:rPr>
        <w:t>O</w:t>
      </w:r>
      <w:r w:rsidRPr="000A1E6F">
        <w:rPr>
          <w:sz w:val="26"/>
          <w:szCs w:val="26"/>
        </w:rPr>
        <w:t xml:space="preserve">rder </w:t>
      </w:r>
      <w:r>
        <w:rPr>
          <w:sz w:val="26"/>
          <w:szCs w:val="26"/>
        </w:rPr>
        <w:t>by holding the Complainant</w:t>
      </w:r>
      <w:r w:rsidRPr="000A1E6F">
        <w:rPr>
          <w:sz w:val="26"/>
          <w:szCs w:val="26"/>
        </w:rPr>
        <w:t xml:space="preserve"> resp</w:t>
      </w:r>
      <w:r>
        <w:rPr>
          <w:sz w:val="26"/>
          <w:szCs w:val="26"/>
        </w:rPr>
        <w:t xml:space="preserve">onsible for </w:t>
      </w:r>
      <w:proofErr w:type="gramStart"/>
      <w:r>
        <w:rPr>
          <w:sz w:val="26"/>
          <w:szCs w:val="26"/>
        </w:rPr>
        <w:t>any and all</w:t>
      </w:r>
      <w:proofErr w:type="gramEnd"/>
      <w:r w:rsidRPr="000A1E6F">
        <w:rPr>
          <w:sz w:val="26"/>
          <w:szCs w:val="26"/>
        </w:rPr>
        <w:t xml:space="preserve"> outstanding balances.</w:t>
      </w:r>
    </w:p>
  </w:footnote>
  <w:footnote w:id="8">
    <w:p w14:paraId="5000FFC5" w14:textId="1335C7E7" w:rsidR="00F25B20" w:rsidRPr="00BD0722" w:rsidRDefault="00F25B20" w:rsidP="00070C85">
      <w:pPr>
        <w:pStyle w:val="FootnoteText"/>
        <w:keepNext/>
        <w:keepLines/>
        <w:spacing w:after="120"/>
        <w:jc w:val="left"/>
        <w:rPr>
          <w:sz w:val="26"/>
          <w:szCs w:val="26"/>
        </w:rPr>
      </w:pPr>
      <w:r w:rsidRPr="00BD0722">
        <w:rPr>
          <w:rStyle w:val="FootnoteReference"/>
          <w:sz w:val="26"/>
          <w:szCs w:val="26"/>
        </w:rPr>
        <w:footnoteRef/>
      </w:r>
      <w:r w:rsidRPr="00BD0722">
        <w:rPr>
          <w:sz w:val="26"/>
          <w:szCs w:val="26"/>
        </w:rPr>
        <w:tab/>
        <w:t xml:space="preserve">This </w:t>
      </w:r>
      <w:proofErr w:type="gramStart"/>
      <w:r w:rsidRPr="00BD0722">
        <w:rPr>
          <w:sz w:val="26"/>
          <w:szCs w:val="26"/>
        </w:rPr>
        <w:t>is in compliance with</w:t>
      </w:r>
      <w:proofErr w:type="gramEnd"/>
      <w:r w:rsidRPr="00BD0722">
        <w:rPr>
          <w:sz w:val="26"/>
          <w:szCs w:val="26"/>
        </w:rPr>
        <w:t xml:space="preserve"> </w:t>
      </w:r>
      <w:r>
        <w:rPr>
          <w:sz w:val="26"/>
          <w:szCs w:val="26"/>
        </w:rPr>
        <w:t xml:space="preserve">the </w:t>
      </w:r>
      <w:r w:rsidRPr="00BD0722">
        <w:rPr>
          <w:sz w:val="26"/>
          <w:szCs w:val="26"/>
        </w:rPr>
        <w:t>Commission</w:t>
      </w:r>
      <w:r>
        <w:rPr>
          <w:sz w:val="26"/>
          <w:szCs w:val="26"/>
        </w:rPr>
        <w:t>’s</w:t>
      </w:r>
      <w:r w:rsidRPr="00BD0722">
        <w:rPr>
          <w:sz w:val="26"/>
          <w:szCs w:val="26"/>
        </w:rPr>
        <w:t xml:space="preserve"> Regulations at 52 Pa. Code § 57.20 regarding watthour meter testing, which allows for a variance of plus or minus 2%.</w:t>
      </w:r>
    </w:p>
  </w:footnote>
  <w:footnote w:id="9">
    <w:p w14:paraId="2269DEA7" w14:textId="6E210468" w:rsidR="00F25B20" w:rsidRPr="009E2490" w:rsidRDefault="00F25B20" w:rsidP="009E2490">
      <w:pPr>
        <w:pStyle w:val="FootnoteText"/>
        <w:jc w:val="left"/>
        <w:rPr>
          <w:sz w:val="26"/>
          <w:szCs w:val="26"/>
        </w:rPr>
      </w:pPr>
      <w:r w:rsidRPr="009E2490">
        <w:rPr>
          <w:rStyle w:val="FootnoteReference"/>
          <w:sz w:val="26"/>
          <w:szCs w:val="26"/>
        </w:rPr>
        <w:footnoteRef/>
      </w:r>
      <w:r w:rsidRPr="009E2490">
        <w:rPr>
          <w:sz w:val="26"/>
          <w:szCs w:val="26"/>
        </w:rPr>
        <w:tab/>
      </w:r>
      <w:r w:rsidRPr="009E2490">
        <w:rPr>
          <w:rFonts w:eastAsia="Times New Roman"/>
          <w:snapToGrid w:val="0"/>
          <w:sz w:val="26"/>
          <w:szCs w:val="26"/>
        </w:rPr>
        <w:t>Specific factors enumerated for consideration under Section 69.1201</w:t>
      </w:r>
      <w:r>
        <w:rPr>
          <w:rFonts w:eastAsia="Times New Roman"/>
          <w:snapToGrid w:val="0"/>
          <w:sz w:val="26"/>
          <w:szCs w:val="26"/>
        </w:rPr>
        <w:t>(c)</w:t>
      </w:r>
      <w:r w:rsidRPr="009E2490">
        <w:rPr>
          <w:rFonts w:eastAsia="Times New Roman"/>
          <w:snapToGrid w:val="0"/>
          <w:sz w:val="26"/>
          <w:szCs w:val="26"/>
        </w:rPr>
        <w:t xml:space="preserve"> of our Regulations include the willfulness and seriousness of the conduct; the resulting consequences; whether the conduct was intentional or negligent; efforts made by the regulated entity to address and prevent the conduct in the future; the number of customers affected and the duration; the regulated entity’s compliance history, cooperation with any Commission investigation; the level of fine necessary to deter future violations; past Commission decisions in similar situations; and any other </w:t>
      </w:r>
      <w:r w:rsidRPr="009E2490">
        <w:rPr>
          <w:rFonts w:eastAsia="Times New Roman"/>
          <w:sz w:val="26"/>
          <w:szCs w:val="26"/>
        </w:rPr>
        <w:t>relevant factors.</w:t>
      </w:r>
    </w:p>
  </w:footnote>
  <w:footnote w:id="10">
    <w:p w14:paraId="2C483C6A" w14:textId="7B562C60" w:rsidR="00F25B20" w:rsidRPr="006774C9" w:rsidRDefault="00F25B20" w:rsidP="00A917EF">
      <w:pPr>
        <w:pStyle w:val="FootnoteText"/>
        <w:keepNext/>
        <w:keepLines/>
        <w:spacing w:after="120"/>
        <w:jc w:val="left"/>
        <w:rPr>
          <w:sz w:val="26"/>
          <w:szCs w:val="26"/>
        </w:rPr>
      </w:pPr>
      <w:r w:rsidRPr="006774C9">
        <w:rPr>
          <w:rStyle w:val="FootnoteReference"/>
          <w:sz w:val="26"/>
          <w:szCs w:val="26"/>
        </w:rPr>
        <w:footnoteRef/>
      </w:r>
      <w:r w:rsidRPr="006774C9">
        <w:rPr>
          <w:sz w:val="26"/>
          <w:szCs w:val="26"/>
        </w:rPr>
        <w:tab/>
        <w:t xml:space="preserve">Supplement No. 3 to PECO Tariff Electric Pa. P.U.C. No. 5, </w:t>
      </w:r>
      <w:r>
        <w:rPr>
          <w:sz w:val="26"/>
          <w:szCs w:val="26"/>
        </w:rPr>
        <w:t xml:space="preserve">effective February 12, 2016, at </w:t>
      </w:r>
      <w:r w:rsidRPr="006774C9">
        <w:rPr>
          <w:sz w:val="26"/>
          <w:szCs w:val="26"/>
        </w:rPr>
        <w:t xml:space="preserve">First </w:t>
      </w:r>
      <w:r w:rsidR="0025489B">
        <w:rPr>
          <w:sz w:val="26"/>
          <w:szCs w:val="26"/>
        </w:rPr>
        <w:t>R</w:t>
      </w:r>
      <w:r w:rsidRPr="006774C9">
        <w:rPr>
          <w:sz w:val="26"/>
          <w:szCs w:val="26"/>
        </w:rPr>
        <w:t>evised Page 14, Rule 5.5.</w:t>
      </w:r>
    </w:p>
  </w:footnote>
  <w:footnote w:id="11">
    <w:p w14:paraId="540AA14A" w14:textId="77777777" w:rsidR="00F25B20" w:rsidRPr="008A0388" w:rsidRDefault="00F25B20" w:rsidP="00A917EF">
      <w:pPr>
        <w:keepNext/>
        <w:keepLines/>
        <w:spacing w:after="120" w:line="240" w:lineRule="auto"/>
        <w:jc w:val="left"/>
        <w:outlineLvl w:val="3"/>
        <w:rPr>
          <w:b/>
          <w:bCs/>
          <w:sz w:val="26"/>
          <w:szCs w:val="26"/>
        </w:rPr>
      </w:pPr>
      <w:r w:rsidRPr="008A0388">
        <w:rPr>
          <w:rStyle w:val="FootnoteReference"/>
          <w:sz w:val="26"/>
          <w:szCs w:val="26"/>
        </w:rPr>
        <w:footnoteRef/>
      </w:r>
      <w:r w:rsidRPr="008A0388">
        <w:rPr>
          <w:sz w:val="26"/>
          <w:szCs w:val="26"/>
        </w:rPr>
        <w:t xml:space="preserve"> </w:t>
      </w:r>
      <w:r w:rsidRPr="008A0388">
        <w:rPr>
          <w:sz w:val="26"/>
          <w:szCs w:val="26"/>
        </w:rPr>
        <w:tab/>
      </w:r>
      <w:r w:rsidRPr="008A0388">
        <w:rPr>
          <w:b/>
          <w:bCs/>
          <w:sz w:val="26"/>
          <w:szCs w:val="26"/>
        </w:rPr>
        <w:t>§ 56.22. Accrual of late payment charges.</w:t>
      </w:r>
    </w:p>
    <w:p w14:paraId="36DA74C4" w14:textId="77777777" w:rsidR="00F25B20" w:rsidRPr="00B256D7" w:rsidRDefault="00F25B20" w:rsidP="00A917EF">
      <w:pPr>
        <w:keepNext/>
        <w:keepLines/>
        <w:spacing w:before="100" w:beforeAutospacing="1" w:after="120" w:line="240" w:lineRule="auto"/>
        <w:ind w:left="1440" w:right="1440" w:firstLine="0"/>
        <w:jc w:val="left"/>
        <w:rPr>
          <w:sz w:val="26"/>
          <w:szCs w:val="26"/>
        </w:rPr>
      </w:pPr>
      <w:r w:rsidRPr="008A0388">
        <w:rPr>
          <w:sz w:val="26"/>
          <w:szCs w:val="26"/>
        </w:rPr>
        <w:t>(a)</w:t>
      </w:r>
      <w:r w:rsidRPr="008A0388">
        <w:rPr>
          <w:sz w:val="26"/>
          <w:szCs w:val="26"/>
        </w:rPr>
        <w:tab/>
        <w:t xml:space="preserve">Every public utility subject to this chapter is prohibited from levying or assessing a late charge or penalty on any overdue public utility bill, as defined in § 56.21 (relating to payment), in an amount which exceeds 1.5% interest per month on the overdue balance of the bill. These charges are to be calculated on the overdue portions of the bill only. The interest rate, when annualized, may not exceed 18% simple interest per annum. </w:t>
      </w:r>
    </w:p>
  </w:footnote>
  <w:footnote w:id="12">
    <w:p w14:paraId="75BE57B8" w14:textId="77777777" w:rsidR="00F25B20" w:rsidRPr="00B256D7" w:rsidRDefault="00F25B20" w:rsidP="00A917EF">
      <w:pPr>
        <w:keepNext/>
        <w:keepLines/>
        <w:spacing w:after="120"/>
        <w:ind w:right="1440"/>
        <w:jc w:val="left"/>
        <w:rPr>
          <w:rFonts w:eastAsia="Times New Roman"/>
          <w:b/>
          <w:sz w:val="26"/>
          <w:szCs w:val="26"/>
        </w:rPr>
      </w:pPr>
      <w:r w:rsidRPr="00B256D7">
        <w:rPr>
          <w:rStyle w:val="FootnoteReference"/>
          <w:sz w:val="26"/>
          <w:szCs w:val="26"/>
        </w:rPr>
        <w:footnoteRef/>
      </w:r>
      <w:r w:rsidRPr="00B256D7">
        <w:rPr>
          <w:sz w:val="26"/>
          <w:szCs w:val="26"/>
        </w:rPr>
        <w:t xml:space="preserve"> </w:t>
      </w:r>
      <w:r>
        <w:rPr>
          <w:sz w:val="26"/>
          <w:szCs w:val="26"/>
        </w:rPr>
        <w:tab/>
      </w:r>
      <w:r w:rsidRPr="008A0388">
        <w:rPr>
          <w:b/>
          <w:bCs/>
          <w:sz w:val="26"/>
          <w:szCs w:val="26"/>
        </w:rPr>
        <w:t>§</w:t>
      </w:r>
      <w:r>
        <w:rPr>
          <w:b/>
          <w:bCs/>
          <w:sz w:val="26"/>
          <w:szCs w:val="26"/>
        </w:rPr>
        <w:t xml:space="preserve"> </w:t>
      </w:r>
      <w:r w:rsidRPr="00B256D7">
        <w:rPr>
          <w:rFonts w:eastAsia="Times New Roman"/>
          <w:b/>
          <w:sz w:val="26"/>
          <w:szCs w:val="26"/>
        </w:rPr>
        <w:t>56.41.  General rule.</w:t>
      </w:r>
    </w:p>
    <w:p w14:paraId="223829DA" w14:textId="77777777" w:rsidR="00F25B20" w:rsidRPr="00B256D7" w:rsidRDefault="00F25B20" w:rsidP="00A917EF">
      <w:pPr>
        <w:keepNext/>
        <w:keepLines/>
        <w:spacing w:after="120" w:line="240" w:lineRule="auto"/>
        <w:ind w:left="1440" w:right="1440" w:firstLine="0"/>
        <w:jc w:val="left"/>
        <w:rPr>
          <w:rFonts w:eastAsia="Times New Roman"/>
          <w:sz w:val="26"/>
          <w:szCs w:val="26"/>
        </w:rPr>
      </w:pPr>
      <w:r w:rsidRPr="00B256D7">
        <w:rPr>
          <w:rFonts w:eastAsia="Times New Roman"/>
          <w:sz w:val="26"/>
          <w:szCs w:val="26"/>
        </w:rPr>
        <w:t>A utility may require an existing ratepayer to post a deposit to reestablish credit under the following circumstances:</w:t>
      </w:r>
    </w:p>
    <w:p w14:paraId="5FAA5B59" w14:textId="77777777" w:rsidR="00F25B20" w:rsidRDefault="00F25B20" w:rsidP="00A917EF">
      <w:pPr>
        <w:pStyle w:val="ListParagraph"/>
        <w:keepNext/>
        <w:keepLines/>
        <w:numPr>
          <w:ilvl w:val="0"/>
          <w:numId w:val="12"/>
        </w:numPr>
        <w:spacing w:after="120" w:line="240" w:lineRule="auto"/>
        <w:ind w:left="2520" w:right="1440" w:hanging="360"/>
        <w:jc w:val="left"/>
        <w:rPr>
          <w:rFonts w:eastAsia="Times New Roman"/>
          <w:sz w:val="26"/>
          <w:szCs w:val="26"/>
        </w:rPr>
      </w:pPr>
      <w:r w:rsidRPr="00B256D7">
        <w:rPr>
          <w:rFonts w:eastAsia="Times New Roman"/>
          <w:i/>
          <w:sz w:val="26"/>
          <w:szCs w:val="26"/>
        </w:rPr>
        <w:t>Delinquent accounts.</w:t>
      </w:r>
      <w:r w:rsidRPr="00B256D7">
        <w:rPr>
          <w:rFonts w:eastAsia="Times New Roman"/>
          <w:sz w:val="26"/>
          <w:szCs w:val="26"/>
        </w:rPr>
        <w:t xml:space="preserve">  Whenever a ratepayer has been delinquent in the payment of any two consecutive bills or three or more bills within the preceding 12 months.</w:t>
      </w:r>
    </w:p>
    <w:p w14:paraId="257F464B" w14:textId="77777777" w:rsidR="00F25B20" w:rsidRPr="00B256D7" w:rsidRDefault="00F25B20" w:rsidP="00A917EF">
      <w:pPr>
        <w:pStyle w:val="ListParagraph"/>
        <w:keepNext/>
        <w:keepLines/>
        <w:spacing w:after="120" w:line="240" w:lineRule="auto"/>
        <w:ind w:left="2520" w:right="1440" w:firstLine="0"/>
        <w:jc w:val="left"/>
        <w:rPr>
          <w:rFonts w:eastAsia="Times New Roman"/>
          <w:sz w:val="26"/>
          <w:szCs w:val="26"/>
        </w:rPr>
      </w:pPr>
    </w:p>
    <w:p w14:paraId="1EB8605F" w14:textId="77777777" w:rsidR="00F25B20" w:rsidRDefault="00F25B20" w:rsidP="00A917EF">
      <w:pPr>
        <w:keepNext/>
        <w:keepLines/>
        <w:autoSpaceDE w:val="0"/>
        <w:autoSpaceDN w:val="0"/>
        <w:spacing w:after="120" w:line="240" w:lineRule="auto"/>
        <w:ind w:left="1440" w:right="1440" w:firstLine="0"/>
        <w:contextualSpacing/>
        <w:rPr>
          <w:sz w:val="26"/>
          <w:szCs w:val="26"/>
        </w:rPr>
      </w:pPr>
      <w:r w:rsidRPr="001F3862">
        <w:rPr>
          <w:sz w:val="26"/>
          <w:szCs w:val="26"/>
        </w:rPr>
        <w:t>*</w:t>
      </w:r>
      <w:r w:rsidRPr="001F3862">
        <w:rPr>
          <w:sz w:val="26"/>
          <w:szCs w:val="26"/>
        </w:rPr>
        <w:tab/>
        <w:t>*</w:t>
      </w:r>
      <w:r w:rsidRPr="001F3862">
        <w:rPr>
          <w:sz w:val="26"/>
          <w:szCs w:val="26"/>
        </w:rPr>
        <w:tab/>
        <w:t>*</w:t>
      </w:r>
    </w:p>
    <w:p w14:paraId="2255EE09" w14:textId="77777777" w:rsidR="00F25B20" w:rsidRPr="00B256D7" w:rsidRDefault="00F25B20" w:rsidP="00A917EF">
      <w:pPr>
        <w:keepNext/>
        <w:keepLines/>
        <w:autoSpaceDE w:val="0"/>
        <w:autoSpaceDN w:val="0"/>
        <w:spacing w:after="120" w:line="240" w:lineRule="auto"/>
        <w:ind w:left="1440" w:right="1440" w:firstLine="0"/>
        <w:contextualSpacing/>
        <w:rPr>
          <w:sz w:val="26"/>
          <w:szCs w:val="26"/>
        </w:rPr>
      </w:pPr>
    </w:p>
    <w:p w14:paraId="47234238" w14:textId="02908B38" w:rsidR="00F25B20" w:rsidRDefault="00F25B20" w:rsidP="00BF2E34">
      <w:pPr>
        <w:keepNext/>
        <w:keepLines/>
        <w:tabs>
          <w:tab w:val="left" w:pos="1620"/>
        </w:tabs>
        <w:spacing w:after="120" w:line="240" w:lineRule="auto"/>
        <w:ind w:left="2520" w:right="1440" w:hanging="360"/>
        <w:jc w:val="left"/>
      </w:pPr>
      <w:r>
        <w:rPr>
          <w:rFonts w:eastAsia="Times New Roman"/>
          <w:sz w:val="26"/>
          <w:szCs w:val="26"/>
        </w:rPr>
        <w:t xml:space="preserve">(3) </w:t>
      </w:r>
      <w:r w:rsidRPr="00B256D7">
        <w:rPr>
          <w:rFonts w:eastAsia="Times New Roman"/>
          <w:i/>
          <w:sz w:val="26"/>
          <w:szCs w:val="26"/>
        </w:rPr>
        <w:t>Failure to comply with settlement or payment agreement.</w:t>
      </w:r>
      <w:r w:rsidRPr="00B256D7">
        <w:rPr>
          <w:rFonts w:eastAsia="Times New Roman"/>
          <w:sz w:val="26"/>
          <w:szCs w:val="26"/>
        </w:rPr>
        <w:t xml:space="preserve">  A utility may require a deposit, </w:t>
      </w:r>
      <w:proofErr w:type="gramStart"/>
      <w:r w:rsidRPr="00B256D7">
        <w:rPr>
          <w:rFonts w:eastAsia="Times New Roman"/>
          <w:sz w:val="26"/>
          <w:szCs w:val="26"/>
        </w:rPr>
        <w:t>whether or not</w:t>
      </w:r>
      <w:proofErr w:type="gramEnd"/>
      <w:r w:rsidRPr="00B256D7">
        <w:rPr>
          <w:rFonts w:eastAsia="Times New Roman"/>
          <w:sz w:val="26"/>
          <w:szCs w:val="26"/>
        </w:rPr>
        <w:t xml:space="preserve"> service has been terminated, when a ratepayer fails to comply with a material term or condition of a settlement or payment agreement.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161D8"/>
    <w:multiLevelType w:val="hybridMultilevel"/>
    <w:tmpl w:val="E62E3858"/>
    <w:lvl w:ilvl="0" w:tplc="4F306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F62564C"/>
    <w:multiLevelType w:val="hybridMultilevel"/>
    <w:tmpl w:val="96C80CAA"/>
    <w:lvl w:ilvl="0" w:tplc="4F306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2304F"/>
    <w:multiLevelType w:val="hybridMultilevel"/>
    <w:tmpl w:val="28ACB92A"/>
    <w:lvl w:ilvl="0" w:tplc="10E2FC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4538FA"/>
    <w:multiLevelType w:val="hybridMultilevel"/>
    <w:tmpl w:val="292277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6633C34"/>
    <w:multiLevelType w:val="hybridMultilevel"/>
    <w:tmpl w:val="E0A48F32"/>
    <w:lvl w:ilvl="0" w:tplc="4F306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E87A04"/>
    <w:multiLevelType w:val="hybridMultilevel"/>
    <w:tmpl w:val="D81417C6"/>
    <w:lvl w:ilvl="0" w:tplc="4F306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FFE1509"/>
    <w:multiLevelType w:val="hybridMultilevel"/>
    <w:tmpl w:val="D81417C6"/>
    <w:lvl w:ilvl="0" w:tplc="4F306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647F0A"/>
    <w:multiLevelType w:val="hybridMultilevel"/>
    <w:tmpl w:val="8380647E"/>
    <w:lvl w:ilvl="0" w:tplc="4F306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723BEF"/>
    <w:multiLevelType w:val="hybridMultilevel"/>
    <w:tmpl w:val="3AB6C6EA"/>
    <w:lvl w:ilvl="0" w:tplc="DA4C26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1D78AE"/>
    <w:multiLevelType w:val="hybridMultilevel"/>
    <w:tmpl w:val="96C80CAA"/>
    <w:lvl w:ilvl="0" w:tplc="4F306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634691"/>
    <w:multiLevelType w:val="hybridMultilevel"/>
    <w:tmpl w:val="8380647E"/>
    <w:lvl w:ilvl="0" w:tplc="4F306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490F98"/>
    <w:multiLevelType w:val="hybridMultilevel"/>
    <w:tmpl w:val="D81417C6"/>
    <w:lvl w:ilvl="0" w:tplc="4F306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524360"/>
    <w:multiLevelType w:val="hybridMultilevel"/>
    <w:tmpl w:val="AA04E2D2"/>
    <w:lvl w:ilvl="0" w:tplc="4C40B0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D9F3915"/>
    <w:multiLevelType w:val="hybridMultilevel"/>
    <w:tmpl w:val="1C08B4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4FE13AE"/>
    <w:multiLevelType w:val="hybridMultilevel"/>
    <w:tmpl w:val="C26A0DCC"/>
    <w:lvl w:ilvl="0" w:tplc="F31C382E">
      <w:start w:val="1"/>
      <w:numFmt w:val="decimal"/>
      <w:lvlText w:val="(%1)"/>
      <w:lvlJc w:val="left"/>
      <w:pPr>
        <w:ind w:left="2595" w:hanging="43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6555A49"/>
    <w:multiLevelType w:val="hybridMultilevel"/>
    <w:tmpl w:val="9604B6A4"/>
    <w:lvl w:ilvl="0" w:tplc="4F306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97431B"/>
    <w:multiLevelType w:val="hybridMultilevel"/>
    <w:tmpl w:val="D81417C6"/>
    <w:lvl w:ilvl="0" w:tplc="4F306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16"/>
  </w:num>
  <w:num w:numId="6">
    <w:abstractNumId w:val="3"/>
  </w:num>
  <w:num w:numId="7">
    <w:abstractNumId w:val="15"/>
  </w:num>
  <w:num w:numId="8">
    <w:abstractNumId w:val="12"/>
  </w:num>
  <w:num w:numId="9">
    <w:abstractNumId w:val="6"/>
  </w:num>
  <w:num w:numId="10">
    <w:abstractNumId w:val="2"/>
  </w:num>
  <w:num w:numId="11">
    <w:abstractNumId w:val="9"/>
  </w:num>
  <w:num w:numId="12">
    <w:abstractNumId w:val="17"/>
  </w:num>
  <w:num w:numId="13">
    <w:abstractNumId w:val="4"/>
  </w:num>
  <w:num w:numId="14">
    <w:abstractNumId w:val="0"/>
  </w:num>
  <w:num w:numId="15">
    <w:abstractNumId w:val="19"/>
  </w:num>
  <w:num w:numId="16">
    <w:abstractNumId w:val="7"/>
  </w:num>
  <w:num w:numId="17">
    <w:abstractNumId w:val="14"/>
  </w:num>
  <w:num w:numId="18">
    <w:abstractNumId w:val="10"/>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3A"/>
    <w:rsid w:val="00001CD3"/>
    <w:rsid w:val="00003661"/>
    <w:rsid w:val="00005B07"/>
    <w:rsid w:val="0000670A"/>
    <w:rsid w:val="0000792A"/>
    <w:rsid w:val="00010462"/>
    <w:rsid w:val="00013A88"/>
    <w:rsid w:val="00013AD6"/>
    <w:rsid w:val="0001479B"/>
    <w:rsid w:val="00022D0C"/>
    <w:rsid w:val="000246BF"/>
    <w:rsid w:val="000252EE"/>
    <w:rsid w:val="000255FE"/>
    <w:rsid w:val="000275E7"/>
    <w:rsid w:val="00030BD0"/>
    <w:rsid w:val="00030CF0"/>
    <w:rsid w:val="00031082"/>
    <w:rsid w:val="000311A3"/>
    <w:rsid w:val="000319D2"/>
    <w:rsid w:val="00041524"/>
    <w:rsid w:val="0004245D"/>
    <w:rsid w:val="00046163"/>
    <w:rsid w:val="000478A2"/>
    <w:rsid w:val="00047C09"/>
    <w:rsid w:val="00047E15"/>
    <w:rsid w:val="00051432"/>
    <w:rsid w:val="000529AE"/>
    <w:rsid w:val="00053613"/>
    <w:rsid w:val="000541E4"/>
    <w:rsid w:val="000544CF"/>
    <w:rsid w:val="0005540D"/>
    <w:rsid w:val="0005762D"/>
    <w:rsid w:val="00061B2C"/>
    <w:rsid w:val="00064B5B"/>
    <w:rsid w:val="00066AA1"/>
    <w:rsid w:val="00070C85"/>
    <w:rsid w:val="00070DDD"/>
    <w:rsid w:val="00072C6C"/>
    <w:rsid w:val="00074612"/>
    <w:rsid w:val="00077512"/>
    <w:rsid w:val="00077911"/>
    <w:rsid w:val="000832A4"/>
    <w:rsid w:val="000837AA"/>
    <w:rsid w:val="00083EDF"/>
    <w:rsid w:val="000845C0"/>
    <w:rsid w:val="00090342"/>
    <w:rsid w:val="00091959"/>
    <w:rsid w:val="00093206"/>
    <w:rsid w:val="00097DF6"/>
    <w:rsid w:val="000A1E6F"/>
    <w:rsid w:val="000A2361"/>
    <w:rsid w:val="000A2650"/>
    <w:rsid w:val="000A2E82"/>
    <w:rsid w:val="000B0A30"/>
    <w:rsid w:val="000B18BF"/>
    <w:rsid w:val="000B4851"/>
    <w:rsid w:val="000B515E"/>
    <w:rsid w:val="000B5458"/>
    <w:rsid w:val="000B6E20"/>
    <w:rsid w:val="000B7ED5"/>
    <w:rsid w:val="000C38A5"/>
    <w:rsid w:val="000C507C"/>
    <w:rsid w:val="000C7B1D"/>
    <w:rsid w:val="000D08DA"/>
    <w:rsid w:val="000D2DC4"/>
    <w:rsid w:val="000D485C"/>
    <w:rsid w:val="000D68DB"/>
    <w:rsid w:val="000D7B2A"/>
    <w:rsid w:val="000E2F97"/>
    <w:rsid w:val="000E3AA9"/>
    <w:rsid w:val="000E4E08"/>
    <w:rsid w:val="000E5913"/>
    <w:rsid w:val="000F04F4"/>
    <w:rsid w:val="000F2F71"/>
    <w:rsid w:val="000F3EFD"/>
    <w:rsid w:val="000F4E81"/>
    <w:rsid w:val="00104F93"/>
    <w:rsid w:val="00105025"/>
    <w:rsid w:val="001078A5"/>
    <w:rsid w:val="00112B08"/>
    <w:rsid w:val="00113BC3"/>
    <w:rsid w:val="00115E25"/>
    <w:rsid w:val="00116AEE"/>
    <w:rsid w:val="001200E1"/>
    <w:rsid w:val="00126B00"/>
    <w:rsid w:val="00130684"/>
    <w:rsid w:val="00131263"/>
    <w:rsid w:val="00136811"/>
    <w:rsid w:val="00137987"/>
    <w:rsid w:val="00137AB2"/>
    <w:rsid w:val="00137C8F"/>
    <w:rsid w:val="001402EC"/>
    <w:rsid w:val="00142A51"/>
    <w:rsid w:val="00145ECA"/>
    <w:rsid w:val="00146F10"/>
    <w:rsid w:val="00155364"/>
    <w:rsid w:val="00156981"/>
    <w:rsid w:val="00157E45"/>
    <w:rsid w:val="00170121"/>
    <w:rsid w:val="0017039E"/>
    <w:rsid w:val="0017073B"/>
    <w:rsid w:val="00171731"/>
    <w:rsid w:val="001717B5"/>
    <w:rsid w:val="001803DB"/>
    <w:rsid w:val="00181C10"/>
    <w:rsid w:val="001821BC"/>
    <w:rsid w:val="00184290"/>
    <w:rsid w:val="001904C5"/>
    <w:rsid w:val="001A066F"/>
    <w:rsid w:val="001A5EF5"/>
    <w:rsid w:val="001A74F8"/>
    <w:rsid w:val="001B2972"/>
    <w:rsid w:val="001B388B"/>
    <w:rsid w:val="001B3A6F"/>
    <w:rsid w:val="001B6B46"/>
    <w:rsid w:val="001C0F65"/>
    <w:rsid w:val="001C2822"/>
    <w:rsid w:val="001C2ED3"/>
    <w:rsid w:val="001C2F04"/>
    <w:rsid w:val="001C5CCA"/>
    <w:rsid w:val="001C617A"/>
    <w:rsid w:val="001C7C89"/>
    <w:rsid w:val="001D12C5"/>
    <w:rsid w:val="001D1B97"/>
    <w:rsid w:val="001D2418"/>
    <w:rsid w:val="001D31AF"/>
    <w:rsid w:val="001D503E"/>
    <w:rsid w:val="001D541C"/>
    <w:rsid w:val="001D6634"/>
    <w:rsid w:val="001D698E"/>
    <w:rsid w:val="001E069E"/>
    <w:rsid w:val="001E4E84"/>
    <w:rsid w:val="001E5707"/>
    <w:rsid w:val="001E6F8F"/>
    <w:rsid w:val="001F1AD4"/>
    <w:rsid w:val="001F2669"/>
    <w:rsid w:val="001F3862"/>
    <w:rsid w:val="001F3AF7"/>
    <w:rsid w:val="001F51E7"/>
    <w:rsid w:val="001F7E2C"/>
    <w:rsid w:val="00201A13"/>
    <w:rsid w:val="00202599"/>
    <w:rsid w:val="00205C67"/>
    <w:rsid w:val="0021354E"/>
    <w:rsid w:val="002143F3"/>
    <w:rsid w:val="00214A42"/>
    <w:rsid w:val="002178F2"/>
    <w:rsid w:val="00223623"/>
    <w:rsid w:val="00224A43"/>
    <w:rsid w:val="002252FF"/>
    <w:rsid w:val="00236FC7"/>
    <w:rsid w:val="0024086D"/>
    <w:rsid w:val="00245DF1"/>
    <w:rsid w:val="00247EAC"/>
    <w:rsid w:val="00250751"/>
    <w:rsid w:val="00252546"/>
    <w:rsid w:val="002536BF"/>
    <w:rsid w:val="002541E3"/>
    <w:rsid w:val="00254621"/>
    <w:rsid w:val="0025489B"/>
    <w:rsid w:val="00254A4B"/>
    <w:rsid w:val="00254E11"/>
    <w:rsid w:val="00257335"/>
    <w:rsid w:val="0026146A"/>
    <w:rsid w:val="00263B1B"/>
    <w:rsid w:val="00264570"/>
    <w:rsid w:val="00264E6F"/>
    <w:rsid w:val="00264FE0"/>
    <w:rsid w:val="00265007"/>
    <w:rsid w:val="00266846"/>
    <w:rsid w:val="00270586"/>
    <w:rsid w:val="002749F4"/>
    <w:rsid w:val="00274AFD"/>
    <w:rsid w:val="0027544D"/>
    <w:rsid w:val="00275DA4"/>
    <w:rsid w:val="002824A5"/>
    <w:rsid w:val="00284008"/>
    <w:rsid w:val="00286FD1"/>
    <w:rsid w:val="0028718E"/>
    <w:rsid w:val="00290D18"/>
    <w:rsid w:val="00291C4E"/>
    <w:rsid w:val="00293D33"/>
    <w:rsid w:val="0029616C"/>
    <w:rsid w:val="00296F6E"/>
    <w:rsid w:val="0029745B"/>
    <w:rsid w:val="002A061D"/>
    <w:rsid w:val="002A38EA"/>
    <w:rsid w:val="002A3F04"/>
    <w:rsid w:val="002A6A08"/>
    <w:rsid w:val="002B2C4C"/>
    <w:rsid w:val="002B2E13"/>
    <w:rsid w:val="002B2E33"/>
    <w:rsid w:val="002B75F0"/>
    <w:rsid w:val="002C1C8C"/>
    <w:rsid w:val="002C62D4"/>
    <w:rsid w:val="002C7C42"/>
    <w:rsid w:val="002D1C16"/>
    <w:rsid w:val="002D251D"/>
    <w:rsid w:val="002D6DA3"/>
    <w:rsid w:val="002D707B"/>
    <w:rsid w:val="002E03FB"/>
    <w:rsid w:val="002F01E9"/>
    <w:rsid w:val="002F568F"/>
    <w:rsid w:val="003006A6"/>
    <w:rsid w:val="00300FA5"/>
    <w:rsid w:val="003015CE"/>
    <w:rsid w:val="0030255D"/>
    <w:rsid w:val="00307D8C"/>
    <w:rsid w:val="00313CCE"/>
    <w:rsid w:val="0031510E"/>
    <w:rsid w:val="00315C42"/>
    <w:rsid w:val="00316EB3"/>
    <w:rsid w:val="0031727B"/>
    <w:rsid w:val="003213FC"/>
    <w:rsid w:val="00322F60"/>
    <w:rsid w:val="00330583"/>
    <w:rsid w:val="00332ACA"/>
    <w:rsid w:val="00332D27"/>
    <w:rsid w:val="00332DF3"/>
    <w:rsid w:val="00334A42"/>
    <w:rsid w:val="00335570"/>
    <w:rsid w:val="003415A5"/>
    <w:rsid w:val="003419FE"/>
    <w:rsid w:val="0034356F"/>
    <w:rsid w:val="00345330"/>
    <w:rsid w:val="0034537A"/>
    <w:rsid w:val="0034539D"/>
    <w:rsid w:val="003464F8"/>
    <w:rsid w:val="00347A82"/>
    <w:rsid w:val="00347BFD"/>
    <w:rsid w:val="00350736"/>
    <w:rsid w:val="00350E6E"/>
    <w:rsid w:val="0035286A"/>
    <w:rsid w:val="00353058"/>
    <w:rsid w:val="00355838"/>
    <w:rsid w:val="0035730E"/>
    <w:rsid w:val="00357E45"/>
    <w:rsid w:val="00361167"/>
    <w:rsid w:val="00362E1A"/>
    <w:rsid w:val="00364F6F"/>
    <w:rsid w:val="003708B4"/>
    <w:rsid w:val="00371223"/>
    <w:rsid w:val="003715C5"/>
    <w:rsid w:val="003725DA"/>
    <w:rsid w:val="00376DD5"/>
    <w:rsid w:val="0038324E"/>
    <w:rsid w:val="00384DF7"/>
    <w:rsid w:val="00385D79"/>
    <w:rsid w:val="0039099D"/>
    <w:rsid w:val="0039553C"/>
    <w:rsid w:val="00397D47"/>
    <w:rsid w:val="003A09C4"/>
    <w:rsid w:val="003A0A97"/>
    <w:rsid w:val="003A1EF6"/>
    <w:rsid w:val="003A35DE"/>
    <w:rsid w:val="003A390E"/>
    <w:rsid w:val="003B0A41"/>
    <w:rsid w:val="003B68C2"/>
    <w:rsid w:val="003C251B"/>
    <w:rsid w:val="003C2FE7"/>
    <w:rsid w:val="003C3B50"/>
    <w:rsid w:val="003C58D6"/>
    <w:rsid w:val="003C6DCF"/>
    <w:rsid w:val="003D004B"/>
    <w:rsid w:val="003D0F8D"/>
    <w:rsid w:val="003D2B5C"/>
    <w:rsid w:val="003D6930"/>
    <w:rsid w:val="003D6E53"/>
    <w:rsid w:val="003D6FC9"/>
    <w:rsid w:val="003E1735"/>
    <w:rsid w:val="003E1E93"/>
    <w:rsid w:val="003E26E8"/>
    <w:rsid w:val="003E3481"/>
    <w:rsid w:val="003E7290"/>
    <w:rsid w:val="003F2844"/>
    <w:rsid w:val="003F2C2C"/>
    <w:rsid w:val="003F3876"/>
    <w:rsid w:val="003F3F73"/>
    <w:rsid w:val="003F4CE3"/>
    <w:rsid w:val="0040414E"/>
    <w:rsid w:val="00404695"/>
    <w:rsid w:val="00410B75"/>
    <w:rsid w:val="00410FC5"/>
    <w:rsid w:val="0041116F"/>
    <w:rsid w:val="00412439"/>
    <w:rsid w:val="0041570A"/>
    <w:rsid w:val="00423106"/>
    <w:rsid w:val="004265DC"/>
    <w:rsid w:val="00427643"/>
    <w:rsid w:val="004279CC"/>
    <w:rsid w:val="00431F32"/>
    <w:rsid w:val="00433E88"/>
    <w:rsid w:val="00434C01"/>
    <w:rsid w:val="004350AA"/>
    <w:rsid w:val="00436688"/>
    <w:rsid w:val="004449E5"/>
    <w:rsid w:val="00444C8D"/>
    <w:rsid w:val="00445EE6"/>
    <w:rsid w:val="00447068"/>
    <w:rsid w:val="00450D5A"/>
    <w:rsid w:val="00450EDD"/>
    <w:rsid w:val="004543AC"/>
    <w:rsid w:val="0045501C"/>
    <w:rsid w:val="00455CA5"/>
    <w:rsid w:val="00457E6D"/>
    <w:rsid w:val="004600E4"/>
    <w:rsid w:val="00461AAA"/>
    <w:rsid w:val="004655D8"/>
    <w:rsid w:val="00467D98"/>
    <w:rsid w:val="00470835"/>
    <w:rsid w:val="004737D2"/>
    <w:rsid w:val="0047487B"/>
    <w:rsid w:val="00481725"/>
    <w:rsid w:val="00485C58"/>
    <w:rsid w:val="004868D6"/>
    <w:rsid w:val="00491733"/>
    <w:rsid w:val="00491833"/>
    <w:rsid w:val="00491BC9"/>
    <w:rsid w:val="0049549E"/>
    <w:rsid w:val="004A44D1"/>
    <w:rsid w:val="004B0779"/>
    <w:rsid w:val="004B2A99"/>
    <w:rsid w:val="004B536F"/>
    <w:rsid w:val="004B6E3D"/>
    <w:rsid w:val="004B7217"/>
    <w:rsid w:val="004C0C3A"/>
    <w:rsid w:val="004C1682"/>
    <w:rsid w:val="004C38DC"/>
    <w:rsid w:val="004D0C91"/>
    <w:rsid w:val="004D1565"/>
    <w:rsid w:val="004D4CAF"/>
    <w:rsid w:val="004D5527"/>
    <w:rsid w:val="004D5E1D"/>
    <w:rsid w:val="004D6EAF"/>
    <w:rsid w:val="004D752A"/>
    <w:rsid w:val="004D77F7"/>
    <w:rsid w:val="004E1183"/>
    <w:rsid w:val="004E5F07"/>
    <w:rsid w:val="004E7349"/>
    <w:rsid w:val="004F5579"/>
    <w:rsid w:val="004F796B"/>
    <w:rsid w:val="0050371D"/>
    <w:rsid w:val="0050700C"/>
    <w:rsid w:val="00517584"/>
    <w:rsid w:val="0051783B"/>
    <w:rsid w:val="00523B3C"/>
    <w:rsid w:val="00523E2C"/>
    <w:rsid w:val="0053003C"/>
    <w:rsid w:val="00530632"/>
    <w:rsid w:val="00540AA7"/>
    <w:rsid w:val="00544420"/>
    <w:rsid w:val="00546E6C"/>
    <w:rsid w:val="00550676"/>
    <w:rsid w:val="0055610A"/>
    <w:rsid w:val="00557511"/>
    <w:rsid w:val="005601EB"/>
    <w:rsid w:val="00561320"/>
    <w:rsid w:val="00565CCB"/>
    <w:rsid w:val="00565D6F"/>
    <w:rsid w:val="00566309"/>
    <w:rsid w:val="005671E6"/>
    <w:rsid w:val="0056726E"/>
    <w:rsid w:val="0057189A"/>
    <w:rsid w:val="00572342"/>
    <w:rsid w:val="00573403"/>
    <w:rsid w:val="00573CC4"/>
    <w:rsid w:val="00577A7C"/>
    <w:rsid w:val="00582CB1"/>
    <w:rsid w:val="00582F4B"/>
    <w:rsid w:val="005845FE"/>
    <w:rsid w:val="00586F47"/>
    <w:rsid w:val="00591D20"/>
    <w:rsid w:val="00593E23"/>
    <w:rsid w:val="00597988"/>
    <w:rsid w:val="005A37C1"/>
    <w:rsid w:val="005A46A8"/>
    <w:rsid w:val="005A4C9D"/>
    <w:rsid w:val="005A543D"/>
    <w:rsid w:val="005A7FCA"/>
    <w:rsid w:val="005B12FE"/>
    <w:rsid w:val="005B18C7"/>
    <w:rsid w:val="005B1AA0"/>
    <w:rsid w:val="005B234B"/>
    <w:rsid w:val="005B3F8B"/>
    <w:rsid w:val="005B43BA"/>
    <w:rsid w:val="005B6A65"/>
    <w:rsid w:val="005B7D5D"/>
    <w:rsid w:val="005C041B"/>
    <w:rsid w:val="005C29DA"/>
    <w:rsid w:val="005C640F"/>
    <w:rsid w:val="005C6800"/>
    <w:rsid w:val="005D12EC"/>
    <w:rsid w:val="005D41CD"/>
    <w:rsid w:val="005D7931"/>
    <w:rsid w:val="005D7C59"/>
    <w:rsid w:val="005E3D21"/>
    <w:rsid w:val="005E7403"/>
    <w:rsid w:val="005F226B"/>
    <w:rsid w:val="005F36EC"/>
    <w:rsid w:val="005F4030"/>
    <w:rsid w:val="005F5251"/>
    <w:rsid w:val="00603894"/>
    <w:rsid w:val="006043C2"/>
    <w:rsid w:val="00604522"/>
    <w:rsid w:val="006061CB"/>
    <w:rsid w:val="006076AF"/>
    <w:rsid w:val="00607935"/>
    <w:rsid w:val="006101F6"/>
    <w:rsid w:val="00613735"/>
    <w:rsid w:val="00614148"/>
    <w:rsid w:val="00616B60"/>
    <w:rsid w:val="00620A27"/>
    <w:rsid w:val="00625197"/>
    <w:rsid w:val="00627486"/>
    <w:rsid w:val="00630A7B"/>
    <w:rsid w:val="00632168"/>
    <w:rsid w:val="00632303"/>
    <w:rsid w:val="006326D4"/>
    <w:rsid w:val="006337C8"/>
    <w:rsid w:val="0063396C"/>
    <w:rsid w:val="0063399B"/>
    <w:rsid w:val="00635120"/>
    <w:rsid w:val="006451D3"/>
    <w:rsid w:val="0064777C"/>
    <w:rsid w:val="00651F72"/>
    <w:rsid w:val="006565D7"/>
    <w:rsid w:val="00662EDC"/>
    <w:rsid w:val="00663C65"/>
    <w:rsid w:val="006649E6"/>
    <w:rsid w:val="006701AA"/>
    <w:rsid w:val="00673D55"/>
    <w:rsid w:val="006748FD"/>
    <w:rsid w:val="006774C9"/>
    <w:rsid w:val="0067752C"/>
    <w:rsid w:val="00677EFC"/>
    <w:rsid w:val="006803A8"/>
    <w:rsid w:val="00685136"/>
    <w:rsid w:val="00685481"/>
    <w:rsid w:val="00685A1A"/>
    <w:rsid w:val="00686E49"/>
    <w:rsid w:val="006873AF"/>
    <w:rsid w:val="006917A2"/>
    <w:rsid w:val="00695D18"/>
    <w:rsid w:val="00695F8F"/>
    <w:rsid w:val="00697E51"/>
    <w:rsid w:val="006A1635"/>
    <w:rsid w:val="006B13A5"/>
    <w:rsid w:val="006B521A"/>
    <w:rsid w:val="006C3255"/>
    <w:rsid w:val="006C3B00"/>
    <w:rsid w:val="006C7862"/>
    <w:rsid w:val="006D49CF"/>
    <w:rsid w:val="006D4A4C"/>
    <w:rsid w:val="006E1AA7"/>
    <w:rsid w:val="006E34FB"/>
    <w:rsid w:val="006E358C"/>
    <w:rsid w:val="006E6459"/>
    <w:rsid w:val="006F1468"/>
    <w:rsid w:val="006F19D7"/>
    <w:rsid w:val="006F3811"/>
    <w:rsid w:val="006F454B"/>
    <w:rsid w:val="006F46AA"/>
    <w:rsid w:val="006F515E"/>
    <w:rsid w:val="006F7D4A"/>
    <w:rsid w:val="00700A40"/>
    <w:rsid w:val="007032B0"/>
    <w:rsid w:val="00703F66"/>
    <w:rsid w:val="00705EA0"/>
    <w:rsid w:val="00712F91"/>
    <w:rsid w:val="00715D4A"/>
    <w:rsid w:val="007163D4"/>
    <w:rsid w:val="007174BE"/>
    <w:rsid w:val="00722546"/>
    <w:rsid w:val="007245B7"/>
    <w:rsid w:val="007263D0"/>
    <w:rsid w:val="0072735F"/>
    <w:rsid w:val="0073166C"/>
    <w:rsid w:val="00731961"/>
    <w:rsid w:val="0073372A"/>
    <w:rsid w:val="00734483"/>
    <w:rsid w:val="00737743"/>
    <w:rsid w:val="00742AC3"/>
    <w:rsid w:val="00750E23"/>
    <w:rsid w:val="007523EF"/>
    <w:rsid w:val="00752CD2"/>
    <w:rsid w:val="0075548F"/>
    <w:rsid w:val="007559AC"/>
    <w:rsid w:val="007603D5"/>
    <w:rsid w:val="007608DA"/>
    <w:rsid w:val="00760B25"/>
    <w:rsid w:val="00763C00"/>
    <w:rsid w:val="0077091B"/>
    <w:rsid w:val="0077306B"/>
    <w:rsid w:val="0077367F"/>
    <w:rsid w:val="00773862"/>
    <w:rsid w:val="0077508D"/>
    <w:rsid w:val="007761E6"/>
    <w:rsid w:val="0078288F"/>
    <w:rsid w:val="00784108"/>
    <w:rsid w:val="00784492"/>
    <w:rsid w:val="0079150C"/>
    <w:rsid w:val="0079203B"/>
    <w:rsid w:val="0079271F"/>
    <w:rsid w:val="00792E6A"/>
    <w:rsid w:val="00797093"/>
    <w:rsid w:val="007A022A"/>
    <w:rsid w:val="007A20A6"/>
    <w:rsid w:val="007A21ED"/>
    <w:rsid w:val="007A28E8"/>
    <w:rsid w:val="007A4121"/>
    <w:rsid w:val="007A4D11"/>
    <w:rsid w:val="007A77E7"/>
    <w:rsid w:val="007B34A4"/>
    <w:rsid w:val="007B36CE"/>
    <w:rsid w:val="007B6338"/>
    <w:rsid w:val="007B6EBF"/>
    <w:rsid w:val="007B7D8E"/>
    <w:rsid w:val="007C086F"/>
    <w:rsid w:val="007C0D94"/>
    <w:rsid w:val="007C5499"/>
    <w:rsid w:val="007C76B6"/>
    <w:rsid w:val="007E1C1E"/>
    <w:rsid w:val="007E448F"/>
    <w:rsid w:val="007E49F4"/>
    <w:rsid w:val="007E6869"/>
    <w:rsid w:val="007F484E"/>
    <w:rsid w:val="007F5012"/>
    <w:rsid w:val="007F5F2D"/>
    <w:rsid w:val="0080031D"/>
    <w:rsid w:val="008003A4"/>
    <w:rsid w:val="0080241D"/>
    <w:rsid w:val="008034ED"/>
    <w:rsid w:val="00803AB0"/>
    <w:rsid w:val="00803DEC"/>
    <w:rsid w:val="00805406"/>
    <w:rsid w:val="008057D6"/>
    <w:rsid w:val="00810D70"/>
    <w:rsid w:val="008123C5"/>
    <w:rsid w:val="0081458B"/>
    <w:rsid w:val="0081669B"/>
    <w:rsid w:val="00821347"/>
    <w:rsid w:val="008242A5"/>
    <w:rsid w:val="0083325A"/>
    <w:rsid w:val="00834612"/>
    <w:rsid w:val="00837378"/>
    <w:rsid w:val="0084020F"/>
    <w:rsid w:val="00840AEB"/>
    <w:rsid w:val="008412F0"/>
    <w:rsid w:val="00841A04"/>
    <w:rsid w:val="00843E64"/>
    <w:rsid w:val="00846BD9"/>
    <w:rsid w:val="00850F52"/>
    <w:rsid w:val="00854F3B"/>
    <w:rsid w:val="0086046D"/>
    <w:rsid w:val="00860D91"/>
    <w:rsid w:val="008610D3"/>
    <w:rsid w:val="008628B5"/>
    <w:rsid w:val="008631FF"/>
    <w:rsid w:val="008672C1"/>
    <w:rsid w:val="00872EC3"/>
    <w:rsid w:val="00875128"/>
    <w:rsid w:val="0087694B"/>
    <w:rsid w:val="00876978"/>
    <w:rsid w:val="00883402"/>
    <w:rsid w:val="0088484F"/>
    <w:rsid w:val="008850C8"/>
    <w:rsid w:val="00885639"/>
    <w:rsid w:val="008901F4"/>
    <w:rsid w:val="008908B1"/>
    <w:rsid w:val="00892B0E"/>
    <w:rsid w:val="00895323"/>
    <w:rsid w:val="00897349"/>
    <w:rsid w:val="008A0388"/>
    <w:rsid w:val="008A055C"/>
    <w:rsid w:val="008A17A2"/>
    <w:rsid w:val="008A17B8"/>
    <w:rsid w:val="008A247A"/>
    <w:rsid w:val="008A2651"/>
    <w:rsid w:val="008A4F07"/>
    <w:rsid w:val="008A64C7"/>
    <w:rsid w:val="008A7344"/>
    <w:rsid w:val="008B395B"/>
    <w:rsid w:val="008B44B2"/>
    <w:rsid w:val="008B5AAA"/>
    <w:rsid w:val="008C2BBE"/>
    <w:rsid w:val="008D01EE"/>
    <w:rsid w:val="008D14A0"/>
    <w:rsid w:val="008D37AA"/>
    <w:rsid w:val="008D4612"/>
    <w:rsid w:val="008D46EC"/>
    <w:rsid w:val="008D5A51"/>
    <w:rsid w:val="008E0C1A"/>
    <w:rsid w:val="008E2AC5"/>
    <w:rsid w:val="008F3CBF"/>
    <w:rsid w:val="008F5799"/>
    <w:rsid w:val="009013AE"/>
    <w:rsid w:val="0090409A"/>
    <w:rsid w:val="009049DF"/>
    <w:rsid w:val="00906C76"/>
    <w:rsid w:val="00906E02"/>
    <w:rsid w:val="009118EE"/>
    <w:rsid w:val="00913685"/>
    <w:rsid w:val="009137A0"/>
    <w:rsid w:val="00914835"/>
    <w:rsid w:val="00917166"/>
    <w:rsid w:val="00917E49"/>
    <w:rsid w:val="00920D27"/>
    <w:rsid w:val="009210F5"/>
    <w:rsid w:val="00923868"/>
    <w:rsid w:val="00924A2E"/>
    <w:rsid w:val="00931126"/>
    <w:rsid w:val="00934303"/>
    <w:rsid w:val="009377BD"/>
    <w:rsid w:val="009401C0"/>
    <w:rsid w:val="00941A79"/>
    <w:rsid w:val="00941EB1"/>
    <w:rsid w:val="00943E00"/>
    <w:rsid w:val="00953B37"/>
    <w:rsid w:val="00954102"/>
    <w:rsid w:val="00955EB4"/>
    <w:rsid w:val="00963445"/>
    <w:rsid w:val="009636C7"/>
    <w:rsid w:val="009705AF"/>
    <w:rsid w:val="00971031"/>
    <w:rsid w:val="00973EB5"/>
    <w:rsid w:val="00977DD3"/>
    <w:rsid w:val="009800E4"/>
    <w:rsid w:val="009811ED"/>
    <w:rsid w:val="0098453A"/>
    <w:rsid w:val="00993BDA"/>
    <w:rsid w:val="0099494A"/>
    <w:rsid w:val="009A0644"/>
    <w:rsid w:val="009A0EFE"/>
    <w:rsid w:val="009A6597"/>
    <w:rsid w:val="009A6BF2"/>
    <w:rsid w:val="009B317C"/>
    <w:rsid w:val="009B3622"/>
    <w:rsid w:val="009B3959"/>
    <w:rsid w:val="009B3B2E"/>
    <w:rsid w:val="009C13AB"/>
    <w:rsid w:val="009C18C5"/>
    <w:rsid w:val="009C328B"/>
    <w:rsid w:val="009C3C42"/>
    <w:rsid w:val="009C4C7E"/>
    <w:rsid w:val="009D42CD"/>
    <w:rsid w:val="009E2490"/>
    <w:rsid w:val="009E3F3A"/>
    <w:rsid w:val="009F3CA9"/>
    <w:rsid w:val="009F5DAD"/>
    <w:rsid w:val="00A00B93"/>
    <w:rsid w:val="00A038E4"/>
    <w:rsid w:val="00A0586D"/>
    <w:rsid w:val="00A05F9E"/>
    <w:rsid w:val="00A11E3C"/>
    <w:rsid w:val="00A121B1"/>
    <w:rsid w:val="00A12268"/>
    <w:rsid w:val="00A128B6"/>
    <w:rsid w:val="00A14398"/>
    <w:rsid w:val="00A1774A"/>
    <w:rsid w:val="00A22411"/>
    <w:rsid w:val="00A27EA8"/>
    <w:rsid w:val="00A406AF"/>
    <w:rsid w:val="00A45520"/>
    <w:rsid w:val="00A46841"/>
    <w:rsid w:val="00A50A56"/>
    <w:rsid w:val="00A52FCF"/>
    <w:rsid w:val="00A55144"/>
    <w:rsid w:val="00A56622"/>
    <w:rsid w:val="00A60497"/>
    <w:rsid w:val="00A60CA9"/>
    <w:rsid w:val="00A61546"/>
    <w:rsid w:val="00A63AB9"/>
    <w:rsid w:val="00A63DE8"/>
    <w:rsid w:val="00A71D80"/>
    <w:rsid w:val="00A75EDC"/>
    <w:rsid w:val="00A8311C"/>
    <w:rsid w:val="00A85833"/>
    <w:rsid w:val="00A85F87"/>
    <w:rsid w:val="00A87417"/>
    <w:rsid w:val="00A877D8"/>
    <w:rsid w:val="00A9079B"/>
    <w:rsid w:val="00A90FA4"/>
    <w:rsid w:val="00A917EF"/>
    <w:rsid w:val="00A92891"/>
    <w:rsid w:val="00A92FE3"/>
    <w:rsid w:val="00A9306A"/>
    <w:rsid w:val="00A94A9C"/>
    <w:rsid w:val="00A957E2"/>
    <w:rsid w:val="00A95C74"/>
    <w:rsid w:val="00AA5F56"/>
    <w:rsid w:val="00AA68A1"/>
    <w:rsid w:val="00AB01CE"/>
    <w:rsid w:val="00AB43BC"/>
    <w:rsid w:val="00AC0C62"/>
    <w:rsid w:val="00AC10E7"/>
    <w:rsid w:val="00AC1763"/>
    <w:rsid w:val="00AC21DF"/>
    <w:rsid w:val="00AC2E04"/>
    <w:rsid w:val="00AD0F61"/>
    <w:rsid w:val="00AD1042"/>
    <w:rsid w:val="00AD3D5F"/>
    <w:rsid w:val="00AE1EA6"/>
    <w:rsid w:val="00AE2953"/>
    <w:rsid w:val="00AE534A"/>
    <w:rsid w:val="00AE5F92"/>
    <w:rsid w:val="00AE6606"/>
    <w:rsid w:val="00AE721C"/>
    <w:rsid w:val="00AF62D1"/>
    <w:rsid w:val="00B00E17"/>
    <w:rsid w:val="00B01CEC"/>
    <w:rsid w:val="00B021AE"/>
    <w:rsid w:val="00B031CD"/>
    <w:rsid w:val="00B052BA"/>
    <w:rsid w:val="00B122F8"/>
    <w:rsid w:val="00B1239E"/>
    <w:rsid w:val="00B14EF6"/>
    <w:rsid w:val="00B15CD2"/>
    <w:rsid w:val="00B17A1A"/>
    <w:rsid w:val="00B20755"/>
    <w:rsid w:val="00B2351B"/>
    <w:rsid w:val="00B250B9"/>
    <w:rsid w:val="00B256D7"/>
    <w:rsid w:val="00B25964"/>
    <w:rsid w:val="00B265D7"/>
    <w:rsid w:val="00B26703"/>
    <w:rsid w:val="00B267B5"/>
    <w:rsid w:val="00B27449"/>
    <w:rsid w:val="00B3046D"/>
    <w:rsid w:val="00B306DC"/>
    <w:rsid w:val="00B33489"/>
    <w:rsid w:val="00B361EF"/>
    <w:rsid w:val="00B41949"/>
    <w:rsid w:val="00B4549A"/>
    <w:rsid w:val="00B4613A"/>
    <w:rsid w:val="00B471E4"/>
    <w:rsid w:val="00B47955"/>
    <w:rsid w:val="00B51C83"/>
    <w:rsid w:val="00B53CCA"/>
    <w:rsid w:val="00B556E4"/>
    <w:rsid w:val="00B604FD"/>
    <w:rsid w:val="00B63502"/>
    <w:rsid w:val="00B6415C"/>
    <w:rsid w:val="00B662FF"/>
    <w:rsid w:val="00B7396B"/>
    <w:rsid w:val="00B73F86"/>
    <w:rsid w:val="00B776E7"/>
    <w:rsid w:val="00B861D2"/>
    <w:rsid w:val="00B87BD9"/>
    <w:rsid w:val="00B948AE"/>
    <w:rsid w:val="00B94E5C"/>
    <w:rsid w:val="00B973BA"/>
    <w:rsid w:val="00BA4F1C"/>
    <w:rsid w:val="00BB199E"/>
    <w:rsid w:val="00BB3846"/>
    <w:rsid w:val="00BB5017"/>
    <w:rsid w:val="00BB565A"/>
    <w:rsid w:val="00BB7E0F"/>
    <w:rsid w:val="00BB7E2A"/>
    <w:rsid w:val="00BC0653"/>
    <w:rsid w:val="00BC4FE4"/>
    <w:rsid w:val="00BC6254"/>
    <w:rsid w:val="00BD23F7"/>
    <w:rsid w:val="00BD263C"/>
    <w:rsid w:val="00BD39A6"/>
    <w:rsid w:val="00BE000B"/>
    <w:rsid w:val="00BF0B5F"/>
    <w:rsid w:val="00BF2E34"/>
    <w:rsid w:val="00BF3EBC"/>
    <w:rsid w:val="00BF6AE6"/>
    <w:rsid w:val="00C0327B"/>
    <w:rsid w:val="00C105D7"/>
    <w:rsid w:val="00C10A53"/>
    <w:rsid w:val="00C110F6"/>
    <w:rsid w:val="00C11C04"/>
    <w:rsid w:val="00C207C1"/>
    <w:rsid w:val="00C24EDB"/>
    <w:rsid w:val="00C27A60"/>
    <w:rsid w:val="00C301B0"/>
    <w:rsid w:val="00C36523"/>
    <w:rsid w:val="00C4729A"/>
    <w:rsid w:val="00C52D9F"/>
    <w:rsid w:val="00C5324C"/>
    <w:rsid w:val="00C5568F"/>
    <w:rsid w:val="00C57EB3"/>
    <w:rsid w:val="00C6156E"/>
    <w:rsid w:val="00C674B5"/>
    <w:rsid w:val="00C676D4"/>
    <w:rsid w:val="00C70B83"/>
    <w:rsid w:val="00C71E5F"/>
    <w:rsid w:val="00C722C2"/>
    <w:rsid w:val="00C74183"/>
    <w:rsid w:val="00C8172A"/>
    <w:rsid w:val="00C82508"/>
    <w:rsid w:val="00C83BF5"/>
    <w:rsid w:val="00C87874"/>
    <w:rsid w:val="00C90337"/>
    <w:rsid w:val="00C91C73"/>
    <w:rsid w:val="00C931D8"/>
    <w:rsid w:val="00C9353B"/>
    <w:rsid w:val="00C9509F"/>
    <w:rsid w:val="00C95512"/>
    <w:rsid w:val="00CA13C8"/>
    <w:rsid w:val="00CA39BC"/>
    <w:rsid w:val="00CB0217"/>
    <w:rsid w:val="00CB4449"/>
    <w:rsid w:val="00CC5449"/>
    <w:rsid w:val="00CC6168"/>
    <w:rsid w:val="00CD0CFE"/>
    <w:rsid w:val="00CD1D7B"/>
    <w:rsid w:val="00CD3AC9"/>
    <w:rsid w:val="00CE117F"/>
    <w:rsid w:val="00CE2463"/>
    <w:rsid w:val="00CE55E9"/>
    <w:rsid w:val="00CE5A25"/>
    <w:rsid w:val="00CF1DE9"/>
    <w:rsid w:val="00CF467D"/>
    <w:rsid w:val="00D00DD1"/>
    <w:rsid w:val="00D03A1C"/>
    <w:rsid w:val="00D044E2"/>
    <w:rsid w:val="00D050AF"/>
    <w:rsid w:val="00D05296"/>
    <w:rsid w:val="00D05888"/>
    <w:rsid w:val="00D06127"/>
    <w:rsid w:val="00D07C20"/>
    <w:rsid w:val="00D07E78"/>
    <w:rsid w:val="00D100BD"/>
    <w:rsid w:val="00D10E7B"/>
    <w:rsid w:val="00D1217A"/>
    <w:rsid w:val="00D14DFD"/>
    <w:rsid w:val="00D17076"/>
    <w:rsid w:val="00D17C2D"/>
    <w:rsid w:val="00D2044A"/>
    <w:rsid w:val="00D21C41"/>
    <w:rsid w:val="00D246B2"/>
    <w:rsid w:val="00D2688B"/>
    <w:rsid w:val="00D409E4"/>
    <w:rsid w:val="00D40AD5"/>
    <w:rsid w:val="00D41306"/>
    <w:rsid w:val="00D42A82"/>
    <w:rsid w:val="00D4306E"/>
    <w:rsid w:val="00D444F1"/>
    <w:rsid w:val="00D46080"/>
    <w:rsid w:val="00D47026"/>
    <w:rsid w:val="00D4728F"/>
    <w:rsid w:val="00D47489"/>
    <w:rsid w:val="00D515D9"/>
    <w:rsid w:val="00D51C18"/>
    <w:rsid w:val="00D64275"/>
    <w:rsid w:val="00D671AF"/>
    <w:rsid w:val="00D674DA"/>
    <w:rsid w:val="00D7079B"/>
    <w:rsid w:val="00D71357"/>
    <w:rsid w:val="00D727E2"/>
    <w:rsid w:val="00D73BD4"/>
    <w:rsid w:val="00D75E22"/>
    <w:rsid w:val="00D76F13"/>
    <w:rsid w:val="00D80A4E"/>
    <w:rsid w:val="00D81F8C"/>
    <w:rsid w:val="00D85354"/>
    <w:rsid w:val="00D86BAE"/>
    <w:rsid w:val="00D87AAA"/>
    <w:rsid w:val="00D87F5B"/>
    <w:rsid w:val="00D90A05"/>
    <w:rsid w:val="00D91C7C"/>
    <w:rsid w:val="00D979C5"/>
    <w:rsid w:val="00DA2316"/>
    <w:rsid w:val="00DA3632"/>
    <w:rsid w:val="00DA3B27"/>
    <w:rsid w:val="00DA5471"/>
    <w:rsid w:val="00DA56C9"/>
    <w:rsid w:val="00DA7DA9"/>
    <w:rsid w:val="00DB1428"/>
    <w:rsid w:val="00DB3205"/>
    <w:rsid w:val="00DB7EAC"/>
    <w:rsid w:val="00DB7F89"/>
    <w:rsid w:val="00DC18D4"/>
    <w:rsid w:val="00DC3AFE"/>
    <w:rsid w:val="00DC4CE0"/>
    <w:rsid w:val="00DD4A24"/>
    <w:rsid w:val="00DE0C91"/>
    <w:rsid w:val="00DE4328"/>
    <w:rsid w:val="00DE5C19"/>
    <w:rsid w:val="00DE7E82"/>
    <w:rsid w:val="00DF496D"/>
    <w:rsid w:val="00E00E89"/>
    <w:rsid w:val="00E033D0"/>
    <w:rsid w:val="00E13A6E"/>
    <w:rsid w:val="00E1752F"/>
    <w:rsid w:val="00E20831"/>
    <w:rsid w:val="00E22BB2"/>
    <w:rsid w:val="00E36214"/>
    <w:rsid w:val="00E436FB"/>
    <w:rsid w:val="00E4459F"/>
    <w:rsid w:val="00E455D3"/>
    <w:rsid w:val="00E46699"/>
    <w:rsid w:val="00E469F2"/>
    <w:rsid w:val="00E47169"/>
    <w:rsid w:val="00E56C73"/>
    <w:rsid w:val="00E57EE4"/>
    <w:rsid w:val="00E612B1"/>
    <w:rsid w:val="00E615CF"/>
    <w:rsid w:val="00E6760A"/>
    <w:rsid w:val="00E77A50"/>
    <w:rsid w:val="00E77DDD"/>
    <w:rsid w:val="00E87479"/>
    <w:rsid w:val="00E878E1"/>
    <w:rsid w:val="00E92F23"/>
    <w:rsid w:val="00E93DCB"/>
    <w:rsid w:val="00E97C9E"/>
    <w:rsid w:val="00EA0127"/>
    <w:rsid w:val="00EA0FBE"/>
    <w:rsid w:val="00EA2041"/>
    <w:rsid w:val="00EA441A"/>
    <w:rsid w:val="00EA5268"/>
    <w:rsid w:val="00EA5DFF"/>
    <w:rsid w:val="00EA63F6"/>
    <w:rsid w:val="00EA6ACF"/>
    <w:rsid w:val="00EA7851"/>
    <w:rsid w:val="00EA7EEC"/>
    <w:rsid w:val="00EB0C48"/>
    <w:rsid w:val="00EB1267"/>
    <w:rsid w:val="00EB44CE"/>
    <w:rsid w:val="00EB5B12"/>
    <w:rsid w:val="00EC140B"/>
    <w:rsid w:val="00ED0E04"/>
    <w:rsid w:val="00ED22C7"/>
    <w:rsid w:val="00ED22D3"/>
    <w:rsid w:val="00ED35F9"/>
    <w:rsid w:val="00ED4CD9"/>
    <w:rsid w:val="00ED6232"/>
    <w:rsid w:val="00EE27AD"/>
    <w:rsid w:val="00EE5F25"/>
    <w:rsid w:val="00EF1FC5"/>
    <w:rsid w:val="00EF5830"/>
    <w:rsid w:val="00EF5B8A"/>
    <w:rsid w:val="00F00F31"/>
    <w:rsid w:val="00F029A7"/>
    <w:rsid w:val="00F029D9"/>
    <w:rsid w:val="00F06D90"/>
    <w:rsid w:val="00F0747B"/>
    <w:rsid w:val="00F07698"/>
    <w:rsid w:val="00F07EBD"/>
    <w:rsid w:val="00F10085"/>
    <w:rsid w:val="00F14949"/>
    <w:rsid w:val="00F15367"/>
    <w:rsid w:val="00F1588E"/>
    <w:rsid w:val="00F16D13"/>
    <w:rsid w:val="00F23EA7"/>
    <w:rsid w:val="00F25B20"/>
    <w:rsid w:val="00F26DC9"/>
    <w:rsid w:val="00F27014"/>
    <w:rsid w:val="00F30B7F"/>
    <w:rsid w:val="00F31FEC"/>
    <w:rsid w:val="00F32C94"/>
    <w:rsid w:val="00F331E2"/>
    <w:rsid w:val="00F34A81"/>
    <w:rsid w:val="00F34D5A"/>
    <w:rsid w:val="00F35999"/>
    <w:rsid w:val="00F35C88"/>
    <w:rsid w:val="00F40EA5"/>
    <w:rsid w:val="00F41051"/>
    <w:rsid w:val="00F415C5"/>
    <w:rsid w:val="00F41763"/>
    <w:rsid w:val="00F41FA3"/>
    <w:rsid w:val="00F44A79"/>
    <w:rsid w:val="00F46FB3"/>
    <w:rsid w:val="00F47463"/>
    <w:rsid w:val="00F56CF1"/>
    <w:rsid w:val="00F56E1D"/>
    <w:rsid w:val="00F632E1"/>
    <w:rsid w:val="00F63F97"/>
    <w:rsid w:val="00F64C0E"/>
    <w:rsid w:val="00F66A45"/>
    <w:rsid w:val="00F66EFD"/>
    <w:rsid w:val="00F67021"/>
    <w:rsid w:val="00F73C23"/>
    <w:rsid w:val="00F80AD5"/>
    <w:rsid w:val="00F813ED"/>
    <w:rsid w:val="00F957B4"/>
    <w:rsid w:val="00F96AFB"/>
    <w:rsid w:val="00FA1B9F"/>
    <w:rsid w:val="00FA4973"/>
    <w:rsid w:val="00FA50EC"/>
    <w:rsid w:val="00FA51F9"/>
    <w:rsid w:val="00FA6932"/>
    <w:rsid w:val="00FB110C"/>
    <w:rsid w:val="00FB1FF7"/>
    <w:rsid w:val="00FB43BA"/>
    <w:rsid w:val="00FB5773"/>
    <w:rsid w:val="00FB5CAE"/>
    <w:rsid w:val="00FB6979"/>
    <w:rsid w:val="00FC3DD6"/>
    <w:rsid w:val="00FD19B9"/>
    <w:rsid w:val="00FD4B37"/>
    <w:rsid w:val="00FE550A"/>
    <w:rsid w:val="00FE6B7E"/>
    <w:rsid w:val="00FE6E73"/>
    <w:rsid w:val="00FF332A"/>
    <w:rsid w:val="00FF3C5B"/>
    <w:rsid w:val="00FF6CCE"/>
    <w:rsid w:val="00FF7406"/>
    <w:rsid w:val="00FF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3B9B1E9A"/>
  <w15:chartTrackingRefBased/>
  <w15:docId w15:val="{8DCCDDB7-FBF0-4A81-AA96-25C602A4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13A"/>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3A"/>
    <w:pPr>
      <w:ind w:left="720"/>
      <w:contextualSpacing/>
    </w:pPr>
  </w:style>
  <w:style w:type="paragraph" w:customStyle="1" w:styleId="Default">
    <w:name w:val="Default"/>
    <w:rsid w:val="00D4608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4A44D1"/>
    <w:rPr>
      <w:color w:val="0000FF"/>
      <w:u w:val="single"/>
    </w:rPr>
  </w:style>
  <w:style w:type="character" w:customStyle="1" w:styleId="term1">
    <w:name w:val="term1"/>
    <w:basedOn w:val="DefaultParagraphFont"/>
    <w:rsid w:val="004A44D1"/>
    <w:rPr>
      <w:b/>
      <w:bCs/>
    </w:rPr>
  </w:style>
  <w:style w:type="character" w:styleId="Emphasis">
    <w:name w:val="Emphasis"/>
    <w:basedOn w:val="DefaultParagraphFont"/>
    <w:qFormat/>
    <w:rsid w:val="004A44D1"/>
    <w:rPr>
      <w:i/>
      <w:iCs/>
    </w:rPr>
  </w:style>
  <w:style w:type="paragraph" w:styleId="Header">
    <w:name w:val="header"/>
    <w:basedOn w:val="Normal"/>
    <w:link w:val="HeaderChar"/>
    <w:uiPriority w:val="99"/>
    <w:unhideWhenUsed/>
    <w:rsid w:val="00181C10"/>
    <w:pPr>
      <w:tabs>
        <w:tab w:val="center" w:pos="4680"/>
        <w:tab w:val="right" w:pos="9360"/>
      </w:tabs>
      <w:spacing w:line="240" w:lineRule="auto"/>
    </w:pPr>
  </w:style>
  <w:style w:type="character" w:customStyle="1" w:styleId="HeaderChar">
    <w:name w:val="Header Char"/>
    <w:basedOn w:val="DefaultParagraphFont"/>
    <w:link w:val="Header"/>
    <w:uiPriority w:val="99"/>
    <w:rsid w:val="00181C10"/>
    <w:rPr>
      <w:rFonts w:ascii="Times New Roman" w:eastAsia="Calibri" w:hAnsi="Times New Roman" w:cs="Times New Roman"/>
      <w:sz w:val="24"/>
      <w:szCs w:val="24"/>
    </w:rPr>
  </w:style>
  <w:style w:type="paragraph" w:styleId="Footer">
    <w:name w:val="footer"/>
    <w:basedOn w:val="Normal"/>
    <w:link w:val="FooterChar"/>
    <w:uiPriority w:val="99"/>
    <w:unhideWhenUsed/>
    <w:rsid w:val="00181C10"/>
    <w:pPr>
      <w:tabs>
        <w:tab w:val="center" w:pos="4680"/>
        <w:tab w:val="right" w:pos="9360"/>
      </w:tabs>
      <w:spacing w:line="240" w:lineRule="auto"/>
    </w:pPr>
  </w:style>
  <w:style w:type="character" w:customStyle="1" w:styleId="FooterChar">
    <w:name w:val="Footer Char"/>
    <w:basedOn w:val="DefaultParagraphFont"/>
    <w:link w:val="Footer"/>
    <w:uiPriority w:val="99"/>
    <w:rsid w:val="00181C10"/>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D51C18"/>
    <w:pPr>
      <w:spacing w:line="240" w:lineRule="auto"/>
    </w:pPr>
    <w:rPr>
      <w:sz w:val="20"/>
      <w:szCs w:val="20"/>
    </w:rPr>
  </w:style>
  <w:style w:type="character" w:customStyle="1" w:styleId="FootnoteTextChar">
    <w:name w:val="Footnote Text Char"/>
    <w:basedOn w:val="DefaultParagraphFont"/>
    <w:link w:val="FootnoteText"/>
    <w:uiPriority w:val="99"/>
    <w:semiHidden/>
    <w:rsid w:val="00D51C18"/>
    <w:rPr>
      <w:rFonts w:ascii="Times New Roman" w:eastAsia="Calibri" w:hAnsi="Times New Roman" w:cs="Times New Roman"/>
      <w:sz w:val="20"/>
      <w:szCs w:val="20"/>
    </w:rPr>
  </w:style>
  <w:style w:type="character" w:styleId="FootnoteReference">
    <w:name w:val="footnote reference"/>
    <w:aliases w:val="o,fr"/>
    <w:uiPriority w:val="99"/>
    <w:rsid w:val="00D51C18"/>
    <w:rPr>
      <w:vertAlign w:val="superscript"/>
    </w:rPr>
  </w:style>
  <w:style w:type="paragraph" w:customStyle="1" w:styleId="ParaTab1">
    <w:name w:val="ParaTab 1"/>
    <w:rsid w:val="002025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8373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37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837378"/>
    <w:rPr>
      <w:sz w:val="16"/>
      <w:szCs w:val="16"/>
    </w:rPr>
  </w:style>
  <w:style w:type="paragraph" w:styleId="CommentText">
    <w:name w:val="annotation text"/>
    <w:basedOn w:val="Normal"/>
    <w:link w:val="CommentTextChar"/>
    <w:uiPriority w:val="99"/>
    <w:semiHidden/>
    <w:unhideWhenUsed/>
    <w:rsid w:val="00837378"/>
    <w:pPr>
      <w:spacing w:line="240" w:lineRule="auto"/>
    </w:pPr>
    <w:rPr>
      <w:sz w:val="20"/>
      <w:szCs w:val="20"/>
    </w:rPr>
  </w:style>
  <w:style w:type="character" w:customStyle="1" w:styleId="CommentTextChar">
    <w:name w:val="Comment Text Char"/>
    <w:basedOn w:val="DefaultParagraphFont"/>
    <w:link w:val="CommentText"/>
    <w:uiPriority w:val="99"/>
    <w:semiHidden/>
    <w:rsid w:val="008373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7378"/>
    <w:rPr>
      <w:b/>
      <w:bCs/>
    </w:rPr>
  </w:style>
  <w:style w:type="character" w:customStyle="1" w:styleId="CommentSubjectChar">
    <w:name w:val="Comment Subject Char"/>
    <w:basedOn w:val="CommentTextChar"/>
    <w:link w:val="CommentSubject"/>
    <w:uiPriority w:val="99"/>
    <w:semiHidden/>
    <w:rsid w:val="00837378"/>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39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pubNum=0000930&amp;cite=54PAPUC98&amp;originatingDoc=I11f69ddd703211e7b92bf4314c15140f&amp;refType=RP&amp;originationContext=document&amp;transitionType=DocumentItem&amp;contextData=(sc.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kjandmilanospizzer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5C8D9-881D-4292-805F-04622F41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9267</Words>
  <Characters>52823</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Farner, Joyce</cp:lastModifiedBy>
  <cp:revision>3</cp:revision>
  <cp:lastPrinted>2018-04-25T13:46:00Z</cp:lastPrinted>
  <dcterms:created xsi:type="dcterms:W3CDTF">2018-05-04T14:16:00Z</dcterms:created>
  <dcterms:modified xsi:type="dcterms:W3CDTF">2018-05-17T18:02:00Z</dcterms:modified>
</cp:coreProperties>
</file>