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F7F0B" w14:textId="77777777" w:rsidR="00F514FB" w:rsidRPr="005B05E3" w:rsidRDefault="00F514FB" w:rsidP="00CE5857">
      <w:pPr>
        <w:widowControl/>
        <w:tabs>
          <w:tab w:val="center" w:pos="4680"/>
        </w:tabs>
        <w:suppressAutoHyphens/>
        <w:jc w:val="center"/>
        <w:rPr>
          <w:b/>
          <w:sz w:val="26"/>
          <w:szCs w:val="26"/>
        </w:rPr>
      </w:pPr>
      <w:r w:rsidRPr="005B05E3">
        <w:rPr>
          <w:b/>
          <w:sz w:val="26"/>
          <w:szCs w:val="26"/>
        </w:rPr>
        <w:t>PENNSYLVANIA</w:t>
      </w:r>
    </w:p>
    <w:p w14:paraId="70A99917" w14:textId="77777777" w:rsidR="00F514FB" w:rsidRPr="005B05E3" w:rsidRDefault="00F514FB" w:rsidP="00CE5857">
      <w:pPr>
        <w:widowControl/>
        <w:tabs>
          <w:tab w:val="center" w:pos="4680"/>
        </w:tabs>
        <w:suppressAutoHyphens/>
        <w:jc w:val="center"/>
        <w:rPr>
          <w:sz w:val="26"/>
          <w:szCs w:val="26"/>
        </w:rPr>
      </w:pPr>
      <w:r w:rsidRPr="005B05E3">
        <w:rPr>
          <w:b/>
          <w:sz w:val="26"/>
          <w:szCs w:val="26"/>
        </w:rPr>
        <w:t>PUBLIC UTILITY COMMISSION</w:t>
      </w:r>
    </w:p>
    <w:p w14:paraId="35630E3A" w14:textId="77777777" w:rsidR="00F514FB" w:rsidRPr="005B05E3" w:rsidRDefault="00F514FB" w:rsidP="00CE5857">
      <w:pPr>
        <w:widowControl/>
        <w:tabs>
          <w:tab w:val="center" w:pos="4680"/>
        </w:tabs>
        <w:suppressAutoHyphens/>
        <w:jc w:val="center"/>
        <w:rPr>
          <w:sz w:val="26"/>
          <w:szCs w:val="26"/>
        </w:rPr>
      </w:pPr>
      <w:r w:rsidRPr="005B05E3">
        <w:rPr>
          <w:b/>
          <w:sz w:val="26"/>
          <w:szCs w:val="26"/>
        </w:rPr>
        <w:t>Harrisburg, PA 17105-3265</w:t>
      </w:r>
    </w:p>
    <w:p w14:paraId="34259F1D" w14:textId="77777777" w:rsidR="00F514FB" w:rsidRPr="005B05E3" w:rsidRDefault="00F514FB" w:rsidP="00CE5857">
      <w:pPr>
        <w:widowControl/>
        <w:tabs>
          <w:tab w:val="left" w:pos="-720"/>
        </w:tabs>
        <w:suppressAutoHyphens/>
        <w:rPr>
          <w:sz w:val="26"/>
          <w:szCs w:val="26"/>
        </w:rPr>
      </w:pPr>
    </w:p>
    <w:p w14:paraId="2255DF6C" w14:textId="77777777" w:rsidR="00F514FB" w:rsidRPr="005B05E3" w:rsidRDefault="00F514FB" w:rsidP="00CE5857">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1308"/>
        <w:gridCol w:w="3087"/>
      </w:tblGrid>
      <w:tr w:rsidR="005B05E3" w:rsidRPr="005B05E3" w14:paraId="115AEB2B" w14:textId="77777777" w:rsidTr="0074058F">
        <w:tc>
          <w:tcPr>
            <w:tcW w:w="4965" w:type="dxa"/>
          </w:tcPr>
          <w:p w14:paraId="5368FB70" w14:textId="77777777" w:rsidR="00F514FB" w:rsidRPr="005B05E3" w:rsidRDefault="00F514FB" w:rsidP="00CE5857">
            <w:pPr>
              <w:widowControl/>
              <w:rPr>
                <w:sz w:val="26"/>
                <w:szCs w:val="26"/>
              </w:rPr>
            </w:pPr>
          </w:p>
        </w:tc>
        <w:tc>
          <w:tcPr>
            <w:tcW w:w="4395" w:type="dxa"/>
            <w:gridSpan w:val="2"/>
          </w:tcPr>
          <w:p w14:paraId="7D82E348" w14:textId="77777777" w:rsidR="00F514FB" w:rsidRPr="005B05E3" w:rsidRDefault="00DD5D3F" w:rsidP="006446F6">
            <w:pPr>
              <w:widowControl/>
              <w:ind w:left="-121"/>
              <w:jc w:val="right"/>
              <w:rPr>
                <w:sz w:val="26"/>
                <w:szCs w:val="26"/>
              </w:rPr>
            </w:pPr>
            <w:r w:rsidRPr="005B05E3">
              <w:rPr>
                <w:sz w:val="26"/>
                <w:szCs w:val="26"/>
              </w:rPr>
              <w:t>Public Meeting held</w:t>
            </w:r>
            <w:r w:rsidR="006444E8" w:rsidRPr="005B05E3">
              <w:rPr>
                <w:sz w:val="26"/>
                <w:szCs w:val="26"/>
              </w:rPr>
              <w:t xml:space="preserve"> </w:t>
            </w:r>
            <w:r w:rsidR="006446F6">
              <w:rPr>
                <w:sz w:val="26"/>
                <w:szCs w:val="26"/>
              </w:rPr>
              <w:t>April 19, 2018</w:t>
            </w:r>
          </w:p>
          <w:p w14:paraId="21563B11" w14:textId="77777777" w:rsidR="00F514FB" w:rsidRPr="005B05E3" w:rsidRDefault="00F514FB" w:rsidP="006446F6">
            <w:pPr>
              <w:widowControl/>
              <w:jc w:val="right"/>
              <w:rPr>
                <w:sz w:val="26"/>
                <w:szCs w:val="26"/>
              </w:rPr>
            </w:pPr>
          </w:p>
          <w:p w14:paraId="0424C309" w14:textId="77777777" w:rsidR="00F514FB" w:rsidRPr="005B05E3" w:rsidRDefault="00F514FB" w:rsidP="006446F6">
            <w:pPr>
              <w:widowControl/>
              <w:jc w:val="right"/>
              <w:rPr>
                <w:sz w:val="26"/>
                <w:szCs w:val="26"/>
              </w:rPr>
            </w:pPr>
          </w:p>
        </w:tc>
      </w:tr>
      <w:tr w:rsidR="0074058F" w:rsidRPr="005B05E3" w14:paraId="70C62D5D" w14:textId="77777777" w:rsidTr="006660C8">
        <w:tc>
          <w:tcPr>
            <w:tcW w:w="9360" w:type="dxa"/>
            <w:gridSpan w:val="3"/>
          </w:tcPr>
          <w:p w14:paraId="67FC7B41" w14:textId="77777777" w:rsidR="0074058F" w:rsidRPr="005B05E3" w:rsidRDefault="0074058F" w:rsidP="00CE5857">
            <w:pPr>
              <w:widowControl/>
              <w:rPr>
                <w:sz w:val="26"/>
                <w:szCs w:val="26"/>
              </w:rPr>
            </w:pPr>
            <w:r w:rsidRPr="005B05E3">
              <w:rPr>
                <w:sz w:val="26"/>
                <w:szCs w:val="26"/>
              </w:rPr>
              <w:t>Commissioners Present:</w:t>
            </w:r>
          </w:p>
          <w:p w14:paraId="5C115403" w14:textId="77777777" w:rsidR="0074058F" w:rsidRPr="005B05E3" w:rsidRDefault="0074058F" w:rsidP="00CE5857">
            <w:pPr>
              <w:widowControl/>
              <w:rPr>
                <w:sz w:val="26"/>
                <w:szCs w:val="26"/>
              </w:rPr>
            </w:pPr>
          </w:p>
          <w:p w14:paraId="1FD0EA68" w14:textId="77777777" w:rsidR="0074058F" w:rsidRPr="001B17C4" w:rsidRDefault="0074058F" w:rsidP="0082212A">
            <w:pPr>
              <w:widowControl/>
              <w:ind w:left="720"/>
              <w:rPr>
                <w:sz w:val="26"/>
                <w:szCs w:val="26"/>
              </w:rPr>
            </w:pPr>
            <w:r w:rsidRPr="001B17C4">
              <w:rPr>
                <w:sz w:val="26"/>
                <w:szCs w:val="26"/>
              </w:rPr>
              <w:t>Gladys M. Brown, Chairman</w:t>
            </w:r>
          </w:p>
          <w:p w14:paraId="2CBD602A" w14:textId="77777777" w:rsidR="0074058F" w:rsidRPr="001B17C4" w:rsidRDefault="0074058F" w:rsidP="0082212A">
            <w:pPr>
              <w:widowControl/>
              <w:ind w:left="720"/>
              <w:rPr>
                <w:sz w:val="26"/>
                <w:szCs w:val="26"/>
              </w:rPr>
            </w:pPr>
            <w:r>
              <w:rPr>
                <w:sz w:val="26"/>
                <w:szCs w:val="26"/>
              </w:rPr>
              <w:t>Andrew G. Place</w:t>
            </w:r>
            <w:r w:rsidRPr="001B17C4">
              <w:rPr>
                <w:sz w:val="26"/>
                <w:szCs w:val="26"/>
              </w:rPr>
              <w:t>, Vice Chairman</w:t>
            </w:r>
          </w:p>
          <w:p w14:paraId="781EF090" w14:textId="597152E7" w:rsidR="006446F6" w:rsidRDefault="006446F6" w:rsidP="0082212A">
            <w:pPr>
              <w:widowControl/>
              <w:ind w:left="720"/>
              <w:rPr>
                <w:sz w:val="26"/>
                <w:szCs w:val="26"/>
              </w:rPr>
            </w:pPr>
            <w:r>
              <w:rPr>
                <w:sz w:val="26"/>
                <w:szCs w:val="26"/>
              </w:rPr>
              <w:t>Norman J. Kennard</w:t>
            </w:r>
            <w:r w:rsidR="00F50AA5">
              <w:rPr>
                <w:sz w:val="26"/>
                <w:szCs w:val="26"/>
              </w:rPr>
              <w:t>, Statements</w:t>
            </w:r>
            <w:r w:rsidR="005617DC">
              <w:rPr>
                <w:sz w:val="26"/>
                <w:szCs w:val="26"/>
              </w:rPr>
              <w:t>, Dissenting</w:t>
            </w:r>
          </w:p>
          <w:p w14:paraId="55FFC530" w14:textId="77777777" w:rsidR="0074058F" w:rsidRDefault="0074058F" w:rsidP="0082212A">
            <w:pPr>
              <w:widowControl/>
              <w:ind w:left="720"/>
              <w:rPr>
                <w:sz w:val="26"/>
                <w:szCs w:val="26"/>
              </w:rPr>
            </w:pPr>
            <w:r>
              <w:rPr>
                <w:sz w:val="26"/>
                <w:szCs w:val="26"/>
              </w:rPr>
              <w:t>David W. Sweet</w:t>
            </w:r>
          </w:p>
          <w:p w14:paraId="503CAC76" w14:textId="7A16A886" w:rsidR="0074058F" w:rsidRPr="005B05E3" w:rsidRDefault="0074058F" w:rsidP="0082212A">
            <w:pPr>
              <w:widowControl/>
              <w:tabs>
                <w:tab w:val="left" w:pos="705"/>
              </w:tabs>
              <w:ind w:firstLine="720"/>
              <w:rPr>
                <w:sz w:val="26"/>
                <w:szCs w:val="26"/>
              </w:rPr>
            </w:pPr>
            <w:r w:rsidRPr="001B17C4">
              <w:rPr>
                <w:sz w:val="26"/>
                <w:szCs w:val="26"/>
              </w:rPr>
              <w:t>John F. Coleman, Jr.</w:t>
            </w:r>
            <w:r w:rsidR="00F50AA5">
              <w:rPr>
                <w:sz w:val="26"/>
                <w:szCs w:val="26"/>
              </w:rPr>
              <w:t>, Statement</w:t>
            </w:r>
          </w:p>
          <w:p w14:paraId="42B10588" w14:textId="77777777" w:rsidR="0074058F" w:rsidRDefault="0074058F" w:rsidP="00CE5857">
            <w:pPr>
              <w:widowControl/>
              <w:rPr>
                <w:sz w:val="26"/>
                <w:szCs w:val="26"/>
              </w:rPr>
            </w:pPr>
          </w:p>
          <w:p w14:paraId="1C2E0401" w14:textId="77777777" w:rsidR="0074058F" w:rsidRPr="005B05E3" w:rsidRDefault="0074058F" w:rsidP="00CE5857">
            <w:pPr>
              <w:widowControl/>
              <w:jc w:val="right"/>
              <w:rPr>
                <w:sz w:val="26"/>
                <w:szCs w:val="26"/>
              </w:rPr>
            </w:pPr>
          </w:p>
          <w:p w14:paraId="2C5C6CC9" w14:textId="77777777" w:rsidR="0074058F" w:rsidRPr="005B05E3" w:rsidRDefault="0074058F" w:rsidP="00CE5857">
            <w:pPr>
              <w:widowControl/>
              <w:jc w:val="right"/>
              <w:rPr>
                <w:sz w:val="26"/>
                <w:szCs w:val="26"/>
              </w:rPr>
            </w:pPr>
          </w:p>
        </w:tc>
      </w:tr>
      <w:tr w:rsidR="006446F6" w:rsidRPr="005B05E3" w14:paraId="7AE28F6F" w14:textId="77777777" w:rsidTr="0074058F">
        <w:tc>
          <w:tcPr>
            <w:tcW w:w="6273" w:type="dxa"/>
            <w:gridSpan w:val="2"/>
          </w:tcPr>
          <w:p w14:paraId="7DC73A86" w14:textId="77777777" w:rsidR="006446F6" w:rsidRPr="004C4B31" w:rsidRDefault="006446F6" w:rsidP="006446F6">
            <w:pPr>
              <w:adjustRightInd w:val="0"/>
              <w:rPr>
                <w:sz w:val="26"/>
                <w:szCs w:val="26"/>
              </w:rPr>
            </w:pPr>
            <w:r w:rsidRPr="004C4B31">
              <w:rPr>
                <w:sz w:val="26"/>
                <w:szCs w:val="26"/>
              </w:rPr>
              <w:t xml:space="preserve">Application of Aqua Pennsylvania Wastewater, Inc. </w:t>
            </w:r>
          </w:p>
        </w:tc>
        <w:tc>
          <w:tcPr>
            <w:tcW w:w="3087" w:type="dxa"/>
          </w:tcPr>
          <w:p w14:paraId="5F1D1CB1" w14:textId="77777777" w:rsidR="006446F6" w:rsidRPr="005B05E3" w:rsidRDefault="006446F6" w:rsidP="006446F6">
            <w:pPr>
              <w:widowControl/>
              <w:jc w:val="right"/>
              <w:rPr>
                <w:sz w:val="26"/>
                <w:szCs w:val="26"/>
              </w:rPr>
            </w:pPr>
            <w:r>
              <w:rPr>
                <w:sz w:val="26"/>
                <w:szCs w:val="26"/>
              </w:rPr>
              <w:t>A-2017-2605434</w:t>
            </w:r>
          </w:p>
        </w:tc>
      </w:tr>
      <w:tr w:rsidR="006446F6" w:rsidRPr="005B05E3" w14:paraId="7CE5A0F7" w14:textId="77777777" w:rsidTr="0074058F">
        <w:tc>
          <w:tcPr>
            <w:tcW w:w="6273" w:type="dxa"/>
            <w:gridSpan w:val="2"/>
          </w:tcPr>
          <w:p w14:paraId="60A58D0F" w14:textId="77777777" w:rsidR="006446F6" w:rsidRPr="004C4B31" w:rsidRDefault="006446F6" w:rsidP="006446F6">
            <w:pPr>
              <w:adjustRightInd w:val="0"/>
              <w:rPr>
                <w:sz w:val="26"/>
                <w:szCs w:val="26"/>
              </w:rPr>
            </w:pPr>
            <w:r w:rsidRPr="004C4B31">
              <w:rPr>
                <w:sz w:val="26"/>
                <w:szCs w:val="26"/>
              </w:rPr>
              <w:t xml:space="preserve">Pursuant to Sections 1102 and 1329 of the </w:t>
            </w:r>
          </w:p>
        </w:tc>
        <w:tc>
          <w:tcPr>
            <w:tcW w:w="3087" w:type="dxa"/>
          </w:tcPr>
          <w:p w14:paraId="4A215C7A" w14:textId="77777777" w:rsidR="006446F6" w:rsidRPr="005B05E3" w:rsidRDefault="006446F6" w:rsidP="006446F6">
            <w:pPr>
              <w:widowControl/>
              <w:rPr>
                <w:sz w:val="26"/>
                <w:szCs w:val="26"/>
              </w:rPr>
            </w:pPr>
          </w:p>
        </w:tc>
      </w:tr>
      <w:tr w:rsidR="006446F6" w:rsidRPr="005B05E3" w14:paraId="71598D2A" w14:textId="77777777" w:rsidTr="0074058F">
        <w:trPr>
          <w:trHeight w:val="1440"/>
        </w:trPr>
        <w:tc>
          <w:tcPr>
            <w:tcW w:w="6273" w:type="dxa"/>
            <w:gridSpan w:val="2"/>
          </w:tcPr>
          <w:p w14:paraId="105D0C1C" w14:textId="77777777" w:rsidR="006446F6" w:rsidRPr="004C4B31" w:rsidRDefault="006446F6" w:rsidP="006446F6">
            <w:pPr>
              <w:adjustRightInd w:val="0"/>
              <w:rPr>
                <w:sz w:val="26"/>
                <w:szCs w:val="26"/>
              </w:rPr>
            </w:pPr>
            <w:r w:rsidRPr="004C4B31">
              <w:rPr>
                <w:sz w:val="26"/>
                <w:szCs w:val="26"/>
              </w:rPr>
              <w:t xml:space="preserve">Public Utility Code for Approval of its Acquisition </w:t>
            </w:r>
            <w:r>
              <w:rPr>
                <w:sz w:val="26"/>
                <w:szCs w:val="26"/>
              </w:rPr>
              <w:t>of the Wastewater System Assets of Limerick Township</w:t>
            </w:r>
          </w:p>
        </w:tc>
        <w:tc>
          <w:tcPr>
            <w:tcW w:w="3087" w:type="dxa"/>
          </w:tcPr>
          <w:p w14:paraId="5CA642B2" w14:textId="77777777" w:rsidR="006446F6" w:rsidRPr="005B05E3" w:rsidRDefault="006446F6" w:rsidP="006446F6">
            <w:pPr>
              <w:widowControl/>
              <w:rPr>
                <w:sz w:val="26"/>
                <w:szCs w:val="26"/>
              </w:rPr>
            </w:pPr>
          </w:p>
        </w:tc>
      </w:tr>
    </w:tbl>
    <w:p w14:paraId="138970AF" w14:textId="77777777" w:rsidR="00F514FB" w:rsidRPr="005B05E3" w:rsidRDefault="00F514FB" w:rsidP="00CE5857">
      <w:pPr>
        <w:widowControl/>
        <w:rPr>
          <w:sz w:val="26"/>
          <w:szCs w:val="26"/>
        </w:rPr>
      </w:pPr>
    </w:p>
    <w:p w14:paraId="1AB496C2" w14:textId="77777777" w:rsidR="00F514FB" w:rsidRPr="005B05E3" w:rsidRDefault="00F514FB" w:rsidP="00CE5857">
      <w:pPr>
        <w:widowControl/>
        <w:jc w:val="center"/>
        <w:rPr>
          <w:b/>
          <w:sz w:val="26"/>
          <w:szCs w:val="26"/>
        </w:rPr>
      </w:pPr>
      <w:r w:rsidRPr="005B05E3">
        <w:rPr>
          <w:b/>
          <w:sz w:val="26"/>
          <w:szCs w:val="26"/>
        </w:rPr>
        <w:t>OPINION AND ORDER</w:t>
      </w:r>
    </w:p>
    <w:p w14:paraId="1D085843" w14:textId="77777777" w:rsidR="00F514FB" w:rsidRPr="005B05E3" w:rsidRDefault="00F514FB" w:rsidP="00CE5857">
      <w:pPr>
        <w:widowControl/>
        <w:jc w:val="center"/>
        <w:rPr>
          <w:b/>
          <w:sz w:val="26"/>
          <w:szCs w:val="26"/>
        </w:rPr>
      </w:pPr>
    </w:p>
    <w:p w14:paraId="642EB643" w14:textId="77777777" w:rsidR="00F514FB" w:rsidRPr="005B05E3" w:rsidRDefault="00F514FB" w:rsidP="00CE5857">
      <w:pPr>
        <w:widowControl/>
        <w:jc w:val="center"/>
        <w:rPr>
          <w:b/>
          <w:sz w:val="26"/>
          <w:szCs w:val="26"/>
        </w:rPr>
      </w:pPr>
    </w:p>
    <w:p w14:paraId="6F1323D2" w14:textId="77777777" w:rsidR="00F514FB" w:rsidRPr="005B05E3" w:rsidRDefault="00F514FB" w:rsidP="00CE5857">
      <w:pPr>
        <w:widowControl/>
        <w:rPr>
          <w:b/>
          <w:sz w:val="26"/>
          <w:szCs w:val="26"/>
        </w:rPr>
      </w:pPr>
      <w:r w:rsidRPr="005B05E3">
        <w:rPr>
          <w:b/>
          <w:sz w:val="26"/>
          <w:szCs w:val="26"/>
        </w:rPr>
        <w:t>BY THE COMMISSION:</w:t>
      </w:r>
    </w:p>
    <w:p w14:paraId="4C521651" w14:textId="77777777" w:rsidR="00F514FB" w:rsidRPr="005B05E3" w:rsidRDefault="00F514FB" w:rsidP="00CE5857">
      <w:pPr>
        <w:widowControl/>
        <w:rPr>
          <w:sz w:val="26"/>
          <w:szCs w:val="26"/>
        </w:rPr>
      </w:pPr>
    </w:p>
    <w:p w14:paraId="042EF1FA" w14:textId="77777777" w:rsidR="00F514FB" w:rsidRPr="005B05E3" w:rsidRDefault="00F514FB" w:rsidP="00CE5857">
      <w:pPr>
        <w:widowControl/>
        <w:rPr>
          <w:sz w:val="26"/>
          <w:szCs w:val="26"/>
        </w:rPr>
      </w:pPr>
    </w:p>
    <w:p w14:paraId="1805C16A" w14:textId="77777777" w:rsidR="00CA43A5" w:rsidRDefault="00CA43A5" w:rsidP="00B57501">
      <w:pPr>
        <w:widowControl/>
        <w:spacing w:line="360" w:lineRule="auto"/>
        <w:ind w:firstLine="1440"/>
        <w:rPr>
          <w:sz w:val="26"/>
          <w:szCs w:val="26"/>
        </w:rPr>
      </w:pPr>
      <w:r w:rsidRPr="005B05E3">
        <w:rPr>
          <w:sz w:val="26"/>
          <w:szCs w:val="26"/>
        </w:rPr>
        <w:t xml:space="preserve">Before the Pennsylvania Public Utility Commission (Commission) for consideration and disposition </w:t>
      </w:r>
      <w:r w:rsidR="005C39B0">
        <w:rPr>
          <w:sz w:val="26"/>
        </w:rPr>
        <w:t>is the Petition for Reconsideration</w:t>
      </w:r>
      <w:r w:rsidR="00671E4C" w:rsidRPr="005B05E3">
        <w:rPr>
          <w:sz w:val="26"/>
        </w:rPr>
        <w:t xml:space="preserve"> </w:t>
      </w:r>
      <w:r w:rsidR="00663528">
        <w:rPr>
          <w:sz w:val="26"/>
        </w:rPr>
        <w:t xml:space="preserve">(Petition) </w:t>
      </w:r>
      <w:r w:rsidR="00A16587" w:rsidRPr="005B05E3">
        <w:rPr>
          <w:sz w:val="26"/>
        </w:rPr>
        <w:t xml:space="preserve">of </w:t>
      </w:r>
      <w:bookmarkStart w:id="0" w:name="_Hlk510964046"/>
      <w:r w:rsidR="00F30ED5">
        <w:rPr>
          <w:sz w:val="26"/>
          <w:szCs w:val="26"/>
        </w:rPr>
        <w:t>Aqua Pennsylvania Wastewater, Inc.</w:t>
      </w:r>
      <w:bookmarkEnd w:id="0"/>
      <w:r w:rsidR="00F30ED5">
        <w:rPr>
          <w:sz w:val="26"/>
          <w:szCs w:val="26"/>
        </w:rPr>
        <w:t xml:space="preserve"> (Aqua or the Company)</w:t>
      </w:r>
      <w:r w:rsidR="0082212A">
        <w:rPr>
          <w:color w:val="000000"/>
          <w:sz w:val="26"/>
        </w:rPr>
        <w:t xml:space="preserve"> </w:t>
      </w:r>
      <w:r w:rsidR="00346C47" w:rsidRPr="005B05E3">
        <w:rPr>
          <w:sz w:val="26"/>
        </w:rPr>
        <w:t xml:space="preserve">filed on </w:t>
      </w:r>
      <w:r w:rsidR="00F30ED5">
        <w:rPr>
          <w:sz w:val="26"/>
        </w:rPr>
        <w:t xml:space="preserve">December </w:t>
      </w:r>
      <w:r w:rsidR="00487D9F">
        <w:rPr>
          <w:sz w:val="26"/>
        </w:rPr>
        <w:t>14, 2017</w:t>
      </w:r>
      <w:r w:rsidR="00671E4C" w:rsidRPr="005B05E3">
        <w:rPr>
          <w:sz w:val="26"/>
        </w:rPr>
        <w:t>,</w:t>
      </w:r>
      <w:r w:rsidR="005C39B0">
        <w:rPr>
          <w:sz w:val="26"/>
        </w:rPr>
        <w:t xml:space="preserve"> seeking reconsideration of our Opinion and Order entered on </w:t>
      </w:r>
      <w:r w:rsidR="00F30ED5">
        <w:rPr>
          <w:sz w:val="26"/>
        </w:rPr>
        <w:t>November</w:t>
      </w:r>
      <w:r w:rsidR="00487D9F">
        <w:rPr>
          <w:sz w:val="26"/>
        </w:rPr>
        <w:t xml:space="preserve"> 29, 2017</w:t>
      </w:r>
      <w:r w:rsidR="00414B8E">
        <w:rPr>
          <w:sz w:val="26"/>
        </w:rPr>
        <w:t xml:space="preserve"> (</w:t>
      </w:r>
      <w:r w:rsidR="00F30ED5">
        <w:rPr>
          <w:i/>
          <w:sz w:val="26"/>
        </w:rPr>
        <w:t>November</w:t>
      </w:r>
      <w:r w:rsidR="00487D9F">
        <w:rPr>
          <w:i/>
          <w:sz w:val="26"/>
        </w:rPr>
        <w:t xml:space="preserve"> 2017</w:t>
      </w:r>
      <w:r w:rsidR="00414B8E">
        <w:rPr>
          <w:i/>
          <w:sz w:val="26"/>
        </w:rPr>
        <w:t xml:space="preserve"> Order</w:t>
      </w:r>
      <w:r w:rsidR="00414B8E">
        <w:rPr>
          <w:sz w:val="26"/>
        </w:rPr>
        <w:t>)</w:t>
      </w:r>
      <w:r w:rsidR="00AA4370">
        <w:rPr>
          <w:sz w:val="26"/>
        </w:rPr>
        <w:t>, relative to the above-</w:t>
      </w:r>
      <w:r w:rsidR="005C39B0">
        <w:rPr>
          <w:sz w:val="26"/>
        </w:rPr>
        <w:t xml:space="preserve">captioned proceeding. </w:t>
      </w:r>
      <w:r w:rsidR="00671E4C" w:rsidRPr="005B05E3">
        <w:rPr>
          <w:sz w:val="26"/>
        </w:rPr>
        <w:t xml:space="preserve"> </w:t>
      </w:r>
      <w:bookmarkStart w:id="1" w:name="_Hlk510174214"/>
      <w:r w:rsidR="00663528">
        <w:rPr>
          <w:sz w:val="26"/>
        </w:rPr>
        <w:t xml:space="preserve">On </w:t>
      </w:r>
      <w:r w:rsidR="00F30ED5">
        <w:rPr>
          <w:sz w:val="26"/>
        </w:rPr>
        <w:t>December 22</w:t>
      </w:r>
      <w:r w:rsidR="00487D9F">
        <w:rPr>
          <w:sz w:val="26"/>
          <w:szCs w:val="26"/>
        </w:rPr>
        <w:t xml:space="preserve">, 2017, </w:t>
      </w:r>
      <w:r w:rsidR="00F30ED5">
        <w:rPr>
          <w:sz w:val="26"/>
          <w:szCs w:val="26"/>
        </w:rPr>
        <w:t xml:space="preserve">and December 29, 2017, </w:t>
      </w:r>
      <w:r w:rsidR="00F30ED5">
        <w:rPr>
          <w:color w:val="000000"/>
          <w:sz w:val="26"/>
        </w:rPr>
        <w:t>the Office of Consumer Advocate (OCA) and the Commission’s Bureau of Investigation and Enforcement (I&amp;E)</w:t>
      </w:r>
      <w:r w:rsidR="00487D9F">
        <w:rPr>
          <w:sz w:val="26"/>
        </w:rPr>
        <w:t xml:space="preserve"> </w:t>
      </w:r>
      <w:r w:rsidR="00663528">
        <w:rPr>
          <w:sz w:val="26"/>
        </w:rPr>
        <w:t xml:space="preserve">filed </w:t>
      </w:r>
      <w:r w:rsidR="00F30ED5">
        <w:rPr>
          <w:sz w:val="26"/>
        </w:rPr>
        <w:t xml:space="preserve">their respective </w:t>
      </w:r>
      <w:r w:rsidR="00663528">
        <w:rPr>
          <w:sz w:val="26"/>
        </w:rPr>
        <w:t>Answer</w:t>
      </w:r>
      <w:r w:rsidR="00F30ED5">
        <w:rPr>
          <w:sz w:val="26"/>
        </w:rPr>
        <w:t>s</w:t>
      </w:r>
      <w:r w:rsidR="00663528">
        <w:rPr>
          <w:sz w:val="26"/>
        </w:rPr>
        <w:t xml:space="preserve"> to the Petition.</w:t>
      </w:r>
      <w:bookmarkEnd w:id="1"/>
      <w:r w:rsidR="00663528">
        <w:rPr>
          <w:sz w:val="26"/>
        </w:rPr>
        <w:t xml:space="preserve">  </w:t>
      </w:r>
      <w:r w:rsidRPr="005B05E3">
        <w:rPr>
          <w:sz w:val="26"/>
          <w:szCs w:val="26"/>
        </w:rPr>
        <w:t>For the reason</w:t>
      </w:r>
      <w:r w:rsidR="0006356A" w:rsidRPr="005B05E3">
        <w:rPr>
          <w:sz w:val="26"/>
          <w:szCs w:val="26"/>
        </w:rPr>
        <w:t xml:space="preserve">s stated below, we </w:t>
      </w:r>
      <w:r w:rsidR="000E0295" w:rsidRPr="005B05E3">
        <w:rPr>
          <w:sz w:val="26"/>
          <w:szCs w:val="26"/>
        </w:rPr>
        <w:t>sha</w:t>
      </w:r>
      <w:r w:rsidR="0006356A" w:rsidRPr="005B05E3">
        <w:rPr>
          <w:sz w:val="26"/>
          <w:szCs w:val="26"/>
        </w:rPr>
        <w:t xml:space="preserve">ll </w:t>
      </w:r>
      <w:r w:rsidR="00F30ED5">
        <w:rPr>
          <w:sz w:val="26"/>
          <w:szCs w:val="26"/>
        </w:rPr>
        <w:t>deny</w:t>
      </w:r>
      <w:r w:rsidR="00BB2EC0">
        <w:rPr>
          <w:sz w:val="26"/>
          <w:szCs w:val="26"/>
        </w:rPr>
        <w:t xml:space="preserve"> th</w:t>
      </w:r>
      <w:r w:rsidR="006D3B05">
        <w:rPr>
          <w:sz w:val="26"/>
          <w:szCs w:val="26"/>
        </w:rPr>
        <w:t>e Petition</w:t>
      </w:r>
      <w:r w:rsidR="00797481">
        <w:rPr>
          <w:sz w:val="26"/>
          <w:szCs w:val="26"/>
        </w:rPr>
        <w:t>.</w:t>
      </w:r>
    </w:p>
    <w:p w14:paraId="2FD9BED3" w14:textId="77777777" w:rsidR="000C31E4" w:rsidRPr="0089744C" w:rsidRDefault="004064EA" w:rsidP="0089744C">
      <w:pPr>
        <w:pStyle w:val="ListParagraph"/>
        <w:keepNext/>
        <w:widowControl/>
        <w:numPr>
          <w:ilvl w:val="0"/>
          <w:numId w:val="8"/>
        </w:numPr>
        <w:spacing w:line="360" w:lineRule="auto"/>
        <w:jc w:val="center"/>
        <w:rPr>
          <w:b/>
          <w:sz w:val="26"/>
          <w:szCs w:val="26"/>
        </w:rPr>
      </w:pPr>
      <w:bookmarkStart w:id="2" w:name="OLE_LINK1"/>
      <w:bookmarkStart w:id="3" w:name="OLE_LINK2"/>
      <w:r w:rsidRPr="0089744C">
        <w:rPr>
          <w:b/>
          <w:sz w:val="26"/>
          <w:szCs w:val="26"/>
        </w:rPr>
        <w:lastRenderedPageBreak/>
        <w:t>History of the Proceeding</w:t>
      </w:r>
    </w:p>
    <w:p w14:paraId="4F7A6AC9" w14:textId="77777777" w:rsidR="000C31E4" w:rsidRPr="005B05E3" w:rsidRDefault="000C31E4" w:rsidP="00CE5857">
      <w:pPr>
        <w:keepNext/>
        <w:widowControl/>
        <w:spacing w:line="360" w:lineRule="auto"/>
        <w:rPr>
          <w:sz w:val="26"/>
          <w:szCs w:val="26"/>
        </w:rPr>
      </w:pPr>
    </w:p>
    <w:p w14:paraId="265F7B76" w14:textId="77777777" w:rsidR="00F30ED5" w:rsidRPr="002915C6" w:rsidRDefault="00BB2EC0" w:rsidP="00F30ED5">
      <w:pPr>
        <w:widowControl/>
        <w:autoSpaceDE w:val="0"/>
        <w:autoSpaceDN w:val="0"/>
        <w:spacing w:line="360" w:lineRule="auto"/>
        <w:rPr>
          <w:sz w:val="26"/>
          <w:szCs w:val="26"/>
        </w:rPr>
      </w:pPr>
      <w:r>
        <w:rPr>
          <w:sz w:val="26"/>
          <w:szCs w:val="26"/>
        </w:rPr>
        <w:tab/>
      </w:r>
      <w:r>
        <w:rPr>
          <w:sz w:val="26"/>
          <w:szCs w:val="26"/>
        </w:rPr>
        <w:tab/>
      </w:r>
      <w:r w:rsidR="00F30ED5" w:rsidRPr="002915C6">
        <w:rPr>
          <w:sz w:val="26"/>
          <w:szCs w:val="26"/>
        </w:rPr>
        <w:t>On May 19, 2017, Aqua filed an Application seeking approval of:  (1) the acquisition, by Aqua, of the wastewater system assets of Limerick Township, Montgomery County, Pennsylvania (Township), (2) the right of Aqua to begin to offer, render, furnish and supply wastewater service to the public in portions of the Township, and (3) an order approving the acquisition that includes the ratemaking rate base of the Township’s wastewater system assets pursuant to Section 1329(c)(2) of the Pennsylvania Public Utility Code (Code), 66 Pa. C.S. § 1329(c)(2).  By Secretarial Letter dated May</w:t>
      </w:r>
      <w:r w:rsidR="00F30ED5">
        <w:rPr>
          <w:sz w:val="26"/>
          <w:szCs w:val="26"/>
        </w:rPr>
        <w:t> </w:t>
      </w:r>
      <w:r w:rsidR="00F30ED5" w:rsidRPr="002915C6">
        <w:rPr>
          <w:sz w:val="26"/>
          <w:szCs w:val="26"/>
        </w:rPr>
        <w:t>31, 2017, the Commission acknowledged receipt of the completed Application.</w:t>
      </w:r>
    </w:p>
    <w:p w14:paraId="38101A8F" w14:textId="77777777" w:rsidR="00F30ED5" w:rsidRPr="002915C6" w:rsidRDefault="00F30ED5" w:rsidP="00F30ED5">
      <w:pPr>
        <w:widowControl/>
        <w:autoSpaceDE w:val="0"/>
        <w:autoSpaceDN w:val="0"/>
        <w:spacing w:line="360" w:lineRule="auto"/>
        <w:rPr>
          <w:rFonts w:ascii="CG Times" w:hAnsi="CG Times" w:cs="CG Times"/>
          <w:sz w:val="26"/>
          <w:szCs w:val="26"/>
        </w:rPr>
      </w:pPr>
    </w:p>
    <w:p w14:paraId="5CD7BEBB" w14:textId="33E0ECF4" w:rsidR="00F30ED5" w:rsidRPr="002915C6" w:rsidRDefault="00F30ED5" w:rsidP="00F30ED5">
      <w:pPr>
        <w:pStyle w:val="FootnoteText"/>
        <w:widowControl/>
        <w:spacing w:line="360" w:lineRule="auto"/>
        <w:rPr>
          <w:sz w:val="26"/>
          <w:szCs w:val="26"/>
        </w:rPr>
      </w:pPr>
      <w:r w:rsidRPr="002915C6">
        <w:rPr>
          <w:rFonts w:ascii="CG Times" w:hAnsi="CG Times" w:cs="CG Times"/>
          <w:sz w:val="26"/>
          <w:szCs w:val="26"/>
        </w:rPr>
        <w:tab/>
      </w:r>
      <w:r w:rsidRPr="002915C6">
        <w:rPr>
          <w:rFonts w:ascii="CG Times" w:hAnsi="CG Times" w:cs="CG Times"/>
          <w:sz w:val="26"/>
          <w:szCs w:val="26"/>
        </w:rPr>
        <w:tab/>
      </w:r>
      <w:r w:rsidRPr="002915C6">
        <w:rPr>
          <w:sz w:val="26"/>
          <w:szCs w:val="26"/>
        </w:rPr>
        <w:t xml:space="preserve">On June 9, 2017, I&amp;E filed a notice of appearance and the OCA filed a protest to the Application.  The Commission published a notice of the Application in the </w:t>
      </w:r>
      <w:r w:rsidRPr="002915C6">
        <w:rPr>
          <w:i/>
          <w:sz w:val="26"/>
          <w:szCs w:val="26"/>
        </w:rPr>
        <w:t>Pennsylvania Bulletin</w:t>
      </w:r>
      <w:r w:rsidRPr="002915C6">
        <w:rPr>
          <w:sz w:val="26"/>
          <w:szCs w:val="26"/>
        </w:rPr>
        <w:t xml:space="preserve"> on June 10, 2017.  47 </w:t>
      </w:r>
      <w:r w:rsidRPr="002915C6">
        <w:rPr>
          <w:i/>
          <w:sz w:val="26"/>
          <w:szCs w:val="26"/>
        </w:rPr>
        <w:t>Pa. B.</w:t>
      </w:r>
      <w:r w:rsidRPr="002915C6">
        <w:rPr>
          <w:sz w:val="26"/>
          <w:szCs w:val="26"/>
        </w:rPr>
        <w:t xml:space="preserve"> 3324.</w:t>
      </w:r>
      <w:r w:rsidRPr="002915C6">
        <w:rPr>
          <w:rFonts w:ascii="CG Times" w:hAnsi="CG Times" w:cs="CG Times"/>
          <w:sz w:val="26"/>
          <w:szCs w:val="26"/>
        </w:rPr>
        <w:t xml:space="preserve">  </w:t>
      </w:r>
      <w:r w:rsidRPr="002915C6">
        <w:rPr>
          <w:sz w:val="26"/>
          <w:szCs w:val="26"/>
        </w:rPr>
        <w:t>On June 21, 2017, the Township filed a Petition to Intervene.  By Order issued June 28, 2017, the ALJ granted the Township’s Petition and established a litigation schedule.</w:t>
      </w:r>
    </w:p>
    <w:p w14:paraId="5BBD0385" w14:textId="77777777" w:rsidR="00F30ED5" w:rsidRPr="002915C6" w:rsidRDefault="00F30ED5" w:rsidP="00F30ED5">
      <w:pPr>
        <w:widowControl/>
        <w:autoSpaceDE w:val="0"/>
        <w:autoSpaceDN w:val="0"/>
        <w:spacing w:line="360" w:lineRule="auto"/>
        <w:rPr>
          <w:sz w:val="26"/>
          <w:szCs w:val="26"/>
        </w:rPr>
      </w:pPr>
    </w:p>
    <w:p w14:paraId="7D3CDB41" w14:textId="2F2E33A9" w:rsidR="00F30ED5" w:rsidRPr="002915C6" w:rsidRDefault="00F30ED5" w:rsidP="00F30ED5">
      <w:pPr>
        <w:widowControl/>
        <w:autoSpaceDE w:val="0"/>
        <w:autoSpaceDN w:val="0"/>
        <w:spacing w:line="360" w:lineRule="auto"/>
        <w:rPr>
          <w:sz w:val="26"/>
          <w:szCs w:val="26"/>
        </w:rPr>
      </w:pPr>
      <w:r w:rsidRPr="002915C6">
        <w:rPr>
          <w:sz w:val="26"/>
          <w:szCs w:val="26"/>
        </w:rPr>
        <w:tab/>
      </w:r>
      <w:r w:rsidRPr="002915C6">
        <w:rPr>
          <w:sz w:val="26"/>
          <w:szCs w:val="26"/>
        </w:rPr>
        <w:tab/>
        <w:t>The ALJ conducted an evidentiary hearing on July 20-21, 2017, at which each Party was represented by counsel.  During the hearing, testimony and exhibits were presented and cross examination was conducted.  Aqua offered five statements and seven exhibits, which were admitted into the record.  I&amp;E presented four statements and two exhibits that were admitted into the record.  The OCA presented four statements and one exhibit, all of which were admitted into the record.</w:t>
      </w:r>
    </w:p>
    <w:p w14:paraId="22B459EE" w14:textId="77777777" w:rsidR="00F30ED5" w:rsidRPr="002915C6" w:rsidRDefault="00F30ED5" w:rsidP="00F30ED5">
      <w:pPr>
        <w:pStyle w:val="Default"/>
        <w:spacing w:line="360" w:lineRule="auto"/>
        <w:rPr>
          <w:color w:val="auto"/>
          <w:sz w:val="26"/>
          <w:szCs w:val="26"/>
        </w:rPr>
      </w:pPr>
    </w:p>
    <w:p w14:paraId="7BEAC91D" w14:textId="77777777" w:rsidR="00F30ED5" w:rsidRPr="002915C6" w:rsidRDefault="00F30ED5" w:rsidP="00F30ED5">
      <w:pPr>
        <w:pStyle w:val="Default"/>
        <w:spacing w:line="360" w:lineRule="auto"/>
        <w:rPr>
          <w:color w:val="auto"/>
          <w:sz w:val="26"/>
          <w:szCs w:val="26"/>
        </w:rPr>
      </w:pPr>
      <w:r w:rsidRPr="002915C6">
        <w:rPr>
          <w:color w:val="auto"/>
          <w:sz w:val="26"/>
          <w:szCs w:val="26"/>
        </w:rPr>
        <w:tab/>
      </w:r>
      <w:r w:rsidRPr="002915C6">
        <w:rPr>
          <w:color w:val="auto"/>
          <w:sz w:val="26"/>
          <w:szCs w:val="26"/>
        </w:rPr>
        <w:tab/>
        <w:t xml:space="preserve">The Parties filed Main Briefs on August 11, 2017, and Reply Briefs on August 18, 2017.  </w:t>
      </w:r>
      <w:r w:rsidRPr="002915C6">
        <w:rPr>
          <w:sz w:val="26"/>
          <w:szCs w:val="26"/>
        </w:rPr>
        <w:t>On August 18, 2017, t</w:t>
      </w:r>
      <w:r w:rsidRPr="002915C6">
        <w:rPr>
          <w:color w:val="auto"/>
          <w:sz w:val="26"/>
          <w:szCs w:val="26"/>
        </w:rPr>
        <w:t xml:space="preserve">he record </w:t>
      </w:r>
      <w:r w:rsidRPr="002915C6">
        <w:rPr>
          <w:sz w:val="26"/>
          <w:szCs w:val="26"/>
        </w:rPr>
        <w:t xml:space="preserve">was </w:t>
      </w:r>
      <w:r w:rsidRPr="002915C6">
        <w:rPr>
          <w:color w:val="auto"/>
          <w:sz w:val="26"/>
          <w:szCs w:val="26"/>
        </w:rPr>
        <w:t>closed upon receipt of the Reply Briefs.</w:t>
      </w:r>
    </w:p>
    <w:p w14:paraId="79324C93" w14:textId="77777777" w:rsidR="00F30ED5" w:rsidRPr="002915C6" w:rsidRDefault="00F30ED5" w:rsidP="00F30ED5">
      <w:pPr>
        <w:widowControl/>
        <w:shd w:val="clear" w:color="auto" w:fill="FFFFFF" w:themeFill="background1"/>
        <w:spacing w:line="360" w:lineRule="auto"/>
        <w:rPr>
          <w:bCs/>
          <w:color w:val="000000"/>
          <w:sz w:val="26"/>
          <w:szCs w:val="26"/>
        </w:rPr>
      </w:pPr>
    </w:p>
    <w:p w14:paraId="19B0AB1A" w14:textId="77777777" w:rsidR="00BB2EC0" w:rsidRDefault="00F30ED5" w:rsidP="00F30ED5">
      <w:pPr>
        <w:widowControl/>
        <w:autoSpaceDE w:val="0"/>
        <w:autoSpaceDN w:val="0"/>
        <w:spacing w:line="360" w:lineRule="auto"/>
        <w:rPr>
          <w:color w:val="000000"/>
          <w:sz w:val="26"/>
          <w:szCs w:val="26"/>
        </w:rPr>
      </w:pPr>
      <w:r w:rsidRPr="002915C6">
        <w:rPr>
          <w:bCs/>
          <w:color w:val="000000"/>
          <w:sz w:val="26"/>
          <w:szCs w:val="26"/>
        </w:rPr>
        <w:tab/>
      </w:r>
      <w:r w:rsidRPr="002915C6">
        <w:rPr>
          <w:bCs/>
          <w:color w:val="000000"/>
          <w:sz w:val="26"/>
          <w:szCs w:val="26"/>
        </w:rPr>
        <w:tab/>
        <w:t xml:space="preserve">In the Recommended Decision issued on September 18, 2017, the ALJ recommended approving the Application with an adjustment to the proposed rate base value and with certain conditions.  As noted above, Aqua, I&amp;E, and the OCA filed Exceptions on October 3, 2017.  </w:t>
      </w:r>
      <w:r w:rsidRPr="002915C6">
        <w:rPr>
          <w:color w:val="000000"/>
          <w:sz w:val="26"/>
          <w:szCs w:val="26"/>
        </w:rPr>
        <w:t>On October 10, 2017, Aqua, I&amp;E and the OCA filed Replies to Exceptions.</w:t>
      </w:r>
    </w:p>
    <w:p w14:paraId="29A0B620" w14:textId="77777777" w:rsidR="00F30ED5" w:rsidRDefault="00F30ED5" w:rsidP="00F30ED5">
      <w:pPr>
        <w:widowControl/>
        <w:autoSpaceDE w:val="0"/>
        <w:autoSpaceDN w:val="0"/>
        <w:spacing w:line="360" w:lineRule="auto"/>
        <w:rPr>
          <w:bCs/>
          <w:color w:val="000000"/>
          <w:sz w:val="26"/>
          <w:szCs w:val="26"/>
        </w:rPr>
      </w:pPr>
    </w:p>
    <w:p w14:paraId="1577AD83" w14:textId="77777777" w:rsidR="00720BDD" w:rsidRDefault="00BB2EC0" w:rsidP="00F30ED5">
      <w:pPr>
        <w:widowControl/>
        <w:shd w:val="clear" w:color="auto" w:fill="FFFFFF" w:themeFill="background1"/>
        <w:spacing w:line="360" w:lineRule="auto"/>
        <w:rPr>
          <w:sz w:val="26"/>
        </w:rPr>
      </w:pPr>
      <w:r>
        <w:rPr>
          <w:bCs/>
          <w:color w:val="000000"/>
          <w:sz w:val="26"/>
          <w:szCs w:val="26"/>
        </w:rPr>
        <w:tab/>
      </w:r>
      <w:r>
        <w:rPr>
          <w:bCs/>
          <w:color w:val="000000"/>
          <w:sz w:val="26"/>
          <w:szCs w:val="26"/>
        </w:rPr>
        <w:tab/>
      </w:r>
      <w:r w:rsidR="009E1D2A">
        <w:rPr>
          <w:sz w:val="26"/>
          <w:szCs w:val="26"/>
        </w:rPr>
        <w:t xml:space="preserve">In our </w:t>
      </w:r>
      <w:r w:rsidR="006918DC">
        <w:rPr>
          <w:i/>
          <w:sz w:val="26"/>
        </w:rPr>
        <w:t>November 2017 Order</w:t>
      </w:r>
      <w:r w:rsidR="009E1D2A">
        <w:rPr>
          <w:sz w:val="26"/>
          <w:szCs w:val="26"/>
        </w:rPr>
        <w:t xml:space="preserve">, we </w:t>
      </w:r>
      <w:r w:rsidR="006918DC">
        <w:rPr>
          <w:sz w:val="26"/>
          <w:szCs w:val="26"/>
        </w:rPr>
        <w:t>denied</w:t>
      </w:r>
      <w:r>
        <w:rPr>
          <w:sz w:val="26"/>
          <w:szCs w:val="26"/>
        </w:rPr>
        <w:t xml:space="preserve"> the Exceptions of Aqua</w:t>
      </w:r>
      <w:r w:rsidR="006918DC">
        <w:rPr>
          <w:sz w:val="26"/>
          <w:szCs w:val="26"/>
        </w:rPr>
        <w:t xml:space="preserve">, I&amp;E and the OCA and adopted the </w:t>
      </w:r>
      <w:r>
        <w:rPr>
          <w:sz w:val="26"/>
          <w:szCs w:val="26"/>
        </w:rPr>
        <w:t>Recommended Decision</w:t>
      </w:r>
      <w:r w:rsidR="009E1D2A">
        <w:rPr>
          <w:sz w:val="26"/>
          <w:szCs w:val="26"/>
        </w:rPr>
        <w:t xml:space="preserve">.  As previously stated, </w:t>
      </w:r>
      <w:r w:rsidR="006918DC">
        <w:rPr>
          <w:sz w:val="26"/>
          <w:szCs w:val="26"/>
        </w:rPr>
        <w:t>Aqua</w:t>
      </w:r>
      <w:r w:rsidR="009E1D2A">
        <w:rPr>
          <w:sz w:val="26"/>
          <w:szCs w:val="26"/>
        </w:rPr>
        <w:t xml:space="preserve"> filed the instant Petition on </w:t>
      </w:r>
      <w:r w:rsidR="006918DC">
        <w:rPr>
          <w:sz w:val="26"/>
          <w:szCs w:val="26"/>
        </w:rPr>
        <w:t>December</w:t>
      </w:r>
      <w:r>
        <w:rPr>
          <w:sz w:val="26"/>
          <w:szCs w:val="26"/>
        </w:rPr>
        <w:t xml:space="preserve"> 14, 2017</w:t>
      </w:r>
      <w:r w:rsidR="00E56F83">
        <w:rPr>
          <w:sz w:val="26"/>
          <w:szCs w:val="26"/>
        </w:rPr>
        <w:t xml:space="preserve">.  </w:t>
      </w:r>
      <w:r w:rsidR="00E56F83" w:rsidRPr="00E56F83">
        <w:rPr>
          <w:sz w:val="26"/>
          <w:szCs w:val="26"/>
        </w:rPr>
        <w:t xml:space="preserve">By Order entered </w:t>
      </w:r>
      <w:r w:rsidR="006918DC">
        <w:rPr>
          <w:sz w:val="26"/>
          <w:szCs w:val="26"/>
        </w:rPr>
        <w:t>December</w:t>
      </w:r>
      <w:r w:rsidR="0096366E">
        <w:rPr>
          <w:sz w:val="26"/>
          <w:szCs w:val="26"/>
        </w:rPr>
        <w:t xml:space="preserve"> 2</w:t>
      </w:r>
      <w:r w:rsidR="006918DC">
        <w:rPr>
          <w:sz w:val="26"/>
          <w:szCs w:val="26"/>
        </w:rPr>
        <w:t>1</w:t>
      </w:r>
      <w:r w:rsidR="0096366E">
        <w:rPr>
          <w:sz w:val="26"/>
          <w:szCs w:val="26"/>
        </w:rPr>
        <w:t>, 2017</w:t>
      </w:r>
      <w:r w:rsidR="00E56F83" w:rsidRPr="00E56F83">
        <w:rPr>
          <w:sz w:val="26"/>
          <w:szCs w:val="26"/>
        </w:rPr>
        <w:t>, we granted the Petition, pending further review of, and consideration on, the merits</w:t>
      </w:r>
      <w:r w:rsidR="00E56F83">
        <w:rPr>
          <w:sz w:val="26"/>
          <w:szCs w:val="26"/>
        </w:rPr>
        <w:t xml:space="preserve">.  </w:t>
      </w:r>
      <w:r w:rsidR="006918DC">
        <w:rPr>
          <w:sz w:val="26"/>
        </w:rPr>
        <w:t>On December 22</w:t>
      </w:r>
      <w:r w:rsidR="006918DC">
        <w:rPr>
          <w:sz w:val="26"/>
          <w:szCs w:val="26"/>
        </w:rPr>
        <w:t xml:space="preserve">, 2017, and December 29, 2017, </w:t>
      </w:r>
      <w:r w:rsidR="006918DC">
        <w:rPr>
          <w:color w:val="000000"/>
          <w:sz w:val="26"/>
        </w:rPr>
        <w:t>the OCA and I&amp;E</w:t>
      </w:r>
      <w:r w:rsidR="006918DC">
        <w:rPr>
          <w:sz w:val="26"/>
        </w:rPr>
        <w:t xml:space="preserve"> filed their respective Answers to the Petition.</w:t>
      </w:r>
    </w:p>
    <w:p w14:paraId="2B4843CC" w14:textId="77777777" w:rsidR="004523FB" w:rsidRDefault="004523FB" w:rsidP="00F30ED5">
      <w:pPr>
        <w:widowControl/>
        <w:shd w:val="clear" w:color="auto" w:fill="FFFFFF" w:themeFill="background1"/>
        <w:spacing w:line="360" w:lineRule="auto"/>
        <w:rPr>
          <w:sz w:val="26"/>
          <w:szCs w:val="26"/>
        </w:rPr>
      </w:pPr>
    </w:p>
    <w:p w14:paraId="0E5DAE59" w14:textId="77777777" w:rsidR="004523FB" w:rsidRPr="00E56F83" w:rsidRDefault="004523FB" w:rsidP="00F30ED5">
      <w:pPr>
        <w:widowControl/>
        <w:shd w:val="clear" w:color="auto" w:fill="FFFFFF" w:themeFill="background1"/>
        <w:spacing w:line="360" w:lineRule="auto"/>
        <w:rPr>
          <w:sz w:val="26"/>
          <w:szCs w:val="26"/>
        </w:rPr>
      </w:pPr>
      <w:r>
        <w:rPr>
          <w:sz w:val="26"/>
          <w:szCs w:val="26"/>
        </w:rPr>
        <w:tab/>
      </w:r>
      <w:r>
        <w:rPr>
          <w:sz w:val="26"/>
          <w:szCs w:val="26"/>
        </w:rPr>
        <w:tab/>
      </w:r>
      <w:r w:rsidRPr="002915C6">
        <w:rPr>
          <w:sz w:val="26"/>
          <w:szCs w:val="26"/>
        </w:rPr>
        <w:t xml:space="preserve">This is </w:t>
      </w:r>
      <w:proofErr w:type="spellStart"/>
      <w:r w:rsidRPr="002915C6">
        <w:rPr>
          <w:sz w:val="26"/>
          <w:szCs w:val="26"/>
        </w:rPr>
        <w:t>Aqua’s</w:t>
      </w:r>
      <w:proofErr w:type="spellEnd"/>
      <w:r w:rsidRPr="002915C6">
        <w:rPr>
          <w:sz w:val="26"/>
          <w:szCs w:val="26"/>
        </w:rPr>
        <w:t xml:space="preserve"> second Application proceeding under Sections 1102 and 1329 being considered by the Commission.  In the first proceeding, the Commission approved </w:t>
      </w:r>
      <w:proofErr w:type="spellStart"/>
      <w:r w:rsidRPr="002915C6">
        <w:rPr>
          <w:sz w:val="26"/>
          <w:szCs w:val="26"/>
        </w:rPr>
        <w:t>Aqua’s</w:t>
      </w:r>
      <w:proofErr w:type="spellEnd"/>
      <w:r w:rsidRPr="002915C6">
        <w:rPr>
          <w:sz w:val="26"/>
          <w:szCs w:val="26"/>
        </w:rPr>
        <w:t xml:space="preserve"> Application to acquire the wastewater system assets of New Garden Township and New Garden Sewer Authority (Aqua-New Garden proceeding).  </w:t>
      </w:r>
      <w:r w:rsidRPr="002915C6">
        <w:rPr>
          <w:i/>
          <w:sz w:val="26"/>
          <w:szCs w:val="26"/>
        </w:rPr>
        <w:t>See Application of Aqua Pennsylvania Wastewater, Inc. pursuant to Sections 1102 and 1329 of the Public Utility Code for Approval of its Acquisition of the Wastewater System Assets of New Garden Township and the New Garden Township Sewer Authority</w:t>
      </w:r>
      <w:r w:rsidRPr="002915C6">
        <w:rPr>
          <w:sz w:val="26"/>
          <w:szCs w:val="26"/>
        </w:rPr>
        <w:t>, Docket No. A-2016-2580061 (Order entered June 29, 2017) (</w:t>
      </w:r>
      <w:r w:rsidRPr="002915C6">
        <w:rPr>
          <w:i/>
          <w:sz w:val="26"/>
          <w:szCs w:val="26"/>
        </w:rPr>
        <w:t>Aqua - New Garden Application Order</w:t>
      </w:r>
      <w:r w:rsidRPr="002915C6">
        <w:rPr>
          <w:sz w:val="26"/>
          <w:szCs w:val="26"/>
        </w:rPr>
        <w:t xml:space="preserve">) and the Order on Reconsideration of the </w:t>
      </w:r>
      <w:r w:rsidRPr="002915C6">
        <w:rPr>
          <w:i/>
          <w:sz w:val="26"/>
          <w:szCs w:val="26"/>
        </w:rPr>
        <w:t>Aqua - New Garden Application Order</w:t>
      </w:r>
      <w:r w:rsidRPr="002915C6">
        <w:rPr>
          <w:sz w:val="26"/>
          <w:szCs w:val="26"/>
        </w:rPr>
        <w:t>, Docket No. A-2016-2580061 (Order entered October 5, 2017) (</w:t>
      </w:r>
      <w:bookmarkStart w:id="4" w:name="_Hlk499647987"/>
      <w:r w:rsidRPr="002915C6">
        <w:rPr>
          <w:i/>
          <w:sz w:val="26"/>
          <w:szCs w:val="26"/>
        </w:rPr>
        <w:t>Aqua - New Garden Reconsideration Order</w:t>
      </w:r>
      <w:bookmarkEnd w:id="4"/>
      <w:r w:rsidRPr="002915C6">
        <w:rPr>
          <w:sz w:val="26"/>
          <w:szCs w:val="26"/>
        </w:rPr>
        <w:t>).</w:t>
      </w:r>
      <w:r>
        <w:rPr>
          <w:rStyle w:val="FootnoteReference"/>
          <w:sz w:val="26"/>
          <w:szCs w:val="26"/>
        </w:rPr>
        <w:footnoteReference w:id="1"/>
      </w:r>
    </w:p>
    <w:p w14:paraId="3AF63984" w14:textId="77777777" w:rsidR="0096366E" w:rsidRDefault="0096366E">
      <w:pPr>
        <w:widowControl/>
        <w:spacing w:after="200" w:line="276" w:lineRule="auto"/>
        <w:rPr>
          <w:sz w:val="26"/>
          <w:szCs w:val="26"/>
        </w:rPr>
      </w:pPr>
    </w:p>
    <w:bookmarkEnd w:id="2"/>
    <w:bookmarkEnd w:id="3"/>
    <w:p w14:paraId="130944BD" w14:textId="77777777" w:rsidR="00154CB6" w:rsidRPr="0089744C" w:rsidRDefault="00CA43A5" w:rsidP="0089744C">
      <w:pPr>
        <w:pStyle w:val="ListParagraph"/>
        <w:widowControl/>
        <w:numPr>
          <w:ilvl w:val="0"/>
          <w:numId w:val="8"/>
        </w:numPr>
        <w:spacing w:line="360" w:lineRule="auto"/>
        <w:jc w:val="center"/>
        <w:rPr>
          <w:b/>
          <w:sz w:val="26"/>
          <w:szCs w:val="26"/>
        </w:rPr>
      </w:pPr>
      <w:r w:rsidRPr="0089744C">
        <w:rPr>
          <w:b/>
          <w:sz w:val="26"/>
          <w:szCs w:val="26"/>
        </w:rPr>
        <w:t>Discussion</w:t>
      </w:r>
    </w:p>
    <w:p w14:paraId="659EBA95" w14:textId="77777777" w:rsidR="00EA6F81" w:rsidRPr="005B05E3" w:rsidRDefault="00EA6F81" w:rsidP="00AD462E">
      <w:pPr>
        <w:widowControl/>
        <w:spacing w:line="360" w:lineRule="auto"/>
        <w:rPr>
          <w:b/>
          <w:sz w:val="26"/>
          <w:szCs w:val="26"/>
        </w:rPr>
      </w:pPr>
    </w:p>
    <w:p w14:paraId="1568E19D" w14:textId="77777777" w:rsidR="00CB244C" w:rsidRPr="0089744C" w:rsidRDefault="00CB244C" w:rsidP="0089744C">
      <w:pPr>
        <w:pStyle w:val="ListParagraph"/>
        <w:widowControl/>
        <w:numPr>
          <w:ilvl w:val="0"/>
          <w:numId w:val="9"/>
        </w:numPr>
        <w:spacing w:line="360" w:lineRule="auto"/>
        <w:ind w:hanging="720"/>
        <w:rPr>
          <w:b/>
          <w:sz w:val="26"/>
          <w:szCs w:val="26"/>
        </w:rPr>
      </w:pPr>
      <w:r w:rsidRPr="0089744C">
        <w:rPr>
          <w:b/>
          <w:sz w:val="26"/>
          <w:szCs w:val="26"/>
        </w:rPr>
        <w:t>Legal Standards</w:t>
      </w:r>
    </w:p>
    <w:p w14:paraId="73A404B2" w14:textId="77777777" w:rsidR="00CB244C" w:rsidRPr="005B05E3" w:rsidRDefault="00CB244C" w:rsidP="00AD462E">
      <w:pPr>
        <w:widowControl/>
        <w:spacing w:line="360" w:lineRule="auto"/>
        <w:rPr>
          <w:sz w:val="26"/>
          <w:szCs w:val="26"/>
        </w:rPr>
      </w:pPr>
    </w:p>
    <w:p w14:paraId="7655177F" w14:textId="77777777" w:rsidR="00515320" w:rsidRPr="00116593" w:rsidRDefault="00515320" w:rsidP="00515320">
      <w:pPr>
        <w:suppressAutoHyphens/>
        <w:spacing w:line="360" w:lineRule="auto"/>
        <w:ind w:firstLine="1440"/>
        <w:rPr>
          <w:rFonts w:ascii="Times New (W1)" w:hAnsi="Times New (W1)"/>
          <w:sz w:val="26"/>
        </w:rPr>
      </w:pPr>
      <w:r w:rsidRPr="00116593">
        <w:rPr>
          <w:rFonts w:ascii="Times New (W1)" w:hAnsi="Times New (W1)"/>
          <w:sz w:val="26"/>
        </w:rPr>
        <w:t xml:space="preserve">Before addressing the Petition, we note that any issue not specifically discussed shall be deemed to have been duly considered and denied without further discussion.  The Commission is not required to consider expressly or at length each contention or argument raised by the parties.  </w:t>
      </w:r>
      <w:r w:rsidRPr="00116593">
        <w:rPr>
          <w:rFonts w:ascii="Times New (W1)" w:hAnsi="Times New (W1)"/>
          <w:i/>
          <w:sz w:val="26"/>
        </w:rPr>
        <w:t xml:space="preserve">Consolidated Rail Corp. v. Pennsylvania Public Utility Commission, </w:t>
      </w:r>
      <w:r w:rsidRPr="00116593">
        <w:rPr>
          <w:rFonts w:ascii="Times New (W1)" w:hAnsi="Times New (W1)"/>
          <w:sz w:val="26"/>
        </w:rPr>
        <w:t xml:space="preserve">625 A.2d 741 (Pa. </w:t>
      </w:r>
      <w:proofErr w:type="spellStart"/>
      <w:r w:rsidRPr="00116593">
        <w:rPr>
          <w:rFonts w:ascii="Times New (W1)" w:hAnsi="Times New (W1)"/>
          <w:sz w:val="26"/>
        </w:rPr>
        <w:t>Cmwlth</w:t>
      </w:r>
      <w:proofErr w:type="spellEnd"/>
      <w:r w:rsidRPr="00116593">
        <w:rPr>
          <w:rFonts w:ascii="Times New (W1)" w:hAnsi="Times New (W1)"/>
          <w:sz w:val="26"/>
        </w:rPr>
        <w:t>. 1993).</w:t>
      </w:r>
    </w:p>
    <w:p w14:paraId="397366A3" w14:textId="77777777" w:rsidR="00515320" w:rsidRPr="00116593" w:rsidRDefault="00515320" w:rsidP="00515320">
      <w:pPr>
        <w:suppressAutoHyphens/>
        <w:spacing w:line="360" w:lineRule="auto"/>
        <w:ind w:firstLine="1440"/>
        <w:rPr>
          <w:spacing w:val="-3"/>
          <w:sz w:val="26"/>
        </w:rPr>
      </w:pPr>
    </w:p>
    <w:p w14:paraId="66CADA3D" w14:textId="572BB7FC" w:rsidR="00515320" w:rsidRPr="00116593" w:rsidRDefault="00515320" w:rsidP="00C36008">
      <w:pPr>
        <w:widowControl/>
        <w:spacing w:line="360" w:lineRule="auto"/>
        <w:ind w:firstLine="1440"/>
        <w:rPr>
          <w:sz w:val="26"/>
        </w:rPr>
      </w:pPr>
      <w:r w:rsidRPr="00116593">
        <w:rPr>
          <w:sz w:val="26"/>
        </w:rPr>
        <w:t xml:space="preserve">The Code establishes a party’s right to seek relief following the issuance of our final decisions pursuant to Subsections 703(f) and (g), 66 Pa. C.S. § 703(f) and § 703(g), relating to </w:t>
      </w:r>
      <w:proofErr w:type="spellStart"/>
      <w:r w:rsidRPr="00116593">
        <w:rPr>
          <w:sz w:val="26"/>
        </w:rPr>
        <w:t>rehearings</w:t>
      </w:r>
      <w:proofErr w:type="spellEnd"/>
      <w:r w:rsidRPr="00116593">
        <w:rPr>
          <w:sz w:val="26"/>
        </w:rPr>
        <w:t>, as well as the rescission and amendment of orders.  Such requests for relief must be consistent with Section 5.572 of our Regulations,</w:t>
      </w:r>
      <w:r w:rsidR="00190CD8">
        <w:rPr>
          <w:sz w:val="26"/>
        </w:rPr>
        <w:t xml:space="preserve"> </w:t>
      </w:r>
      <w:r w:rsidRPr="00116593">
        <w:rPr>
          <w:sz w:val="26"/>
        </w:rPr>
        <w:t>52 Pa. Code § 5.572, relating to petitions for relief following the issuance of a final decision.</w:t>
      </w:r>
    </w:p>
    <w:p w14:paraId="0F23571D" w14:textId="77777777" w:rsidR="00515320" w:rsidRPr="00116593" w:rsidRDefault="00515320" w:rsidP="00515320">
      <w:pPr>
        <w:spacing w:line="360" w:lineRule="auto"/>
        <w:rPr>
          <w:sz w:val="26"/>
        </w:rPr>
      </w:pPr>
    </w:p>
    <w:p w14:paraId="59D1BE2A" w14:textId="4405F3ED" w:rsidR="00515320" w:rsidRPr="00116593" w:rsidRDefault="00515320" w:rsidP="00515320">
      <w:pPr>
        <w:spacing w:line="360" w:lineRule="auto"/>
        <w:ind w:firstLine="1440"/>
        <w:rPr>
          <w:sz w:val="26"/>
        </w:rPr>
      </w:pPr>
      <w:r w:rsidRPr="00116593">
        <w:rPr>
          <w:sz w:val="26"/>
        </w:rPr>
        <w:t xml:space="preserve">The standards for granting a Petition for Reconsideration were set forth in </w:t>
      </w:r>
      <w:proofErr w:type="spellStart"/>
      <w:r w:rsidRPr="00116593">
        <w:rPr>
          <w:i/>
          <w:sz w:val="26"/>
        </w:rPr>
        <w:t>Duick</w:t>
      </w:r>
      <w:proofErr w:type="spellEnd"/>
      <w:r w:rsidRPr="00116593">
        <w:rPr>
          <w:i/>
          <w:sz w:val="26"/>
        </w:rPr>
        <w:t> v. Pennsylvania Gas and Water Company</w:t>
      </w:r>
      <w:r w:rsidRPr="00116593">
        <w:rPr>
          <w:sz w:val="26"/>
        </w:rPr>
        <w:t xml:space="preserve">, </w:t>
      </w:r>
      <w:r w:rsidRPr="00116593">
        <w:rPr>
          <w:sz w:val="26"/>
          <w:szCs w:val="24"/>
        </w:rPr>
        <w:t>56 Pa. P.U.C. 553</w:t>
      </w:r>
      <w:r w:rsidRPr="00116593">
        <w:rPr>
          <w:sz w:val="26"/>
        </w:rPr>
        <w:t xml:space="preserve"> (1982):</w:t>
      </w:r>
    </w:p>
    <w:p w14:paraId="5E7927CC" w14:textId="77777777" w:rsidR="00515320" w:rsidRPr="00116593" w:rsidRDefault="00515320" w:rsidP="00515320">
      <w:pPr>
        <w:widowControl/>
        <w:rPr>
          <w:sz w:val="26"/>
        </w:rPr>
      </w:pPr>
    </w:p>
    <w:p w14:paraId="68F8B571" w14:textId="77777777" w:rsidR="00515320" w:rsidRDefault="00515320" w:rsidP="00F22BC9">
      <w:pPr>
        <w:widowControl/>
        <w:ind w:left="1440" w:right="1440"/>
        <w:rPr>
          <w:sz w:val="26"/>
        </w:rPr>
      </w:pPr>
      <w:r w:rsidRPr="00116593">
        <w:rPr>
          <w:sz w:val="26"/>
        </w:rPr>
        <w:t>A Petition for Reconsideration, under the provisions of 66 Pa.</w:t>
      </w:r>
      <w:r w:rsidR="00407451">
        <w:rPr>
          <w:sz w:val="26"/>
        </w:rPr>
        <w:t> </w:t>
      </w:r>
      <w:r w:rsidRPr="00116593">
        <w:rPr>
          <w:sz w:val="26"/>
        </w:rPr>
        <w:t xml:space="preserve">C.S. § 703(g), may properly raise any matters designed to convince the Commission that it should exercise its discretion under this code section to rescind or amend a prior order in whole or in part.  In this </w:t>
      </w:r>
      <w:r w:rsidR="00E75367" w:rsidRPr="00116593">
        <w:rPr>
          <w:sz w:val="26"/>
        </w:rPr>
        <w:t>regard,</w:t>
      </w:r>
      <w:r w:rsidRPr="00116593">
        <w:rPr>
          <w:sz w:val="26"/>
        </w:rPr>
        <w:t xml:space="preserve"> we agree with the court in the </w:t>
      </w:r>
      <w:r w:rsidRPr="0087004F">
        <w:rPr>
          <w:i/>
          <w:sz w:val="26"/>
        </w:rPr>
        <w:t>Pennsyl</w:t>
      </w:r>
      <w:r w:rsidRPr="0087004F">
        <w:rPr>
          <w:i/>
          <w:sz w:val="26"/>
        </w:rPr>
        <w:softHyphen/>
        <w:t>vania Railroad Company</w:t>
      </w:r>
      <w:r w:rsidRPr="00116593">
        <w:rPr>
          <w:sz w:val="26"/>
        </w:rPr>
        <w:t xml:space="preserve"> cas</w:t>
      </w:r>
      <w:r w:rsidR="00F22BC9">
        <w:rPr>
          <w:sz w:val="26"/>
        </w:rPr>
        <w:t>e, wherein it was stated that “[p]</w:t>
      </w:r>
      <w:r w:rsidRPr="00116593">
        <w:rPr>
          <w:sz w:val="26"/>
        </w:rPr>
        <w:t>arties . . . cannot be permitted by a second motion to review and reconsider, to raise the same questions which were specif</w:t>
      </w:r>
      <w:r w:rsidR="00993143">
        <w:rPr>
          <w:sz w:val="26"/>
        </w:rPr>
        <w:t>ically decided against them .</w:t>
      </w:r>
      <w:r w:rsidR="00716AB1">
        <w:rPr>
          <w:sz w:val="26"/>
        </w:rPr>
        <w:t xml:space="preserve"> </w:t>
      </w:r>
      <w:r w:rsidR="00993143">
        <w:rPr>
          <w:sz w:val="26"/>
        </w:rPr>
        <w:t>.</w:t>
      </w:r>
      <w:r w:rsidR="00716AB1">
        <w:rPr>
          <w:sz w:val="26"/>
        </w:rPr>
        <w:t xml:space="preserve"> </w:t>
      </w:r>
      <w:r w:rsidRPr="00116593">
        <w:rPr>
          <w:sz w:val="26"/>
        </w:rPr>
        <w:t>.</w:t>
      </w:r>
      <w:r w:rsidR="00716AB1">
        <w:rPr>
          <w:sz w:val="26"/>
        </w:rPr>
        <w:t xml:space="preserve"> </w:t>
      </w:r>
      <w:r w:rsidR="00F22BC9">
        <w:rPr>
          <w:sz w:val="26"/>
        </w:rPr>
        <w:t>.”  W</w:t>
      </w:r>
      <w:r w:rsidRPr="00116593">
        <w:rPr>
          <w:sz w:val="26"/>
        </w:rPr>
        <w:t>hat we expect to see raised in such petitions are new and novel arguments, not previously heard, or considera</w:t>
      </w:r>
      <w:r w:rsidRPr="00116593">
        <w:rPr>
          <w:sz w:val="26"/>
        </w:rPr>
        <w:softHyphen/>
        <w:t xml:space="preserve">tions which appear to have been overlooked by the Commission.  </w:t>
      </w:r>
    </w:p>
    <w:p w14:paraId="2855A551" w14:textId="77777777" w:rsidR="00365ACC" w:rsidRDefault="00365ACC" w:rsidP="00F22BC9">
      <w:pPr>
        <w:widowControl/>
        <w:ind w:left="1440" w:right="1440"/>
        <w:rPr>
          <w:sz w:val="26"/>
        </w:rPr>
      </w:pPr>
    </w:p>
    <w:p w14:paraId="78B3D22A" w14:textId="77777777" w:rsidR="00365ACC" w:rsidRPr="00116593" w:rsidRDefault="00365ACC" w:rsidP="00F22BC9">
      <w:pPr>
        <w:widowControl/>
        <w:ind w:left="1440" w:right="1440"/>
        <w:rPr>
          <w:sz w:val="26"/>
        </w:rPr>
      </w:pPr>
    </w:p>
    <w:p w14:paraId="259288E0" w14:textId="41CBF212" w:rsidR="00515320" w:rsidRPr="00116593" w:rsidRDefault="00515320" w:rsidP="00515320">
      <w:pPr>
        <w:widowControl/>
        <w:spacing w:line="360" w:lineRule="auto"/>
        <w:rPr>
          <w:sz w:val="26"/>
          <w:szCs w:val="24"/>
        </w:rPr>
      </w:pPr>
      <w:proofErr w:type="spellStart"/>
      <w:r w:rsidRPr="00116593">
        <w:rPr>
          <w:i/>
          <w:sz w:val="26"/>
        </w:rPr>
        <w:t>Duick</w:t>
      </w:r>
      <w:proofErr w:type="spellEnd"/>
      <w:r w:rsidRPr="00116593">
        <w:rPr>
          <w:i/>
          <w:sz w:val="26"/>
        </w:rPr>
        <w:t>,</w:t>
      </w:r>
      <w:r w:rsidRPr="00116593">
        <w:rPr>
          <w:sz w:val="26"/>
        </w:rPr>
        <w:t xml:space="preserve"> </w:t>
      </w:r>
      <w:r w:rsidRPr="00116593">
        <w:rPr>
          <w:sz w:val="26"/>
          <w:szCs w:val="24"/>
        </w:rPr>
        <w:t xml:space="preserve">56 Pa. P.U.C. at 559 (quoting </w:t>
      </w:r>
      <w:r w:rsidRPr="00116593">
        <w:rPr>
          <w:i/>
          <w:sz w:val="26"/>
          <w:szCs w:val="24"/>
        </w:rPr>
        <w:t>Pennsylvania Railroad Co. v. Pennsylvania Public Service Commission</w:t>
      </w:r>
      <w:r w:rsidRPr="00116593">
        <w:rPr>
          <w:sz w:val="26"/>
          <w:szCs w:val="24"/>
        </w:rPr>
        <w:t>, 179 A. 850, 854 (Pa. Super. Ct. 1935)).</w:t>
      </w:r>
    </w:p>
    <w:p w14:paraId="0199B758" w14:textId="77777777" w:rsidR="00515320" w:rsidRPr="00116593" w:rsidRDefault="00515320" w:rsidP="00515320">
      <w:pPr>
        <w:widowControl/>
        <w:spacing w:line="360" w:lineRule="auto"/>
        <w:rPr>
          <w:sz w:val="26"/>
        </w:rPr>
      </w:pPr>
    </w:p>
    <w:p w14:paraId="011B66C4" w14:textId="77777777" w:rsidR="00515320" w:rsidRPr="00116593" w:rsidRDefault="00515320" w:rsidP="00515320">
      <w:pPr>
        <w:widowControl/>
        <w:suppressAutoHyphens/>
        <w:spacing w:line="360" w:lineRule="auto"/>
        <w:rPr>
          <w:color w:val="000000"/>
          <w:spacing w:val="-3"/>
          <w:sz w:val="26"/>
          <w:u w:color="000000"/>
        </w:rPr>
      </w:pPr>
      <w:r w:rsidRPr="00116593">
        <w:rPr>
          <w:color w:val="000000"/>
          <w:spacing w:val="-3"/>
          <w:sz w:val="26"/>
          <w:u w:color="000000"/>
        </w:rPr>
        <w:tab/>
      </w:r>
      <w:r w:rsidRPr="00116593">
        <w:rPr>
          <w:color w:val="000000"/>
          <w:spacing w:val="-3"/>
          <w:sz w:val="26"/>
          <w:u w:color="000000"/>
        </w:rPr>
        <w:tab/>
        <w:t xml:space="preserve">Under the standards of </w:t>
      </w:r>
      <w:proofErr w:type="spellStart"/>
      <w:r w:rsidRPr="00116593">
        <w:rPr>
          <w:i/>
          <w:color w:val="000000"/>
          <w:spacing w:val="-3"/>
          <w:sz w:val="26"/>
          <w:u w:color="000000"/>
        </w:rPr>
        <w:t>Duick</w:t>
      </w:r>
      <w:proofErr w:type="spellEnd"/>
      <w:r w:rsidRPr="00116593">
        <w:rPr>
          <w:color w:val="000000"/>
          <w:spacing w:val="-3"/>
          <w:sz w:val="26"/>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which appear to have been overlooked or not addressed by the Commission.  </w:t>
      </w:r>
      <w:proofErr w:type="spellStart"/>
      <w:r w:rsidRPr="00116593">
        <w:rPr>
          <w:i/>
          <w:color w:val="000000"/>
          <w:spacing w:val="-3"/>
          <w:sz w:val="26"/>
          <w:u w:color="000000"/>
        </w:rPr>
        <w:t>Duick</w:t>
      </w:r>
      <w:proofErr w:type="spellEnd"/>
      <w:r w:rsidR="00716AB1">
        <w:rPr>
          <w:color w:val="000000"/>
          <w:spacing w:val="-3"/>
          <w:sz w:val="26"/>
          <w:u w:color="000000"/>
        </w:rPr>
        <w:t>, 56 Pa. P.U.C. at 559.</w:t>
      </w:r>
    </w:p>
    <w:p w14:paraId="13421EBC" w14:textId="77777777" w:rsidR="00EB0A51" w:rsidRPr="005B05E3" w:rsidRDefault="00EB0A51" w:rsidP="00515320">
      <w:pPr>
        <w:widowControl/>
        <w:spacing w:line="360" w:lineRule="auto"/>
        <w:rPr>
          <w:sz w:val="26"/>
          <w:szCs w:val="26"/>
        </w:rPr>
      </w:pPr>
    </w:p>
    <w:p w14:paraId="6AA1D3BE" w14:textId="77777777" w:rsidR="00716C74" w:rsidRDefault="00C030D2" w:rsidP="0089744C">
      <w:pPr>
        <w:pStyle w:val="ListParagraph"/>
        <w:keepNext/>
        <w:widowControl/>
        <w:numPr>
          <w:ilvl w:val="0"/>
          <w:numId w:val="9"/>
        </w:numPr>
        <w:spacing w:line="360" w:lineRule="auto"/>
        <w:ind w:hanging="720"/>
        <w:rPr>
          <w:b/>
          <w:i/>
          <w:sz w:val="26"/>
          <w:szCs w:val="26"/>
        </w:rPr>
      </w:pPr>
      <w:r w:rsidRPr="0089744C">
        <w:rPr>
          <w:b/>
          <w:i/>
          <w:sz w:val="26"/>
          <w:szCs w:val="26"/>
        </w:rPr>
        <w:t>November</w:t>
      </w:r>
      <w:r w:rsidR="0096366E" w:rsidRPr="0089744C">
        <w:rPr>
          <w:b/>
          <w:i/>
          <w:sz w:val="26"/>
          <w:szCs w:val="26"/>
        </w:rPr>
        <w:t xml:space="preserve"> 201</w:t>
      </w:r>
      <w:r w:rsidR="00716AB1" w:rsidRPr="0089744C">
        <w:rPr>
          <w:b/>
          <w:i/>
          <w:sz w:val="26"/>
          <w:szCs w:val="26"/>
        </w:rPr>
        <w:t>7</w:t>
      </w:r>
      <w:r w:rsidR="00414B8E" w:rsidRPr="0089744C">
        <w:rPr>
          <w:b/>
          <w:i/>
          <w:sz w:val="26"/>
          <w:szCs w:val="26"/>
        </w:rPr>
        <w:t xml:space="preserve"> Order</w:t>
      </w:r>
    </w:p>
    <w:p w14:paraId="5D450F7A" w14:textId="77777777" w:rsidR="0089744C" w:rsidRPr="0089744C" w:rsidRDefault="0089744C" w:rsidP="0089744C">
      <w:pPr>
        <w:pStyle w:val="ListParagraph"/>
        <w:keepNext/>
        <w:widowControl/>
        <w:spacing w:line="360" w:lineRule="auto"/>
        <w:rPr>
          <w:b/>
          <w:i/>
          <w:sz w:val="26"/>
          <w:szCs w:val="26"/>
        </w:rPr>
      </w:pPr>
    </w:p>
    <w:p w14:paraId="3D6FAF9C" w14:textId="77777777" w:rsidR="00716C74" w:rsidRDefault="0089744C" w:rsidP="0089744C">
      <w:pPr>
        <w:pStyle w:val="ListParagraph"/>
        <w:widowControl/>
        <w:numPr>
          <w:ilvl w:val="0"/>
          <w:numId w:val="10"/>
        </w:numPr>
        <w:spacing w:line="360" w:lineRule="auto"/>
        <w:rPr>
          <w:sz w:val="26"/>
          <w:szCs w:val="26"/>
        </w:rPr>
      </w:pPr>
      <w:r w:rsidRPr="0089744C">
        <w:rPr>
          <w:b/>
          <w:sz w:val="26"/>
          <w:szCs w:val="26"/>
        </w:rPr>
        <w:t xml:space="preserve">Rate Stabilization Plan </w:t>
      </w:r>
    </w:p>
    <w:p w14:paraId="00B0C9EB" w14:textId="77777777" w:rsidR="0089744C" w:rsidRPr="0089744C" w:rsidRDefault="0089744C" w:rsidP="0089744C">
      <w:pPr>
        <w:pStyle w:val="ListParagraph"/>
        <w:widowControl/>
        <w:spacing w:line="360" w:lineRule="auto"/>
        <w:ind w:left="1080"/>
        <w:rPr>
          <w:sz w:val="26"/>
          <w:szCs w:val="26"/>
        </w:rPr>
      </w:pPr>
    </w:p>
    <w:p w14:paraId="193EF279" w14:textId="77777777" w:rsidR="00925AEB" w:rsidRDefault="00A251EE" w:rsidP="00321073">
      <w:pPr>
        <w:widowControl/>
        <w:spacing w:line="360" w:lineRule="auto"/>
        <w:rPr>
          <w:sz w:val="26"/>
          <w:szCs w:val="26"/>
        </w:rPr>
      </w:pPr>
      <w:r>
        <w:rPr>
          <w:sz w:val="26"/>
          <w:szCs w:val="26"/>
        </w:rPr>
        <w:tab/>
      </w:r>
      <w:r>
        <w:rPr>
          <w:sz w:val="26"/>
          <w:szCs w:val="26"/>
        </w:rPr>
        <w:tab/>
        <w:t xml:space="preserve">In our </w:t>
      </w:r>
      <w:r w:rsidR="00FA7EDE">
        <w:rPr>
          <w:i/>
          <w:sz w:val="26"/>
        </w:rPr>
        <w:t>November</w:t>
      </w:r>
      <w:r w:rsidR="00321073">
        <w:rPr>
          <w:i/>
          <w:sz w:val="26"/>
        </w:rPr>
        <w:t xml:space="preserve"> 2017 Order</w:t>
      </w:r>
      <w:r w:rsidR="00F40468">
        <w:rPr>
          <w:sz w:val="26"/>
          <w:szCs w:val="26"/>
        </w:rPr>
        <w:t>,</w:t>
      </w:r>
      <w:r>
        <w:rPr>
          <w:sz w:val="26"/>
          <w:szCs w:val="26"/>
        </w:rPr>
        <w:t xml:space="preserve"> we </w:t>
      </w:r>
      <w:r w:rsidR="0089744C">
        <w:rPr>
          <w:sz w:val="26"/>
          <w:szCs w:val="26"/>
        </w:rPr>
        <w:t xml:space="preserve">first </w:t>
      </w:r>
      <w:r w:rsidR="00321073">
        <w:rPr>
          <w:sz w:val="26"/>
          <w:szCs w:val="26"/>
        </w:rPr>
        <w:t xml:space="preserve">addressed </w:t>
      </w:r>
      <w:proofErr w:type="spellStart"/>
      <w:r w:rsidR="0089744C">
        <w:rPr>
          <w:sz w:val="26"/>
          <w:szCs w:val="26"/>
        </w:rPr>
        <w:t>Aqua’s</w:t>
      </w:r>
      <w:proofErr w:type="spellEnd"/>
      <w:r w:rsidR="0089744C">
        <w:rPr>
          <w:sz w:val="26"/>
          <w:szCs w:val="26"/>
        </w:rPr>
        <w:t xml:space="preserve"> Exception No. 1 which challenged </w:t>
      </w:r>
      <w:r w:rsidR="00321073">
        <w:rPr>
          <w:sz w:val="26"/>
          <w:szCs w:val="26"/>
        </w:rPr>
        <w:t xml:space="preserve">the </w:t>
      </w:r>
      <w:r w:rsidR="0089744C" w:rsidRPr="002915C6">
        <w:rPr>
          <w:sz w:val="26"/>
          <w:szCs w:val="26"/>
          <w:lang w:val="en"/>
        </w:rPr>
        <w:t xml:space="preserve">ALJ’s recommendation </w:t>
      </w:r>
      <w:r w:rsidR="00906357">
        <w:rPr>
          <w:sz w:val="26"/>
          <w:szCs w:val="26"/>
          <w:lang w:val="en"/>
        </w:rPr>
        <w:t xml:space="preserve">pertaining to the rate </w:t>
      </w:r>
      <w:r w:rsidR="0023595F">
        <w:rPr>
          <w:sz w:val="26"/>
          <w:szCs w:val="26"/>
          <w:lang w:val="en"/>
        </w:rPr>
        <w:t xml:space="preserve">stabilization plan and the rate freeze issue.  The ALJ reasoned </w:t>
      </w:r>
      <w:r w:rsidR="0089744C" w:rsidRPr="002915C6">
        <w:rPr>
          <w:sz w:val="26"/>
          <w:szCs w:val="26"/>
          <w:lang w:val="en"/>
        </w:rPr>
        <w:t>that, as a condition for approval of the instant Application, the Commission retain</w:t>
      </w:r>
      <w:r w:rsidR="0089744C">
        <w:rPr>
          <w:sz w:val="26"/>
          <w:szCs w:val="26"/>
          <w:lang w:val="en"/>
        </w:rPr>
        <w:t>s</w:t>
      </w:r>
      <w:r w:rsidR="0089744C" w:rsidRPr="002915C6">
        <w:rPr>
          <w:sz w:val="26"/>
          <w:szCs w:val="26"/>
          <w:lang w:val="en"/>
        </w:rPr>
        <w:t xml:space="preserve"> the authority to allocate revenues, if appropriate, to Limerick customers in excess of the restrictions in the APA</w:t>
      </w:r>
      <w:r w:rsidR="0089744C" w:rsidRPr="002915C6">
        <w:rPr>
          <w:rStyle w:val="FootnoteReference"/>
          <w:sz w:val="26"/>
          <w:szCs w:val="26"/>
          <w:lang w:val="en"/>
        </w:rPr>
        <w:footnoteReference w:id="2"/>
      </w:r>
      <w:r w:rsidR="0089744C" w:rsidRPr="002915C6">
        <w:rPr>
          <w:sz w:val="26"/>
          <w:szCs w:val="26"/>
          <w:lang w:val="en"/>
        </w:rPr>
        <w:t xml:space="preserve"> and that Aqua and its shareholders bear all risks of a shortfall between revenues it is permitted to recover and costs it incurs with respect to the Limerick system.</w:t>
      </w:r>
      <w:r w:rsidR="0089744C" w:rsidRPr="002915C6">
        <w:rPr>
          <w:rStyle w:val="FootnoteReference"/>
          <w:sz w:val="26"/>
          <w:szCs w:val="26"/>
          <w:lang w:val="en"/>
        </w:rPr>
        <w:footnoteReference w:id="3"/>
      </w:r>
    </w:p>
    <w:p w14:paraId="1EE8C4FB" w14:textId="77777777" w:rsidR="003402F4" w:rsidRDefault="003402F4" w:rsidP="00321073">
      <w:pPr>
        <w:widowControl/>
        <w:spacing w:line="360" w:lineRule="auto"/>
        <w:rPr>
          <w:sz w:val="26"/>
          <w:szCs w:val="26"/>
        </w:rPr>
      </w:pPr>
    </w:p>
    <w:p w14:paraId="62D998ED" w14:textId="4FB55626" w:rsidR="00595AE6" w:rsidRDefault="0023595F" w:rsidP="00595AE6">
      <w:pPr>
        <w:widowControl/>
        <w:autoSpaceDE w:val="0"/>
        <w:autoSpaceDN w:val="0"/>
        <w:adjustRightInd w:val="0"/>
        <w:spacing w:line="360" w:lineRule="auto"/>
        <w:ind w:firstLine="1440"/>
        <w:contextualSpacing/>
        <w:rPr>
          <w:sz w:val="26"/>
          <w:szCs w:val="26"/>
          <w:lang w:val="en"/>
        </w:rPr>
      </w:pPr>
      <w:r>
        <w:rPr>
          <w:sz w:val="26"/>
          <w:szCs w:val="26"/>
        </w:rPr>
        <w:t>We denied</w:t>
      </w:r>
      <w:r w:rsidR="0089744C" w:rsidRPr="0089744C">
        <w:rPr>
          <w:sz w:val="26"/>
          <w:szCs w:val="26"/>
          <w:lang w:val="en"/>
        </w:rPr>
        <w:t xml:space="preserve"> </w:t>
      </w:r>
      <w:proofErr w:type="spellStart"/>
      <w:r w:rsidR="0089744C" w:rsidRPr="0089744C">
        <w:rPr>
          <w:sz w:val="26"/>
          <w:szCs w:val="26"/>
          <w:lang w:val="en"/>
        </w:rPr>
        <w:t>Aqua’s</w:t>
      </w:r>
      <w:proofErr w:type="spellEnd"/>
      <w:r w:rsidR="0089744C" w:rsidRPr="0089744C">
        <w:rPr>
          <w:sz w:val="26"/>
          <w:szCs w:val="26"/>
          <w:lang w:val="en"/>
        </w:rPr>
        <w:t xml:space="preserve"> Exception No. 1</w:t>
      </w:r>
      <w:r>
        <w:rPr>
          <w:sz w:val="26"/>
          <w:szCs w:val="26"/>
          <w:lang w:val="en"/>
        </w:rPr>
        <w:t>, agreeing with t</w:t>
      </w:r>
      <w:r w:rsidR="0089744C" w:rsidRPr="0089744C">
        <w:rPr>
          <w:sz w:val="26"/>
          <w:szCs w:val="26"/>
          <w:lang w:val="en"/>
        </w:rPr>
        <w:t>he ALJ’s adoption of the OCA’s suggested conditions of approval of the instant Application in his Recommended Decision.  We disagree</w:t>
      </w:r>
      <w:r>
        <w:rPr>
          <w:sz w:val="26"/>
          <w:szCs w:val="26"/>
          <w:lang w:val="en"/>
        </w:rPr>
        <w:t>d</w:t>
      </w:r>
      <w:r w:rsidR="0089744C" w:rsidRPr="0089744C">
        <w:rPr>
          <w:sz w:val="26"/>
          <w:szCs w:val="26"/>
          <w:lang w:val="en"/>
        </w:rPr>
        <w:t xml:space="preserve"> with </w:t>
      </w:r>
      <w:proofErr w:type="spellStart"/>
      <w:r w:rsidR="0089744C" w:rsidRPr="0089744C">
        <w:rPr>
          <w:sz w:val="26"/>
          <w:szCs w:val="26"/>
          <w:lang w:val="en"/>
        </w:rPr>
        <w:t>Aqua’s</w:t>
      </w:r>
      <w:proofErr w:type="spellEnd"/>
      <w:r w:rsidR="0089744C" w:rsidRPr="0089744C">
        <w:rPr>
          <w:sz w:val="26"/>
          <w:szCs w:val="26"/>
          <w:lang w:val="en"/>
        </w:rPr>
        <w:t xml:space="preserve"> comparison of this case with the PAWC-Scranton proceeding</w:t>
      </w:r>
      <w:r w:rsidR="00595AE6">
        <w:rPr>
          <w:rStyle w:val="FootnoteReference"/>
          <w:sz w:val="26"/>
          <w:szCs w:val="26"/>
          <w:lang w:val="en"/>
        </w:rPr>
        <w:footnoteReference w:id="4"/>
      </w:r>
      <w:r w:rsidR="0089744C" w:rsidRPr="0089744C">
        <w:rPr>
          <w:sz w:val="26"/>
          <w:szCs w:val="26"/>
          <w:lang w:val="en"/>
        </w:rPr>
        <w:t xml:space="preserve"> as a basis for its argument against the conditions for approval.  We concur</w:t>
      </w:r>
      <w:r>
        <w:rPr>
          <w:sz w:val="26"/>
          <w:szCs w:val="26"/>
          <w:lang w:val="en"/>
        </w:rPr>
        <w:t>red</w:t>
      </w:r>
      <w:r w:rsidR="0089744C" w:rsidRPr="0089744C">
        <w:rPr>
          <w:sz w:val="26"/>
          <w:szCs w:val="26"/>
          <w:lang w:val="en"/>
        </w:rPr>
        <w:t xml:space="preserve"> with the OCA’s contention that both cases are not entirely analogous.</w:t>
      </w:r>
      <w:r w:rsidR="00595AE6">
        <w:rPr>
          <w:rStyle w:val="FootnoteReference"/>
          <w:sz w:val="26"/>
          <w:szCs w:val="26"/>
          <w:lang w:val="en"/>
        </w:rPr>
        <w:footnoteReference w:id="5"/>
      </w:r>
      <w:r w:rsidR="0089744C" w:rsidRPr="0089744C">
        <w:rPr>
          <w:sz w:val="26"/>
          <w:szCs w:val="26"/>
          <w:lang w:val="en"/>
        </w:rPr>
        <w:t xml:space="preserve">  </w:t>
      </w:r>
    </w:p>
    <w:p w14:paraId="7AB6C897" w14:textId="77777777" w:rsidR="006B217A" w:rsidRPr="0089744C" w:rsidRDefault="006B217A" w:rsidP="00595AE6">
      <w:pPr>
        <w:widowControl/>
        <w:autoSpaceDE w:val="0"/>
        <w:autoSpaceDN w:val="0"/>
        <w:adjustRightInd w:val="0"/>
        <w:spacing w:line="360" w:lineRule="auto"/>
        <w:ind w:firstLine="1440"/>
        <w:contextualSpacing/>
        <w:rPr>
          <w:sz w:val="26"/>
          <w:szCs w:val="26"/>
        </w:rPr>
      </w:pPr>
    </w:p>
    <w:p w14:paraId="50CCA615" w14:textId="77777777" w:rsidR="005C2334" w:rsidRPr="00595AE6" w:rsidRDefault="006F0175" w:rsidP="006F0175">
      <w:pPr>
        <w:widowControl/>
        <w:spacing w:line="360" w:lineRule="auto"/>
        <w:rPr>
          <w:sz w:val="26"/>
          <w:szCs w:val="26"/>
        </w:rPr>
      </w:pPr>
      <w:r>
        <w:rPr>
          <w:sz w:val="26"/>
          <w:szCs w:val="26"/>
          <w:lang w:val="en"/>
        </w:rPr>
        <w:tab/>
      </w:r>
      <w:r>
        <w:rPr>
          <w:sz w:val="26"/>
          <w:szCs w:val="26"/>
          <w:lang w:val="en"/>
        </w:rPr>
        <w:tab/>
        <w:t xml:space="preserve">Next, we addressed </w:t>
      </w:r>
      <w:proofErr w:type="spellStart"/>
      <w:r>
        <w:rPr>
          <w:sz w:val="26"/>
          <w:szCs w:val="26"/>
          <w:lang w:val="en"/>
        </w:rPr>
        <w:t>Aqua’s</w:t>
      </w:r>
      <w:proofErr w:type="spellEnd"/>
      <w:r>
        <w:rPr>
          <w:sz w:val="26"/>
          <w:szCs w:val="26"/>
          <w:lang w:val="en"/>
        </w:rPr>
        <w:t xml:space="preserve"> </w:t>
      </w:r>
      <w:r w:rsidRPr="002915C6">
        <w:rPr>
          <w:sz w:val="26"/>
          <w:szCs w:val="26"/>
          <w:lang w:val="en"/>
        </w:rPr>
        <w:t xml:space="preserve">Exception No. 2, </w:t>
      </w:r>
      <w:r>
        <w:rPr>
          <w:sz w:val="26"/>
          <w:szCs w:val="26"/>
          <w:lang w:val="en"/>
        </w:rPr>
        <w:t>in which Aqua</w:t>
      </w:r>
      <w:r w:rsidRPr="002915C6">
        <w:rPr>
          <w:sz w:val="26"/>
          <w:szCs w:val="26"/>
          <w:lang w:val="en"/>
        </w:rPr>
        <w:t xml:space="preserve"> disagree</w:t>
      </w:r>
      <w:r>
        <w:rPr>
          <w:sz w:val="26"/>
          <w:szCs w:val="26"/>
          <w:lang w:val="en"/>
        </w:rPr>
        <w:t>d</w:t>
      </w:r>
      <w:r w:rsidRPr="002915C6">
        <w:rPr>
          <w:sz w:val="26"/>
          <w:szCs w:val="26"/>
          <w:lang w:val="en"/>
        </w:rPr>
        <w:t xml:space="preserve"> with the ALJ’s denial of its proposal to split the $75.1 million ratemaking rate base into an initial rate base of $60 million and a regulatory asset of $15.1 million.</w:t>
      </w:r>
      <w:r>
        <w:rPr>
          <w:sz w:val="26"/>
          <w:szCs w:val="26"/>
        </w:rPr>
        <w:t xml:space="preserve">  </w:t>
      </w:r>
      <w:r>
        <w:rPr>
          <w:sz w:val="26"/>
          <w:szCs w:val="26"/>
          <w:lang w:val="en"/>
        </w:rPr>
        <w:t>In our disposition, w</w:t>
      </w:r>
      <w:r w:rsidRPr="002915C6">
        <w:rPr>
          <w:sz w:val="26"/>
          <w:szCs w:val="26"/>
          <w:lang w:val="en"/>
        </w:rPr>
        <w:t>e agree</w:t>
      </w:r>
      <w:r>
        <w:rPr>
          <w:sz w:val="26"/>
          <w:szCs w:val="26"/>
          <w:lang w:val="en"/>
        </w:rPr>
        <w:t>d</w:t>
      </w:r>
      <w:r w:rsidRPr="002915C6">
        <w:rPr>
          <w:sz w:val="26"/>
          <w:szCs w:val="26"/>
          <w:lang w:val="en"/>
        </w:rPr>
        <w:t xml:space="preserve"> with the ALJ’s recommendation and the arguments put forth by the opposing Parties regarding this issue.  We concur</w:t>
      </w:r>
      <w:r>
        <w:rPr>
          <w:sz w:val="26"/>
          <w:szCs w:val="26"/>
          <w:lang w:val="en"/>
        </w:rPr>
        <w:t>red</w:t>
      </w:r>
      <w:r w:rsidRPr="002915C6">
        <w:rPr>
          <w:sz w:val="26"/>
          <w:szCs w:val="26"/>
          <w:lang w:val="en"/>
        </w:rPr>
        <w:t xml:space="preserve"> that </w:t>
      </w:r>
      <w:proofErr w:type="spellStart"/>
      <w:r w:rsidRPr="002915C6">
        <w:rPr>
          <w:sz w:val="26"/>
          <w:szCs w:val="26"/>
          <w:lang w:val="en"/>
        </w:rPr>
        <w:t>Aqua’s</w:t>
      </w:r>
      <w:proofErr w:type="spellEnd"/>
      <w:r w:rsidRPr="002915C6">
        <w:rPr>
          <w:sz w:val="26"/>
          <w:szCs w:val="26"/>
          <w:lang w:val="en"/>
        </w:rPr>
        <w:t xml:space="preserve"> proposal is inconsistent with the procedural requirements articulated in Section 1329 and with traditional ratemaking principles.  We agree</w:t>
      </w:r>
      <w:r>
        <w:rPr>
          <w:sz w:val="26"/>
          <w:szCs w:val="26"/>
          <w:lang w:val="en"/>
        </w:rPr>
        <w:t>d</w:t>
      </w:r>
      <w:r w:rsidRPr="002915C6">
        <w:rPr>
          <w:sz w:val="26"/>
          <w:szCs w:val="26"/>
          <w:lang w:val="en"/>
        </w:rPr>
        <w:t xml:space="preserve"> that the circumstances for allowing a regulatory asset does not prevail in the instant proceeding.  </w:t>
      </w:r>
      <w:r>
        <w:rPr>
          <w:sz w:val="26"/>
          <w:szCs w:val="26"/>
          <w:lang w:val="en"/>
        </w:rPr>
        <w:t>Accordingly, w</w:t>
      </w:r>
      <w:r w:rsidRPr="002915C6">
        <w:rPr>
          <w:sz w:val="26"/>
          <w:szCs w:val="26"/>
          <w:lang w:val="en"/>
        </w:rPr>
        <w:t xml:space="preserve">e </w:t>
      </w:r>
      <w:r>
        <w:rPr>
          <w:sz w:val="26"/>
          <w:szCs w:val="26"/>
          <w:lang w:val="en"/>
        </w:rPr>
        <w:t>did</w:t>
      </w:r>
      <w:r w:rsidRPr="002915C6">
        <w:rPr>
          <w:sz w:val="26"/>
          <w:szCs w:val="26"/>
          <w:lang w:val="en"/>
        </w:rPr>
        <w:t xml:space="preserve"> not believe </w:t>
      </w:r>
      <w:proofErr w:type="spellStart"/>
      <w:r w:rsidRPr="002915C6">
        <w:rPr>
          <w:sz w:val="26"/>
          <w:szCs w:val="26"/>
          <w:lang w:val="en"/>
        </w:rPr>
        <w:t>Aqua’s</w:t>
      </w:r>
      <w:proofErr w:type="spellEnd"/>
      <w:r w:rsidRPr="002915C6">
        <w:rPr>
          <w:sz w:val="26"/>
          <w:szCs w:val="26"/>
          <w:lang w:val="en"/>
        </w:rPr>
        <w:t xml:space="preserve"> regulatory asset proposal </w:t>
      </w:r>
      <w:r>
        <w:rPr>
          <w:sz w:val="26"/>
          <w:szCs w:val="26"/>
          <w:lang w:val="en"/>
        </w:rPr>
        <w:t>was</w:t>
      </w:r>
      <w:r w:rsidRPr="002915C6">
        <w:rPr>
          <w:sz w:val="26"/>
          <w:szCs w:val="26"/>
          <w:lang w:val="en"/>
        </w:rPr>
        <w:t xml:space="preserve"> appropriate in this proceeding</w:t>
      </w:r>
      <w:r>
        <w:rPr>
          <w:sz w:val="26"/>
          <w:szCs w:val="26"/>
          <w:lang w:val="en"/>
        </w:rPr>
        <w:t xml:space="preserve"> and</w:t>
      </w:r>
      <w:r w:rsidRPr="002915C6">
        <w:rPr>
          <w:sz w:val="26"/>
          <w:szCs w:val="26"/>
        </w:rPr>
        <w:t xml:space="preserve"> den</w:t>
      </w:r>
      <w:r>
        <w:rPr>
          <w:sz w:val="26"/>
          <w:szCs w:val="26"/>
        </w:rPr>
        <w:t>ied</w:t>
      </w:r>
      <w:r w:rsidRPr="002915C6">
        <w:rPr>
          <w:sz w:val="26"/>
          <w:szCs w:val="26"/>
        </w:rPr>
        <w:t xml:space="preserve"> </w:t>
      </w:r>
      <w:proofErr w:type="spellStart"/>
      <w:r w:rsidRPr="002915C6">
        <w:rPr>
          <w:sz w:val="26"/>
          <w:szCs w:val="26"/>
        </w:rPr>
        <w:t>Aqua</w:t>
      </w:r>
      <w:r>
        <w:rPr>
          <w:sz w:val="26"/>
          <w:szCs w:val="26"/>
        </w:rPr>
        <w:t>’s</w:t>
      </w:r>
      <w:proofErr w:type="spellEnd"/>
      <w:r w:rsidRPr="002915C6">
        <w:rPr>
          <w:sz w:val="26"/>
          <w:szCs w:val="26"/>
        </w:rPr>
        <w:t xml:space="preserve"> Exception No. 2.</w:t>
      </w:r>
      <w:r w:rsidR="00595AE6">
        <w:rPr>
          <w:sz w:val="26"/>
          <w:szCs w:val="26"/>
        </w:rPr>
        <w:t xml:space="preserve">  </w:t>
      </w:r>
      <w:bookmarkStart w:id="6" w:name="_Hlk511029337"/>
      <w:r w:rsidR="00595AE6" w:rsidRPr="00595AE6">
        <w:rPr>
          <w:i/>
          <w:sz w:val="26"/>
          <w:szCs w:val="26"/>
        </w:rPr>
        <w:t>November 2017 Order</w:t>
      </w:r>
      <w:r w:rsidR="00595AE6">
        <w:rPr>
          <w:i/>
          <w:sz w:val="26"/>
          <w:szCs w:val="26"/>
        </w:rPr>
        <w:t xml:space="preserve"> </w:t>
      </w:r>
      <w:r w:rsidR="00595AE6">
        <w:rPr>
          <w:sz w:val="26"/>
          <w:szCs w:val="26"/>
        </w:rPr>
        <w:t xml:space="preserve">at </w:t>
      </w:r>
      <w:bookmarkEnd w:id="6"/>
      <w:r w:rsidR="00CC0F04">
        <w:rPr>
          <w:sz w:val="26"/>
          <w:szCs w:val="26"/>
        </w:rPr>
        <w:t>34.</w:t>
      </w:r>
    </w:p>
    <w:p w14:paraId="338009B0" w14:textId="3EEC8659" w:rsidR="00CC0F04" w:rsidRDefault="00CC0F04">
      <w:pPr>
        <w:widowControl/>
        <w:spacing w:after="200" w:line="276" w:lineRule="auto"/>
        <w:rPr>
          <w:b/>
          <w:sz w:val="26"/>
          <w:szCs w:val="26"/>
        </w:rPr>
      </w:pPr>
    </w:p>
    <w:p w14:paraId="54E6C832" w14:textId="77777777" w:rsidR="006F681C" w:rsidRDefault="00C458EF" w:rsidP="006B217A">
      <w:pPr>
        <w:pStyle w:val="ListParagraph"/>
        <w:keepNext/>
        <w:keepLines/>
        <w:widowControl/>
        <w:numPr>
          <w:ilvl w:val="0"/>
          <w:numId w:val="10"/>
        </w:numPr>
        <w:spacing w:line="360" w:lineRule="auto"/>
        <w:rPr>
          <w:b/>
          <w:sz w:val="26"/>
          <w:szCs w:val="26"/>
        </w:rPr>
      </w:pPr>
      <w:r w:rsidRPr="00C458EF">
        <w:rPr>
          <w:b/>
          <w:sz w:val="26"/>
          <w:szCs w:val="26"/>
        </w:rPr>
        <w:t>Approval of the Rate Base Value</w:t>
      </w:r>
    </w:p>
    <w:p w14:paraId="380BA72B" w14:textId="77777777" w:rsidR="006F681C" w:rsidRDefault="006F681C" w:rsidP="006B217A">
      <w:pPr>
        <w:pStyle w:val="ListParagraph"/>
        <w:keepNext/>
        <w:keepLines/>
        <w:widowControl/>
        <w:spacing w:line="360" w:lineRule="auto"/>
        <w:ind w:left="1080"/>
        <w:rPr>
          <w:rFonts w:eastAsia="Calibri"/>
          <w:sz w:val="26"/>
          <w:szCs w:val="26"/>
        </w:rPr>
      </w:pPr>
    </w:p>
    <w:p w14:paraId="2F7B8F6C" w14:textId="5B6A99DB" w:rsidR="00B86747" w:rsidRPr="00B86747" w:rsidRDefault="006F681C" w:rsidP="006B217A">
      <w:pPr>
        <w:pStyle w:val="ListParagraph"/>
        <w:widowControl/>
        <w:spacing w:line="360" w:lineRule="auto"/>
        <w:ind w:left="0"/>
        <w:rPr>
          <w:sz w:val="26"/>
          <w:szCs w:val="26"/>
        </w:rPr>
      </w:pPr>
      <w:r>
        <w:rPr>
          <w:rFonts w:eastAsia="Calibri"/>
          <w:sz w:val="26"/>
          <w:szCs w:val="26"/>
        </w:rPr>
        <w:tab/>
      </w:r>
      <w:r>
        <w:rPr>
          <w:rFonts w:eastAsia="Calibri"/>
          <w:sz w:val="26"/>
          <w:szCs w:val="26"/>
        </w:rPr>
        <w:tab/>
      </w:r>
      <w:r w:rsidR="00C458EF" w:rsidRPr="006F681C">
        <w:rPr>
          <w:rFonts w:eastAsia="Calibri"/>
          <w:sz w:val="26"/>
          <w:szCs w:val="26"/>
        </w:rPr>
        <w:t>As a preliminary matte</w:t>
      </w:r>
      <w:r w:rsidR="00B86747" w:rsidRPr="006F681C">
        <w:rPr>
          <w:rFonts w:eastAsia="Calibri"/>
          <w:sz w:val="26"/>
          <w:szCs w:val="26"/>
        </w:rPr>
        <w:t>r</w:t>
      </w:r>
      <w:r w:rsidR="00C458EF" w:rsidRPr="006F681C">
        <w:rPr>
          <w:rFonts w:eastAsia="Calibri"/>
          <w:sz w:val="26"/>
          <w:szCs w:val="26"/>
        </w:rPr>
        <w:t xml:space="preserve"> under the rate base value determination, we considered </w:t>
      </w:r>
      <w:proofErr w:type="spellStart"/>
      <w:r w:rsidR="00C458EF" w:rsidRPr="006F681C">
        <w:rPr>
          <w:rFonts w:eastAsia="Calibri"/>
          <w:sz w:val="26"/>
          <w:szCs w:val="26"/>
        </w:rPr>
        <w:t>Aqua’s</w:t>
      </w:r>
      <w:proofErr w:type="spellEnd"/>
      <w:r w:rsidR="00C458EF" w:rsidRPr="006F681C">
        <w:rPr>
          <w:rFonts w:eastAsia="Calibri"/>
          <w:sz w:val="26"/>
          <w:szCs w:val="26"/>
        </w:rPr>
        <w:t xml:space="preserve"> Exception No. 3, which contended that the </w:t>
      </w:r>
      <w:r w:rsidR="00C458EF" w:rsidRPr="006F681C">
        <w:rPr>
          <w:sz w:val="26"/>
          <w:szCs w:val="26"/>
        </w:rPr>
        <w:t xml:space="preserve">General Assembly did not intend for fair market valuation to be a matter of traditional litigation.  </w:t>
      </w:r>
      <w:r w:rsidR="00B86747" w:rsidRPr="006F681C">
        <w:rPr>
          <w:sz w:val="26"/>
          <w:szCs w:val="26"/>
        </w:rPr>
        <w:t xml:space="preserve">We emphasized our conclusion in the </w:t>
      </w:r>
      <w:r w:rsidR="00B86747" w:rsidRPr="006F681C">
        <w:rPr>
          <w:i/>
          <w:sz w:val="26"/>
          <w:szCs w:val="26"/>
        </w:rPr>
        <w:t xml:space="preserve">Aqua – New Garden </w:t>
      </w:r>
      <w:r w:rsidR="00CC0F04" w:rsidRPr="006F681C">
        <w:rPr>
          <w:i/>
          <w:sz w:val="26"/>
          <w:szCs w:val="26"/>
        </w:rPr>
        <w:t xml:space="preserve">Application </w:t>
      </w:r>
      <w:r w:rsidR="00B86747" w:rsidRPr="006F681C">
        <w:rPr>
          <w:i/>
          <w:sz w:val="26"/>
          <w:szCs w:val="26"/>
        </w:rPr>
        <w:t>Order</w:t>
      </w:r>
      <w:r w:rsidR="00B86747" w:rsidRPr="006F681C">
        <w:rPr>
          <w:sz w:val="26"/>
          <w:szCs w:val="26"/>
        </w:rPr>
        <w:t xml:space="preserve"> that Section 1329 permits the Commission and the Parties to develop a record pertaining to the review and analysis </w:t>
      </w:r>
      <w:r w:rsidR="00B86747" w:rsidRPr="00B86747">
        <w:rPr>
          <w:sz w:val="26"/>
          <w:szCs w:val="26"/>
        </w:rPr>
        <w:t xml:space="preserve">of the fair market value </w:t>
      </w:r>
      <w:r w:rsidR="008A1B96">
        <w:rPr>
          <w:sz w:val="26"/>
          <w:szCs w:val="26"/>
        </w:rPr>
        <w:t xml:space="preserve">(FMV) </w:t>
      </w:r>
      <w:r w:rsidR="00B86747" w:rsidRPr="00B86747">
        <w:rPr>
          <w:sz w:val="26"/>
          <w:szCs w:val="26"/>
        </w:rPr>
        <w:t>appraisals of the</w:t>
      </w:r>
      <w:r w:rsidR="008A1B96">
        <w:rPr>
          <w:sz w:val="26"/>
          <w:szCs w:val="26"/>
        </w:rPr>
        <w:t xml:space="preserve"> </w:t>
      </w:r>
      <w:r w:rsidR="008A1B96" w:rsidRPr="002915C6">
        <w:rPr>
          <w:sz w:val="26"/>
          <w:szCs w:val="26"/>
        </w:rPr>
        <w:t>utility valuation expert</w:t>
      </w:r>
      <w:r w:rsidR="008A1B96">
        <w:rPr>
          <w:sz w:val="26"/>
          <w:szCs w:val="26"/>
        </w:rPr>
        <w:t>s</w:t>
      </w:r>
      <w:r w:rsidR="00B86747" w:rsidRPr="00B86747">
        <w:rPr>
          <w:sz w:val="26"/>
          <w:szCs w:val="26"/>
        </w:rPr>
        <w:t xml:space="preserve"> </w:t>
      </w:r>
      <w:r w:rsidR="008A1B96">
        <w:rPr>
          <w:sz w:val="26"/>
          <w:szCs w:val="26"/>
        </w:rPr>
        <w:t>(</w:t>
      </w:r>
      <w:r w:rsidR="00B86747" w:rsidRPr="00B86747">
        <w:rPr>
          <w:sz w:val="26"/>
          <w:szCs w:val="26"/>
        </w:rPr>
        <w:t>UVEs</w:t>
      </w:r>
      <w:r w:rsidR="008A1B96">
        <w:rPr>
          <w:sz w:val="26"/>
          <w:szCs w:val="26"/>
        </w:rPr>
        <w:t>)</w:t>
      </w:r>
      <w:r w:rsidR="00B86747" w:rsidRPr="00B86747">
        <w:rPr>
          <w:sz w:val="26"/>
          <w:szCs w:val="26"/>
        </w:rPr>
        <w:t>.</w:t>
      </w:r>
      <w:r w:rsidR="00CC0F04">
        <w:rPr>
          <w:rStyle w:val="FootnoteReference"/>
          <w:sz w:val="26"/>
          <w:szCs w:val="26"/>
        </w:rPr>
        <w:footnoteReference w:id="6"/>
      </w:r>
      <w:r w:rsidR="00B86747" w:rsidRPr="00B86747">
        <w:rPr>
          <w:sz w:val="26"/>
          <w:szCs w:val="26"/>
        </w:rPr>
        <w:t xml:space="preserve">  Here, </w:t>
      </w:r>
      <w:r w:rsidR="00B86747">
        <w:rPr>
          <w:sz w:val="26"/>
          <w:szCs w:val="26"/>
        </w:rPr>
        <w:t xml:space="preserve">we noted, </w:t>
      </w:r>
      <w:r w:rsidR="00B86747" w:rsidRPr="00B86747">
        <w:rPr>
          <w:sz w:val="26"/>
          <w:szCs w:val="26"/>
        </w:rPr>
        <w:t xml:space="preserve">the ALJ appropriately relied on our prior ruling in allowing the Parties to question and challenge the fair market value appraisals and the proposed rate base value of the acquired assets, and to submit evidence and develop a record in support of their respective positions.  </w:t>
      </w:r>
      <w:r w:rsidR="00570C92">
        <w:rPr>
          <w:sz w:val="26"/>
          <w:szCs w:val="26"/>
        </w:rPr>
        <w:t>Finding</w:t>
      </w:r>
      <w:r w:rsidR="00B86747" w:rsidRPr="00B86747">
        <w:rPr>
          <w:sz w:val="26"/>
          <w:szCs w:val="26"/>
        </w:rPr>
        <w:t xml:space="preserve"> no error in the ALJ’s handling of the evidentiary record</w:t>
      </w:r>
      <w:r w:rsidR="00570C92">
        <w:rPr>
          <w:sz w:val="26"/>
          <w:szCs w:val="26"/>
        </w:rPr>
        <w:t xml:space="preserve">, we </w:t>
      </w:r>
      <w:r w:rsidR="00B86747" w:rsidRPr="00B86747">
        <w:rPr>
          <w:sz w:val="26"/>
          <w:szCs w:val="26"/>
        </w:rPr>
        <w:t>den</w:t>
      </w:r>
      <w:r w:rsidR="00B86747">
        <w:rPr>
          <w:sz w:val="26"/>
          <w:szCs w:val="26"/>
        </w:rPr>
        <w:t>ied</w:t>
      </w:r>
      <w:r w:rsidR="00B86747" w:rsidRPr="00B86747">
        <w:rPr>
          <w:sz w:val="26"/>
          <w:szCs w:val="26"/>
        </w:rPr>
        <w:t xml:space="preserve"> </w:t>
      </w:r>
      <w:proofErr w:type="spellStart"/>
      <w:r w:rsidR="00B86747" w:rsidRPr="00B86747">
        <w:rPr>
          <w:sz w:val="26"/>
          <w:szCs w:val="26"/>
        </w:rPr>
        <w:t>Aqua’s</w:t>
      </w:r>
      <w:proofErr w:type="spellEnd"/>
      <w:r w:rsidR="00B86747" w:rsidRPr="00B86747">
        <w:rPr>
          <w:sz w:val="26"/>
          <w:szCs w:val="26"/>
        </w:rPr>
        <w:t xml:space="preserve"> Exception.</w:t>
      </w:r>
      <w:r w:rsidR="00CC0F04">
        <w:rPr>
          <w:sz w:val="26"/>
          <w:szCs w:val="26"/>
        </w:rPr>
        <w:t xml:space="preserve">  </w:t>
      </w:r>
      <w:r w:rsidR="00CC0F04" w:rsidRPr="00595AE6">
        <w:rPr>
          <w:i/>
          <w:sz w:val="26"/>
          <w:szCs w:val="26"/>
        </w:rPr>
        <w:t>November 2017 Order</w:t>
      </w:r>
      <w:r w:rsidR="00CC0F04">
        <w:rPr>
          <w:i/>
          <w:sz w:val="26"/>
          <w:szCs w:val="26"/>
        </w:rPr>
        <w:t xml:space="preserve"> </w:t>
      </w:r>
      <w:r w:rsidR="00CC0F04">
        <w:rPr>
          <w:sz w:val="26"/>
          <w:szCs w:val="26"/>
        </w:rPr>
        <w:t>at 35-36.</w:t>
      </w:r>
    </w:p>
    <w:p w14:paraId="3239FB1A" w14:textId="77777777" w:rsidR="00B86747" w:rsidRPr="00B86747" w:rsidRDefault="00B86747" w:rsidP="00B86747">
      <w:pPr>
        <w:widowControl/>
        <w:spacing w:line="360" w:lineRule="auto"/>
        <w:rPr>
          <w:sz w:val="26"/>
          <w:szCs w:val="26"/>
        </w:rPr>
      </w:pPr>
    </w:p>
    <w:p w14:paraId="7562D841" w14:textId="7C9FEA7F" w:rsidR="00B86747" w:rsidRDefault="00B86747" w:rsidP="00B86747">
      <w:pPr>
        <w:widowControl/>
        <w:spacing w:line="360" w:lineRule="auto"/>
        <w:rPr>
          <w:sz w:val="26"/>
          <w:szCs w:val="26"/>
          <w:lang w:val="en"/>
        </w:rPr>
      </w:pPr>
      <w:r w:rsidRPr="00B86747">
        <w:rPr>
          <w:sz w:val="26"/>
          <w:szCs w:val="26"/>
        </w:rPr>
        <w:tab/>
      </w:r>
      <w:r w:rsidRPr="00B86747">
        <w:rPr>
          <w:sz w:val="26"/>
          <w:szCs w:val="26"/>
        </w:rPr>
        <w:tab/>
      </w:r>
      <w:r>
        <w:rPr>
          <w:sz w:val="26"/>
          <w:szCs w:val="26"/>
        </w:rPr>
        <w:t xml:space="preserve">We further addressed </w:t>
      </w:r>
      <w:proofErr w:type="spellStart"/>
      <w:r w:rsidRPr="00B86747">
        <w:rPr>
          <w:sz w:val="26"/>
          <w:szCs w:val="26"/>
        </w:rPr>
        <w:t>Aqua’s</w:t>
      </w:r>
      <w:proofErr w:type="spellEnd"/>
      <w:r w:rsidRPr="00B86747">
        <w:rPr>
          <w:sz w:val="26"/>
          <w:szCs w:val="26"/>
        </w:rPr>
        <w:t xml:space="preserve"> </w:t>
      </w:r>
      <w:r w:rsidR="00570C92">
        <w:rPr>
          <w:sz w:val="26"/>
          <w:szCs w:val="26"/>
        </w:rPr>
        <w:t>argument</w:t>
      </w:r>
      <w:r w:rsidRPr="00B86747">
        <w:rPr>
          <w:sz w:val="26"/>
          <w:szCs w:val="26"/>
        </w:rPr>
        <w:t xml:space="preserve">, pertaining to the </w:t>
      </w:r>
      <w:r>
        <w:rPr>
          <w:sz w:val="26"/>
          <w:szCs w:val="26"/>
        </w:rPr>
        <w:t xml:space="preserve">OCA’s proposed </w:t>
      </w:r>
      <w:r w:rsidRPr="00B86747">
        <w:rPr>
          <w:sz w:val="26"/>
          <w:szCs w:val="26"/>
        </w:rPr>
        <w:t>adjustments of HRG’s income approach valuation</w:t>
      </w:r>
      <w:r>
        <w:rPr>
          <w:sz w:val="26"/>
          <w:szCs w:val="26"/>
        </w:rPr>
        <w:t xml:space="preserve">.  In the beginning of this Exception, the Company </w:t>
      </w:r>
      <w:r w:rsidRPr="00B86747">
        <w:rPr>
          <w:sz w:val="26"/>
          <w:szCs w:val="26"/>
        </w:rPr>
        <w:t>repeat</w:t>
      </w:r>
      <w:r>
        <w:rPr>
          <w:sz w:val="26"/>
          <w:szCs w:val="26"/>
        </w:rPr>
        <w:t>ed</w:t>
      </w:r>
      <w:r w:rsidRPr="00B86747">
        <w:rPr>
          <w:sz w:val="26"/>
          <w:szCs w:val="26"/>
        </w:rPr>
        <w:t xml:space="preserve"> its arguments that the adopted adjustments are contrary to the clear intent of Section 1329 and that the Parties’ should not be able to challenge the fair market value appraisals.  </w:t>
      </w:r>
      <w:r w:rsidRPr="00B86747">
        <w:rPr>
          <w:sz w:val="26"/>
          <w:szCs w:val="26"/>
          <w:lang w:val="en"/>
        </w:rPr>
        <w:t>Aqua further argue</w:t>
      </w:r>
      <w:r>
        <w:rPr>
          <w:sz w:val="26"/>
          <w:szCs w:val="26"/>
          <w:lang w:val="en"/>
        </w:rPr>
        <w:t>d</w:t>
      </w:r>
      <w:r w:rsidRPr="00B86747">
        <w:rPr>
          <w:sz w:val="26"/>
          <w:szCs w:val="26"/>
          <w:lang w:val="en"/>
        </w:rPr>
        <w:t xml:space="preserve"> that because the OCA’s adjustments are based on the “just and reasonable” ratemaking standard rather than the </w:t>
      </w:r>
      <w:r w:rsidR="006F681C">
        <w:rPr>
          <w:sz w:val="26"/>
          <w:szCs w:val="26"/>
          <w:lang w:val="en"/>
        </w:rPr>
        <w:t>Uniform Standards of Professional Appraisal Practice (</w:t>
      </w:r>
      <w:r w:rsidRPr="00B86747">
        <w:rPr>
          <w:sz w:val="26"/>
          <w:szCs w:val="26"/>
          <w:lang w:val="en"/>
        </w:rPr>
        <w:t>USPAP</w:t>
      </w:r>
      <w:r w:rsidR="006F681C">
        <w:rPr>
          <w:sz w:val="26"/>
          <w:szCs w:val="26"/>
          <w:lang w:val="en"/>
        </w:rPr>
        <w:t>)</w:t>
      </w:r>
      <w:r w:rsidRPr="00B86747">
        <w:rPr>
          <w:sz w:val="26"/>
          <w:szCs w:val="26"/>
          <w:lang w:val="en"/>
        </w:rPr>
        <w:t xml:space="preserve"> standard, they should be rejected and the ALJ’s recommendations should be denied.  Aqua Exc. at 11-14.</w:t>
      </w:r>
    </w:p>
    <w:p w14:paraId="44DF5B7F" w14:textId="77777777" w:rsidR="006B217A" w:rsidRPr="00B86747" w:rsidRDefault="006B217A" w:rsidP="00B86747">
      <w:pPr>
        <w:widowControl/>
        <w:spacing w:line="360" w:lineRule="auto"/>
        <w:rPr>
          <w:sz w:val="26"/>
          <w:szCs w:val="26"/>
          <w:lang w:val="en"/>
        </w:rPr>
      </w:pPr>
    </w:p>
    <w:p w14:paraId="6C0F1E36" w14:textId="77777777" w:rsidR="00B86747" w:rsidRDefault="00B86747" w:rsidP="006B217A">
      <w:pPr>
        <w:widowControl/>
        <w:spacing w:line="360" w:lineRule="auto"/>
        <w:rPr>
          <w:sz w:val="26"/>
          <w:szCs w:val="26"/>
        </w:rPr>
      </w:pPr>
      <w:r w:rsidRPr="00B86747">
        <w:rPr>
          <w:sz w:val="26"/>
          <w:szCs w:val="26"/>
          <w:lang w:val="en"/>
        </w:rPr>
        <w:tab/>
      </w:r>
      <w:r w:rsidRPr="00B86747">
        <w:rPr>
          <w:sz w:val="26"/>
          <w:szCs w:val="26"/>
          <w:lang w:val="en"/>
        </w:rPr>
        <w:tab/>
        <w:t>In response, the OCA state</w:t>
      </w:r>
      <w:r>
        <w:rPr>
          <w:sz w:val="26"/>
          <w:szCs w:val="26"/>
          <w:lang w:val="en"/>
        </w:rPr>
        <w:t>d</w:t>
      </w:r>
      <w:r w:rsidRPr="00B86747">
        <w:rPr>
          <w:sz w:val="26"/>
          <w:szCs w:val="26"/>
          <w:lang w:val="en"/>
        </w:rPr>
        <w:t xml:space="preserve"> that “Section 1329 contains no prohibitions on the ability of the Parties to review the UVE appraisals as to their </w:t>
      </w:r>
      <w:r w:rsidRPr="00B86747">
        <w:rPr>
          <w:i/>
          <w:sz w:val="26"/>
          <w:szCs w:val="26"/>
          <w:lang w:val="en"/>
        </w:rPr>
        <w:t>reasonableness</w:t>
      </w:r>
      <w:r w:rsidRPr="00B86747">
        <w:rPr>
          <w:sz w:val="26"/>
          <w:szCs w:val="26"/>
          <w:lang w:val="en"/>
        </w:rPr>
        <w:t xml:space="preserve">.”  OCA R. Exc. at 9 (citing </w:t>
      </w:r>
      <w:r w:rsidRPr="00B86747">
        <w:rPr>
          <w:i/>
          <w:sz w:val="26"/>
          <w:szCs w:val="26"/>
        </w:rPr>
        <w:t>Aqua – New Garden Application Order</w:t>
      </w:r>
      <w:r w:rsidRPr="00B86747">
        <w:rPr>
          <w:sz w:val="26"/>
          <w:szCs w:val="26"/>
        </w:rPr>
        <w:t xml:space="preserve"> at 53).  The OCA also note</w:t>
      </w:r>
      <w:r>
        <w:rPr>
          <w:sz w:val="26"/>
          <w:szCs w:val="26"/>
        </w:rPr>
        <w:t>d</w:t>
      </w:r>
      <w:r w:rsidRPr="00B86747">
        <w:rPr>
          <w:sz w:val="26"/>
          <w:szCs w:val="26"/>
        </w:rPr>
        <w:t xml:space="preserve"> that while Section 1329 requires that UVEs adhere to the USPAP standards in their valuations, the legislation does not prohibit a review of the assumptions utilized by the UVEs for reasonableness and conformance to the standards of the industry being valued.  OCA </w:t>
      </w:r>
      <w:r w:rsidRPr="00B86747">
        <w:rPr>
          <w:sz w:val="26"/>
          <w:szCs w:val="26"/>
          <w:lang w:val="en"/>
        </w:rPr>
        <w:t xml:space="preserve">R. Exc. at 9-10 (citing </w:t>
      </w:r>
      <w:r w:rsidRPr="00B86747">
        <w:rPr>
          <w:sz w:val="26"/>
          <w:szCs w:val="26"/>
        </w:rPr>
        <w:t>66 Pa. C.S. § 1329(a)(3)).  We agree</w:t>
      </w:r>
      <w:r>
        <w:rPr>
          <w:sz w:val="26"/>
          <w:szCs w:val="26"/>
        </w:rPr>
        <w:t>d</w:t>
      </w:r>
      <w:r w:rsidRPr="00B86747">
        <w:rPr>
          <w:sz w:val="26"/>
          <w:szCs w:val="26"/>
        </w:rPr>
        <w:t xml:space="preserve"> that Section 1329 does not prevent a review of the UVE assumptions for reasonableness, and for the reasons discussed below, we find that the ALJ appropriately considered several of the recommendations to the fair market appraisals of the Limerick system.</w:t>
      </w:r>
      <w:r w:rsidR="00CC0F04">
        <w:rPr>
          <w:sz w:val="26"/>
          <w:szCs w:val="26"/>
        </w:rPr>
        <w:t xml:space="preserve">  </w:t>
      </w:r>
      <w:r w:rsidR="00CC0F04" w:rsidRPr="00595AE6">
        <w:rPr>
          <w:i/>
          <w:sz w:val="26"/>
          <w:szCs w:val="26"/>
        </w:rPr>
        <w:t>November 2017 Order</w:t>
      </w:r>
      <w:r w:rsidR="00CC0F04">
        <w:rPr>
          <w:i/>
          <w:sz w:val="26"/>
          <w:szCs w:val="26"/>
        </w:rPr>
        <w:t xml:space="preserve"> </w:t>
      </w:r>
      <w:r w:rsidR="00CC0F04">
        <w:rPr>
          <w:sz w:val="26"/>
          <w:szCs w:val="26"/>
        </w:rPr>
        <w:t>at 36.</w:t>
      </w:r>
    </w:p>
    <w:p w14:paraId="1B06ED56" w14:textId="77777777" w:rsidR="00B86747" w:rsidRDefault="00B86747" w:rsidP="006B217A">
      <w:pPr>
        <w:widowControl/>
        <w:spacing w:line="360" w:lineRule="auto"/>
        <w:rPr>
          <w:rFonts w:eastAsia="Calibri"/>
          <w:sz w:val="26"/>
          <w:szCs w:val="26"/>
        </w:rPr>
      </w:pPr>
    </w:p>
    <w:p w14:paraId="73CBCF7C" w14:textId="1DF41727" w:rsidR="009F79E2" w:rsidRDefault="00B86747" w:rsidP="006B217A">
      <w:pPr>
        <w:pStyle w:val="ListParagraph"/>
        <w:widowControl/>
        <w:spacing w:line="360" w:lineRule="auto"/>
        <w:ind w:left="0" w:firstLine="1440"/>
        <w:rPr>
          <w:bCs/>
          <w:sz w:val="26"/>
          <w:szCs w:val="26"/>
          <w:lang w:val="en"/>
        </w:rPr>
      </w:pPr>
      <w:r>
        <w:rPr>
          <w:rFonts w:eastAsia="Calibri"/>
          <w:sz w:val="26"/>
          <w:szCs w:val="26"/>
        </w:rPr>
        <w:t xml:space="preserve">Moving to the disposition </w:t>
      </w:r>
      <w:r w:rsidR="00BA15EE">
        <w:rPr>
          <w:rFonts w:eastAsia="Calibri"/>
          <w:sz w:val="26"/>
          <w:szCs w:val="26"/>
        </w:rPr>
        <w:t>of the rate base valuation</w:t>
      </w:r>
      <w:r w:rsidR="00D8104D">
        <w:rPr>
          <w:rFonts w:eastAsia="Calibri"/>
          <w:sz w:val="26"/>
          <w:szCs w:val="26"/>
        </w:rPr>
        <w:t>,</w:t>
      </w:r>
      <w:r w:rsidR="009F79E2">
        <w:rPr>
          <w:rFonts w:eastAsia="Calibri"/>
          <w:sz w:val="26"/>
          <w:szCs w:val="26"/>
        </w:rPr>
        <w:t xml:space="preserve"> we summarized the proposed adjustments by the OCA and the recommendations adopted by the ALJ.  </w:t>
      </w:r>
      <w:r w:rsidR="009F79E2">
        <w:rPr>
          <w:bCs/>
          <w:sz w:val="26"/>
          <w:szCs w:val="26"/>
          <w:lang w:val="en"/>
        </w:rPr>
        <w:t xml:space="preserve"> We indicated that t</w:t>
      </w:r>
      <w:r w:rsidR="009F79E2" w:rsidRPr="009F79E2">
        <w:rPr>
          <w:bCs/>
          <w:sz w:val="26"/>
          <w:szCs w:val="26"/>
          <w:lang w:val="en"/>
        </w:rPr>
        <w:t>he OCA made certain adjustments to both Gannett and HRG’s fair market appraisals, some of which were adopted by the ALJ in his Recommended Decision.  In particular, the OCA made two adjustments to Gannett’s income approach but the ALJ did not adopt them.  The OCA also made five adjustments to HRG’s income approach, all of which were adopted by the ALJ.  In addition, the OCA made four adjustments to HRG’s cost approach, three of which were adopted by the ALJ.  Lastly, the OCA made two adjustments to HRG’s market approach.  The ALJ adopted one of the adjustments regarding customer count and rejected the OCA’s adjustment regarding the inclusion of future capital improvements under HRG’s market approach.  R.D. at 27-31.</w:t>
      </w:r>
    </w:p>
    <w:p w14:paraId="6CE3C0AE" w14:textId="77777777" w:rsidR="0069504D" w:rsidRDefault="0069504D" w:rsidP="009F79E2">
      <w:pPr>
        <w:pStyle w:val="ListParagraph"/>
        <w:keepNext/>
        <w:keepLines/>
        <w:widowControl/>
        <w:spacing w:line="360" w:lineRule="auto"/>
        <w:ind w:left="0" w:firstLine="1440"/>
        <w:rPr>
          <w:bCs/>
          <w:sz w:val="26"/>
          <w:szCs w:val="26"/>
          <w:lang w:val="en"/>
        </w:rPr>
      </w:pPr>
    </w:p>
    <w:p w14:paraId="7863BE21" w14:textId="77777777" w:rsidR="0069504D" w:rsidRPr="0069504D" w:rsidRDefault="0069504D" w:rsidP="0069504D">
      <w:pPr>
        <w:widowControl/>
        <w:spacing w:line="360" w:lineRule="auto"/>
        <w:rPr>
          <w:sz w:val="26"/>
          <w:szCs w:val="26"/>
        </w:rPr>
      </w:pPr>
      <w:r>
        <w:rPr>
          <w:sz w:val="26"/>
          <w:szCs w:val="26"/>
        </w:rPr>
        <w:tab/>
      </w:r>
      <w:r>
        <w:rPr>
          <w:sz w:val="26"/>
          <w:szCs w:val="26"/>
        </w:rPr>
        <w:tab/>
      </w:r>
      <w:r w:rsidRPr="0069504D">
        <w:rPr>
          <w:sz w:val="26"/>
          <w:szCs w:val="26"/>
        </w:rPr>
        <w:t>The following table summarizes the original appraisals filed by HRG and Gannett:</w:t>
      </w:r>
    </w:p>
    <w:p w14:paraId="2581FFFC" w14:textId="77777777" w:rsidR="0069504D" w:rsidRPr="0069504D" w:rsidRDefault="0069504D" w:rsidP="0069504D">
      <w:pPr>
        <w:widowControl/>
        <w:spacing w:line="360" w:lineRule="auto"/>
        <w:rPr>
          <w:sz w:val="26"/>
          <w:szCs w:val="26"/>
        </w:rPr>
      </w:pPr>
    </w:p>
    <w:tbl>
      <w:tblPr>
        <w:tblStyle w:val="ListTable7Colorful1"/>
        <w:tblW w:w="4166" w:type="pct"/>
        <w:tblLook w:val="0620" w:firstRow="1" w:lastRow="0" w:firstColumn="0" w:lastColumn="0" w:noHBand="1" w:noVBand="1"/>
      </w:tblPr>
      <w:tblGrid>
        <w:gridCol w:w="2166"/>
        <w:gridCol w:w="1785"/>
        <w:gridCol w:w="222"/>
        <w:gridCol w:w="2166"/>
        <w:gridCol w:w="1785"/>
      </w:tblGrid>
      <w:tr w:rsidR="0069504D" w:rsidRPr="0069504D" w14:paraId="35756814" w14:textId="77777777" w:rsidTr="006660C8">
        <w:trPr>
          <w:cnfStyle w:val="100000000000" w:firstRow="1" w:lastRow="0" w:firstColumn="0" w:lastColumn="0" w:oddVBand="0" w:evenVBand="0" w:oddHBand="0" w:evenHBand="0" w:firstRowFirstColumn="0" w:firstRowLastColumn="0" w:lastRowFirstColumn="0" w:lastRowLastColumn="0"/>
        </w:trPr>
        <w:tc>
          <w:tcPr>
            <w:tcW w:w="1000" w:type="pct"/>
          </w:tcPr>
          <w:p w14:paraId="0746341A" w14:textId="77777777" w:rsidR="0069504D" w:rsidRPr="0069504D" w:rsidRDefault="0069504D" w:rsidP="0069504D">
            <w:pPr>
              <w:widowControl/>
              <w:rPr>
                <w:b/>
                <w:sz w:val="26"/>
                <w:szCs w:val="26"/>
              </w:rPr>
            </w:pPr>
            <w:r w:rsidRPr="0069504D">
              <w:rPr>
                <w:b/>
                <w:sz w:val="26"/>
                <w:szCs w:val="26"/>
              </w:rPr>
              <w:t xml:space="preserve">HRG </w:t>
            </w:r>
          </w:p>
        </w:tc>
        <w:tc>
          <w:tcPr>
            <w:tcW w:w="1000" w:type="pct"/>
          </w:tcPr>
          <w:p w14:paraId="2B497CD9" w14:textId="77777777" w:rsidR="0069504D" w:rsidRPr="0069504D" w:rsidRDefault="0069504D" w:rsidP="0069504D">
            <w:pPr>
              <w:widowControl/>
              <w:rPr>
                <w:sz w:val="26"/>
                <w:szCs w:val="26"/>
              </w:rPr>
            </w:pPr>
            <w:r w:rsidRPr="0069504D">
              <w:rPr>
                <w:sz w:val="26"/>
                <w:szCs w:val="26"/>
              </w:rPr>
              <w:t>Value</w:t>
            </w:r>
          </w:p>
        </w:tc>
        <w:tc>
          <w:tcPr>
            <w:tcW w:w="999" w:type="pct"/>
          </w:tcPr>
          <w:p w14:paraId="3D475B89" w14:textId="77777777" w:rsidR="0069504D" w:rsidRPr="0069504D" w:rsidRDefault="0069504D" w:rsidP="0069504D">
            <w:pPr>
              <w:widowControl/>
              <w:rPr>
                <w:sz w:val="26"/>
                <w:szCs w:val="26"/>
              </w:rPr>
            </w:pPr>
          </w:p>
        </w:tc>
        <w:tc>
          <w:tcPr>
            <w:tcW w:w="999" w:type="pct"/>
          </w:tcPr>
          <w:p w14:paraId="758F7447" w14:textId="77777777" w:rsidR="0069504D" w:rsidRPr="0069504D" w:rsidRDefault="0069504D" w:rsidP="0069504D">
            <w:pPr>
              <w:widowControl/>
              <w:rPr>
                <w:b/>
                <w:sz w:val="26"/>
                <w:szCs w:val="26"/>
              </w:rPr>
            </w:pPr>
            <w:r w:rsidRPr="0069504D">
              <w:rPr>
                <w:b/>
                <w:sz w:val="26"/>
                <w:szCs w:val="26"/>
              </w:rPr>
              <w:t>Gannett</w:t>
            </w:r>
          </w:p>
        </w:tc>
        <w:tc>
          <w:tcPr>
            <w:tcW w:w="1001" w:type="pct"/>
          </w:tcPr>
          <w:p w14:paraId="1B6CBC02" w14:textId="77777777" w:rsidR="0069504D" w:rsidRPr="0069504D" w:rsidRDefault="0069504D" w:rsidP="0069504D">
            <w:pPr>
              <w:widowControl/>
              <w:rPr>
                <w:sz w:val="26"/>
                <w:szCs w:val="26"/>
              </w:rPr>
            </w:pPr>
            <w:r w:rsidRPr="0069504D">
              <w:rPr>
                <w:sz w:val="26"/>
                <w:szCs w:val="26"/>
              </w:rPr>
              <w:t>Value</w:t>
            </w:r>
          </w:p>
        </w:tc>
      </w:tr>
      <w:tr w:rsidR="0069504D" w:rsidRPr="0069504D" w14:paraId="16A942FD" w14:textId="77777777" w:rsidTr="006660C8">
        <w:tc>
          <w:tcPr>
            <w:tcW w:w="1000" w:type="pct"/>
          </w:tcPr>
          <w:p w14:paraId="74268873" w14:textId="77777777" w:rsidR="0069504D" w:rsidRPr="0069504D" w:rsidRDefault="0069504D" w:rsidP="0069504D">
            <w:pPr>
              <w:widowControl/>
              <w:rPr>
                <w:sz w:val="26"/>
                <w:szCs w:val="26"/>
              </w:rPr>
            </w:pPr>
            <w:r w:rsidRPr="0069504D">
              <w:rPr>
                <w:sz w:val="26"/>
                <w:szCs w:val="26"/>
              </w:rPr>
              <w:t>Income</w:t>
            </w:r>
          </w:p>
        </w:tc>
        <w:tc>
          <w:tcPr>
            <w:tcW w:w="1000" w:type="pct"/>
          </w:tcPr>
          <w:p w14:paraId="054DA508" w14:textId="77777777" w:rsidR="0069504D" w:rsidRPr="0069504D" w:rsidRDefault="0069504D" w:rsidP="0069504D">
            <w:pPr>
              <w:widowControl/>
              <w:rPr>
                <w:sz w:val="26"/>
                <w:szCs w:val="26"/>
              </w:rPr>
            </w:pPr>
            <m:oMathPara>
              <m:oMathParaPr>
                <m:jc m:val="centerGroup"/>
              </m:oMathParaPr>
              <m:oMath>
                <m:r>
                  <m:rPr>
                    <m:sty m:val="p"/>
                  </m:rPr>
                  <w:rPr>
                    <w:rFonts w:ascii="Cambria Math" w:hAnsi="Cambria Math"/>
                    <w:sz w:val="26"/>
                    <w:szCs w:val="26"/>
                  </w:rPr>
                  <m:t>$77,855,000</m:t>
                </m:r>
              </m:oMath>
            </m:oMathPara>
          </w:p>
        </w:tc>
        <w:tc>
          <w:tcPr>
            <w:tcW w:w="999" w:type="pct"/>
          </w:tcPr>
          <w:p w14:paraId="0EC0E420" w14:textId="77777777" w:rsidR="0069504D" w:rsidRPr="0069504D" w:rsidRDefault="0069504D" w:rsidP="0069504D">
            <w:pPr>
              <w:widowControl/>
              <w:rPr>
                <w:sz w:val="26"/>
                <w:szCs w:val="26"/>
              </w:rPr>
            </w:pPr>
          </w:p>
        </w:tc>
        <w:tc>
          <w:tcPr>
            <w:tcW w:w="999" w:type="pct"/>
          </w:tcPr>
          <w:p w14:paraId="18FC464A" w14:textId="77777777" w:rsidR="0069504D" w:rsidRPr="0069504D" w:rsidRDefault="0069504D" w:rsidP="0069504D">
            <w:pPr>
              <w:widowControl/>
              <w:rPr>
                <w:sz w:val="26"/>
                <w:szCs w:val="26"/>
              </w:rPr>
            </w:pPr>
            <w:r w:rsidRPr="0069504D">
              <w:rPr>
                <w:sz w:val="26"/>
                <w:szCs w:val="26"/>
              </w:rPr>
              <w:t>Income</w:t>
            </w:r>
          </w:p>
        </w:tc>
        <w:tc>
          <w:tcPr>
            <w:tcW w:w="1001" w:type="pct"/>
          </w:tcPr>
          <w:p w14:paraId="2121543C" w14:textId="77777777" w:rsidR="0069504D" w:rsidRPr="0069504D" w:rsidRDefault="0069504D" w:rsidP="0069504D">
            <w:pPr>
              <w:widowControl/>
              <w:rPr>
                <w:sz w:val="26"/>
                <w:szCs w:val="26"/>
              </w:rPr>
            </w:pPr>
            <m:oMathPara>
              <m:oMathParaPr>
                <m:jc m:val="centerGroup"/>
              </m:oMathParaPr>
              <m:oMath>
                <m:r>
                  <m:rPr>
                    <m:sty m:val="p"/>
                  </m:rPr>
                  <w:rPr>
                    <w:rFonts w:ascii="Cambria Math" w:hAnsi="Cambria Math"/>
                    <w:sz w:val="26"/>
                    <w:szCs w:val="26"/>
                  </w:rPr>
                  <m:t>$75,204,407</m:t>
                </m:r>
              </m:oMath>
            </m:oMathPara>
          </w:p>
        </w:tc>
      </w:tr>
      <w:tr w:rsidR="0069504D" w:rsidRPr="0069504D" w14:paraId="3D1BE23D" w14:textId="77777777" w:rsidTr="006660C8">
        <w:tc>
          <w:tcPr>
            <w:tcW w:w="1000" w:type="pct"/>
          </w:tcPr>
          <w:p w14:paraId="767B986F" w14:textId="77777777" w:rsidR="0069504D" w:rsidRPr="0069504D" w:rsidRDefault="0069504D" w:rsidP="0069504D">
            <w:pPr>
              <w:widowControl/>
              <w:rPr>
                <w:sz w:val="26"/>
                <w:szCs w:val="26"/>
              </w:rPr>
            </w:pPr>
            <w:r w:rsidRPr="0069504D">
              <w:rPr>
                <w:sz w:val="26"/>
                <w:szCs w:val="26"/>
              </w:rPr>
              <w:t>Cost</w:t>
            </w:r>
          </w:p>
        </w:tc>
        <w:tc>
          <w:tcPr>
            <w:tcW w:w="1000" w:type="pct"/>
          </w:tcPr>
          <w:p w14:paraId="7E93C0D3" w14:textId="77777777" w:rsidR="0069504D" w:rsidRPr="0069504D" w:rsidRDefault="0069504D" w:rsidP="0069504D">
            <w:pPr>
              <w:widowControl/>
              <w:rPr>
                <w:sz w:val="26"/>
                <w:szCs w:val="26"/>
              </w:rPr>
            </w:pPr>
            <m:oMathPara>
              <m:oMathParaPr>
                <m:jc m:val="centerGroup"/>
              </m:oMathParaPr>
              <m:oMath>
                <m:r>
                  <w:rPr>
                    <w:rFonts w:ascii="Cambria Math" w:hAnsi="Cambria Math"/>
                    <w:sz w:val="26"/>
                    <w:szCs w:val="26"/>
                  </w:rPr>
                  <m:t>$90,050,000</m:t>
                </m:r>
              </m:oMath>
            </m:oMathPara>
          </w:p>
        </w:tc>
        <w:tc>
          <w:tcPr>
            <w:tcW w:w="999" w:type="pct"/>
          </w:tcPr>
          <w:p w14:paraId="05594B14" w14:textId="77777777" w:rsidR="0069504D" w:rsidRPr="0069504D" w:rsidRDefault="0069504D" w:rsidP="0069504D">
            <w:pPr>
              <w:widowControl/>
              <w:rPr>
                <w:sz w:val="26"/>
                <w:szCs w:val="26"/>
              </w:rPr>
            </w:pPr>
          </w:p>
        </w:tc>
        <w:tc>
          <w:tcPr>
            <w:tcW w:w="999" w:type="pct"/>
          </w:tcPr>
          <w:p w14:paraId="4DA1EB72" w14:textId="77777777" w:rsidR="0069504D" w:rsidRPr="0069504D" w:rsidRDefault="0069504D" w:rsidP="0069504D">
            <w:pPr>
              <w:widowControl/>
              <w:rPr>
                <w:sz w:val="26"/>
                <w:szCs w:val="26"/>
              </w:rPr>
            </w:pPr>
            <w:r w:rsidRPr="0069504D">
              <w:rPr>
                <w:sz w:val="26"/>
                <w:szCs w:val="26"/>
              </w:rPr>
              <w:t>Cost</w:t>
            </w:r>
          </w:p>
        </w:tc>
        <w:tc>
          <w:tcPr>
            <w:tcW w:w="1001" w:type="pct"/>
          </w:tcPr>
          <w:p w14:paraId="57D2628F" w14:textId="77777777" w:rsidR="0069504D" w:rsidRPr="0069504D" w:rsidRDefault="0069504D" w:rsidP="0069504D">
            <w:pPr>
              <w:widowControl/>
              <w:rPr>
                <w:sz w:val="26"/>
                <w:szCs w:val="26"/>
              </w:rPr>
            </w:pPr>
            <m:oMathPara>
              <m:oMathParaPr>
                <m:jc m:val="centerGroup"/>
              </m:oMathParaPr>
              <m:oMath>
                <m:r>
                  <m:rPr>
                    <m:sty m:val="p"/>
                  </m:rPr>
                  <w:rPr>
                    <w:rFonts w:ascii="Cambria Math" w:hAnsi="Cambria Math"/>
                    <w:sz w:val="26"/>
                    <w:szCs w:val="26"/>
                  </w:rPr>
                  <m:t>$86,086,756</m:t>
                </m:r>
              </m:oMath>
            </m:oMathPara>
          </w:p>
        </w:tc>
      </w:tr>
      <w:tr w:rsidR="0069504D" w:rsidRPr="0069504D" w14:paraId="76C0C5EA" w14:textId="77777777" w:rsidTr="006660C8">
        <w:tc>
          <w:tcPr>
            <w:tcW w:w="1000" w:type="pct"/>
          </w:tcPr>
          <w:p w14:paraId="71C31347" w14:textId="77777777" w:rsidR="0069504D" w:rsidRPr="0069504D" w:rsidRDefault="0069504D" w:rsidP="0069504D">
            <w:pPr>
              <w:widowControl/>
              <w:rPr>
                <w:sz w:val="26"/>
                <w:szCs w:val="26"/>
              </w:rPr>
            </w:pPr>
            <w:r w:rsidRPr="0069504D">
              <w:rPr>
                <w:sz w:val="26"/>
                <w:szCs w:val="26"/>
              </w:rPr>
              <w:t>Market</w:t>
            </w:r>
          </w:p>
        </w:tc>
        <w:tc>
          <w:tcPr>
            <w:tcW w:w="1000" w:type="pct"/>
          </w:tcPr>
          <w:p w14:paraId="63C771D1" w14:textId="77777777" w:rsidR="0069504D" w:rsidRPr="0069504D" w:rsidRDefault="0069504D" w:rsidP="0069504D">
            <w:pPr>
              <w:widowControl/>
              <w:rPr>
                <w:sz w:val="26"/>
                <w:szCs w:val="26"/>
              </w:rPr>
            </w:pPr>
            <m:oMathPara>
              <m:oMathParaPr>
                <m:jc m:val="centerGroup"/>
              </m:oMathParaPr>
              <m:oMath>
                <m:r>
                  <m:rPr>
                    <m:sty m:val="p"/>
                  </m:rPr>
                  <w:rPr>
                    <w:rFonts w:ascii="Cambria Math" w:hAnsi="Cambria Math"/>
                    <w:sz w:val="26"/>
                    <w:szCs w:val="26"/>
                  </w:rPr>
                  <m:t>$62,760,000</m:t>
                </m:r>
              </m:oMath>
            </m:oMathPara>
          </w:p>
        </w:tc>
        <w:tc>
          <w:tcPr>
            <w:tcW w:w="999" w:type="pct"/>
          </w:tcPr>
          <w:p w14:paraId="756655D6" w14:textId="77777777" w:rsidR="0069504D" w:rsidRPr="0069504D" w:rsidRDefault="0069504D" w:rsidP="0069504D">
            <w:pPr>
              <w:widowControl/>
              <w:rPr>
                <w:sz w:val="26"/>
                <w:szCs w:val="26"/>
              </w:rPr>
            </w:pPr>
          </w:p>
        </w:tc>
        <w:tc>
          <w:tcPr>
            <w:tcW w:w="999" w:type="pct"/>
          </w:tcPr>
          <w:p w14:paraId="71F7D6B2" w14:textId="77777777" w:rsidR="0069504D" w:rsidRPr="0069504D" w:rsidRDefault="0069504D" w:rsidP="0069504D">
            <w:pPr>
              <w:widowControl/>
              <w:rPr>
                <w:sz w:val="26"/>
                <w:szCs w:val="26"/>
              </w:rPr>
            </w:pPr>
            <w:r w:rsidRPr="0069504D">
              <w:rPr>
                <w:sz w:val="26"/>
                <w:szCs w:val="26"/>
              </w:rPr>
              <w:t>Market</w:t>
            </w:r>
          </w:p>
        </w:tc>
        <w:tc>
          <w:tcPr>
            <w:tcW w:w="1001" w:type="pct"/>
          </w:tcPr>
          <w:p w14:paraId="4BF4507E" w14:textId="77777777" w:rsidR="0069504D" w:rsidRPr="0069504D" w:rsidRDefault="0069504D" w:rsidP="0069504D">
            <w:pPr>
              <w:widowControl/>
              <w:rPr>
                <w:sz w:val="26"/>
                <w:szCs w:val="26"/>
              </w:rPr>
            </w:pPr>
            <m:oMathPara>
              <m:oMathParaPr>
                <m:jc m:val="centerGroup"/>
              </m:oMathParaPr>
              <m:oMath>
                <m:r>
                  <m:rPr>
                    <m:sty m:val="p"/>
                  </m:rPr>
                  <w:rPr>
                    <w:rFonts w:ascii="Cambria Math" w:hAnsi="Cambria Math"/>
                    <w:sz w:val="26"/>
                    <w:szCs w:val="26"/>
                  </w:rPr>
                  <m:t>$79,002,980</m:t>
                </m:r>
              </m:oMath>
            </m:oMathPara>
          </w:p>
        </w:tc>
      </w:tr>
      <w:tr w:rsidR="0069504D" w:rsidRPr="0069504D" w14:paraId="51C2FD72" w14:textId="77777777" w:rsidTr="006660C8">
        <w:tc>
          <w:tcPr>
            <w:tcW w:w="1000" w:type="pct"/>
          </w:tcPr>
          <w:p w14:paraId="5C75A189" w14:textId="77777777" w:rsidR="0069504D" w:rsidRPr="0069504D" w:rsidRDefault="0069504D" w:rsidP="0069504D">
            <w:pPr>
              <w:widowControl/>
              <w:rPr>
                <w:sz w:val="26"/>
                <w:szCs w:val="26"/>
              </w:rPr>
            </w:pPr>
          </w:p>
        </w:tc>
        <w:tc>
          <w:tcPr>
            <w:tcW w:w="1000" w:type="pct"/>
          </w:tcPr>
          <w:p w14:paraId="27C2E49B" w14:textId="77777777" w:rsidR="0069504D" w:rsidRPr="0069504D" w:rsidRDefault="0069504D" w:rsidP="0069504D">
            <w:pPr>
              <w:widowControl/>
              <w:rPr>
                <w:sz w:val="26"/>
                <w:szCs w:val="26"/>
              </w:rPr>
            </w:pPr>
          </w:p>
        </w:tc>
        <w:tc>
          <w:tcPr>
            <w:tcW w:w="999" w:type="pct"/>
          </w:tcPr>
          <w:p w14:paraId="7AC8CDFF" w14:textId="77777777" w:rsidR="0069504D" w:rsidRPr="0069504D" w:rsidRDefault="0069504D" w:rsidP="0069504D">
            <w:pPr>
              <w:widowControl/>
              <w:rPr>
                <w:sz w:val="26"/>
                <w:szCs w:val="26"/>
              </w:rPr>
            </w:pPr>
          </w:p>
        </w:tc>
        <w:tc>
          <w:tcPr>
            <w:tcW w:w="999" w:type="pct"/>
          </w:tcPr>
          <w:p w14:paraId="0493989D" w14:textId="77777777" w:rsidR="0069504D" w:rsidRPr="0069504D" w:rsidRDefault="0069504D" w:rsidP="0069504D">
            <w:pPr>
              <w:widowControl/>
              <w:rPr>
                <w:sz w:val="26"/>
                <w:szCs w:val="26"/>
              </w:rPr>
            </w:pPr>
          </w:p>
        </w:tc>
        <w:tc>
          <w:tcPr>
            <w:tcW w:w="1001" w:type="pct"/>
          </w:tcPr>
          <w:p w14:paraId="2D5284F2" w14:textId="77777777" w:rsidR="0069504D" w:rsidRPr="0069504D" w:rsidRDefault="0069504D" w:rsidP="0069504D">
            <w:pPr>
              <w:widowControl/>
              <w:rPr>
                <w:sz w:val="26"/>
                <w:szCs w:val="26"/>
              </w:rPr>
            </w:pPr>
          </w:p>
        </w:tc>
      </w:tr>
      <w:tr w:rsidR="0069504D" w:rsidRPr="0069504D" w14:paraId="609A2A3C" w14:textId="77777777" w:rsidTr="006660C8">
        <w:tc>
          <w:tcPr>
            <w:tcW w:w="1000" w:type="pct"/>
          </w:tcPr>
          <w:p w14:paraId="4081EDD5" w14:textId="77777777" w:rsidR="0069504D" w:rsidRPr="0069504D" w:rsidRDefault="0069504D" w:rsidP="0069504D">
            <w:pPr>
              <w:widowControl/>
              <w:rPr>
                <w:sz w:val="26"/>
                <w:szCs w:val="26"/>
              </w:rPr>
            </w:pPr>
            <w:r w:rsidRPr="0069504D">
              <w:rPr>
                <w:sz w:val="26"/>
                <w:szCs w:val="26"/>
              </w:rPr>
              <w:t>Average</w:t>
            </w:r>
          </w:p>
        </w:tc>
        <w:tc>
          <w:tcPr>
            <w:tcW w:w="1000" w:type="pct"/>
          </w:tcPr>
          <w:p w14:paraId="538DE20A" w14:textId="77777777" w:rsidR="0069504D" w:rsidRPr="0069504D" w:rsidRDefault="0069504D" w:rsidP="0069504D">
            <w:pPr>
              <w:widowControl/>
              <w:rPr>
                <w:sz w:val="26"/>
                <w:szCs w:val="26"/>
              </w:rPr>
            </w:pPr>
            <m:oMathPara>
              <m:oMathParaPr>
                <m:jc m:val="centerGroup"/>
              </m:oMathParaPr>
              <m:oMath>
                <m:r>
                  <m:rPr>
                    <m:sty m:val="p"/>
                  </m:rPr>
                  <w:rPr>
                    <w:rFonts w:ascii="Cambria Math" w:hAnsi="Cambria Math"/>
                    <w:sz w:val="26"/>
                    <w:szCs w:val="26"/>
                  </w:rPr>
                  <m:t>$76,888,333</m:t>
                </m:r>
              </m:oMath>
            </m:oMathPara>
          </w:p>
        </w:tc>
        <w:tc>
          <w:tcPr>
            <w:tcW w:w="999" w:type="pct"/>
          </w:tcPr>
          <w:p w14:paraId="0525756D" w14:textId="77777777" w:rsidR="0069504D" w:rsidRPr="0069504D" w:rsidRDefault="0069504D" w:rsidP="0069504D">
            <w:pPr>
              <w:widowControl/>
              <w:rPr>
                <w:sz w:val="26"/>
                <w:szCs w:val="26"/>
              </w:rPr>
            </w:pPr>
          </w:p>
        </w:tc>
        <w:tc>
          <w:tcPr>
            <w:tcW w:w="999" w:type="pct"/>
          </w:tcPr>
          <w:p w14:paraId="09167745" w14:textId="77777777" w:rsidR="0069504D" w:rsidRPr="0069504D" w:rsidRDefault="0069504D" w:rsidP="0069504D">
            <w:pPr>
              <w:widowControl/>
              <w:rPr>
                <w:sz w:val="26"/>
                <w:szCs w:val="26"/>
              </w:rPr>
            </w:pPr>
            <w:r w:rsidRPr="0069504D">
              <w:rPr>
                <w:sz w:val="26"/>
                <w:szCs w:val="26"/>
              </w:rPr>
              <w:t>Average</w:t>
            </w:r>
          </w:p>
        </w:tc>
        <w:tc>
          <w:tcPr>
            <w:tcW w:w="1001" w:type="pct"/>
          </w:tcPr>
          <w:p w14:paraId="3DEA4D09" w14:textId="77777777" w:rsidR="0069504D" w:rsidRPr="0069504D" w:rsidRDefault="0069504D" w:rsidP="0069504D">
            <w:pPr>
              <w:widowControl/>
              <w:rPr>
                <w:sz w:val="26"/>
                <w:szCs w:val="26"/>
              </w:rPr>
            </w:pPr>
            <m:oMathPara>
              <m:oMathParaPr>
                <m:jc m:val="centerGroup"/>
              </m:oMathParaPr>
              <m:oMath>
                <m:r>
                  <m:rPr>
                    <m:sty m:val="p"/>
                  </m:rPr>
                  <w:rPr>
                    <w:rFonts w:ascii="Cambria Math" w:hAnsi="Cambria Math"/>
                    <w:sz w:val="26"/>
                    <w:szCs w:val="26"/>
                  </w:rPr>
                  <m:t>$80,098,047</m:t>
                </m:r>
              </m:oMath>
            </m:oMathPara>
          </w:p>
        </w:tc>
      </w:tr>
      <w:tr w:rsidR="0069504D" w:rsidRPr="0069504D" w14:paraId="143D531F" w14:textId="77777777" w:rsidTr="006660C8">
        <w:tc>
          <w:tcPr>
            <w:tcW w:w="1000" w:type="pct"/>
          </w:tcPr>
          <w:p w14:paraId="15532314" w14:textId="77777777" w:rsidR="0069504D" w:rsidRPr="0069504D" w:rsidRDefault="0069504D" w:rsidP="0069504D">
            <w:pPr>
              <w:widowControl/>
              <w:rPr>
                <w:b/>
                <w:sz w:val="26"/>
                <w:szCs w:val="26"/>
              </w:rPr>
            </w:pPr>
            <w:r w:rsidRPr="0069504D">
              <w:rPr>
                <w:b/>
                <w:sz w:val="26"/>
                <w:szCs w:val="26"/>
              </w:rPr>
              <w:t>Recommendation</w:t>
            </w:r>
          </w:p>
        </w:tc>
        <w:tc>
          <w:tcPr>
            <w:tcW w:w="1000" w:type="pct"/>
          </w:tcPr>
          <w:p w14:paraId="31758398" w14:textId="77777777" w:rsidR="0069504D" w:rsidRPr="0069504D" w:rsidRDefault="0069504D" w:rsidP="0069504D">
            <w:pPr>
              <w:widowControl/>
              <w:rPr>
                <w:b/>
                <w:sz w:val="26"/>
                <w:szCs w:val="26"/>
              </w:rPr>
            </w:pPr>
            <m:oMathPara>
              <m:oMathParaPr>
                <m:jc m:val="centerGroup"/>
              </m:oMathParaPr>
              <m:oMath>
                <m:r>
                  <m:rPr>
                    <m:sty m:val="b"/>
                  </m:rPr>
                  <w:rPr>
                    <w:rFonts w:ascii="Cambria Math" w:hAnsi="Cambria Math"/>
                    <w:sz w:val="26"/>
                    <w:szCs w:val="26"/>
                  </w:rPr>
                  <m:t>$76,890,000</m:t>
                </m:r>
              </m:oMath>
            </m:oMathPara>
          </w:p>
        </w:tc>
        <w:tc>
          <w:tcPr>
            <w:tcW w:w="999" w:type="pct"/>
          </w:tcPr>
          <w:p w14:paraId="04462315" w14:textId="77777777" w:rsidR="0069504D" w:rsidRPr="0069504D" w:rsidRDefault="0069504D" w:rsidP="0069504D">
            <w:pPr>
              <w:widowControl/>
              <w:rPr>
                <w:b/>
                <w:sz w:val="26"/>
                <w:szCs w:val="26"/>
              </w:rPr>
            </w:pPr>
          </w:p>
        </w:tc>
        <w:tc>
          <w:tcPr>
            <w:tcW w:w="999" w:type="pct"/>
          </w:tcPr>
          <w:p w14:paraId="11BC8D56" w14:textId="77777777" w:rsidR="0069504D" w:rsidRPr="0069504D" w:rsidRDefault="0069504D" w:rsidP="0069504D">
            <w:pPr>
              <w:widowControl/>
              <w:rPr>
                <w:b/>
                <w:sz w:val="26"/>
                <w:szCs w:val="26"/>
              </w:rPr>
            </w:pPr>
            <w:r w:rsidRPr="0069504D">
              <w:rPr>
                <w:b/>
                <w:sz w:val="26"/>
                <w:szCs w:val="26"/>
              </w:rPr>
              <w:t>Recommendation</w:t>
            </w:r>
          </w:p>
        </w:tc>
        <w:tc>
          <w:tcPr>
            <w:tcW w:w="1001" w:type="pct"/>
          </w:tcPr>
          <w:p w14:paraId="0986D245" w14:textId="77777777" w:rsidR="0069504D" w:rsidRPr="0069504D" w:rsidRDefault="0069504D" w:rsidP="0069504D">
            <w:pPr>
              <w:widowControl/>
              <w:rPr>
                <w:b/>
                <w:sz w:val="26"/>
                <w:szCs w:val="26"/>
              </w:rPr>
            </w:pPr>
            <m:oMathPara>
              <m:oMathParaPr>
                <m:jc m:val="centerGroup"/>
              </m:oMathParaPr>
              <m:oMath>
                <m:r>
                  <m:rPr>
                    <m:sty m:val="b"/>
                  </m:rPr>
                  <w:rPr>
                    <w:rFonts w:ascii="Cambria Math" w:hAnsi="Cambria Math"/>
                    <w:sz w:val="26"/>
                    <w:szCs w:val="26"/>
                  </w:rPr>
                  <m:t>$80,098,047</m:t>
                </m:r>
              </m:oMath>
            </m:oMathPara>
          </w:p>
        </w:tc>
      </w:tr>
    </w:tbl>
    <w:p w14:paraId="0FAA8CA1" w14:textId="77777777" w:rsidR="0069504D" w:rsidRPr="0069504D" w:rsidRDefault="0069504D" w:rsidP="0069504D">
      <w:pPr>
        <w:widowControl/>
        <w:spacing w:line="360" w:lineRule="auto"/>
        <w:rPr>
          <w:sz w:val="26"/>
          <w:szCs w:val="26"/>
        </w:rPr>
      </w:pPr>
    </w:p>
    <w:p w14:paraId="1CE1B117" w14:textId="77777777" w:rsidR="0069504D" w:rsidRPr="0069504D" w:rsidRDefault="0069504D" w:rsidP="0069504D">
      <w:pPr>
        <w:widowControl/>
        <w:rPr>
          <w:sz w:val="26"/>
          <w:szCs w:val="26"/>
        </w:rPr>
      </w:pPr>
    </w:p>
    <w:p w14:paraId="19538677" w14:textId="77777777" w:rsidR="0069504D" w:rsidRPr="0069504D" w:rsidRDefault="0069504D" w:rsidP="0069504D">
      <w:pPr>
        <w:widowControl/>
        <w:spacing w:line="360" w:lineRule="auto"/>
        <w:rPr>
          <w:sz w:val="26"/>
          <w:szCs w:val="26"/>
        </w:rPr>
      </w:pPr>
      <w:r w:rsidRPr="0069504D">
        <w:rPr>
          <w:sz w:val="26"/>
          <w:szCs w:val="26"/>
        </w:rPr>
        <w:tab/>
      </w:r>
      <w:r w:rsidRPr="0069504D">
        <w:rPr>
          <w:sz w:val="26"/>
          <w:szCs w:val="26"/>
        </w:rPr>
        <w:tab/>
        <w:t>The following table summarizes the fair market value appraisals with the adjustments recommended by the ALJ:</w:t>
      </w:r>
    </w:p>
    <w:p w14:paraId="345A452B" w14:textId="77777777" w:rsidR="0069504D" w:rsidRPr="0069504D" w:rsidRDefault="0069504D" w:rsidP="0069504D">
      <w:pPr>
        <w:widowControl/>
        <w:rPr>
          <w:sz w:val="26"/>
          <w:szCs w:val="26"/>
        </w:rPr>
      </w:pPr>
      <w:r w:rsidRPr="0069504D">
        <w:rPr>
          <w:sz w:val="26"/>
          <w:szCs w:val="26"/>
        </w:rPr>
        <w:t xml:space="preserve">   </w:t>
      </w:r>
    </w:p>
    <w:tbl>
      <w:tblPr>
        <w:tblStyle w:val="ListTable7Colorful1"/>
        <w:tblW w:w="4166" w:type="pct"/>
        <w:tblLook w:val="0620" w:firstRow="1" w:lastRow="0" w:firstColumn="0" w:lastColumn="0" w:noHBand="1" w:noVBand="1"/>
      </w:tblPr>
      <w:tblGrid>
        <w:gridCol w:w="2166"/>
        <w:gridCol w:w="1785"/>
        <w:gridCol w:w="222"/>
        <w:gridCol w:w="2166"/>
        <w:gridCol w:w="1785"/>
      </w:tblGrid>
      <w:tr w:rsidR="0069504D" w:rsidRPr="0069504D" w14:paraId="07C34DBC" w14:textId="77777777" w:rsidTr="006660C8">
        <w:trPr>
          <w:cnfStyle w:val="100000000000" w:firstRow="1" w:lastRow="0" w:firstColumn="0" w:lastColumn="0" w:oddVBand="0" w:evenVBand="0" w:oddHBand="0" w:evenHBand="0" w:firstRowFirstColumn="0" w:firstRowLastColumn="0" w:lastRowFirstColumn="0" w:lastRowLastColumn="0"/>
        </w:trPr>
        <w:tc>
          <w:tcPr>
            <w:tcW w:w="1000" w:type="pct"/>
          </w:tcPr>
          <w:p w14:paraId="061C5678" w14:textId="77777777" w:rsidR="0069504D" w:rsidRPr="0069504D" w:rsidRDefault="0069504D" w:rsidP="0069504D">
            <w:pPr>
              <w:keepNext/>
              <w:keepLines/>
              <w:widowControl/>
              <w:rPr>
                <w:b/>
                <w:sz w:val="26"/>
                <w:szCs w:val="26"/>
              </w:rPr>
            </w:pPr>
            <w:r w:rsidRPr="0069504D">
              <w:rPr>
                <w:b/>
                <w:sz w:val="26"/>
                <w:szCs w:val="26"/>
              </w:rPr>
              <w:t xml:space="preserve">HRG </w:t>
            </w:r>
          </w:p>
        </w:tc>
        <w:tc>
          <w:tcPr>
            <w:tcW w:w="1000" w:type="pct"/>
          </w:tcPr>
          <w:p w14:paraId="082DF6E4" w14:textId="77777777" w:rsidR="0069504D" w:rsidRPr="0069504D" w:rsidRDefault="0069504D" w:rsidP="0069504D">
            <w:pPr>
              <w:keepNext/>
              <w:keepLines/>
              <w:widowControl/>
              <w:rPr>
                <w:sz w:val="26"/>
                <w:szCs w:val="26"/>
              </w:rPr>
            </w:pPr>
            <w:r w:rsidRPr="0069504D">
              <w:rPr>
                <w:sz w:val="26"/>
                <w:szCs w:val="26"/>
              </w:rPr>
              <w:t>Value</w:t>
            </w:r>
          </w:p>
        </w:tc>
        <w:tc>
          <w:tcPr>
            <w:tcW w:w="999" w:type="pct"/>
          </w:tcPr>
          <w:p w14:paraId="66652C44" w14:textId="77777777" w:rsidR="0069504D" w:rsidRPr="0069504D" w:rsidRDefault="0069504D" w:rsidP="0069504D">
            <w:pPr>
              <w:keepNext/>
              <w:keepLines/>
              <w:widowControl/>
              <w:rPr>
                <w:sz w:val="26"/>
                <w:szCs w:val="26"/>
              </w:rPr>
            </w:pPr>
          </w:p>
        </w:tc>
        <w:tc>
          <w:tcPr>
            <w:tcW w:w="999" w:type="pct"/>
          </w:tcPr>
          <w:p w14:paraId="526029AF" w14:textId="77777777" w:rsidR="0069504D" w:rsidRPr="0069504D" w:rsidRDefault="0069504D" w:rsidP="0069504D">
            <w:pPr>
              <w:keepNext/>
              <w:keepLines/>
              <w:widowControl/>
              <w:rPr>
                <w:b/>
                <w:sz w:val="26"/>
                <w:szCs w:val="26"/>
              </w:rPr>
            </w:pPr>
            <w:r w:rsidRPr="0069504D">
              <w:rPr>
                <w:b/>
                <w:sz w:val="26"/>
                <w:szCs w:val="26"/>
              </w:rPr>
              <w:t>Gannett</w:t>
            </w:r>
          </w:p>
        </w:tc>
        <w:tc>
          <w:tcPr>
            <w:tcW w:w="1001" w:type="pct"/>
          </w:tcPr>
          <w:p w14:paraId="4E2BF783" w14:textId="77777777" w:rsidR="0069504D" w:rsidRPr="0069504D" w:rsidRDefault="0069504D" w:rsidP="0069504D">
            <w:pPr>
              <w:keepNext/>
              <w:keepLines/>
              <w:widowControl/>
              <w:rPr>
                <w:sz w:val="26"/>
                <w:szCs w:val="26"/>
              </w:rPr>
            </w:pPr>
            <w:r w:rsidRPr="0069504D">
              <w:rPr>
                <w:sz w:val="26"/>
                <w:szCs w:val="26"/>
              </w:rPr>
              <w:t>Value</w:t>
            </w:r>
          </w:p>
        </w:tc>
      </w:tr>
      <w:tr w:rsidR="0069504D" w:rsidRPr="0069504D" w14:paraId="7F782905" w14:textId="77777777" w:rsidTr="006660C8">
        <w:tc>
          <w:tcPr>
            <w:tcW w:w="1000" w:type="pct"/>
          </w:tcPr>
          <w:p w14:paraId="6A89E369" w14:textId="77777777" w:rsidR="0069504D" w:rsidRPr="0069504D" w:rsidRDefault="0069504D" w:rsidP="0069504D">
            <w:pPr>
              <w:keepNext/>
              <w:keepLines/>
              <w:widowControl/>
              <w:rPr>
                <w:sz w:val="26"/>
                <w:szCs w:val="26"/>
              </w:rPr>
            </w:pPr>
            <w:r w:rsidRPr="0069504D">
              <w:rPr>
                <w:sz w:val="26"/>
                <w:szCs w:val="26"/>
              </w:rPr>
              <w:t>Income</w:t>
            </w:r>
          </w:p>
        </w:tc>
        <w:tc>
          <w:tcPr>
            <w:tcW w:w="1000" w:type="pct"/>
          </w:tcPr>
          <w:p w14:paraId="46E6233D" w14:textId="77777777" w:rsidR="0069504D" w:rsidRPr="0069504D" w:rsidRDefault="0069504D" w:rsidP="0069504D">
            <w:pPr>
              <w:keepNext/>
              <w:keepLines/>
              <w:widowControl/>
              <w:rPr>
                <w:sz w:val="26"/>
                <w:szCs w:val="26"/>
              </w:rPr>
            </w:pPr>
            <m:oMathPara>
              <m:oMathParaPr>
                <m:jc m:val="centerGroup"/>
              </m:oMathParaPr>
              <m:oMath>
                <m:r>
                  <m:rPr>
                    <m:sty m:val="p"/>
                  </m:rPr>
                  <w:rPr>
                    <w:rFonts w:ascii="Cambria Math" w:hAnsi="Cambria Math"/>
                    <w:sz w:val="26"/>
                    <w:szCs w:val="26"/>
                  </w:rPr>
                  <m:t>$36,560,000</m:t>
                </m:r>
              </m:oMath>
            </m:oMathPara>
          </w:p>
        </w:tc>
        <w:tc>
          <w:tcPr>
            <w:tcW w:w="999" w:type="pct"/>
          </w:tcPr>
          <w:p w14:paraId="05E2AAD0" w14:textId="77777777" w:rsidR="0069504D" w:rsidRPr="0069504D" w:rsidRDefault="0069504D" w:rsidP="0069504D">
            <w:pPr>
              <w:keepNext/>
              <w:keepLines/>
              <w:widowControl/>
              <w:rPr>
                <w:sz w:val="26"/>
                <w:szCs w:val="26"/>
              </w:rPr>
            </w:pPr>
          </w:p>
        </w:tc>
        <w:tc>
          <w:tcPr>
            <w:tcW w:w="999" w:type="pct"/>
          </w:tcPr>
          <w:p w14:paraId="63BFA442" w14:textId="77777777" w:rsidR="0069504D" w:rsidRPr="0069504D" w:rsidRDefault="0069504D" w:rsidP="0069504D">
            <w:pPr>
              <w:keepNext/>
              <w:keepLines/>
              <w:widowControl/>
              <w:rPr>
                <w:sz w:val="26"/>
                <w:szCs w:val="26"/>
              </w:rPr>
            </w:pPr>
            <w:r w:rsidRPr="0069504D">
              <w:rPr>
                <w:sz w:val="26"/>
                <w:szCs w:val="26"/>
              </w:rPr>
              <w:t>Income</w:t>
            </w:r>
          </w:p>
        </w:tc>
        <w:tc>
          <w:tcPr>
            <w:tcW w:w="1001" w:type="pct"/>
          </w:tcPr>
          <w:p w14:paraId="4A0D68BE" w14:textId="77777777" w:rsidR="0069504D" w:rsidRPr="0069504D" w:rsidRDefault="0069504D" w:rsidP="0069504D">
            <w:pPr>
              <w:keepNext/>
              <w:keepLines/>
              <w:widowControl/>
              <w:rPr>
                <w:sz w:val="26"/>
                <w:szCs w:val="26"/>
              </w:rPr>
            </w:pPr>
            <m:oMathPara>
              <m:oMathParaPr>
                <m:jc m:val="centerGroup"/>
              </m:oMathParaPr>
              <m:oMath>
                <m:r>
                  <m:rPr>
                    <m:sty m:val="p"/>
                  </m:rPr>
                  <w:rPr>
                    <w:rFonts w:ascii="Cambria Math" w:hAnsi="Cambria Math"/>
                    <w:sz w:val="26"/>
                    <w:szCs w:val="26"/>
                  </w:rPr>
                  <m:t>$75,204,407</m:t>
                </m:r>
              </m:oMath>
            </m:oMathPara>
          </w:p>
        </w:tc>
      </w:tr>
      <w:tr w:rsidR="0069504D" w:rsidRPr="0069504D" w14:paraId="2A24EC64" w14:textId="77777777" w:rsidTr="006660C8">
        <w:tc>
          <w:tcPr>
            <w:tcW w:w="1000" w:type="pct"/>
          </w:tcPr>
          <w:p w14:paraId="3FCAA984" w14:textId="77777777" w:rsidR="0069504D" w:rsidRPr="0069504D" w:rsidRDefault="0069504D" w:rsidP="0069504D">
            <w:pPr>
              <w:keepNext/>
              <w:keepLines/>
              <w:widowControl/>
              <w:rPr>
                <w:sz w:val="26"/>
                <w:szCs w:val="26"/>
              </w:rPr>
            </w:pPr>
            <w:r w:rsidRPr="0069504D">
              <w:rPr>
                <w:sz w:val="26"/>
                <w:szCs w:val="26"/>
              </w:rPr>
              <w:t>Cost</w:t>
            </w:r>
          </w:p>
        </w:tc>
        <w:tc>
          <w:tcPr>
            <w:tcW w:w="1000" w:type="pct"/>
          </w:tcPr>
          <w:p w14:paraId="5CD5FACD" w14:textId="77777777" w:rsidR="0069504D" w:rsidRPr="0069504D" w:rsidRDefault="0069504D" w:rsidP="0069504D">
            <w:pPr>
              <w:keepNext/>
              <w:keepLines/>
              <w:widowControl/>
              <w:rPr>
                <w:sz w:val="26"/>
                <w:szCs w:val="26"/>
              </w:rPr>
            </w:pPr>
            <m:oMathPara>
              <m:oMathParaPr>
                <m:jc m:val="centerGroup"/>
              </m:oMathParaPr>
              <m:oMath>
                <m:r>
                  <w:rPr>
                    <w:rFonts w:ascii="Cambria Math" w:hAnsi="Cambria Math"/>
                    <w:sz w:val="26"/>
                    <w:szCs w:val="26"/>
                  </w:rPr>
                  <m:t>$62,321,571</m:t>
                </m:r>
              </m:oMath>
            </m:oMathPara>
          </w:p>
        </w:tc>
        <w:tc>
          <w:tcPr>
            <w:tcW w:w="999" w:type="pct"/>
          </w:tcPr>
          <w:p w14:paraId="1803801D" w14:textId="77777777" w:rsidR="0069504D" w:rsidRPr="0069504D" w:rsidRDefault="0069504D" w:rsidP="0069504D">
            <w:pPr>
              <w:keepNext/>
              <w:keepLines/>
              <w:widowControl/>
              <w:rPr>
                <w:sz w:val="26"/>
                <w:szCs w:val="26"/>
              </w:rPr>
            </w:pPr>
          </w:p>
        </w:tc>
        <w:tc>
          <w:tcPr>
            <w:tcW w:w="999" w:type="pct"/>
          </w:tcPr>
          <w:p w14:paraId="595692C1" w14:textId="77777777" w:rsidR="0069504D" w:rsidRPr="0069504D" w:rsidRDefault="0069504D" w:rsidP="0069504D">
            <w:pPr>
              <w:keepNext/>
              <w:keepLines/>
              <w:widowControl/>
              <w:rPr>
                <w:sz w:val="26"/>
                <w:szCs w:val="26"/>
              </w:rPr>
            </w:pPr>
            <w:r w:rsidRPr="0069504D">
              <w:rPr>
                <w:sz w:val="26"/>
                <w:szCs w:val="26"/>
              </w:rPr>
              <w:t>Cost</w:t>
            </w:r>
          </w:p>
        </w:tc>
        <w:tc>
          <w:tcPr>
            <w:tcW w:w="1001" w:type="pct"/>
          </w:tcPr>
          <w:p w14:paraId="6948D51F" w14:textId="77777777" w:rsidR="0069504D" w:rsidRPr="0069504D" w:rsidRDefault="0069504D" w:rsidP="0069504D">
            <w:pPr>
              <w:keepNext/>
              <w:keepLines/>
              <w:widowControl/>
              <w:rPr>
                <w:sz w:val="26"/>
                <w:szCs w:val="26"/>
              </w:rPr>
            </w:pPr>
            <m:oMathPara>
              <m:oMathParaPr>
                <m:jc m:val="centerGroup"/>
              </m:oMathParaPr>
              <m:oMath>
                <m:r>
                  <m:rPr>
                    <m:sty m:val="p"/>
                  </m:rPr>
                  <w:rPr>
                    <w:rFonts w:ascii="Cambria Math" w:hAnsi="Cambria Math"/>
                    <w:sz w:val="26"/>
                    <w:szCs w:val="26"/>
                  </w:rPr>
                  <m:t>$86,086,756</m:t>
                </m:r>
              </m:oMath>
            </m:oMathPara>
          </w:p>
        </w:tc>
      </w:tr>
      <w:tr w:rsidR="0069504D" w:rsidRPr="0069504D" w14:paraId="40084943" w14:textId="77777777" w:rsidTr="006660C8">
        <w:tc>
          <w:tcPr>
            <w:tcW w:w="1000" w:type="pct"/>
          </w:tcPr>
          <w:p w14:paraId="658D81E8" w14:textId="77777777" w:rsidR="0069504D" w:rsidRPr="0069504D" w:rsidRDefault="0069504D" w:rsidP="0069504D">
            <w:pPr>
              <w:keepNext/>
              <w:keepLines/>
              <w:widowControl/>
              <w:rPr>
                <w:sz w:val="26"/>
                <w:szCs w:val="26"/>
              </w:rPr>
            </w:pPr>
            <w:r w:rsidRPr="0069504D">
              <w:rPr>
                <w:sz w:val="26"/>
                <w:szCs w:val="26"/>
              </w:rPr>
              <w:t>Market</w:t>
            </w:r>
          </w:p>
        </w:tc>
        <w:tc>
          <w:tcPr>
            <w:tcW w:w="1000" w:type="pct"/>
          </w:tcPr>
          <w:p w14:paraId="00BD895C" w14:textId="77777777" w:rsidR="0069504D" w:rsidRPr="0069504D" w:rsidRDefault="0069504D" w:rsidP="0069504D">
            <w:pPr>
              <w:keepNext/>
              <w:keepLines/>
              <w:widowControl/>
              <w:rPr>
                <w:sz w:val="26"/>
                <w:szCs w:val="26"/>
              </w:rPr>
            </w:pPr>
            <m:oMathPara>
              <m:oMathParaPr>
                <m:jc m:val="centerGroup"/>
              </m:oMathParaPr>
              <m:oMath>
                <m:r>
                  <m:rPr>
                    <m:sty m:val="p"/>
                  </m:rPr>
                  <w:rPr>
                    <w:rFonts w:ascii="Cambria Math" w:hAnsi="Cambria Math"/>
                    <w:sz w:val="26"/>
                    <w:szCs w:val="26"/>
                  </w:rPr>
                  <m:t>$47,064,553</m:t>
                </m:r>
              </m:oMath>
            </m:oMathPara>
          </w:p>
        </w:tc>
        <w:tc>
          <w:tcPr>
            <w:tcW w:w="999" w:type="pct"/>
          </w:tcPr>
          <w:p w14:paraId="024B4D5E" w14:textId="77777777" w:rsidR="0069504D" w:rsidRPr="0069504D" w:rsidRDefault="0069504D" w:rsidP="0069504D">
            <w:pPr>
              <w:keepNext/>
              <w:keepLines/>
              <w:widowControl/>
              <w:rPr>
                <w:sz w:val="26"/>
                <w:szCs w:val="26"/>
              </w:rPr>
            </w:pPr>
          </w:p>
        </w:tc>
        <w:tc>
          <w:tcPr>
            <w:tcW w:w="999" w:type="pct"/>
          </w:tcPr>
          <w:p w14:paraId="1DE3B271" w14:textId="77777777" w:rsidR="0069504D" w:rsidRPr="0069504D" w:rsidRDefault="0069504D" w:rsidP="0069504D">
            <w:pPr>
              <w:keepNext/>
              <w:keepLines/>
              <w:widowControl/>
              <w:rPr>
                <w:sz w:val="26"/>
                <w:szCs w:val="26"/>
              </w:rPr>
            </w:pPr>
            <w:r w:rsidRPr="0069504D">
              <w:rPr>
                <w:sz w:val="26"/>
                <w:szCs w:val="26"/>
              </w:rPr>
              <w:t>Market</w:t>
            </w:r>
          </w:p>
        </w:tc>
        <w:tc>
          <w:tcPr>
            <w:tcW w:w="1001" w:type="pct"/>
          </w:tcPr>
          <w:p w14:paraId="43416D3B" w14:textId="77777777" w:rsidR="0069504D" w:rsidRPr="0069504D" w:rsidRDefault="0069504D" w:rsidP="0069504D">
            <w:pPr>
              <w:keepNext/>
              <w:keepLines/>
              <w:widowControl/>
              <w:rPr>
                <w:sz w:val="26"/>
                <w:szCs w:val="26"/>
              </w:rPr>
            </w:pPr>
            <m:oMathPara>
              <m:oMathParaPr>
                <m:jc m:val="centerGroup"/>
              </m:oMathParaPr>
              <m:oMath>
                <m:r>
                  <m:rPr>
                    <m:sty m:val="p"/>
                  </m:rPr>
                  <w:rPr>
                    <w:rFonts w:ascii="Cambria Math" w:hAnsi="Cambria Math"/>
                    <w:sz w:val="26"/>
                    <w:szCs w:val="26"/>
                  </w:rPr>
                  <m:t>$79,002,980</m:t>
                </m:r>
              </m:oMath>
            </m:oMathPara>
          </w:p>
        </w:tc>
      </w:tr>
      <w:tr w:rsidR="0069504D" w:rsidRPr="0069504D" w14:paraId="6590C569" w14:textId="77777777" w:rsidTr="006660C8">
        <w:tc>
          <w:tcPr>
            <w:tcW w:w="1000" w:type="pct"/>
          </w:tcPr>
          <w:p w14:paraId="18EF62D0" w14:textId="77777777" w:rsidR="0069504D" w:rsidRPr="0069504D" w:rsidRDefault="0069504D" w:rsidP="0069504D">
            <w:pPr>
              <w:keepNext/>
              <w:keepLines/>
              <w:widowControl/>
              <w:rPr>
                <w:sz w:val="26"/>
                <w:szCs w:val="26"/>
              </w:rPr>
            </w:pPr>
          </w:p>
        </w:tc>
        <w:tc>
          <w:tcPr>
            <w:tcW w:w="1000" w:type="pct"/>
          </w:tcPr>
          <w:p w14:paraId="32AE8660" w14:textId="77777777" w:rsidR="0069504D" w:rsidRPr="0069504D" w:rsidRDefault="0069504D" w:rsidP="0069504D">
            <w:pPr>
              <w:keepNext/>
              <w:keepLines/>
              <w:widowControl/>
              <w:rPr>
                <w:sz w:val="26"/>
                <w:szCs w:val="26"/>
              </w:rPr>
            </w:pPr>
          </w:p>
        </w:tc>
        <w:tc>
          <w:tcPr>
            <w:tcW w:w="999" w:type="pct"/>
          </w:tcPr>
          <w:p w14:paraId="6C65EF48" w14:textId="77777777" w:rsidR="0069504D" w:rsidRPr="0069504D" w:rsidRDefault="0069504D" w:rsidP="0069504D">
            <w:pPr>
              <w:keepNext/>
              <w:keepLines/>
              <w:widowControl/>
              <w:rPr>
                <w:sz w:val="26"/>
                <w:szCs w:val="26"/>
              </w:rPr>
            </w:pPr>
          </w:p>
        </w:tc>
        <w:tc>
          <w:tcPr>
            <w:tcW w:w="999" w:type="pct"/>
          </w:tcPr>
          <w:p w14:paraId="1D999844" w14:textId="77777777" w:rsidR="0069504D" w:rsidRPr="0069504D" w:rsidRDefault="0069504D" w:rsidP="0069504D">
            <w:pPr>
              <w:keepNext/>
              <w:keepLines/>
              <w:widowControl/>
              <w:rPr>
                <w:sz w:val="26"/>
                <w:szCs w:val="26"/>
              </w:rPr>
            </w:pPr>
          </w:p>
        </w:tc>
        <w:tc>
          <w:tcPr>
            <w:tcW w:w="1001" w:type="pct"/>
          </w:tcPr>
          <w:p w14:paraId="28732CF7" w14:textId="77777777" w:rsidR="0069504D" w:rsidRPr="0069504D" w:rsidRDefault="0069504D" w:rsidP="0069504D">
            <w:pPr>
              <w:keepNext/>
              <w:keepLines/>
              <w:widowControl/>
              <w:rPr>
                <w:sz w:val="26"/>
                <w:szCs w:val="26"/>
              </w:rPr>
            </w:pPr>
          </w:p>
        </w:tc>
      </w:tr>
      <w:tr w:rsidR="0069504D" w:rsidRPr="0069504D" w14:paraId="53CAFDF4" w14:textId="77777777" w:rsidTr="006660C8">
        <w:tc>
          <w:tcPr>
            <w:tcW w:w="1000" w:type="pct"/>
          </w:tcPr>
          <w:p w14:paraId="7DF24A7F" w14:textId="77777777" w:rsidR="0069504D" w:rsidRPr="0069504D" w:rsidRDefault="0069504D" w:rsidP="0069504D">
            <w:pPr>
              <w:keepNext/>
              <w:keepLines/>
              <w:widowControl/>
              <w:rPr>
                <w:sz w:val="26"/>
                <w:szCs w:val="26"/>
              </w:rPr>
            </w:pPr>
            <w:r w:rsidRPr="0069504D">
              <w:rPr>
                <w:sz w:val="26"/>
                <w:szCs w:val="26"/>
              </w:rPr>
              <w:t>Average</w:t>
            </w:r>
          </w:p>
        </w:tc>
        <w:tc>
          <w:tcPr>
            <w:tcW w:w="1000" w:type="pct"/>
          </w:tcPr>
          <w:p w14:paraId="5320E5EB" w14:textId="77777777" w:rsidR="0069504D" w:rsidRPr="0069504D" w:rsidRDefault="0069504D" w:rsidP="0069504D">
            <w:pPr>
              <w:keepNext/>
              <w:keepLines/>
              <w:widowControl/>
              <w:rPr>
                <w:sz w:val="26"/>
                <w:szCs w:val="26"/>
              </w:rPr>
            </w:pPr>
            <m:oMathPara>
              <m:oMathParaPr>
                <m:jc m:val="centerGroup"/>
              </m:oMathParaPr>
              <m:oMath>
                <m:r>
                  <m:rPr>
                    <m:sty m:val="p"/>
                  </m:rPr>
                  <w:rPr>
                    <w:rFonts w:ascii="Cambria Math" w:hAnsi="Cambria Math"/>
                    <w:sz w:val="26"/>
                    <w:szCs w:val="26"/>
                  </w:rPr>
                  <m:t>$48,648,708</m:t>
                </m:r>
              </m:oMath>
            </m:oMathPara>
          </w:p>
        </w:tc>
        <w:tc>
          <w:tcPr>
            <w:tcW w:w="999" w:type="pct"/>
          </w:tcPr>
          <w:p w14:paraId="302144E9" w14:textId="77777777" w:rsidR="0069504D" w:rsidRPr="0069504D" w:rsidRDefault="0069504D" w:rsidP="0069504D">
            <w:pPr>
              <w:keepNext/>
              <w:keepLines/>
              <w:widowControl/>
              <w:rPr>
                <w:sz w:val="26"/>
                <w:szCs w:val="26"/>
              </w:rPr>
            </w:pPr>
          </w:p>
        </w:tc>
        <w:tc>
          <w:tcPr>
            <w:tcW w:w="999" w:type="pct"/>
          </w:tcPr>
          <w:p w14:paraId="075D5EA3" w14:textId="77777777" w:rsidR="0069504D" w:rsidRPr="0069504D" w:rsidRDefault="0069504D" w:rsidP="0069504D">
            <w:pPr>
              <w:keepNext/>
              <w:keepLines/>
              <w:widowControl/>
              <w:rPr>
                <w:sz w:val="26"/>
                <w:szCs w:val="26"/>
              </w:rPr>
            </w:pPr>
            <w:r w:rsidRPr="0069504D">
              <w:rPr>
                <w:sz w:val="26"/>
                <w:szCs w:val="26"/>
              </w:rPr>
              <w:t>Average</w:t>
            </w:r>
          </w:p>
        </w:tc>
        <w:tc>
          <w:tcPr>
            <w:tcW w:w="1001" w:type="pct"/>
          </w:tcPr>
          <w:p w14:paraId="24044B57" w14:textId="77777777" w:rsidR="0069504D" w:rsidRPr="0069504D" w:rsidRDefault="0069504D" w:rsidP="0069504D">
            <w:pPr>
              <w:keepNext/>
              <w:keepLines/>
              <w:widowControl/>
              <w:rPr>
                <w:sz w:val="26"/>
                <w:szCs w:val="26"/>
              </w:rPr>
            </w:pPr>
            <m:oMathPara>
              <m:oMathParaPr>
                <m:jc m:val="centerGroup"/>
              </m:oMathParaPr>
              <m:oMath>
                <m:r>
                  <m:rPr>
                    <m:sty m:val="p"/>
                  </m:rPr>
                  <w:rPr>
                    <w:rFonts w:ascii="Cambria Math" w:hAnsi="Cambria Math"/>
                    <w:sz w:val="26"/>
                    <w:szCs w:val="26"/>
                  </w:rPr>
                  <m:t>$80,098,047</m:t>
                </m:r>
              </m:oMath>
            </m:oMathPara>
          </w:p>
        </w:tc>
      </w:tr>
      <w:tr w:rsidR="0069504D" w:rsidRPr="0069504D" w14:paraId="7F667A27" w14:textId="77777777" w:rsidTr="006660C8">
        <w:tc>
          <w:tcPr>
            <w:tcW w:w="1000" w:type="pct"/>
          </w:tcPr>
          <w:p w14:paraId="2D7D6012" w14:textId="77777777" w:rsidR="0069504D" w:rsidRPr="0069504D" w:rsidRDefault="0069504D" w:rsidP="0069504D">
            <w:pPr>
              <w:keepNext/>
              <w:keepLines/>
              <w:widowControl/>
              <w:rPr>
                <w:b/>
                <w:sz w:val="26"/>
                <w:szCs w:val="26"/>
              </w:rPr>
            </w:pPr>
            <w:r w:rsidRPr="0069504D">
              <w:rPr>
                <w:b/>
                <w:sz w:val="26"/>
                <w:szCs w:val="26"/>
              </w:rPr>
              <w:t>Recommendation</w:t>
            </w:r>
          </w:p>
        </w:tc>
        <w:tc>
          <w:tcPr>
            <w:tcW w:w="1000" w:type="pct"/>
          </w:tcPr>
          <w:p w14:paraId="3DDB51A1" w14:textId="77777777" w:rsidR="0069504D" w:rsidRPr="0069504D" w:rsidRDefault="0069504D" w:rsidP="0069504D">
            <w:pPr>
              <w:keepNext/>
              <w:keepLines/>
              <w:widowControl/>
              <w:rPr>
                <w:b/>
                <w:sz w:val="26"/>
                <w:szCs w:val="26"/>
              </w:rPr>
            </w:pPr>
            <m:oMathPara>
              <m:oMathParaPr>
                <m:jc m:val="centerGroup"/>
              </m:oMathParaPr>
              <m:oMath>
                <m:r>
                  <m:rPr>
                    <m:sty m:val="b"/>
                  </m:rPr>
                  <w:rPr>
                    <w:rFonts w:ascii="Cambria Math" w:hAnsi="Cambria Math"/>
                    <w:sz w:val="26"/>
                    <w:szCs w:val="26"/>
                  </w:rPr>
                  <m:t>$48,648,708</m:t>
                </m:r>
              </m:oMath>
            </m:oMathPara>
          </w:p>
        </w:tc>
        <w:tc>
          <w:tcPr>
            <w:tcW w:w="999" w:type="pct"/>
          </w:tcPr>
          <w:p w14:paraId="21D76515" w14:textId="77777777" w:rsidR="0069504D" w:rsidRPr="0069504D" w:rsidRDefault="0069504D" w:rsidP="0069504D">
            <w:pPr>
              <w:keepNext/>
              <w:keepLines/>
              <w:widowControl/>
              <w:rPr>
                <w:b/>
                <w:sz w:val="26"/>
                <w:szCs w:val="26"/>
              </w:rPr>
            </w:pPr>
          </w:p>
        </w:tc>
        <w:tc>
          <w:tcPr>
            <w:tcW w:w="999" w:type="pct"/>
          </w:tcPr>
          <w:p w14:paraId="5F4D9711" w14:textId="77777777" w:rsidR="0069504D" w:rsidRPr="0069504D" w:rsidRDefault="0069504D" w:rsidP="0069504D">
            <w:pPr>
              <w:keepNext/>
              <w:keepLines/>
              <w:widowControl/>
              <w:rPr>
                <w:b/>
                <w:sz w:val="26"/>
                <w:szCs w:val="26"/>
              </w:rPr>
            </w:pPr>
            <w:r w:rsidRPr="0069504D">
              <w:rPr>
                <w:b/>
                <w:sz w:val="26"/>
                <w:szCs w:val="26"/>
              </w:rPr>
              <w:t>Recommendation</w:t>
            </w:r>
          </w:p>
        </w:tc>
        <w:tc>
          <w:tcPr>
            <w:tcW w:w="1001" w:type="pct"/>
          </w:tcPr>
          <w:p w14:paraId="3EA9491C" w14:textId="77777777" w:rsidR="0069504D" w:rsidRPr="0069504D" w:rsidRDefault="0069504D" w:rsidP="0069504D">
            <w:pPr>
              <w:keepNext/>
              <w:keepLines/>
              <w:widowControl/>
              <w:rPr>
                <w:b/>
                <w:sz w:val="26"/>
                <w:szCs w:val="26"/>
              </w:rPr>
            </w:pPr>
            <m:oMathPara>
              <m:oMathParaPr>
                <m:jc m:val="centerGroup"/>
              </m:oMathParaPr>
              <m:oMath>
                <m:r>
                  <m:rPr>
                    <m:sty m:val="b"/>
                  </m:rPr>
                  <w:rPr>
                    <w:rFonts w:ascii="Cambria Math" w:hAnsi="Cambria Math"/>
                    <w:sz w:val="26"/>
                    <w:szCs w:val="26"/>
                  </w:rPr>
                  <m:t>$80,098,047</m:t>
                </m:r>
              </m:oMath>
            </m:oMathPara>
          </w:p>
        </w:tc>
      </w:tr>
    </w:tbl>
    <w:p w14:paraId="19693935" w14:textId="5233C159" w:rsidR="0069504D" w:rsidRPr="0069504D" w:rsidRDefault="0069504D" w:rsidP="0069504D">
      <w:pPr>
        <w:widowControl/>
        <w:spacing w:line="360" w:lineRule="auto"/>
        <w:rPr>
          <w:sz w:val="26"/>
          <w:szCs w:val="26"/>
        </w:rPr>
      </w:pPr>
    </w:p>
    <w:p w14:paraId="74C476A6" w14:textId="77777777" w:rsidR="0069504D" w:rsidRPr="0069504D" w:rsidRDefault="0069504D" w:rsidP="0069504D">
      <w:pPr>
        <w:widowControl/>
        <w:spacing w:line="360" w:lineRule="auto"/>
        <w:rPr>
          <w:sz w:val="26"/>
          <w:szCs w:val="26"/>
        </w:rPr>
      </w:pPr>
      <w:r w:rsidRPr="0069504D">
        <w:rPr>
          <w:sz w:val="26"/>
          <w:szCs w:val="26"/>
        </w:rPr>
        <w:tab/>
      </w:r>
      <w:r w:rsidRPr="0069504D">
        <w:rPr>
          <w:sz w:val="26"/>
          <w:szCs w:val="26"/>
        </w:rPr>
        <w:tab/>
        <w:t>The average of the two valuations is $64,373,378.  R.D. at 31.</w:t>
      </w:r>
      <w:r w:rsidR="00F665AE">
        <w:rPr>
          <w:sz w:val="26"/>
          <w:szCs w:val="26"/>
        </w:rPr>
        <w:t xml:space="preserve">  The Parties raised various Exceptions to the </w:t>
      </w:r>
      <w:r w:rsidR="009D5545">
        <w:rPr>
          <w:sz w:val="26"/>
          <w:szCs w:val="26"/>
        </w:rPr>
        <w:t>adjustments adopted and rejected by the ALJ.  Ultimately, we denied each of the Exceptions and adopted the ALJ’s recommendations in their entirety.</w:t>
      </w:r>
      <w:r w:rsidR="009D5545">
        <w:rPr>
          <w:rStyle w:val="FootnoteReference"/>
          <w:sz w:val="26"/>
          <w:szCs w:val="26"/>
        </w:rPr>
        <w:footnoteReference w:id="7"/>
      </w:r>
      <w:r w:rsidR="009D5545">
        <w:rPr>
          <w:sz w:val="26"/>
          <w:szCs w:val="26"/>
        </w:rPr>
        <w:t xml:space="preserve">  </w:t>
      </w:r>
    </w:p>
    <w:p w14:paraId="3008BAB0" w14:textId="77777777" w:rsidR="0069504D" w:rsidRPr="009F79E2" w:rsidRDefault="0069504D" w:rsidP="006B217A">
      <w:pPr>
        <w:pStyle w:val="ListParagraph"/>
        <w:widowControl/>
        <w:spacing w:line="360" w:lineRule="auto"/>
        <w:ind w:left="0" w:firstLine="1440"/>
        <w:rPr>
          <w:bCs/>
          <w:sz w:val="26"/>
          <w:szCs w:val="26"/>
          <w:lang w:val="en"/>
        </w:rPr>
      </w:pPr>
    </w:p>
    <w:p w14:paraId="59EEB97E" w14:textId="77777777" w:rsidR="00B86747" w:rsidRDefault="00570C92" w:rsidP="00A52131">
      <w:pPr>
        <w:pStyle w:val="ListParagraph"/>
        <w:keepNext/>
        <w:keepLines/>
        <w:widowControl/>
        <w:numPr>
          <w:ilvl w:val="0"/>
          <w:numId w:val="10"/>
        </w:numPr>
        <w:spacing w:line="360" w:lineRule="auto"/>
        <w:rPr>
          <w:rFonts w:eastAsia="Calibri"/>
          <w:b/>
          <w:sz w:val="26"/>
          <w:szCs w:val="26"/>
        </w:rPr>
      </w:pPr>
      <w:r w:rsidRPr="00570C92">
        <w:rPr>
          <w:rFonts w:eastAsia="Calibri"/>
          <w:b/>
          <w:sz w:val="26"/>
          <w:szCs w:val="26"/>
        </w:rPr>
        <w:t>Public Interest and Affirmative Public Benefits</w:t>
      </w:r>
    </w:p>
    <w:p w14:paraId="364F0285" w14:textId="77777777" w:rsidR="00570C92" w:rsidRDefault="00570C92" w:rsidP="00570C92">
      <w:pPr>
        <w:pStyle w:val="ListParagraph"/>
        <w:keepNext/>
        <w:keepLines/>
        <w:widowControl/>
        <w:spacing w:line="360" w:lineRule="auto"/>
        <w:ind w:left="1080"/>
        <w:rPr>
          <w:rFonts w:eastAsia="Calibri"/>
          <w:b/>
          <w:sz w:val="26"/>
          <w:szCs w:val="26"/>
        </w:rPr>
      </w:pPr>
    </w:p>
    <w:p w14:paraId="102089CD" w14:textId="5BEA9AF7" w:rsidR="00505890" w:rsidRPr="00A43842" w:rsidRDefault="00570C92" w:rsidP="00505890">
      <w:pPr>
        <w:widowControl/>
        <w:spacing w:line="360" w:lineRule="auto"/>
        <w:rPr>
          <w:sz w:val="26"/>
          <w:szCs w:val="26"/>
        </w:rPr>
      </w:pPr>
      <w:r>
        <w:rPr>
          <w:rFonts w:eastAsia="Calibri"/>
          <w:b/>
          <w:sz w:val="26"/>
          <w:szCs w:val="26"/>
        </w:rPr>
        <w:tab/>
      </w:r>
      <w:r w:rsidR="00505890">
        <w:rPr>
          <w:rFonts w:eastAsia="Calibri"/>
          <w:b/>
          <w:sz w:val="26"/>
          <w:szCs w:val="26"/>
        </w:rPr>
        <w:tab/>
      </w:r>
      <w:r w:rsidR="00505890">
        <w:rPr>
          <w:sz w:val="26"/>
          <w:szCs w:val="26"/>
        </w:rPr>
        <w:t>Moving to</w:t>
      </w:r>
      <w:r w:rsidR="00505890" w:rsidRPr="00505890">
        <w:rPr>
          <w:sz w:val="26"/>
          <w:szCs w:val="26"/>
        </w:rPr>
        <w:t xml:space="preserve"> the Exceptions of I&amp;E and the OCA</w:t>
      </w:r>
      <w:r w:rsidR="00505890">
        <w:rPr>
          <w:sz w:val="26"/>
          <w:szCs w:val="26"/>
        </w:rPr>
        <w:t xml:space="preserve"> challenging the findings of the ALJ as to the findings of public interest and affirmative public benefits, we </w:t>
      </w:r>
      <w:r w:rsidR="006E3ECE">
        <w:rPr>
          <w:sz w:val="26"/>
          <w:szCs w:val="26"/>
        </w:rPr>
        <w:t xml:space="preserve">addressed </w:t>
      </w:r>
      <w:r w:rsidR="00505890">
        <w:rPr>
          <w:sz w:val="26"/>
          <w:szCs w:val="26"/>
        </w:rPr>
        <w:t xml:space="preserve">our guidance in the </w:t>
      </w:r>
      <w:r w:rsidR="00505890" w:rsidRPr="00505890">
        <w:rPr>
          <w:i/>
          <w:sz w:val="26"/>
          <w:szCs w:val="26"/>
        </w:rPr>
        <w:t xml:space="preserve">Aqua – New Garden </w:t>
      </w:r>
      <w:r w:rsidR="00A43842">
        <w:rPr>
          <w:i/>
          <w:sz w:val="26"/>
          <w:szCs w:val="26"/>
        </w:rPr>
        <w:t xml:space="preserve">Application </w:t>
      </w:r>
      <w:r w:rsidR="00505890" w:rsidRPr="00505890">
        <w:rPr>
          <w:i/>
          <w:sz w:val="26"/>
          <w:szCs w:val="26"/>
        </w:rPr>
        <w:t>Order</w:t>
      </w:r>
      <w:r w:rsidR="00505890">
        <w:rPr>
          <w:sz w:val="26"/>
          <w:szCs w:val="26"/>
        </w:rPr>
        <w:t xml:space="preserve">.  </w:t>
      </w:r>
      <w:r w:rsidR="006E3ECE">
        <w:rPr>
          <w:sz w:val="26"/>
          <w:szCs w:val="26"/>
        </w:rPr>
        <w:t>A</w:t>
      </w:r>
      <w:r w:rsidR="00505890">
        <w:rPr>
          <w:sz w:val="26"/>
          <w:szCs w:val="26"/>
        </w:rPr>
        <w:t xml:space="preserve">lthough </w:t>
      </w:r>
      <w:r w:rsidR="00505890" w:rsidRPr="00505890">
        <w:rPr>
          <w:sz w:val="26"/>
          <w:szCs w:val="26"/>
        </w:rPr>
        <w:t xml:space="preserve">the ALJ </w:t>
      </w:r>
      <w:r w:rsidR="006E3ECE">
        <w:rPr>
          <w:sz w:val="26"/>
          <w:szCs w:val="26"/>
        </w:rPr>
        <w:t xml:space="preserve">referenced </w:t>
      </w:r>
      <w:r w:rsidR="00D8104D">
        <w:rPr>
          <w:sz w:val="26"/>
          <w:szCs w:val="26"/>
        </w:rPr>
        <w:t>that</w:t>
      </w:r>
      <w:r w:rsidR="00A43842">
        <w:rPr>
          <w:sz w:val="26"/>
          <w:szCs w:val="26"/>
        </w:rPr>
        <w:t xml:space="preserve"> prior proceeding</w:t>
      </w:r>
      <w:r w:rsidR="006E3ECE">
        <w:rPr>
          <w:sz w:val="26"/>
          <w:szCs w:val="26"/>
        </w:rPr>
        <w:t xml:space="preserve">, we explained that he </w:t>
      </w:r>
      <w:r w:rsidR="00505890" w:rsidRPr="00505890">
        <w:rPr>
          <w:sz w:val="26"/>
          <w:szCs w:val="26"/>
        </w:rPr>
        <w:t xml:space="preserve">independently evaluated the record in this </w:t>
      </w:r>
      <w:r w:rsidR="00A43842">
        <w:rPr>
          <w:sz w:val="26"/>
          <w:szCs w:val="26"/>
        </w:rPr>
        <w:t>matter</w:t>
      </w:r>
      <w:r w:rsidR="00505890" w:rsidRPr="00505890">
        <w:rPr>
          <w:sz w:val="26"/>
          <w:szCs w:val="26"/>
        </w:rPr>
        <w:t xml:space="preserve"> and determined that the Company established that the transaction is in the public interest and that the public at large, including </w:t>
      </w:r>
      <w:proofErr w:type="spellStart"/>
      <w:r w:rsidR="00505890" w:rsidRPr="00505890">
        <w:rPr>
          <w:sz w:val="26"/>
          <w:szCs w:val="26"/>
        </w:rPr>
        <w:t>Aqua’s</w:t>
      </w:r>
      <w:proofErr w:type="spellEnd"/>
      <w:r w:rsidR="00505890" w:rsidRPr="00505890">
        <w:rPr>
          <w:sz w:val="26"/>
          <w:szCs w:val="26"/>
        </w:rPr>
        <w:t xml:space="preserve"> existing customers, will realize affirmative public benefits for purposes of the Application.  We agree</w:t>
      </w:r>
      <w:r w:rsidR="006E3ECE">
        <w:rPr>
          <w:sz w:val="26"/>
          <w:szCs w:val="26"/>
        </w:rPr>
        <w:t>d with the ALJ</w:t>
      </w:r>
      <w:r w:rsidR="00505890" w:rsidRPr="00505890">
        <w:rPr>
          <w:sz w:val="26"/>
          <w:szCs w:val="26"/>
        </w:rPr>
        <w:t xml:space="preserve"> that the affirmative public benefits shown by the Company and the additional conditions outlined in the Recommended Decision – requiring a cost of service study in the next rate case and mandating that </w:t>
      </w:r>
      <w:proofErr w:type="spellStart"/>
      <w:r w:rsidR="00505890" w:rsidRPr="00505890">
        <w:rPr>
          <w:sz w:val="26"/>
          <w:szCs w:val="26"/>
        </w:rPr>
        <w:t>Aqua’s</w:t>
      </w:r>
      <w:proofErr w:type="spellEnd"/>
      <w:r w:rsidR="00505890" w:rsidRPr="00505890">
        <w:rPr>
          <w:sz w:val="26"/>
          <w:szCs w:val="26"/>
        </w:rPr>
        <w:t xml:space="preserve"> shareholders bear the risk of any shortfall between revenue from Limerick’s customers and the cost of providing service – will assure that the public interest obligations under the Code are satisfied and that the Application will result in affirmative public benefits.</w:t>
      </w:r>
      <w:r w:rsidR="00A43842">
        <w:rPr>
          <w:sz w:val="26"/>
          <w:szCs w:val="26"/>
        </w:rPr>
        <w:t xml:space="preserve">  </w:t>
      </w:r>
      <w:r w:rsidR="00A43842" w:rsidRPr="00612702">
        <w:rPr>
          <w:i/>
          <w:sz w:val="26"/>
          <w:szCs w:val="26"/>
        </w:rPr>
        <w:t>November 2017 Order</w:t>
      </w:r>
      <w:r w:rsidR="00A43842">
        <w:rPr>
          <w:i/>
          <w:sz w:val="26"/>
          <w:szCs w:val="26"/>
        </w:rPr>
        <w:t xml:space="preserve"> </w:t>
      </w:r>
      <w:r w:rsidR="00A43842">
        <w:rPr>
          <w:sz w:val="26"/>
          <w:szCs w:val="26"/>
        </w:rPr>
        <w:t>at 68.</w:t>
      </w:r>
    </w:p>
    <w:p w14:paraId="4B533D03" w14:textId="77777777" w:rsidR="00D6470B" w:rsidRDefault="00D6470B" w:rsidP="00505890">
      <w:pPr>
        <w:widowControl/>
        <w:spacing w:line="360" w:lineRule="auto"/>
        <w:rPr>
          <w:sz w:val="26"/>
        </w:rPr>
      </w:pPr>
    </w:p>
    <w:p w14:paraId="53587720" w14:textId="77777777" w:rsidR="00D6470B" w:rsidRDefault="00D6470B" w:rsidP="006B217A">
      <w:pPr>
        <w:pStyle w:val="ListParagraph"/>
        <w:keepNext/>
        <w:keepLines/>
        <w:widowControl/>
        <w:numPr>
          <w:ilvl w:val="0"/>
          <w:numId w:val="10"/>
        </w:numPr>
        <w:spacing w:line="360" w:lineRule="auto"/>
        <w:rPr>
          <w:sz w:val="26"/>
        </w:rPr>
      </w:pPr>
      <w:r>
        <w:rPr>
          <w:b/>
          <w:sz w:val="26"/>
        </w:rPr>
        <w:t>Imposition of 6-Month Statute of Limitations</w:t>
      </w:r>
    </w:p>
    <w:p w14:paraId="03DEFB11" w14:textId="77777777" w:rsidR="00D6470B" w:rsidRDefault="00D6470B" w:rsidP="006B217A">
      <w:pPr>
        <w:pStyle w:val="ListParagraph"/>
        <w:keepNext/>
        <w:keepLines/>
        <w:widowControl/>
        <w:spacing w:line="360" w:lineRule="auto"/>
        <w:ind w:left="1080"/>
        <w:rPr>
          <w:sz w:val="26"/>
        </w:rPr>
      </w:pPr>
    </w:p>
    <w:p w14:paraId="1C5278FE" w14:textId="77777777" w:rsidR="00D6470B" w:rsidRPr="00A43842" w:rsidRDefault="00D6470B" w:rsidP="00D6470B">
      <w:pPr>
        <w:widowControl/>
        <w:spacing w:line="360" w:lineRule="auto"/>
        <w:rPr>
          <w:sz w:val="26"/>
          <w:szCs w:val="26"/>
        </w:rPr>
      </w:pPr>
      <w:r>
        <w:rPr>
          <w:sz w:val="26"/>
        </w:rPr>
        <w:tab/>
      </w:r>
      <w:r>
        <w:rPr>
          <w:sz w:val="26"/>
        </w:rPr>
        <w:tab/>
        <w:t xml:space="preserve">Additionally, we denied the OCA’s Exception objecting to the ALJ’s conclusion that </w:t>
      </w:r>
      <w:r w:rsidR="00A043A5">
        <w:rPr>
          <w:sz w:val="26"/>
        </w:rPr>
        <w:t xml:space="preserve">a </w:t>
      </w:r>
      <w:r>
        <w:rPr>
          <w:sz w:val="26"/>
          <w:szCs w:val="26"/>
          <w:lang w:val="en"/>
        </w:rPr>
        <w:t xml:space="preserve">decision on the Application must be issued within the statutory six-month deadline.  </w:t>
      </w:r>
      <w:r w:rsidRPr="00D6470B">
        <w:rPr>
          <w:sz w:val="26"/>
          <w:szCs w:val="26"/>
        </w:rPr>
        <w:t>We agree</w:t>
      </w:r>
      <w:r>
        <w:rPr>
          <w:sz w:val="26"/>
          <w:szCs w:val="26"/>
        </w:rPr>
        <w:t>d</w:t>
      </w:r>
      <w:r w:rsidRPr="00D6470B">
        <w:rPr>
          <w:sz w:val="26"/>
          <w:szCs w:val="26"/>
        </w:rPr>
        <w:t xml:space="preserve"> with the ALJ </w:t>
      </w:r>
      <w:r>
        <w:rPr>
          <w:sz w:val="26"/>
          <w:szCs w:val="26"/>
        </w:rPr>
        <w:t>that</w:t>
      </w:r>
      <w:r w:rsidRPr="00D6470B">
        <w:rPr>
          <w:sz w:val="26"/>
          <w:szCs w:val="26"/>
        </w:rPr>
        <w:t xml:space="preserve"> consistent with our prior determination in the Aqua – New Garden proceeding, both, the Section 1329 and 1102 considerations </w:t>
      </w:r>
      <w:r>
        <w:rPr>
          <w:sz w:val="26"/>
          <w:szCs w:val="26"/>
        </w:rPr>
        <w:t xml:space="preserve">in this proceeding </w:t>
      </w:r>
      <w:r w:rsidR="00A043A5">
        <w:rPr>
          <w:sz w:val="26"/>
          <w:szCs w:val="26"/>
        </w:rPr>
        <w:t>were required to be</w:t>
      </w:r>
      <w:r w:rsidRPr="00D6470B">
        <w:rPr>
          <w:sz w:val="26"/>
          <w:szCs w:val="26"/>
        </w:rPr>
        <w:t xml:space="preserve"> concluded within the six-month deadline set forth in Section 1329(d)(2).</w:t>
      </w:r>
      <w:r>
        <w:rPr>
          <w:sz w:val="26"/>
          <w:szCs w:val="26"/>
        </w:rPr>
        <w:t xml:space="preserve">  </w:t>
      </w:r>
      <w:r w:rsidR="00A43842" w:rsidRPr="00612702">
        <w:rPr>
          <w:i/>
          <w:sz w:val="26"/>
          <w:szCs w:val="26"/>
        </w:rPr>
        <w:t>November 2017 Order</w:t>
      </w:r>
      <w:r w:rsidR="00A43842">
        <w:rPr>
          <w:i/>
          <w:sz w:val="26"/>
          <w:szCs w:val="26"/>
        </w:rPr>
        <w:t xml:space="preserve"> </w:t>
      </w:r>
      <w:r w:rsidR="00A43842">
        <w:rPr>
          <w:sz w:val="26"/>
          <w:szCs w:val="26"/>
        </w:rPr>
        <w:t>at 70.</w:t>
      </w:r>
    </w:p>
    <w:p w14:paraId="22F87C7F" w14:textId="77777777" w:rsidR="00A44396" w:rsidRDefault="00A44396" w:rsidP="00D6470B">
      <w:pPr>
        <w:widowControl/>
        <w:spacing w:line="360" w:lineRule="auto"/>
        <w:rPr>
          <w:sz w:val="26"/>
          <w:szCs w:val="26"/>
        </w:rPr>
      </w:pPr>
    </w:p>
    <w:p w14:paraId="31CCCDE8" w14:textId="77777777" w:rsidR="00A44396" w:rsidRPr="00A44396" w:rsidRDefault="00A44396" w:rsidP="006B217A">
      <w:pPr>
        <w:pStyle w:val="ListParagraph"/>
        <w:keepNext/>
        <w:keepLines/>
        <w:widowControl/>
        <w:numPr>
          <w:ilvl w:val="0"/>
          <w:numId w:val="10"/>
        </w:numPr>
        <w:spacing w:line="360" w:lineRule="auto"/>
        <w:rPr>
          <w:b/>
          <w:sz w:val="26"/>
          <w:szCs w:val="26"/>
        </w:rPr>
      </w:pPr>
      <w:r w:rsidRPr="00A44396">
        <w:rPr>
          <w:b/>
          <w:sz w:val="26"/>
          <w:szCs w:val="26"/>
        </w:rPr>
        <w:t xml:space="preserve">Remaining </w:t>
      </w:r>
      <w:r>
        <w:rPr>
          <w:b/>
          <w:sz w:val="26"/>
          <w:szCs w:val="26"/>
        </w:rPr>
        <w:t>I</w:t>
      </w:r>
      <w:r w:rsidRPr="00A44396">
        <w:rPr>
          <w:b/>
          <w:sz w:val="26"/>
          <w:szCs w:val="26"/>
        </w:rPr>
        <w:t>ssue</w:t>
      </w:r>
      <w:r>
        <w:rPr>
          <w:b/>
          <w:sz w:val="26"/>
          <w:szCs w:val="26"/>
        </w:rPr>
        <w:t>s</w:t>
      </w:r>
    </w:p>
    <w:p w14:paraId="190418D9" w14:textId="77777777" w:rsidR="00D6470B" w:rsidRDefault="00D6470B" w:rsidP="006B217A">
      <w:pPr>
        <w:pStyle w:val="ListParagraph"/>
        <w:keepNext/>
        <w:keepLines/>
        <w:widowControl/>
        <w:spacing w:line="360" w:lineRule="auto"/>
        <w:ind w:left="0"/>
        <w:rPr>
          <w:sz w:val="26"/>
        </w:rPr>
      </w:pPr>
    </w:p>
    <w:p w14:paraId="4D39EEF5" w14:textId="1DB3F7E0" w:rsidR="00A44396" w:rsidRDefault="00A44396" w:rsidP="00D6470B">
      <w:pPr>
        <w:pStyle w:val="ListParagraph"/>
        <w:widowControl/>
        <w:spacing w:line="360" w:lineRule="auto"/>
        <w:ind w:left="0"/>
        <w:rPr>
          <w:sz w:val="26"/>
        </w:rPr>
      </w:pPr>
      <w:r>
        <w:rPr>
          <w:sz w:val="26"/>
        </w:rPr>
        <w:tab/>
      </w:r>
      <w:r>
        <w:rPr>
          <w:sz w:val="26"/>
        </w:rPr>
        <w:tab/>
        <w:t xml:space="preserve">The remainder of our </w:t>
      </w:r>
      <w:r w:rsidRPr="00A043A5">
        <w:rPr>
          <w:i/>
          <w:sz w:val="26"/>
        </w:rPr>
        <w:t>November 2017 Order</w:t>
      </w:r>
      <w:r>
        <w:rPr>
          <w:sz w:val="26"/>
        </w:rPr>
        <w:t xml:space="preserve"> addressed Exceptions by the Parties pertaining to a variety of issues including, contracts between public utilities and </w:t>
      </w:r>
      <w:r w:rsidR="00A043A5">
        <w:rPr>
          <w:sz w:val="26"/>
        </w:rPr>
        <w:t xml:space="preserve">municipalities, a separate cost of service study during the next base rate case, and the filing of a revised </w:t>
      </w:r>
      <w:r w:rsidR="006F681C">
        <w:rPr>
          <w:sz w:val="26"/>
        </w:rPr>
        <w:t>Distribution System Improvement Charge</w:t>
      </w:r>
      <w:r w:rsidR="00A043A5">
        <w:rPr>
          <w:sz w:val="26"/>
        </w:rPr>
        <w:t xml:space="preserve"> tariff and </w:t>
      </w:r>
      <w:r w:rsidR="006F681C">
        <w:rPr>
          <w:sz w:val="26"/>
        </w:rPr>
        <w:t>a Long Term Infrastructure Improvement Plan</w:t>
      </w:r>
      <w:r w:rsidR="00A043A5">
        <w:rPr>
          <w:sz w:val="26"/>
        </w:rPr>
        <w:t>.  We denied each of these Exceptions.</w:t>
      </w:r>
      <w:r w:rsidR="00A043A5">
        <w:rPr>
          <w:rStyle w:val="FootnoteReference"/>
          <w:sz w:val="26"/>
        </w:rPr>
        <w:footnoteReference w:id="8"/>
      </w:r>
      <w:r w:rsidR="00A043A5">
        <w:rPr>
          <w:sz w:val="26"/>
        </w:rPr>
        <w:t xml:space="preserve">   </w:t>
      </w:r>
    </w:p>
    <w:p w14:paraId="42911AB3" w14:textId="77777777" w:rsidR="0019056C" w:rsidRPr="00D6470B" w:rsidRDefault="0019056C" w:rsidP="00D6470B">
      <w:pPr>
        <w:pStyle w:val="ListParagraph"/>
        <w:widowControl/>
        <w:spacing w:line="360" w:lineRule="auto"/>
        <w:ind w:left="0"/>
        <w:rPr>
          <w:sz w:val="26"/>
        </w:rPr>
      </w:pPr>
    </w:p>
    <w:p w14:paraId="53BA1BDE" w14:textId="77777777" w:rsidR="00006F35" w:rsidRPr="00A043A5" w:rsidRDefault="00414B8E" w:rsidP="00A043A5">
      <w:pPr>
        <w:pStyle w:val="ListParagraph"/>
        <w:keepNext/>
        <w:keepLines/>
        <w:widowControl/>
        <w:numPr>
          <w:ilvl w:val="0"/>
          <w:numId w:val="9"/>
        </w:numPr>
        <w:spacing w:after="200" w:line="276" w:lineRule="auto"/>
        <w:ind w:hanging="720"/>
        <w:rPr>
          <w:rFonts w:eastAsia="Calibri"/>
          <w:b/>
          <w:sz w:val="26"/>
          <w:szCs w:val="26"/>
        </w:rPr>
      </w:pPr>
      <w:r w:rsidRPr="00A043A5">
        <w:rPr>
          <w:rFonts w:eastAsia="Calibri"/>
          <w:b/>
          <w:sz w:val="26"/>
          <w:szCs w:val="26"/>
        </w:rPr>
        <w:t>Petition and Answer</w:t>
      </w:r>
      <w:r w:rsidR="0019056C">
        <w:rPr>
          <w:rFonts w:eastAsia="Calibri"/>
          <w:b/>
          <w:sz w:val="26"/>
          <w:szCs w:val="26"/>
        </w:rPr>
        <w:t>s</w:t>
      </w:r>
    </w:p>
    <w:p w14:paraId="25CC017F" w14:textId="77777777" w:rsidR="004E2F9E" w:rsidRDefault="004E2F9E" w:rsidP="001D3E75">
      <w:pPr>
        <w:keepNext/>
        <w:keepLines/>
        <w:widowControl/>
        <w:spacing w:line="360" w:lineRule="auto"/>
        <w:rPr>
          <w:rFonts w:eastAsia="Calibri"/>
          <w:b/>
          <w:sz w:val="26"/>
          <w:szCs w:val="26"/>
        </w:rPr>
      </w:pPr>
    </w:p>
    <w:p w14:paraId="1E62238E" w14:textId="77777777" w:rsidR="001708D6" w:rsidRDefault="00102E27" w:rsidP="0003468E">
      <w:pPr>
        <w:widowControl/>
        <w:spacing w:line="360" w:lineRule="auto"/>
        <w:rPr>
          <w:sz w:val="26"/>
        </w:rPr>
      </w:pPr>
      <w:r>
        <w:rPr>
          <w:rFonts w:eastAsia="Calibri"/>
          <w:b/>
          <w:sz w:val="26"/>
          <w:szCs w:val="26"/>
        </w:rPr>
        <w:tab/>
      </w:r>
      <w:r>
        <w:rPr>
          <w:rFonts w:eastAsia="Calibri"/>
          <w:b/>
          <w:sz w:val="26"/>
          <w:szCs w:val="26"/>
        </w:rPr>
        <w:tab/>
      </w:r>
      <w:r>
        <w:rPr>
          <w:rFonts w:eastAsia="Calibri"/>
          <w:sz w:val="26"/>
          <w:szCs w:val="26"/>
        </w:rPr>
        <w:t xml:space="preserve">In its Petition, </w:t>
      </w:r>
      <w:r w:rsidR="00A043A5">
        <w:rPr>
          <w:rFonts w:eastAsia="Calibri"/>
          <w:sz w:val="26"/>
          <w:szCs w:val="26"/>
        </w:rPr>
        <w:t>Aqua</w:t>
      </w:r>
      <w:r w:rsidR="007F21DE">
        <w:rPr>
          <w:rFonts w:eastAsia="Calibri"/>
          <w:sz w:val="26"/>
          <w:szCs w:val="26"/>
        </w:rPr>
        <w:t xml:space="preserve"> requests that we reconsider the </w:t>
      </w:r>
      <w:r w:rsidR="00A043A5">
        <w:rPr>
          <w:i/>
          <w:sz w:val="26"/>
        </w:rPr>
        <w:t>November</w:t>
      </w:r>
      <w:r w:rsidR="007F21DE">
        <w:rPr>
          <w:i/>
          <w:sz w:val="26"/>
        </w:rPr>
        <w:t xml:space="preserve"> 2017 Order </w:t>
      </w:r>
      <w:r w:rsidR="007F21DE">
        <w:rPr>
          <w:sz w:val="26"/>
        </w:rPr>
        <w:t>based on t</w:t>
      </w:r>
      <w:r w:rsidR="00A043A5">
        <w:rPr>
          <w:sz w:val="26"/>
        </w:rPr>
        <w:t>hree</w:t>
      </w:r>
      <w:r w:rsidR="007F21DE">
        <w:rPr>
          <w:sz w:val="26"/>
        </w:rPr>
        <w:t xml:space="preserve"> arguments.  First, </w:t>
      </w:r>
      <w:r w:rsidR="00A043A5">
        <w:rPr>
          <w:sz w:val="26"/>
        </w:rPr>
        <w:t>the Company c</w:t>
      </w:r>
      <w:r w:rsidR="007F21DE">
        <w:rPr>
          <w:sz w:val="26"/>
        </w:rPr>
        <w:t xml:space="preserve">ontends that </w:t>
      </w:r>
      <w:r w:rsidR="00A043A5">
        <w:rPr>
          <w:sz w:val="26"/>
        </w:rPr>
        <w:t xml:space="preserve">the Commission must apply the clear and unambiguous language of Section 1329 and </w:t>
      </w:r>
      <w:r w:rsidR="0019056C">
        <w:rPr>
          <w:sz w:val="26"/>
        </w:rPr>
        <w:t>preclude challenges to the fair market valuation appraisal reports</w:t>
      </w:r>
      <w:r w:rsidR="007F21DE">
        <w:rPr>
          <w:sz w:val="26"/>
        </w:rPr>
        <w:t>.</w:t>
      </w:r>
      <w:r w:rsidR="001C712F">
        <w:rPr>
          <w:sz w:val="26"/>
        </w:rPr>
        <w:t xml:space="preserve">  Second, </w:t>
      </w:r>
      <w:r w:rsidR="0019056C">
        <w:rPr>
          <w:sz w:val="26"/>
        </w:rPr>
        <w:t>Aqua</w:t>
      </w:r>
      <w:r w:rsidR="001C712F">
        <w:rPr>
          <w:sz w:val="26"/>
        </w:rPr>
        <w:t xml:space="preserve"> argues that </w:t>
      </w:r>
      <w:r w:rsidR="0019056C">
        <w:rPr>
          <w:sz w:val="26"/>
        </w:rPr>
        <w:t xml:space="preserve">the Commission, in adopting adjustments to the appraisal of one of the UVEs, overlooked and failed to appropriately consider and apply the unbiased independence of the UVE.  Last, the Company asserts that the </w:t>
      </w:r>
      <w:r w:rsidR="0019056C">
        <w:rPr>
          <w:i/>
          <w:sz w:val="26"/>
        </w:rPr>
        <w:t>November 2017 Order</w:t>
      </w:r>
      <w:r w:rsidR="0019056C">
        <w:rPr>
          <w:sz w:val="26"/>
        </w:rPr>
        <w:t xml:space="preserve"> is internally inconsistent.  </w:t>
      </w:r>
    </w:p>
    <w:p w14:paraId="35FABDD4" w14:textId="77777777" w:rsidR="001C712F" w:rsidRDefault="001C712F" w:rsidP="0003468E">
      <w:pPr>
        <w:widowControl/>
        <w:spacing w:line="360" w:lineRule="auto"/>
        <w:rPr>
          <w:sz w:val="26"/>
        </w:rPr>
      </w:pPr>
    </w:p>
    <w:p w14:paraId="6F512D2D" w14:textId="44DF1270" w:rsidR="001C712F" w:rsidRDefault="001C712F" w:rsidP="0003468E">
      <w:pPr>
        <w:widowControl/>
        <w:spacing w:line="360" w:lineRule="auto"/>
        <w:rPr>
          <w:sz w:val="26"/>
        </w:rPr>
      </w:pPr>
      <w:r>
        <w:rPr>
          <w:sz w:val="26"/>
        </w:rPr>
        <w:tab/>
      </w:r>
      <w:r>
        <w:rPr>
          <w:sz w:val="26"/>
        </w:rPr>
        <w:tab/>
        <w:t xml:space="preserve">As to its first argument, </w:t>
      </w:r>
      <w:r w:rsidR="00992AD4">
        <w:rPr>
          <w:sz w:val="26"/>
        </w:rPr>
        <w:t>Aqua</w:t>
      </w:r>
      <w:r>
        <w:rPr>
          <w:sz w:val="26"/>
        </w:rPr>
        <w:t xml:space="preserve"> submits that </w:t>
      </w:r>
      <w:r w:rsidR="00CF6A79">
        <w:rPr>
          <w:sz w:val="26"/>
        </w:rPr>
        <w:t xml:space="preserve">the </w:t>
      </w:r>
      <w:r w:rsidR="003116B2">
        <w:rPr>
          <w:sz w:val="26"/>
        </w:rPr>
        <w:t>Commission comm</w:t>
      </w:r>
      <w:r w:rsidR="002B17E9">
        <w:rPr>
          <w:sz w:val="26"/>
        </w:rPr>
        <w:t xml:space="preserve">itted a clear error of law by concluding that Section 1329 of the Code permits a review of UVE assumptions for reasonableness.  According to the Company, the Commission has engaged in an impermissible rewriting of the statute by applying a reasonableness standard that is not mentioned or included in Section 1329.  Rather, Aqua asserts, the Commission has replaced the USPAP standard with a discretionary standard pertaining to FMV appraisal reports that was not intended by the General Assembly.  The Company proffers that nothing in the language of Section 1329 permits an adjustment to the ratemaking base regardless of the purported reasonableness of the adjustment.  </w:t>
      </w:r>
      <w:r w:rsidR="00F536D6">
        <w:rPr>
          <w:sz w:val="26"/>
        </w:rPr>
        <w:t>Petition at</w:t>
      </w:r>
      <w:r w:rsidR="00E43D2A">
        <w:rPr>
          <w:sz w:val="26"/>
        </w:rPr>
        <w:t> </w:t>
      </w:r>
      <w:r w:rsidR="00F536D6">
        <w:rPr>
          <w:sz w:val="26"/>
        </w:rPr>
        <w:t>5</w:t>
      </w:r>
      <w:r w:rsidR="002B17E9">
        <w:rPr>
          <w:sz w:val="26"/>
        </w:rPr>
        <w:t>-6</w:t>
      </w:r>
      <w:r w:rsidR="00F536D6">
        <w:rPr>
          <w:sz w:val="26"/>
        </w:rPr>
        <w:t>.</w:t>
      </w:r>
    </w:p>
    <w:p w14:paraId="183F1C46" w14:textId="77777777" w:rsidR="00F536D6" w:rsidRDefault="00F536D6" w:rsidP="0003468E">
      <w:pPr>
        <w:widowControl/>
        <w:spacing w:line="360" w:lineRule="auto"/>
        <w:rPr>
          <w:sz w:val="26"/>
        </w:rPr>
      </w:pPr>
    </w:p>
    <w:p w14:paraId="482C65E6" w14:textId="77777777" w:rsidR="00FE4026" w:rsidRDefault="00F536D6" w:rsidP="0003468E">
      <w:pPr>
        <w:widowControl/>
        <w:spacing w:line="360" w:lineRule="auto"/>
        <w:rPr>
          <w:sz w:val="26"/>
          <w:szCs w:val="26"/>
          <w:lang w:val="en"/>
        </w:rPr>
      </w:pPr>
      <w:r>
        <w:rPr>
          <w:sz w:val="26"/>
        </w:rPr>
        <w:tab/>
      </w:r>
      <w:r>
        <w:rPr>
          <w:sz w:val="26"/>
        </w:rPr>
        <w:tab/>
      </w:r>
      <w:r w:rsidR="00832B60">
        <w:rPr>
          <w:sz w:val="26"/>
          <w:szCs w:val="26"/>
          <w:lang w:val="en"/>
        </w:rPr>
        <w:t xml:space="preserve">As to </w:t>
      </w:r>
      <w:r w:rsidR="000855C1">
        <w:rPr>
          <w:sz w:val="26"/>
          <w:szCs w:val="26"/>
          <w:lang w:val="en"/>
        </w:rPr>
        <w:t>its second</w:t>
      </w:r>
      <w:r w:rsidR="00832B60">
        <w:rPr>
          <w:sz w:val="26"/>
          <w:szCs w:val="26"/>
          <w:lang w:val="en"/>
        </w:rPr>
        <w:t xml:space="preserve"> argument</w:t>
      </w:r>
      <w:r w:rsidR="000855C1">
        <w:rPr>
          <w:sz w:val="26"/>
          <w:szCs w:val="26"/>
          <w:lang w:val="en"/>
        </w:rPr>
        <w:t xml:space="preserve"> in support of the Petition</w:t>
      </w:r>
      <w:r w:rsidR="00832B60">
        <w:rPr>
          <w:sz w:val="26"/>
          <w:szCs w:val="26"/>
          <w:lang w:val="en"/>
        </w:rPr>
        <w:t xml:space="preserve">, </w:t>
      </w:r>
      <w:r w:rsidR="009C1347">
        <w:rPr>
          <w:sz w:val="26"/>
          <w:szCs w:val="26"/>
          <w:lang w:val="en"/>
        </w:rPr>
        <w:t>Aqua</w:t>
      </w:r>
      <w:r w:rsidR="00832B60">
        <w:rPr>
          <w:sz w:val="26"/>
          <w:szCs w:val="26"/>
          <w:lang w:val="en"/>
        </w:rPr>
        <w:t xml:space="preserve"> </w:t>
      </w:r>
      <w:r w:rsidR="000855C1">
        <w:rPr>
          <w:sz w:val="26"/>
          <w:szCs w:val="26"/>
          <w:lang w:val="en"/>
        </w:rPr>
        <w:t xml:space="preserve">argues that </w:t>
      </w:r>
      <w:r w:rsidR="00386885">
        <w:rPr>
          <w:sz w:val="26"/>
          <w:szCs w:val="26"/>
          <w:lang w:val="en"/>
        </w:rPr>
        <w:t>Section 1329 establishes a process by which UVE</w:t>
      </w:r>
      <w:r w:rsidR="00FE4026">
        <w:rPr>
          <w:sz w:val="26"/>
          <w:szCs w:val="26"/>
          <w:lang w:val="en"/>
        </w:rPr>
        <w:t>s</w:t>
      </w:r>
      <w:r w:rsidR="00386885">
        <w:rPr>
          <w:sz w:val="26"/>
          <w:szCs w:val="26"/>
          <w:lang w:val="en"/>
        </w:rPr>
        <w:t xml:space="preserve"> prepare independent and unbiased FMV appraisal report</w:t>
      </w:r>
      <w:r w:rsidR="00FE4026">
        <w:rPr>
          <w:sz w:val="26"/>
          <w:szCs w:val="26"/>
          <w:lang w:val="en"/>
        </w:rPr>
        <w:t>s</w:t>
      </w:r>
      <w:r w:rsidR="00386885">
        <w:rPr>
          <w:sz w:val="26"/>
          <w:szCs w:val="26"/>
          <w:lang w:val="en"/>
        </w:rPr>
        <w:t xml:space="preserve"> employing the cost, market and income approaches.  Indeed, the Company contends, the statute requires UVEs to be independent experts qualified by the Commission who use the information provided to them from an engineer’s assessment of utility plant</w:t>
      </w:r>
      <w:r w:rsidR="000855C1">
        <w:rPr>
          <w:sz w:val="26"/>
          <w:szCs w:val="26"/>
          <w:lang w:val="en"/>
        </w:rPr>
        <w:t xml:space="preserve">.  </w:t>
      </w:r>
      <w:r w:rsidR="00FE4026">
        <w:rPr>
          <w:sz w:val="26"/>
          <w:szCs w:val="26"/>
          <w:lang w:val="en"/>
        </w:rPr>
        <w:t xml:space="preserve">The </w:t>
      </w:r>
      <w:r w:rsidR="00386885">
        <w:rPr>
          <w:sz w:val="26"/>
          <w:szCs w:val="26"/>
          <w:lang w:val="en"/>
        </w:rPr>
        <w:t>Company proffers</w:t>
      </w:r>
      <w:r w:rsidR="00FE4026">
        <w:rPr>
          <w:sz w:val="26"/>
          <w:szCs w:val="26"/>
          <w:lang w:val="en"/>
        </w:rPr>
        <w:t xml:space="preserve"> that</w:t>
      </w:r>
      <w:r w:rsidR="00386885">
        <w:rPr>
          <w:sz w:val="26"/>
          <w:szCs w:val="26"/>
          <w:lang w:val="en"/>
        </w:rPr>
        <w:t xml:space="preserve"> the General Assembly </w:t>
      </w:r>
      <w:r w:rsidR="00FE4026">
        <w:rPr>
          <w:sz w:val="26"/>
          <w:szCs w:val="26"/>
          <w:lang w:val="en"/>
        </w:rPr>
        <w:t xml:space="preserve">required an averaging to account for varying differences of assumptions or inadvertent errors.  Instead of accepting the FMV appraisal reports, Aqua asserts, the Commission improperly considered adjustments proposed by the OCA’s witnesses who were not legally qualified or certified as UVEs.  </w:t>
      </w:r>
      <w:r w:rsidR="006660C8">
        <w:rPr>
          <w:sz w:val="26"/>
          <w:szCs w:val="26"/>
          <w:lang w:val="en"/>
        </w:rPr>
        <w:t xml:space="preserve">The Company argues that the Commission’s adoption of the adjustments is a direct violation of the clear statutory mandate in Section 1329 and contravenes the purpose of having UVEs in the first place.  </w:t>
      </w:r>
      <w:r w:rsidR="00FE4026">
        <w:rPr>
          <w:sz w:val="26"/>
          <w:szCs w:val="26"/>
          <w:lang w:val="en"/>
        </w:rPr>
        <w:t>Petition at 7-9.</w:t>
      </w:r>
    </w:p>
    <w:p w14:paraId="6A4DF26F" w14:textId="77777777" w:rsidR="00FE4026" w:rsidRDefault="00FE4026" w:rsidP="0003468E">
      <w:pPr>
        <w:widowControl/>
        <w:spacing w:line="360" w:lineRule="auto"/>
        <w:rPr>
          <w:sz w:val="26"/>
          <w:szCs w:val="26"/>
          <w:lang w:val="en"/>
        </w:rPr>
      </w:pPr>
    </w:p>
    <w:p w14:paraId="4B5A69E9" w14:textId="0C68A855" w:rsidR="00FE4026" w:rsidRDefault="00FE4026" w:rsidP="0003468E">
      <w:pPr>
        <w:widowControl/>
        <w:spacing w:line="360" w:lineRule="auto"/>
        <w:rPr>
          <w:sz w:val="26"/>
          <w:szCs w:val="26"/>
          <w:lang w:val="en"/>
        </w:rPr>
      </w:pPr>
      <w:r>
        <w:rPr>
          <w:sz w:val="26"/>
          <w:szCs w:val="26"/>
          <w:lang w:val="en"/>
        </w:rPr>
        <w:tab/>
      </w:r>
      <w:r>
        <w:rPr>
          <w:sz w:val="26"/>
          <w:szCs w:val="26"/>
          <w:lang w:val="en"/>
        </w:rPr>
        <w:tab/>
      </w:r>
      <w:r w:rsidR="006660C8">
        <w:rPr>
          <w:sz w:val="26"/>
          <w:szCs w:val="26"/>
          <w:lang w:val="en"/>
        </w:rPr>
        <w:t xml:space="preserve"> Aqua states that the Commission has injected traditional rate case type procedures in the fair market valuation process and ignored the General Assembly’s directive to limit fair market value appraisal reporting to the figures provided by qualified UVEs.  Moreover, the Company portends that the Commission ignored its own internal UVE application safeguards which assure that only independent and unbiased UVEs are involved in the process.  </w:t>
      </w:r>
      <w:r w:rsidR="006660C8" w:rsidRPr="006660C8">
        <w:rPr>
          <w:i/>
          <w:sz w:val="26"/>
          <w:szCs w:val="26"/>
          <w:lang w:val="en"/>
        </w:rPr>
        <w:t>Id.</w:t>
      </w:r>
      <w:r w:rsidR="006660C8">
        <w:rPr>
          <w:sz w:val="26"/>
          <w:szCs w:val="26"/>
          <w:lang w:val="en"/>
        </w:rPr>
        <w:t xml:space="preserve"> at 9-10.</w:t>
      </w:r>
    </w:p>
    <w:p w14:paraId="669DE476" w14:textId="77777777" w:rsidR="00FE4026" w:rsidRDefault="00FE4026" w:rsidP="0003468E">
      <w:pPr>
        <w:widowControl/>
        <w:spacing w:line="360" w:lineRule="auto"/>
        <w:rPr>
          <w:sz w:val="26"/>
          <w:szCs w:val="26"/>
          <w:lang w:val="en"/>
        </w:rPr>
      </w:pPr>
    </w:p>
    <w:p w14:paraId="52527462" w14:textId="124082D9" w:rsidR="00FC48D0" w:rsidRDefault="005544CC" w:rsidP="0003468E">
      <w:pPr>
        <w:widowControl/>
        <w:spacing w:line="360" w:lineRule="auto"/>
        <w:rPr>
          <w:sz w:val="26"/>
          <w:szCs w:val="26"/>
          <w:lang w:val="en"/>
        </w:rPr>
      </w:pPr>
      <w:r>
        <w:rPr>
          <w:sz w:val="26"/>
          <w:szCs w:val="26"/>
          <w:lang w:val="en"/>
        </w:rPr>
        <w:tab/>
      </w:r>
      <w:r>
        <w:rPr>
          <w:sz w:val="26"/>
          <w:szCs w:val="26"/>
          <w:lang w:val="en"/>
        </w:rPr>
        <w:tab/>
        <w:t xml:space="preserve">In its final argument, </w:t>
      </w:r>
      <w:r w:rsidR="00507733">
        <w:rPr>
          <w:sz w:val="26"/>
          <w:szCs w:val="26"/>
          <w:lang w:val="en"/>
        </w:rPr>
        <w:t xml:space="preserve">Aqua cites to the ALJ’s Finding of Fact No. 52, which provides that the </w:t>
      </w:r>
      <w:r w:rsidR="00A43842">
        <w:rPr>
          <w:sz w:val="26"/>
          <w:szCs w:val="26"/>
          <w:lang w:val="en"/>
        </w:rPr>
        <w:t>FMV</w:t>
      </w:r>
      <w:r w:rsidR="00507733">
        <w:rPr>
          <w:sz w:val="26"/>
          <w:szCs w:val="26"/>
          <w:lang w:val="en"/>
        </w:rPr>
        <w:t xml:space="preserve"> appraisals were performed in compliance with the USPAP using the cost, market and income approaches.  </w:t>
      </w:r>
      <w:r w:rsidR="00487A16">
        <w:rPr>
          <w:sz w:val="26"/>
          <w:szCs w:val="26"/>
          <w:lang w:val="en"/>
        </w:rPr>
        <w:t xml:space="preserve">According to the Company, our </w:t>
      </w:r>
      <w:r w:rsidR="00487A16" w:rsidRPr="00831676">
        <w:rPr>
          <w:i/>
          <w:sz w:val="26"/>
          <w:szCs w:val="26"/>
          <w:lang w:val="en"/>
        </w:rPr>
        <w:t>November 2017 Order</w:t>
      </w:r>
      <w:r w:rsidR="00487A16">
        <w:rPr>
          <w:sz w:val="26"/>
          <w:szCs w:val="26"/>
          <w:lang w:val="en"/>
        </w:rPr>
        <w:t xml:space="preserve"> did not reject or modify this finding of fact and thereby incorporated and adopted it by reference.  However, Aqua contends that the Commission, in adjusting one of the FMV appraisals, overlooked the unchallenged finding that the appraisal was prepared in compliance with the USPAP employing the cost, market and income approaches.  </w:t>
      </w:r>
      <w:r w:rsidR="00831676">
        <w:rPr>
          <w:sz w:val="26"/>
          <w:szCs w:val="26"/>
          <w:lang w:val="en"/>
        </w:rPr>
        <w:t xml:space="preserve">Specifically, the Company highlights the reduction of HRG’s fair market value appraisal from $76,890,000 to $48,648,708.  Aqua contends that the </w:t>
      </w:r>
      <w:r w:rsidR="00831676" w:rsidRPr="00831676">
        <w:rPr>
          <w:i/>
          <w:sz w:val="26"/>
          <w:szCs w:val="26"/>
          <w:lang w:val="en"/>
        </w:rPr>
        <w:t>November 2017 Order</w:t>
      </w:r>
      <w:r w:rsidR="00831676">
        <w:rPr>
          <w:i/>
          <w:sz w:val="26"/>
          <w:szCs w:val="26"/>
          <w:lang w:val="en"/>
        </w:rPr>
        <w:t xml:space="preserve"> </w:t>
      </w:r>
      <w:r w:rsidR="00831676">
        <w:rPr>
          <w:sz w:val="26"/>
          <w:szCs w:val="26"/>
          <w:lang w:val="en"/>
        </w:rPr>
        <w:t>offers no explanation of how the adjustments to the HRG appraisal are necessary to bring it into compliance with the USPAP employing the cost, income and market approaches.  Instead, the Company asserts that no adjustments are necessary to bring the report into compliance because both the ALJ and the Commission found that HRG properly prepared its analysis employing the methods required under Section 1329.  Petition at 10-11.</w:t>
      </w:r>
    </w:p>
    <w:p w14:paraId="4047B48F" w14:textId="77777777" w:rsidR="00831676" w:rsidRDefault="00831676" w:rsidP="0003468E">
      <w:pPr>
        <w:widowControl/>
        <w:spacing w:line="360" w:lineRule="auto"/>
        <w:rPr>
          <w:sz w:val="26"/>
          <w:szCs w:val="26"/>
          <w:lang w:val="en"/>
        </w:rPr>
      </w:pPr>
    </w:p>
    <w:p w14:paraId="19E6AD70" w14:textId="45AF8440" w:rsidR="00831676" w:rsidRPr="00831676" w:rsidRDefault="00831676" w:rsidP="0003468E">
      <w:pPr>
        <w:widowControl/>
        <w:spacing w:line="360" w:lineRule="auto"/>
        <w:rPr>
          <w:sz w:val="26"/>
          <w:szCs w:val="26"/>
          <w:lang w:val="en"/>
        </w:rPr>
      </w:pPr>
      <w:r>
        <w:rPr>
          <w:sz w:val="26"/>
          <w:szCs w:val="26"/>
          <w:lang w:val="en"/>
        </w:rPr>
        <w:tab/>
      </w:r>
      <w:r>
        <w:rPr>
          <w:sz w:val="26"/>
          <w:szCs w:val="26"/>
          <w:lang w:val="en"/>
        </w:rPr>
        <w:tab/>
        <w:t xml:space="preserve">The Company requests that the Commission reconsider its Order and accept the HRG fair market value appraisal report without adjustment.  </w:t>
      </w:r>
      <w:r w:rsidRPr="00831676">
        <w:rPr>
          <w:i/>
          <w:sz w:val="26"/>
          <w:szCs w:val="26"/>
          <w:lang w:val="en"/>
        </w:rPr>
        <w:t>Id.</w:t>
      </w:r>
      <w:r>
        <w:rPr>
          <w:sz w:val="26"/>
          <w:szCs w:val="26"/>
          <w:lang w:val="en"/>
        </w:rPr>
        <w:t xml:space="preserve"> at 12.</w:t>
      </w:r>
    </w:p>
    <w:p w14:paraId="41987336" w14:textId="25841AB5" w:rsidR="00EF446C" w:rsidRDefault="00EF446C" w:rsidP="00EF446C">
      <w:pPr>
        <w:widowControl/>
        <w:spacing w:line="360" w:lineRule="auto"/>
        <w:rPr>
          <w:sz w:val="26"/>
          <w:szCs w:val="26"/>
          <w:lang w:val="en"/>
        </w:rPr>
      </w:pPr>
    </w:p>
    <w:p w14:paraId="1088AA13" w14:textId="77777777" w:rsidR="00FC490D" w:rsidRDefault="00EF446C" w:rsidP="00507733">
      <w:pPr>
        <w:widowControl/>
        <w:spacing w:line="360" w:lineRule="auto"/>
        <w:rPr>
          <w:sz w:val="26"/>
          <w:szCs w:val="26"/>
        </w:rPr>
      </w:pPr>
      <w:r>
        <w:rPr>
          <w:sz w:val="26"/>
          <w:szCs w:val="26"/>
          <w:lang w:val="en"/>
        </w:rPr>
        <w:tab/>
      </w:r>
      <w:r>
        <w:rPr>
          <w:sz w:val="26"/>
          <w:szCs w:val="26"/>
          <w:lang w:val="en"/>
        </w:rPr>
        <w:tab/>
      </w:r>
      <w:r w:rsidR="0000744A">
        <w:rPr>
          <w:sz w:val="26"/>
          <w:szCs w:val="26"/>
          <w:lang w:val="en"/>
        </w:rPr>
        <w:t xml:space="preserve">In its Answer to the Petition, </w:t>
      </w:r>
      <w:r w:rsidR="00C17FC3">
        <w:rPr>
          <w:sz w:val="26"/>
          <w:szCs w:val="26"/>
          <w:lang w:val="en"/>
        </w:rPr>
        <w:t xml:space="preserve">the OCA </w:t>
      </w:r>
      <w:r w:rsidR="00F60DFA">
        <w:rPr>
          <w:sz w:val="26"/>
          <w:szCs w:val="26"/>
          <w:lang w:val="en"/>
        </w:rPr>
        <w:t xml:space="preserve">submits that the Commission should deny the Petition because Aqua failed to present any new or novel argument or evidence.  Instead, the OCA asserts, the Company restated arguments previously considered by the Commission.  According to the OCA, the arguments are primarily based on </w:t>
      </w:r>
      <w:proofErr w:type="spellStart"/>
      <w:r w:rsidR="00F60DFA">
        <w:rPr>
          <w:sz w:val="26"/>
          <w:szCs w:val="26"/>
          <w:lang w:val="en"/>
        </w:rPr>
        <w:t>Aqua’s</w:t>
      </w:r>
      <w:proofErr w:type="spellEnd"/>
      <w:r w:rsidR="00F60DFA">
        <w:rPr>
          <w:sz w:val="26"/>
          <w:szCs w:val="26"/>
          <w:lang w:val="en"/>
        </w:rPr>
        <w:t xml:space="preserve"> own interpretation of Section 1329 which the Commission evaluated and rejected.  Specifically, the OCA cites to our discussion in the </w:t>
      </w:r>
      <w:r w:rsidR="00F60DFA" w:rsidRPr="00F60DFA">
        <w:rPr>
          <w:i/>
          <w:sz w:val="26"/>
          <w:szCs w:val="26"/>
          <w:lang w:val="en"/>
        </w:rPr>
        <w:t>November 2017 Order</w:t>
      </w:r>
      <w:r w:rsidR="00F60DFA">
        <w:rPr>
          <w:sz w:val="26"/>
          <w:szCs w:val="26"/>
          <w:lang w:val="en"/>
        </w:rPr>
        <w:t xml:space="preserve"> and our review and analysis of the </w:t>
      </w:r>
      <w:r w:rsidR="00A43842">
        <w:rPr>
          <w:sz w:val="26"/>
          <w:szCs w:val="26"/>
          <w:lang w:val="en"/>
        </w:rPr>
        <w:t>FMV</w:t>
      </w:r>
      <w:r w:rsidR="00F60DFA">
        <w:rPr>
          <w:sz w:val="26"/>
          <w:szCs w:val="26"/>
          <w:lang w:val="en"/>
        </w:rPr>
        <w:t xml:space="preserve"> appraisal </w:t>
      </w:r>
      <w:r w:rsidR="00F471C5">
        <w:rPr>
          <w:sz w:val="26"/>
          <w:szCs w:val="26"/>
          <w:lang w:val="en"/>
        </w:rPr>
        <w:t>of the UVEs</w:t>
      </w:r>
      <w:r w:rsidR="00F60DFA">
        <w:rPr>
          <w:sz w:val="26"/>
          <w:szCs w:val="26"/>
          <w:lang w:val="en"/>
        </w:rPr>
        <w:t xml:space="preserve"> in the </w:t>
      </w:r>
      <w:r w:rsidR="00F60DFA" w:rsidRPr="00505890">
        <w:rPr>
          <w:i/>
          <w:sz w:val="26"/>
          <w:szCs w:val="26"/>
        </w:rPr>
        <w:t xml:space="preserve">Aqua – New Garden </w:t>
      </w:r>
      <w:r w:rsidR="00A43842">
        <w:rPr>
          <w:i/>
          <w:sz w:val="26"/>
          <w:szCs w:val="26"/>
        </w:rPr>
        <w:t xml:space="preserve">Application </w:t>
      </w:r>
      <w:r w:rsidR="00F60DFA" w:rsidRPr="00505890">
        <w:rPr>
          <w:i/>
          <w:sz w:val="26"/>
          <w:szCs w:val="26"/>
        </w:rPr>
        <w:t>Order</w:t>
      </w:r>
      <w:r w:rsidR="00FC490D">
        <w:rPr>
          <w:sz w:val="26"/>
          <w:szCs w:val="26"/>
        </w:rPr>
        <w:t xml:space="preserve"> as follows:</w:t>
      </w:r>
    </w:p>
    <w:p w14:paraId="65F14B01" w14:textId="77777777" w:rsidR="00FC490D" w:rsidRDefault="00FC490D" w:rsidP="00507733">
      <w:pPr>
        <w:widowControl/>
        <w:spacing w:line="360" w:lineRule="auto"/>
        <w:rPr>
          <w:sz w:val="26"/>
          <w:szCs w:val="26"/>
        </w:rPr>
      </w:pPr>
    </w:p>
    <w:p w14:paraId="74D756BA" w14:textId="77777777" w:rsidR="000A75CC" w:rsidRPr="00F60DFA" w:rsidRDefault="00046ABB" w:rsidP="00046ABB">
      <w:pPr>
        <w:widowControl/>
        <w:ind w:left="1440" w:right="1440"/>
        <w:rPr>
          <w:sz w:val="26"/>
        </w:rPr>
      </w:pPr>
      <w:r>
        <w:rPr>
          <w:sz w:val="26"/>
          <w:szCs w:val="26"/>
        </w:rPr>
        <w:t>[T]</w:t>
      </w:r>
      <w:r w:rsidRPr="002915C6">
        <w:rPr>
          <w:sz w:val="26"/>
          <w:szCs w:val="26"/>
          <w:lang w:val="en"/>
        </w:rPr>
        <w:t xml:space="preserve">he OCA </w:t>
      </w:r>
      <w:r>
        <w:rPr>
          <w:sz w:val="26"/>
          <w:szCs w:val="26"/>
          <w:lang w:val="en"/>
        </w:rPr>
        <w:t xml:space="preserve">states </w:t>
      </w:r>
      <w:r w:rsidRPr="002915C6">
        <w:rPr>
          <w:sz w:val="26"/>
          <w:szCs w:val="26"/>
          <w:lang w:val="en"/>
        </w:rPr>
        <w:t xml:space="preserve">that “Section 1329 contains no prohibitions on the ability of the Parties to review the UVE appraisals as to their </w:t>
      </w:r>
      <w:r w:rsidRPr="00EC243C">
        <w:rPr>
          <w:i/>
          <w:sz w:val="26"/>
          <w:szCs w:val="26"/>
          <w:lang w:val="en"/>
        </w:rPr>
        <w:t>reasonableness</w:t>
      </w:r>
      <w:r w:rsidRPr="002915C6">
        <w:rPr>
          <w:sz w:val="26"/>
          <w:szCs w:val="26"/>
          <w:lang w:val="en"/>
        </w:rPr>
        <w:t xml:space="preserve">.”  OCA R. Exc. at 9 (citing </w:t>
      </w:r>
      <w:r>
        <w:rPr>
          <w:i/>
          <w:sz w:val="26"/>
          <w:szCs w:val="26"/>
        </w:rPr>
        <w:t xml:space="preserve">Aqua – New Garden Application </w:t>
      </w:r>
      <w:r w:rsidRPr="002915C6">
        <w:rPr>
          <w:i/>
          <w:sz w:val="26"/>
          <w:szCs w:val="26"/>
        </w:rPr>
        <w:t>Order</w:t>
      </w:r>
      <w:r w:rsidRPr="002915C6">
        <w:rPr>
          <w:sz w:val="26"/>
          <w:szCs w:val="26"/>
        </w:rPr>
        <w:t xml:space="preserve"> at 53).</w:t>
      </w:r>
      <w:r>
        <w:rPr>
          <w:sz w:val="26"/>
          <w:szCs w:val="26"/>
        </w:rPr>
        <w:t xml:space="preserve">  The OCA also </w:t>
      </w:r>
      <w:r w:rsidRPr="002915C6">
        <w:rPr>
          <w:sz w:val="26"/>
          <w:szCs w:val="26"/>
        </w:rPr>
        <w:t xml:space="preserve">notes that while Section 1329 requires that UVEs adhere to the USPAP standards in their valuations, the legislation </w:t>
      </w:r>
      <w:r>
        <w:rPr>
          <w:sz w:val="26"/>
          <w:szCs w:val="26"/>
        </w:rPr>
        <w:t xml:space="preserve">does not prohibit a review of the assumptions utilized by the </w:t>
      </w:r>
      <w:r w:rsidRPr="002915C6">
        <w:rPr>
          <w:sz w:val="26"/>
          <w:szCs w:val="26"/>
        </w:rPr>
        <w:t xml:space="preserve">UVEs for reasonableness and conformance to the standards of the industry being valued.  OCA </w:t>
      </w:r>
      <w:r w:rsidRPr="002915C6">
        <w:rPr>
          <w:sz w:val="26"/>
          <w:szCs w:val="26"/>
          <w:lang w:val="en"/>
        </w:rPr>
        <w:t xml:space="preserve">R. Exc. at 9-10 (citing </w:t>
      </w:r>
      <w:r w:rsidRPr="002915C6">
        <w:rPr>
          <w:sz w:val="26"/>
          <w:szCs w:val="26"/>
        </w:rPr>
        <w:t>66 Pa. C.S. §</w:t>
      </w:r>
      <w:r>
        <w:rPr>
          <w:sz w:val="26"/>
          <w:szCs w:val="26"/>
        </w:rPr>
        <w:t> </w:t>
      </w:r>
      <w:r w:rsidRPr="002915C6">
        <w:rPr>
          <w:sz w:val="26"/>
          <w:szCs w:val="26"/>
        </w:rPr>
        <w:t>1329(a)(3)).</w:t>
      </w:r>
      <w:r>
        <w:rPr>
          <w:sz w:val="26"/>
          <w:szCs w:val="26"/>
        </w:rPr>
        <w:t xml:space="preserve">  We agree that Section 1329 does not prevent a review of the UVE assumptions for reasonableness….</w:t>
      </w:r>
    </w:p>
    <w:p w14:paraId="042716F5" w14:textId="77777777" w:rsidR="00A97612" w:rsidRDefault="00A97612" w:rsidP="00EF446C">
      <w:pPr>
        <w:widowControl/>
        <w:spacing w:line="360" w:lineRule="auto"/>
        <w:rPr>
          <w:sz w:val="26"/>
        </w:rPr>
      </w:pPr>
    </w:p>
    <w:p w14:paraId="6AA8725E" w14:textId="77777777" w:rsidR="00046ABB" w:rsidRDefault="00046ABB" w:rsidP="00EF446C">
      <w:pPr>
        <w:widowControl/>
        <w:spacing w:line="360" w:lineRule="auto"/>
        <w:rPr>
          <w:sz w:val="26"/>
        </w:rPr>
      </w:pPr>
      <w:r>
        <w:rPr>
          <w:sz w:val="26"/>
        </w:rPr>
        <w:t xml:space="preserve">OCA Answer at </w:t>
      </w:r>
      <w:r w:rsidR="00416876">
        <w:rPr>
          <w:sz w:val="26"/>
        </w:rPr>
        <w:t>5</w:t>
      </w:r>
      <w:r>
        <w:rPr>
          <w:sz w:val="26"/>
        </w:rPr>
        <w:t xml:space="preserve"> (quoting </w:t>
      </w:r>
      <w:r w:rsidRPr="00416876">
        <w:rPr>
          <w:i/>
          <w:sz w:val="26"/>
        </w:rPr>
        <w:t>November 2017 Order</w:t>
      </w:r>
      <w:r>
        <w:rPr>
          <w:sz w:val="26"/>
        </w:rPr>
        <w:t xml:space="preserve"> at 36).  Thus, the OCA adds, the Commission already considered and rejected </w:t>
      </w:r>
      <w:proofErr w:type="spellStart"/>
      <w:r>
        <w:rPr>
          <w:sz w:val="26"/>
        </w:rPr>
        <w:t>Aqua’s</w:t>
      </w:r>
      <w:proofErr w:type="spellEnd"/>
      <w:r>
        <w:rPr>
          <w:sz w:val="26"/>
        </w:rPr>
        <w:t xml:space="preserve"> argument that the Parties are prevented from challenging the appraisals based on a reasonableness standard.  OCA Answer at 5.  </w:t>
      </w:r>
    </w:p>
    <w:p w14:paraId="5B387748" w14:textId="77777777" w:rsidR="00416876" w:rsidRDefault="00416876" w:rsidP="00EF446C">
      <w:pPr>
        <w:widowControl/>
        <w:spacing w:line="360" w:lineRule="auto"/>
        <w:rPr>
          <w:sz w:val="26"/>
        </w:rPr>
      </w:pPr>
    </w:p>
    <w:p w14:paraId="2044FE05" w14:textId="728166A9" w:rsidR="00690D4A" w:rsidRDefault="00416876" w:rsidP="00EF446C">
      <w:pPr>
        <w:widowControl/>
        <w:spacing w:line="360" w:lineRule="auto"/>
        <w:rPr>
          <w:sz w:val="26"/>
        </w:rPr>
      </w:pPr>
      <w:r>
        <w:rPr>
          <w:sz w:val="26"/>
        </w:rPr>
        <w:tab/>
      </w:r>
      <w:r>
        <w:rPr>
          <w:sz w:val="26"/>
        </w:rPr>
        <w:tab/>
        <w:t xml:space="preserve">Additionally, the OCA argues that </w:t>
      </w:r>
      <w:r w:rsidR="00FA3453">
        <w:rPr>
          <w:sz w:val="26"/>
        </w:rPr>
        <w:t xml:space="preserve">the Company’s alternative arguments </w:t>
      </w:r>
      <w:r w:rsidR="00D04BFF">
        <w:rPr>
          <w:sz w:val="26"/>
        </w:rPr>
        <w:t xml:space="preserve">– </w:t>
      </w:r>
      <w:r w:rsidR="00FA3453">
        <w:rPr>
          <w:sz w:val="26"/>
        </w:rPr>
        <w:t xml:space="preserve">that </w:t>
      </w:r>
      <w:r w:rsidR="00D04BFF">
        <w:rPr>
          <w:sz w:val="26"/>
        </w:rPr>
        <w:t xml:space="preserve">Section 1329 requires the Commission to approve impartial and independent UVEs and that the USPAP standards are the only measures by which the Commission should adhere – were already raised </w:t>
      </w:r>
      <w:r w:rsidR="00D8104D">
        <w:rPr>
          <w:sz w:val="26"/>
        </w:rPr>
        <w:t xml:space="preserve">by </w:t>
      </w:r>
      <w:r w:rsidR="00D04BFF">
        <w:rPr>
          <w:sz w:val="26"/>
        </w:rPr>
        <w:t xml:space="preserve">the Company and addressed by the Commission.  </w:t>
      </w:r>
      <w:r w:rsidR="00224808">
        <w:rPr>
          <w:sz w:val="26"/>
        </w:rPr>
        <w:t xml:space="preserve">According to the OCA, </w:t>
      </w:r>
      <w:r w:rsidR="00D04BFF">
        <w:rPr>
          <w:sz w:val="26"/>
        </w:rPr>
        <w:t xml:space="preserve">the Commission </w:t>
      </w:r>
      <w:r w:rsidR="00224808">
        <w:rPr>
          <w:sz w:val="26"/>
        </w:rPr>
        <w:t xml:space="preserve">concluded that Section 1329 does not prevent a review of the UVE assumptions for reasonableness and that the ALJ appropriately considered several recommendations to the appraisals of the Limerick system.  Thus, the OCA continues, the Commission did not overlook the Company’s arguments.  Regarding the adoption of the finding that the HRG FMV appraisal was performed in compliance with the USPAP, the OCA contends that our adjustments for reasonableness </w:t>
      </w:r>
      <w:r w:rsidR="00CE7A16">
        <w:rPr>
          <w:sz w:val="26"/>
        </w:rPr>
        <w:t xml:space="preserve">are </w:t>
      </w:r>
      <w:r w:rsidR="00224808">
        <w:rPr>
          <w:sz w:val="26"/>
        </w:rPr>
        <w:t>not inconsistent.  Instead, the OCA argues that Section 1329 requires UVEs to comply with the USPAP, while Sections 1301 of the Code, 66 Pa. C.S. § 1301, require</w:t>
      </w:r>
      <w:r w:rsidR="00690D4A">
        <w:rPr>
          <w:sz w:val="26"/>
        </w:rPr>
        <w:t>s</w:t>
      </w:r>
      <w:r w:rsidR="00224808">
        <w:rPr>
          <w:sz w:val="26"/>
        </w:rPr>
        <w:t xml:space="preserve"> rates to be just and reasonable.  </w:t>
      </w:r>
      <w:r w:rsidR="00690D4A">
        <w:rPr>
          <w:sz w:val="26"/>
        </w:rPr>
        <w:t>The OCA submits that both of these separate requirements must be followed.  OCA Answer at 6-7.</w:t>
      </w:r>
    </w:p>
    <w:p w14:paraId="11D1B8C5" w14:textId="77777777" w:rsidR="00690D4A" w:rsidRDefault="00690D4A" w:rsidP="00EF446C">
      <w:pPr>
        <w:widowControl/>
        <w:spacing w:line="360" w:lineRule="auto"/>
        <w:rPr>
          <w:sz w:val="26"/>
        </w:rPr>
      </w:pPr>
    </w:p>
    <w:p w14:paraId="35AA24D3" w14:textId="77777777" w:rsidR="00062AB1" w:rsidRDefault="00690D4A" w:rsidP="00EF446C">
      <w:pPr>
        <w:widowControl/>
        <w:spacing w:line="360" w:lineRule="auto"/>
        <w:rPr>
          <w:sz w:val="26"/>
          <w:szCs w:val="26"/>
        </w:rPr>
      </w:pPr>
      <w:r>
        <w:rPr>
          <w:sz w:val="26"/>
        </w:rPr>
        <w:tab/>
      </w:r>
      <w:r>
        <w:rPr>
          <w:sz w:val="26"/>
        </w:rPr>
        <w:tab/>
      </w:r>
      <w:r w:rsidR="004B2ED5">
        <w:rPr>
          <w:sz w:val="26"/>
        </w:rPr>
        <w:t xml:space="preserve">In its Answer to the Petition, I&amp;E </w:t>
      </w:r>
      <w:r w:rsidR="008E5516">
        <w:rPr>
          <w:sz w:val="26"/>
        </w:rPr>
        <w:t>argues that the Company cite</w:t>
      </w:r>
      <w:r w:rsidR="001867E7">
        <w:rPr>
          <w:sz w:val="26"/>
        </w:rPr>
        <w:t>d</w:t>
      </w:r>
      <w:r w:rsidR="008E5516">
        <w:rPr>
          <w:sz w:val="26"/>
        </w:rPr>
        <w:t xml:space="preserve"> to arguments raised in briefs and exceptions that were found to be unpersuasive by the Commission.  </w:t>
      </w:r>
      <w:r w:rsidR="00224808">
        <w:rPr>
          <w:sz w:val="26"/>
        </w:rPr>
        <w:t xml:space="preserve"> </w:t>
      </w:r>
      <w:r w:rsidR="001867E7">
        <w:rPr>
          <w:sz w:val="26"/>
        </w:rPr>
        <w:t>I&amp;E submits that the Commission expressly considered and answered the question of whether parties are permitted to challenge UVE fair market valuation</w:t>
      </w:r>
      <w:r w:rsidR="008A4132">
        <w:rPr>
          <w:sz w:val="26"/>
        </w:rPr>
        <w:t>s</w:t>
      </w:r>
      <w:r w:rsidR="001867E7">
        <w:rPr>
          <w:sz w:val="26"/>
        </w:rPr>
        <w:t xml:space="preserve"> in Section 1329 proceeding.  </w:t>
      </w:r>
      <w:r w:rsidR="001867E7">
        <w:rPr>
          <w:sz w:val="26"/>
          <w:szCs w:val="26"/>
        </w:rPr>
        <w:t xml:space="preserve">According to I&amp;E, the Commission concluded </w:t>
      </w:r>
      <w:bookmarkStart w:id="7" w:name="_Hlk510958874"/>
      <w:r w:rsidR="001867E7">
        <w:rPr>
          <w:sz w:val="26"/>
          <w:szCs w:val="26"/>
        </w:rPr>
        <w:t>that the appropriate standard of review is driven by Section 1329 as well as Sections 505 and 1103 of the Code, 66 Pa. C.S. §§ 503, 1103.</w:t>
      </w:r>
      <w:bookmarkEnd w:id="7"/>
      <w:r w:rsidR="001867E7">
        <w:rPr>
          <w:sz w:val="26"/>
          <w:szCs w:val="26"/>
        </w:rPr>
        <w:t xml:space="preserve">  I&amp;E </w:t>
      </w:r>
      <w:r w:rsidR="00062AB1">
        <w:rPr>
          <w:sz w:val="26"/>
          <w:szCs w:val="26"/>
        </w:rPr>
        <w:t>continues</w:t>
      </w:r>
      <w:r w:rsidR="001867E7">
        <w:rPr>
          <w:sz w:val="26"/>
          <w:szCs w:val="26"/>
        </w:rPr>
        <w:t xml:space="preserve"> that the Commission has already concluded that it retains the authority to conduct an inquiry into the assets being acquired and </w:t>
      </w:r>
      <w:r w:rsidR="003644A9">
        <w:rPr>
          <w:sz w:val="26"/>
          <w:szCs w:val="26"/>
        </w:rPr>
        <w:t xml:space="preserve">to make such inquiries, physical examinations, valuations, and investigations deemed necessary to render a finding or determination.  </w:t>
      </w:r>
      <w:r w:rsidR="003644A9">
        <w:rPr>
          <w:sz w:val="26"/>
        </w:rPr>
        <w:t xml:space="preserve">I&amp;E Answer at 4 (citing </w:t>
      </w:r>
      <w:bookmarkStart w:id="8" w:name="_Hlk510954772"/>
      <w:r w:rsidR="003644A9" w:rsidRPr="00505890">
        <w:rPr>
          <w:i/>
          <w:sz w:val="26"/>
          <w:szCs w:val="26"/>
        </w:rPr>
        <w:t xml:space="preserve">Aqua – New Garden </w:t>
      </w:r>
      <w:r w:rsidR="00A43842">
        <w:rPr>
          <w:i/>
          <w:sz w:val="26"/>
          <w:szCs w:val="26"/>
        </w:rPr>
        <w:t xml:space="preserve">Application </w:t>
      </w:r>
      <w:r w:rsidR="003644A9" w:rsidRPr="00505890">
        <w:rPr>
          <w:i/>
          <w:sz w:val="26"/>
          <w:szCs w:val="26"/>
        </w:rPr>
        <w:t>Order</w:t>
      </w:r>
      <w:r w:rsidR="003644A9">
        <w:rPr>
          <w:i/>
          <w:sz w:val="26"/>
          <w:szCs w:val="26"/>
        </w:rPr>
        <w:t xml:space="preserve"> </w:t>
      </w:r>
      <w:bookmarkEnd w:id="8"/>
      <w:r w:rsidR="00AF68DB">
        <w:rPr>
          <w:sz w:val="26"/>
          <w:szCs w:val="26"/>
        </w:rPr>
        <w:t xml:space="preserve">at </w:t>
      </w:r>
      <w:r w:rsidR="003644A9">
        <w:rPr>
          <w:sz w:val="26"/>
          <w:szCs w:val="26"/>
        </w:rPr>
        <w:t>34).</w:t>
      </w:r>
    </w:p>
    <w:p w14:paraId="5B538286" w14:textId="77777777" w:rsidR="00062AB1" w:rsidRDefault="00062AB1" w:rsidP="00EF446C">
      <w:pPr>
        <w:widowControl/>
        <w:spacing w:line="360" w:lineRule="auto"/>
        <w:rPr>
          <w:sz w:val="26"/>
          <w:szCs w:val="26"/>
        </w:rPr>
      </w:pPr>
    </w:p>
    <w:p w14:paraId="2DC340A6" w14:textId="77777777" w:rsidR="00062AB1" w:rsidRDefault="00062AB1" w:rsidP="00EF446C">
      <w:pPr>
        <w:widowControl/>
        <w:spacing w:line="360" w:lineRule="auto"/>
        <w:rPr>
          <w:sz w:val="26"/>
          <w:szCs w:val="26"/>
        </w:rPr>
      </w:pPr>
      <w:r>
        <w:rPr>
          <w:sz w:val="26"/>
          <w:szCs w:val="26"/>
        </w:rPr>
        <w:tab/>
      </w:r>
      <w:r>
        <w:rPr>
          <w:sz w:val="26"/>
          <w:szCs w:val="26"/>
        </w:rPr>
        <w:tab/>
        <w:t xml:space="preserve">I&amp;E emphasizes our prior determination </w:t>
      </w:r>
      <w:r w:rsidR="006E73C4">
        <w:rPr>
          <w:sz w:val="26"/>
          <w:szCs w:val="26"/>
        </w:rPr>
        <w:t xml:space="preserve">in the </w:t>
      </w:r>
      <w:r w:rsidR="006E73C4" w:rsidRPr="00505890">
        <w:rPr>
          <w:i/>
          <w:sz w:val="26"/>
          <w:szCs w:val="26"/>
        </w:rPr>
        <w:t>Aqua – New Garden</w:t>
      </w:r>
      <w:r w:rsidR="00992AD4">
        <w:rPr>
          <w:i/>
          <w:sz w:val="26"/>
          <w:szCs w:val="26"/>
        </w:rPr>
        <w:t xml:space="preserve"> Application</w:t>
      </w:r>
      <w:r w:rsidR="006E73C4" w:rsidRPr="00505890">
        <w:rPr>
          <w:i/>
          <w:sz w:val="26"/>
          <w:szCs w:val="26"/>
        </w:rPr>
        <w:t xml:space="preserve"> Order</w:t>
      </w:r>
      <w:r w:rsidR="006E73C4">
        <w:rPr>
          <w:i/>
          <w:sz w:val="26"/>
          <w:szCs w:val="26"/>
        </w:rPr>
        <w:t xml:space="preserve"> </w:t>
      </w:r>
      <w:r>
        <w:rPr>
          <w:sz w:val="26"/>
          <w:szCs w:val="26"/>
        </w:rPr>
        <w:t xml:space="preserve">that we retained the authority “to review </w:t>
      </w:r>
      <w:r w:rsidR="006E73C4">
        <w:rPr>
          <w:sz w:val="26"/>
          <w:szCs w:val="26"/>
        </w:rPr>
        <w:t xml:space="preserve">and analyze the UVE evaluations to determine compliance with the USPAP standards and whether the cost, market, and income approaches were accurately applied to the UVEs’ analyses.”  </w:t>
      </w:r>
      <w:r w:rsidR="006E73C4" w:rsidRPr="006E73C4">
        <w:rPr>
          <w:i/>
          <w:sz w:val="26"/>
          <w:szCs w:val="26"/>
        </w:rPr>
        <w:t>Id.</w:t>
      </w:r>
      <w:r w:rsidR="006E73C4">
        <w:rPr>
          <w:sz w:val="26"/>
          <w:szCs w:val="26"/>
        </w:rPr>
        <w:t xml:space="preserve">   Moreover, I&amp;E notes our conclusion that Section 1329 did not abrogate or repeal Sections 505 or 1103 of the Code and contends that these sections could act in harmony with Section 1329.  </w:t>
      </w:r>
      <w:r w:rsidR="002871C0">
        <w:rPr>
          <w:sz w:val="26"/>
          <w:szCs w:val="26"/>
        </w:rPr>
        <w:t>I&amp;E Answer at 4-5.</w:t>
      </w:r>
    </w:p>
    <w:p w14:paraId="3693DE59" w14:textId="77777777" w:rsidR="002871C0" w:rsidRDefault="002871C0" w:rsidP="00EF446C">
      <w:pPr>
        <w:widowControl/>
        <w:spacing w:line="360" w:lineRule="auto"/>
        <w:rPr>
          <w:sz w:val="26"/>
          <w:szCs w:val="26"/>
        </w:rPr>
      </w:pPr>
    </w:p>
    <w:p w14:paraId="61C5BF17" w14:textId="006CC1D4" w:rsidR="002871C0" w:rsidRPr="006E73C4" w:rsidRDefault="002871C0" w:rsidP="00EF446C">
      <w:pPr>
        <w:widowControl/>
        <w:spacing w:line="360" w:lineRule="auto"/>
        <w:rPr>
          <w:sz w:val="26"/>
          <w:szCs w:val="26"/>
        </w:rPr>
      </w:pPr>
      <w:r>
        <w:rPr>
          <w:sz w:val="26"/>
          <w:szCs w:val="26"/>
        </w:rPr>
        <w:tab/>
      </w:r>
      <w:r>
        <w:rPr>
          <w:sz w:val="26"/>
          <w:szCs w:val="26"/>
        </w:rPr>
        <w:tab/>
        <w:t xml:space="preserve">I&amp;E rejects the Company’s conclusion that </w:t>
      </w:r>
      <w:r w:rsidR="00194031">
        <w:rPr>
          <w:sz w:val="26"/>
          <w:szCs w:val="26"/>
        </w:rPr>
        <w:t xml:space="preserve">only a perfunctory review of the FMV is permissible under Section 1329 because it would require the Commission to accept any submitted appraisal on its face without any ability to verify its basis.  </w:t>
      </w:r>
      <w:r w:rsidR="00194031" w:rsidRPr="0081379F">
        <w:rPr>
          <w:i/>
          <w:sz w:val="26"/>
          <w:szCs w:val="26"/>
        </w:rPr>
        <w:t>Id.</w:t>
      </w:r>
      <w:r w:rsidR="00194031">
        <w:rPr>
          <w:sz w:val="26"/>
          <w:szCs w:val="26"/>
        </w:rPr>
        <w:t xml:space="preserve"> at</w:t>
      </w:r>
      <w:r w:rsidR="00E43D2A">
        <w:rPr>
          <w:sz w:val="26"/>
          <w:szCs w:val="26"/>
        </w:rPr>
        <w:t> </w:t>
      </w:r>
      <w:r w:rsidR="0081379F">
        <w:rPr>
          <w:sz w:val="26"/>
          <w:szCs w:val="26"/>
        </w:rPr>
        <w:t>6</w:t>
      </w:r>
      <w:r w:rsidR="00E43D2A">
        <w:rPr>
          <w:sz w:val="26"/>
          <w:szCs w:val="26"/>
        </w:rPr>
        <w:noBreakHyphen/>
      </w:r>
      <w:r w:rsidR="0081379F">
        <w:rPr>
          <w:sz w:val="26"/>
          <w:szCs w:val="26"/>
        </w:rPr>
        <w:t>7.</w:t>
      </w:r>
      <w:r w:rsidR="00194031">
        <w:rPr>
          <w:sz w:val="26"/>
          <w:szCs w:val="26"/>
        </w:rPr>
        <w:t xml:space="preserve"> </w:t>
      </w:r>
      <w:r w:rsidR="0081379F">
        <w:rPr>
          <w:sz w:val="26"/>
          <w:szCs w:val="26"/>
        </w:rPr>
        <w:t xml:space="preserve"> </w:t>
      </w:r>
      <w:r w:rsidR="00194031">
        <w:rPr>
          <w:sz w:val="26"/>
          <w:szCs w:val="26"/>
        </w:rPr>
        <w:t>I&amp;E also argues that, although certification as a UVE qualifies an appraiser to submit a FMV determination in this proceeding, “it cannot act as an advance guarantee that any appraisal that the UVE submits is compliant with the [USPAP] or that the UVE</w:t>
      </w:r>
      <w:r w:rsidR="0081379F">
        <w:rPr>
          <w:sz w:val="26"/>
          <w:szCs w:val="26"/>
        </w:rPr>
        <w:t xml:space="preserve">’s appraisal truly employs the cost, market and income approaches.”  </w:t>
      </w:r>
      <w:r w:rsidR="0081379F" w:rsidRPr="001D0FC4">
        <w:rPr>
          <w:i/>
          <w:sz w:val="26"/>
          <w:szCs w:val="26"/>
        </w:rPr>
        <w:t>Id.</w:t>
      </w:r>
      <w:r w:rsidR="0081379F">
        <w:rPr>
          <w:sz w:val="26"/>
          <w:szCs w:val="26"/>
        </w:rPr>
        <w:t xml:space="preserve"> at 8.  </w:t>
      </w:r>
      <w:r w:rsidR="00CE7A16">
        <w:rPr>
          <w:sz w:val="26"/>
          <w:szCs w:val="26"/>
        </w:rPr>
        <w:t>Further</w:t>
      </w:r>
      <w:r w:rsidR="0081379F">
        <w:rPr>
          <w:sz w:val="26"/>
          <w:szCs w:val="26"/>
        </w:rPr>
        <w:t xml:space="preserve">, I&amp;E submits that </w:t>
      </w:r>
      <w:proofErr w:type="spellStart"/>
      <w:r w:rsidR="0081379F">
        <w:rPr>
          <w:sz w:val="26"/>
          <w:szCs w:val="26"/>
        </w:rPr>
        <w:t>Aqua’s</w:t>
      </w:r>
      <w:proofErr w:type="spellEnd"/>
      <w:r w:rsidR="0081379F">
        <w:rPr>
          <w:sz w:val="26"/>
          <w:szCs w:val="26"/>
        </w:rPr>
        <w:t xml:space="preserve"> proposed review standard is inconsistent with the timeline and procedure contemplated in Section 1329.  According to I&amp;E, no Commission review period would be necessary under </w:t>
      </w:r>
      <w:proofErr w:type="spellStart"/>
      <w:r w:rsidR="0081379F">
        <w:rPr>
          <w:sz w:val="26"/>
          <w:szCs w:val="26"/>
        </w:rPr>
        <w:t>Aqua’s</w:t>
      </w:r>
      <w:proofErr w:type="spellEnd"/>
      <w:r w:rsidR="0081379F">
        <w:rPr>
          <w:sz w:val="26"/>
          <w:szCs w:val="26"/>
        </w:rPr>
        <w:t xml:space="preserve"> scenario thereby making the six-month review period in Section 1329 superfluous.  </w:t>
      </w:r>
      <w:r w:rsidR="00097464">
        <w:rPr>
          <w:sz w:val="26"/>
          <w:szCs w:val="26"/>
        </w:rPr>
        <w:t xml:space="preserve">Such a narrow interpretation by the Company, I&amp;E states, is contrary to the robust litigation procedure envisioned the Commission and evidenced by the filing of testimony, hearings, briefs, and exceptions during the six-month review period.  I&amp;E also emphasized the Commission concerns about affording due process to the parties and the development of a full and complete record for Commission review.  I&amp;E Answer at 8-9 (citing </w:t>
      </w:r>
      <w:r w:rsidR="00A43842">
        <w:rPr>
          <w:i/>
          <w:sz w:val="26"/>
          <w:szCs w:val="26"/>
        </w:rPr>
        <w:t>Implementation of Section 1329 of the Public Utility Code</w:t>
      </w:r>
      <w:r w:rsidR="00A43842">
        <w:rPr>
          <w:sz w:val="26"/>
          <w:szCs w:val="26"/>
        </w:rPr>
        <w:t>,</w:t>
      </w:r>
      <w:r w:rsidR="00A43842">
        <w:rPr>
          <w:i/>
          <w:sz w:val="26"/>
          <w:szCs w:val="26"/>
        </w:rPr>
        <w:t xml:space="preserve"> </w:t>
      </w:r>
      <w:r w:rsidR="00097464" w:rsidRPr="00A43842">
        <w:rPr>
          <w:sz w:val="26"/>
          <w:szCs w:val="26"/>
        </w:rPr>
        <w:t>Final Implementation Order</w:t>
      </w:r>
      <w:r w:rsidR="00A43842">
        <w:rPr>
          <w:sz w:val="26"/>
          <w:szCs w:val="26"/>
        </w:rPr>
        <w:t>, Docket No. M-2016-2543193 (Order entered October 27, 2016)</w:t>
      </w:r>
      <w:r w:rsidR="00097464">
        <w:rPr>
          <w:sz w:val="26"/>
          <w:szCs w:val="26"/>
        </w:rPr>
        <w:t xml:space="preserve"> at 35). </w:t>
      </w:r>
    </w:p>
    <w:p w14:paraId="7A40CF7C" w14:textId="77777777" w:rsidR="009F2E53" w:rsidRDefault="009F2E53" w:rsidP="00CE427E">
      <w:pPr>
        <w:widowControl/>
        <w:spacing w:line="360" w:lineRule="auto"/>
        <w:ind w:right="1440"/>
        <w:rPr>
          <w:rFonts w:eastAsia="Calibri"/>
          <w:sz w:val="26"/>
          <w:szCs w:val="26"/>
        </w:rPr>
      </w:pPr>
    </w:p>
    <w:p w14:paraId="2364CB19" w14:textId="77777777" w:rsidR="009F2E53" w:rsidRPr="009326AE" w:rsidRDefault="009F2E53" w:rsidP="00E43D2A">
      <w:pPr>
        <w:pStyle w:val="ListParagraph"/>
        <w:keepNext/>
        <w:keepLines/>
        <w:widowControl/>
        <w:numPr>
          <w:ilvl w:val="0"/>
          <w:numId w:val="9"/>
        </w:numPr>
        <w:spacing w:line="360" w:lineRule="auto"/>
        <w:ind w:right="1440" w:hanging="720"/>
        <w:rPr>
          <w:rFonts w:eastAsia="Calibri"/>
          <w:b/>
          <w:sz w:val="26"/>
          <w:szCs w:val="26"/>
        </w:rPr>
      </w:pPr>
      <w:r w:rsidRPr="009326AE">
        <w:rPr>
          <w:rFonts w:eastAsia="Calibri"/>
          <w:b/>
          <w:sz w:val="26"/>
          <w:szCs w:val="26"/>
        </w:rPr>
        <w:t>Disposition</w:t>
      </w:r>
    </w:p>
    <w:p w14:paraId="6CD04C14" w14:textId="77777777" w:rsidR="009F2E53" w:rsidRDefault="009F2E53" w:rsidP="00E43D2A">
      <w:pPr>
        <w:keepNext/>
        <w:keepLines/>
        <w:widowControl/>
        <w:spacing w:line="360" w:lineRule="auto"/>
        <w:ind w:right="1440"/>
        <w:rPr>
          <w:rFonts w:eastAsia="Calibri"/>
          <w:sz w:val="26"/>
          <w:szCs w:val="26"/>
        </w:rPr>
      </w:pPr>
    </w:p>
    <w:p w14:paraId="0E039ED8" w14:textId="77777777" w:rsidR="00F42972" w:rsidRDefault="002F0FF5" w:rsidP="00F42972">
      <w:pPr>
        <w:widowControl/>
        <w:spacing w:line="360" w:lineRule="auto"/>
        <w:rPr>
          <w:sz w:val="26"/>
          <w:szCs w:val="26"/>
        </w:rPr>
      </w:pPr>
      <w:r>
        <w:rPr>
          <w:rFonts w:eastAsia="Calibri"/>
          <w:sz w:val="26"/>
          <w:szCs w:val="26"/>
        </w:rPr>
        <w:tab/>
      </w:r>
      <w:r>
        <w:rPr>
          <w:rFonts w:eastAsia="Calibri"/>
          <w:sz w:val="26"/>
          <w:szCs w:val="26"/>
        </w:rPr>
        <w:tab/>
      </w:r>
      <w:r w:rsidR="00F42972" w:rsidRPr="003E3B82">
        <w:rPr>
          <w:sz w:val="26"/>
          <w:szCs w:val="26"/>
        </w:rPr>
        <w:t xml:space="preserve">As stated above, </w:t>
      </w:r>
      <w:r w:rsidR="00F42972">
        <w:rPr>
          <w:sz w:val="26"/>
          <w:szCs w:val="26"/>
        </w:rPr>
        <w:t xml:space="preserve">petitions for reconsideration are </w:t>
      </w:r>
      <w:r w:rsidR="00F42972" w:rsidRPr="003E3B82">
        <w:rPr>
          <w:sz w:val="26"/>
          <w:szCs w:val="26"/>
        </w:rPr>
        <w:t xml:space="preserve">governed by </w:t>
      </w:r>
      <w:proofErr w:type="spellStart"/>
      <w:r w:rsidR="00F42972" w:rsidRPr="003E3B82">
        <w:rPr>
          <w:i/>
          <w:sz w:val="26"/>
          <w:szCs w:val="26"/>
        </w:rPr>
        <w:t>Duick</w:t>
      </w:r>
      <w:proofErr w:type="spellEnd"/>
      <w:r w:rsidR="00F42972" w:rsidRPr="003E3B82">
        <w:rPr>
          <w:sz w:val="26"/>
          <w:szCs w:val="26"/>
        </w:rPr>
        <w:t xml:space="preserve">, which essentially requires a two-step analysis.  First, we determine whether a party has offered new and novel </w:t>
      </w:r>
      <w:r w:rsidR="00C359BF" w:rsidRPr="003E3B82">
        <w:rPr>
          <w:sz w:val="26"/>
          <w:szCs w:val="26"/>
        </w:rPr>
        <w:t>arguments or</w:t>
      </w:r>
      <w:r w:rsidR="00F42972" w:rsidRPr="003E3B82">
        <w:rPr>
          <w:sz w:val="26"/>
          <w:szCs w:val="26"/>
        </w:rPr>
        <w:t xml:space="preserve"> identified considerations that appear to have been overlooked or not addressed by the Commission in its previous order.  We will not reconsider our previous decision based on arguments that have already been considered.   However, we will not necessarily modify our prior decision just because a party offers a new and novel </w:t>
      </w:r>
      <w:r w:rsidR="00C359BF" w:rsidRPr="003E3B82">
        <w:rPr>
          <w:sz w:val="26"/>
          <w:szCs w:val="26"/>
        </w:rPr>
        <w:t>argument or</w:t>
      </w:r>
      <w:r w:rsidR="00F42972" w:rsidRPr="003E3B82">
        <w:rPr>
          <w:sz w:val="26"/>
          <w:szCs w:val="26"/>
        </w:rPr>
        <w:t xml:space="preserve"> identifies a consideration that was overlooked or not addressed by the Commission in its previous order.  The second step of the </w:t>
      </w:r>
      <w:proofErr w:type="spellStart"/>
      <w:r w:rsidR="00F42972" w:rsidRPr="003E3B82">
        <w:rPr>
          <w:i/>
          <w:sz w:val="26"/>
          <w:szCs w:val="26"/>
        </w:rPr>
        <w:t>Duick</w:t>
      </w:r>
      <w:proofErr w:type="spellEnd"/>
      <w:r w:rsidR="00F42972" w:rsidRPr="003E3B82">
        <w:rPr>
          <w:sz w:val="26"/>
          <w:szCs w:val="26"/>
        </w:rPr>
        <w:t xml:space="preserve"> analysis is therefore to evaluate the new or novel argument, or overlooked consideration, </w:t>
      </w:r>
      <w:r w:rsidR="00C359BF" w:rsidRPr="003E3B82">
        <w:rPr>
          <w:sz w:val="26"/>
          <w:szCs w:val="26"/>
        </w:rPr>
        <w:t>to</w:t>
      </w:r>
      <w:r w:rsidR="00F42972" w:rsidRPr="003E3B82">
        <w:rPr>
          <w:sz w:val="26"/>
          <w:szCs w:val="26"/>
        </w:rPr>
        <w:t xml:space="preserve"> determine whether to modify our previous decision.  </w:t>
      </w:r>
    </w:p>
    <w:p w14:paraId="3BF17672" w14:textId="77777777" w:rsidR="006E0EBF" w:rsidRDefault="006E0EBF" w:rsidP="00F42972">
      <w:pPr>
        <w:widowControl/>
        <w:spacing w:line="360" w:lineRule="auto"/>
        <w:rPr>
          <w:sz w:val="26"/>
          <w:szCs w:val="26"/>
        </w:rPr>
      </w:pPr>
    </w:p>
    <w:p w14:paraId="3959D32C" w14:textId="694C5A2D" w:rsidR="00462C10" w:rsidRDefault="006E0EBF" w:rsidP="00F42972">
      <w:pPr>
        <w:widowControl/>
        <w:spacing w:line="360" w:lineRule="auto"/>
        <w:rPr>
          <w:sz w:val="26"/>
          <w:szCs w:val="26"/>
        </w:rPr>
      </w:pPr>
      <w:r>
        <w:rPr>
          <w:sz w:val="26"/>
          <w:szCs w:val="26"/>
        </w:rPr>
        <w:tab/>
      </w:r>
      <w:r>
        <w:rPr>
          <w:sz w:val="26"/>
          <w:szCs w:val="26"/>
        </w:rPr>
        <w:tab/>
        <w:t xml:space="preserve">Here, it is evident that Aqua is </w:t>
      </w:r>
      <w:r w:rsidR="000B5807">
        <w:rPr>
          <w:sz w:val="26"/>
          <w:szCs w:val="26"/>
        </w:rPr>
        <w:t>re</w:t>
      </w:r>
      <w:r w:rsidR="008B6093">
        <w:rPr>
          <w:sz w:val="26"/>
          <w:szCs w:val="26"/>
        </w:rPr>
        <w:t xml:space="preserve">asserting previously raised arguments that </w:t>
      </w:r>
      <w:r w:rsidR="003D3FAD">
        <w:rPr>
          <w:sz w:val="26"/>
          <w:szCs w:val="26"/>
        </w:rPr>
        <w:t xml:space="preserve">have already been addressed by the Commission.  In </w:t>
      </w:r>
      <w:r w:rsidR="00A40A62">
        <w:rPr>
          <w:sz w:val="26"/>
          <w:szCs w:val="26"/>
        </w:rPr>
        <w:t xml:space="preserve">this proceeding, Aqua filed Exceptions contending that </w:t>
      </w:r>
      <w:r w:rsidR="00462C10">
        <w:rPr>
          <w:sz w:val="26"/>
          <w:szCs w:val="26"/>
        </w:rPr>
        <w:t xml:space="preserve">the </w:t>
      </w:r>
      <w:r w:rsidR="00A40A62">
        <w:rPr>
          <w:sz w:val="26"/>
          <w:szCs w:val="26"/>
        </w:rPr>
        <w:t xml:space="preserve">ALJ erred by permitting any adjustments to the HRG’s </w:t>
      </w:r>
      <w:r w:rsidR="00A43842">
        <w:rPr>
          <w:sz w:val="26"/>
          <w:szCs w:val="26"/>
        </w:rPr>
        <w:t>FMV</w:t>
      </w:r>
      <w:r w:rsidR="00A40A62">
        <w:rPr>
          <w:sz w:val="26"/>
          <w:szCs w:val="26"/>
        </w:rPr>
        <w:t xml:space="preserve"> appraisal because </w:t>
      </w:r>
      <w:r w:rsidR="00462C10">
        <w:rPr>
          <w:sz w:val="26"/>
          <w:szCs w:val="26"/>
        </w:rPr>
        <w:t>the adjustments were</w:t>
      </w:r>
      <w:r w:rsidR="00A40A62">
        <w:rPr>
          <w:sz w:val="26"/>
          <w:szCs w:val="26"/>
        </w:rPr>
        <w:t xml:space="preserve"> contrary to the clear intent of Section 1329 and that the Parties should not be able to challenge the appraisals.  Additionally, the Company argued in its Exceptions that adjustments based on a “just and reasonable</w:t>
      </w:r>
      <w:r w:rsidR="00462C10">
        <w:rPr>
          <w:sz w:val="26"/>
          <w:szCs w:val="26"/>
        </w:rPr>
        <w:t>” ratemaking standard rather than the USPAP standard violate Section 1329.  Aqua Exc. at</w:t>
      </w:r>
      <w:r w:rsidR="00E43D2A">
        <w:rPr>
          <w:sz w:val="26"/>
          <w:szCs w:val="26"/>
        </w:rPr>
        <w:t> </w:t>
      </w:r>
      <w:r w:rsidR="00462C10">
        <w:rPr>
          <w:sz w:val="26"/>
          <w:szCs w:val="26"/>
        </w:rPr>
        <w:t xml:space="preserve">11-14.  </w:t>
      </w:r>
    </w:p>
    <w:p w14:paraId="46071E11" w14:textId="77777777" w:rsidR="00462C10" w:rsidRDefault="00462C10" w:rsidP="00F42972">
      <w:pPr>
        <w:widowControl/>
        <w:spacing w:line="360" w:lineRule="auto"/>
        <w:rPr>
          <w:sz w:val="26"/>
          <w:szCs w:val="26"/>
        </w:rPr>
      </w:pPr>
    </w:p>
    <w:p w14:paraId="1A195F46" w14:textId="77777777" w:rsidR="006E0EBF" w:rsidRDefault="00462C10" w:rsidP="00F42972">
      <w:pPr>
        <w:widowControl/>
        <w:spacing w:line="360" w:lineRule="auto"/>
        <w:rPr>
          <w:sz w:val="26"/>
          <w:szCs w:val="26"/>
        </w:rPr>
      </w:pPr>
      <w:r>
        <w:rPr>
          <w:sz w:val="26"/>
          <w:szCs w:val="26"/>
        </w:rPr>
        <w:tab/>
      </w:r>
      <w:r>
        <w:rPr>
          <w:sz w:val="26"/>
          <w:szCs w:val="26"/>
        </w:rPr>
        <w:tab/>
        <w:t xml:space="preserve">In </w:t>
      </w:r>
      <w:r w:rsidR="003D3FAD">
        <w:rPr>
          <w:sz w:val="26"/>
          <w:szCs w:val="26"/>
        </w:rPr>
        <w:t>our</w:t>
      </w:r>
      <w:r>
        <w:rPr>
          <w:sz w:val="26"/>
          <w:szCs w:val="26"/>
        </w:rPr>
        <w:t xml:space="preserve"> response,</w:t>
      </w:r>
      <w:r w:rsidR="008B6093">
        <w:rPr>
          <w:sz w:val="26"/>
          <w:szCs w:val="26"/>
        </w:rPr>
        <w:t xml:space="preserve"> </w:t>
      </w:r>
      <w:r w:rsidR="001F0B48">
        <w:rPr>
          <w:sz w:val="26"/>
          <w:szCs w:val="26"/>
        </w:rPr>
        <w:t xml:space="preserve">we explained that the ALJ </w:t>
      </w:r>
      <w:r w:rsidR="00731F94">
        <w:rPr>
          <w:sz w:val="26"/>
          <w:szCs w:val="26"/>
        </w:rPr>
        <w:t xml:space="preserve">appropriately </w:t>
      </w:r>
      <w:r w:rsidR="001F0B48">
        <w:rPr>
          <w:sz w:val="26"/>
          <w:szCs w:val="26"/>
        </w:rPr>
        <w:t xml:space="preserve">relied on </w:t>
      </w:r>
      <w:r w:rsidR="00731F94">
        <w:rPr>
          <w:sz w:val="26"/>
          <w:szCs w:val="26"/>
        </w:rPr>
        <w:t xml:space="preserve">our holding in the </w:t>
      </w:r>
      <w:bookmarkStart w:id="9" w:name="_Hlk510957034"/>
      <w:r w:rsidR="00731F94" w:rsidRPr="00505890">
        <w:rPr>
          <w:i/>
          <w:sz w:val="26"/>
          <w:szCs w:val="26"/>
        </w:rPr>
        <w:t xml:space="preserve">Aqua – New Garden </w:t>
      </w:r>
      <w:r w:rsidR="00A43842">
        <w:rPr>
          <w:i/>
          <w:sz w:val="26"/>
          <w:szCs w:val="26"/>
        </w:rPr>
        <w:t xml:space="preserve">Application </w:t>
      </w:r>
      <w:r w:rsidR="00731F94" w:rsidRPr="00505890">
        <w:rPr>
          <w:i/>
          <w:sz w:val="26"/>
          <w:szCs w:val="26"/>
        </w:rPr>
        <w:t>Order</w:t>
      </w:r>
      <w:r w:rsidR="00731F94">
        <w:rPr>
          <w:i/>
          <w:sz w:val="26"/>
          <w:szCs w:val="26"/>
        </w:rPr>
        <w:t xml:space="preserve"> </w:t>
      </w:r>
      <w:bookmarkEnd w:id="9"/>
      <w:r w:rsidR="00731F94">
        <w:rPr>
          <w:sz w:val="26"/>
          <w:szCs w:val="26"/>
        </w:rPr>
        <w:t xml:space="preserve">that Section 1329 permits the Commission and the Parties to develop a record pertaining to the review and analysis of the fair market value appraisals of the UVEs.  We credited the ALJ’s development of the evidentiary record which allowed the Parties to question and challenge the appraisals and the proposed rate base of the acquired assets and to submit evidence and develop a record in support of their respective positions.  </w:t>
      </w:r>
      <w:r>
        <w:rPr>
          <w:sz w:val="26"/>
          <w:szCs w:val="26"/>
        </w:rPr>
        <w:t xml:space="preserve">Further, as correctly noted by the OCA, we held that Section 1329 does not prevent a review of the UVE assumptions for reasonableness.   </w:t>
      </w:r>
      <w:r w:rsidRPr="008B6093">
        <w:rPr>
          <w:i/>
          <w:sz w:val="26"/>
          <w:szCs w:val="26"/>
        </w:rPr>
        <w:t>November 2017 Order</w:t>
      </w:r>
      <w:r>
        <w:rPr>
          <w:sz w:val="26"/>
          <w:szCs w:val="26"/>
        </w:rPr>
        <w:t xml:space="preserve"> at 36.  </w:t>
      </w:r>
    </w:p>
    <w:p w14:paraId="5A68C5E3" w14:textId="77777777" w:rsidR="008534A0" w:rsidRDefault="008534A0" w:rsidP="00F42972">
      <w:pPr>
        <w:widowControl/>
        <w:spacing w:line="360" w:lineRule="auto"/>
        <w:rPr>
          <w:sz w:val="26"/>
          <w:szCs w:val="26"/>
        </w:rPr>
      </w:pPr>
    </w:p>
    <w:p w14:paraId="007C7DEB" w14:textId="61C18DE0" w:rsidR="00A50D55" w:rsidRDefault="008534A0" w:rsidP="006E0EBF">
      <w:pPr>
        <w:widowControl/>
        <w:spacing w:line="360" w:lineRule="auto"/>
        <w:rPr>
          <w:sz w:val="26"/>
          <w:szCs w:val="26"/>
        </w:rPr>
      </w:pPr>
      <w:r>
        <w:rPr>
          <w:sz w:val="26"/>
          <w:szCs w:val="26"/>
        </w:rPr>
        <w:tab/>
      </w:r>
      <w:r>
        <w:rPr>
          <w:sz w:val="26"/>
          <w:szCs w:val="26"/>
        </w:rPr>
        <w:tab/>
      </w:r>
      <w:r w:rsidR="00B72855">
        <w:rPr>
          <w:sz w:val="26"/>
          <w:szCs w:val="26"/>
        </w:rPr>
        <w:t>Additionally</w:t>
      </w:r>
      <w:r w:rsidR="00081907">
        <w:rPr>
          <w:sz w:val="26"/>
          <w:szCs w:val="26"/>
        </w:rPr>
        <w:t xml:space="preserve">, </w:t>
      </w:r>
      <w:r w:rsidR="00992AD4">
        <w:rPr>
          <w:sz w:val="26"/>
          <w:szCs w:val="26"/>
        </w:rPr>
        <w:t xml:space="preserve">it is clear that the </w:t>
      </w:r>
      <w:r w:rsidR="00081907">
        <w:rPr>
          <w:sz w:val="26"/>
          <w:szCs w:val="26"/>
        </w:rPr>
        <w:t>i</w:t>
      </w:r>
      <w:r w:rsidR="00992AD4">
        <w:rPr>
          <w:sz w:val="26"/>
          <w:szCs w:val="26"/>
        </w:rPr>
        <w:t xml:space="preserve">ssues raised in this Petition were </w:t>
      </w:r>
      <w:r w:rsidR="00F201D0">
        <w:rPr>
          <w:sz w:val="26"/>
          <w:szCs w:val="26"/>
        </w:rPr>
        <w:t xml:space="preserve">also </w:t>
      </w:r>
      <w:r w:rsidR="0072112A">
        <w:rPr>
          <w:sz w:val="26"/>
          <w:szCs w:val="26"/>
        </w:rPr>
        <w:t xml:space="preserve">previously addressed </w:t>
      </w:r>
      <w:r w:rsidR="00992AD4">
        <w:rPr>
          <w:sz w:val="26"/>
          <w:szCs w:val="26"/>
        </w:rPr>
        <w:t>in the</w:t>
      </w:r>
      <w:r w:rsidR="00081907">
        <w:rPr>
          <w:sz w:val="26"/>
          <w:szCs w:val="26"/>
        </w:rPr>
        <w:t xml:space="preserve"> Aqua – New Garden proceeding.  </w:t>
      </w:r>
      <w:r w:rsidR="0072112A" w:rsidRPr="00505890">
        <w:rPr>
          <w:i/>
          <w:sz w:val="26"/>
          <w:szCs w:val="26"/>
        </w:rPr>
        <w:t xml:space="preserve">Aqua – New Garden </w:t>
      </w:r>
      <w:r w:rsidR="00081907">
        <w:rPr>
          <w:i/>
          <w:sz w:val="26"/>
          <w:szCs w:val="26"/>
        </w:rPr>
        <w:t xml:space="preserve">Application </w:t>
      </w:r>
      <w:r w:rsidR="0072112A" w:rsidRPr="00505890">
        <w:rPr>
          <w:i/>
          <w:sz w:val="26"/>
          <w:szCs w:val="26"/>
        </w:rPr>
        <w:t>Order</w:t>
      </w:r>
      <w:r w:rsidR="00081907">
        <w:rPr>
          <w:sz w:val="26"/>
          <w:szCs w:val="26"/>
        </w:rPr>
        <w:t xml:space="preserve"> at 29-35</w:t>
      </w:r>
      <w:r w:rsidR="008B29FC">
        <w:rPr>
          <w:sz w:val="26"/>
          <w:szCs w:val="26"/>
        </w:rPr>
        <w:t>.</w:t>
      </w:r>
      <w:r w:rsidR="00A50D55" w:rsidRPr="003E3B82">
        <w:rPr>
          <w:sz w:val="26"/>
          <w:szCs w:val="26"/>
        </w:rPr>
        <w:t xml:space="preserve"> </w:t>
      </w:r>
      <w:r w:rsidR="00081907">
        <w:rPr>
          <w:sz w:val="26"/>
          <w:szCs w:val="26"/>
        </w:rPr>
        <w:t xml:space="preserve"> </w:t>
      </w:r>
      <w:r w:rsidR="00293095">
        <w:rPr>
          <w:sz w:val="26"/>
          <w:szCs w:val="26"/>
        </w:rPr>
        <w:t>A</w:t>
      </w:r>
      <w:r w:rsidR="00081907">
        <w:rPr>
          <w:sz w:val="26"/>
          <w:szCs w:val="26"/>
        </w:rPr>
        <w:t xml:space="preserve">s </w:t>
      </w:r>
      <w:r w:rsidR="00B72855">
        <w:rPr>
          <w:sz w:val="26"/>
          <w:szCs w:val="26"/>
        </w:rPr>
        <w:t xml:space="preserve">emphasized by </w:t>
      </w:r>
      <w:r w:rsidR="00081907">
        <w:rPr>
          <w:sz w:val="26"/>
          <w:szCs w:val="26"/>
        </w:rPr>
        <w:t>I&amp;E, the Commission found that</w:t>
      </w:r>
      <w:r w:rsidR="00EC79C0">
        <w:rPr>
          <w:sz w:val="26"/>
          <w:szCs w:val="26"/>
        </w:rPr>
        <w:t xml:space="preserve"> the appropriate standard of review in Section 1329 proceedings is driven by Section 1329 as well as Sections 505 and 1103 of the Code, 66 Pa. C.S. §§ 503, 1103.  Th</w:t>
      </w:r>
      <w:r w:rsidR="00293095">
        <w:rPr>
          <w:sz w:val="26"/>
          <w:szCs w:val="26"/>
        </w:rPr>
        <w:t xml:space="preserve">is finding is pertinent to the Company’s argument that the </w:t>
      </w:r>
      <w:r w:rsidR="00293095" w:rsidRPr="00293095">
        <w:rPr>
          <w:i/>
          <w:sz w:val="26"/>
          <w:szCs w:val="26"/>
        </w:rPr>
        <w:t>November 2017 Order</w:t>
      </w:r>
      <w:r w:rsidR="00293095">
        <w:rPr>
          <w:sz w:val="26"/>
          <w:szCs w:val="26"/>
        </w:rPr>
        <w:t xml:space="preserve"> is internally inconsistent.  The Commission’s </w:t>
      </w:r>
      <w:r w:rsidR="00224D3E">
        <w:rPr>
          <w:sz w:val="26"/>
          <w:szCs w:val="26"/>
        </w:rPr>
        <w:t xml:space="preserve">implicit </w:t>
      </w:r>
      <w:r w:rsidR="00293095">
        <w:rPr>
          <w:sz w:val="26"/>
          <w:szCs w:val="26"/>
        </w:rPr>
        <w:t xml:space="preserve">adoption of Finding of Fact </w:t>
      </w:r>
      <w:r w:rsidR="00F221BD">
        <w:rPr>
          <w:sz w:val="26"/>
          <w:szCs w:val="26"/>
        </w:rPr>
        <w:t xml:space="preserve">No. </w:t>
      </w:r>
      <w:r w:rsidR="00293095">
        <w:rPr>
          <w:sz w:val="26"/>
          <w:szCs w:val="26"/>
        </w:rPr>
        <w:t xml:space="preserve">52, that the UVE appraisals were performed in compliance with the USPAP standards, did not create an inconsistency.  As explained </w:t>
      </w:r>
      <w:r w:rsidR="00F513D0">
        <w:rPr>
          <w:sz w:val="26"/>
          <w:szCs w:val="26"/>
        </w:rPr>
        <w:t xml:space="preserve">in the </w:t>
      </w:r>
      <w:bookmarkStart w:id="10" w:name="_Hlk510963171"/>
      <w:r w:rsidR="00F513D0" w:rsidRPr="00CC2973">
        <w:rPr>
          <w:i/>
          <w:sz w:val="26"/>
          <w:szCs w:val="26"/>
        </w:rPr>
        <w:t>Aqua – New Garden Application Order</w:t>
      </w:r>
      <w:bookmarkEnd w:id="10"/>
      <w:r w:rsidR="00F513D0">
        <w:rPr>
          <w:sz w:val="26"/>
          <w:szCs w:val="26"/>
        </w:rPr>
        <w:t>,</w:t>
      </w:r>
      <w:r w:rsidR="005262BC">
        <w:rPr>
          <w:sz w:val="26"/>
          <w:szCs w:val="26"/>
        </w:rPr>
        <w:t xml:space="preserve"> Section 1329 should be construed in conjunction with both Sections 505 and Section 1103(b) of the Code.  </w:t>
      </w:r>
      <w:r w:rsidR="00CC2973">
        <w:rPr>
          <w:sz w:val="26"/>
          <w:szCs w:val="26"/>
        </w:rPr>
        <w:t>See</w:t>
      </w:r>
      <w:r w:rsidR="00CC2973" w:rsidRPr="00CC2973">
        <w:rPr>
          <w:i/>
          <w:sz w:val="26"/>
          <w:szCs w:val="26"/>
        </w:rPr>
        <w:t xml:space="preserve"> Aqua – New Garden Application Order</w:t>
      </w:r>
      <w:r w:rsidR="00CC2973">
        <w:rPr>
          <w:i/>
          <w:sz w:val="26"/>
          <w:szCs w:val="26"/>
        </w:rPr>
        <w:t xml:space="preserve"> </w:t>
      </w:r>
      <w:r w:rsidR="00CC2973">
        <w:rPr>
          <w:sz w:val="26"/>
          <w:szCs w:val="26"/>
        </w:rPr>
        <w:t xml:space="preserve">at 34. Thus, while Section 1329 requires an analysis of adherence to the USPAP standards, Sections 505 and 1103(b) permit the Commission to conduct an investigation into the property valuation.  </w:t>
      </w:r>
      <w:r w:rsidR="00F221BD">
        <w:rPr>
          <w:sz w:val="26"/>
          <w:szCs w:val="26"/>
        </w:rPr>
        <w:t xml:space="preserve">The Commission’s adoption of Finding of Fact No. 52 </w:t>
      </w:r>
      <w:r w:rsidR="00224D3E">
        <w:rPr>
          <w:sz w:val="26"/>
          <w:szCs w:val="26"/>
        </w:rPr>
        <w:t>is consistent with the</w:t>
      </w:r>
      <w:r w:rsidR="00F221BD">
        <w:rPr>
          <w:sz w:val="26"/>
          <w:szCs w:val="26"/>
        </w:rPr>
        <w:t xml:space="preserve"> Commission’s authority to conduct a</w:t>
      </w:r>
      <w:r w:rsidR="00EE4A57">
        <w:rPr>
          <w:sz w:val="26"/>
          <w:szCs w:val="26"/>
        </w:rPr>
        <w:t xml:space="preserve">n investigation into the </w:t>
      </w:r>
      <w:r w:rsidR="00F221BD">
        <w:rPr>
          <w:sz w:val="26"/>
          <w:szCs w:val="26"/>
        </w:rPr>
        <w:t xml:space="preserve">property valuation </w:t>
      </w:r>
      <w:r w:rsidR="00EE4A57">
        <w:rPr>
          <w:sz w:val="26"/>
          <w:szCs w:val="26"/>
        </w:rPr>
        <w:t>in</w:t>
      </w:r>
      <w:r w:rsidR="00F221BD">
        <w:rPr>
          <w:sz w:val="26"/>
          <w:szCs w:val="26"/>
        </w:rPr>
        <w:t xml:space="preserve"> Section 1329 proceedings</w:t>
      </w:r>
      <w:r w:rsidR="008B29FC">
        <w:rPr>
          <w:sz w:val="26"/>
          <w:szCs w:val="26"/>
        </w:rPr>
        <w:t>.  We see no reason to disturb our prior determination as to this issue.</w:t>
      </w:r>
    </w:p>
    <w:p w14:paraId="42F75BCA" w14:textId="77777777" w:rsidR="0098758C" w:rsidRDefault="0098758C" w:rsidP="006E0EBF">
      <w:pPr>
        <w:widowControl/>
        <w:spacing w:line="360" w:lineRule="auto"/>
        <w:rPr>
          <w:sz w:val="26"/>
          <w:szCs w:val="26"/>
        </w:rPr>
      </w:pPr>
    </w:p>
    <w:p w14:paraId="26892FCC" w14:textId="77777777" w:rsidR="0098758C" w:rsidRDefault="0098758C" w:rsidP="006E0EBF">
      <w:pPr>
        <w:widowControl/>
        <w:spacing w:line="360" w:lineRule="auto"/>
        <w:rPr>
          <w:sz w:val="26"/>
          <w:szCs w:val="26"/>
        </w:rPr>
      </w:pPr>
      <w:r>
        <w:rPr>
          <w:sz w:val="26"/>
          <w:szCs w:val="26"/>
        </w:rPr>
        <w:tab/>
      </w:r>
      <w:r>
        <w:rPr>
          <w:sz w:val="26"/>
          <w:szCs w:val="26"/>
        </w:rPr>
        <w:tab/>
      </w:r>
      <w:r w:rsidR="008B29FC">
        <w:rPr>
          <w:sz w:val="26"/>
          <w:szCs w:val="26"/>
        </w:rPr>
        <w:t>Accordingly</w:t>
      </w:r>
      <w:r>
        <w:rPr>
          <w:sz w:val="26"/>
          <w:szCs w:val="26"/>
        </w:rPr>
        <w:t xml:space="preserve">, we shall decline to exercise our discretion to reconsider our </w:t>
      </w:r>
      <w:r w:rsidRPr="0098758C">
        <w:rPr>
          <w:i/>
          <w:sz w:val="26"/>
          <w:szCs w:val="26"/>
        </w:rPr>
        <w:t>November 2017 Order</w:t>
      </w:r>
      <w:r>
        <w:rPr>
          <w:sz w:val="26"/>
          <w:szCs w:val="26"/>
        </w:rPr>
        <w:t xml:space="preserve">.  </w:t>
      </w:r>
    </w:p>
    <w:p w14:paraId="77FB7B20" w14:textId="52E3D6E7" w:rsidR="008401B6" w:rsidRPr="00E43D2A" w:rsidRDefault="008401B6" w:rsidP="008B29FC">
      <w:pPr>
        <w:widowControl/>
        <w:spacing w:line="360" w:lineRule="auto"/>
        <w:rPr>
          <w:sz w:val="26"/>
          <w:szCs w:val="26"/>
        </w:rPr>
      </w:pPr>
    </w:p>
    <w:p w14:paraId="05AF688C" w14:textId="77777777" w:rsidR="00F32EB9" w:rsidRPr="009326AE" w:rsidRDefault="00F32EB9" w:rsidP="009326AE">
      <w:pPr>
        <w:pStyle w:val="ListParagraph"/>
        <w:keepNext/>
        <w:widowControl/>
        <w:numPr>
          <w:ilvl w:val="0"/>
          <w:numId w:val="8"/>
        </w:numPr>
        <w:spacing w:line="360" w:lineRule="auto"/>
        <w:jc w:val="center"/>
        <w:rPr>
          <w:b/>
          <w:sz w:val="26"/>
          <w:szCs w:val="26"/>
        </w:rPr>
      </w:pPr>
      <w:r w:rsidRPr="009326AE">
        <w:rPr>
          <w:b/>
          <w:sz w:val="26"/>
          <w:szCs w:val="26"/>
        </w:rPr>
        <w:t>Conclusion</w:t>
      </w:r>
    </w:p>
    <w:p w14:paraId="354A8852" w14:textId="77777777" w:rsidR="00F32EB9" w:rsidRPr="00400436" w:rsidRDefault="00F32EB9" w:rsidP="00F32EB9">
      <w:pPr>
        <w:keepNext/>
        <w:widowControl/>
        <w:ind w:firstLine="1440"/>
        <w:rPr>
          <w:sz w:val="26"/>
          <w:szCs w:val="26"/>
        </w:rPr>
      </w:pPr>
    </w:p>
    <w:p w14:paraId="075C73E1" w14:textId="77777777" w:rsidR="00F32EB9" w:rsidRPr="00400436" w:rsidRDefault="00FC363C" w:rsidP="00F32EB9">
      <w:pPr>
        <w:keepNext/>
        <w:widowControl/>
        <w:spacing w:line="360" w:lineRule="auto"/>
        <w:ind w:firstLine="1440"/>
        <w:rPr>
          <w:sz w:val="26"/>
          <w:szCs w:val="26"/>
        </w:rPr>
      </w:pPr>
      <w:r>
        <w:rPr>
          <w:sz w:val="26"/>
          <w:szCs w:val="26"/>
        </w:rPr>
        <w:t>Based on</w:t>
      </w:r>
      <w:r w:rsidR="00F32EB9" w:rsidRPr="00400436">
        <w:rPr>
          <w:sz w:val="26"/>
          <w:szCs w:val="26"/>
        </w:rPr>
        <w:t xml:space="preserve"> the foregoing discussion, we shall </w:t>
      </w:r>
      <w:r w:rsidR="006E0EBF">
        <w:rPr>
          <w:sz w:val="26"/>
          <w:szCs w:val="26"/>
        </w:rPr>
        <w:t xml:space="preserve">deny </w:t>
      </w:r>
      <w:r>
        <w:rPr>
          <w:sz w:val="26"/>
          <w:szCs w:val="26"/>
        </w:rPr>
        <w:t>the Petition consistent with this Opinion and Order</w:t>
      </w:r>
      <w:r w:rsidR="00F32EB9" w:rsidRPr="00400436">
        <w:rPr>
          <w:sz w:val="26"/>
          <w:szCs w:val="26"/>
        </w:rPr>
        <w:t xml:space="preserve">; </w:t>
      </w:r>
      <w:r w:rsidR="00F32EB9" w:rsidRPr="00400436">
        <w:rPr>
          <w:b/>
          <w:sz w:val="26"/>
          <w:szCs w:val="26"/>
        </w:rPr>
        <w:t>THEREFORE,</w:t>
      </w:r>
    </w:p>
    <w:p w14:paraId="3581EBF2" w14:textId="6FE9E4D5" w:rsidR="008B29FC" w:rsidRDefault="008B29FC">
      <w:pPr>
        <w:widowControl/>
        <w:spacing w:after="200" w:line="276" w:lineRule="auto"/>
        <w:rPr>
          <w:b/>
          <w:sz w:val="26"/>
          <w:szCs w:val="26"/>
        </w:rPr>
      </w:pPr>
    </w:p>
    <w:p w14:paraId="54456D78" w14:textId="77777777" w:rsidR="00B25BBC" w:rsidRPr="00400436" w:rsidRDefault="00F32EB9" w:rsidP="007F193A">
      <w:pPr>
        <w:keepNext/>
        <w:widowControl/>
        <w:spacing w:line="360" w:lineRule="auto"/>
        <w:ind w:firstLine="1440"/>
        <w:rPr>
          <w:b/>
          <w:sz w:val="26"/>
          <w:szCs w:val="26"/>
        </w:rPr>
      </w:pPr>
      <w:r w:rsidRPr="00400436">
        <w:rPr>
          <w:b/>
          <w:sz w:val="26"/>
          <w:szCs w:val="26"/>
        </w:rPr>
        <w:t>IT IS ORDERED:</w:t>
      </w:r>
    </w:p>
    <w:p w14:paraId="06856FA3" w14:textId="77777777" w:rsidR="00F32EB9" w:rsidRPr="00400436" w:rsidRDefault="00F32EB9" w:rsidP="007F193A">
      <w:pPr>
        <w:keepNext/>
        <w:widowControl/>
        <w:spacing w:line="360" w:lineRule="auto"/>
        <w:rPr>
          <w:sz w:val="26"/>
          <w:szCs w:val="26"/>
        </w:rPr>
      </w:pPr>
    </w:p>
    <w:p w14:paraId="481867ED" w14:textId="77777777" w:rsidR="00F32EB9" w:rsidRPr="00EB182A" w:rsidRDefault="008B29FC" w:rsidP="008B29FC">
      <w:pPr>
        <w:keepNext/>
        <w:widowControl/>
        <w:spacing w:line="360" w:lineRule="auto"/>
        <w:rPr>
          <w:sz w:val="26"/>
          <w:szCs w:val="26"/>
        </w:rPr>
      </w:pPr>
      <w:r>
        <w:rPr>
          <w:sz w:val="26"/>
          <w:szCs w:val="26"/>
        </w:rPr>
        <w:tab/>
      </w:r>
      <w:r>
        <w:rPr>
          <w:sz w:val="26"/>
          <w:szCs w:val="26"/>
        </w:rPr>
        <w:tab/>
      </w:r>
      <w:r w:rsidR="00F32EB9" w:rsidRPr="00400436">
        <w:rPr>
          <w:sz w:val="26"/>
          <w:szCs w:val="26"/>
        </w:rPr>
        <w:t xml:space="preserve">That the </w:t>
      </w:r>
      <w:r w:rsidR="00557CF0">
        <w:rPr>
          <w:sz w:val="26"/>
          <w:szCs w:val="26"/>
        </w:rPr>
        <w:t xml:space="preserve">Petition </w:t>
      </w:r>
      <w:r w:rsidR="00B25BBC">
        <w:rPr>
          <w:sz w:val="26"/>
          <w:szCs w:val="26"/>
        </w:rPr>
        <w:t xml:space="preserve">for Reconsideration </w:t>
      </w:r>
      <w:r w:rsidR="00557CF0">
        <w:rPr>
          <w:sz w:val="26"/>
          <w:szCs w:val="26"/>
        </w:rPr>
        <w:t xml:space="preserve">of </w:t>
      </w:r>
      <w:r w:rsidR="009326AE">
        <w:rPr>
          <w:sz w:val="26"/>
          <w:szCs w:val="26"/>
        </w:rPr>
        <w:t xml:space="preserve">Aqua Pennsylvania Wastewater, Inc., </w:t>
      </w:r>
      <w:r w:rsidR="00EB182A" w:rsidRPr="005B05E3">
        <w:rPr>
          <w:sz w:val="26"/>
        </w:rPr>
        <w:t xml:space="preserve">filed on </w:t>
      </w:r>
      <w:r w:rsidR="009326AE">
        <w:rPr>
          <w:sz w:val="26"/>
        </w:rPr>
        <w:t>December</w:t>
      </w:r>
      <w:r w:rsidR="00EB182A">
        <w:rPr>
          <w:sz w:val="26"/>
        </w:rPr>
        <w:t xml:space="preserve"> 14, 2017</w:t>
      </w:r>
      <w:r w:rsidR="00EB182A" w:rsidRPr="005B05E3">
        <w:rPr>
          <w:sz w:val="26"/>
        </w:rPr>
        <w:t>,</w:t>
      </w:r>
      <w:r w:rsidR="00EB182A">
        <w:rPr>
          <w:sz w:val="26"/>
        </w:rPr>
        <w:t xml:space="preserve"> is denied</w:t>
      </w:r>
      <w:r>
        <w:rPr>
          <w:sz w:val="26"/>
        </w:rPr>
        <w:t>, consistent with this Opinion and Order</w:t>
      </w:r>
      <w:r w:rsidR="00EB182A">
        <w:rPr>
          <w:sz w:val="26"/>
        </w:rPr>
        <w:t>.</w:t>
      </w:r>
    </w:p>
    <w:p w14:paraId="6B57D346" w14:textId="77777777" w:rsidR="00EB182A" w:rsidRPr="00EB182A" w:rsidRDefault="00EB182A" w:rsidP="00EB182A">
      <w:pPr>
        <w:keepNext/>
        <w:widowControl/>
        <w:spacing w:line="360" w:lineRule="auto"/>
        <w:ind w:left="1440"/>
        <w:rPr>
          <w:sz w:val="26"/>
          <w:szCs w:val="26"/>
        </w:rPr>
      </w:pPr>
    </w:p>
    <w:p w14:paraId="23511F04" w14:textId="77777777" w:rsidR="00F32EB9" w:rsidRDefault="00F32EB9" w:rsidP="00F32EB9">
      <w:pPr>
        <w:keepNext/>
        <w:widowControl/>
        <w:rPr>
          <w:sz w:val="26"/>
          <w:szCs w:val="26"/>
        </w:rPr>
      </w:pPr>
    </w:p>
    <w:p w14:paraId="7A1F9638" w14:textId="77777777" w:rsidR="009F5251" w:rsidRPr="00400436" w:rsidRDefault="009F5251" w:rsidP="00F32EB9">
      <w:pPr>
        <w:keepNext/>
        <w:widowControl/>
        <w:rPr>
          <w:sz w:val="26"/>
          <w:szCs w:val="26"/>
        </w:rPr>
      </w:pPr>
    </w:p>
    <w:p w14:paraId="28D2E445" w14:textId="1297A176" w:rsidR="00F32EB9" w:rsidRPr="00400436" w:rsidRDefault="00F50AA5" w:rsidP="00F32EB9">
      <w:pPr>
        <w:keepNext/>
        <w:widowControl/>
        <w:tabs>
          <w:tab w:val="left" w:pos="-720"/>
        </w:tabs>
        <w:ind w:firstLine="5040"/>
        <w:rPr>
          <w:sz w:val="26"/>
          <w:szCs w:val="26"/>
        </w:rPr>
      </w:pPr>
      <w:r w:rsidRPr="009F01BA">
        <w:rPr>
          <w:b/>
          <w:noProof/>
        </w:rPr>
        <w:drawing>
          <wp:anchor distT="0" distB="0" distL="114300" distR="114300" simplePos="0" relativeHeight="251659264" behindDoc="1" locked="0" layoutInCell="1" allowOverlap="1" wp14:anchorId="6F378773" wp14:editId="4CA85190">
            <wp:simplePos x="0" y="0"/>
            <wp:positionH relativeFrom="column">
              <wp:posOffset>3095625</wp:posOffset>
            </wp:positionH>
            <wp:positionV relativeFrom="paragraph">
              <wp:posOffset>112395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F32EB9" w:rsidRPr="00400436">
        <w:rPr>
          <w:b/>
          <w:sz w:val="26"/>
          <w:szCs w:val="26"/>
        </w:rPr>
        <w:t>BY THE COMMISSION,</w:t>
      </w:r>
    </w:p>
    <w:p w14:paraId="3D8C03B5" w14:textId="622BC066" w:rsidR="00F32EB9" w:rsidRPr="00400436" w:rsidRDefault="00F32EB9" w:rsidP="00F32EB9">
      <w:pPr>
        <w:widowControl/>
        <w:tabs>
          <w:tab w:val="left" w:pos="-720"/>
        </w:tabs>
        <w:rPr>
          <w:sz w:val="26"/>
          <w:szCs w:val="26"/>
        </w:rPr>
      </w:pPr>
    </w:p>
    <w:p w14:paraId="3F770C06" w14:textId="0373F556" w:rsidR="00F96BCA" w:rsidRDefault="00F96BCA"/>
    <w:p w14:paraId="551510C7" w14:textId="77777777" w:rsidR="00F32EB9" w:rsidRPr="00400436" w:rsidRDefault="00F32EB9" w:rsidP="00F32EB9">
      <w:pPr>
        <w:widowControl/>
        <w:tabs>
          <w:tab w:val="left" w:pos="-720"/>
        </w:tabs>
        <w:rPr>
          <w:sz w:val="26"/>
          <w:szCs w:val="26"/>
        </w:rPr>
      </w:pPr>
    </w:p>
    <w:p w14:paraId="243190E4" w14:textId="77777777" w:rsidR="00F32EB9" w:rsidRPr="00400436" w:rsidRDefault="00F32EB9" w:rsidP="00F32EB9">
      <w:pPr>
        <w:widowControl/>
        <w:tabs>
          <w:tab w:val="left" w:pos="-720"/>
        </w:tabs>
        <w:rPr>
          <w:sz w:val="26"/>
          <w:szCs w:val="26"/>
        </w:rPr>
      </w:pPr>
    </w:p>
    <w:p w14:paraId="1C903234" w14:textId="77777777" w:rsidR="00F32EB9" w:rsidRPr="00400436" w:rsidRDefault="00F32EB9" w:rsidP="00F32EB9">
      <w:pPr>
        <w:widowControl/>
        <w:tabs>
          <w:tab w:val="left" w:pos="-720"/>
        </w:tabs>
        <w:ind w:firstLine="5040"/>
        <w:rPr>
          <w:b/>
          <w:sz w:val="26"/>
          <w:szCs w:val="26"/>
        </w:rPr>
      </w:pPr>
      <w:r w:rsidRPr="00400436">
        <w:rPr>
          <w:sz w:val="26"/>
          <w:szCs w:val="26"/>
        </w:rPr>
        <w:t>Rosemary Chiavetta</w:t>
      </w:r>
    </w:p>
    <w:p w14:paraId="62E2B148" w14:textId="77777777" w:rsidR="00F32EB9" w:rsidRPr="00400436" w:rsidRDefault="00F32EB9" w:rsidP="00F32EB9">
      <w:pPr>
        <w:widowControl/>
        <w:tabs>
          <w:tab w:val="left" w:pos="-720"/>
        </w:tabs>
        <w:ind w:firstLine="5040"/>
        <w:rPr>
          <w:sz w:val="26"/>
          <w:szCs w:val="26"/>
        </w:rPr>
      </w:pPr>
      <w:r w:rsidRPr="00400436">
        <w:rPr>
          <w:sz w:val="26"/>
          <w:szCs w:val="26"/>
        </w:rPr>
        <w:t>Secretary</w:t>
      </w:r>
    </w:p>
    <w:p w14:paraId="2DB8006F" w14:textId="77777777" w:rsidR="00F32EB9" w:rsidRDefault="00F32EB9" w:rsidP="00F32EB9">
      <w:pPr>
        <w:widowControl/>
        <w:tabs>
          <w:tab w:val="left" w:pos="-720"/>
        </w:tabs>
        <w:rPr>
          <w:sz w:val="26"/>
          <w:szCs w:val="26"/>
        </w:rPr>
      </w:pPr>
    </w:p>
    <w:p w14:paraId="06F55DAC" w14:textId="77777777" w:rsidR="009F5251" w:rsidRPr="00400436" w:rsidRDefault="009F5251" w:rsidP="00F32EB9">
      <w:pPr>
        <w:widowControl/>
        <w:tabs>
          <w:tab w:val="left" w:pos="-720"/>
        </w:tabs>
        <w:rPr>
          <w:sz w:val="26"/>
          <w:szCs w:val="26"/>
        </w:rPr>
      </w:pPr>
    </w:p>
    <w:p w14:paraId="0E173D92" w14:textId="77777777" w:rsidR="00F32EB9" w:rsidRPr="00400436" w:rsidRDefault="00F32EB9" w:rsidP="00F32EB9">
      <w:pPr>
        <w:widowControl/>
        <w:tabs>
          <w:tab w:val="left" w:pos="-720"/>
        </w:tabs>
        <w:rPr>
          <w:sz w:val="26"/>
          <w:szCs w:val="26"/>
        </w:rPr>
      </w:pPr>
      <w:r w:rsidRPr="00400436">
        <w:rPr>
          <w:sz w:val="26"/>
          <w:szCs w:val="26"/>
        </w:rPr>
        <w:t>(SEAL)</w:t>
      </w:r>
    </w:p>
    <w:p w14:paraId="2CA1B25A" w14:textId="77777777" w:rsidR="00F32EB9" w:rsidRPr="00400436" w:rsidRDefault="00F32EB9" w:rsidP="00F32EB9">
      <w:pPr>
        <w:widowControl/>
        <w:tabs>
          <w:tab w:val="left" w:pos="-720"/>
        </w:tabs>
        <w:rPr>
          <w:sz w:val="26"/>
          <w:szCs w:val="26"/>
        </w:rPr>
      </w:pPr>
    </w:p>
    <w:p w14:paraId="5243F5E5" w14:textId="7447159F" w:rsidR="00F32EB9" w:rsidRDefault="00F32EB9" w:rsidP="00F32EB9">
      <w:pPr>
        <w:widowControl/>
        <w:tabs>
          <w:tab w:val="left" w:pos="-720"/>
        </w:tabs>
        <w:rPr>
          <w:sz w:val="26"/>
          <w:szCs w:val="26"/>
        </w:rPr>
      </w:pPr>
      <w:r w:rsidRPr="00400436">
        <w:rPr>
          <w:sz w:val="26"/>
          <w:szCs w:val="26"/>
        </w:rPr>
        <w:t xml:space="preserve">ORDER ADOPTED: </w:t>
      </w:r>
      <w:r w:rsidR="00F221BD">
        <w:rPr>
          <w:sz w:val="26"/>
          <w:szCs w:val="26"/>
        </w:rPr>
        <w:t>April 19, 201</w:t>
      </w:r>
      <w:r w:rsidR="00B84132">
        <w:rPr>
          <w:sz w:val="26"/>
          <w:szCs w:val="26"/>
        </w:rPr>
        <w:t>8</w:t>
      </w:r>
    </w:p>
    <w:p w14:paraId="143D2BCF" w14:textId="77777777" w:rsidR="00993143" w:rsidRPr="00400436" w:rsidRDefault="00993143" w:rsidP="00F32EB9">
      <w:pPr>
        <w:widowControl/>
        <w:tabs>
          <w:tab w:val="left" w:pos="-720"/>
        </w:tabs>
        <w:rPr>
          <w:sz w:val="26"/>
          <w:szCs w:val="26"/>
        </w:rPr>
      </w:pPr>
    </w:p>
    <w:p w14:paraId="09C660F8" w14:textId="5FC7BE64" w:rsidR="00CE5857" w:rsidRPr="00400436" w:rsidRDefault="00F32EB9" w:rsidP="00AE52AE">
      <w:pPr>
        <w:widowControl/>
        <w:tabs>
          <w:tab w:val="left" w:pos="-720"/>
        </w:tabs>
        <w:rPr>
          <w:rFonts w:eastAsia="Calibri"/>
          <w:sz w:val="26"/>
          <w:szCs w:val="26"/>
        </w:rPr>
      </w:pPr>
      <w:r w:rsidRPr="00400436">
        <w:rPr>
          <w:sz w:val="26"/>
          <w:szCs w:val="26"/>
        </w:rPr>
        <w:t xml:space="preserve">ORDER ENTERED:  </w:t>
      </w:r>
      <w:r w:rsidR="00F50AA5">
        <w:rPr>
          <w:sz w:val="26"/>
          <w:szCs w:val="26"/>
        </w:rPr>
        <w:t>April 19, 201</w:t>
      </w:r>
      <w:r w:rsidR="00B84132">
        <w:rPr>
          <w:sz w:val="26"/>
          <w:szCs w:val="26"/>
        </w:rPr>
        <w:t>8</w:t>
      </w:r>
      <w:bookmarkStart w:id="11" w:name="_GoBack"/>
      <w:bookmarkEnd w:id="11"/>
    </w:p>
    <w:sectPr w:rsidR="00CE5857" w:rsidRPr="00400436" w:rsidSect="004770D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FAD28" w14:textId="77777777" w:rsidR="00983A0B" w:rsidRDefault="00983A0B" w:rsidP="00F7174B">
      <w:r>
        <w:separator/>
      </w:r>
    </w:p>
  </w:endnote>
  <w:endnote w:type="continuationSeparator" w:id="0">
    <w:p w14:paraId="53817C59" w14:textId="77777777" w:rsidR="00983A0B" w:rsidRDefault="00983A0B" w:rsidP="00F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423087"/>
      <w:docPartObj>
        <w:docPartGallery w:val="Page Numbers (Bottom of Page)"/>
        <w:docPartUnique/>
      </w:docPartObj>
    </w:sdtPr>
    <w:sdtEndPr>
      <w:rPr>
        <w:noProof/>
        <w:sz w:val="26"/>
        <w:szCs w:val="26"/>
      </w:rPr>
    </w:sdtEndPr>
    <w:sdtContent>
      <w:p w14:paraId="60C9C4E0" w14:textId="77777777" w:rsidR="006660C8" w:rsidRPr="009F1A08" w:rsidRDefault="006660C8">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4234D2">
          <w:rPr>
            <w:noProof/>
            <w:sz w:val="26"/>
            <w:szCs w:val="26"/>
          </w:rPr>
          <w:t>19</w:t>
        </w:r>
        <w:r w:rsidRPr="009F1A08">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4C5E" w14:textId="77777777" w:rsidR="00983A0B" w:rsidRDefault="00983A0B" w:rsidP="00F7174B">
      <w:r>
        <w:separator/>
      </w:r>
    </w:p>
  </w:footnote>
  <w:footnote w:type="continuationSeparator" w:id="0">
    <w:p w14:paraId="6F5B4F76" w14:textId="77777777" w:rsidR="00983A0B" w:rsidRDefault="00983A0B" w:rsidP="00F7174B">
      <w:r>
        <w:continuationSeparator/>
      </w:r>
    </w:p>
  </w:footnote>
  <w:footnote w:id="1">
    <w:p w14:paraId="08C17A5B" w14:textId="77777777" w:rsidR="004523FB" w:rsidRPr="00D27F3A" w:rsidRDefault="004523FB" w:rsidP="00656C89">
      <w:pPr>
        <w:pStyle w:val="FootnoteText"/>
        <w:keepNext/>
        <w:keepLines/>
        <w:rPr>
          <w:sz w:val="26"/>
          <w:szCs w:val="26"/>
        </w:rPr>
      </w:pPr>
      <w:r>
        <w:rPr>
          <w:sz w:val="26"/>
          <w:szCs w:val="26"/>
        </w:rPr>
        <w:tab/>
      </w:r>
      <w:r w:rsidRPr="00C30EC0">
        <w:rPr>
          <w:rStyle w:val="FootnoteReference"/>
          <w:sz w:val="26"/>
          <w:szCs w:val="26"/>
        </w:rPr>
        <w:footnoteRef/>
      </w:r>
      <w:r w:rsidRPr="00C30EC0">
        <w:rPr>
          <w:sz w:val="26"/>
          <w:szCs w:val="26"/>
        </w:rPr>
        <w:t xml:space="preserve"> </w:t>
      </w:r>
      <w:r>
        <w:rPr>
          <w:sz w:val="26"/>
          <w:szCs w:val="26"/>
        </w:rPr>
        <w:tab/>
        <w:t xml:space="preserve">On November 3, 2017, the OCA filed a Petition for Review of the </w:t>
      </w:r>
      <w:bookmarkStart w:id="5" w:name="_Hlk499647957"/>
      <w:r w:rsidRPr="00C30EC0">
        <w:rPr>
          <w:i/>
          <w:sz w:val="26"/>
          <w:szCs w:val="26"/>
        </w:rPr>
        <w:t>Aqua – New Garden Application Order</w:t>
      </w:r>
      <w:bookmarkEnd w:id="5"/>
      <w:r>
        <w:rPr>
          <w:i/>
          <w:sz w:val="26"/>
          <w:szCs w:val="26"/>
        </w:rPr>
        <w:t xml:space="preserve"> </w:t>
      </w:r>
      <w:r>
        <w:rPr>
          <w:sz w:val="26"/>
          <w:szCs w:val="26"/>
        </w:rPr>
        <w:t xml:space="preserve">as subsequently upheld by the </w:t>
      </w:r>
      <w:r w:rsidRPr="002915C6">
        <w:rPr>
          <w:i/>
          <w:sz w:val="26"/>
          <w:szCs w:val="26"/>
        </w:rPr>
        <w:t>Aqua - New Garden Reconsideration Order</w:t>
      </w:r>
      <w:r>
        <w:rPr>
          <w:sz w:val="26"/>
          <w:szCs w:val="26"/>
        </w:rPr>
        <w:t xml:space="preserve">.  </w:t>
      </w:r>
      <w:r w:rsidRPr="00D27F3A">
        <w:rPr>
          <w:i/>
          <w:sz w:val="26"/>
          <w:szCs w:val="26"/>
        </w:rPr>
        <w:t>McCloskey v. Pa. PUC</w:t>
      </w:r>
      <w:r>
        <w:rPr>
          <w:sz w:val="26"/>
          <w:szCs w:val="26"/>
        </w:rPr>
        <w:t xml:space="preserve">, Docket No. 1624 C.D. 2017 (Pa. Cmwlth. filed November 3, 2017).  Thereafter, Aqua filed a Petition for Review (Cross Appeal to 1624 C.D. 2017) of both the </w:t>
      </w:r>
      <w:r w:rsidRPr="00C30EC0">
        <w:rPr>
          <w:i/>
          <w:sz w:val="26"/>
          <w:szCs w:val="26"/>
        </w:rPr>
        <w:t>Aqua – New Garden Application Order</w:t>
      </w:r>
      <w:r>
        <w:rPr>
          <w:i/>
          <w:sz w:val="26"/>
          <w:szCs w:val="26"/>
        </w:rPr>
        <w:t xml:space="preserve"> </w:t>
      </w:r>
      <w:r>
        <w:rPr>
          <w:sz w:val="26"/>
          <w:szCs w:val="26"/>
        </w:rPr>
        <w:t xml:space="preserve">and the </w:t>
      </w:r>
      <w:r w:rsidRPr="002915C6">
        <w:rPr>
          <w:i/>
          <w:sz w:val="26"/>
          <w:szCs w:val="26"/>
        </w:rPr>
        <w:t>Aqua - New Garden Reconsideration Order</w:t>
      </w:r>
      <w:r>
        <w:rPr>
          <w:sz w:val="26"/>
          <w:szCs w:val="26"/>
        </w:rPr>
        <w:t xml:space="preserve">.  </w:t>
      </w:r>
      <w:r>
        <w:rPr>
          <w:i/>
          <w:sz w:val="26"/>
          <w:szCs w:val="26"/>
        </w:rPr>
        <w:t>Aqua Pennsylvania Wastewater, Inc. v. Pa. PUC</w:t>
      </w:r>
      <w:r>
        <w:rPr>
          <w:sz w:val="26"/>
          <w:szCs w:val="26"/>
        </w:rPr>
        <w:t xml:space="preserve">, Docket No. 1692 C.D. 2017 (Pa. Cmwlth. filed November 17, 2017).  </w:t>
      </w:r>
      <w:r w:rsidR="005F617E">
        <w:rPr>
          <w:sz w:val="26"/>
          <w:szCs w:val="26"/>
        </w:rPr>
        <w:t xml:space="preserve">However, on January 22, 2018, the Commonwealth Court </w:t>
      </w:r>
      <w:r w:rsidR="00656C89">
        <w:rPr>
          <w:sz w:val="26"/>
          <w:szCs w:val="26"/>
        </w:rPr>
        <w:t xml:space="preserve">granted Aqua’s unopposed application to discontinue its Petition for Review at 1692 C.D. 2017.  </w:t>
      </w:r>
    </w:p>
  </w:footnote>
  <w:footnote w:id="2">
    <w:p w14:paraId="017FBB6C" w14:textId="4812673E" w:rsidR="006660C8" w:rsidRPr="00D0478D" w:rsidRDefault="006660C8" w:rsidP="00C36008">
      <w:pPr>
        <w:pStyle w:val="FootnoteText"/>
        <w:keepNext/>
        <w:keepLines/>
        <w:widowControl/>
        <w:spacing w:after="120"/>
        <w:ind w:firstLine="720"/>
        <w:rPr>
          <w:sz w:val="26"/>
          <w:szCs w:val="26"/>
        </w:rPr>
      </w:pPr>
      <w:r w:rsidRPr="00D0478D">
        <w:rPr>
          <w:rStyle w:val="FootnoteReference"/>
          <w:sz w:val="26"/>
          <w:szCs w:val="26"/>
        </w:rPr>
        <w:footnoteRef/>
      </w:r>
      <w:r w:rsidRPr="00D0478D">
        <w:rPr>
          <w:sz w:val="26"/>
          <w:szCs w:val="26"/>
        </w:rPr>
        <w:tab/>
        <w:t xml:space="preserve">The APA includes a three year “rate freeze,” which provides that Limerick customers will be charged the existing Limerick rates for a period of not less than three years.  According to Aqua, while the APA includes a three-year rate freeze, there is no provision within the APA that provides for a limitation on rate increases.  </w:t>
      </w:r>
      <w:r w:rsidRPr="00D0478D">
        <w:rPr>
          <w:sz w:val="26"/>
          <w:szCs w:val="26"/>
          <w:lang w:val="en"/>
        </w:rPr>
        <w:t>Aqua Exc. at 3 (citing Aqua Stmt. 1 at 6).</w:t>
      </w:r>
    </w:p>
  </w:footnote>
  <w:footnote w:id="3">
    <w:p w14:paraId="1C45C0DB" w14:textId="77777777" w:rsidR="006660C8" w:rsidRPr="00D0478D" w:rsidRDefault="006660C8" w:rsidP="0089744C">
      <w:pPr>
        <w:pStyle w:val="FootnoteText"/>
        <w:keepNext/>
        <w:keepLines/>
        <w:widowControl/>
        <w:ind w:firstLine="720"/>
        <w:rPr>
          <w:sz w:val="26"/>
          <w:szCs w:val="26"/>
        </w:rPr>
      </w:pPr>
      <w:r w:rsidRPr="00D0478D">
        <w:rPr>
          <w:rStyle w:val="FootnoteReference"/>
          <w:sz w:val="26"/>
          <w:szCs w:val="26"/>
        </w:rPr>
        <w:footnoteRef/>
      </w:r>
      <w:r w:rsidRPr="00D0478D">
        <w:rPr>
          <w:sz w:val="26"/>
          <w:szCs w:val="26"/>
        </w:rPr>
        <w:t xml:space="preserve"> </w:t>
      </w:r>
      <w:r w:rsidRPr="00D0478D">
        <w:rPr>
          <w:sz w:val="26"/>
          <w:szCs w:val="26"/>
        </w:rPr>
        <w:tab/>
        <w:t>Ordering Paragraph 3 of the ALJ’s Recomm</w:t>
      </w:r>
      <w:r>
        <w:rPr>
          <w:sz w:val="26"/>
          <w:szCs w:val="26"/>
        </w:rPr>
        <w:t>ended Decision states</w:t>
      </w:r>
      <w:r w:rsidRPr="00D0478D">
        <w:rPr>
          <w:sz w:val="26"/>
          <w:szCs w:val="26"/>
        </w:rPr>
        <w:t>:</w:t>
      </w:r>
    </w:p>
    <w:p w14:paraId="3B0441E4" w14:textId="77777777" w:rsidR="006660C8" w:rsidRPr="00D0478D" w:rsidRDefault="006660C8" w:rsidP="0089744C">
      <w:pPr>
        <w:pStyle w:val="FootnoteText"/>
        <w:keepNext/>
        <w:keepLines/>
        <w:widowControl/>
        <w:ind w:firstLine="720"/>
        <w:rPr>
          <w:sz w:val="26"/>
          <w:szCs w:val="26"/>
        </w:rPr>
      </w:pPr>
    </w:p>
    <w:p w14:paraId="2D608CE0" w14:textId="77777777" w:rsidR="006660C8" w:rsidRDefault="006660C8" w:rsidP="0089744C">
      <w:pPr>
        <w:keepNext/>
        <w:keepLines/>
        <w:widowControl/>
        <w:ind w:left="1440" w:right="1440"/>
        <w:rPr>
          <w:sz w:val="26"/>
          <w:szCs w:val="26"/>
        </w:rPr>
      </w:pPr>
      <w:r w:rsidRPr="00D0478D">
        <w:rPr>
          <w:sz w:val="26"/>
          <w:szCs w:val="26"/>
        </w:rPr>
        <w:t xml:space="preserve">That the Commission retains the authority to allocate revenues, if appropriate, to the Limerick Township customers that are in excess of the restrictions outlined in the Asset Purchase Agreement.  Aqua Pennsylvania Wastewater, Inc. and its shareholders should bear all risk of a shortfall between revenues it is permitted to recover under its Asset Purchase Agreement with Limerick Township and the costs that Aqua Pennsylvania Wastewater, Inc. incurs with respect to the acquired system.  To the extent that Aqua Pennsylvania Wastewater, Inc. is unwilling or unable to charge costs in excess of the limitations provided in the Asset Purchase Agreement, the excess costs should be borne by its shareholders and not spread to other ratepayers.  </w:t>
      </w:r>
    </w:p>
    <w:p w14:paraId="6C0942A4" w14:textId="77777777" w:rsidR="006660C8" w:rsidRDefault="006660C8" w:rsidP="0089744C">
      <w:pPr>
        <w:pStyle w:val="FootnoteText"/>
        <w:ind w:right="1440"/>
        <w:rPr>
          <w:sz w:val="26"/>
          <w:szCs w:val="26"/>
        </w:rPr>
      </w:pPr>
    </w:p>
    <w:p w14:paraId="3A4E828B" w14:textId="77777777" w:rsidR="006660C8" w:rsidRPr="00D0478D" w:rsidRDefault="006660C8" w:rsidP="006B217A">
      <w:pPr>
        <w:pStyle w:val="FootnoteText"/>
        <w:spacing w:after="120"/>
        <w:ind w:right="1440"/>
        <w:rPr>
          <w:sz w:val="26"/>
          <w:szCs w:val="26"/>
        </w:rPr>
      </w:pPr>
      <w:r>
        <w:rPr>
          <w:sz w:val="26"/>
          <w:szCs w:val="26"/>
        </w:rPr>
        <w:t>R.D. at 53.</w:t>
      </w:r>
    </w:p>
  </w:footnote>
  <w:footnote w:id="4">
    <w:p w14:paraId="70F2D6CD" w14:textId="77777777" w:rsidR="00595AE6" w:rsidRPr="00595AE6" w:rsidRDefault="00595AE6" w:rsidP="006B217A">
      <w:pPr>
        <w:pStyle w:val="FootnoteText"/>
        <w:keepNext/>
        <w:keepLines/>
        <w:widowControl/>
        <w:spacing w:after="120"/>
        <w:rPr>
          <w:sz w:val="26"/>
          <w:szCs w:val="26"/>
        </w:rPr>
      </w:pPr>
      <w:r>
        <w:rPr>
          <w:sz w:val="26"/>
          <w:szCs w:val="26"/>
        </w:rPr>
        <w:tab/>
      </w:r>
      <w:r w:rsidRPr="00595AE6">
        <w:rPr>
          <w:rStyle w:val="FootnoteReference"/>
          <w:sz w:val="26"/>
          <w:szCs w:val="26"/>
        </w:rPr>
        <w:footnoteRef/>
      </w:r>
      <w:r w:rsidRPr="00595AE6">
        <w:rPr>
          <w:sz w:val="26"/>
          <w:szCs w:val="26"/>
        </w:rPr>
        <w:t xml:space="preserve"> </w:t>
      </w:r>
      <w:r>
        <w:rPr>
          <w:sz w:val="26"/>
          <w:szCs w:val="26"/>
        </w:rPr>
        <w:tab/>
      </w:r>
      <w:r w:rsidRPr="002915C6">
        <w:rPr>
          <w:i/>
          <w:sz w:val="26"/>
          <w:szCs w:val="26"/>
        </w:rPr>
        <w:t>Joint Application of Pennsylvania-American Water Company and the Sewer Authority of the City of Scranton</w:t>
      </w:r>
      <w:r w:rsidRPr="002915C6">
        <w:rPr>
          <w:sz w:val="26"/>
          <w:szCs w:val="26"/>
        </w:rPr>
        <w:t>, Docket No. A-2016-2537209 (Order entered October 19, 2016)</w:t>
      </w:r>
      <w:r>
        <w:rPr>
          <w:sz w:val="26"/>
          <w:szCs w:val="26"/>
        </w:rPr>
        <w:t>.</w:t>
      </w:r>
    </w:p>
  </w:footnote>
  <w:footnote w:id="5">
    <w:p w14:paraId="2F275B2D" w14:textId="77777777" w:rsidR="00595AE6" w:rsidRPr="00595AE6" w:rsidRDefault="00595AE6" w:rsidP="006B217A">
      <w:pPr>
        <w:pStyle w:val="FootnoteText"/>
        <w:keepNext/>
        <w:keepLines/>
        <w:widowControl/>
        <w:spacing w:after="120"/>
        <w:rPr>
          <w:sz w:val="26"/>
          <w:szCs w:val="26"/>
        </w:rPr>
      </w:pPr>
      <w:r>
        <w:rPr>
          <w:sz w:val="26"/>
          <w:szCs w:val="26"/>
        </w:rPr>
        <w:tab/>
      </w:r>
      <w:r w:rsidRPr="00595AE6">
        <w:rPr>
          <w:rStyle w:val="FootnoteReference"/>
          <w:sz w:val="26"/>
          <w:szCs w:val="26"/>
        </w:rPr>
        <w:footnoteRef/>
      </w:r>
      <w:r w:rsidRPr="00595AE6">
        <w:rPr>
          <w:sz w:val="26"/>
          <w:szCs w:val="26"/>
        </w:rPr>
        <w:t xml:space="preserve"> </w:t>
      </w:r>
      <w:r>
        <w:rPr>
          <w:sz w:val="26"/>
          <w:szCs w:val="26"/>
        </w:rPr>
        <w:tab/>
        <w:t xml:space="preserve">Our discussion and disposition of the rate freeze issue is found on pages 25 to 31 of the </w:t>
      </w:r>
      <w:r w:rsidRPr="00595AE6">
        <w:rPr>
          <w:i/>
          <w:sz w:val="26"/>
          <w:szCs w:val="26"/>
        </w:rPr>
        <w:t>November 2017 Order</w:t>
      </w:r>
      <w:r>
        <w:rPr>
          <w:sz w:val="26"/>
          <w:szCs w:val="26"/>
        </w:rPr>
        <w:t xml:space="preserve">.  </w:t>
      </w:r>
    </w:p>
  </w:footnote>
  <w:footnote w:id="6">
    <w:p w14:paraId="538FA5D5" w14:textId="46CB4328" w:rsidR="00CC0F04" w:rsidRPr="00CC0F04" w:rsidRDefault="00CC0F04" w:rsidP="006B217A">
      <w:pPr>
        <w:keepNext/>
        <w:keepLines/>
        <w:widowControl/>
        <w:rPr>
          <w:sz w:val="26"/>
          <w:szCs w:val="26"/>
        </w:rPr>
      </w:pPr>
      <w:r>
        <w:rPr>
          <w:sz w:val="26"/>
          <w:szCs w:val="26"/>
        </w:rPr>
        <w:tab/>
      </w:r>
      <w:r w:rsidRPr="00CC0F04">
        <w:rPr>
          <w:rStyle w:val="FootnoteReference"/>
          <w:sz w:val="26"/>
          <w:szCs w:val="26"/>
        </w:rPr>
        <w:footnoteRef/>
      </w:r>
      <w:r w:rsidRPr="00CC0F04">
        <w:rPr>
          <w:sz w:val="26"/>
          <w:szCs w:val="26"/>
        </w:rPr>
        <w:t xml:space="preserve"> </w:t>
      </w:r>
      <w:r>
        <w:rPr>
          <w:sz w:val="26"/>
          <w:szCs w:val="26"/>
        </w:rPr>
        <w:tab/>
      </w:r>
      <w:r w:rsidRPr="002915C6">
        <w:rPr>
          <w:sz w:val="26"/>
          <w:szCs w:val="26"/>
        </w:rPr>
        <w:t xml:space="preserve">Aqua selected Gannett Fleming Valuation and Rate Consultants, LLC and </w:t>
      </w:r>
      <w:r>
        <w:rPr>
          <w:sz w:val="26"/>
          <w:szCs w:val="26"/>
        </w:rPr>
        <w:t>the Township</w:t>
      </w:r>
      <w:r w:rsidRPr="002915C6">
        <w:rPr>
          <w:sz w:val="26"/>
          <w:szCs w:val="26"/>
        </w:rPr>
        <w:t xml:space="preserve"> selected Herbert, Rowland &amp; Grubic, Inc. (HRG) as their respective UVEs to prepare </w:t>
      </w:r>
      <w:r w:rsidR="00C54D4F">
        <w:rPr>
          <w:sz w:val="26"/>
          <w:szCs w:val="26"/>
        </w:rPr>
        <w:t>FMV</w:t>
      </w:r>
      <w:r w:rsidRPr="002915C6">
        <w:rPr>
          <w:sz w:val="26"/>
          <w:szCs w:val="26"/>
        </w:rPr>
        <w:t xml:space="preserve"> appraisals of Limerick’s sewage collection and treatment system assets.  Based on Gannett’s appraisal, the </w:t>
      </w:r>
      <w:r w:rsidR="00C54D4F">
        <w:rPr>
          <w:sz w:val="26"/>
          <w:szCs w:val="26"/>
        </w:rPr>
        <w:t>FMV</w:t>
      </w:r>
      <w:r w:rsidRPr="002915C6">
        <w:rPr>
          <w:sz w:val="26"/>
          <w:szCs w:val="26"/>
        </w:rPr>
        <w:t xml:space="preserve"> for </w:t>
      </w:r>
      <w:r>
        <w:rPr>
          <w:sz w:val="26"/>
          <w:szCs w:val="26"/>
        </w:rPr>
        <w:t>the Township</w:t>
      </w:r>
      <w:r w:rsidRPr="002915C6">
        <w:rPr>
          <w:sz w:val="26"/>
          <w:szCs w:val="26"/>
        </w:rPr>
        <w:t xml:space="preserve">’s wastewater system was $80,098,000.  HRG calculated a fair market value of $76,890,000.  The </w:t>
      </w:r>
      <w:r w:rsidR="00C54D4F">
        <w:rPr>
          <w:sz w:val="26"/>
          <w:szCs w:val="26"/>
        </w:rPr>
        <w:t>FMV</w:t>
      </w:r>
      <w:r w:rsidRPr="002915C6">
        <w:rPr>
          <w:sz w:val="26"/>
          <w:szCs w:val="26"/>
        </w:rPr>
        <w:t xml:space="preserve"> average of the two appraisals was $78,494,000.  Application at 15.</w:t>
      </w:r>
    </w:p>
  </w:footnote>
  <w:footnote w:id="7">
    <w:p w14:paraId="48D9BA90" w14:textId="77777777" w:rsidR="006660C8" w:rsidRPr="009D5545" w:rsidRDefault="006660C8">
      <w:pPr>
        <w:pStyle w:val="FootnoteText"/>
        <w:rPr>
          <w:sz w:val="26"/>
          <w:szCs w:val="26"/>
        </w:rPr>
      </w:pPr>
      <w:r>
        <w:rPr>
          <w:sz w:val="26"/>
          <w:szCs w:val="26"/>
        </w:rPr>
        <w:tab/>
      </w:r>
      <w:r w:rsidRPr="009D5545">
        <w:rPr>
          <w:rStyle w:val="FootnoteReference"/>
          <w:sz w:val="26"/>
          <w:szCs w:val="26"/>
        </w:rPr>
        <w:footnoteRef/>
      </w:r>
      <w:r w:rsidRPr="009D5545">
        <w:rPr>
          <w:sz w:val="26"/>
          <w:szCs w:val="26"/>
        </w:rPr>
        <w:t xml:space="preserve"> </w:t>
      </w:r>
      <w:r>
        <w:rPr>
          <w:sz w:val="26"/>
          <w:szCs w:val="26"/>
        </w:rPr>
        <w:tab/>
        <w:t xml:space="preserve">Since the Petition does not specifically address our disposition of these Exceptions, we will not discuss them herein.  For a full discussion of the rate base valuation adjustments, see pages 35 to 67 of our </w:t>
      </w:r>
      <w:r w:rsidRPr="00612702">
        <w:rPr>
          <w:i/>
          <w:sz w:val="26"/>
          <w:szCs w:val="26"/>
        </w:rPr>
        <w:t>November 2017 Order</w:t>
      </w:r>
      <w:r>
        <w:rPr>
          <w:sz w:val="26"/>
          <w:szCs w:val="26"/>
        </w:rPr>
        <w:t xml:space="preserve">.  </w:t>
      </w:r>
    </w:p>
  </w:footnote>
  <w:footnote w:id="8">
    <w:p w14:paraId="63D70C83" w14:textId="77777777" w:rsidR="006660C8" w:rsidRPr="00A043A5" w:rsidRDefault="006660C8">
      <w:pPr>
        <w:pStyle w:val="FootnoteText"/>
        <w:rPr>
          <w:sz w:val="26"/>
          <w:szCs w:val="26"/>
        </w:rPr>
      </w:pPr>
      <w:r>
        <w:rPr>
          <w:sz w:val="26"/>
          <w:szCs w:val="26"/>
        </w:rPr>
        <w:tab/>
      </w:r>
      <w:r w:rsidRPr="00A043A5">
        <w:rPr>
          <w:rStyle w:val="FootnoteReference"/>
          <w:sz w:val="26"/>
          <w:szCs w:val="26"/>
        </w:rPr>
        <w:footnoteRef/>
      </w:r>
      <w:r w:rsidRPr="00A043A5">
        <w:rPr>
          <w:sz w:val="26"/>
          <w:szCs w:val="26"/>
        </w:rPr>
        <w:t xml:space="preserve"> </w:t>
      </w:r>
      <w:r>
        <w:rPr>
          <w:sz w:val="26"/>
          <w:szCs w:val="26"/>
        </w:rPr>
        <w:tab/>
        <w:t xml:space="preserve">For a full discussion of these issues, which are not raised in the Petition, </w:t>
      </w:r>
      <w:r w:rsidR="00A43842">
        <w:rPr>
          <w:sz w:val="26"/>
          <w:szCs w:val="26"/>
        </w:rPr>
        <w:t xml:space="preserve">and our disposition of these issues, </w:t>
      </w:r>
      <w:r>
        <w:rPr>
          <w:sz w:val="26"/>
          <w:szCs w:val="26"/>
        </w:rPr>
        <w:t xml:space="preserve">see pages 70 to 81 of our </w:t>
      </w:r>
      <w:r w:rsidRPr="00612702">
        <w:rPr>
          <w:i/>
          <w:sz w:val="26"/>
          <w:szCs w:val="26"/>
        </w:rPr>
        <w:t>November 2017 Order</w:t>
      </w:r>
      <w:r>
        <w:rPr>
          <w:sz w:val="26"/>
          <w:szCs w:val="2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F5BDE"/>
    <w:multiLevelType w:val="hybridMultilevel"/>
    <w:tmpl w:val="490E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718B4"/>
    <w:multiLevelType w:val="hybridMultilevel"/>
    <w:tmpl w:val="2A2AE1C0"/>
    <w:lvl w:ilvl="0" w:tplc="2AEAA9B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7686FC5"/>
    <w:multiLevelType w:val="hybridMultilevel"/>
    <w:tmpl w:val="47BC4890"/>
    <w:lvl w:ilvl="0" w:tplc="5E52F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E6C68"/>
    <w:multiLevelType w:val="hybridMultilevel"/>
    <w:tmpl w:val="C6E27F64"/>
    <w:lvl w:ilvl="0" w:tplc="AB3226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20F079C"/>
    <w:multiLevelType w:val="hybridMultilevel"/>
    <w:tmpl w:val="09C8A644"/>
    <w:lvl w:ilvl="0" w:tplc="D94A90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F7B5A1D"/>
    <w:multiLevelType w:val="hybridMultilevel"/>
    <w:tmpl w:val="FB3A9230"/>
    <w:lvl w:ilvl="0" w:tplc="B32AF6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8"/>
  </w:num>
  <w:num w:numId="5">
    <w:abstractNumId w:val="7"/>
  </w:num>
  <w:num w:numId="6">
    <w:abstractNumId w:val="0"/>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EC"/>
    <w:rsid w:val="00000D47"/>
    <w:rsid w:val="0000153D"/>
    <w:rsid w:val="0000168F"/>
    <w:rsid w:val="00001FC8"/>
    <w:rsid w:val="00004D03"/>
    <w:rsid w:val="00005318"/>
    <w:rsid w:val="000065FB"/>
    <w:rsid w:val="00006685"/>
    <w:rsid w:val="00006A65"/>
    <w:rsid w:val="00006C63"/>
    <w:rsid w:val="00006F35"/>
    <w:rsid w:val="00006FEE"/>
    <w:rsid w:val="0000721A"/>
    <w:rsid w:val="0000744A"/>
    <w:rsid w:val="00007AF7"/>
    <w:rsid w:val="00007ECA"/>
    <w:rsid w:val="00011CB0"/>
    <w:rsid w:val="00013358"/>
    <w:rsid w:val="000140CA"/>
    <w:rsid w:val="00014E95"/>
    <w:rsid w:val="00016D57"/>
    <w:rsid w:val="00017852"/>
    <w:rsid w:val="00020EF6"/>
    <w:rsid w:val="0002111A"/>
    <w:rsid w:val="00021E46"/>
    <w:rsid w:val="00022824"/>
    <w:rsid w:val="00022B74"/>
    <w:rsid w:val="0002315D"/>
    <w:rsid w:val="00024F85"/>
    <w:rsid w:val="0002501D"/>
    <w:rsid w:val="0002524C"/>
    <w:rsid w:val="00025462"/>
    <w:rsid w:val="00025F3F"/>
    <w:rsid w:val="00026CD2"/>
    <w:rsid w:val="00030F6D"/>
    <w:rsid w:val="00033512"/>
    <w:rsid w:val="000338FE"/>
    <w:rsid w:val="00033D2F"/>
    <w:rsid w:val="0003468E"/>
    <w:rsid w:val="00034FAE"/>
    <w:rsid w:val="000357B3"/>
    <w:rsid w:val="000359E1"/>
    <w:rsid w:val="00035A3B"/>
    <w:rsid w:val="00037341"/>
    <w:rsid w:val="00037FC0"/>
    <w:rsid w:val="00040A8E"/>
    <w:rsid w:val="00040AEA"/>
    <w:rsid w:val="0004260F"/>
    <w:rsid w:val="000441C7"/>
    <w:rsid w:val="00044CDF"/>
    <w:rsid w:val="00045800"/>
    <w:rsid w:val="00045AE7"/>
    <w:rsid w:val="00046ABB"/>
    <w:rsid w:val="00047874"/>
    <w:rsid w:val="00047F4A"/>
    <w:rsid w:val="0005113F"/>
    <w:rsid w:val="00052325"/>
    <w:rsid w:val="000523D1"/>
    <w:rsid w:val="00052B8F"/>
    <w:rsid w:val="0005346D"/>
    <w:rsid w:val="00053670"/>
    <w:rsid w:val="000536BC"/>
    <w:rsid w:val="00054612"/>
    <w:rsid w:val="0005572E"/>
    <w:rsid w:val="00056286"/>
    <w:rsid w:val="00060ADE"/>
    <w:rsid w:val="000612FD"/>
    <w:rsid w:val="000623C6"/>
    <w:rsid w:val="0006266C"/>
    <w:rsid w:val="00062AB1"/>
    <w:rsid w:val="0006356A"/>
    <w:rsid w:val="000642AA"/>
    <w:rsid w:val="000649EC"/>
    <w:rsid w:val="000652AF"/>
    <w:rsid w:val="00065D0D"/>
    <w:rsid w:val="00066EE5"/>
    <w:rsid w:val="00067260"/>
    <w:rsid w:val="000715E8"/>
    <w:rsid w:val="0007209F"/>
    <w:rsid w:val="00072699"/>
    <w:rsid w:val="00072808"/>
    <w:rsid w:val="00073B30"/>
    <w:rsid w:val="0007521D"/>
    <w:rsid w:val="000753F6"/>
    <w:rsid w:val="00076F35"/>
    <w:rsid w:val="00081416"/>
    <w:rsid w:val="00081907"/>
    <w:rsid w:val="00083125"/>
    <w:rsid w:val="00084573"/>
    <w:rsid w:val="0008490E"/>
    <w:rsid w:val="00084AF9"/>
    <w:rsid w:val="000855C1"/>
    <w:rsid w:val="00085E6F"/>
    <w:rsid w:val="00086D8B"/>
    <w:rsid w:val="00087299"/>
    <w:rsid w:val="000878C9"/>
    <w:rsid w:val="00090E36"/>
    <w:rsid w:val="000918D4"/>
    <w:rsid w:val="0009287D"/>
    <w:rsid w:val="00093164"/>
    <w:rsid w:val="00093CF9"/>
    <w:rsid w:val="00094851"/>
    <w:rsid w:val="0009612D"/>
    <w:rsid w:val="00097464"/>
    <w:rsid w:val="00097504"/>
    <w:rsid w:val="000A013F"/>
    <w:rsid w:val="000A04E0"/>
    <w:rsid w:val="000A06E0"/>
    <w:rsid w:val="000A1358"/>
    <w:rsid w:val="000A184D"/>
    <w:rsid w:val="000A35C0"/>
    <w:rsid w:val="000A365D"/>
    <w:rsid w:val="000A443E"/>
    <w:rsid w:val="000A62B9"/>
    <w:rsid w:val="000A75CC"/>
    <w:rsid w:val="000A76C2"/>
    <w:rsid w:val="000B0684"/>
    <w:rsid w:val="000B216D"/>
    <w:rsid w:val="000B2755"/>
    <w:rsid w:val="000B349C"/>
    <w:rsid w:val="000B363C"/>
    <w:rsid w:val="000B41CC"/>
    <w:rsid w:val="000B4EAE"/>
    <w:rsid w:val="000B5206"/>
    <w:rsid w:val="000B5238"/>
    <w:rsid w:val="000B5807"/>
    <w:rsid w:val="000B607A"/>
    <w:rsid w:val="000B6B15"/>
    <w:rsid w:val="000B72CF"/>
    <w:rsid w:val="000B7419"/>
    <w:rsid w:val="000B7444"/>
    <w:rsid w:val="000C07BC"/>
    <w:rsid w:val="000C0DC3"/>
    <w:rsid w:val="000C2AE3"/>
    <w:rsid w:val="000C31E4"/>
    <w:rsid w:val="000C4E94"/>
    <w:rsid w:val="000C5927"/>
    <w:rsid w:val="000C67F5"/>
    <w:rsid w:val="000C709A"/>
    <w:rsid w:val="000C7255"/>
    <w:rsid w:val="000D008C"/>
    <w:rsid w:val="000D02FE"/>
    <w:rsid w:val="000D0A77"/>
    <w:rsid w:val="000D29C8"/>
    <w:rsid w:val="000D394D"/>
    <w:rsid w:val="000D3CAA"/>
    <w:rsid w:val="000D3E1C"/>
    <w:rsid w:val="000D6CC1"/>
    <w:rsid w:val="000D6E1E"/>
    <w:rsid w:val="000D7A78"/>
    <w:rsid w:val="000E0295"/>
    <w:rsid w:val="000E27F5"/>
    <w:rsid w:val="000E6A6A"/>
    <w:rsid w:val="000E6DC6"/>
    <w:rsid w:val="000F0B15"/>
    <w:rsid w:val="000F179E"/>
    <w:rsid w:val="000F1D3B"/>
    <w:rsid w:val="000F1DC2"/>
    <w:rsid w:val="000F21C3"/>
    <w:rsid w:val="000F2261"/>
    <w:rsid w:val="000F27FE"/>
    <w:rsid w:val="000F2DE3"/>
    <w:rsid w:val="000F3144"/>
    <w:rsid w:val="000F4307"/>
    <w:rsid w:val="000F5236"/>
    <w:rsid w:val="001006A8"/>
    <w:rsid w:val="00100F06"/>
    <w:rsid w:val="00101387"/>
    <w:rsid w:val="0010147F"/>
    <w:rsid w:val="0010158F"/>
    <w:rsid w:val="001017F6"/>
    <w:rsid w:val="00101F51"/>
    <w:rsid w:val="00101F7F"/>
    <w:rsid w:val="001026CA"/>
    <w:rsid w:val="00102E27"/>
    <w:rsid w:val="001035AF"/>
    <w:rsid w:val="00103797"/>
    <w:rsid w:val="0010425F"/>
    <w:rsid w:val="00104D61"/>
    <w:rsid w:val="00104D9B"/>
    <w:rsid w:val="00105BAD"/>
    <w:rsid w:val="00105C8E"/>
    <w:rsid w:val="001062CD"/>
    <w:rsid w:val="00106312"/>
    <w:rsid w:val="00107388"/>
    <w:rsid w:val="001106DA"/>
    <w:rsid w:val="001115A5"/>
    <w:rsid w:val="001123D8"/>
    <w:rsid w:val="001129F3"/>
    <w:rsid w:val="00112E9E"/>
    <w:rsid w:val="00112FDA"/>
    <w:rsid w:val="00113713"/>
    <w:rsid w:val="001138D3"/>
    <w:rsid w:val="00114656"/>
    <w:rsid w:val="0011757D"/>
    <w:rsid w:val="00117A05"/>
    <w:rsid w:val="00117CB2"/>
    <w:rsid w:val="00120B39"/>
    <w:rsid w:val="00120B8F"/>
    <w:rsid w:val="00120CC2"/>
    <w:rsid w:val="00120D10"/>
    <w:rsid w:val="00120DE1"/>
    <w:rsid w:val="0012370F"/>
    <w:rsid w:val="001238E5"/>
    <w:rsid w:val="001239CD"/>
    <w:rsid w:val="00123A2E"/>
    <w:rsid w:val="00124071"/>
    <w:rsid w:val="001248B0"/>
    <w:rsid w:val="001253FB"/>
    <w:rsid w:val="001266DB"/>
    <w:rsid w:val="001267D4"/>
    <w:rsid w:val="0012696F"/>
    <w:rsid w:val="00126D2F"/>
    <w:rsid w:val="00126D31"/>
    <w:rsid w:val="00127062"/>
    <w:rsid w:val="001303B4"/>
    <w:rsid w:val="001307FE"/>
    <w:rsid w:val="00131320"/>
    <w:rsid w:val="0013264B"/>
    <w:rsid w:val="0013269E"/>
    <w:rsid w:val="00134395"/>
    <w:rsid w:val="00135972"/>
    <w:rsid w:val="001360FC"/>
    <w:rsid w:val="001361D7"/>
    <w:rsid w:val="001400A9"/>
    <w:rsid w:val="0014096A"/>
    <w:rsid w:val="001414CD"/>
    <w:rsid w:val="00142CF7"/>
    <w:rsid w:val="001431E9"/>
    <w:rsid w:val="00143A55"/>
    <w:rsid w:val="001447A0"/>
    <w:rsid w:val="0014497F"/>
    <w:rsid w:val="00144F43"/>
    <w:rsid w:val="00145197"/>
    <w:rsid w:val="00146064"/>
    <w:rsid w:val="00146DDD"/>
    <w:rsid w:val="00146E58"/>
    <w:rsid w:val="00147145"/>
    <w:rsid w:val="001476D4"/>
    <w:rsid w:val="00150096"/>
    <w:rsid w:val="00150554"/>
    <w:rsid w:val="001508E4"/>
    <w:rsid w:val="001515A8"/>
    <w:rsid w:val="001526C2"/>
    <w:rsid w:val="00152DFB"/>
    <w:rsid w:val="00153032"/>
    <w:rsid w:val="0015380A"/>
    <w:rsid w:val="00153A46"/>
    <w:rsid w:val="00153B10"/>
    <w:rsid w:val="001542D1"/>
    <w:rsid w:val="00154A9D"/>
    <w:rsid w:val="00154CB6"/>
    <w:rsid w:val="00155BCE"/>
    <w:rsid w:val="00156329"/>
    <w:rsid w:val="00156ACC"/>
    <w:rsid w:val="001576D9"/>
    <w:rsid w:val="00157C40"/>
    <w:rsid w:val="00163D79"/>
    <w:rsid w:val="001645C9"/>
    <w:rsid w:val="00164D32"/>
    <w:rsid w:val="00164DA4"/>
    <w:rsid w:val="00166298"/>
    <w:rsid w:val="001663C8"/>
    <w:rsid w:val="00167F46"/>
    <w:rsid w:val="00170708"/>
    <w:rsid w:val="0017079E"/>
    <w:rsid w:val="001708D6"/>
    <w:rsid w:val="0017211B"/>
    <w:rsid w:val="001728FC"/>
    <w:rsid w:val="00172A96"/>
    <w:rsid w:val="00172AB2"/>
    <w:rsid w:val="00174D3D"/>
    <w:rsid w:val="00174E3F"/>
    <w:rsid w:val="00175A70"/>
    <w:rsid w:val="0017682B"/>
    <w:rsid w:val="001768BE"/>
    <w:rsid w:val="00177F78"/>
    <w:rsid w:val="00181222"/>
    <w:rsid w:val="00182478"/>
    <w:rsid w:val="00182607"/>
    <w:rsid w:val="0018274A"/>
    <w:rsid w:val="001831AC"/>
    <w:rsid w:val="00183ECA"/>
    <w:rsid w:val="0018480F"/>
    <w:rsid w:val="0018583E"/>
    <w:rsid w:val="00185B0D"/>
    <w:rsid w:val="001867E7"/>
    <w:rsid w:val="00186A97"/>
    <w:rsid w:val="00186C68"/>
    <w:rsid w:val="00187930"/>
    <w:rsid w:val="0019056C"/>
    <w:rsid w:val="00190992"/>
    <w:rsid w:val="00190CD8"/>
    <w:rsid w:val="00191763"/>
    <w:rsid w:val="00192F59"/>
    <w:rsid w:val="00194031"/>
    <w:rsid w:val="00194940"/>
    <w:rsid w:val="00194E02"/>
    <w:rsid w:val="0019530E"/>
    <w:rsid w:val="00195C58"/>
    <w:rsid w:val="00195D34"/>
    <w:rsid w:val="00195F2E"/>
    <w:rsid w:val="001961E0"/>
    <w:rsid w:val="001A04E7"/>
    <w:rsid w:val="001A1625"/>
    <w:rsid w:val="001A16F3"/>
    <w:rsid w:val="001A280F"/>
    <w:rsid w:val="001A6302"/>
    <w:rsid w:val="001B0C7B"/>
    <w:rsid w:val="001B1151"/>
    <w:rsid w:val="001B1DB4"/>
    <w:rsid w:val="001B2603"/>
    <w:rsid w:val="001B5865"/>
    <w:rsid w:val="001B59F0"/>
    <w:rsid w:val="001B6C39"/>
    <w:rsid w:val="001C0809"/>
    <w:rsid w:val="001C0ACD"/>
    <w:rsid w:val="001C1183"/>
    <w:rsid w:val="001C1C70"/>
    <w:rsid w:val="001C1F06"/>
    <w:rsid w:val="001C4978"/>
    <w:rsid w:val="001C633B"/>
    <w:rsid w:val="001C712F"/>
    <w:rsid w:val="001C7AAE"/>
    <w:rsid w:val="001D0ED2"/>
    <w:rsid w:val="001D0FC4"/>
    <w:rsid w:val="001D1515"/>
    <w:rsid w:val="001D1D6B"/>
    <w:rsid w:val="001D25F3"/>
    <w:rsid w:val="001D3751"/>
    <w:rsid w:val="001D38E9"/>
    <w:rsid w:val="001D3E75"/>
    <w:rsid w:val="001D4BB5"/>
    <w:rsid w:val="001D537B"/>
    <w:rsid w:val="001D6778"/>
    <w:rsid w:val="001D69F4"/>
    <w:rsid w:val="001E0962"/>
    <w:rsid w:val="001E0B61"/>
    <w:rsid w:val="001E1276"/>
    <w:rsid w:val="001E1FD6"/>
    <w:rsid w:val="001E250E"/>
    <w:rsid w:val="001E2949"/>
    <w:rsid w:val="001E4E3F"/>
    <w:rsid w:val="001E55DB"/>
    <w:rsid w:val="001E59C3"/>
    <w:rsid w:val="001E60EE"/>
    <w:rsid w:val="001E6885"/>
    <w:rsid w:val="001F0509"/>
    <w:rsid w:val="001F07E9"/>
    <w:rsid w:val="001F0B48"/>
    <w:rsid w:val="001F285E"/>
    <w:rsid w:val="001F2D64"/>
    <w:rsid w:val="001F3580"/>
    <w:rsid w:val="001F43D6"/>
    <w:rsid w:val="001F4BCA"/>
    <w:rsid w:val="001F4E8C"/>
    <w:rsid w:val="001F62CE"/>
    <w:rsid w:val="001F6324"/>
    <w:rsid w:val="001F67C2"/>
    <w:rsid w:val="00202524"/>
    <w:rsid w:val="00202A4F"/>
    <w:rsid w:val="00202B57"/>
    <w:rsid w:val="00203F94"/>
    <w:rsid w:val="0020580B"/>
    <w:rsid w:val="0020644D"/>
    <w:rsid w:val="00206592"/>
    <w:rsid w:val="00207A51"/>
    <w:rsid w:val="00210736"/>
    <w:rsid w:val="00210F81"/>
    <w:rsid w:val="00211622"/>
    <w:rsid w:val="00213C5D"/>
    <w:rsid w:val="00214B3E"/>
    <w:rsid w:val="00214E5F"/>
    <w:rsid w:val="002154E9"/>
    <w:rsid w:val="00215C08"/>
    <w:rsid w:val="0021693E"/>
    <w:rsid w:val="0021698B"/>
    <w:rsid w:val="00216A86"/>
    <w:rsid w:val="00217B3B"/>
    <w:rsid w:val="0022004A"/>
    <w:rsid w:val="00221533"/>
    <w:rsid w:val="00221BF0"/>
    <w:rsid w:val="00221F1A"/>
    <w:rsid w:val="00222688"/>
    <w:rsid w:val="00223CD5"/>
    <w:rsid w:val="00224808"/>
    <w:rsid w:val="00224D3E"/>
    <w:rsid w:val="0022698E"/>
    <w:rsid w:val="002275F3"/>
    <w:rsid w:val="002276B4"/>
    <w:rsid w:val="00227912"/>
    <w:rsid w:val="002279C0"/>
    <w:rsid w:val="002305D8"/>
    <w:rsid w:val="002311C3"/>
    <w:rsid w:val="002311EE"/>
    <w:rsid w:val="00233488"/>
    <w:rsid w:val="0023595F"/>
    <w:rsid w:val="002370F5"/>
    <w:rsid w:val="00237AC9"/>
    <w:rsid w:val="00237E48"/>
    <w:rsid w:val="0024007E"/>
    <w:rsid w:val="0024088A"/>
    <w:rsid w:val="00240A3A"/>
    <w:rsid w:val="00240ACA"/>
    <w:rsid w:val="00240D7B"/>
    <w:rsid w:val="00241299"/>
    <w:rsid w:val="0024270C"/>
    <w:rsid w:val="002428CB"/>
    <w:rsid w:val="00242B89"/>
    <w:rsid w:val="0024337C"/>
    <w:rsid w:val="00243405"/>
    <w:rsid w:val="0024399A"/>
    <w:rsid w:val="00244EBA"/>
    <w:rsid w:val="00246C59"/>
    <w:rsid w:val="002506D5"/>
    <w:rsid w:val="00251918"/>
    <w:rsid w:val="00252EC5"/>
    <w:rsid w:val="00254995"/>
    <w:rsid w:val="00255462"/>
    <w:rsid w:val="00256233"/>
    <w:rsid w:val="00256BA9"/>
    <w:rsid w:val="00256D29"/>
    <w:rsid w:val="00257D32"/>
    <w:rsid w:val="002603D9"/>
    <w:rsid w:val="00260957"/>
    <w:rsid w:val="00262D9F"/>
    <w:rsid w:val="00263C1B"/>
    <w:rsid w:val="002643F9"/>
    <w:rsid w:val="00264646"/>
    <w:rsid w:val="00264FA8"/>
    <w:rsid w:val="00266538"/>
    <w:rsid w:val="00266D46"/>
    <w:rsid w:val="00267175"/>
    <w:rsid w:val="00267188"/>
    <w:rsid w:val="00267B63"/>
    <w:rsid w:val="00270DFB"/>
    <w:rsid w:val="00271BBD"/>
    <w:rsid w:val="0027232D"/>
    <w:rsid w:val="00272BD5"/>
    <w:rsid w:val="00273447"/>
    <w:rsid w:val="002745E8"/>
    <w:rsid w:val="00274D0F"/>
    <w:rsid w:val="00275037"/>
    <w:rsid w:val="002761D3"/>
    <w:rsid w:val="00277500"/>
    <w:rsid w:val="00277BF4"/>
    <w:rsid w:val="0028125E"/>
    <w:rsid w:val="002818FA"/>
    <w:rsid w:val="00281A5F"/>
    <w:rsid w:val="00283539"/>
    <w:rsid w:val="00285073"/>
    <w:rsid w:val="002859FB"/>
    <w:rsid w:val="00285A8E"/>
    <w:rsid w:val="00285DEC"/>
    <w:rsid w:val="00286639"/>
    <w:rsid w:val="00286A80"/>
    <w:rsid w:val="0028701F"/>
    <w:rsid w:val="002871C0"/>
    <w:rsid w:val="00287681"/>
    <w:rsid w:val="00287DA9"/>
    <w:rsid w:val="00287EF7"/>
    <w:rsid w:val="00291F2F"/>
    <w:rsid w:val="00291F68"/>
    <w:rsid w:val="0029235E"/>
    <w:rsid w:val="002924DD"/>
    <w:rsid w:val="00293095"/>
    <w:rsid w:val="00294BD5"/>
    <w:rsid w:val="0029672A"/>
    <w:rsid w:val="00296998"/>
    <w:rsid w:val="00296F64"/>
    <w:rsid w:val="00297B94"/>
    <w:rsid w:val="002A060A"/>
    <w:rsid w:val="002A2627"/>
    <w:rsid w:val="002A2BEB"/>
    <w:rsid w:val="002A4450"/>
    <w:rsid w:val="002A5205"/>
    <w:rsid w:val="002A60F1"/>
    <w:rsid w:val="002A6750"/>
    <w:rsid w:val="002B054E"/>
    <w:rsid w:val="002B17E9"/>
    <w:rsid w:val="002B2296"/>
    <w:rsid w:val="002B28A9"/>
    <w:rsid w:val="002B3040"/>
    <w:rsid w:val="002B333B"/>
    <w:rsid w:val="002B381F"/>
    <w:rsid w:val="002B4407"/>
    <w:rsid w:val="002B5E71"/>
    <w:rsid w:val="002B67B7"/>
    <w:rsid w:val="002B7CBE"/>
    <w:rsid w:val="002C0429"/>
    <w:rsid w:val="002C16BE"/>
    <w:rsid w:val="002C19E4"/>
    <w:rsid w:val="002C1CCB"/>
    <w:rsid w:val="002C257A"/>
    <w:rsid w:val="002C3447"/>
    <w:rsid w:val="002C3676"/>
    <w:rsid w:val="002C4049"/>
    <w:rsid w:val="002C4097"/>
    <w:rsid w:val="002C6CC4"/>
    <w:rsid w:val="002C7166"/>
    <w:rsid w:val="002C7582"/>
    <w:rsid w:val="002D13C4"/>
    <w:rsid w:val="002D1791"/>
    <w:rsid w:val="002D275E"/>
    <w:rsid w:val="002D2782"/>
    <w:rsid w:val="002D2A1D"/>
    <w:rsid w:val="002D2B52"/>
    <w:rsid w:val="002D313F"/>
    <w:rsid w:val="002D33D1"/>
    <w:rsid w:val="002D41DB"/>
    <w:rsid w:val="002D5320"/>
    <w:rsid w:val="002D6357"/>
    <w:rsid w:val="002D7584"/>
    <w:rsid w:val="002D7A10"/>
    <w:rsid w:val="002E01A0"/>
    <w:rsid w:val="002E039A"/>
    <w:rsid w:val="002E0A68"/>
    <w:rsid w:val="002E0FA9"/>
    <w:rsid w:val="002E3026"/>
    <w:rsid w:val="002E3598"/>
    <w:rsid w:val="002E3F06"/>
    <w:rsid w:val="002E48BF"/>
    <w:rsid w:val="002E4A4B"/>
    <w:rsid w:val="002E5839"/>
    <w:rsid w:val="002E64EB"/>
    <w:rsid w:val="002E6FFA"/>
    <w:rsid w:val="002E7BAB"/>
    <w:rsid w:val="002E7F8F"/>
    <w:rsid w:val="002F07D2"/>
    <w:rsid w:val="002F0FF5"/>
    <w:rsid w:val="002F112F"/>
    <w:rsid w:val="002F1875"/>
    <w:rsid w:val="002F1A77"/>
    <w:rsid w:val="002F24F7"/>
    <w:rsid w:val="002F3192"/>
    <w:rsid w:val="002F3F04"/>
    <w:rsid w:val="002F41BA"/>
    <w:rsid w:val="002F490A"/>
    <w:rsid w:val="002F6373"/>
    <w:rsid w:val="002F662D"/>
    <w:rsid w:val="002F7249"/>
    <w:rsid w:val="002F750E"/>
    <w:rsid w:val="00300AD2"/>
    <w:rsid w:val="00300B0B"/>
    <w:rsid w:val="00300C2E"/>
    <w:rsid w:val="003018AA"/>
    <w:rsid w:val="003023F1"/>
    <w:rsid w:val="0030241F"/>
    <w:rsid w:val="00303568"/>
    <w:rsid w:val="00303B99"/>
    <w:rsid w:val="0030538D"/>
    <w:rsid w:val="0030714F"/>
    <w:rsid w:val="003073E2"/>
    <w:rsid w:val="0030767B"/>
    <w:rsid w:val="00307DDF"/>
    <w:rsid w:val="00310551"/>
    <w:rsid w:val="003116B2"/>
    <w:rsid w:val="003134B2"/>
    <w:rsid w:val="00313706"/>
    <w:rsid w:val="00313E78"/>
    <w:rsid w:val="0031435F"/>
    <w:rsid w:val="00314A43"/>
    <w:rsid w:val="00314F09"/>
    <w:rsid w:val="00315102"/>
    <w:rsid w:val="00315A0E"/>
    <w:rsid w:val="003169F2"/>
    <w:rsid w:val="00320F55"/>
    <w:rsid w:val="00320FE4"/>
    <w:rsid w:val="00321073"/>
    <w:rsid w:val="00322040"/>
    <w:rsid w:val="003230C8"/>
    <w:rsid w:val="003240B8"/>
    <w:rsid w:val="00325422"/>
    <w:rsid w:val="003258AF"/>
    <w:rsid w:val="003268C2"/>
    <w:rsid w:val="003274A1"/>
    <w:rsid w:val="00331EB6"/>
    <w:rsid w:val="003322C4"/>
    <w:rsid w:val="00333FDA"/>
    <w:rsid w:val="003340DE"/>
    <w:rsid w:val="00334887"/>
    <w:rsid w:val="00335955"/>
    <w:rsid w:val="003359B5"/>
    <w:rsid w:val="00336277"/>
    <w:rsid w:val="0033657E"/>
    <w:rsid w:val="0034009C"/>
    <w:rsid w:val="003402F4"/>
    <w:rsid w:val="00340D19"/>
    <w:rsid w:val="00341FF1"/>
    <w:rsid w:val="00342581"/>
    <w:rsid w:val="00342956"/>
    <w:rsid w:val="00343D54"/>
    <w:rsid w:val="00343EC0"/>
    <w:rsid w:val="00344804"/>
    <w:rsid w:val="003468E7"/>
    <w:rsid w:val="00346C09"/>
    <w:rsid w:val="00346C47"/>
    <w:rsid w:val="00347A1F"/>
    <w:rsid w:val="003510FF"/>
    <w:rsid w:val="003518C8"/>
    <w:rsid w:val="00351E02"/>
    <w:rsid w:val="00352BC7"/>
    <w:rsid w:val="00353107"/>
    <w:rsid w:val="0035338B"/>
    <w:rsid w:val="003533B5"/>
    <w:rsid w:val="003534D0"/>
    <w:rsid w:val="00353CE3"/>
    <w:rsid w:val="003542D3"/>
    <w:rsid w:val="0035453F"/>
    <w:rsid w:val="003553F8"/>
    <w:rsid w:val="00355A2F"/>
    <w:rsid w:val="00355C36"/>
    <w:rsid w:val="00355EA8"/>
    <w:rsid w:val="00356024"/>
    <w:rsid w:val="00356C12"/>
    <w:rsid w:val="0035728C"/>
    <w:rsid w:val="0036063F"/>
    <w:rsid w:val="00361DD8"/>
    <w:rsid w:val="00361F8D"/>
    <w:rsid w:val="003622CA"/>
    <w:rsid w:val="003629F0"/>
    <w:rsid w:val="00363030"/>
    <w:rsid w:val="003644A9"/>
    <w:rsid w:val="0036462C"/>
    <w:rsid w:val="00364A42"/>
    <w:rsid w:val="00364CC8"/>
    <w:rsid w:val="003653A1"/>
    <w:rsid w:val="003656BC"/>
    <w:rsid w:val="00365ACC"/>
    <w:rsid w:val="00366342"/>
    <w:rsid w:val="003674CA"/>
    <w:rsid w:val="00370B21"/>
    <w:rsid w:val="0037352F"/>
    <w:rsid w:val="00373602"/>
    <w:rsid w:val="00374099"/>
    <w:rsid w:val="003743C4"/>
    <w:rsid w:val="003755FB"/>
    <w:rsid w:val="0037577C"/>
    <w:rsid w:val="00377862"/>
    <w:rsid w:val="00377DA4"/>
    <w:rsid w:val="0038188D"/>
    <w:rsid w:val="00382138"/>
    <w:rsid w:val="00382EFA"/>
    <w:rsid w:val="003841E8"/>
    <w:rsid w:val="00384AEA"/>
    <w:rsid w:val="00385502"/>
    <w:rsid w:val="00385526"/>
    <w:rsid w:val="003857E9"/>
    <w:rsid w:val="003863E7"/>
    <w:rsid w:val="003866CA"/>
    <w:rsid w:val="00386885"/>
    <w:rsid w:val="00387F52"/>
    <w:rsid w:val="0039043E"/>
    <w:rsid w:val="003904F7"/>
    <w:rsid w:val="0039085E"/>
    <w:rsid w:val="00391A43"/>
    <w:rsid w:val="00391CAA"/>
    <w:rsid w:val="003933D9"/>
    <w:rsid w:val="00396541"/>
    <w:rsid w:val="003A0A0B"/>
    <w:rsid w:val="003A1A55"/>
    <w:rsid w:val="003A1FBB"/>
    <w:rsid w:val="003A2191"/>
    <w:rsid w:val="003A31BD"/>
    <w:rsid w:val="003A3341"/>
    <w:rsid w:val="003A3AED"/>
    <w:rsid w:val="003A3C44"/>
    <w:rsid w:val="003A4BB5"/>
    <w:rsid w:val="003A534F"/>
    <w:rsid w:val="003A5623"/>
    <w:rsid w:val="003A7E3A"/>
    <w:rsid w:val="003B0611"/>
    <w:rsid w:val="003B0D66"/>
    <w:rsid w:val="003B0D72"/>
    <w:rsid w:val="003B2CB6"/>
    <w:rsid w:val="003B2F17"/>
    <w:rsid w:val="003B3617"/>
    <w:rsid w:val="003B42A1"/>
    <w:rsid w:val="003B42D9"/>
    <w:rsid w:val="003B7849"/>
    <w:rsid w:val="003C0583"/>
    <w:rsid w:val="003C06D8"/>
    <w:rsid w:val="003C0D63"/>
    <w:rsid w:val="003C3140"/>
    <w:rsid w:val="003C3E02"/>
    <w:rsid w:val="003C3FE8"/>
    <w:rsid w:val="003C4E1C"/>
    <w:rsid w:val="003C6112"/>
    <w:rsid w:val="003C73F9"/>
    <w:rsid w:val="003D2152"/>
    <w:rsid w:val="003D330B"/>
    <w:rsid w:val="003D3FAD"/>
    <w:rsid w:val="003D3FE9"/>
    <w:rsid w:val="003D5BFD"/>
    <w:rsid w:val="003D5F07"/>
    <w:rsid w:val="003D69C7"/>
    <w:rsid w:val="003D6AB5"/>
    <w:rsid w:val="003D70AF"/>
    <w:rsid w:val="003D7213"/>
    <w:rsid w:val="003D7A10"/>
    <w:rsid w:val="003E02E7"/>
    <w:rsid w:val="003E0330"/>
    <w:rsid w:val="003E071C"/>
    <w:rsid w:val="003E2EED"/>
    <w:rsid w:val="003E3FF5"/>
    <w:rsid w:val="003E4B34"/>
    <w:rsid w:val="003E5354"/>
    <w:rsid w:val="003E5C36"/>
    <w:rsid w:val="003E796C"/>
    <w:rsid w:val="003F1A16"/>
    <w:rsid w:val="003F2DF5"/>
    <w:rsid w:val="003F51F4"/>
    <w:rsid w:val="003F52C6"/>
    <w:rsid w:val="003F558E"/>
    <w:rsid w:val="003F5F39"/>
    <w:rsid w:val="003F6692"/>
    <w:rsid w:val="003F683A"/>
    <w:rsid w:val="003F7285"/>
    <w:rsid w:val="003F7B70"/>
    <w:rsid w:val="00400436"/>
    <w:rsid w:val="00401B27"/>
    <w:rsid w:val="00403D6E"/>
    <w:rsid w:val="00405083"/>
    <w:rsid w:val="0040571D"/>
    <w:rsid w:val="0040575B"/>
    <w:rsid w:val="004064EA"/>
    <w:rsid w:val="00406C48"/>
    <w:rsid w:val="00407451"/>
    <w:rsid w:val="00407AC0"/>
    <w:rsid w:val="00411814"/>
    <w:rsid w:val="00412E30"/>
    <w:rsid w:val="00413B67"/>
    <w:rsid w:val="00413BEB"/>
    <w:rsid w:val="00413FA9"/>
    <w:rsid w:val="00414907"/>
    <w:rsid w:val="00414B8E"/>
    <w:rsid w:val="00415341"/>
    <w:rsid w:val="00415B78"/>
    <w:rsid w:val="004166BD"/>
    <w:rsid w:val="00416876"/>
    <w:rsid w:val="004169A6"/>
    <w:rsid w:val="00416B4E"/>
    <w:rsid w:val="00416DDD"/>
    <w:rsid w:val="004170AF"/>
    <w:rsid w:val="004211B0"/>
    <w:rsid w:val="004222F5"/>
    <w:rsid w:val="00422C55"/>
    <w:rsid w:val="00423004"/>
    <w:rsid w:val="004234D2"/>
    <w:rsid w:val="00425049"/>
    <w:rsid w:val="00425698"/>
    <w:rsid w:val="00425ED2"/>
    <w:rsid w:val="004273D6"/>
    <w:rsid w:val="00427BEA"/>
    <w:rsid w:val="00431283"/>
    <w:rsid w:val="00431C4F"/>
    <w:rsid w:val="00431D60"/>
    <w:rsid w:val="00432A2F"/>
    <w:rsid w:val="00432BB7"/>
    <w:rsid w:val="004331E9"/>
    <w:rsid w:val="00433E8D"/>
    <w:rsid w:val="00434A60"/>
    <w:rsid w:val="00434E88"/>
    <w:rsid w:val="0043541B"/>
    <w:rsid w:val="0043592C"/>
    <w:rsid w:val="00436217"/>
    <w:rsid w:val="0044061D"/>
    <w:rsid w:val="004411B9"/>
    <w:rsid w:val="00441207"/>
    <w:rsid w:val="00441462"/>
    <w:rsid w:val="004422CA"/>
    <w:rsid w:val="00443807"/>
    <w:rsid w:val="004449AC"/>
    <w:rsid w:val="004462F7"/>
    <w:rsid w:val="004478E6"/>
    <w:rsid w:val="00450CA0"/>
    <w:rsid w:val="0045235C"/>
    <w:rsid w:val="004523FB"/>
    <w:rsid w:val="00452B26"/>
    <w:rsid w:val="00454F06"/>
    <w:rsid w:val="0045650D"/>
    <w:rsid w:val="0045786A"/>
    <w:rsid w:val="0046019D"/>
    <w:rsid w:val="0046137E"/>
    <w:rsid w:val="0046261F"/>
    <w:rsid w:val="00462B8F"/>
    <w:rsid w:val="00462C10"/>
    <w:rsid w:val="00464120"/>
    <w:rsid w:val="00464536"/>
    <w:rsid w:val="00464FDE"/>
    <w:rsid w:val="0046514E"/>
    <w:rsid w:val="00465716"/>
    <w:rsid w:val="0046623C"/>
    <w:rsid w:val="00466363"/>
    <w:rsid w:val="00467739"/>
    <w:rsid w:val="00470D0C"/>
    <w:rsid w:val="0047121B"/>
    <w:rsid w:val="004716AC"/>
    <w:rsid w:val="004726E1"/>
    <w:rsid w:val="00474E22"/>
    <w:rsid w:val="00475D86"/>
    <w:rsid w:val="0047608F"/>
    <w:rsid w:val="004762EF"/>
    <w:rsid w:val="00476554"/>
    <w:rsid w:val="004765F6"/>
    <w:rsid w:val="004770D4"/>
    <w:rsid w:val="0047739F"/>
    <w:rsid w:val="004813D4"/>
    <w:rsid w:val="00481DE3"/>
    <w:rsid w:val="00482DB7"/>
    <w:rsid w:val="00483108"/>
    <w:rsid w:val="00483A3F"/>
    <w:rsid w:val="00484130"/>
    <w:rsid w:val="00485279"/>
    <w:rsid w:val="00487A16"/>
    <w:rsid w:val="00487D9F"/>
    <w:rsid w:val="004912CE"/>
    <w:rsid w:val="00491D91"/>
    <w:rsid w:val="0049234D"/>
    <w:rsid w:val="00492DCE"/>
    <w:rsid w:val="0049580C"/>
    <w:rsid w:val="00496874"/>
    <w:rsid w:val="0049768F"/>
    <w:rsid w:val="004A04E5"/>
    <w:rsid w:val="004A0768"/>
    <w:rsid w:val="004A13AE"/>
    <w:rsid w:val="004A1495"/>
    <w:rsid w:val="004A166F"/>
    <w:rsid w:val="004A17BE"/>
    <w:rsid w:val="004A2089"/>
    <w:rsid w:val="004A2165"/>
    <w:rsid w:val="004A3E61"/>
    <w:rsid w:val="004A4993"/>
    <w:rsid w:val="004A5084"/>
    <w:rsid w:val="004A5DE5"/>
    <w:rsid w:val="004A5F74"/>
    <w:rsid w:val="004A6EC0"/>
    <w:rsid w:val="004B0043"/>
    <w:rsid w:val="004B0A41"/>
    <w:rsid w:val="004B1052"/>
    <w:rsid w:val="004B2ED5"/>
    <w:rsid w:val="004B35AF"/>
    <w:rsid w:val="004B4EBE"/>
    <w:rsid w:val="004B604A"/>
    <w:rsid w:val="004B6A8C"/>
    <w:rsid w:val="004B6B14"/>
    <w:rsid w:val="004C07BB"/>
    <w:rsid w:val="004C3390"/>
    <w:rsid w:val="004C4E4F"/>
    <w:rsid w:val="004C68A0"/>
    <w:rsid w:val="004C71FE"/>
    <w:rsid w:val="004C748A"/>
    <w:rsid w:val="004C7E94"/>
    <w:rsid w:val="004D1201"/>
    <w:rsid w:val="004D1D7C"/>
    <w:rsid w:val="004D227B"/>
    <w:rsid w:val="004D23CF"/>
    <w:rsid w:val="004D2D46"/>
    <w:rsid w:val="004D5EDC"/>
    <w:rsid w:val="004E2F9E"/>
    <w:rsid w:val="004E47EC"/>
    <w:rsid w:val="004E514F"/>
    <w:rsid w:val="004E6E06"/>
    <w:rsid w:val="004E737F"/>
    <w:rsid w:val="004E7D5B"/>
    <w:rsid w:val="004F03DE"/>
    <w:rsid w:val="004F1674"/>
    <w:rsid w:val="004F1B0C"/>
    <w:rsid w:val="004F22DA"/>
    <w:rsid w:val="004F2512"/>
    <w:rsid w:val="004F2B86"/>
    <w:rsid w:val="004F45EE"/>
    <w:rsid w:val="004F547D"/>
    <w:rsid w:val="004F5C6E"/>
    <w:rsid w:val="004F5D98"/>
    <w:rsid w:val="00500E33"/>
    <w:rsid w:val="00502165"/>
    <w:rsid w:val="005022EF"/>
    <w:rsid w:val="005025D8"/>
    <w:rsid w:val="00503BED"/>
    <w:rsid w:val="00504834"/>
    <w:rsid w:val="00504C7A"/>
    <w:rsid w:val="00504F49"/>
    <w:rsid w:val="00505890"/>
    <w:rsid w:val="005058F3"/>
    <w:rsid w:val="00505AEE"/>
    <w:rsid w:val="00505FDF"/>
    <w:rsid w:val="0050632E"/>
    <w:rsid w:val="0050752D"/>
    <w:rsid w:val="00507733"/>
    <w:rsid w:val="0051132E"/>
    <w:rsid w:val="00511EF3"/>
    <w:rsid w:val="00512527"/>
    <w:rsid w:val="00512540"/>
    <w:rsid w:val="00512613"/>
    <w:rsid w:val="00513441"/>
    <w:rsid w:val="0051380C"/>
    <w:rsid w:val="00513C84"/>
    <w:rsid w:val="00514507"/>
    <w:rsid w:val="005148C2"/>
    <w:rsid w:val="00515320"/>
    <w:rsid w:val="005153F5"/>
    <w:rsid w:val="0051670B"/>
    <w:rsid w:val="005170EF"/>
    <w:rsid w:val="00521350"/>
    <w:rsid w:val="00521A8F"/>
    <w:rsid w:val="00523CA6"/>
    <w:rsid w:val="00525849"/>
    <w:rsid w:val="005262BC"/>
    <w:rsid w:val="005269E6"/>
    <w:rsid w:val="0052754E"/>
    <w:rsid w:val="00530BFA"/>
    <w:rsid w:val="00530E44"/>
    <w:rsid w:val="00530EE7"/>
    <w:rsid w:val="0053112A"/>
    <w:rsid w:val="00532271"/>
    <w:rsid w:val="00533F4D"/>
    <w:rsid w:val="0053460F"/>
    <w:rsid w:val="005351B9"/>
    <w:rsid w:val="00536011"/>
    <w:rsid w:val="00536401"/>
    <w:rsid w:val="00537F9D"/>
    <w:rsid w:val="00542437"/>
    <w:rsid w:val="00543C89"/>
    <w:rsid w:val="0054498C"/>
    <w:rsid w:val="00544ABA"/>
    <w:rsid w:val="005455DA"/>
    <w:rsid w:val="00545DB1"/>
    <w:rsid w:val="00547606"/>
    <w:rsid w:val="00547B9B"/>
    <w:rsid w:val="005500C7"/>
    <w:rsid w:val="00550B79"/>
    <w:rsid w:val="0055150B"/>
    <w:rsid w:val="005519A7"/>
    <w:rsid w:val="0055222E"/>
    <w:rsid w:val="0055315B"/>
    <w:rsid w:val="005532F9"/>
    <w:rsid w:val="0055440B"/>
    <w:rsid w:val="005544CC"/>
    <w:rsid w:val="00554E43"/>
    <w:rsid w:val="0055560F"/>
    <w:rsid w:val="0055708D"/>
    <w:rsid w:val="00557A3A"/>
    <w:rsid w:val="00557CF0"/>
    <w:rsid w:val="00557D70"/>
    <w:rsid w:val="00560BD7"/>
    <w:rsid w:val="005617DC"/>
    <w:rsid w:val="00561CA6"/>
    <w:rsid w:val="00561DF8"/>
    <w:rsid w:val="00562087"/>
    <w:rsid w:val="005623AB"/>
    <w:rsid w:val="005624BD"/>
    <w:rsid w:val="00562E45"/>
    <w:rsid w:val="00563A02"/>
    <w:rsid w:val="00564565"/>
    <w:rsid w:val="005647BE"/>
    <w:rsid w:val="00564A12"/>
    <w:rsid w:val="00565FD3"/>
    <w:rsid w:val="00566299"/>
    <w:rsid w:val="00566B47"/>
    <w:rsid w:val="00567FAA"/>
    <w:rsid w:val="00570C92"/>
    <w:rsid w:val="00571B4B"/>
    <w:rsid w:val="005722F6"/>
    <w:rsid w:val="005725F6"/>
    <w:rsid w:val="005749CC"/>
    <w:rsid w:val="00574DB8"/>
    <w:rsid w:val="0057604F"/>
    <w:rsid w:val="00576197"/>
    <w:rsid w:val="005776C1"/>
    <w:rsid w:val="005802AF"/>
    <w:rsid w:val="005829DD"/>
    <w:rsid w:val="00583C85"/>
    <w:rsid w:val="005863CB"/>
    <w:rsid w:val="00586817"/>
    <w:rsid w:val="00586D92"/>
    <w:rsid w:val="00586FB7"/>
    <w:rsid w:val="00587507"/>
    <w:rsid w:val="00587939"/>
    <w:rsid w:val="00590005"/>
    <w:rsid w:val="00590C80"/>
    <w:rsid w:val="00593755"/>
    <w:rsid w:val="0059458B"/>
    <w:rsid w:val="00595AE6"/>
    <w:rsid w:val="00595D46"/>
    <w:rsid w:val="00596A0B"/>
    <w:rsid w:val="00596E05"/>
    <w:rsid w:val="00596F85"/>
    <w:rsid w:val="005970FA"/>
    <w:rsid w:val="005A0176"/>
    <w:rsid w:val="005A088E"/>
    <w:rsid w:val="005A139C"/>
    <w:rsid w:val="005A2298"/>
    <w:rsid w:val="005A28C1"/>
    <w:rsid w:val="005A29FD"/>
    <w:rsid w:val="005A3309"/>
    <w:rsid w:val="005A4A98"/>
    <w:rsid w:val="005A5C56"/>
    <w:rsid w:val="005A65B2"/>
    <w:rsid w:val="005A72FC"/>
    <w:rsid w:val="005B0388"/>
    <w:rsid w:val="005B05E3"/>
    <w:rsid w:val="005B0971"/>
    <w:rsid w:val="005B109A"/>
    <w:rsid w:val="005B197F"/>
    <w:rsid w:val="005B28C5"/>
    <w:rsid w:val="005B297A"/>
    <w:rsid w:val="005B3B8C"/>
    <w:rsid w:val="005B4219"/>
    <w:rsid w:val="005B5D1F"/>
    <w:rsid w:val="005B6E15"/>
    <w:rsid w:val="005C0C41"/>
    <w:rsid w:val="005C0E58"/>
    <w:rsid w:val="005C2075"/>
    <w:rsid w:val="005C2334"/>
    <w:rsid w:val="005C2FD5"/>
    <w:rsid w:val="005C31EB"/>
    <w:rsid w:val="005C399D"/>
    <w:rsid w:val="005C39B0"/>
    <w:rsid w:val="005C3F5A"/>
    <w:rsid w:val="005C4EFD"/>
    <w:rsid w:val="005C5145"/>
    <w:rsid w:val="005C5378"/>
    <w:rsid w:val="005C5D3F"/>
    <w:rsid w:val="005C7C6A"/>
    <w:rsid w:val="005D2AB9"/>
    <w:rsid w:val="005D30B3"/>
    <w:rsid w:val="005D34E2"/>
    <w:rsid w:val="005D364D"/>
    <w:rsid w:val="005D3F58"/>
    <w:rsid w:val="005D4178"/>
    <w:rsid w:val="005D46A9"/>
    <w:rsid w:val="005D496E"/>
    <w:rsid w:val="005D4B0B"/>
    <w:rsid w:val="005D4CDC"/>
    <w:rsid w:val="005D56DA"/>
    <w:rsid w:val="005D7C20"/>
    <w:rsid w:val="005E0C1B"/>
    <w:rsid w:val="005E0DCB"/>
    <w:rsid w:val="005E19AF"/>
    <w:rsid w:val="005E2EDE"/>
    <w:rsid w:val="005E47FB"/>
    <w:rsid w:val="005E49A6"/>
    <w:rsid w:val="005E5108"/>
    <w:rsid w:val="005E6765"/>
    <w:rsid w:val="005E6960"/>
    <w:rsid w:val="005E6E1D"/>
    <w:rsid w:val="005E6E51"/>
    <w:rsid w:val="005E7D93"/>
    <w:rsid w:val="005E7EB8"/>
    <w:rsid w:val="005F184F"/>
    <w:rsid w:val="005F18D6"/>
    <w:rsid w:val="005F2BA8"/>
    <w:rsid w:val="005F3582"/>
    <w:rsid w:val="005F3FFE"/>
    <w:rsid w:val="005F4434"/>
    <w:rsid w:val="005F50DF"/>
    <w:rsid w:val="005F544F"/>
    <w:rsid w:val="005F59F5"/>
    <w:rsid w:val="005F617E"/>
    <w:rsid w:val="00600D34"/>
    <w:rsid w:val="00601089"/>
    <w:rsid w:val="00601DC7"/>
    <w:rsid w:val="00602C1D"/>
    <w:rsid w:val="00603024"/>
    <w:rsid w:val="0060365D"/>
    <w:rsid w:val="00605F3F"/>
    <w:rsid w:val="00607374"/>
    <w:rsid w:val="006075A4"/>
    <w:rsid w:val="00607687"/>
    <w:rsid w:val="00607F85"/>
    <w:rsid w:val="006102C2"/>
    <w:rsid w:val="0061079B"/>
    <w:rsid w:val="00610E04"/>
    <w:rsid w:val="00611041"/>
    <w:rsid w:val="00611196"/>
    <w:rsid w:val="006116E3"/>
    <w:rsid w:val="00611AFF"/>
    <w:rsid w:val="00612702"/>
    <w:rsid w:val="00612813"/>
    <w:rsid w:val="00613A81"/>
    <w:rsid w:val="00614510"/>
    <w:rsid w:val="00614C2C"/>
    <w:rsid w:val="00614E10"/>
    <w:rsid w:val="00615EF4"/>
    <w:rsid w:val="00616FF1"/>
    <w:rsid w:val="00617B95"/>
    <w:rsid w:val="006206D8"/>
    <w:rsid w:val="00620B76"/>
    <w:rsid w:val="00622A43"/>
    <w:rsid w:val="006239EE"/>
    <w:rsid w:val="0062402E"/>
    <w:rsid w:val="00624400"/>
    <w:rsid w:val="00624E51"/>
    <w:rsid w:val="00625ACD"/>
    <w:rsid w:val="00626162"/>
    <w:rsid w:val="00626999"/>
    <w:rsid w:val="00627A9E"/>
    <w:rsid w:val="00630C2A"/>
    <w:rsid w:val="006319F1"/>
    <w:rsid w:val="00631D5D"/>
    <w:rsid w:val="00631FEE"/>
    <w:rsid w:val="006343F9"/>
    <w:rsid w:val="00634719"/>
    <w:rsid w:val="00634DD0"/>
    <w:rsid w:val="00635923"/>
    <w:rsid w:val="00635B87"/>
    <w:rsid w:val="00635F31"/>
    <w:rsid w:val="00636B09"/>
    <w:rsid w:val="00640C34"/>
    <w:rsid w:val="0064106B"/>
    <w:rsid w:val="0064134E"/>
    <w:rsid w:val="006432A0"/>
    <w:rsid w:val="006444E8"/>
    <w:rsid w:val="006446F6"/>
    <w:rsid w:val="0064586F"/>
    <w:rsid w:val="00647E2D"/>
    <w:rsid w:val="006503E8"/>
    <w:rsid w:val="00650570"/>
    <w:rsid w:val="00652143"/>
    <w:rsid w:val="00652747"/>
    <w:rsid w:val="00653492"/>
    <w:rsid w:val="00653A6C"/>
    <w:rsid w:val="00654A4A"/>
    <w:rsid w:val="0065545A"/>
    <w:rsid w:val="00656C89"/>
    <w:rsid w:val="00660C9F"/>
    <w:rsid w:val="00662A6B"/>
    <w:rsid w:val="00663528"/>
    <w:rsid w:val="00664A6C"/>
    <w:rsid w:val="00664DAC"/>
    <w:rsid w:val="006660C8"/>
    <w:rsid w:val="00666184"/>
    <w:rsid w:val="006661CF"/>
    <w:rsid w:val="006668F8"/>
    <w:rsid w:val="00667FE2"/>
    <w:rsid w:val="00670BFD"/>
    <w:rsid w:val="00670DC6"/>
    <w:rsid w:val="00671E4C"/>
    <w:rsid w:val="0067299B"/>
    <w:rsid w:val="00674295"/>
    <w:rsid w:val="006743AB"/>
    <w:rsid w:val="00674D90"/>
    <w:rsid w:val="006770DB"/>
    <w:rsid w:val="00677350"/>
    <w:rsid w:val="0068139E"/>
    <w:rsid w:val="006818A8"/>
    <w:rsid w:val="00681A51"/>
    <w:rsid w:val="00682424"/>
    <w:rsid w:val="00682469"/>
    <w:rsid w:val="00682578"/>
    <w:rsid w:val="00682AF5"/>
    <w:rsid w:val="0068337B"/>
    <w:rsid w:val="00683736"/>
    <w:rsid w:val="00683D97"/>
    <w:rsid w:val="00684FCA"/>
    <w:rsid w:val="00685E4A"/>
    <w:rsid w:val="006864C5"/>
    <w:rsid w:val="00686B5C"/>
    <w:rsid w:val="00686E24"/>
    <w:rsid w:val="00686F01"/>
    <w:rsid w:val="00690D4A"/>
    <w:rsid w:val="006918DC"/>
    <w:rsid w:val="00692850"/>
    <w:rsid w:val="0069347D"/>
    <w:rsid w:val="0069418C"/>
    <w:rsid w:val="00694FE9"/>
    <w:rsid w:val="0069504D"/>
    <w:rsid w:val="00696997"/>
    <w:rsid w:val="006A02D6"/>
    <w:rsid w:val="006A1FE8"/>
    <w:rsid w:val="006A22B6"/>
    <w:rsid w:val="006A4295"/>
    <w:rsid w:val="006A57FA"/>
    <w:rsid w:val="006A597B"/>
    <w:rsid w:val="006A6375"/>
    <w:rsid w:val="006A6D0E"/>
    <w:rsid w:val="006A6F76"/>
    <w:rsid w:val="006A758C"/>
    <w:rsid w:val="006B0E25"/>
    <w:rsid w:val="006B1D18"/>
    <w:rsid w:val="006B217A"/>
    <w:rsid w:val="006B2718"/>
    <w:rsid w:val="006B4493"/>
    <w:rsid w:val="006B59F4"/>
    <w:rsid w:val="006B5CC3"/>
    <w:rsid w:val="006B61F1"/>
    <w:rsid w:val="006B72FB"/>
    <w:rsid w:val="006B73FA"/>
    <w:rsid w:val="006B77CC"/>
    <w:rsid w:val="006C0F46"/>
    <w:rsid w:val="006C1271"/>
    <w:rsid w:val="006C160D"/>
    <w:rsid w:val="006C1EEC"/>
    <w:rsid w:val="006C352C"/>
    <w:rsid w:val="006C3FEA"/>
    <w:rsid w:val="006C65E9"/>
    <w:rsid w:val="006C69E7"/>
    <w:rsid w:val="006D10AE"/>
    <w:rsid w:val="006D1DF1"/>
    <w:rsid w:val="006D1E54"/>
    <w:rsid w:val="006D24DC"/>
    <w:rsid w:val="006D29F2"/>
    <w:rsid w:val="006D31E2"/>
    <w:rsid w:val="006D3B05"/>
    <w:rsid w:val="006D4CAB"/>
    <w:rsid w:val="006D6F85"/>
    <w:rsid w:val="006D71F9"/>
    <w:rsid w:val="006D7CA2"/>
    <w:rsid w:val="006E025F"/>
    <w:rsid w:val="006E065B"/>
    <w:rsid w:val="006E09D3"/>
    <w:rsid w:val="006E0EBF"/>
    <w:rsid w:val="006E1692"/>
    <w:rsid w:val="006E1E6C"/>
    <w:rsid w:val="006E20CB"/>
    <w:rsid w:val="006E3ECE"/>
    <w:rsid w:val="006E5505"/>
    <w:rsid w:val="006E5BE9"/>
    <w:rsid w:val="006E6BBE"/>
    <w:rsid w:val="006E71BB"/>
    <w:rsid w:val="006E7291"/>
    <w:rsid w:val="006E73C1"/>
    <w:rsid w:val="006E73C4"/>
    <w:rsid w:val="006E7F4F"/>
    <w:rsid w:val="006F0175"/>
    <w:rsid w:val="006F0671"/>
    <w:rsid w:val="006F0815"/>
    <w:rsid w:val="006F0D0A"/>
    <w:rsid w:val="006F136D"/>
    <w:rsid w:val="006F226D"/>
    <w:rsid w:val="006F240A"/>
    <w:rsid w:val="006F2932"/>
    <w:rsid w:val="006F2A5B"/>
    <w:rsid w:val="006F2D27"/>
    <w:rsid w:val="006F2FB3"/>
    <w:rsid w:val="006F3D23"/>
    <w:rsid w:val="006F449B"/>
    <w:rsid w:val="006F47A9"/>
    <w:rsid w:val="006F4E35"/>
    <w:rsid w:val="006F531B"/>
    <w:rsid w:val="006F56B6"/>
    <w:rsid w:val="006F62BC"/>
    <w:rsid w:val="006F681C"/>
    <w:rsid w:val="006F70BD"/>
    <w:rsid w:val="0070023A"/>
    <w:rsid w:val="007017A3"/>
    <w:rsid w:val="00702493"/>
    <w:rsid w:val="007034D1"/>
    <w:rsid w:val="007039A7"/>
    <w:rsid w:val="00703FDC"/>
    <w:rsid w:val="00706A77"/>
    <w:rsid w:val="0071035D"/>
    <w:rsid w:val="007113CC"/>
    <w:rsid w:val="007122F9"/>
    <w:rsid w:val="0071329A"/>
    <w:rsid w:val="00713CD0"/>
    <w:rsid w:val="00714652"/>
    <w:rsid w:val="00714A8A"/>
    <w:rsid w:val="00714F3B"/>
    <w:rsid w:val="007166F7"/>
    <w:rsid w:val="00716AB1"/>
    <w:rsid w:val="00716AEF"/>
    <w:rsid w:val="00716B51"/>
    <w:rsid w:val="00716C74"/>
    <w:rsid w:val="00717076"/>
    <w:rsid w:val="00717296"/>
    <w:rsid w:val="007172CB"/>
    <w:rsid w:val="00717DFE"/>
    <w:rsid w:val="00720BDD"/>
    <w:rsid w:val="0072112A"/>
    <w:rsid w:val="00721357"/>
    <w:rsid w:val="00721591"/>
    <w:rsid w:val="00722592"/>
    <w:rsid w:val="00722E4E"/>
    <w:rsid w:val="007253B2"/>
    <w:rsid w:val="007253FF"/>
    <w:rsid w:val="007256FF"/>
    <w:rsid w:val="00725E05"/>
    <w:rsid w:val="00726711"/>
    <w:rsid w:val="00726F6C"/>
    <w:rsid w:val="00727370"/>
    <w:rsid w:val="00730BA0"/>
    <w:rsid w:val="00731F94"/>
    <w:rsid w:val="007320A9"/>
    <w:rsid w:val="007326A9"/>
    <w:rsid w:val="00732A29"/>
    <w:rsid w:val="007339F8"/>
    <w:rsid w:val="00735837"/>
    <w:rsid w:val="00735D9E"/>
    <w:rsid w:val="007367D0"/>
    <w:rsid w:val="007374D3"/>
    <w:rsid w:val="00737D36"/>
    <w:rsid w:val="00740561"/>
    <w:rsid w:val="0074058F"/>
    <w:rsid w:val="0074109C"/>
    <w:rsid w:val="00742335"/>
    <w:rsid w:val="00742842"/>
    <w:rsid w:val="00743259"/>
    <w:rsid w:val="0074492D"/>
    <w:rsid w:val="00745E99"/>
    <w:rsid w:val="0074620D"/>
    <w:rsid w:val="0075219E"/>
    <w:rsid w:val="00753376"/>
    <w:rsid w:val="00753909"/>
    <w:rsid w:val="007543B0"/>
    <w:rsid w:val="007568A9"/>
    <w:rsid w:val="00756DEC"/>
    <w:rsid w:val="00757915"/>
    <w:rsid w:val="00760E35"/>
    <w:rsid w:val="00761514"/>
    <w:rsid w:val="007625FC"/>
    <w:rsid w:val="0076267A"/>
    <w:rsid w:val="0076397A"/>
    <w:rsid w:val="00763BC1"/>
    <w:rsid w:val="00763C22"/>
    <w:rsid w:val="00763CE7"/>
    <w:rsid w:val="00767793"/>
    <w:rsid w:val="00770127"/>
    <w:rsid w:val="00771497"/>
    <w:rsid w:val="00771830"/>
    <w:rsid w:val="00772177"/>
    <w:rsid w:val="0077265F"/>
    <w:rsid w:val="00772B76"/>
    <w:rsid w:val="007739D8"/>
    <w:rsid w:val="00774D67"/>
    <w:rsid w:val="0077576E"/>
    <w:rsid w:val="00775C65"/>
    <w:rsid w:val="0077639A"/>
    <w:rsid w:val="007766B2"/>
    <w:rsid w:val="007771F8"/>
    <w:rsid w:val="00777C60"/>
    <w:rsid w:val="007800AF"/>
    <w:rsid w:val="0078100C"/>
    <w:rsid w:val="0078157F"/>
    <w:rsid w:val="0078185E"/>
    <w:rsid w:val="00782799"/>
    <w:rsid w:val="00782CDB"/>
    <w:rsid w:val="00784FFE"/>
    <w:rsid w:val="00785AD1"/>
    <w:rsid w:val="00786F48"/>
    <w:rsid w:val="0078772C"/>
    <w:rsid w:val="00787866"/>
    <w:rsid w:val="007878E4"/>
    <w:rsid w:val="0079090E"/>
    <w:rsid w:val="00792289"/>
    <w:rsid w:val="00792484"/>
    <w:rsid w:val="0079267C"/>
    <w:rsid w:val="00795211"/>
    <w:rsid w:val="007963BD"/>
    <w:rsid w:val="00797481"/>
    <w:rsid w:val="007A0505"/>
    <w:rsid w:val="007A1190"/>
    <w:rsid w:val="007A2779"/>
    <w:rsid w:val="007A367F"/>
    <w:rsid w:val="007A4783"/>
    <w:rsid w:val="007A5191"/>
    <w:rsid w:val="007A647F"/>
    <w:rsid w:val="007A6ED6"/>
    <w:rsid w:val="007A726E"/>
    <w:rsid w:val="007B0439"/>
    <w:rsid w:val="007B0500"/>
    <w:rsid w:val="007B111B"/>
    <w:rsid w:val="007B1441"/>
    <w:rsid w:val="007B25E8"/>
    <w:rsid w:val="007B25FE"/>
    <w:rsid w:val="007B2BE3"/>
    <w:rsid w:val="007B374F"/>
    <w:rsid w:val="007B3AE8"/>
    <w:rsid w:val="007B4418"/>
    <w:rsid w:val="007B45D4"/>
    <w:rsid w:val="007B5B5A"/>
    <w:rsid w:val="007B5BFD"/>
    <w:rsid w:val="007B5DAC"/>
    <w:rsid w:val="007B5F62"/>
    <w:rsid w:val="007B6213"/>
    <w:rsid w:val="007B625E"/>
    <w:rsid w:val="007B66B3"/>
    <w:rsid w:val="007B6FD8"/>
    <w:rsid w:val="007B7077"/>
    <w:rsid w:val="007B73FD"/>
    <w:rsid w:val="007C1042"/>
    <w:rsid w:val="007C20B1"/>
    <w:rsid w:val="007C3003"/>
    <w:rsid w:val="007C5923"/>
    <w:rsid w:val="007C6264"/>
    <w:rsid w:val="007C6B60"/>
    <w:rsid w:val="007C6F85"/>
    <w:rsid w:val="007C7B99"/>
    <w:rsid w:val="007C7D88"/>
    <w:rsid w:val="007D1655"/>
    <w:rsid w:val="007D16CC"/>
    <w:rsid w:val="007D23B3"/>
    <w:rsid w:val="007D2C24"/>
    <w:rsid w:val="007D3AA0"/>
    <w:rsid w:val="007D3B71"/>
    <w:rsid w:val="007D3FD8"/>
    <w:rsid w:val="007D3FE2"/>
    <w:rsid w:val="007D4359"/>
    <w:rsid w:val="007D45C1"/>
    <w:rsid w:val="007D4EC2"/>
    <w:rsid w:val="007D5690"/>
    <w:rsid w:val="007D69FA"/>
    <w:rsid w:val="007D71F9"/>
    <w:rsid w:val="007D75E9"/>
    <w:rsid w:val="007D7CC9"/>
    <w:rsid w:val="007E01F4"/>
    <w:rsid w:val="007E0B23"/>
    <w:rsid w:val="007E1600"/>
    <w:rsid w:val="007E1D70"/>
    <w:rsid w:val="007E3F40"/>
    <w:rsid w:val="007E43A2"/>
    <w:rsid w:val="007E4641"/>
    <w:rsid w:val="007E6DEF"/>
    <w:rsid w:val="007F02C3"/>
    <w:rsid w:val="007F03E8"/>
    <w:rsid w:val="007F0CE1"/>
    <w:rsid w:val="007F193A"/>
    <w:rsid w:val="007F1ABA"/>
    <w:rsid w:val="007F21DE"/>
    <w:rsid w:val="007F2A03"/>
    <w:rsid w:val="007F3616"/>
    <w:rsid w:val="007F4847"/>
    <w:rsid w:val="007F4D92"/>
    <w:rsid w:val="007F77B2"/>
    <w:rsid w:val="007F7883"/>
    <w:rsid w:val="008001AC"/>
    <w:rsid w:val="00800499"/>
    <w:rsid w:val="00800523"/>
    <w:rsid w:val="008029DB"/>
    <w:rsid w:val="00802CA3"/>
    <w:rsid w:val="008039D6"/>
    <w:rsid w:val="00803E7F"/>
    <w:rsid w:val="00805C31"/>
    <w:rsid w:val="008060A9"/>
    <w:rsid w:val="008072D7"/>
    <w:rsid w:val="00810327"/>
    <w:rsid w:val="00810603"/>
    <w:rsid w:val="00811145"/>
    <w:rsid w:val="00811263"/>
    <w:rsid w:val="00812B83"/>
    <w:rsid w:val="00812C2D"/>
    <w:rsid w:val="0081379F"/>
    <w:rsid w:val="00813813"/>
    <w:rsid w:val="00813C03"/>
    <w:rsid w:val="00814283"/>
    <w:rsid w:val="00816C07"/>
    <w:rsid w:val="00816C67"/>
    <w:rsid w:val="00820209"/>
    <w:rsid w:val="00820920"/>
    <w:rsid w:val="00820C63"/>
    <w:rsid w:val="00820F35"/>
    <w:rsid w:val="00820FEC"/>
    <w:rsid w:val="0082212A"/>
    <w:rsid w:val="00822EFE"/>
    <w:rsid w:val="00823796"/>
    <w:rsid w:val="0082393D"/>
    <w:rsid w:val="008239D1"/>
    <w:rsid w:val="00823DE0"/>
    <w:rsid w:val="008243FC"/>
    <w:rsid w:val="00824BFC"/>
    <w:rsid w:val="00824FAC"/>
    <w:rsid w:val="00826D0C"/>
    <w:rsid w:val="008307FC"/>
    <w:rsid w:val="00830821"/>
    <w:rsid w:val="00830FE1"/>
    <w:rsid w:val="00831676"/>
    <w:rsid w:val="00832177"/>
    <w:rsid w:val="00832208"/>
    <w:rsid w:val="00832B60"/>
    <w:rsid w:val="0083324D"/>
    <w:rsid w:val="00834BD9"/>
    <w:rsid w:val="008401B6"/>
    <w:rsid w:val="00840600"/>
    <w:rsid w:val="00841542"/>
    <w:rsid w:val="00841733"/>
    <w:rsid w:val="00842216"/>
    <w:rsid w:val="00842484"/>
    <w:rsid w:val="00842982"/>
    <w:rsid w:val="00843447"/>
    <w:rsid w:val="00843EDA"/>
    <w:rsid w:val="00844AF4"/>
    <w:rsid w:val="00844D38"/>
    <w:rsid w:val="00844D85"/>
    <w:rsid w:val="0084563E"/>
    <w:rsid w:val="008476B4"/>
    <w:rsid w:val="00850E71"/>
    <w:rsid w:val="00851B6E"/>
    <w:rsid w:val="008524BE"/>
    <w:rsid w:val="0085252E"/>
    <w:rsid w:val="0085269A"/>
    <w:rsid w:val="0085306F"/>
    <w:rsid w:val="00853243"/>
    <w:rsid w:val="008534A0"/>
    <w:rsid w:val="00853BC2"/>
    <w:rsid w:val="00853C7E"/>
    <w:rsid w:val="00854278"/>
    <w:rsid w:val="008548E2"/>
    <w:rsid w:val="00856063"/>
    <w:rsid w:val="008562C0"/>
    <w:rsid w:val="008566B2"/>
    <w:rsid w:val="00857172"/>
    <w:rsid w:val="0085770D"/>
    <w:rsid w:val="00860DE4"/>
    <w:rsid w:val="008621E1"/>
    <w:rsid w:val="0086236A"/>
    <w:rsid w:val="0086569A"/>
    <w:rsid w:val="0086753C"/>
    <w:rsid w:val="008676C6"/>
    <w:rsid w:val="00867A36"/>
    <w:rsid w:val="00867C3F"/>
    <w:rsid w:val="00870002"/>
    <w:rsid w:val="0087004F"/>
    <w:rsid w:val="008702A8"/>
    <w:rsid w:val="0087035A"/>
    <w:rsid w:val="00870FD4"/>
    <w:rsid w:val="00872B3E"/>
    <w:rsid w:val="0087347D"/>
    <w:rsid w:val="00873683"/>
    <w:rsid w:val="008739C3"/>
    <w:rsid w:val="00873CA1"/>
    <w:rsid w:val="008758EB"/>
    <w:rsid w:val="00876F90"/>
    <w:rsid w:val="00877AEF"/>
    <w:rsid w:val="00877B0B"/>
    <w:rsid w:val="00880121"/>
    <w:rsid w:val="00882341"/>
    <w:rsid w:val="00882DAD"/>
    <w:rsid w:val="00883C0D"/>
    <w:rsid w:val="008843F5"/>
    <w:rsid w:val="00884F32"/>
    <w:rsid w:val="00885263"/>
    <w:rsid w:val="008868A8"/>
    <w:rsid w:val="00886EAF"/>
    <w:rsid w:val="00890014"/>
    <w:rsid w:val="008902F2"/>
    <w:rsid w:val="00890D93"/>
    <w:rsid w:val="00891FE8"/>
    <w:rsid w:val="00892CC3"/>
    <w:rsid w:val="00892DA5"/>
    <w:rsid w:val="00892FA4"/>
    <w:rsid w:val="00893AAE"/>
    <w:rsid w:val="008949B1"/>
    <w:rsid w:val="00896DA2"/>
    <w:rsid w:val="00896E2B"/>
    <w:rsid w:val="0089713E"/>
    <w:rsid w:val="008972AA"/>
    <w:rsid w:val="0089744C"/>
    <w:rsid w:val="008A02A4"/>
    <w:rsid w:val="008A10F3"/>
    <w:rsid w:val="008A1B96"/>
    <w:rsid w:val="008A28FA"/>
    <w:rsid w:val="008A306A"/>
    <w:rsid w:val="008A4132"/>
    <w:rsid w:val="008A4D60"/>
    <w:rsid w:val="008A53EE"/>
    <w:rsid w:val="008A5436"/>
    <w:rsid w:val="008A5C0F"/>
    <w:rsid w:val="008A5F43"/>
    <w:rsid w:val="008A67B2"/>
    <w:rsid w:val="008A714C"/>
    <w:rsid w:val="008B012A"/>
    <w:rsid w:val="008B1596"/>
    <w:rsid w:val="008B1B37"/>
    <w:rsid w:val="008B29FC"/>
    <w:rsid w:val="008B3178"/>
    <w:rsid w:val="008B32BC"/>
    <w:rsid w:val="008B4062"/>
    <w:rsid w:val="008B4B6F"/>
    <w:rsid w:val="008B4BE9"/>
    <w:rsid w:val="008B5977"/>
    <w:rsid w:val="008B6093"/>
    <w:rsid w:val="008B7A43"/>
    <w:rsid w:val="008C09C4"/>
    <w:rsid w:val="008C1598"/>
    <w:rsid w:val="008C1F44"/>
    <w:rsid w:val="008C28E8"/>
    <w:rsid w:val="008C4F59"/>
    <w:rsid w:val="008C646F"/>
    <w:rsid w:val="008D07CE"/>
    <w:rsid w:val="008D2AC2"/>
    <w:rsid w:val="008D48FF"/>
    <w:rsid w:val="008D50EA"/>
    <w:rsid w:val="008D61A7"/>
    <w:rsid w:val="008E0007"/>
    <w:rsid w:val="008E0374"/>
    <w:rsid w:val="008E1426"/>
    <w:rsid w:val="008E16B0"/>
    <w:rsid w:val="008E1AA7"/>
    <w:rsid w:val="008E3E4B"/>
    <w:rsid w:val="008E43A6"/>
    <w:rsid w:val="008E43CF"/>
    <w:rsid w:val="008E4923"/>
    <w:rsid w:val="008E4EF9"/>
    <w:rsid w:val="008E5516"/>
    <w:rsid w:val="008E62F5"/>
    <w:rsid w:val="008E6CCC"/>
    <w:rsid w:val="008E6DFC"/>
    <w:rsid w:val="008E6F9C"/>
    <w:rsid w:val="008E7710"/>
    <w:rsid w:val="008F067F"/>
    <w:rsid w:val="008F2795"/>
    <w:rsid w:val="008F3196"/>
    <w:rsid w:val="008F3A79"/>
    <w:rsid w:val="008F4457"/>
    <w:rsid w:val="008F485A"/>
    <w:rsid w:val="008F58D4"/>
    <w:rsid w:val="008F7DB1"/>
    <w:rsid w:val="00900D4D"/>
    <w:rsid w:val="00900D5E"/>
    <w:rsid w:val="009012FC"/>
    <w:rsid w:val="00901D76"/>
    <w:rsid w:val="00902D59"/>
    <w:rsid w:val="0090380F"/>
    <w:rsid w:val="00903E8D"/>
    <w:rsid w:val="00903F34"/>
    <w:rsid w:val="009056DA"/>
    <w:rsid w:val="00905C0A"/>
    <w:rsid w:val="00906028"/>
    <w:rsid w:val="00906357"/>
    <w:rsid w:val="00906B32"/>
    <w:rsid w:val="00906F3F"/>
    <w:rsid w:val="00907FE8"/>
    <w:rsid w:val="009122F8"/>
    <w:rsid w:val="009124CB"/>
    <w:rsid w:val="00912568"/>
    <w:rsid w:val="00912915"/>
    <w:rsid w:val="00913870"/>
    <w:rsid w:val="00913A0B"/>
    <w:rsid w:val="009154B5"/>
    <w:rsid w:val="00915520"/>
    <w:rsid w:val="009155DC"/>
    <w:rsid w:val="009155F7"/>
    <w:rsid w:val="00915A82"/>
    <w:rsid w:val="009163BB"/>
    <w:rsid w:val="00917AA0"/>
    <w:rsid w:val="0092075A"/>
    <w:rsid w:val="00921131"/>
    <w:rsid w:val="009238F7"/>
    <w:rsid w:val="00923C63"/>
    <w:rsid w:val="00923F67"/>
    <w:rsid w:val="00924605"/>
    <w:rsid w:val="009247F5"/>
    <w:rsid w:val="00924966"/>
    <w:rsid w:val="00925717"/>
    <w:rsid w:val="00925AEB"/>
    <w:rsid w:val="009261E4"/>
    <w:rsid w:val="00926AB2"/>
    <w:rsid w:val="00926AB9"/>
    <w:rsid w:val="00927C5C"/>
    <w:rsid w:val="00927CEF"/>
    <w:rsid w:val="00931270"/>
    <w:rsid w:val="009326AE"/>
    <w:rsid w:val="00932B80"/>
    <w:rsid w:val="0093409F"/>
    <w:rsid w:val="00934FFB"/>
    <w:rsid w:val="009356BA"/>
    <w:rsid w:val="009373D3"/>
    <w:rsid w:val="00940257"/>
    <w:rsid w:val="00940737"/>
    <w:rsid w:val="009407FE"/>
    <w:rsid w:val="009415F4"/>
    <w:rsid w:val="00941E3E"/>
    <w:rsid w:val="00942436"/>
    <w:rsid w:val="00943263"/>
    <w:rsid w:val="00945165"/>
    <w:rsid w:val="00945380"/>
    <w:rsid w:val="009479D1"/>
    <w:rsid w:val="009516D0"/>
    <w:rsid w:val="009535DE"/>
    <w:rsid w:val="0095361B"/>
    <w:rsid w:val="00953D70"/>
    <w:rsid w:val="00954A61"/>
    <w:rsid w:val="009555D9"/>
    <w:rsid w:val="009563BD"/>
    <w:rsid w:val="00956F14"/>
    <w:rsid w:val="00957603"/>
    <w:rsid w:val="009579A2"/>
    <w:rsid w:val="00957A1D"/>
    <w:rsid w:val="00957BC0"/>
    <w:rsid w:val="00960369"/>
    <w:rsid w:val="009607A2"/>
    <w:rsid w:val="009613F1"/>
    <w:rsid w:val="00961671"/>
    <w:rsid w:val="00961AC1"/>
    <w:rsid w:val="009633AE"/>
    <w:rsid w:val="00963557"/>
    <w:rsid w:val="0096366E"/>
    <w:rsid w:val="0096417A"/>
    <w:rsid w:val="0096487B"/>
    <w:rsid w:val="00965CD1"/>
    <w:rsid w:val="00970460"/>
    <w:rsid w:val="00971B48"/>
    <w:rsid w:val="00971EC2"/>
    <w:rsid w:val="00972ECE"/>
    <w:rsid w:val="009734B3"/>
    <w:rsid w:val="009757D1"/>
    <w:rsid w:val="00975EB9"/>
    <w:rsid w:val="00980754"/>
    <w:rsid w:val="00981535"/>
    <w:rsid w:val="009825C8"/>
    <w:rsid w:val="00983531"/>
    <w:rsid w:val="00983A0B"/>
    <w:rsid w:val="0098409F"/>
    <w:rsid w:val="00984A55"/>
    <w:rsid w:val="00985537"/>
    <w:rsid w:val="00985C01"/>
    <w:rsid w:val="00986A12"/>
    <w:rsid w:val="0098758C"/>
    <w:rsid w:val="00987E71"/>
    <w:rsid w:val="009903BA"/>
    <w:rsid w:val="0099087A"/>
    <w:rsid w:val="009911B1"/>
    <w:rsid w:val="00991698"/>
    <w:rsid w:val="009917E7"/>
    <w:rsid w:val="00991AE2"/>
    <w:rsid w:val="00991C17"/>
    <w:rsid w:val="00992AD4"/>
    <w:rsid w:val="00992D1E"/>
    <w:rsid w:val="00992D66"/>
    <w:rsid w:val="00993143"/>
    <w:rsid w:val="00994D1A"/>
    <w:rsid w:val="00995485"/>
    <w:rsid w:val="0099589D"/>
    <w:rsid w:val="00997EB2"/>
    <w:rsid w:val="009A020C"/>
    <w:rsid w:val="009A036C"/>
    <w:rsid w:val="009A06F5"/>
    <w:rsid w:val="009A0788"/>
    <w:rsid w:val="009A0E92"/>
    <w:rsid w:val="009A17EC"/>
    <w:rsid w:val="009A25D3"/>
    <w:rsid w:val="009A2794"/>
    <w:rsid w:val="009B03DF"/>
    <w:rsid w:val="009B0655"/>
    <w:rsid w:val="009B3192"/>
    <w:rsid w:val="009B6AF0"/>
    <w:rsid w:val="009B70A6"/>
    <w:rsid w:val="009C09F3"/>
    <w:rsid w:val="009C128C"/>
    <w:rsid w:val="009C1347"/>
    <w:rsid w:val="009C292D"/>
    <w:rsid w:val="009C368F"/>
    <w:rsid w:val="009C5F0C"/>
    <w:rsid w:val="009C67C0"/>
    <w:rsid w:val="009C6C4B"/>
    <w:rsid w:val="009D007E"/>
    <w:rsid w:val="009D1035"/>
    <w:rsid w:val="009D13D0"/>
    <w:rsid w:val="009D1B09"/>
    <w:rsid w:val="009D2068"/>
    <w:rsid w:val="009D53FA"/>
    <w:rsid w:val="009D5545"/>
    <w:rsid w:val="009D7B78"/>
    <w:rsid w:val="009D7D33"/>
    <w:rsid w:val="009E01FC"/>
    <w:rsid w:val="009E02A8"/>
    <w:rsid w:val="009E0355"/>
    <w:rsid w:val="009E1999"/>
    <w:rsid w:val="009E1D2A"/>
    <w:rsid w:val="009E237C"/>
    <w:rsid w:val="009E324D"/>
    <w:rsid w:val="009E48E3"/>
    <w:rsid w:val="009E4C4A"/>
    <w:rsid w:val="009E4DD4"/>
    <w:rsid w:val="009E4E3F"/>
    <w:rsid w:val="009E53EB"/>
    <w:rsid w:val="009E5B49"/>
    <w:rsid w:val="009E698B"/>
    <w:rsid w:val="009E6ADB"/>
    <w:rsid w:val="009E6E7C"/>
    <w:rsid w:val="009E7C2F"/>
    <w:rsid w:val="009F0BB6"/>
    <w:rsid w:val="009F0BED"/>
    <w:rsid w:val="009F0FBE"/>
    <w:rsid w:val="009F1065"/>
    <w:rsid w:val="009F1547"/>
    <w:rsid w:val="009F1A08"/>
    <w:rsid w:val="009F1C49"/>
    <w:rsid w:val="009F2C8F"/>
    <w:rsid w:val="009F2E53"/>
    <w:rsid w:val="009F38A2"/>
    <w:rsid w:val="009F47E8"/>
    <w:rsid w:val="009F4ABA"/>
    <w:rsid w:val="009F5251"/>
    <w:rsid w:val="009F55FF"/>
    <w:rsid w:val="009F61F1"/>
    <w:rsid w:val="009F67A9"/>
    <w:rsid w:val="009F71BE"/>
    <w:rsid w:val="009F7706"/>
    <w:rsid w:val="009F79E2"/>
    <w:rsid w:val="00A00317"/>
    <w:rsid w:val="00A02D14"/>
    <w:rsid w:val="00A043A5"/>
    <w:rsid w:val="00A0498E"/>
    <w:rsid w:val="00A04DEE"/>
    <w:rsid w:val="00A0579B"/>
    <w:rsid w:val="00A0598C"/>
    <w:rsid w:val="00A066AE"/>
    <w:rsid w:val="00A06745"/>
    <w:rsid w:val="00A069FB"/>
    <w:rsid w:val="00A06CE2"/>
    <w:rsid w:val="00A108F7"/>
    <w:rsid w:val="00A10DD9"/>
    <w:rsid w:val="00A11D21"/>
    <w:rsid w:val="00A1297B"/>
    <w:rsid w:val="00A12C6B"/>
    <w:rsid w:val="00A12E41"/>
    <w:rsid w:val="00A13151"/>
    <w:rsid w:val="00A13525"/>
    <w:rsid w:val="00A13E8A"/>
    <w:rsid w:val="00A14117"/>
    <w:rsid w:val="00A14757"/>
    <w:rsid w:val="00A149FA"/>
    <w:rsid w:val="00A16587"/>
    <w:rsid w:val="00A16849"/>
    <w:rsid w:val="00A16D34"/>
    <w:rsid w:val="00A17630"/>
    <w:rsid w:val="00A17DF0"/>
    <w:rsid w:val="00A20F78"/>
    <w:rsid w:val="00A218F1"/>
    <w:rsid w:val="00A22250"/>
    <w:rsid w:val="00A22E57"/>
    <w:rsid w:val="00A24375"/>
    <w:rsid w:val="00A251EE"/>
    <w:rsid w:val="00A258FB"/>
    <w:rsid w:val="00A2605D"/>
    <w:rsid w:val="00A27DEE"/>
    <w:rsid w:val="00A31B93"/>
    <w:rsid w:val="00A31E5B"/>
    <w:rsid w:val="00A32D64"/>
    <w:rsid w:val="00A32EB7"/>
    <w:rsid w:val="00A33157"/>
    <w:rsid w:val="00A34C4D"/>
    <w:rsid w:val="00A34E06"/>
    <w:rsid w:val="00A34FFC"/>
    <w:rsid w:val="00A35D32"/>
    <w:rsid w:val="00A375EF"/>
    <w:rsid w:val="00A37A4A"/>
    <w:rsid w:val="00A40A62"/>
    <w:rsid w:val="00A4342E"/>
    <w:rsid w:val="00A43486"/>
    <w:rsid w:val="00A43842"/>
    <w:rsid w:val="00A44396"/>
    <w:rsid w:val="00A465C1"/>
    <w:rsid w:val="00A465F6"/>
    <w:rsid w:val="00A47490"/>
    <w:rsid w:val="00A50D55"/>
    <w:rsid w:val="00A517B6"/>
    <w:rsid w:val="00A52131"/>
    <w:rsid w:val="00A52335"/>
    <w:rsid w:val="00A528C2"/>
    <w:rsid w:val="00A536E0"/>
    <w:rsid w:val="00A53BEB"/>
    <w:rsid w:val="00A5433A"/>
    <w:rsid w:val="00A54AFD"/>
    <w:rsid w:val="00A54E69"/>
    <w:rsid w:val="00A61B06"/>
    <w:rsid w:val="00A61C8F"/>
    <w:rsid w:val="00A62113"/>
    <w:rsid w:val="00A630BE"/>
    <w:rsid w:val="00A63774"/>
    <w:rsid w:val="00A638BE"/>
    <w:rsid w:val="00A63D00"/>
    <w:rsid w:val="00A65B15"/>
    <w:rsid w:val="00A65EE2"/>
    <w:rsid w:val="00A66248"/>
    <w:rsid w:val="00A6721E"/>
    <w:rsid w:val="00A6759C"/>
    <w:rsid w:val="00A67923"/>
    <w:rsid w:val="00A7015E"/>
    <w:rsid w:val="00A713ED"/>
    <w:rsid w:val="00A714B8"/>
    <w:rsid w:val="00A7194B"/>
    <w:rsid w:val="00A71DE0"/>
    <w:rsid w:val="00A72227"/>
    <w:rsid w:val="00A72CE7"/>
    <w:rsid w:val="00A731CA"/>
    <w:rsid w:val="00A746D0"/>
    <w:rsid w:val="00A74901"/>
    <w:rsid w:val="00A75031"/>
    <w:rsid w:val="00A75733"/>
    <w:rsid w:val="00A76308"/>
    <w:rsid w:val="00A776C7"/>
    <w:rsid w:val="00A77C08"/>
    <w:rsid w:val="00A80ACB"/>
    <w:rsid w:val="00A81527"/>
    <w:rsid w:val="00A81906"/>
    <w:rsid w:val="00A81BAD"/>
    <w:rsid w:val="00A82058"/>
    <w:rsid w:val="00A84AE7"/>
    <w:rsid w:val="00A84E8D"/>
    <w:rsid w:val="00A85960"/>
    <w:rsid w:val="00A85ACE"/>
    <w:rsid w:val="00A86576"/>
    <w:rsid w:val="00A8668D"/>
    <w:rsid w:val="00A86853"/>
    <w:rsid w:val="00A869B0"/>
    <w:rsid w:val="00A86ACB"/>
    <w:rsid w:val="00A90420"/>
    <w:rsid w:val="00A91051"/>
    <w:rsid w:val="00A910CB"/>
    <w:rsid w:val="00A91DC1"/>
    <w:rsid w:val="00A9289F"/>
    <w:rsid w:val="00A929FD"/>
    <w:rsid w:val="00A92C1D"/>
    <w:rsid w:val="00A933CE"/>
    <w:rsid w:val="00A93633"/>
    <w:rsid w:val="00A9371F"/>
    <w:rsid w:val="00A95617"/>
    <w:rsid w:val="00A9590F"/>
    <w:rsid w:val="00A962AB"/>
    <w:rsid w:val="00A97612"/>
    <w:rsid w:val="00A9774D"/>
    <w:rsid w:val="00AA0C77"/>
    <w:rsid w:val="00AA0E60"/>
    <w:rsid w:val="00AA1D27"/>
    <w:rsid w:val="00AA204C"/>
    <w:rsid w:val="00AA2D2A"/>
    <w:rsid w:val="00AA2D57"/>
    <w:rsid w:val="00AA3941"/>
    <w:rsid w:val="00AA4370"/>
    <w:rsid w:val="00AA4835"/>
    <w:rsid w:val="00AA4AB0"/>
    <w:rsid w:val="00AA538E"/>
    <w:rsid w:val="00AA56D0"/>
    <w:rsid w:val="00AA588E"/>
    <w:rsid w:val="00AA610F"/>
    <w:rsid w:val="00AB0C9F"/>
    <w:rsid w:val="00AB0F63"/>
    <w:rsid w:val="00AB143A"/>
    <w:rsid w:val="00AB155C"/>
    <w:rsid w:val="00AB26BF"/>
    <w:rsid w:val="00AB3B8C"/>
    <w:rsid w:val="00AB4213"/>
    <w:rsid w:val="00AB4A46"/>
    <w:rsid w:val="00AB68F9"/>
    <w:rsid w:val="00AB717A"/>
    <w:rsid w:val="00AB7274"/>
    <w:rsid w:val="00AB7E96"/>
    <w:rsid w:val="00AC003B"/>
    <w:rsid w:val="00AC003C"/>
    <w:rsid w:val="00AC0103"/>
    <w:rsid w:val="00AC011A"/>
    <w:rsid w:val="00AC1404"/>
    <w:rsid w:val="00AC1F46"/>
    <w:rsid w:val="00AC31EA"/>
    <w:rsid w:val="00AC4881"/>
    <w:rsid w:val="00AD039F"/>
    <w:rsid w:val="00AD0F88"/>
    <w:rsid w:val="00AD3902"/>
    <w:rsid w:val="00AD3C07"/>
    <w:rsid w:val="00AD462E"/>
    <w:rsid w:val="00AD4B5D"/>
    <w:rsid w:val="00AD57F8"/>
    <w:rsid w:val="00AD5833"/>
    <w:rsid w:val="00AD6010"/>
    <w:rsid w:val="00AD6081"/>
    <w:rsid w:val="00AE03DD"/>
    <w:rsid w:val="00AE1C51"/>
    <w:rsid w:val="00AE33FF"/>
    <w:rsid w:val="00AE4B14"/>
    <w:rsid w:val="00AE52AE"/>
    <w:rsid w:val="00AE5E94"/>
    <w:rsid w:val="00AF026B"/>
    <w:rsid w:val="00AF06D5"/>
    <w:rsid w:val="00AF09DD"/>
    <w:rsid w:val="00AF246B"/>
    <w:rsid w:val="00AF31C3"/>
    <w:rsid w:val="00AF5B2F"/>
    <w:rsid w:val="00AF68DB"/>
    <w:rsid w:val="00AF712A"/>
    <w:rsid w:val="00AF7DB4"/>
    <w:rsid w:val="00B01A94"/>
    <w:rsid w:val="00B02655"/>
    <w:rsid w:val="00B0325C"/>
    <w:rsid w:val="00B05102"/>
    <w:rsid w:val="00B06130"/>
    <w:rsid w:val="00B06C84"/>
    <w:rsid w:val="00B06D97"/>
    <w:rsid w:val="00B06FCC"/>
    <w:rsid w:val="00B07900"/>
    <w:rsid w:val="00B079F9"/>
    <w:rsid w:val="00B10263"/>
    <w:rsid w:val="00B10376"/>
    <w:rsid w:val="00B10D36"/>
    <w:rsid w:val="00B11C26"/>
    <w:rsid w:val="00B11DEE"/>
    <w:rsid w:val="00B12661"/>
    <w:rsid w:val="00B1348E"/>
    <w:rsid w:val="00B142AA"/>
    <w:rsid w:val="00B14BD1"/>
    <w:rsid w:val="00B14BDB"/>
    <w:rsid w:val="00B15326"/>
    <w:rsid w:val="00B15B1F"/>
    <w:rsid w:val="00B16A34"/>
    <w:rsid w:val="00B16A4C"/>
    <w:rsid w:val="00B2042B"/>
    <w:rsid w:val="00B206C8"/>
    <w:rsid w:val="00B213F2"/>
    <w:rsid w:val="00B217D6"/>
    <w:rsid w:val="00B23DE3"/>
    <w:rsid w:val="00B24FAF"/>
    <w:rsid w:val="00B251FA"/>
    <w:rsid w:val="00B25453"/>
    <w:rsid w:val="00B25BBC"/>
    <w:rsid w:val="00B25E56"/>
    <w:rsid w:val="00B25ED6"/>
    <w:rsid w:val="00B26D09"/>
    <w:rsid w:val="00B30239"/>
    <w:rsid w:val="00B3057E"/>
    <w:rsid w:val="00B31B9C"/>
    <w:rsid w:val="00B33653"/>
    <w:rsid w:val="00B349BB"/>
    <w:rsid w:val="00B34D6C"/>
    <w:rsid w:val="00B35559"/>
    <w:rsid w:val="00B3559C"/>
    <w:rsid w:val="00B3725B"/>
    <w:rsid w:val="00B4118A"/>
    <w:rsid w:val="00B412D4"/>
    <w:rsid w:val="00B4186F"/>
    <w:rsid w:val="00B45CE3"/>
    <w:rsid w:val="00B46304"/>
    <w:rsid w:val="00B4696B"/>
    <w:rsid w:val="00B47CC6"/>
    <w:rsid w:val="00B505B6"/>
    <w:rsid w:val="00B51038"/>
    <w:rsid w:val="00B52911"/>
    <w:rsid w:val="00B52B5B"/>
    <w:rsid w:val="00B5384F"/>
    <w:rsid w:val="00B54421"/>
    <w:rsid w:val="00B552E3"/>
    <w:rsid w:val="00B5544F"/>
    <w:rsid w:val="00B55E5D"/>
    <w:rsid w:val="00B56826"/>
    <w:rsid w:val="00B56FF7"/>
    <w:rsid w:val="00B57501"/>
    <w:rsid w:val="00B577A8"/>
    <w:rsid w:val="00B577EA"/>
    <w:rsid w:val="00B577FF"/>
    <w:rsid w:val="00B60314"/>
    <w:rsid w:val="00B60A36"/>
    <w:rsid w:val="00B61155"/>
    <w:rsid w:val="00B6285D"/>
    <w:rsid w:val="00B64DFD"/>
    <w:rsid w:val="00B65540"/>
    <w:rsid w:val="00B66822"/>
    <w:rsid w:val="00B66867"/>
    <w:rsid w:val="00B66994"/>
    <w:rsid w:val="00B66EF5"/>
    <w:rsid w:val="00B67D62"/>
    <w:rsid w:val="00B70757"/>
    <w:rsid w:val="00B7079D"/>
    <w:rsid w:val="00B707FE"/>
    <w:rsid w:val="00B70EDD"/>
    <w:rsid w:val="00B710D2"/>
    <w:rsid w:val="00B71A1E"/>
    <w:rsid w:val="00B71AFB"/>
    <w:rsid w:val="00B71F3A"/>
    <w:rsid w:val="00B71FC8"/>
    <w:rsid w:val="00B72855"/>
    <w:rsid w:val="00B73C97"/>
    <w:rsid w:val="00B74895"/>
    <w:rsid w:val="00B7619A"/>
    <w:rsid w:val="00B76340"/>
    <w:rsid w:val="00B76628"/>
    <w:rsid w:val="00B76A88"/>
    <w:rsid w:val="00B80C43"/>
    <w:rsid w:val="00B80DF0"/>
    <w:rsid w:val="00B815B2"/>
    <w:rsid w:val="00B81816"/>
    <w:rsid w:val="00B821F8"/>
    <w:rsid w:val="00B8264D"/>
    <w:rsid w:val="00B835EB"/>
    <w:rsid w:val="00B836F5"/>
    <w:rsid w:val="00B84132"/>
    <w:rsid w:val="00B85B4E"/>
    <w:rsid w:val="00B8608E"/>
    <w:rsid w:val="00B86747"/>
    <w:rsid w:val="00B868E2"/>
    <w:rsid w:val="00B87B6D"/>
    <w:rsid w:val="00B87E7C"/>
    <w:rsid w:val="00B905F8"/>
    <w:rsid w:val="00B9355C"/>
    <w:rsid w:val="00B94786"/>
    <w:rsid w:val="00B9551C"/>
    <w:rsid w:val="00B9607E"/>
    <w:rsid w:val="00BA09F4"/>
    <w:rsid w:val="00BA0AC0"/>
    <w:rsid w:val="00BA0D64"/>
    <w:rsid w:val="00BA15EE"/>
    <w:rsid w:val="00BA202C"/>
    <w:rsid w:val="00BA2B9C"/>
    <w:rsid w:val="00BA3EDC"/>
    <w:rsid w:val="00BA4324"/>
    <w:rsid w:val="00BA4482"/>
    <w:rsid w:val="00BA44ED"/>
    <w:rsid w:val="00BA68A6"/>
    <w:rsid w:val="00BA7631"/>
    <w:rsid w:val="00BA7678"/>
    <w:rsid w:val="00BA7715"/>
    <w:rsid w:val="00BA774F"/>
    <w:rsid w:val="00BA78B6"/>
    <w:rsid w:val="00BA79B5"/>
    <w:rsid w:val="00BA7DE9"/>
    <w:rsid w:val="00BB20BA"/>
    <w:rsid w:val="00BB26AD"/>
    <w:rsid w:val="00BB2EC0"/>
    <w:rsid w:val="00BB3D25"/>
    <w:rsid w:val="00BB6D2B"/>
    <w:rsid w:val="00BB79BD"/>
    <w:rsid w:val="00BB7E99"/>
    <w:rsid w:val="00BC10E6"/>
    <w:rsid w:val="00BC1F97"/>
    <w:rsid w:val="00BC3516"/>
    <w:rsid w:val="00BC38EE"/>
    <w:rsid w:val="00BC55A3"/>
    <w:rsid w:val="00BC666B"/>
    <w:rsid w:val="00BC7208"/>
    <w:rsid w:val="00BC72CB"/>
    <w:rsid w:val="00BC76C5"/>
    <w:rsid w:val="00BD0B48"/>
    <w:rsid w:val="00BD1E24"/>
    <w:rsid w:val="00BD2151"/>
    <w:rsid w:val="00BD2A0A"/>
    <w:rsid w:val="00BD3653"/>
    <w:rsid w:val="00BD37A0"/>
    <w:rsid w:val="00BD462E"/>
    <w:rsid w:val="00BD4CE7"/>
    <w:rsid w:val="00BD5D0F"/>
    <w:rsid w:val="00BD75BA"/>
    <w:rsid w:val="00BD761A"/>
    <w:rsid w:val="00BD78E0"/>
    <w:rsid w:val="00BD7C68"/>
    <w:rsid w:val="00BE08AA"/>
    <w:rsid w:val="00BE0CC9"/>
    <w:rsid w:val="00BE15B2"/>
    <w:rsid w:val="00BE1CBC"/>
    <w:rsid w:val="00BE1F49"/>
    <w:rsid w:val="00BE29DC"/>
    <w:rsid w:val="00BE5393"/>
    <w:rsid w:val="00BE5C7D"/>
    <w:rsid w:val="00BE6BD1"/>
    <w:rsid w:val="00BF1EA0"/>
    <w:rsid w:val="00BF697A"/>
    <w:rsid w:val="00BF6ADB"/>
    <w:rsid w:val="00BF6D5A"/>
    <w:rsid w:val="00C00DF5"/>
    <w:rsid w:val="00C0101F"/>
    <w:rsid w:val="00C0223F"/>
    <w:rsid w:val="00C030D2"/>
    <w:rsid w:val="00C03776"/>
    <w:rsid w:val="00C03E66"/>
    <w:rsid w:val="00C04B9F"/>
    <w:rsid w:val="00C074D9"/>
    <w:rsid w:val="00C0753E"/>
    <w:rsid w:val="00C10A86"/>
    <w:rsid w:val="00C1164F"/>
    <w:rsid w:val="00C12078"/>
    <w:rsid w:val="00C129DF"/>
    <w:rsid w:val="00C13821"/>
    <w:rsid w:val="00C13A14"/>
    <w:rsid w:val="00C13EC4"/>
    <w:rsid w:val="00C14051"/>
    <w:rsid w:val="00C152DC"/>
    <w:rsid w:val="00C15F73"/>
    <w:rsid w:val="00C170FD"/>
    <w:rsid w:val="00C17939"/>
    <w:rsid w:val="00C17FC3"/>
    <w:rsid w:val="00C2037B"/>
    <w:rsid w:val="00C218FF"/>
    <w:rsid w:val="00C22FF7"/>
    <w:rsid w:val="00C23DC9"/>
    <w:rsid w:val="00C25F93"/>
    <w:rsid w:val="00C27A2F"/>
    <w:rsid w:val="00C27F75"/>
    <w:rsid w:val="00C27F76"/>
    <w:rsid w:val="00C30DA4"/>
    <w:rsid w:val="00C33D7F"/>
    <w:rsid w:val="00C34110"/>
    <w:rsid w:val="00C359BF"/>
    <w:rsid w:val="00C36008"/>
    <w:rsid w:val="00C37384"/>
    <w:rsid w:val="00C3788C"/>
    <w:rsid w:val="00C427CE"/>
    <w:rsid w:val="00C4337B"/>
    <w:rsid w:val="00C44719"/>
    <w:rsid w:val="00C44A9B"/>
    <w:rsid w:val="00C458EF"/>
    <w:rsid w:val="00C4690E"/>
    <w:rsid w:val="00C46EDD"/>
    <w:rsid w:val="00C479C7"/>
    <w:rsid w:val="00C47F43"/>
    <w:rsid w:val="00C50108"/>
    <w:rsid w:val="00C50D0A"/>
    <w:rsid w:val="00C51610"/>
    <w:rsid w:val="00C51E37"/>
    <w:rsid w:val="00C51EC7"/>
    <w:rsid w:val="00C51EE3"/>
    <w:rsid w:val="00C51F6A"/>
    <w:rsid w:val="00C520ED"/>
    <w:rsid w:val="00C5211B"/>
    <w:rsid w:val="00C54D4F"/>
    <w:rsid w:val="00C560BC"/>
    <w:rsid w:val="00C56190"/>
    <w:rsid w:val="00C56C99"/>
    <w:rsid w:val="00C57857"/>
    <w:rsid w:val="00C57D74"/>
    <w:rsid w:val="00C60054"/>
    <w:rsid w:val="00C60128"/>
    <w:rsid w:val="00C60ED4"/>
    <w:rsid w:val="00C613DB"/>
    <w:rsid w:val="00C61FDC"/>
    <w:rsid w:val="00C635A4"/>
    <w:rsid w:val="00C639DA"/>
    <w:rsid w:val="00C63F97"/>
    <w:rsid w:val="00C6572C"/>
    <w:rsid w:val="00C66924"/>
    <w:rsid w:val="00C672C4"/>
    <w:rsid w:val="00C674CB"/>
    <w:rsid w:val="00C67AC4"/>
    <w:rsid w:val="00C708F7"/>
    <w:rsid w:val="00C70CFF"/>
    <w:rsid w:val="00C71A6A"/>
    <w:rsid w:val="00C74092"/>
    <w:rsid w:val="00C75655"/>
    <w:rsid w:val="00C75A31"/>
    <w:rsid w:val="00C75D4E"/>
    <w:rsid w:val="00C761FB"/>
    <w:rsid w:val="00C7672B"/>
    <w:rsid w:val="00C7691A"/>
    <w:rsid w:val="00C76AF3"/>
    <w:rsid w:val="00C76C36"/>
    <w:rsid w:val="00C76C6A"/>
    <w:rsid w:val="00C77A1F"/>
    <w:rsid w:val="00C804C7"/>
    <w:rsid w:val="00C80AE8"/>
    <w:rsid w:val="00C80CA5"/>
    <w:rsid w:val="00C819B7"/>
    <w:rsid w:val="00C81DE1"/>
    <w:rsid w:val="00C8255A"/>
    <w:rsid w:val="00C82FC8"/>
    <w:rsid w:val="00C837C3"/>
    <w:rsid w:val="00C84497"/>
    <w:rsid w:val="00C868F6"/>
    <w:rsid w:val="00C86953"/>
    <w:rsid w:val="00C90D5A"/>
    <w:rsid w:val="00C90FBB"/>
    <w:rsid w:val="00C9137C"/>
    <w:rsid w:val="00C91644"/>
    <w:rsid w:val="00C930D3"/>
    <w:rsid w:val="00C930FD"/>
    <w:rsid w:val="00C9443A"/>
    <w:rsid w:val="00C9587B"/>
    <w:rsid w:val="00C9663B"/>
    <w:rsid w:val="00C97F2F"/>
    <w:rsid w:val="00CA118F"/>
    <w:rsid w:val="00CA1356"/>
    <w:rsid w:val="00CA269E"/>
    <w:rsid w:val="00CA2E99"/>
    <w:rsid w:val="00CA35C7"/>
    <w:rsid w:val="00CA3607"/>
    <w:rsid w:val="00CA3669"/>
    <w:rsid w:val="00CA416F"/>
    <w:rsid w:val="00CA43A5"/>
    <w:rsid w:val="00CA5FDE"/>
    <w:rsid w:val="00CA736F"/>
    <w:rsid w:val="00CA7C0B"/>
    <w:rsid w:val="00CA7F1D"/>
    <w:rsid w:val="00CB0C94"/>
    <w:rsid w:val="00CB18EB"/>
    <w:rsid w:val="00CB18FC"/>
    <w:rsid w:val="00CB2039"/>
    <w:rsid w:val="00CB21D2"/>
    <w:rsid w:val="00CB2301"/>
    <w:rsid w:val="00CB244C"/>
    <w:rsid w:val="00CB3C81"/>
    <w:rsid w:val="00CB56AB"/>
    <w:rsid w:val="00CB65BF"/>
    <w:rsid w:val="00CB6E2B"/>
    <w:rsid w:val="00CB6FF7"/>
    <w:rsid w:val="00CB7302"/>
    <w:rsid w:val="00CB792D"/>
    <w:rsid w:val="00CC0F04"/>
    <w:rsid w:val="00CC1E9F"/>
    <w:rsid w:val="00CC2973"/>
    <w:rsid w:val="00CC3ACB"/>
    <w:rsid w:val="00CC3FDE"/>
    <w:rsid w:val="00CC5896"/>
    <w:rsid w:val="00CC6F89"/>
    <w:rsid w:val="00CD045F"/>
    <w:rsid w:val="00CD12FE"/>
    <w:rsid w:val="00CD1627"/>
    <w:rsid w:val="00CD2B54"/>
    <w:rsid w:val="00CD4158"/>
    <w:rsid w:val="00CD50AF"/>
    <w:rsid w:val="00CD58A0"/>
    <w:rsid w:val="00CD5A0D"/>
    <w:rsid w:val="00CD7FF1"/>
    <w:rsid w:val="00CE017C"/>
    <w:rsid w:val="00CE0C35"/>
    <w:rsid w:val="00CE3810"/>
    <w:rsid w:val="00CE3A1B"/>
    <w:rsid w:val="00CE3D74"/>
    <w:rsid w:val="00CE4008"/>
    <w:rsid w:val="00CE427E"/>
    <w:rsid w:val="00CE444B"/>
    <w:rsid w:val="00CE49DB"/>
    <w:rsid w:val="00CE52B4"/>
    <w:rsid w:val="00CE5857"/>
    <w:rsid w:val="00CE59BB"/>
    <w:rsid w:val="00CE5DCD"/>
    <w:rsid w:val="00CE696B"/>
    <w:rsid w:val="00CE6E0B"/>
    <w:rsid w:val="00CE701C"/>
    <w:rsid w:val="00CE72B7"/>
    <w:rsid w:val="00CE7599"/>
    <w:rsid w:val="00CE7A16"/>
    <w:rsid w:val="00CF2095"/>
    <w:rsid w:val="00CF3A05"/>
    <w:rsid w:val="00CF414A"/>
    <w:rsid w:val="00CF47E1"/>
    <w:rsid w:val="00CF4FF0"/>
    <w:rsid w:val="00CF57B0"/>
    <w:rsid w:val="00CF5B47"/>
    <w:rsid w:val="00CF607B"/>
    <w:rsid w:val="00CF6869"/>
    <w:rsid w:val="00CF6A79"/>
    <w:rsid w:val="00D013CF"/>
    <w:rsid w:val="00D0196B"/>
    <w:rsid w:val="00D04BFF"/>
    <w:rsid w:val="00D04FDD"/>
    <w:rsid w:val="00D069ED"/>
    <w:rsid w:val="00D07194"/>
    <w:rsid w:val="00D079B4"/>
    <w:rsid w:val="00D104F9"/>
    <w:rsid w:val="00D12DD6"/>
    <w:rsid w:val="00D14323"/>
    <w:rsid w:val="00D1581D"/>
    <w:rsid w:val="00D15D9F"/>
    <w:rsid w:val="00D16008"/>
    <w:rsid w:val="00D166D4"/>
    <w:rsid w:val="00D16954"/>
    <w:rsid w:val="00D2099C"/>
    <w:rsid w:val="00D20D57"/>
    <w:rsid w:val="00D215A6"/>
    <w:rsid w:val="00D22631"/>
    <w:rsid w:val="00D241FB"/>
    <w:rsid w:val="00D2444D"/>
    <w:rsid w:val="00D263ED"/>
    <w:rsid w:val="00D2656C"/>
    <w:rsid w:val="00D30254"/>
    <w:rsid w:val="00D33768"/>
    <w:rsid w:val="00D33B06"/>
    <w:rsid w:val="00D33D87"/>
    <w:rsid w:val="00D34C7A"/>
    <w:rsid w:val="00D34F4A"/>
    <w:rsid w:val="00D35077"/>
    <w:rsid w:val="00D35A6E"/>
    <w:rsid w:val="00D3661A"/>
    <w:rsid w:val="00D408A8"/>
    <w:rsid w:val="00D40B27"/>
    <w:rsid w:val="00D40B57"/>
    <w:rsid w:val="00D41458"/>
    <w:rsid w:val="00D415D6"/>
    <w:rsid w:val="00D41844"/>
    <w:rsid w:val="00D41A9C"/>
    <w:rsid w:val="00D42510"/>
    <w:rsid w:val="00D4341D"/>
    <w:rsid w:val="00D43DC1"/>
    <w:rsid w:val="00D44A7C"/>
    <w:rsid w:val="00D44AD1"/>
    <w:rsid w:val="00D45204"/>
    <w:rsid w:val="00D45DD3"/>
    <w:rsid w:val="00D4647A"/>
    <w:rsid w:val="00D46DAE"/>
    <w:rsid w:val="00D479C7"/>
    <w:rsid w:val="00D50721"/>
    <w:rsid w:val="00D51346"/>
    <w:rsid w:val="00D51C8F"/>
    <w:rsid w:val="00D5204B"/>
    <w:rsid w:val="00D525BB"/>
    <w:rsid w:val="00D528B0"/>
    <w:rsid w:val="00D53460"/>
    <w:rsid w:val="00D54C10"/>
    <w:rsid w:val="00D55191"/>
    <w:rsid w:val="00D55CD0"/>
    <w:rsid w:val="00D57275"/>
    <w:rsid w:val="00D57544"/>
    <w:rsid w:val="00D57973"/>
    <w:rsid w:val="00D60704"/>
    <w:rsid w:val="00D60CE2"/>
    <w:rsid w:val="00D612EC"/>
    <w:rsid w:val="00D6153E"/>
    <w:rsid w:val="00D61B65"/>
    <w:rsid w:val="00D623C4"/>
    <w:rsid w:val="00D62932"/>
    <w:rsid w:val="00D62CE8"/>
    <w:rsid w:val="00D63CB6"/>
    <w:rsid w:val="00D6470B"/>
    <w:rsid w:val="00D669D3"/>
    <w:rsid w:val="00D67DE1"/>
    <w:rsid w:val="00D70368"/>
    <w:rsid w:val="00D70501"/>
    <w:rsid w:val="00D7065C"/>
    <w:rsid w:val="00D722DF"/>
    <w:rsid w:val="00D72A2E"/>
    <w:rsid w:val="00D741FF"/>
    <w:rsid w:val="00D762E0"/>
    <w:rsid w:val="00D769B9"/>
    <w:rsid w:val="00D77699"/>
    <w:rsid w:val="00D80710"/>
    <w:rsid w:val="00D807D4"/>
    <w:rsid w:val="00D8104D"/>
    <w:rsid w:val="00D81C1D"/>
    <w:rsid w:val="00D8223C"/>
    <w:rsid w:val="00D83F48"/>
    <w:rsid w:val="00D84675"/>
    <w:rsid w:val="00D8526A"/>
    <w:rsid w:val="00D86252"/>
    <w:rsid w:val="00D86A1D"/>
    <w:rsid w:val="00D86EF5"/>
    <w:rsid w:val="00D87CC5"/>
    <w:rsid w:val="00D917F3"/>
    <w:rsid w:val="00D95091"/>
    <w:rsid w:val="00D9576F"/>
    <w:rsid w:val="00D95CB0"/>
    <w:rsid w:val="00D96D38"/>
    <w:rsid w:val="00D9712A"/>
    <w:rsid w:val="00D973B2"/>
    <w:rsid w:val="00D97BAA"/>
    <w:rsid w:val="00DA0435"/>
    <w:rsid w:val="00DA0773"/>
    <w:rsid w:val="00DA1902"/>
    <w:rsid w:val="00DA1995"/>
    <w:rsid w:val="00DA3AF3"/>
    <w:rsid w:val="00DA495A"/>
    <w:rsid w:val="00DA4C31"/>
    <w:rsid w:val="00DA544F"/>
    <w:rsid w:val="00DA5455"/>
    <w:rsid w:val="00DA57F0"/>
    <w:rsid w:val="00DA5C2B"/>
    <w:rsid w:val="00DA648B"/>
    <w:rsid w:val="00DA6C17"/>
    <w:rsid w:val="00DA6F07"/>
    <w:rsid w:val="00DB0ED2"/>
    <w:rsid w:val="00DB1369"/>
    <w:rsid w:val="00DB169E"/>
    <w:rsid w:val="00DB2BFA"/>
    <w:rsid w:val="00DB3E83"/>
    <w:rsid w:val="00DB422A"/>
    <w:rsid w:val="00DB4754"/>
    <w:rsid w:val="00DB494C"/>
    <w:rsid w:val="00DB5EFB"/>
    <w:rsid w:val="00DB6EF1"/>
    <w:rsid w:val="00DB6F95"/>
    <w:rsid w:val="00DB73D6"/>
    <w:rsid w:val="00DB7732"/>
    <w:rsid w:val="00DB7F8D"/>
    <w:rsid w:val="00DC0893"/>
    <w:rsid w:val="00DC19BB"/>
    <w:rsid w:val="00DC2172"/>
    <w:rsid w:val="00DC2236"/>
    <w:rsid w:val="00DC4D3A"/>
    <w:rsid w:val="00DC5574"/>
    <w:rsid w:val="00DC6404"/>
    <w:rsid w:val="00DC72B1"/>
    <w:rsid w:val="00DC7B30"/>
    <w:rsid w:val="00DD113B"/>
    <w:rsid w:val="00DD215C"/>
    <w:rsid w:val="00DD28C4"/>
    <w:rsid w:val="00DD2CC2"/>
    <w:rsid w:val="00DD341E"/>
    <w:rsid w:val="00DD38C8"/>
    <w:rsid w:val="00DD3D8D"/>
    <w:rsid w:val="00DD4237"/>
    <w:rsid w:val="00DD4818"/>
    <w:rsid w:val="00DD57B3"/>
    <w:rsid w:val="00DD5848"/>
    <w:rsid w:val="00DD5D3F"/>
    <w:rsid w:val="00DD613D"/>
    <w:rsid w:val="00DD64C5"/>
    <w:rsid w:val="00DD6C47"/>
    <w:rsid w:val="00DD701A"/>
    <w:rsid w:val="00DD7ABC"/>
    <w:rsid w:val="00DD7FDF"/>
    <w:rsid w:val="00DE0776"/>
    <w:rsid w:val="00DE0B09"/>
    <w:rsid w:val="00DE134C"/>
    <w:rsid w:val="00DE1703"/>
    <w:rsid w:val="00DE180B"/>
    <w:rsid w:val="00DE25AC"/>
    <w:rsid w:val="00DE397C"/>
    <w:rsid w:val="00DE4373"/>
    <w:rsid w:val="00DE5DCF"/>
    <w:rsid w:val="00DE6744"/>
    <w:rsid w:val="00DE75C8"/>
    <w:rsid w:val="00DF03CC"/>
    <w:rsid w:val="00DF212C"/>
    <w:rsid w:val="00DF2791"/>
    <w:rsid w:val="00DF27D4"/>
    <w:rsid w:val="00DF31D0"/>
    <w:rsid w:val="00DF500E"/>
    <w:rsid w:val="00DF568D"/>
    <w:rsid w:val="00DF5BA6"/>
    <w:rsid w:val="00DF66C3"/>
    <w:rsid w:val="00DF67D2"/>
    <w:rsid w:val="00E0055D"/>
    <w:rsid w:val="00E00C1D"/>
    <w:rsid w:val="00E00CCB"/>
    <w:rsid w:val="00E01029"/>
    <w:rsid w:val="00E01614"/>
    <w:rsid w:val="00E02E11"/>
    <w:rsid w:val="00E03206"/>
    <w:rsid w:val="00E0324B"/>
    <w:rsid w:val="00E042C7"/>
    <w:rsid w:val="00E05451"/>
    <w:rsid w:val="00E0781A"/>
    <w:rsid w:val="00E10B7B"/>
    <w:rsid w:val="00E1105A"/>
    <w:rsid w:val="00E11475"/>
    <w:rsid w:val="00E116C5"/>
    <w:rsid w:val="00E12A46"/>
    <w:rsid w:val="00E12C12"/>
    <w:rsid w:val="00E139EC"/>
    <w:rsid w:val="00E13E04"/>
    <w:rsid w:val="00E1419D"/>
    <w:rsid w:val="00E146A9"/>
    <w:rsid w:val="00E149C5"/>
    <w:rsid w:val="00E167D3"/>
    <w:rsid w:val="00E175A7"/>
    <w:rsid w:val="00E20168"/>
    <w:rsid w:val="00E20740"/>
    <w:rsid w:val="00E20E92"/>
    <w:rsid w:val="00E23A83"/>
    <w:rsid w:val="00E245DA"/>
    <w:rsid w:val="00E24645"/>
    <w:rsid w:val="00E24817"/>
    <w:rsid w:val="00E24A2B"/>
    <w:rsid w:val="00E260C5"/>
    <w:rsid w:val="00E27177"/>
    <w:rsid w:val="00E274B5"/>
    <w:rsid w:val="00E30B77"/>
    <w:rsid w:val="00E31BCB"/>
    <w:rsid w:val="00E31CB5"/>
    <w:rsid w:val="00E32963"/>
    <w:rsid w:val="00E337BC"/>
    <w:rsid w:val="00E350CD"/>
    <w:rsid w:val="00E36217"/>
    <w:rsid w:val="00E372A9"/>
    <w:rsid w:val="00E4001B"/>
    <w:rsid w:val="00E43094"/>
    <w:rsid w:val="00E43D2A"/>
    <w:rsid w:val="00E43E14"/>
    <w:rsid w:val="00E44BE0"/>
    <w:rsid w:val="00E45A4C"/>
    <w:rsid w:val="00E461C0"/>
    <w:rsid w:val="00E47262"/>
    <w:rsid w:val="00E50B9E"/>
    <w:rsid w:val="00E50E3D"/>
    <w:rsid w:val="00E50F64"/>
    <w:rsid w:val="00E51E10"/>
    <w:rsid w:val="00E51FDE"/>
    <w:rsid w:val="00E534B2"/>
    <w:rsid w:val="00E55499"/>
    <w:rsid w:val="00E5659E"/>
    <w:rsid w:val="00E56B66"/>
    <w:rsid w:val="00E56F83"/>
    <w:rsid w:val="00E579AF"/>
    <w:rsid w:val="00E57CF3"/>
    <w:rsid w:val="00E602F4"/>
    <w:rsid w:val="00E60545"/>
    <w:rsid w:val="00E6066A"/>
    <w:rsid w:val="00E609AD"/>
    <w:rsid w:val="00E622CC"/>
    <w:rsid w:val="00E62523"/>
    <w:rsid w:val="00E629E5"/>
    <w:rsid w:val="00E63D14"/>
    <w:rsid w:val="00E63E31"/>
    <w:rsid w:val="00E64563"/>
    <w:rsid w:val="00E6468A"/>
    <w:rsid w:val="00E6572F"/>
    <w:rsid w:val="00E65A5A"/>
    <w:rsid w:val="00E65CE2"/>
    <w:rsid w:val="00E66223"/>
    <w:rsid w:val="00E705B7"/>
    <w:rsid w:val="00E7086E"/>
    <w:rsid w:val="00E70ECC"/>
    <w:rsid w:val="00E71839"/>
    <w:rsid w:val="00E71A89"/>
    <w:rsid w:val="00E71DE5"/>
    <w:rsid w:val="00E71FC7"/>
    <w:rsid w:val="00E724E0"/>
    <w:rsid w:val="00E75367"/>
    <w:rsid w:val="00E7569F"/>
    <w:rsid w:val="00E7694C"/>
    <w:rsid w:val="00E7694D"/>
    <w:rsid w:val="00E770B5"/>
    <w:rsid w:val="00E77197"/>
    <w:rsid w:val="00E778C3"/>
    <w:rsid w:val="00E77A3E"/>
    <w:rsid w:val="00E81B1A"/>
    <w:rsid w:val="00E826DF"/>
    <w:rsid w:val="00E83084"/>
    <w:rsid w:val="00E84FB3"/>
    <w:rsid w:val="00E85861"/>
    <w:rsid w:val="00E86A3E"/>
    <w:rsid w:val="00E87037"/>
    <w:rsid w:val="00E920B7"/>
    <w:rsid w:val="00E940E0"/>
    <w:rsid w:val="00E9530A"/>
    <w:rsid w:val="00E96D70"/>
    <w:rsid w:val="00E97078"/>
    <w:rsid w:val="00E9767C"/>
    <w:rsid w:val="00EA0F03"/>
    <w:rsid w:val="00EA1251"/>
    <w:rsid w:val="00EA1EF9"/>
    <w:rsid w:val="00EA2CA0"/>
    <w:rsid w:val="00EA3031"/>
    <w:rsid w:val="00EA3C3F"/>
    <w:rsid w:val="00EA5149"/>
    <w:rsid w:val="00EA60B4"/>
    <w:rsid w:val="00EA6F81"/>
    <w:rsid w:val="00EA7215"/>
    <w:rsid w:val="00EA7237"/>
    <w:rsid w:val="00EB055B"/>
    <w:rsid w:val="00EB0A51"/>
    <w:rsid w:val="00EB0DC2"/>
    <w:rsid w:val="00EB112A"/>
    <w:rsid w:val="00EB182A"/>
    <w:rsid w:val="00EB2FE6"/>
    <w:rsid w:val="00EB3353"/>
    <w:rsid w:val="00EB47AB"/>
    <w:rsid w:val="00EB4E06"/>
    <w:rsid w:val="00EB57D6"/>
    <w:rsid w:val="00EB6050"/>
    <w:rsid w:val="00EB6484"/>
    <w:rsid w:val="00EB67F6"/>
    <w:rsid w:val="00EB74FE"/>
    <w:rsid w:val="00EB7AFB"/>
    <w:rsid w:val="00EB7B52"/>
    <w:rsid w:val="00EC103A"/>
    <w:rsid w:val="00EC1212"/>
    <w:rsid w:val="00EC1D3D"/>
    <w:rsid w:val="00EC2922"/>
    <w:rsid w:val="00EC3151"/>
    <w:rsid w:val="00EC3331"/>
    <w:rsid w:val="00EC518F"/>
    <w:rsid w:val="00EC5B5B"/>
    <w:rsid w:val="00EC677E"/>
    <w:rsid w:val="00EC7071"/>
    <w:rsid w:val="00EC79C0"/>
    <w:rsid w:val="00EC7E67"/>
    <w:rsid w:val="00ED0903"/>
    <w:rsid w:val="00ED0DF3"/>
    <w:rsid w:val="00ED1F5D"/>
    <w:rsid w:val="00ED3143"/>
    <w:rsid w:val="00ED3E97"/>
    <w:rsid w:val="00ED3F10"/>
    <w:rsid w:val="00ED4CE6"/>
    <w:rsid w:val="00ED5536"/>
    <w:rsid w:val="00ED56CF"/>
    <w:rsid w:val="00ED5B5C"/>
    <w:rsid w:val="00ED647B"/>
    <w:rsid w:val="00ED6B5A"/>
    <w:rsid w:val="00ED70BD"/>
    <w:rsid w:val="00ED7934"/>
    <w:rsid w:val="00EE0AB9"/>
    <w:rsid w:val="00EE0B3E"/>
    <w:rsid w:val="00EE0CBE"/>
    <w:rsid w:val="00EE15B2"/>
    <w:rsid w:val="00EE1FD6"/>
    <w:rsid w:val="00EE37BB"/>
    <w:rsid w:val="00EE37C3"/>
    <w:rsid w:val="00EE4A57"/>
    <w:rsid w:val="00EE523E"/>
    <w:rsid w:val="00EE5571"/>
    <w:rsid w:val="00EE5D99"/>
    <w:rsid w:val="00EF1512"/>
    <w:rsid w:val="00EF19F4"/>
    <w:rsid w:val="00EF3F1B"/>
    <w:rsid w:val="00EF4058"/>
    <w:rsid w:val="00EF4099"/>
    <w:rsid w:val="00EF446C"/>
    <w:rsid w:val="00EF4F82"/>
    <w:rsid w:val="00EF6BDC"/>
    <w:rsid w:val="00EF7C32"/>
    <w:rsid w:val="00F0190F"/>
    <w:rsid w:val="00F01C4C"/>
    <w:rsid w:val="00F02786"/>
    <w:rsid w:val="00F02CC3"/>
    <w:rsid w:val="00F035D7"/>
    <w:rsid w:val="00F03E77"/>
    <w:rsid w:val="00F04090"/>
    <w:rsid w:val="00F0434F"/>
    <w:rsid w:val="00F048F7"/>
    <w:rsid w:val="00F05D0A"/>
    <w:rsid w:val="00F0670F"/>
    <w:rsid w:val="00F0692E"/>
    <w:rsid w:val="00F07FA6"/>
    <w:rsid w:val="00F110FB"/>
    <w:rsid w:val="00F11BB3"/>
    <w:rsid w:val="00F13036"/>
    <w:rsid w:val="00F15C3C"/>
    <w:rsid w:val="00F201D0"/>
    <w:rsid w:val="00F203C1"/>
    <w:rsid w:val="00F2127D"/>
    <w:rsid w:val="00F215DE"/>
    <w:rsid w:val="00F21D1A"/>
    <w:rsid w:val="00F221BD"/>
    <w:rsid w:val="00F22865"/>
    <w:rsid w:val="00F22BC9"/>
    <w:rsid w:val="00F244C9"/>
    <w:rsid w:val="00F24D75"/>
    <w:rsid w:val="00F261E3"/>
    <w:rsid w:val="00F270BB"/>
    <w:rsid w:val="00F30EB3"/>
    <w:rsid w:val="00F30ED5"/>
    <w:rsid w:val="00F32E80"/>
    <w:rsid w:val="00F32EB9"/>
    <w:rsid w:val="00F34B2F"/>
    <w:rsid w:val="00F34F33"/>
    <w:rsid w:val="00F36629"/>
    <w:rsid w:val="00F366D8"/>
    <w:rsid w:val="00F36D1F"/>
    <w:rsid w:val="00F3769E"/>
    <w:rsid w:val="00F40468"/>
    <w:rsid w:val="00F40F06"/>
    <w:rsid w:val="00F41172"/>
    <w:rsid w:val="00F42669"/>
    <w:rsid w:val="00F42972"/>
    <w:rsid w:val="00F4374F"/>
    <w:rsid w:val="00F44FFC"/>
    <w:rsid w:val="00F454F2"/>
    <w:rsid w:val="00F46A6E"/>
    <w:rsid w:val="00F47128"/>
    <w:rsid w:val="00F471C5"/>
    <w:rsid w:val="00F4749B"/>
    <w:rsid w:val="00F50AA5"/>
    <w:rsid w:val="00F510B1"/>
    <w:rsid w:val="00F513D0"/>
    <w:rsid w:val="00F514FB"/>
    <w:rsid w:val="00F523E8"/>
    <w:rsid w:val="00F52B73"/>
    <w:rsid w:val="00F536D6"/>
    <w:rsid w:val="00F56A79"/>
    <w:rsid w:val="00F56AFA"/>
    <w:rsid w:val="00F56CE9"/>
    <w:rsid w:val="00F56ED9"/>
    <w:rsid w:val="00F60793"/>
    <w:rsid w:val="00F60DFA"/>
    <w:rsid w:val="00F61151"/>
    <w:rsid w:val="00F6363E"/>
    <w:rsid w:val="00F63723"/>
    <w:rsid w:val="00F645EF"/>
    <w:rsid w:val="00F647E7"/>
    <w:rsid w:val="00F64E44"/>
    <w:rsid w:val="00F64ECE"/>
    <w:rsid w:val="00F665AE"/>
    <w:rsid w:val="00F67B6E"/>
    <w:rsid w:val="00F7174B"/>
    <w:rsid w:val="00F72A85"/>
    <w:rsid w:val="00F733EA"/>
    <w:rsid w:val="00F767C6"/>
    <w:rsid w:val="00F776D1"/>
    <w:rsid w:val="00F77765"/>
    <w:rsid w:val="00F77907"/>
    <w:rsid w:val="00F77EC3"/>
    <w:rsid w:val="00F8034F"/>
    <w:rsid w:val="00F8049C"/>
    <w:rsid w:val="00F816B4"/>
    <w:rsid w:val="00F821B4"/>
    <w:rsid w:val="00F823C6"/>
    <w:rsid w:val="00F83C3D"/>
    <w:rsid w:val="00F83E63"/>
    <w:rsid w:val="00F842C0"/>
    <w:rsid w:val="00F8480D"/>
    <w:rsid w:val="00F84BE7"/>
    <w:rsid w:val="00F84E26"/>
    <w:rsid w:val="00F84ED9"/>
    <w:rsid w:val="00F853B8"/>
    <w:rsid w:val="00F85E98"/>
    <w:rsid w:val="00F90F30"/>
    <w:rsid w:val="00F91762"/>
    <w:rsid w:val="00F91943"/>
    <w:rsid w:val="00F92924"/>
    <w:rsid w:val="00F9388B"/>
    <w:rsid w:val="00F945ED"/>
    <w:rsid w:val="00F94C7D"/>
    <w:rsid w:val="00F951A5"/>
    <w:rsid w:val="00F95989"/>
    <w:rsid w:val="00F96BCA"/>
    <w:rsid w:val="00FA0EEA"/>
    <w:rsid w:val="00FA1D23"/>
    <w:rsid w:val="00FA320A"/>
    <w:rsid w:val="00FA3453"/>
    <w:rsid w:val="00FA5C88"/>
    <w:rsid w:val="00FA6372"/>
    <w:rsid w:val="00FA6845"/>
    <w:rsid w:val="00FA72AF"/>
    <w:rsid w:val="00FA7C8B"/>
    <w:rsid w:val="00FA7EDE"/>
    <w:rsid w:val="00FB0249"/>
    <w:rsid w:val="00FB0F2F"/>
    <w:rsid w:val="00FB3499"/>
    <w:rsid w:val="00FB3CE5"/>
    <w:rsid w:val="00FB62F0"/>
    <w:rsid w:val="00FB6425"/>
    <w:rsid w:val="00FB793A"/>
    <w:rsid w:val="00FC0B12"/>
    <w:rsid w:val="00FC0E31"/>
    <w:rsid w:val="00FC14CC"/>
    <w:rsid w:val="00FC2DFD"/>
    <w:rsid w:val="00FC363C"/>
    <w:rsid w:val="00FC4506"/>
    <w:rsid w:val="00FC4636"/>
    <w:rsid w:val="00FC48D0"/>
    <w:rsid w:val="00FC490D"/>
    <w:rsid w:val="00FC5915"/>
    <w:rsid w:val="00FC5D6D"/>
    <w:rsid w:val="00FC6961"/>
    <w:rsid w:val="00FD07DD"/>
    <w:rsid w:val="00FD2233"/>
    <w:rsid w:val="00FD2D93"/>
    <w:rsid w:val="00FD5AD0"/>
    <w:rsid w:val="00FD6657"/>
    <w:rsid w:val="00FD7187"/>
    <w:rsid w:val="00FD733A"/>
    <w:rsid w:val="00FD7B20"/>
    <w:rsid w:val="00FE015F"/>
    <w:rsid w:val="00FE0276"/>
    <w:rsid w:val="00FE333A"/>
    <w:rsid w:val="00FE39CA"/>
    <w:rsid w:val="00FE4026"/>
    <w:rsid w:val="00FE49A9"/>
    <w:rsid w:val="00FE5873"/>
    <w:rsid w:val="00FE5DB4"/>
    <w:rsid w:val="00FE61B0"/>
    <w:rsid w:val="00FE6527"/>
    <w:rsid w:val="00FE6ADE"/>
    <w:rsid w:val="00FF0584"/>
    <w:rsid w:val="00FF1A54"/>
    <w:rsid w:val="00FF659E"/>
    <w:rsid w:val="00FF6B55"/>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4958B"/>
  <w15:docId w15:val="{4D5A7A93-8C16-47A2-94B2-99A690D6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Style 13,Style 12,Style 28,(NECG) Footnote Reference,Style 11,Style 9,Style 16,Style 15,Style 17,Style 20,o1,fr1,o2,fr2,o3,fr3,Style 8,Style 7,Style 19"/>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fn,ALTS FOOTNOTE,Footnote Text 2,Footnote text,FOOTNOTE,fn Char Char,fn Char,Car,Footnote Text Char1 Char,Footnote Text Char Char Char,ALTS FOOTNOTE Char Char Char,Footnote Text Char2 Char Char Char,ft,Style 14,Style 18"/>
    <w:basedOn w:val="Normal"/>
    <w:link w:val="FootnoteTextChar"/>
    <w:uiPriority w:val="99"/>
    <w:unhideWhenUsed/>
    <w:qFormat/>
    <w:rsid w:val="00F7174B"/>
  </w:style>
  <w:style w:type="character" w:customStyle="1" w:styleId="FootnoteTextChar">
    <w:name w:val="Footnote Text Char"/>
    <w:aliases w:val="fn Char1,ALTS FOOTNOTE Char,Footnote Text 2 Char,Footnote text Char,FOOTNOTE Char,fn Char Char Char,fn Char Char1,Car Char,Footnote Text Char1 Char Char,Footnote Text Char Char Char Char,ALTS FOOTNOTE Char Char Char Char,ft Char"/>
    <w:basedOn w:val="DefaultParagraphFont"/>
    <w:link w:val="FootnoteText"/>
    <w:uiPriority w:val="99"/>
    <w:qFormat/>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382138"/>
    <w:rPr>
      <w:sz w:val="16"/>
      <w:szCs w:val="16"/>
    </w:rPr>
  </w:style>
  <w:style w:type="paragraph" w:styleId="CommentText">
    <w:name w:val="annotation text"/>
    <w:basedOn w:val="Normal"/>
    <w:link w:val="CommentTextChar"/>
    <w:uiPriority w:val="99"/>
    <w:semiHidden/>
    <w:unhideWhenUsed/>
    <w:rsid w:val="00382138"/>
  </w:style>
  <w:style w:type="character" w:customStyle="1" w:styleId="CommentTextChar">
    <w:name w:val="Comment Text Char"/>
    <w:basedOn w:val="DefaultParagraphFont"/>
    <w:link w:val="CommentText"/>
    <w:uiPriority w:val="99"/>
    <w:semiHidden/>
    <w:rsid w:val="00382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138"/>
    <w:rPr>
      <w:b/>
      <w:bCs/>
    </w:rPr>
  </w:style>
  <w:style w:type="character" w:customStyle="1" w:styleId="CommentSubjectChar">
    <w:name w:val="Comment Subject Char"/>
    <w:basedOn w:val="CommentTextChar"/>
    <w:link w:val="CommentSubject"/>
    <w:uiPriority w:val="99"/>
    <w:semiHidden/>
    <w:rsid w:val="00382138"/>
    <w:rPr>
      <w:rFonts w:ascii="Times New Roman" w:eastAsia="Times New Roman" w:hAnsi="Times New Roman" w:cs="Times New Roman"/>
      <w:b/>
      <w:bCs/>
      <w:sz w:val="20"/>
      <w:szCs w:val="20"/>
    </w:rPr>
  </w:style>
  <w:style w:type="paragraph" w:styleId="NoSpacing">
    <w:name w:val="No Spacing"/>
    <w:uiPriority w:val="1"/>
    <w:qFormat/>
    <w:rsid w:val="00F32EB9"/>
    <w:pPr>
      <w:widowControl w:val="0"/>
      <w:spacing w:after="0" w:line="240" w:lineRule="auto"/>
    </w:pPr>
    <w:rPr>
      <w:rFonts w:ascii="Times New Roman" w:eastAsia="Times New Roman" w:hAnsi="Times New Roman" w:cs="Times New Roman"/>
      <w:sz w:val="20"/>
      <w:szCs w:val="20"/>
    </w:rPr>
  </w:style>
  <w:style w:type="paragraph" w:customStyle="1" w:styleId="Default">
    <w:name w:val="Default"/>
    <w:rsid w:val="00BB2EC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E53EB"/>
    <w:rPr>
      <w:b/>
      <w:bCs/>
    </w:rPr>
  </w:style>
  <w:style w:type="table" w:customStyle="1" w:styleId="ListTable7Colorful1">
    <w:name w:val="List Table 7 Colorful1"/>
    <w:basedOn w:val="TableNormal"/>
    <w:uiPriority w:val="52"/>
    <w:rsid w:val="006950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143">
      <w:bodyDiv w:val="1"/>
      <w:marLeft w:val="0"/>
      <w:marRight w:val="0"/>
      <w:marTop w:val="0"/>
      <w:marBottom w:val="0"/>
      <w:divBdr>
        <w:top w:val="none" w:sz="0" w:space="0" w:color="auto"/>
        <w:left w:val="none" w:sz="0" w:space="0" w:color="auto"/>
        <w:bottom w:val="none" w:sz="0" w:space="0" w:color="auto"/>
        <w:right w:val="none" w:sz="0" w:space="0" w:color="auto"/>
      </w:divBdr>
    </w:div>
    <w:div w:id="390468799">
      <w:bodyDiv w:val="1"/>
      <w:marLeft w:val="0"/>
      <w:marRight w:val="0"/>
      <w:marTop w:val="0"/>
      <w:marBottom w:val="0"/>
      <w:divBdr>
        <w:top w:val="none" w:sz="0" w:space="0" w:color="auto"/>
        <w:left w:val="none" w:sz="0" w:space="0" w:color="auto"/>
        <w:bottom w:val="none" w:sz="0" w:space="0" w:color="auto"/>
        <w:right w:val="none" w:sz="0" w:space="0" w:color="auto"/>
      </w:divBdr>
    </w:div>
    <w:div w:id="1344866938">
      <w:bodyDiv w:val="1"/>
      <w:marLeft w:val="0"/>
      <w:marRight w:val="0"/>
      <w:marTop w:val="0"/>
      <w:marBottom w:val="0"/>
      <w:divBdr>
        <w:top w:val="none" w:sz="0" w:space="0" w:color="auto"/>
        <w:left w:val="none" w:sz="0" w:space="0" w:color="auto"/>
        <w:bottom w:val="none" w:sz="0" w:space="0" w:color="auto"/>
        <w:right w:val="none" w:sz="0" w:space="0" w:color="auto"/>
      </w:divBdr>
      <w:divsChild>
        <w:div w:id="1946880536">
          <w:marLeft w:val="0"/>
          <w:marRight w:val="0"/>
          <w:marTop w:val="0"/>
          <w:marBottom w:val="0"/>
          <w:divBdr>
            <w:top w:val="none" w:sz="0" w:space="0" w:color="auto"/>
            <w:left w:val="none" w:sz="0" w:space="0" w:color="auto"/>
            <w:bottom w:val="none" w:sz="0" w:space="0" w:color="auto"/>
            <w:right w:val="none" w:sz="0" w:space="0" w:color="auto"/>
          </w:divBdr>
          <w:divsChild>
            <w:div w:id="1617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F563-B7ED-4D82-8406-FB35AB09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4285</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eberzonsky</dc:creator>
  <cp:lastModifiedBy>Farner, Joyce</cp:lastModifiedBy>
  <cp:revision>5</cp:revision>
  <cp:lastPrinted>2018-04-19T13:24:00Z</cp:lastPrinted>
  <dcterms:created xsi:type="dcterms:W3CDTF">2018-04-10T13:46:00Z</dcterms:created>
  <dcterms:modified xsi:type="dcterms:W3CDTF">2018-05-18T12:47:00Z</dcterms:modified>
</cp:coreProperties>
</file>