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A3D" w:rsidRPr="00A9787D" w:rsidRDefault="000B5A3D" w:rsidP="00EC224F">
      <w:pPr>
        <w:widowControl/>
        <w:tabs>
          <w:tab w:val="center" w:pos="4680"/>
        </w:tabs>
        <w:suppressAutoHyphens/>
        <w:jc w:val="center"/>
        <w:rPr>
          <w:b/>
          <w:sz w:val="26"/>
          <w:szCs w:val="26"/>
        </w:rPr>
      </w:pPr>
      <w:r w:rsidRPr="00A9787D">
        <w:rPr>
          <w:b/>
          <w:sz w:val="26"/>
          <w:szCs w:val="26"/>
        </w:rPr>
        <w:t>PENNSYLVANIA</w:t>
      </w:r>
    </w:p>
    <w:p w:rsidR="000B5A3D" w:rsidRPr="00A9787D" w:rsidRDefault="000B5A3D" w:rsidP="00EC224F">
      <w:pPr>
        <w:widowControl/>
        <w:tabs>
          <w:tab w:val="center" w:pos="4680"/>
        </w:tabs>
        <w:suppressAutoHyphens/>
        <w:jc w:val="center"/>
        <w:rPr>
          <w:sz w:val="26"/>
          <w:szCs w:val="26"/>
        </w:rPr>
      </w:pPr>
      <w:r w:rsidRPr="00A9787D">
        <w:rPr>
          <w:b/>
          <w:sz w:val="26"/>
          <w:szCs w:val="26"/>
        </w:rPr>
        <w:t>PUBLIC UTILITY COMMISSION</w:t>
      </w:r>
    </w:p>
    <w:p w:rsidR="000B5A3D" w:rsidRPr="00A9787D" w:rsidRDefault="000B5A3D" w:rsidP="00EC224F">
      <w:pPr>
        <w:widowControl/>
        <w:tabs>
          <w:tab w:val="center" w:pos="4680"/>
        </w:tabs>
        <w:suppressAutoHyphens/>
        <w:jc w:val="center"/>
        <w:rPr>
          <w:sz w:val="26"/>
          <w:szCs w:val="26"/>
        </w:rPr>
      </w:pPr>
      <w:r w:rsidRPr="00A9787D">
        <w:rPr>
          <w:b/>
          <w:sz w:val="26"/>
          <w:szCs w:val="26"/>
        </w:rPr>
        <w:t>Harrisburg, PA 17105-3265</w:t>
      </w:r>
    </w:p>
    <w:p w:rsidR="000B5A3D" w:rsidRPr="00A9787D" w:rsidRDefault="000B5A3D" w:rsidP="00EC224F">
      <w:pPr>
        <w:widowControl/>
        <w:tabs>
          <w:tab w:val="left" w:pos="-720"/>
        </w:tabs>
        <w:suppressAutoHyphens/>
        <w:rPr>
          <w:sz w:val="26"/>
          <w:szCs w:val="26"/>
        </w:rPr>
      </w:pPr>
    </w:p>
    <w:p w:rsidR="000B5A3D" w:rsidRPr="00A9787D" w:rsidRDefault="000B5A3D" w:rsidP="00EC224F">
      <w:pPr>
        <w:widowControl/>
        <w:rPr>
          <w:sz w:val="26"/>
          <w:szCs w:val="26"/>
        </w:rPr>
      </w:pPr>
    </w:p>
    <w:tbl>
      <w:tblPr>
        <w:tblStyle w:val="TableGrid"/>
        <w:tblW w:w="99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4677"/>
      </w:tblGrid>
      <w:tr w:rsidR="000B5A3D" w:rsidRPr="00A9787D" w:rsidTr="002D4399">
        <w:trPr>
          <w:trHeight w:val="1488"/>
        </w:trPr>
        <w:tc>
          <w:tcPr>
            <w:tcW w:w="5268" w:type="dxa"/>
          </w:tcPr>
          <w:p w:rsidR="000B5A3D" w:rsidRPr="00A9787D" w:rsidRDefault="000B5A3D" w:rsidP="00EC224F">
            <w:pPr>
              <w:widowControl/>
              <w:rPr>
                <w:sz w:val="26"/>
                <w:szCs w:val="26"/>
              </w:rPr>
            </w:pPr>
          </w:p>
        </w:tc>
        <w:tc>
          <w:tcPr>
            <w:tcW w:w="4677" w:type="dxa"/>
          </w:tcPr>
          <w:p w:rsidR="000B5A3D" w:rsidRPr="00A9787D" w:rsidRDefault="000B5A3D" w:rsidP="00EC224F">
            <w:pPr>
              <w:widowControl/>
              <w:jc w:val="right"/>
              <w:rPr>
                <w:sz w:val="26"/>
                <w:szCs w:val="26"/>
              </w:rPr>
            </w:pPr>
            <w:r>
              <w:rPr>
                <w:sz w:val="26"/>
                <w:szCs w:val="26"/>
              </w:rPr>
              <w:t>Public Meeting held April 5, 2018</w:t>
            </w:r>
          </w:p>
        </w:tc>
      </w:tr>
      <w:tr w:rsidR="000B5A3D" w:rsidRPr="00A9787D" w:rsidTr="002D4399">
        <w:trPr>
          <w:trHeight w:val="2663"/>
        </w:trPr>
        <w:tc>
          <w:tcPr>
            <w:tcW w:w="5268" w:type="dxa"/>
          </w:tcPr>
          <w:p w:rsidR="000B5A3D" w:rsidRDefault="000B5A3D" w:rsidP="00EC224F">
            <w:pPr>
              <w:widowControl/>
              <w:rPr>
                <w:sz w:val="26"/>
                <w:szCs w:val="26"/>
              </w:rPr>
            </w:pPr>
            <w:r w:rsidRPr="00A9787D">
              <w:rPr>
                <w:sz w:val="26"/>
                <w:szCs w:val="26"/>
              </w:rPr>
              <w:t>Commissioners Present:</w:t>
            </w:r>
          </w:p>
          <w:p w:rsidR="000B5A3D" w:rsidRPr="00A9787D" w:rsidRDefault="000B5A3D" w:rsidP="00EC224F">
            <w:pPr>
              <w:widowControl/>
              <w:rPr>
                <w:sz w:val="26"/>
                <w:szCs w:val="26"/>
              </w:rPr>
            </w:pPr>
          </w:p>
          <w:p w:rsidR="000B5A3D" w:rsidRPr="003D0DCD" w:rsidRDefault="000B5A3D" w:rsidP="00EC224F">
            <w:pPr>
              <w:widowControl/>
              <w:tabs>
                <w:tab w:val="left" w:pos="705"/>
              </w:tabs>
              <w:ind w:left="720"/>
              <w:contextualSpacing/>
              <w:rPr>
                <w:sz w:val="26"/>
                <w:szCs w:val="26"/>
              </w:rPr>
            </w:pPr>
            <w:r w:rsidRPr="003D0DCD">
              <w:rPr>
                <w:sz w:val="26"/>
                <w:szCs w:val="26"/>
              </w:rPr>
              <w:t>Gladys M. Brown, Chairman</w:t>
            </w:r>
          </w:p>
          <w:p w:rsidR="000B5A3D" w:rsidRDefault="000B5A3D" w:rsidP="00EC224F">
            <w:pPr>
              <w:widowControl/>
              <w:tabs>
                <w:tab w:val="left" w:pos="705"/>
              </w:tabs>
              <w:ind w:left="720"/>
              <w:contextualSpacing/>
              <w:rPr>
                <w:sz w:val="26"/>
                <w:szCs w:val="26"/>
              </w:rPr>
            </w:pPr>
            <w:r w:rsidRPr="003D0DCD">
              <w:rPr>
                <w:sz w:val="26"/>
                <w:szCs w:val="26"/>
              </w:rPr>
              <w:t>Andrew G. Place, Vice Chairman</w:t>
            </w:r>
          </w:p>
          <w:p w:rsidR="000B5A3D" w:rsidRDefault="000B5A3D" w:rsidP="00EC224F">
            <w:pPr>
              <w:widowControl/>
              <w:ind w:left="720"/>
              <w:rPr>
                <w:color w:val="000000"/>
                <w:sz w:val="26"/>
                <w:szCs w:val="26"/>
              </w:rPr>
            </w:pPr>
            <w:r>
              <w:rPr>
                <w:color w:val="000000"/>
                <w:sz w:val="26"/>
                <w:szCs w:val="26"/>
              </w:rPr>
              <w:t>Norman J. Kennard</w:t>
            </w:r>
          </w:p>
          <w:p w:rsidR="000B5A3D" w:rsidRPr="003D0DCD" w:rsidRDefault="000B5A3D" w:rsidP="00EC224F">
            <w:pPr>
              <w:widowControl/>
              <w:tabs>
                <w:tab w:val="left" w:pos="705"/>
              </w:tabs>
              <w:ind w:left="720"/>
              <w:contextualSpacing/>
              <w:rPr>
                <w:sz w:val="26"/>
                <w:szCs w:val="26"/>
              </w:rPr>
            </w:pPr>
            <w:r w:rsidRPr="003D0DCD">
              <w:rPr>
                <w:sz w:val="26"/>
                <w:szCs w:val="26"/>
              </w:rPr>
              <w:t>David W. Sweet</w:t>
            </w:r>
            <w:r w:rsidR="00875C61">
              <w:rPr>
                <w:sz w:val="26"/>
                <w:szCs w:val="26"/>
              </w:rPr>
              <w:t>, dissenting</w:t>
            </w:r>
          </w:p>
          <w:p w:rsidR="000B5A3D" w:rsidRPr="00A9787D" w:rsidRDefault="000B5A3D" w:rsidP="00EC224F">
            <w:pPr>
              <w:widowControl/>
              <w:tabs>
                <w:tab w:val="left" w:pos="705"/>
              </w:tabs>
              <w:ind w:left="720"/>
              <w:contextualSpacing/>
              <w:rPr>
                <w:sz w:val="26"/>
                <w:szCs w:val="26"/>
              </w:rPr>
            </w:pPr>
            <w:r>
              <w:rPr>
                <w:sz w:val="26"/>
                <w:szCs w:val="26"/>
              </w:rPr>
              <w:t>John F. Coleman, Jr.</w:t>
            </w:r>
          </w:p>
          <w:p w:rsidR="000B5A3D" w:rsidRPr="00A9787D" w:rsidRDefault="000B5A3D" w:rsidP="00EC224F">
            <w:pPr>
              <w:widowControl/>
              <w:rPr>
                <w:sz w:val="26"/>
                <w:szCs w:val="26"/>
              </w:rPr>
            </w:pPr>
          </w:p>
        </w:tc>
        <w:tc>
          <w:tcPr>
            <w:tcW w:w="4677" w:type="dxa"/>
          </w:tcPr>
          <w:p w:rsidR="000B5A3D" w:rsidRPr="00A9787D" w:rsidRDefault="000B5A3D" w:rsidP="00EC224F">
            <w:pPr>
              <w:widowControl/>
              <w:jc w:val="right"/>
              <w:rPr>
                <w:sz w:val="26"/>
                <w:szCs w:val="26"/>
              </w:rPr>
            </w:pPr>
          </w:p>
          <w:p w:rsidR="000B5A3D" w:rsidRPr="00A9787D" w:rsidRDefault="000B5A3D" w:rsidP="00EC224F">
            <w:pPr>
              <w:widowControl/>
              <w:jc w:val="right"/>
              <w:rPr>
                <w:sz w:val="26"/>
                <w:szCs w:val="26"/>
              </w:rPr>
            </w:pPr>
          </w:p>
        </w:tc>
      </w:tr>
      <w:tr w:rsidR="000B5A3D" w:rsidRPr="00A9787D" w:rsidTr="002D4399">
        <w:trPr>
          <w:trHeight w:val="669"/>
        </w:trPr>
        <w:tc>
          <w:tcPr>
            <w:tcW w:w="5268" w:type="dxa"/>
          </w:tcPr>
          <w:p w:rsidR="000B5A3D" w:rsidRPr="000B5A3D" w:rsidRDefault="000B5A3D" w:rsidP="00EC224F">
            <w:pPr>
              <w:widowControl/>
              <w:rPr>
                <w:sz w:val="26"/>
                <w:szCs w:val="26"/>
              </w:rPr>
            </w:pPr>
            <w:r w:rsidRPr="000B5A3D">
              <w:rPr>
                <w:sz w:val="26"/>
                <w:szCs w:val="26"/>
              </w:rPr>
              <w:t xml:space="preserve">Geraldine Weston </w:t>
            </w:r>
          </w:p>
        </w:tc>
        <w:tc>
          <w:tcPr>
            <w:tcW w:w="4677" w:type="dxa"/>
          </w:tcPr>
          <w:p w:rsidR="000B5A3D" w:rsidRPr="000B5A3D" w:rsidRDefault="000B5A3D" w:rsidP="00EC224F">
            <w:pPr>
              <w:widowControl/>
              <w:jc w:val="right"/>
              <w:rPr>
                <w:sz w:val="26"/>
                <w:szCs w:val="26"/>
              </w:rPr>
            </w:pPr>
            <w:r w:rsidRPr="000B5A3D">
              <w:rPr>
                <w:bCs/>
                <w:sz w:val="26"/>
                <w:szCs w:val="26"/>
              </w:rPr>
              <w:t>C-2016-2524994</w:t>
            </w:r>
          </w:p>
        </w:tc>
      </w:tr>
      <w:tr w:rsidR="000B5A3D" w:rsidRPr="00A9787D" w:rsidTr="002D4399">
        <w:trPr>
          <w:trHeight w:val="669"/>
        </w:trPr>
        <w:tc>
          <w:tcPr>
            <w:tcW w:w="5268" w:type="dxa"/>
          </w:tcPr>
          <w:p w:rsidR="000B5A3D" w:rsidRPr="000B5A3D" w:rsidRDefault="00405EC5" w:rsidP="00EC224F">
            <w:pPr>
              <w:widowControl/>
              <w:rPr>
                <w:sz w:val="26"/>
                <w:szCs w:val="26"/>
              </w:rPr>
            </w:pPr>
            <w:r>
              <w:rPr>
                <w:sz w:val="26"/>
                <w:szCs w:val="26"/>
              </w:rPr>
              <w:t xml:space="preserve">                </w:t>
            </w:r>
            <w:r w:rsidR="000B5A3D" w:rsidRPr="000B5A3D">
              <w:rPr>
                <w:sz w:val="26"/>
                <w:szCs w:val="26"/>
              </w:rPr>
              <w:t>v.</w:t>
            </w:r>
          </w:p>
        </w:tc>
        <w:tc>
          <w:tcPr>
            <w:tcW w:w="4677" w:type="dxa"/>
          </w:tcPr>
          <w:p w:rsidR="000B5A3D" w:rsidRPr="000B5A3D" w:rsidRDefault="000B5A3D" w:rsidP="00EC224F">
            <w:pPr>
              <w:widowControl/>
              <w:jc w:val="right"/>
              <w:rPr>
                <w:bCs/>
                <w:sz w:val="26"/>
                <w:szCs w:val="26"/>
              </w:rPr>
            </w:pPr>
          </w:p>
        </w:tc>
      </w:tr>
      <w:tr w:rsidR="000B5A3D" w:rsidRPr="00A9787D" w:rsidTr="002D4399">
        <w:trPr>
          <w:trHeight w:val="669"/>
        </w:trPr>
        <w:tc>
          <w:tcPr>
            <w:tcW w:w="5268" w:type="dxa"/>
          </w:tcPr>
          <w:p w:rsidR="000B5A3D" w:rsidRPr="000B5A3D" w:rsidRDefault="00A025DB" w:rsidP="00EC224F">
            <w:pPr>
              <w:widowControl/>
              <w:rPr>
                <w:sz w:val="26"/>
                <w:szCs w:val="26"/>
              </w:rPr>
            </w:pPr>
            <w:r>
              <w:rPr>
                <w:sz w:val="26"/>
                <w:szCs w:val="26"/>
              </w:rPr>
              <w:t>Philadelphia Gas Work</w:t>
            </w:r>
            <w:r w:rsidR="000B5A3D">
              <w:rPr>
                <w:sz w:val="26"/>
                <w:szCs w:val="26"/>
              </w:rPr>
              <w:t>s</w:t>
            </w:r>
          </w:p>
        </w:tc>
        <w:tc>
          <w:tcPr>
            <w:tcW w:w="4677" w:type="dxa"/>
          </w:tcPr>
          <w:p w:rsidR="000B5A3D" w:rsidRPr="000B5A3D" w:rsidRDefault="000B5A3D" w:rsidP="00EC224F">
            <w:pPr>
              <w:widowControl/>
              <w:jc w:val="right"/>
              <w:rPr>
                <w:bCs/>
                <w:sz w:val="26"/>
                <w:szCs w:val="26"/>
              </w:rPr>
            </w:pPr>
          </w:p>
        </w:tc>
      </w:tr>
    </w:tbl>
    <w:p w:rsidR="000B5A3D" w:rsidRPr="00A9787D" w:rsidRDefault="000B5A3D" w:rsidP="00EC224F">
      <w:pPr>
        <w:widowControl/>
        <w:rPr>
          <w:sz w:val="26"/>
          <w:szCs w:val="26"/>
        </w:rPr>
      </w:pPr>
    </w:p>
    <w:p w:rsidR="000B5A3D" w:rsidRPr="00A9787D" w:rsidRDefault="000B5A3D" w:rsidP="00EC224F">
      <w:pPr>
        <w:widowControl/>
        <w:jc w:val="center"/>
        <w:rPr>
          <w:b/>
          <w:sz w:val="26"/>
          <w:szCs w:val="26"/>
        </w:rPr>
      </w:pPr>
      <w:r w:rsidRPr="00A9787D">
        <w:rPr>
          <w:b/>
          <w:sz w:val="26"/>
          <w:szCs w:val="26"/>
        </w:rPr>
        <w:t>OPINION AND ORDER</w:t>
      </w:r>
    </w:p>
    <w:p w:rsidR="000B5A3D" w:rsidRPr="00A9787D" w:rsidRDefault="000B5A3D" w:rsidP="00EC224F">
      <w:pPr>
        <w:widowControl/>
        <w:jc w:val="center"/>
        <w:rPr>
          <w:b/>
          <w:sz w:val="26"/>
          <w:szCs w:val="26"/>
        </w:rPr>
      </w:pPr>
    </w:p>
    <w:p w:rsidR="000B5A3D" w:rsidRPr="00A9787D" w:rsidRDefault="000B5A3D" w:rsidP="00EC224F">
      <w:pPr>
        <w:widowControl/>
        <w:rPr>
          <w:b/>
          <w:sz w:val="26"/>
          <w:szCs w:val="26"/>
        </w:rPr>
      </w:pPr>
      <w:r w:rsidRPr="00A9787D">
        <w:rPr>
          <w:b/>
          <w:sz w:val="26"/>
          <w:szCs w:val="26"/>
        </w:rPr>
        <w:t>BY THE COMMISSION:</w:t>
      </w:r>
    </w:p>
    <w:p w:rsidR="000B5A3D" w:rsidRPr="00A9787D" w:rsidRDefault="000B5A3D" w:rsidP="00EC224F">
      <w:pPr>
        <w:widowControl/>
        <w:rPr>
          <w:sz w:val="26"/>
          <w:szCs w:val="26"/>
        </w:rPr>
      </w:pPr>
    </w:p>
    <w:p w:rsidR="000B5A3D" w:rsidRPr="00A9787D" w:rsidRDefault="000B5A3D" w:rsidP="00EC224F">
      <w:pPr>
        <w:widowControl/>
        <w:rPr>
          <w:sz w:val="26"/>
          <w:szCs w:val="26"/>
        </w:rPr>
      </w:pPr>
    </w:p>
    <w:p w:rsidR="00C12AA8" w:rsidRPr="00FC3806" w:rsidRDefault="00C12AA8" w:rsidP="00EC224F">
      <w:pPr>
        <w:widowControl/>
        <w:spacing w:line="360" w:lineRule="auto"/>
        <w:ind w:firstLine="1440"/>
        <w:rPr>
          <w:sz w:val="26"/>
          <w:szCs w:val="26"/>
        </w:rPr>
      </w:pPr>
      <w:r w:rsidRPr="00FC3806">
        <w:rPr>
          <w:sz w:val="26"/>
          <w:szCs w:val="26"/>
        </w:rPr>
        <w:t xml:space="preserve">Before the Pennsylvania Public Utility Commission (Commission) for consideration and disposition is the Initial Decision (I.D.) of Administrative Law Judge (ALJ) </w:t>
      </w:r>
      <w:r>
        <w:rPr>
          <w:sz w:val="26"/>
          <w:szCs w:val="26"/>
        </w:rPr>
        <w:t>Marta Guhl</w:t>
      </w:r>
      <w:r w:rsidRPr="00FC3806">
        <w:rPr>
          <w:sz w:val="26"/>
          <w:szCs w:val="26"/>
        </w:rPr>
        <w:t xml:space="preserve">, issued on </w:t>
      </w:r>
      <w:r>
        <w:rPr>
          <w:sz w:val="26"/>
          <w:szCs w:val="26"/>
        </w:rPr>
        <w:t>November 21</w:t>
      </w:r>
      <w:r w:rsidRPr="00FC3806">
        <w:rPr>
          <w:sz w:val="26"/>
          <w:szCs w:val="26"/>
        </w:rPr>
        <w:t xml:space="preserve">, 2017, </w:t>
      </w:r>
      <w:r>
        <w:rPr>
          <w:sz w:val="26"/>
          <w:szCs w:val="26"/>
        </w:rPr>
        <w:t>granting</w:t>
      </w:r>
      <w:r w:rsidRPr="00FC3806">
        <w:rPr>
          <w:sz w:val="26"/>
          <w:szCs w:val="26"/>
        </w:rPr>
        <w:t xml:space="preserve"> the above-captioned</w:t>
      </w:r>
      <w:r w:rsidRPr="00FC3806">
        <w:rPr>
          <w:sz w:val="26"/>
        </w:rPr>
        <w:t xml:space="preserve"> Formal Complaint (Complaint) of </w:t>
      </w:r>
      <w:r>
        <w:rPr>
          <w:sz w:val="26"/>
          <w:szCs w:val="26"/>
        </w:rPr>
        <w:t>Geraldine Weston</w:t>
      </w:r>
      <w:r w:rsidRPr="00FC3806">
        <w:rPr>
          <w:sz w:val="26"/>
          <w:szCs w:val="26"/>
        </w:rPr>
        <w:t xml:space="preserve"> (</w:t>
      </w:r>
      <w:r w:rsidR="000A1DEE">
        <w:rPr>
          <w:sz w:val="26"/>
          <w:szCs w:val="26"/>
        </w:rPr>
        <w:t xml:space="preserve">Ms. Weston or </w:t>
      </w:r>
      <w:r>
        <w:rPr>
          <w:sz w:val="26"/>
          <w:szCs w:val="26"/>
        </w:rPr>
        <w:t xml:space="preserve">the </w:t>
      </w:r>
      <w:r w:rsidRPr="00FC3806">
        <w:rPr>
          <w:sz w:val="26"/>
          <w:szCs w:val="26"/>
        </w:rPr>
        <w:t xml:space="preserve">Complainant) against </w:t>
      </w:r>
      <w:r>
        <w:rPr>
          <w:sz w:val="26"/>
        </w:rPr>
        <w:t>Philadelphia Gas Works</w:t>
      </w:r>
      <w:r w:rsidRPr="00FC3806">
        <w:rPr>
          <w:sz w:val="26"/>
        </w:rPr>
        <w:t xml:space="preserve"> (</w:t>
      </w:r>
      <w:r>
        <w:rPr>
          <w:sz w:val="26"/>
        </w:rPr>
        <w:t>PGW</w:t>
      </w:r>
      <w:r w:rsidR="000A1DEE">
        <w:rPr>
          <w:sz w:val="26"/>
        </w:rPr>
        <w:t xml:space="preserve">, Company </w:t>
      </w:r>
      <w:r w:rsidRPr="00FC3806">
        <w:rPr>
          <w:sz w:val="26"/>
        </w:rPr>
        <w:t>or Respondent).  Exceptions ha</w:t>
      </w:r>
      <w:r>
        <w:rPr>
          <w:sz w:val="26"/>
        </w:rPr>
        <w:t>ve</w:t>
      </w:r>
      <w:r w:rsidRPr="00FC3806">
        <w:rPr>
          <w:sz w:val="26"/>
        </w:rPr>
        <w:t xml:space="preserve"> not been filed.  We </w:t>
      </w:r>
      <w:r w:rsidRPr="00FC3806">
        <w:rPr>
          <w:sz w:val="26"/>
          <w:szCs w:val="26"/>
        </w:rPr>
        <w:t xml:space="preserve">exercised our right to review the Initial Decision pursuant to Section 332(h) of the Public Utility Code (Code), 66 Pa. C.S. § 332(h).  For the reasons set forth below, we </w:t>
      </w:r>
      <w:r w:rsidRPr="00FC3806">
        <w:rPr>
          <w:sz w:val="26"/>
          <w:szCs w:val="26"/>
        </w:rPr>
        <w:lastRenderedPageBreak/>
        <w:t>shall reverse the ALJ’s Initial Decision</w:t>
      </w:r>
      <w:r>
        <w:rPr>
          <w:sz w:val="26"/>
          <w:szCs w:val="26"/>
        </w:rPr>
        <w:t xml:space="preserve"> and dismiss </w:t>
      </w:r>
      <w:r w:rsidRPr="00FC3806">
        <w:rPr>
          <w:sz w:val="26"/>
          <w:szCs w:val="26"/>
        </w:rPr>
        <w:t>the Complaint</w:t>
      </w:r>
      <w:r>
        <w:rPr>
          <w:sz w:val="26"/>
          <w:szCs w:val="26"/>
        </w:rPr>
        <w:t>,</w:t>
      </w:r>
      <w:r w:rsidRPr="00FC3806">
        <w:rPr>
          <w:sz w:val="26"/>
          <w:szCs w:val="26"/>
        </w:rPr>
        <w:t xml:space="preserve"> </w:t>
      </w:r>
      <w:r>
        <w:rPr>
          <w:sz w:val="26"/>
          <w:szCs w:val="26"/>
        </w:rPr>
        <w:t>consistent with this Opinion and Order.</w:t>
      </w:r>
    </w:p>
    <w:p w:rsidR="000B5A3D" w:rsidRDefault="000B5A3D" w:rsidP="00EC224F">
      <w:pPr>
        <w:widowControl/>
        <w:spacing w:line="360" w:lineRule="auto"/>
        <w:ind w:firstLine="1440"/>
        <w:rPr>
          <w:sz w:val="26"/>
          <w:szCs w:val="26"/>
        </w:rPr>
      </w:pPr>
    </w:p>
    <w:p w:rsidR="000B5A3D" w:rsidRDefault="000B5A3D" w:rsidP="00EC224F">
      <w:pPr>
        <w:keepNext/>
        <w:keepLines/>
        <w:widowControl/>
        <w:spacing w:line="360" w:lineRule="auto"/>
        <w:jc w:val="center"/>
        <w:rPr>
          <w:b/>
          <w:sz w:val="26"/>
          <w:szCs w:val="26"/>
        </w:rPr>
      </w:pPr>
      <w:r>
        <w:rPr>
          <w:b/>
          <w:sz w:val="26"/>
          <w:szCs w:val="26"/>
        </w:rPr>
        <w:t>History of Proceeding</w:t>
      </w:r>
    </w:p>
    <w:p w:rsidR="000B5A3D" w:rsidRDefault="000B5A3D" w:rsidP="00EC224F">
      <w:pPr>
        <w:pStyle w:val="Default"/>
        <w:keepNext/>
        <w:keepLines/>
      </w:pPr>
    </w:p>
    <w:p w:rsidR="000B5A3D" w:rsidRPr="00DA2A78" w:rsidRDefault="000B5A3D" w:rsidP="00EC224F">
      <w:pPr>
        <w:widowControl/>
        <w:spacing w:line="360" w:lineRule="auto"/>
        <w:ind w:firstLine="1440"/>
        <w:rPr>
          <w:sz w:val="26"/>
          <w:szCs w:val="26"/>
        </w:rPr>
      </w:pPr>
      <w:r w:rsidRPr="00DA2A78">
        <w:rPr>
          <w:sz w:val="26"/>
          <w:szCs w:val="26"/>
        </w:rPr>
        <w:t xml:space="preserve">On January 19, 2016, Ms. Weston filed </w:t>
      </w:r>
      <w:r w:rsidR="000A1DEE">
        <w:rPr>
          <w:sz w:val="26"/>
          <w:szCs w:val="26"/>
        </w:rPr>
        <w:t>the above-captioned Complaint</w:t>
      </w:r>
      <w:r w:rsidRPr="00DA2A78">
        <w:rPr>
          <w:sz w:val="26"/>
          <w:szCs w:val="26"/>
        </w:rPr>
        <w:t xml:space="preserve"> against </w:t>
      </w:r>
      <w:r w:rsidR="000A1DEE">
        <w:rPr>
          <w:sz w:val="26"/>
          <w:szCs w:val="26"/>
        </w:rPr>
        <w:t xml:space="preserve">PGW </w:t>
      </w:r>
      <w:r w:rsidRPr="00DA2A78">
        <w:rPr>
          <w:sz w:val="26"/>
          <w:szCs w:val="26"/>
        </w:rPr>
        <w:t>alleging</w:t>
      </w:r>
      <w:r w:rsidR="000A1DEE">
        <w:rPr>
          <w:sz w:val="26"/>
          <w:szCs w:val="26"/>
        </w:rPr>
        <w:t xml:space="preserve"> that</w:t>
      </w:r>
      <w:r w:rsidRPr="00DA2A78">
        <w:rPr>
          <w:sz w:val="26"/>
          <w:szCs w:val="26"/>
        </w:rPr>
        <w:t xml:space="preserve"> PGW was threatening or had shut off her utility service. </w:t>
      </w:r>
      <w:r w:rsidR="000A1DEE">
        <w:rPr>
          <w:sz w:val="26"/>
          <w:szCs w:val="26"/>
        </w:rPr>
        <w:t xml:space="preserve"> </w:t>
      </w:r>
      <w:r w:rsidRPr="00DA2A78">
        <w:rPr>
          <w:sz w:val="26"/>
          <w:szCs w:val="26"/>
        </w:rPr>
        <w:t>Ms. Weston averred that she did not use the amount of gas for which PGW is charging her. As relief, Ms. Weston requested that PGW remove charges from her account as her health required her to leave the Service Address. The Complainant also requested a payment plan.</w:t>
      </w:r>
    </w:p>
    <w:p w:rsidR="00DA2A78" w:rsidRPr="00DA2A78" w:rsidRDefault="00DA2A78" w:rsidP="00EC224F">
      <w:pPr>
        <w:pStyle w:val="Default"/>
        <w:spacing w:line="360" w:lineRule="auto"/>
        <w:rPr>
          <w:sz w:val="26"/>
          <w:szCs w:val="26"/>
        </w:rPr>
      </w:pPr>
    </w:p>
    <w:p w:rsidR="00DA2A78" w:rsidRPr="00DA2A78" w:rsidRDefault="00DA2A78" w:rsidP="00EC224F">
      <w:pPr>
        <w:keepNext/>
        <w:widowControl/>
        <w:spacing w:line="360" w:lineRule="auto"/>
        <w:ind w:firstLine="1440"/>
        <w:rPr>
          <w:sz w:val="26"/>
          <w:szCs w:val="26"/>
        </w:rPr>
      </w:pPr>
      <w:r w:rsidRPr="00DA2A78">
        <w:rPr>
          <w:sz w:val="26"/>
          <w:szCs w:val="26"/>
        </w:rPr>
        <w:t>On February 10, 2016, the Respondent filed an Answer denying the material allegations of the Complaint.</w:t>
      </w:r>
    </w:p>
    <w:p w:rsidR="00DA2A78" w:rsidRPr="00DA2A78" w:rsidRDefault="00DA2A78" w:rsidP="00EC224F">
      <w:pPr>
        <w:pStyle w:val="Default"/>
        <w:spacing w:line="360" w:lineRule="auto"/>
        <w:ind w:firstLine="1440"/>
        <w:rPr>
          <w:sz w:val="26"/>
          <w:szCs w:val="26"/>
        </w:rPr>
      </w:pPr>
    </w:p>
    <w:p w:rsidR="00DA2A78" w:rsidRPr="00DA2A78" w:rsidRDefault="00A025DB" w:rsidP="00EC224F">
      <w:pPr>
        <w:pStyle w:val="Default"/>
        <w:spacing w:line="360" w:lineRule="auto"/>
        <w:ind w:firstLine="1440"/>
        <w:rPr>
          <w:sz w:val="26"/>
          <w:szCs w:val="26"/>
        </w:rPr>
      </w:pPr>
      <w:r>
        <w:rPr>
          <w:sz w:val="26"/>
          <w:szCs w:val="26"/>
        </w:rPr>
        <w:t>A</w:t>
      </w:r>
      <w:r w:rsidR="00DA2A78" w:rsidRPr="00DA2A78">
        <w:rPr>
          <w:sz w:val="26"/>
          <w:szCs w:val="26"/>
        </w:rPr>
        <w:t xml:space="preserve"> hearing </w:t>
      </w:r>
      <w:r>
        <w:rPr>
          <w:sz w:val="26"/>
          <w:szCs w:val="26"/>
        </w:rPr>
        <w:t xml:space="preserve">was </w:t>
      </w:r>
      <w:r w:rsidR="00DA2A78" w:rsidRPr="00DA2A78">
        <w:rPr>
          <w:sz w:val="26"/>
          <w:szCs w:val="26"/>
        </w:rPr>
        <w:t>convened</w:t>
      </w:r>
      <w:r>
        <w:rPr>
          <w:sz w:val="26"/>
          <w:szCs w:val="26"/>
        </w:rPr>
        <w:t xml:space="preserve"> on April 8, 2016</w:t>
      </w:r>
      <w:r w:rsidR="00DA2A78" w:rsidRPr="00DA2A78">
        <w:rPr>
          <w:sz w:val="26"/>
          <w:szCs w:val="26"/>
        </w:rPr>
        <w:t xml:space="preserve">. </w:t>
      </w:r>
      <w:r>
        <w:rPr>
          <w:sz w:val="26"/>
          <w:szCs w:val="26"/>
        </w:rPr>
        <w:t xml:space="preserve"> </w:t>
      </w:r>
      <w:r w:rsidR="00DA2A78" w:rsidRPr="00DA2A78">
        <w:rPr>
          <w:sz w:val="26"/>
          <w:szCs w:val="26"/>
        </w:rPr>
        <w:t xml:space="preserve">The Complainant appeared </w:t>
      </w:r>
      <w:r w:rsidR="00DA2A78" w:rsidRPr="00DA2A78">
        <w:rPr>
          <w:i/>
          <w:iCs/>
          <w:sz w:val="26"/>
          <w:szCs w:val="26"/>
        </w:rPr>
        <w:t xml:space="preserve">pro se, </w:t>
      </w:r>
      <w:r w:rsidR="00DA2A78" w:rsidRPr="00DA2A78">
        <w:rPr>
          <w:sz w:val="26"/>
          <w:szCs w:val="26"/>
        </w:rPr>
        <w:t xml:space="preserve">and testified in support of the Complaint. The Complainant sponsored four exhibits, which were admitted into the record in this matter. Graciela Christlieb, Esq. represented the Respondent, and presented the testimony of Jennifer Pearson, who is a customer review officer with PGW in charge of reviewing and investigating formal complaints filed with the Commission. </w:t>
      </w:r>
      <w:r>
        <w:rPr>
          <w:sz w:val="26"/>
          <w:szCs w:val="26"/>
        </w:rPr>
        <w:t xml:space="preserve"> </w:t>
      </w:r>
      <w:r w:rsidR="00DA2A78" w:rsidRPr="00DA2A78">
        <w:rPr>
          <w:sz w:val="26"/>
          <w:szCs w:val="26"/>
        </w:rPr>
        <w:t xml:space="preserve">The Respondent sponsored seven exhibits, all of which were admitted into the record. At the close of the hearing, I determined that I needed additional testimony and evidence from the Complainant regarding her medical condition and treatment. I indicated that a further hearing would be scheduled for that matter. </w:t>
      </w:r>
    </w:p>
    <w:p w:rsidR="00DA2A78" w:rsidRPr="00DA2A78" w:rsidRDefault="00DA2A78" w:rsidP="00EC224F">
      <w:pPr>
        <w:pStyle w:val="Default"/>
        <w:spacing w:line="360" w:lineRule="auto"/>
        <w:ind w:firstLine="1440"/>
        <w:rPr>
          <w:sz w:val="26"/>
          <w:szCs w:val="26"/>
        </w:rPr>
      </w:pPr>
    </w:p>
    <w:p w:rsidR="00DA2A78" w:rsidRPr="00DA2A78" w:rsidRDefault="00A025DB" w:rsidP="00EC224F">
      <w:pPr>
        <w:widowControl/>
        <w:spacing w:line="360" w:lineRule="auto"/>
        <w:ind w:firstLine="1440"/>
        <w:rPr>
          <w:sz w:val="26"/>
          <w:szCs w:val="26"/>
        </w:rPr>
      </w:pPr>
      <w:r>
        <w:rPr>
          <w:sz w:val="26"/>
          <w:szCs w:val="26"/>
        </w:rPr>
        <w:t>A second</w:t>
      </w:r>
      <w:r w:rsidR="00DA2A78" w:rsidRPr="00DA2A78">
        <w:rPr>
          <w:sz w:val="26"/>
          <w:szCs w:val="26"/>
        </w:rPr>
        <w:t xml:space="preserve"> hearing took place</w:t>
      </w:r>
      <w:r w:rsidR="00223AD9">
        <w:rPr>
          <w:sz w:val="26"/>
          <w:szCs w:val="26"/>
        </w:rPr>
        <w:t xml:space="preserve"> </w:t>
      </w:r>
      <w:r w:rsidR="00DA2A78" w:rsidRPr="00DA2A78">
        <w:rPr>
          <w:sz w:val="26"/>
          <w:szCs w:val="26"/>
        </w:rPr>
        <w:t>on June 28, 2016.</w:t>
      </w:r>
      <w:r>
        <w:rPr>
          <w:sz w:val="26"/>
          <w:szCs w:val="26"/>
        </w:rPr>
        <w:t xml:space="preserve"> </w:t>
      </w:r>
      <w:r w:rsidR="00DA2A78" w:rsidRPr="00DA2A78">
        <w:rPr>
          <w:sz w:val="26"/>
          <w:szCs w:val="26"/>
        </w:rPr>
        <w:t xml:space="preserve"> The Complainant appeared for the hearing and again testified on her own behalf and presented the testimony of her sister, Corrina Fleming. </w:t>
      </w:r>
      <w:r>
        <w:rPr>
          <w:sz w:val="26"/>
          <w:szCs w:val="26"/>
        </w:rPr>
        <w:t xml:space="preserve"> </w:t>
      </w:r>
      <w:r w:rsidR="00DA2A78" w:rsidRPr="00DA2A78">
        <w:rPr>
          <w:sz w:val="26"/>
          <w:szCs w:val="26"/>
        </w:rPr>
        <w:t xml:space="preserve">The Complainant presented ten additional exhibits which were entered into the record. Respondent was represented by Ms. Christlieb and did not offer any additional testimony or evidence. Counsel for PGW offered to file a late filed exhibit No. 8 to show if there were any other parties associated with the Service Address. </w:t>
      </w:r>
      <w:r>
        <w:rPr>
          <w:sz w:val="26"/>
          <w:szCs w:val="26"/>
        </w:rPr>
        <w:t xml:space="preserve"> </w:t>
      </w:r>
    </w:p>
    <w:p w:rsidR="00DA2A78" w:rsidRPr="00DA2A78" w:rsidRDefault="00DA2A78" w:rsidP="00EC224F">
      <w:pPr>
        <w:widowControl/>
        <w:spacing w:line="360" w:lineRule="auto"/>
        <w:ind w:firstLine="1440"/>
        <w:rPr>
          <w:sz w:val="26"/>
          <w:szCs w:val="26"/>
        </w:rPr>
      </w:pPr>
    </w:p>
    <w:p w:rsidR="00DA2A78" w:rsidRPr="00DA2A78" w:rsidRDefault="00DA2A78" w:rsidP="00EC224F">
      <w:pPr>
        <w:widowControl/>
        <w:spacing w:line="360" w:lineRule="auto"/>
        <w:ind w:firstLine="1440"/>
        <w:rPr>
          <w:sz w:val="26"/>
          <w:szCs w:val="26"/>
        </w:rPr>
      </w:pPr>
      <w:r w:rsidRPr="00DA2A78">
        <w:rPr>
          <w:sz w:val="26"/>
          <w:szCs w:val="26"/>
        </w:rPr>
        <w:t>On July 1, 2016, PGW submitted late filed exhibit No. 8</w:t>
      </w:r>
      <w:r w:rsidR="00A025DB">
        <w:rPr>
          <w:sz w:val="26"/>
          <w:szCs w:val="26"/>
        </w:rPr>
        <w:t>, as permitted by the ALJ</w:t>
      </w:r>
      <w:r w:rsidRPr="00DA2A78">
        <w:rPr>
          <w:sz w:val="26"/>
          <w:szCs w:val="26"/>
        </w:rPr>
        <w:t xml:space="preserve">. </w:t>
      </w:r>
      <w:r w:rsidR="00A025DB">
        <w:rPr>
          <w:sz w:val="26"/>
          <w:szCs w:val="26"/>
        </w:rPr>
        <w:t xml:space="preserve"> </w:t>
      </w:r>
      <w:r w:rsidRPr="00DA2A78">
        <w:rPr>
          <w:sz w:val="26"/>
          <w:szCs w:val="26"/>
        </w:rPr>
        <w:t>The Complainant did not submit any objections to the exhibit.</w:t>
      </w:r>
    </w:p>
    <w:p w:rsidR="00DA2A78" w:rsidRPr="00DA2A78" w:rsidRDefault="00DA2A78" w:rsidP="00EC224F">
      <w:pPr>
        <w:widowControl/>
        <w:spacing w:line="360" w:lineRule="auto"/>
        <w:ind w:firstLine="1440"/>
        <w:rPr>
          <w:sz w:val="26"/>
          <w:szCs w:val="26"/>
        </w:rPr>
      </w:pPr>
    </w:p>
    <w:p w:rsidR="00DA2A78" w:rsidRPr="00DA2A78" w:rsidRDefault="00DA2A78" w:rsidP="00EC224F">
      <w:pPr>
        <w:widowControl/>
        <w:spacing w:line="360" w:lineRule="auto"/>
        <w:ind w:firstLine="1440"/>
        <w:rPr>
          <w:sz w:val="26"/>
          <w:szCs w:val="26"/>
        </w:rPr>
      </w:pPr>
      <w:r w:rsidRPr="00DA2A78">
        <w:rPr>
          <w:sz w:val="26"/>
          <w:szCs w:val="26"/>
        </w:rPr>
        <w:t>The record</w:t>
      </w:r>
      <w:r w:rsidR="00A025DB">
        <w:rPr>
          <w:sz w:val="26"/>
          <w:szCs w:val="26"/>
        </w:rPr>
        <w:t xml:space="preserve"> closed on July 26, 2016, when the ALJ</w:t>
      </w:r>
      <w:r w:rsidRPr="00DA2A78">
        <w:rPr>
          <w:sz w:val="26"/>
          <w:szCs w:val="26"/>
        </w:rPr>
        <w:t xml:space="preserve"> received a copy of the second hearing transcript.</w:t>
      </w:r>
    </w:p>
    <w:p w:rsidR="00DA2A78" w:rsidRPr="00EC5ACE" w:rsidRDefault="00DA2A78" w:rsidP="00EC224F">
      <w:pPr>
        <w:widowControl/>
        <w:spacing w:line="360" w:lineRule="auto"/>
        <w:rPr>
          <w:sz w:val="26"/>
          <w:szCs w:val="26"/>
        </w:rPr>
      </w:pPr>
    </w:p>
    <w:p w:rsidR="000B5A3D" w:rsidRDefault="000B5A3D" w:rsidP="00EC224F">
      <w:pPr>
        <w:keepNext/>
        <w:keepLines/>
        <w:widowControl/>
        <w:spacing w:line="360" w:lineRule="auto"/>
        <w:jc w:val="center"/>
        <w:rPr>
          <w:b/>
          <w:sz w:val="26"/>
          <w:szCs w:val="26"/>
        </w:rPr>
      </w:pPr>
      <w:r>
        <w:rPr>
          <w:b/>
          <w:sz w:val="26"/>
          <w:szCs w:val="26"/>
        </w:rPr>
        <w:t>Discussion</w:t>
      </w:r>
    </w:p>
    <w:p w:rsidR="000B5A3D" w:rsidRPr="000B5A3D" w:rsidRDefault="000B5A3D" w:rsidP="00EC224F">
      <w:pPr>
        <w:keepNext/>
        <w:keepLines/>
        <w:widowControl/>
        <w:spacing w:line="360" w:lineRule="auto"/>
        <w:rPr>
          <w:b/>
          <w:sz w:val="26"/>
          <w:szCs w:val="26"/>
        </w:rPr>
      </w:pPr>
    </w:p>
    <w:p w:rsidR="000B5A3D" w:rsidRPr="000B5A3D" w:rsidRDefault="000B5A3D" w:rsidP="00EC224F">
      <w:pPr>
        <w:keepNext/>
        <w:keepLines/>
        <w:widowControl/>
        <w:spacing w:line="360" w:lineRule="auto"/>
        <w:rPr>
          <w:sz w:val="26"/>
          <w:szCs w:val="26"/>
        </w:rPr>
      </w:pPr>
      <w:r w:rsidRPr="000B5A3D">
        <w:rPr>
          <w:b/>
          <w:sz w:val="26"/>
          <w:szCs w:val="26"/>
        </w:rPr>
        <w:t>Legal Standard</w:t>
      </w:r>
    </w:p>
    <w:p w:rsidR="000B5A3D" w:rsidRDefault="000B5A3D" w:rsidP="00EC224F">
      <w:pPr>
        <w:keepNext/>
        <w:keepLines/>
        <w:widowControl/>
        <w:spacing w:line="360" w:lineRule="auto"/>
        <w:rPr>
          <w:sz w:val="26"/>
          <w:szCs w:val="26"/>
        </w:rPr>
      </w:pPr>
    </w:p>
    <w:p w:rsidR="00392405" w:rsidRDefault="00392405" w:rsidP="00EC224F">
      <w:pPr>
        <w:widowControl/>
        <w:spacing w:line="360" w:lineRule="auto"/>
        <w:ind w:firstLine="1440"/>
        <w:rPr>
          <w:sz w:val="26"/>
          <w:szCs w:val="26"/>
        </w:rPr>
      </w:pPr>
      <w:r>
        <w:rPr>
          <w:sz w:val="26"/>
          <w:szCs w:val="26"/>
        </w:rPr>
        <w:t xml:space="preserve">A customer has the right to file a formal complaint with the Commission in accordance with 66 Pa. C.S. § 701 and 52 Pa. Code §§ 5.21-22.  </w:t>
      </w:r>
      <w:r w:rsidRPr="00FD56D4">
        <w:rPr>
          <w:sz w:val="26"/>
          <w:szCs w:val="26"/>
        </w:rPr>
        <w:t xml:space="preserve">As a matter of law, to establish a legally sufficient claim, a complainant must show that the named utility is responsible or accountable for the problem described in the complaint in order to prevail.  </w:t>
      </w:r>
      <w:r w:rsidRPr="00FD56D4">
        <w:rPr>
          <w:i/>
          <w:sz w:val="26"/>
          <w:szCs w:val="26"/>
        </w:rPr>
        <w:t>Patterson v. The Bell Telephone Company of Pennsylvania</w:t>
      </w:r>
      <w:r w:rsidRPr="00FD56D4">
        <w:rPr>
          <w:sz w:val="26"/>
          <w:szCs w:val="26"/>
        </w:rPr>
        <w:t xml:space="preserve">, 72 Pa. P.U.C. 196 (1990).  The offense must be a violation of the Public Utility Code (Code), a Commission Regulation or Order or a violation of a Commission-approved tariff.  66 Pa. C.S. § 701.  </w:t>
      </w:r>
    </w:p>
    <w:p w:rsidR="00EB25C8" w:rsidRPr="00EB25C8" w:rsidRDefault="00EB25C8" w:rsidP="00EC224F">
      <w:pPr>
        <w:widowControl/>
        <w:spacing w:line="360" w:lineRule="auto"/>
        <w:rPr>
          <w:sz w:val="26"/>
          <w:szCs w:val="26"/>
        </w:rPr>
      </w:pPr>
    </w:p>
    <w:p w:rsidR="00392405" w:rsidRPr="00744E80" w:rsidRDefault="00392405" w:rsidP="00EC224F">
      <w:pPr>
        <w:pStyle w:val="ListParagraph"/>
        <w:keepNext/>
        <w:widowControl/>
        <w:spacing w:line="360" w:lineRule="auto"/>
        <w:ind w:left="1080"/>
        <w:rPr>
          <w:b/>
          <w:sz w:val="26"/>
          <w:szCs w:val="26"/>
        </w:rPr>
      </w:pPr>
      <w:r w:rsidRPr="00744E80">
        <w:rPr>
          <w:b/>
          <w:sz w:val="26"/>
          <w:szCs w:val="26"/>
        </w:rPr>
        <w:t>Burden of Proof</w:t>
      </w:r>
    </w:p>
    <w:p w:rsidR="00392405" w:rsidRPr="00A9787D" w:rsidRDefault="00392405" w:rsidP="00EC224F">
      <w:pPr>
        <w:keepNext/>
        <w:widowControl/>
        <w:spacing w:line="360" w:lineRule="auto"/>
        <w:rPr>
          <w:b/>
          <w:sz w:val="26"/>
          <w:szCs w:val="26"/>
        </w:rPr>
      </w:pPr>
    </w:p>
    <w:p w:rsidR="00392405" w:rsidRPr="006356D6" w:rsidRDefault="00392405" w:rsidP="00EC224F">
      <w:pPr>
        <w:widowControl/>
        <w:spacing w:line="360" w:lineRule="auto"/>
        <w:ind w:firstLine="1440"/>
        <w:rPr>
          <w:sz w:val="26"/>
          <w:szCs w:val="26"/>
        </w:rPr>
      </w:pPr>
      <w:r w:rsidRPr="006356D6">
        <w:rPr>
          <w:sz w:val="26"/>
          <w:szCs w:val="26"/>
        </w:rPr>
        <w:t xml:space="preserve">Section 332(a) of the Public Utility Code (Code) provides that a complainant, as the party seeking affirmative relief from the Commission, has the burden of proof.  66 Pa. C.S. § 332(a).  The burden of proof for actions before the Commission is the “preponderance of the evidence” standard.  </w:t>
      </w:r>
      <w:r w:rsidRPr="006356D6">
        <w:rPr>
          <w:i/>
          <w:sz w:val="26"/>
          <w:szCs w:val="26"/>
        </w:rPr>
        <w:t>Suber v. Pennsylvania Com’n on Crime and Deliquency</w:t>
      </w:r>
      <w:r w:rsidRPr="006356D6">
        <w:rPr>
          <w:sz w:val="26"/>
          <w:szCs w:val="26"/>
        </w:rPr>
        <w:t>, 885 A. 2d 678, 682 (Pa. Cmwlth. 2005) (</w:t>
      </w:r>
      <w:r w:rsidRPr="006356D6">
        <w:rPr>
          <w:i/>
          <w:sz w:val="26"/>
          <w:szCs w:val="26"/>
        </w:rPr>
        <w:t>Suber</w:t>
      </w:r>
      <w:r w:rsidRPr="006356D6">
        <w:rPr>
          <w:sz w:val="26"/>
          <w:szCs w:val="26"/>
        </w:rPr>
        <w:t xml:space="preserve">); </w:t>
      </w:r>
      <w:r w:rsidRPr="006356D6">
        <w:rPr>
          <w:i/>
          <w:iCs/>
          <w:sz w:val="26"/>
          <w:szCs w:val="26"/>
        </w:rPr>
        <w:t>Samuel J. Lansberry, Inc. v. Pa. PUC</w:t>
      </w:r>
      <w:r w:rsidRPr="006356D6">
        <w:rPr>
          <w:sz w:val="26"/>
          <w:szCs w:val="26"/>
        </w:rPr>
        <w:t xml:space="preserve">, 578 A.2d 600 (Pa. Cmwlth. 1990), </w:t>
      </w:r>
      <w:r w:rsidRPr="006356D6">
        <w:rPr>
          <w:i/>
          <w:sz w:val="26"/>
          <w:szCs w:val="26"/>
        </w:rPr>
        <w:t>alloc. denied,</w:t>
      </w:r>
      <w:r w:rsidRPr="006356D6">
        <w:rPr>
          <w:sz w:val="26"/>
          <w:szCs w:val="26"/>
        </w:rPr>
        <w:t xml:space="preserve"> 529 Pa. 654, 602 A.2d 863 (1992) (</w:t>
      </w:r>
      <w:r w:rsidRPr="006356D6">
        <w:rPr>
          <w:i/>
          <w:sz w:val="26"/>
          <w:szCs w:val="26"/>
        </w:rPr>
        <w:t>Lansberry</w:t>
      </w:r>
      <w:r w:rsidRPr="006356D6">
        <w:rPr>
          <w:sz w:val="26"/>
          <w:szCs w:val="26"/>
        </w:rPr>
        <w:t xml:space="preserve">); </w:t>
      </w:r>
      <w:r w:rsidRPr="006356D6">
        <w:rPr>
          <w:i/>
          <w:sz w:val="26"/>
          <w:szCs w:val="26"/>
        </w:rPr>
        <w:t>see also</w:t>
      </w:r>
      <w:r w:rsidRPr="006356D6">
        <w:rPr>
          <w:rFonts w:ascii="Arial" w:hAnsi="Arial" w:cs="Arial"/>
          <w:i/>
          <w:sz w:val="21"/>
          <w:szCs w:val="21"/>
        </w:rPr>
        <w:t xml:space="preserve"> </w:t>
      </w:r>
      <w:r w:rsidRPr="006356D6">
        <w:rPr>
          <w:i/>
          <w:iCs/>
          <w:sz w:val="26"/>
          <w:szCs w:val="26"/>
        </w:rPr>
        <w:t>North American Coal Corp. v. Air Pollution Commission,</w:t>
      </w:r>
      <w:r w:rsidRPr="006356D6">
        <w:rPr>
          <w:sz w:val="26"/>
          <w:szCs w:val="26"/>
        </w:rPr>
        <w:t xml:space="preserve"> 279 A.2d 356 (Pa. Cmwlth. 1971).  To establish a fact or claim by a preponderance of the evidence means to offer the greater weight of the evidence, or evidence that outweighs, or is more convincing than, by even the smallest amount, the probative value of the evidence presented by the other party.  </w:t>
      </w:r>
      <w:r w:rsidRPr="006356D6">
        <w:rPr>
          <w:i/>
          <w:sz w:val="26"/>
          <w:szCs w:val="26"/>
        </w:rPr>
        <w:t xml:space="preserve">See </w:t>
      </w:r>
      <w:r w:rsidRPr="006356D6">
        <w:rPr>
          <w:i/>
          <w:iCs/>
          <w:sz w:val="26"/>
          <w:szCs w:val="26"/>
        </w:rPr>
        <w:t>Se-Ling Hosiery, Inc. v. Margulies,</w:t>
      </w:r>
      <w:r w:rsidRPr="006356D6">
        <w:rPr>
          <w:sz w:val="26"/>
          <w:szCs w:val="26"/>
        </w:rPr>
        <w:t xml:space="preserve"> 364 Pa. 45, 48-49, 70 A.2d 854, 855 (1950).</w:t>
      </w:r>
      <w:r w:rsidRPr="006356D6">
        <w:rPr>
          <w:rFonts w:ascii="Arial" w:hAnsi="Arial" w:cs="Arial"/>
          <w:sz w:val="21"/>
          <w:szCs w:val="21"/>
        </w:rPr>
        <w:t xml:space="preserve">  </w:t>
      </w:r>
    </w:p>
    <w:p w:rsidR="00392405" w:rsidRPr="006356D6" w:rsidRDefault="00392405" w:rsidP="00EC224F">
      <w:pPr>
        <w:widowControl/>
        <w:spacing w:line="360" w:lineRule="auto"/>
        <w:ind w:firstLine="1440"/>
        <w:rPr>
          <w:sz w:val="26"/>
          <w:szCs w:val="26"/>
        </w:rPr>
      </w:pPr>
    </w:p>
    <w:p w:rsidR="00392405" w:rsidRPr="006356D6" w:rsidRDefault="00392405" w:rsidP="00EC224F">
      <w:pPr>
        <w:widowControl/>
        <w:spacing w:line="360" w:lineRule="auto"/>
        <w:ind w:firstLine="1440"/>
        <w:rPr>
          <w:rFonts w:ascii="Times New (W1)" w:hAnsi="Times New (W1)"/>
          <w:iCs/>
          <w:sz w:val="26"/>
        </w:rPr>
      </w:pPr>
      <w:r w:rsidRPr="006356D6">
        <w:rPr>
          <w:sz w:val="26"/>
          <w:szCs w:val="26"/>
        </w:rPr>
        <w:t xml:space="preserve">The burden of proof is comprised of two distinct burdens:  the burden of production and the burden of persuasion.  </w:t>
      </w:r>
      <w:r w:rsidRPr="006356D6">
        <w:rPr>
          <w:i/>
          <w:sz w:val="26"/>
          <w:szCs w:val="26"/>
        </w:rPr>
        <w:t>Hurley v. Hurley</w:t>
      </w:r>
      <w:r w:rsidRPr="006356D6">
        <w:rPr>
          <w:sz w:val="26"/>
          <w:szCs w:val="26"/>
        </w:rPr>
        <w:t xml:space="preserve">, 2000 Pa. Super. 178, 754 A.2d 1283 (2000).  The burden of production, also called the burden of going forward with the evidence, determines which party must come forward with evidence to support a particular claim or defense.  </w:t>
      </w:r>
      <w:r w:rsidRPr="006356D6">
        <w:rPr>
          <w:i/>
          <w:sz w:val="26"/>
          <w:szCs w:val="26"/>
        </w:rPr>
        <w:t>Scott and Linda Moore v. National Fuel Gas Distribution</w:t>
      </w:r>
      <w:r w:rsidRPr="006356D6">
        <w:rPr>
          <w:sz w:val="26"/>
          <w:szCs w:val="26"/>
        </w:rPr>
        <w:t>, Docket No. C-2014-2458555 (Initial Decision issued May 11, 2015) (</w:t>
      </w:r>
      <w:r w:rsidRPr="006356D6">
        <w:rPr>
          <w:i/>
          <w:sz w:val="26"/>
          <w:szCs w:val="26"/>
        </w:rPr>
        <w:t>Moore</w:t>
      </w:r>
      <w:r w:rsidRPr="006356D6">
        <w:rPr>
          <w:sz w:val="26"/>
          <w:szCs w:val="26"/>
        </w:rPr>
        <w:t xml:space="preserve">).  The burden of production goes to the legal sufficiency of a party’s claim or affirmative defense.  </w:t>
      </w:r>
      <w:r w:rsidRPr="006356D6">
        <w:rPr>
          <w:i/>
          <w:sz w:val="26"/>
          <w:szCs w:val="26"/>
        </w:rPr>
        <w:t>See Id</w:t>
      </w:r>
      <w:r w:rsidRPr="006356D6">
        <w:rPr>
          <w:sz w:val="26"/>
          <w:szCs w:val="26"/>
        </w:rPr>
        <w:t xml:space="preserve">.  It may shift between the parties during a hearing.  </w:t>
      </w:r>
      <w:r w:rsidRPr="006356D6">
        <w:rPr>
          <w:sz w:val="26"/>
        </w:rPr>
        <w:t xml:space="preserve">If a complainant introduces sufficient evidence to establish legal sufficiency of the claim, also called a </w:t>
      </w:r>
      <w:r w:rsidRPr="006356D6">
        <w:rPr>
          <w:i/>
          <w:sz w:val="26"/>
        </w:rPr>
        <w:t>prima facie</w:t>
      </w:r>
      <w:r w:rsidRPr="006356D6">
        <w:rPr>
          <w:sz w:val="26"/>
        </w:rPr>
        <w:t xml:space="preserve"> case, the burden of production shifts to the utility to rebut the complainant’s evidence.  </w:t>
      </w:r>
      <w:r w:rsidRPr="006356D6">
        <w:rPr>
          <w:i/>
          <w:sz w:val="26"/>
          <w:szCs w:val="26"/>
        </w:rPr>
        <w:t>See Id</w:t>
      </w:r>
      <w:r w:rsidRPr="006356D6">
        <w:rPr>
          <w:sz w:val="26"/>
          <w:szCs w:val="26"/>
        </w:rPr>
        <w:t xml:space="preserve">.  </w:t>
      </w:r>
      <w:r w:rsidRPr="006356D6">
        <w:rPr>
          <w:sz w:val="26"/>
        </w:rPr>
        <w:t xml:space="preserve">If the utility introduces evidence sufficient to balance the evidence introduced by the complainant, that is, evidence of co-equal value or weight, the complainant’s burden of proof has not been satisfied and the burden of going forward with the evidence shifts back to the complainant, who must provide some additional evidence favorable to the complainant’s claim.  </w:t>
      </w:r>
      <w:r w:rsidRPr="006356D6">
        <w:rPr>
          <w:i/>
          <w:sz w:val="26"/>
        </w:rPr>
        <w:t xml:space="preserve">Milkie v. Pa. PUC, </w:t>
      </w:r>
      <w:r w:rsidRPr="006356D6">
        <w:rPr>
          <w:sz w:val="26"/>
        </w:rPr>
        <w:t xml:space="preserve">768 A.2d 1217 (Pa. Cmwlth. 2001); </w:t>
      </w:r>
      <w:hyperlink r:id="rId8" w:history="1">
        <w:r w:rsidRPr="006356D6">
          <w:rPr>
            <w:rFonts w:ascii="Times New (W1)" w:hAnsi="Times New (W1)"/>
            <w:i/>
            <w:iCs/>
            <w:sz w:val="26"/>
          </w:rPr>
          <w:t>Burleson v. Pa. PUC,</w:t>
        </w:r>
        <w:r w:rsidRPr="006356D6">
          <w:rPr>
            <w:rFonts w:ascii="Times New (W1)" w:hAnsi="Times New (W1)"/>
            <w:iCs/>
            <w:sz w:val="26"/>
          </w:rPr>
          <w:t xml:space="preserve"> 443 A.2d 1373 (Pa. Cmwlth. 1982), </w:t>
        </w:r>
        <w:r w:rsidRPr="006356D6">
          <w:rPr>
            <w:rFonts w:ascii="Times New (W1)" w:hAnsi="Times New (W1)"/>
            <w:i/>
            <w:iCs/>
            <w:sz w:val="26"/>
          </w:rPr>
          <w:t>aff’d,</w:t>
        </w:r>
        <w:r w:rsidRPr="006356D6">
          <w:rPr>
            <w:rFonts w:ascii="Times New (W1)" w:hAnsi="Times New (W1)"/>
            <w:iCs/>
            <w:sz w:val="26"/>
          </w:rPr>
          <w:t xml:space="preserve"> 501 Pa. 433, 461 A.2d 1234 (1983).</w:t>
        </w:r>
      </w:hyperlink>
      <w:r w:rsidRPr="006356D6">
        <w:rPr>
          <w:rFonts w:ascii="Times New (W1)" w:hAnsi="Times New (W1)"/>
          <w:iCs/>
          <w:sz w:val="26"/>
        </w:rPr>
        <w:t xml:space="preserve">  </w:t>
      </w:r>
    </w:p>
    <w:p w:rsidR="00392405" w:rsidRPr="006356D6" w:rsidRDefault="00392405" w:rsidP="00EC224F">
      <w:pPr>
        <w:widowControl/>
        <w:spacing w:line="360" w:lineRule="auto"/>
        <w:ind w:firstLine="1440"/>
        <w:rPr>
          <w:sz w:val="26"/>
        </w:rPr>
      </w:pPr>
    </w:p>
    <w:p w:rsidR="00392405" w:rsidRDefault="00392405" w:rsidP="00EC224F">
      <w:pPr>
        <w:widowControl/>
        <w:spacing w:line="360" w:lineRule="auto"/>
        <w:ind w:firstLine="1440"/>
        <w:rPr>
          <w:sz w:val="26"/>
          <w:szCs w:val="26"/>
        </w:rPr>
      </w:pPr>
      <w:r w:rsidRPr="006356D6">
        <w:rPr>
          <w:sz w:val="26"/>
        </w:rPr>
        <w:t xml:space="preserve">Having produced sufficient evidence to establish legal sufficiency of a claim, the party with the burden of proof must also carry the burden of persuasion to be entitled to a favorable ruling.  </w:t>
      </w:r>
      <w:r w:rsidRPr="006356D6">
        <w:rPr>
          <w:i/>
          <w:sz w:val="26"/>
        </w:rPr>
        <w:t>See Moore</w:t>
      </w:r>
      <w:r w:rsidRPr="006356D6">
        <w:rPr>
          <w:sz w:val="26"/>
        </w:rPr>
        <w:t xml:space="preserve">.  While the burden of production may shift back and forth during a proceeding, the burden of persuasion never shifts; it always remains on a complainant as the party seeking affirmative relief from the Commission.  </w:t>
      </w:r>
      <w:r w:rsidRPr="006356D6">
        <w:rPr>
          <w:i/>
          <w:sz w:val="26"/>
        </w:rPr>
        <w:t xml:space="preserve">Milkie v. Pa. PUC, </w:t>
      </w:r>
      <w:r w:rsidRPr="006356D6">
        <w:rPr>
          <w:sz w:val="26"/>
        </w:rPr>
        <w:t xml:space="preserve">768 A.2d 1217 (Pa. Cmwlth. 2001); </w:t>
      </w:r>
      <w:r w:rsidRPr="006356D6">
        <w:rPr>
          <w:i/>
          <w:sz w:val="26"/>
        </w:rPr>
        <w:t>see also, Riedel v. County of Allegheny</w:t>
      </w:r>
      <w:r w:rsidRPr="006356D6">
        <w:rPr>
          <w:sz w:val="26"/>
        </w:rPr>
        <w:t xml:space="preserve">, 633 A.2d 1325, 1328, n.11 (Pa. Cmwlth. 1993); </w:t>
      </w:r>
      <w:r w:rsidRPr="006356D6">
        <w:rPr>
          <w:i/>
          <w:sz w:val="26"/>
        </w:rPr>
        <w:t>see also</w:t>
      </w:r>
      <w:r w:rsidRPr="006356D6">
        <w:rPr>
          <w:sz w:val="26"/>
        </w:rPr>
        <w:t>,</w:t>
      </w:r>
      <w:r w:rsidRPr="006356D6">
        <w:rPr>
          <w:i/>
          <w:sz w:val="26"/>
        </w:rPr>
        <w:t xml:space="preserve"> Burleson v. Pa. Pub. Util. Comm’n</w:t>
      </w:r>
      <w:r w:rsidRPr="006356D6">
        <w:rPr>
          <w:sz w:val="26"/>
        </w:rPr>
        <w:t xml:space="preserve">, 4443 A.2d 1373 (Pa. Cmwlth. 1982), </w:t>
      </w:r>
      <w:r w:rsidRPr="006356D6">
        <w:rPr>
          <w:sz w:val="24"/>
          <w:szCs w:val="24"/>
        </w:rPr>
        <w:t xml:space="preserve">aff'd. </w:t>
      </w:r>
      <w:hyperlink r:id="rId9" w:history="1">
        <w:r w:rsidRPr="006356D6">
          <w:rPr>
            <w:sz w:val="26"/>
            <w:szCs w:val="26"/>
          </w:rPr>
          <w:t>501 Pa. 443, 461 A.2d 1234.</w:t>
        </w:r>
      </w:hyperlink>
      <w:r w:rsidRPr="006356D6">
        <w:rPr>
          <w:sz w:val="26"/>
          <w:szCs w:val="26"/>
        </w:rPr>
        <w:t xml:space="preserve">  It is entirely possible for a party to carry the burden of production but not be entitled to a favorable ruling because the party did not carry the burden of persuasion.  </w:t>
      </w:r>
      <w:r w:rsidRPr="006356D6">
        <w:rPr>
          <w:i/>
          <w:sz w:val="26"/>
          <w:szCs w:val="26"/>
        </w:rPr>
        <w:t>See Moore.</w:t>
      </w:r>
      <w:r w:rsidRPr="006356D6">
        <w:rPr>
          <w:sz w:val="26"/>
          <w:szCs w:val="26"/>
        </w:rPr>
        <w:t xml:space="preserve">  In determining whether a complainant has met</w:t>
      </w:r>
      <w:r w:rsidR="00223AD9">
        <w:rPr>
          <w:sz w:val="26"/>
          <w:szCs w:val="26"/>
        </w:rPr>
        <w:t xml:space="preserve"> the burden of persuasion, the</w:t>
      </w:r>
      <w:r w:rsidRPr="006356D6">
        <w:rPr>
          <w:sz w:val="26"/>
          <w:szCs w:val="26"/>
        </w:rPr>
        <w:t xml:space="preserve"> fact-finder may engage in determinations of credibility, may accept or reject testimony of any witness in whole or in part, and may accept or reject inferences from the evidence.</w:t>
      </w:r>
      <w:r w:rsidRPr="006356D6">
        <w:rPr>
          <w:i/>
          <w:sz w:val="26"/>
          <w:szCs w:val="26"/>
        </w:rPr>
        <w:t xml:space="preserve">  See Moore</w:t>
      </w:r>
      <w:r w:rsidRPr="006356D6">
        <w:rPr>
          <w:sz w:val="26"/>
          <w:szCs w:val="26"/>
        </w:rPr>
        <w:t>,</w:t>
      </w:r>
      <w:r w:rsidRPr="006356D6">
        <w:rPr>
          <w:i/>
          <w:sz w:val="26"/>
          <w:szCs w:val="26"/>
        </w:rPr>
        <w:t xml:space="preserve"> </w:t>
      </w:r>
      <w:r w:rsidRPr="006356D6">
        <w:rPr>
          <w:sz w:val="26"/>
          <w:szCs w:val="26"/>
        </w:rPr>
        <w:t xml:space="preserve">citing </w:t>
      </w:r>
      <w:r w:rsidRPr="006356D6">
        <w:rPr>
          <w:i/>
          <w:sz w:val="26"/>
          <w:szCs w:val="26"/>
        </w:rPr>
        <w:t>Suber</w:t>
      </w:r>
      <w:r w:rsidRPr="006356D6">
        <w:rPr>
          <w:sz w:val="26"/>
          <w:szCs w:val="26"/>
        </w:rPr>
        <w:t>.</w:t>
      </w:r>
    </w:p>
    <w:p w:rsidR="00392405" w:rsidRDefault="00392405" w:rsidP="00EC224F">
      <w:pPr>
        <w:widowControl/>
        <w:spacing w:line="360" w:lineRule="auto"/>
        <w:ind w:firstLine="1440"/>
        <w:rPr>
          <w:sz w:val="26"/>
          <w:szCs w:val="26"/>
        </w:rPr>
      </w:pPr>
    </w:p>
    <w:p w:rsidR="00392405" w:rsidRDefault="00392405" w:rsidP="00EC224F">
      <w:pPr>
        <w:pStyle w:val="ListParagraph"/>
        <w:keepNext/>
        <w:keepLines/>
        <w:widowControl/>
        <w:spacing w:line="360" w:lineRule="auto"/>
        <w:ind w:left="1080"/>
        <w:contextualSpacing w:val="0"/>
        <w:rPr>
          <w:b/>
          <w:sz w:val="26"/>
          <w:szCs w:val="26"/>
        </w:rPr>
      </w:pPr>
      <w:r>
        <w:rPr>
          <w:b/>
          <w:sz w:val="26"/>
          <w:szCs w:val="26"/>
        </w:rPr>
        <w:t>Substantial Evidence</w:t>
      </w:r>
    </w:p>
    <w:p w:rsidR="00392405" w:rsidRDefault="00392405" w:rsidP="00EC224F">
      <w:pPr>
        <w:keepNext/>
        <w:keepLines/>
        <w:widowControl/>
        <w:spacing w:line="360" w:lineRule="auto"/>
        <w:rPr>
          <w:b/>
          <w:sz w:val="26"/>
          <w:szCs w:val="26"/>
        </w:rPr>
      </w:pPr>
    </w:p>
    <w:p w:rsidR="00392405" w:rsidRDefault="00392405" w:rsidP="00EC224F">
      <w:pPr>
        <w:widowControl/>
        <w:spacing w:line="360" w:lineRule="auto"/>
        <w:ind w:firstLine="1440"/>
        <w:rPr>
          <w:sz w:val="26"/>
          <w:szCs w:val="26"/>
        </w:rPr>
      </w:pPr>
      <w:r>
        <w:rPr>
          <w:rFonts w:eastAsiaTheme="minorHAnsi"/>
          <w:sz w:val="26"/>
          <w:szCs w:val="26"/>
        </w:rPr>
        <w:t>A</w:t>
      </w:r>
      <w:r w:rsidRPr="00AF3DB9">
        <w:rPr>
          <w:rFonts w:eastAsiaTheme="minorHAnsi"/>
          <w:sz w:val="26"/>
          <w:szCs w:val="26"/>
        </w:rPr>
        <w:t>djudications by the Commission must be supported by substantial evidence in the record.  2 Pa.C.S. § 704.</w:t>
      </w:r>
      <w:r w:rsidRPr="00AF3DB9">
        <w:rPr>
          <w:rFonts w:eastAsiaTheme="minorHAnsi"/>
          <w:szCs w:val="26"/>
        </w:rPr>
        <w:t xml:space="preserve">  </w:t>
      </w:r>
      <w:r w:rsidRPr="00914F3C">
        <w:rPr>
          <w:rFonts w:eastAsiaTheme="minorHAnsi"/>
          <w:sz w:val="26"/>
          <w:szCs w:val="26"/>
        </w:rPr>
        <w:t xml:space="preserve">“Substantial evidence” is an appellate standard of review and not a standard of evidence.  </w:t>
      </w:r>
      <w:r w:rsidRPr="00914F3C">
        <w:rPr>
          <w:rFonts w:eastAsiaTheme="minorHAnsi"/>
          <w:i/>
          <w:sz w:val="26"/>
          <w:szCs w:val="26"/>
        </w:rPr>
        <w:t>Lansberry</w:t>
      </w:r>
      <w:r w:rsidRPr="00914F3C">
        <w:rPr>
          <w:rFonts w:eastAsiaTheme="minorHAnsi"/>
          <w:sz w:val="26"/>
          <w:szCs w:val="26"/>
        </w:rPr>
        <w:t xml:space="preserve">, 578 A.2d at 602.  </w:t>
      </w:r>
      <w:r w:rsidRPr="00AF3DB9">
        <w:rPr>
          <w:rFonts w:eastAsiaTheme="minorHAnsi"/>
          <w:szCs w:val="26"/>
        </w:rPr>
        <w:t>“</w:t>
      </w:r>
      <w:r w:rsidRPr="00AF3DB9">
        <w:rPr>
          <w:sz w:val="26"/>
          <w:szCs w:val="26"/>
        </w:rPr>
        <w:t xml:space="preserve">Substantial evidence” is such relevant evidence that a reasonable mind might accept as adequate to support a conclusion.  </w:t>
      </w:r>
      <w:r w:rsidRPr="00AF3DB9">
        <w:rPr>
          <w:i/>
          <w:sz w:val="26"/>
          <w:szCs w:val="26"/>
        </w:rPr>
        <w:t>Consolidated Edison Company of New York v. National Labor Relations Board</w:t>
      </w:r>
      <w:r w:rsidRPr="00AF3DB9">
        <w:rPr>
          <w:sz w:val="26"/>
          <w:szCs w:val="26"/>
        </w:rPr>
        <w:t xml:space="preserve">, 305 U.S. 197, 229, 59 S.Ct. 206, 217.  More is required than a mere trace of evidence or a suspicion of the existence of a fact sought to be established.  </w:t>
      </w:r>
      <w:r w:rsidRPr="00AF3DB9">
        <w:rPr>
          <w:i/>
          <w:sz w:val="26"/>
          <w:szCs w:val="26"/>
        </w:rPr>
        <w:t xml:space="preserve">Norfolk &amp; Western Ry. Co. v. Pa. PUC, </w:t>
      </w:r>
      <w:r w:rsidRPr="00AF3DB9">
        <w:rPr>
          <w:sz w:val="26"/>
          <w:szCs w:val="26"/>
        </w:rPr>
        <w:t xml:space="preserve">489 Pa. 109, 413 A.2d 1037 (1980); </w:t>
      </w:r>
      <w:r w:rsidRPr="00AF3DB9">
        <w:rPr>
          <w:i/>
          <w:sz w:val="26"/>
          <w:szCs w:val="26"/>
        </w:rPr>
        <w:t>Erie Resistor Corp. v. Unemployment Comp. Bd. of Review</w:t>
      </w:r>
      <w:r w:rsidRPr="00AF3DB9">
        <w:rPr>
          <w:sz w:val="26"/>
          <w:szCs w:val="26"/>
        </w:rPr>
        <w:t xml:space="preserve">, 166 A.2d 96 (Pa. Super. 1961); </w:t>
      </w:r>
      <w:r w:rsidRPr="00AF3DB9">
        <w:rPr>
          <w:i/>
          <w:sz w:val="26"/>
          <w:szCs w:val="26"/>
        </w:rPr>
        <w:t>Murphy v. Comm. Dept. of Public Welfare, White Haven Center</w:t>
      </w:r>
      <w:r w:rsidRPr="00AF3DB9">
        <w:rPr>
          <w:sz w:val="26"/>
          <w:szCs w:val="26"/>
        </w:rPr>
        <w:t>, 480 A.2d 382 (Pa. Cmwlth. 1984).</w:t>
      </w:r>
    </w:p>
    <w:p w:rsidR="000B5A3D" w:rsidRPr="000B5A3D" w:rsidRDefault="000B5A3D" w:rsidP="00EC224F">
      <w:pPr>
        <w:widowControl/>
        <w:spacing w:line="360" w:lineRule="auto"/>
        <w:rPr>
          <w:sz w:val="26"/>
          <w:szCs w:val="26"/>
        </w:rPr>
      </w:pPr>
    </w:p>
    <w:p w:rsidR="00C12AA8" w:rsidRDefault="00C12AA8" w:rsidP="00EC224F">
      <w:pPr>
        <w:keepNext/>
        <w:keepLines/>
        <w:widowControl/>
        <w:spacing w:line="360" w:lineRule="auto"/>
        <w:rPr>
          <w:b/>
          <w:sz w:val="26"/>
          <w:szCs w:val="26"/>
        </w:rPr>
      </w:pPr>
      <w:r>
        <w:rPr>
          <w:b/>
          <w:sz w:val="26"/>
          <w:szCs w:val="26"/>
        </w:rPr>
        <w:t>ALJ’s Initial Decision</w:t>
      </w:r>
    </w:p>
    <w:p w:rsidR="00C12AA8" w:rsidRDefault="00C12AA8" w:rsidP="00EC224F">
      <w:pPr>
        <w:keepNext/>
        <w:keepLines/>
        <w:widowControl/>
        <w:spacing w:line="360" w:lineRule="auto"/>
        <w:rPr>
          <w:sz w:val="26"/>
          <w:szCs w:val="26"/>
        </w:rPr>
      </w:pPr>
    </w:p>
    <w:p w:rsidR="00392405" w:rsidRPr="00967499" w:rsidRDefault="00392405" w:rsidP="00EC224F">
      <w:pPr>
        <w:widowControl/>
        <w:spacing w:line="360" w:lineRule="auto"/>
        <w:ind w:firstLine="1440"/>
        <w:rPr>
          <w:sz w:val="26"/>
          <w:szCs w:val="26"/>
        </w:rPr>
      </w:pPr>
      <w:r w:rsidRPr="00967499">
        <w:rPr>
          <w:sz w:val="26"/>
          <w:szCs w:val="26"/>
        </w:rPr>
        <w:t>ALJ Guhl made nineteen Findings of Fact and reached five Conclusions of Law.  I.D. at 3-5, 8.  The Findings of Fact and Conclusions of Law are incorporated herein by reference and are adopted without comment unless they are either expressly or by necessary implication rejected or modified by this Opinion and Order.</w:t>
      </w:r>
    </w:p>
    <w:p w:rsidR="00392405" w:rsidRPr="00967499" w:rsidRDefault="00392405" w:rsidP="00EC224F">
      <w:pPr>
        <w:widowControl/>
        <w:spacing w:line="360" w:lineRule="auto"/>
        <w:ind w:firstLine="1440"/>
        <w:rPr>
          <w:sz w:val="26"/>
          <w:szCs w:val="26"/>
        </w:rPr>
      </w:pPr>
    </w:p>
    <w:p w:rsidR="00392405" w:rsidRPr="00967499" w:rsidRDefault="00392405" w:rsidP="00EC224F">
      <w:pPr>
        <w:widowControl/>
        <w:spacing w:line="360" w:lineRule="auto"/>
        <w:ind w:firstLine="1440"/>
        <w:rPr>
          <w:sz w:val="26"/>
          <w:szCs w:val="26"/>
        </w:rPr>
      </w:pPr>
      <w:r w:rsidRPr="00967499">
        <w:rPr>
          <w:sz w:val="26"/>
          <w:szCs w:val="26"/>
        </w:rPr>
        <w:t xml:space="preserve">The ALJ explained that Ms. Weston alleged, in her </w:t>
      </w:r>
      <w:r w:rsidR="007D314C">
        <w:rPr>
          <w:sz w:val="26"/>
          <w:szCs w:val="26"/>
        </w:rPr>
        <w:t>F</w:t>
      </w:r>
      <w:r w:rsidRPr="00967499">
        <w:rPr>
          <w:sz w:val="26"/>
          <w:szCs w:val="26"/>
        </w:rPr>
        <w:t>ormal Complaint, that there were incorrect</w:t>
      </w:r>
      <w:r w:rsidR="00324271">
        <w:rPr>
          <w:sz w:val="26"/>
          <w:szCs w:val="26"/>
        </w:rPr>
        <w:t xml:space="preserve"> charges on her gas bill from PGW</w:t>
      </w:r>
      <w:r w:rsidRPr="00967499">
        <w:rPr>
          <w:sz w:val="26"/>
          <w:szCs w:val="26"/>
        </w:rPr>
        <w:t xml:space="preserve">. </w:t>
      </w:r>
      <w:r w:rsidR="00324271">
        <w:rPr>
          <w:sz w:val="26"/>
          <w:szCs w:val="26"/>
        </w:rPr>
        <w:t xml:space="preserve"> </w:t>
      </w:r>
      <w:r w:rsidRPr="00967499">
        <w:rPr>
          <w:sz w:val="26"/>
          <w:szCs w:val="26"/>
        </w:rPr>
        <w:t xml:space="preserve">Ms. Weston averred that she was not residing at the Service Address after September 2014 due to an accident which required a hospitalization and a stay at a rehabilitation facility. </w:t>
      </w:r>
      <w:r w:rsidR="00324271">
        <w:rPr>
          <w:sz w:val="26"/>
          <w:szCs w:val="26"/>
        </w:rPr>
        <w:t xml:space="preserve"> </w:t>
      </w:r>
      <w:r w:rsidRPr="00967499">
        <w:rPr>
          <w:sz w:val="26"/>
          <w:szCs w:val="26"/>
        </w:rPr>
        <w:t xml:space="preserve">Ms. Weston indicated that no one should have been living at the Service Address after September 2014. </w:t>
      </w:r>
      <w:r w:rsidR="00324271">
        <w:rPr>
          <w:sz w:val="26"/>
          <w:szCs w:val="26"/>
        </w:rPr>
        <w:t xml:space="preserve"> </w:t>
      </w:r>
      <w:r w:rsidRPr="00967499">
        <w:rPr>
          <w:sz w:val="26"/>
          <w:szCs w:val="26"/>
        </w:rPr>
        <w:t>As relief, Ms. Weston requested that the Commission remove the balance accrued on her account for that timeframe.  See I.D. at 5.</w:t>
      </w:r>
    </w:p>
    <w:p w:rsidR="00392405" w:rsidRPr="00967499" w:rsidRDefault="00392405" w:rsidP="00EC224F">
      <w:pPr>
        <w:widowControl/>
        <w:spacing w:line="360" w:lineRule="auto"/>
        <w:ind w:firstLine="1440"/>
        <w:rPr>
          <w:sz w:val="26"/>
          <w:szCs w:val="26"/>
        </w:rPr>
      </w:pPr>
    </w:p>
    <w:p w:rsidR="00392405" w:rsidRPr="00967499" w:rsidRDefault="00392405" w:rsidP="00EC224F">
      <w:pPr>
        <w:widowControl/>
        <w:spacing w:line="360" w:lineRule="auto"/>
        <w:ind w:firstLine="1440"/>
        <w:rPr>
          <w:sz w:val="26"/>
          <w:szCs w:val="26"/>
        </w:rPr>
      </w:pPr>
      <w:r w:rsidRPr="00967499">
        <w:rPr>
          <w:sz w:val="26"/>
          <w:szCs w:val="26"/>
        </w:rPr>
        <w:t xml:space="preserve">The ALJ also explained that, during the hearing, the Complainant acknowledged that she did not contact PGW before she vacated the Service Address in September 2014. </w:t>
      </w:r>
      <w:r w:rsidR="00324271">
        <w:rPr>
          <w:sz w:val="26"/>
          <w:szCs w:val="26"/>
        </w:rPr>
        <w:t xml:space="preserve"> </w:t>
      </w:r>
      <w:r w:rsidRPr="00967499">
        <w:rPr>
          <w:sz w:val="26"/>
          <w:szCs w:val="26"/>
        </w:rPr>
        <w:t xml:space="preserve">I.D. at 6 (citing Tr. at 7). </w:t>
      </w:r>
      <w:r w:rsidR="00295172">
        <w:rPr>
          <w:sz w:val="26"/>
          <w:szCs w:val="26"/>
        </w:rPr>
        <w:t xml:space="preserve"> </w:t>
      </w:r>
      <w:r w:rsidRPr="00967499">
        <w:rPr>
          <w:sz w:val="26"/>
          <w:szCs w:val="26"/>
        </w:rPr>
        <w:t xml:space="preserve">However, the Complainant credibly testified that she was physically unable to contact PGW due to her accident and hospitalization. I.D. at 6 (citing Tr. at 7). </w:t>
      </w:r>
      <w:r w:rsidR="00295172">
        <w:rPr>
          <w:sz w:val="26"/>
          <w:szCs w:val="26"/>
        </w:rPr>
        <w:t xml:space="preserve"> </w:t>
      </w:r>
      <w:r w:rsidRPr="00967499">
        <w:rPr>
          <w:sz w:val="26"/>
          <w:szCs w:val="26"/>
        </w:rPr>
        <w:t>The Complainant also indicated that she ha</w:t>
      </w:r>
      <w:r w:rsidR="00324271">
        <w:rPr>
          <w:sz w:val="26"/>
          <w:szCs w:val="26"/>
        </w:rPr>
        <w:t>d</w:t>
      </w:r>
      <w:r w:rsidRPr="00967499">
        <w:rPr>
          <w:sz w:val="26"/>
          <w:szCs w:val="26"/>
        </w:rPr>
        <w:t xml:space="preserve"> been unable to manage her affairs since her accident in September 2014.  I.D. at 6 (citing Tr. at 7). </w:t>
      </w:r>
      <w:r w:rsidR="00295172">
        <w:rPr>
          <w:sz w:val="26"/>
          <w:szCs w:val="26"/>
        </w:rPr>
        <w:t xml:space="preserve"> </w:t>
      </w:r>
      <w:r w:rsidRPr="00967499">
        <w:rPr>
          <w:sz w:val="26"/>
          <w:szCs w:val="26"/>
        </w:rPr>
        <w:t>The Complainant vacated the Service Address in September 2014</w:t>
      </w:r>
      <w:r w:rsidR="00324271">
        <w:rPr>
          <w:sz w:val="26"/>
          <w:szCs w:val="26"/>
        </w:rPr>
        <w:t>,</w:t>
      </w:r>
      <w:r w:rsidRPr="00967499">
        <w:rPr>
          <w:sz w:val="26"/>
          <w:szCs w:val="26"/>
        </w:rPr>
        <w:t xml:space="preserve"> and </w:t>
      </w:r>
      <w:r w:rsidR="00324271">
        <w:rPr>
          <w:sz w:val="26"/>
          <w:szCs w:val="26"/>
        </w:rPr>
        <w:t xml:space="preserve">she </w:t>
      </w:r>
      <w:r w:rsidRPr="00967499">
        <w:rPr>
          <w:sz w:val="26"/>
          <w:szCs w:val="26"/>
        </w:rPr>
        <w:t xml:space="preserve">has not returned to the Service Address since that point. </w:t>
      </w:r>
      <w:r w:rsidR="00324271">
        <w:rPr>
          <w:sz w:val="26"/>
          <w:szCs w:val="26"/>
        </w:rPr>
        <w:t xml:space="preserve"> </w:t>
      </w:r>
      <w:r w:rsidRPr="00967499">
        <w:rPr>
          <w:sz w:val="26"/>
          <w:szCs w:val="26"/>
        </w:rPr>
        <w:t xml:space="preserve">I.D. at 6 (citing Tr. 7, 47).  </w:t>
      </w:r>
    </w:p>
    <w:p w:rsidR="00392405" w:rsidRPr="00967499" w:rsidRDefault="00392405" w:rsidP="00EC224F">
      <w:pPr>
        <w:widowControl/>
        <w:spacing w:line="360" w:lineRule="auto"/>
        <w:ind w:firstLine="1440"/>
        <w:rPr>
          <w:sz w:val="26"/>
          <w:szCs w:val="26"/>
        </w:rPr>
      </w:pPr>
    </w:p>
    <w:p w:rsidR="00392405" w:rsidRPr="00967499" w:rsidRDefault="00392405" w:rsidP="00EC224F">
      <w:pPr>
        <w:widowControl/>
        <w:spacing w:line="360" w:lineRule="auto"/>
        <w:ind w:firstLine="1440"/>
        <w:rPr>
          <w:sz w:val="26"/>
          <w:szCs w:val="26"/>
        </w:rPr>
      </w:pPr>
      <w:r w:rsidRPr="00967499">
        <w:rPr>
          <w:sz w:val="26"/>
          <w:szCs w:val="26"/>
        </w:rPr>
        <w:t xml:space="preserve">The ALJ further stated that while the Complainant did not contact PGW to terminate her utility service at the Service Address in accordance with Section 56.266(a) of the Commission’s regulations, she found that Ms. Weston was physically unable to do so. </w:t>
      </w:r>
      <w:r w:rsidR="00324271">
        <w:rPr>
          <w:sz w:val="26"/>
          <w:szCs w:val="26"/>
        </w:rPr>
        <w:t xml:space="preserve"> </w:t>
      </w:r>
      <w:r w:rsidRPr="00967499">
        <w:rPr>
          <w:sz w:val="26"/>
          <w:szCs w:val="26"/>
        </w:rPr>
        <w:t xml:space="preserve">Moreover, the ALJ explained that the Complainant was under the impression the Service Address should have been vacant because she had gone through eviction proceedings against her niece and her niece’s husband prior to leaving the Service Address in September 2014.  I.D. at 6-7 (citing Tr. at 8, 10, 12; Complainant Exhs. 1 and 2).   Additionally, the ALJ stated that the Complainant had not returned to the Service Address since September 2014 and that </w:t>
      </w:r>
      <w:r w:rsidR="00324271">
        <w:rPr>
          <w:sz w:val="26"/>
          <w:szCs w:val="26"/>
        </w:rPr>
        <w:t xml:space="preserve">she now </w:t>
      </w:r>
      <w:r w:rsidRPr="00967499">
        <w:rPr>
          <w:sz w:val="26"/>
          <w:szCs w:val="26"/>
        </w:rPr>
        <w:t xml:space="preserve">lives with her son, Quintell Weston.  I.D. at 7 (Tr. at 7, 47).  The </w:t>
      </w:r>
      <w:r w:rsidR="00967499" w:rsidRPr="00967499">
        <w:rPr>
          <w:sz w:val="26"/>
          <w:szCs w:val="26"/>
        </w:rPr>
        <w:t xml:space="preserve">ALJ further stated that the Complainant had </w:t>
      </w:r>
      <w:r w:rsidRPr="00967499">
        <w:rPr>
          <w:sz w:val="26"/>
          <w:szCs w:val="26"/>
        </w:rPr>
        <w:t xml:space="preserve">not benefited from utility service at the Service Address since she </w:t>
      </w:r>
      <w:r w:rsidR="00967499" w:rsidRPr="00967499">
        <w:rPr>
          <w:sz w:val="26"/>
          <w:szCs w:val="26"/>
        </w:rPr>
        <w:t xml:space="preserve">had </w:t>
      </w:r>
      <w:r w:rsidRPr="00967499">
        <w:rPr>
          <w:sz w:val="26"/>
          <w:szCs w:val="26"/>
        </w:rPr>
        <w:t xml:space="preserve">vacated the Service Address in September 2014. </w:t>
      </w:r>
      <w:r w:rsidR="00967499" w:rsidRPr="00967499">
        <w:rPr>
          <w:sz w:val="26"/>
          <w:szCs w:val="26"/>
        </w:rPr>
        <w:t xml:space="preserve"> I.D. at </w:t>
      </w:r>
      <w:r w:rsidRPr="00967499">
        <w:rPr>
          <w:sz w:val="26"/>
          <w:szCs w:val="26"/>
        </w:rPr>
        <w:t xml:space="preserve">7.  </w:t>
      </w:r>
    </w:p>
    <w:p w:rsidR="00392405" w:rsidRPr="00967499" w:rsidRDefault="00392405" w:rsidP="00EC224F">
      <w:pPr>
        <w:widowControl/>
        <w:spacing w:line="360" w:lineRule="auto"/>
        <w:ind w:firstLine="1440"/>
        <w:rPr>
          <w:sz w:val="26"/>
          <w:szCs w:val="26"/>
        </w:rPr>
      </w:pPr>
    </w:p>
    <w:p w:rsidR="00392405" w:rsidRDefault="00967499" w:rsidP="00EC224F">
      <w:pPr>
        <w:widowControl/>
        <w:spacing w:line="360" w:lineRule="auto"/>
        <w:ind w:firstLine="1440"/>
        <w:rPr>
          <w:sz w:val="26"/>
          <w:szCs w:val="26"/>
        </w:rPr>
      </w:pPr>
      <w:r w:rsidRPr="00967499">
        <w:rPr>
          <w:sz w:val="26"/>
          <w:szCs w:val="26"/>
        </w:rPr>
        <w:t>The ALJ explained that,</w:t>
      </w:r>
      <w:r w:rsidR="00392405" w:rsidRPr="00967499">
        <w:rPr>
          <w:sz w:val="26"/>
          <w:szCs w:val="26"/>
        </w:rPr>
        <w:t xml:space="preserve"> PGW’s witness, Jennifer Pearson, testified that service was terminated at the Service Address on July 20, 2015. </w:t>
      </w:r>
      <w:r w:rsidRPr="00967499">
        <w:rPr>
          <w:sz w:val="26"/>
          <w:szCs w:val="26"/>
        </w:rPr>
        <w:t xml:space="preserve"> I.D. at 7 (citing </w:t>
      </w:r>
      <w:r w:rsidR="00392405" w:rsidRPr="00967499">
        <w:rPr>
          <w:sz w:val="26"/>
          <w:szCs w:val="26"/>
        </w:rPr>
        <w:t xml:space="preserve">Tr. </w:t>
      </w:r>
      <w:r w:rsidRPr="00967499">
        <w:rPr>
          <w:sz w:val="26"/>
          <w:szCs w:val="26"/>
        </w:rPr>
        <w:t xml:space="preserve">at </w:t>
      </w:r>
      <w:r w:rsidR="00392405" w:rsidRPr="00967499">
        <w:rPr>
          <w:sz w:val="26"/>
          <w:szCs w:val="26"/>
        </w:rPr>
        <w:t>19; PGW Exh. 1</w:t>
      </w:r>
      <w:r w:rsidRPr="00967499">
        <w:rPr>
          <w:sz w:val="26"/>
          <w:szCs w:val="26"/>
        </w:rPr>
        <w:t>)</w:t>
      </w:r>
      <w:r w:rsidR="00392405" w:rsidRPr="00967499">
        <w:rPr>
          <w:sz w:val="26"/>
          <w:szCs w:val="26"/>
        </w:rPr>
        <w:t xml:space="preserve">. </w:t>
      </w:r>
      <w:r w:rsidRPr="00967499">
        <w:rPr>
          <w:sz w:val="26"/>
          <w:szCs w:val="26"/>
        </w:rPr>
        <w:t xml:space="preserve"> Ms. Pearson testified that t</w:t>
      </w:r>
      <w:r w:rsidR="00392405" w:rsidRPr="00967499">
        <w:rPr>
          <w:sz w:val="26"/>
          <w:szCs w:val="26"/>
        </w:rPr>
        <w:t>he Complainant ha</w:t>
      </w:r>
      <w:r w:rsidRPr="00967499">
        <w:rPr>
          <w:sz w:val="26"/>
          <w:szCs w:val="26"/>
        </w:rPr>
        <w:t>d</w:t>
      </w:r>
      <w:r w:rsidR="00392405" w:rsidRPr="00967499">
        <w:rPr>
          <w:sz w:val="26"/>
          <w:szCs w:val="26"/>
        </w:rPr>
        <w:t xml:space="preserve"> not been charged for gas usage since July 20, 2015. </w:t>
      </w:r>
      <w:r w:rsidRPr="00967499">
        <w:rPr>
          <w:sz w:val="26"/>
          <w:szCs w:val="26"/>
        </w:rPr>
        <w:t xml:space="preserve">I.D. at 7 (citing </w:t>
      </w:r>
      <w:r w:rsidR="00392405" w:rsidRPr="00967499">
        <w:rPr>
          <w:sz w:val="26"/>
          <w:szCs w:val="26"/>
        </w:rPr>
        <w:t xml:space="preserve">Tr. </w:t>
      </w:r>
      <w:r w:rsidRPr="00967499">
        <w:rPr>
          <w:sz w:val="26"/>
          <w:szCs w:val="26"/>
        </w:rPr>
        <w:t xml:space="preserve">at </w:t>
      </w:r>
      <w:r w:rsidR="00392405" w:rsidRPr="00967499">
        <w:rPr>
          <w:sz w:val="26"/>
          <w:szCs w:val="26"/>
        </w:rPr>
        <w:t>20</w:t>
      </w:r>
      <w:r w:rsidRPr="00967499">
        <w:rPr>
          <w:sz w:val="26"/>
          <w:szCs w:val="26"/>
        </w:rPr>
        <w:t>)</w:t>
      </w:r>
      <w:r w:rsidR="00392405" w:rsidRPr="00967499">
        <w:rPr>
          <w:sz w:val="26"/>
          <w:szCs w:val="26"/>
        </w:rPr>
        <w:t xml:space="preserve">. </w:t>
      </w:r>
      <w:r w:rsidRPr="00967499">
        <w:rPr>
          <w:sz w:val="26"/>
          <w:szCs w:val="26"/>
        </w:rPr>
        <w:t xml:space="preserve"> </w:t>
      </w:r>
      <w:r w:rsidR="00392405" w:rsidRPr="00967499">
        <w:rPr>
          <w:sz w:val="26"/>
          <w:szCs w:val="26"/>
        </w:rPr>
        <w:t xml:space="preserve">Ms. Pearson indicated that on the last bill before September 2014, dated August 22, 2014, the Complainant’s outstanding balance on her gas service account for the Service Address was $5,077.69. </w:t>
      </w:r>
      <w:r w:rsidRPr="00967499">
        <w:rPr>
          <w:sz w:val="26"/>
          <w:szCs w:val="26"/>
        </w:rPr>
        <w:t xml:space="preserve"> I.D. at 7 (citing </w:t>
      </w:r>
      <w:r w:rsidR="00392405" w:rsidRPr="00967499">
        <w:rPr>
          <w:sz w:val="26"/>
          <w:szCs w:val="26"/>
        </w:rPr>
        <w:t xml:space="preserve">Tr. </w:t>
      </w:r>
      <w:r w:rsidRPr="00967499">
        <w:rPr>
          <w:sz w:val="26"/>
          <w:szCs w:val="26"/>
        </w:rPr>
        <w:t xml:space="preserve">at </w:t>
      </w:r>
      <w:r w:rsidR="00392405" w:rsidRPr="00967499">
        <w:rPr>
          <w:sz w:val="26"/>
          <w:szCs w:val="26"/>
        </w:rPr>
        <w:t>20; PGW Exh. 3</w:t>
      </w:r>
      <w:r w:rsidRPr="00967499">
        <w:rPr>
          <w:sz w:val="26"/>
          <w:szCs w:val="26"/>
        </w:rPr>
        <w:t>)</w:t>
      </w:r>
      <w:r w:rsidR="00392405" w:rsidRPr="00967499">
        <w:rPr>
          <w:sz w:val="26"/>
          <w:szCs w:val="26"/>
        </w:rPr>
        <w:t xml:space="preserve">. </w:t>
      </w:r>
      <w:r w:rsidRPr="00967499">
        <w:rPr>
          <w:sz w:val="26"/>
          <w:szCs w:val="26"/>
        </w:rPr>
        <w:t xml:space="preserve"> </w:t>
      </w:r>
      <w:r w:rsidR="00392405" w:rsidRPr="00967499">
        <w:rPr>
          <w:sz w:val="26"/>
          <w:szCs w:val="26"/>
        </w:rPr>
        <w:t>PGW also presented evidence that the final balance on the Complainant’s gas service account on July 24, 2015</w:t>
      </w:r>
      <w:r w:rsidR="00324271">
        <w:rPr>
          <w:sz w:val="26"/>
          <w:szCs w:val="26"/>
        </w:rPr>
        <w:t>,</w:t>
      </w:r>
      <w:r w:rsidR="00392405" w:rsidRPr="00967499">
        <w:rPr>
          <w:sz w:val="26"/>
          <w:szCs w:val="26"/>
        </w:rPr>
        <w:t xml:space="preserve"> was $6,718.37. </w:t>
      </w:r>
      <w:r w:rsidRPr="00967499">
        <w:rPr>
          <w:sz w:val="26"/>
          <w:szCs w:val="26"/>
        </w:rPr>
        <w:t xml:space="preserve"> I.D. at 7 (citing </w:t>
      </w:r>
      <w:r w:rsidR="00392405" w:rsidRPr="00967499">
        <w:rPr>
          <w:sz w:val="26"/>
          <w:szCs w:val="26"/>
        </w:rPr>
        <w:t xml:space="preserve">Tr. </w:t>
      </w:r>
      <w:r w:rsidRPr="00967499">
        <w:rPr>
          <w:sz w:val="26"/>
          <w:szCs w:val="26"/>
        </w:rPr>
        <w:t xml:space="preserve">at </w:t>
      </w:r>
      <w:r w:rsidR="00392405" w:rsidRPr="00967499">
        <w:rPr>
          <w:sz w:val="26"/>
          <w:szCs w:val="26"/>
        </w:rPr>
        <w:t>21; PGW Exh. 3</w:t>
      </w:r>
      <w:r w:rsidRPr="00967499">
        <w:rPr>
          <w:sz w:val="26"/>
          <w:szCs w:val="26"/>
        </w:rPr>
        <w:t>)</w:t>
      </w:r>
      <w:r w:rsidR="00392405" w:rsidRPr="00967499">
        <w:rPr>
          <w:sz w:val="26"/>
          <w:szCs w:val="26"/>
        </w:rPr>
        <w:t xml:space="preserve">. </w:t>
      </w:r>
      <w:r w:rsidRPr="00967499">
        <w:rPr>
          <w:sz w:val="26"/>
          <w:szCs w:val="26"/>
        </w:rPr>
        <w:t xml:space="preserve"> </w:t>
      </w:r>
      <w:r w:rsidR="00392405" w:rsidRPr="00967499">
        <w:rPr>
          <w:sz w:val="26"/>
          <w:szCs w:val="26"/>
        </w:rPr>
        <w:t>The charges billed to the Complainant’s gas service account for the Service Address between September 2014</w:t>
      </w:r>
      <w:r w:rsidR="00324271">
        <w:rPr>
          <w:sz w:val="26"/>
          <w:szCs w:val="26"/>
        </w:rPr>
        <w:t>,</w:t>
      </w:r>
      <w:r w:rsidR="00392405" w:rsidRPr="00967499">
        <w:rPr>
          <w:sz w:val="26"/>
          <w:szCs w:val="26"/>
        </w:rPr>
        <w:t xml:space="preserve"> and July 20, 2015</w:t>
      </w:r>
      <w:r w:rsidR="00324271">
        <w:rPr>
          <w:sz w:val="26"/>
          <w:szCs w:val="26"/>
        </w:rPr>
        <w:t>,</w:t>
      </w:r>
      <w:r w:rsidR="00392405" w:rsidRPr="00967499">
        <w:rPr>
          <w:sz w:val="26"/>
          <w:szCs w:val="26"/>
        </w:rPr>
        <w:t xml:space="preserve"> were $1,640.68. </w:t>
      </w:r>
      <w:r w:rsidRPr="00967499">
        <w:rPr>
          <w:sz w:val="26"/>
          <w:szCs w:val="26"/>
        </w:rPr>
        <w:t xml:space="preserve"> I.D. at 7 (citing </w:t>
      </w:r>
      <w:r w:rsidR="00392405" w:rsidRPr="00967499">
        <w:rPr>
          <w:sz w:val="26"/>
          <w:szCs w:val="26"/>
        </w:rPr>
        <w:t xml:space="preserve">Tr. </w:t>
      </w:r>
      <w:r w:rsidRPr="00967499">
        <w:rPr>
          <w:sz w:val="26"/>
          <w:szCs w:val="26"/>
        </w:rPr>
        <w:t xml:space="preserve">at </w:t>
      </w:r>
      <w:r w:rsidR="00392405" w:rsidRPr="00967499">
        <w:rPr>
          <w:sz w:val="26"/>
          <w:szCs w:val="26"/>
        </w:rPr>
        <w:t>21</w:t>
      </w:r>
      <w:r w:rsidRPr="00967499">
        <w:rPr>
          <w:sz w:val="26"/>
          <w:szCs w:val="26"/>
        </w:rPr>
        <w:t>)</w:t>
      </w:r>
      <w:r w:rsidR="00392405" w:rsidRPr="00967499">
        <w:rPr>
          <w:sz w:val="26"/>
          <w:szCs w:val="26"/>
        </w:rPr>
        <w:t xml:space="preserve">. </w:t>
      </w:r>
      <w:r w:rsidRPr="00967499">
        <w:rPr>
          <w:sz w:val="26"/>
          <w:szCs w:val="26"/>
        </w:rPr>
        <w:t xml:space="preserve"> </w:t>
      </w:r>
      <w:r w:rsidR="00392405" w:rsidRPr="00967499">
        <w:rPr>
          <w:sz w:val="26"/>
          <w:szCs w:val="26"/>
        </w:rPr>
        <w:t>Ms. Pearson testified that all the Complainant’s bills from PGW were based on actual usage.</w:t>
      </w:r>
      <w:r w:rsidR="00324271">
        <w:rPr>
          <w:sz w:val="26"/>
          <w:szCs w:val="26"/>
        </w:rPr>
        <w:t xml:space="preserve"> </w:t>
      </w:r>
      <w:r w:rsidR="00392405" w:rsidRPr="00967499">
        <w:rPr>
          <w:sz w:val="26"/>
          <w:szCs w:val="26"/>
        </w:rPr>
        <w:t xml:space="preserve"> </w:t>
      </w:r>
      <w:r w:rsidRPr="00967499">
        <w:rPr>
          <w:sz w:val="26"/>
          <w:szCs w:val="26"/>
        </w:rPr>
        <w:t xml:space="preserve">I.D. at 7 (citing </w:t>
      </w:r>
      <w:r w:rsidR="00392405" w:rsidRPr="00967499">
        <w:rPr>
          <w:sz w:val="26"/>
          <w:szCs w:val="26"/>
        </w:rPr>
        <w:t xml:space="preserve">Tr. </w:t>
      </w:r>
      <w:r w:rsidRPr="00967499">
        <w:rPr>
          <w:sz w:val="26"/>
          <w:szCs w:val="26"/>
        </w:rPr>
        <w:t xml:space="preserve">at </w:t>
      </w:r>
      <w:r w:rsidR="00392405" w:rsidRPr="00967499">
        <w:rPr>
          <w:sz w:val="26"/>
          <w:szCs w:val="26"/>
        </w:rPr>
        <w:t>21; PGW Exh. 3</w:t>
      </w:r>
      <w:r w:rsidRPr="00967499">
        <w:rPr>
          <w:sz w:val="26"/>
          <w:szCs w:val="26"/>
        </w:rPr>
        <w:t>)</w:t>
      </w:r>
      <w:r w:rsidR="00392405" w:rsidRPr="00967499">
        <w:rPr>
          <w:sz w:val="26"/>
          <w:szCs w:val="26"/>
        </w:rPr>
        <w:t>.</w:t>
      </w:r>
    </w:p>
    <w:p w:rsidR="00967499" w:rsidRDefault="00967499" w:rsidP="00EC224F">
      <w:pPr>
        <w:widowControl/>
        <w:spacing w:line="360" w:lineRule="auto"/>
        <w:ind w:firstLine="1440"/>
        <w:rPr>
          <w:sz w:val="26"/>
          <w:szCs w:val="26"/>
        </w:rPr>
      </w:pPr>
    </w:p>
    <w:p w:rsidR="00967499" w:rsidRDefault="00967499" w:rsidP="00EC224F">
      <w:pPr>
        <w:widowControl/>
        <w:spacing w:line="360" w:lineRule="auto"/>
        <w:ind w:firstLine="1440"/>
        <w:rPr>
          <w:sz w:val="26"/>
          <w:szCs w:val="26"/>
        </w:rPr>
      </w:pPr>
      <w:r w:rsidRPr="00D4180F">
        <w:rPr>
          <w:sz w:val="26"/>
          <w:szCs w:val="26"/>
        </w:rPr>
        <w:t>The ALJ stated that, while the Complainant is the owner of the Service Address and her name is on the account for utility service, the Complainant had met her burden of demonstrating that she had not benefited from utility service at the Service Address since September 2014.  I.D. at 7.  The ALJ found that the Complainant presented credible testimony and evidence that she has not lived at the Servic</w:t>
      </w:r>
      <w:r w:rsidR="00D4180F">
        <w:rPr>
          <w:sz w:val="26"/>
          <w:szCs w:val="26"/>
        </w:rPr>
        <w:t xml:space="preserve">e Address since September 2014; </w:t>
      </w:r>
      <w:r w:rsidRPr="00D4180F">
        <w:rPr>
          <w:sz w:val="26"/>
          <w:szCs w:val="26"/>
        </w:rPr>
        <w:t>that she was not</w:t>
      </w:r>
      <w:r w:rsidR="00324271">
        <w:rPr>
          <w:sz w:val="26"/>
          <w:szCs w:val="26"/>
        </w:rPr>
        <w:t xml:space="preserve"> then-</w:t>
      </w:r>
      <w:r w:rsidRPr="00D4180F">
        <w:rPr>
          <w:sz w:val="26"/>
          <w:szCs w:val="26"/>
        </w:rPr>
        <w:t>able to contact PGW to terminate gas service due to her medical issues since September 2014</w:t>
      </w:r>
      <w:r w:rsidR="00D4180F">
        <w:rPr>
          <w:sz w:val="26"/>
          <w:szCs w:val="26"/>
        </w:rPr>
        <w:t>;</w:t>
      </w:r>
      <w:r w:rsidRPr="00D4180F">
        <w:rPr>
          <w:sz w:val="26"/>
          <w:szCs w:val="26"/>
        </w:rPr>
        <w:t xml:space="preserve"> </w:t>
      </w:r>
      <w:r w:rsidR="00D4180F">
        <w:rPr>
          <w:sz w:val="26"/>
          <w:szCs w:val="26"/>
        </w:rPr>
        <w:t xml:space="preserve">and, </w:t>
      </w:r>
      <w:r w:rsidRPr="00D4180F">
        <w:rPr>
          <w:sz w:val="26"/>
          <w:szCs w:val="26"/>
        </w:rPr>
        <w:t xml:space="preserve">that the Service Address should have been vacant after she left the Service Address in September 2014. </w:t>
      </w:r>
      <w:r w:rsidR="00D4180F">
        <w:rPr>
          <w:sz w:val="26"/>
          <w:szCs w:val="26"/>
        </w:rPr>
        <w:t xml:space="preserve"> </w:t>
      </w:r>
      <w:r w:rsidRPr="00D4180F">
        <w:rPr>
          <w:sz w:val="26"/>
          <w:szCs w:val="26"/>
        </w:rPr>
        <w:t xml:space="preserve">The Complainant’s service was terminated on July 20, 2015. </w:t>
      </w:r>
      <w:r w:rsidR="00D4180F">
        <w:rPr>
          <w:sz w:val="26"/>
          <w:szCs w:val="26"/>
        </w:rPr>
        <w:t xml:space="preserve"> </w:t>
      </w:r>
      <w:r w:rsidRPr="00D4180F">
        <w:rPr>
          <w:sz w:val="26"/>
          <w:szCs w:val="26"/>
        </w:rPr>
        <w:t>PGW indicated that the charges accrued on her gas service account for the Service Address between September 2014</w:t>
      </w:r>
      <w:r w:rsidR="00324271">
        <w:rPr>
          <w:sz w:val="26"/>
          <w:szCs w:val="26"/>
        </w:rPr>
        <w:t>,</w:t>
      </w:r>
      <w:r w:rsidRPr="00D4180F">
        <w:rPr>
          <w:sz w:val="26"/>
          <w:szCs w:val="26"/>
        </w:rPr>
        <w:t xml:space="preserve"> and July 20, 2015</w:t>
      </w:r>
      <w:r w:rsidR="00324271">
        <w:rPr>
          <w:sz w:val="26"/>
          <w:szCs w:val="26"/>
        </w:rPr>
        <w:t>,</w:t>
      </w:r>
      <w:r w:rsidRPr="00D4180F">
        <w:rPr>
          <w:sz w:val="26"/>
          <w:szCs w:val="26"/>
        </w:rPr>
        <w:t xml:space="preserve"> were $1,640.68. </w:t>
      </w:r>
      <w:r w:rsidR="00D4180F">
        <w:rPr>
          <w:sz w:val="26"/>
          <w:szCs w:val="26"/>
        </w:rPr>
        <w:t xml:space="preserve"> </w:t>
      </w:r>
      <w:r w:rsidRPr="00D4180F">
        <w:rPr>
          <w:sz w:val="26"/>
          <w:szCs w:val="26"/>
        </w:rPr>
        <w:t>Based on the above, the</w:t>
      </w:r>
      <w:r w:rsidR="00D4180F">
        <w:rPr>
          <w:sz w:val="26"/>
          <w:szCs w:val="26"/>
        </w:rPr>
        <w:t xml:space="preserve"> ALJ concluded that the Complainant</w:t>
      </w:r>
      <w:r w:rsidRPr="00D4180F">
        <w:rPr>
          <w:sz w:val="26"/>
          <w:szCs w:val="26"/>
        </w:rPr>
        <w:t xml:space="preserve"> established that she is not responsible for charges on her account between September 2014 and July 20, 2015</w:t>
      </w:r>
      <w:r w:rsidR="00295172">
        <w:rPr>
          <w:sz w:val="26"/>
          <w:szCs w:val="26"/>
        </w:rPr>
        <w:t>,</w:t>
      </w:r>
      <w:r w:rsidRPr="00D4180F">
        <w:rPr>
          <w:sz w:val="26"/>
          <w:szCs w:val="26"/>
        </w:rPr>
        <w:t xml:space="preserve"> in the amount of $1,640.68.</w:t>
      </w:r>
      <w:r w:rsidR="00901480">
        <w:rPr>
          <w:sz w:val="26"/>
          <w:szCs w:val="26"/>
        </w:rPr>
        <w:t xml:space="preserve">  I.D. at 7. </w:t>
      </w:r>
    </w:p>
    <w:p w:rsidR="00901480" w:rsidRDefault="00901480" w:rsidP="00EC224F">
      <w:pPr>
        <w:widowControl/>
        <w:spacing w:line="360" w:lineRule="auto"/>
        <w:ind w:firstLine="1440"/>
        <w:rPr>
          <w:sz w:val="26"/>
          <w:szCs w:val="26"/>
        </w:rPr>
      </w:pPr>
    </w:p>
    <w:p w:rsidR="00901480" w:rsidRPr="00D4180F" w:rsidRDefault="00901480" w:rsidP="00EC224F">
      <w:pPr>
        <w:widowControl/>
        <w:spacing w:line="360" w:lineRule="auto"/>
        <w:ind w:firstLine="1440"/>
        <w:rPr>
          <w:sz w:val="26"/>
          <w:szCs w:val="26"/>
        </w:rPr>
      </w:pPr>
      <w:r>
        <w:rPr>
          <w:sz w:val="26"/>
          <w:szCs w:val="26"/>
        </w:rPr>
        <w:t xml:space="preserve">As relief, the ALJ granted the Complaint and ordered </w:t>
      </w:r>
      <w:r w:rsidR="00324271">
        <w:rPr>
          <w:sz w:val="26"/>
          <w:szCs w:val="26"/>
        </w:rPr>
        <w:t xml:space="preserve">PGW to remove </w:t>
      </w:r>
      <w:r>
        <w:rPr>
          <w:sz w:val="26"/>
          <w:szCs w:val="26"/>
        </w:rPr>
        <w:t xml:space="preserve">the charges in the amount of $1,640.68 from the Complainant’s final balance for the Service Address.  I.D. at 8.  </w:t>
      </w:r>
    </w:p>
    <w:p w:rsidR="00D4180F" w:rsidRDefault="00D4180F" w:rsidP="00EC224F">
      <w:pPr>
        <w:widowControl/>
        <w:spacing w:line="360" w:lineRule="auto"/>
        <w:rPr>
          <w:b/>
          <w:sz w:val="26"/>
          <w:szCs w:val="26"/>
        </w:rPr>
      </w:pPr>
    </w:p>
    <w:p w:rsidR="000B5A3D" w:rsidRPr="000B5A3D" w:rsidRDefault="000B5A3D" w:rsidP="00EC224F">
      <w:pPr>
        <w:widowControl/>
        <w:spacing w:line="360" w:lineRule="auto"/>
        <w:rPr>
          <w:b/>
          <w:sz w:val="26"/>
          <w:szCs w:val="26"/>
        </w:rPr>
      </w:pPr>
      <w:r w:rsidRPr="000B5A3D">
        <w:rPr>
          <w:b/>
          <w:sz w:val="26"/>
          <w:szCs w:val="26"/>
        </w:rPr>
        <w:t xml:space="preserve">Disposition </w:t>
      </w:r>
    </w:p>
    <w:p w:rsidR="000B5A3D" w:rsidRDefault="000B5A3D" w:rsidP="00EC224F">
      <w:pPr>
        <w:widowControl/>
        <w:spacing w:line="360" w:lineRule="auto"/>
        <w:rPr>
          <w:sz w:val="26"/>
          <w:szCs w:val="26"/>
        </w:rPr>
      </w:pPr>
    </w:p>
    <w:p w:rsidR="00C12AA8" w:rsidRPr="00C12AA8" w:rsidRDefault="00C12AA8" w:rsidP="00EC224F">
      <w:pPr>
        <w:widowControl/>
        <w:spacing w:line="360" w:lineRule="auto"/>
        <w:ind w:firstLine="1440"/>
        <w:rPr>
          <w:sz w:val="26"/>
          <w:szCs w:val="26"/>
        </w:rPr>
      </w:pPr>
      <w:r w:rsidRPr="00C12AA8">
        <w:rPr>
          <w:sz w:val="26"/>
          <w:szCs w:val="26"/>
        </w:rPr>
        <w:t>The Complainant</w:t>
      </w:r>
      <w:r w:rsidR="0027181C">
        <w:rPr>
          <w:sz w:val="26"/>
          <w:szCs w:val="26"/>
        </w:rPr>
        <w:t xml:space="preserve"> in this case</w:t>
      </w:r>
      <w:r w:rsidRPr="00C12AA8">
        <w:rPr>
          <w:sz w:val="26"/>
          <w:szCs w:val="26"/>
        </w:rPr>
        <w:t xml:space="preserve"> alleged that PGW had terminated service for amounts owed which included charges that she was not responsible for.  The ALJ concluded that that the Complainant was not responsible for the entire outstanding amount and directed PGW to remove a portion of the charges from the total</w:t>
      </w:r>
      <w:r w:rsidR="000F2B7C">
        <w:rPr>
          <w:sz w:val="26"/>
          <w:szCs w:val="26"/>
        </w:rPr>
        <w:t xml:space="preserve"> balance for the S</w:t>
      </w:r>
      <w:r w:rsidRPr="00C12AA8">
        <w:rPr>
          <w:sz w:val="26"/>
          <w:szCs w:val="26"/>
        </w:rPr>
        <w:t xml:space="preserve">ervice </w:t>
      </w:r>
      <w:r w:rsidR="000F2B7C">
        <w:rPr>
          <w:sz w:val="26"/>
          <w:szCs w:val="26"/>
        </w:rPr>
        <w:t>A</w:t>
      </w:r>
      <w:r w:rsidRPr="00C12AA8">
        <w:rPr>
          <w:sz w:val="26"/>
          <w:szCs w:val="26"/>
        </w:rPr>
        <w:t>ddress.</w:t>
      </w:r>
    </w:p>
    <w:p w:rsidR="00C12AA8" w:rsidRPr="00C12AA8" w:rsidRDefault="00C12AA8" w:rsidP="00EC224F">
      <w:pPr>
        <w:widowControl/>
        <w:spacing w:line="360" w:lineRule="auto"/>
        <w:ind w:firstLine="1440"/>
        <w:rPr>
          <w:sz w:val="26"/>
          <w:szCs w:val="26"/>
        </w:rPr>
      </w:pPr>
    </w:p>
    <w:p w:rsidR="00C12AA8" w:rsidRPr="00C12AA8" w:rsidRDefault="00EB25C8" w:rsidP="00EC224F">
      <w:pPr>
        <w:widowControl/>
        <w:spacing w:line="360" w:lineRule="auto"/>
        <w:ind w:firstLine="1440"/>
        <w:rPr>
          <w:sz w:val="26"/>
          <w:szCs w:val="26"/>
        </w:rPr>
      </w:pPr>
      <w:r>
        <w:rPr>
          <w:sz w:val="26"/>
          <w:szCs w:val="26"/>
        </w:rPr>
        <w:t>The relevant</w:t>
      </w:r>
      <w:r w:rsidR="00C12AA8" w:rsidRPr="00C12AA8">
        <w:rPr>
          <w:sz w:val="26"/>
          <w:szCs w:val="26"/>
        </w:rPr>
        <w:t xml:space="preserve"> facts from the evidentiary record include the following</w:t>
      </w:r>
      <w:r>
        <w:rPr>
          <w:sz w:val="26"/>
          <w:szCs w:val="26"/>
        </w:rPr>
        <w:t>:</w:t>
      </w:r>
      <w:r w:rsidR="00C12AA8" w:rsidRPr="00C12AA8">
        <w:rPr>
          <w:sz w:val="26"/>
          <w:szCs w:val="26"/>
        </w:rPr>
        <w:t xml:space="preserve"> </w:t>
      </w:r>
      <w:r>
        <w:rPr>
          <w:sz w:val="26"/>
          <w:szCs w:val="26"/>
        </w:rPr>
        <w:t xml:space="preserve"> </w:t>
      </w:r>
      <w:r w:rsidR="00C12AA8" w:rsidRPr="00C12AA8">
        <w:rPr>
          <w:sz w:val="26"/>
          <w:szCs w:val="26"/>
        </w:rPr>
        <w:t>The Complainant is the owner o</w:t>
      </w:r>
      <w:r w:rsidR="000F2B7C">
        <w:rPr>
          <w:sz w:val="26"/>
          <w:szCs w:val="26"/>
        </w:rPr>
        <w:t>f the Service A</w:t>
      </w:r>
      <w:r>
        <w:rPr>
          <w:sz w:val="26"/>
          <w:szCs w:val="26"/>
        </w:rPr>
        <w:t>ddress at issue; i</w:t>
      </w:r>
      <w:r w:rsidR="00C12AA8" w:rsidRPr="00C12AA8">
        <w:rPr>
          <w:sz w:val="26"/>
          <w:szCs w:val="26"/>
        </w:rPr>
        <w:t xml:space="preserve">n September of 2014, the Complainant was hospitalized, later discharged to a rehabilitation facility, and has never </w:t>
      </w:r>
      <w:r>
        <w:rPr>
          <w:sz w:val="26"/>
          <w:szCs w:val="26"/>
        </w:rPr>
        <w:t>returned to the Service Address; a</w:t>
      </w:r>
      <w:r w:rsidR="00C12AA8" w:rsidRPr="00C12AA8">
        <w:rPr>
          <w:sz w:val="26"/>
          <w:szCs w:val="26"/>
        </w:rPr>
        <w:t xml:space="preserve">t no time did the Complainant or any other authorized party contact PGW to request the </w:t>
      </w:r>
      <w:r>
        <w:rPr>
          <w:sz w:val="26"/>
          <w:szCs w:val="26"/>
        </w:rPr>
        <w:t>discontinuation</w:t>
      </w:r>
      <w:r w:rsidR="00C12AA8" w:rsidRPr="00C12AA8">
        <w:rPr>
          <w:sz w:val="26"/>
          <w:szCs w:val="26"/>
        </w:rPr>
        <w:t xml:space="preserve"> or suspension of gas service</w:t>
      </w:r>
      <w:r>
        <w:rPr>
          <w:sz w:val="26"/>
          <w:szCs w:val="26"/>
        </w:rPr>
        <w:t xml:space="preserve"> to the Service A</w:t>
      </w:r>
      <w:r w:rsidR="00C12AA8" w:rsidRPr="00C12AA8">
        <w:rPr>
          <w:sz w:val="26"/>
          <w:szCs w:val="26"/>
        </w:rPr>
        <w:t>ddress</w:t>
      </w:r>
      <w:r>
        <w:rPr>
          <w:sz w:val="26"/>
          <w:szCs w:val="26"/>
        </w:rPr>
        <w:t xml:space="preserve">; that </w:t>
      </w:r>
      <w:r w:rsidR="00C12AA8" w:rsidRPr="00C12AA8">
        <w:rPr>
          <w:sz w:val="26"/>
          <w:szCs w:val="26"/>
        </w:rPr>
        <w:t>PGW continued to provide gas service after the Complainant’s hospitalization until it terminated service on July 20, 2015</w:t>
      </w:r>
      <w:r>
        <w:rPr>
          <w:sz w:val="26"/>
          <w:szCs w:val="26"/>
        </w:rPr>
        <w:t>,</w:t>
      </w:r>
      <w:r w:rsidR="00C12AA8" w:rsidRPr="00C12AA8">
        <w:rPr>
          <w:sz w:val="26"/>
          <w:szCs w:val="26"/>
        </w:rPr>
        <w:t xml:space="preserve"> due to</w:t>
      </w:r>
      <w:r>
        <w:rPr>
          <w:sz w:val="26"/>
          <w:szCs w:val="26"/>
        </w:rPr>
        <w:t xml:space="preserve"> the Complainant’s</w:t>
      </w:r>
      <w:r w:rsidR="00C12AA8" w:rsidRPr="00C12AA8">
        <w:rPr>
          <w:sz w:val="26"/>
          <w:szCs w:val="26"/>
        </w:rPr>
        <w:t xml:space="preserve"> non-payment of the outstanding balance, which had grown to $6,718 by that</w:t>
      </w:r>
      <w:r>
        <w:rPr>
          <w:sz w:val="26"/>
          <w:szCs w:val="26"/>
        </w:rPr>
        <w:t xml:space="preserve"> time;</w:t>
      </w:r>
      <w:r w:rsidR="00C12AA8" w:rsidRPr="00C12AA8">
        <w:rPr>
          <w:rStyle w:val="FootnoteReference"/>
          <w:sz w:val="26"/>
          <w:szCs w:val="26"/>
        </w:rPr>
        <w:footnoteReference w:id="1"/>
      </w:r>
      <w:r w:rsidR="00C12AA8" w:rsidRPr="00C12AA8">
        <w:rPr>
          <w:sz w:val="26"/>
          <w:szCs w:val="26"/>
        </w:rPr>
        <w:t xml:space="preserve"> </w:t>
      </w:r>
      <w:r>
        <w:rPr>
          <w:sz w:val="26"/>
          <w:szCs w:val="26"/>
        </w:rPr>
        <w:t>t</w:t>
      </w:r>
      <w:r w:rsidR="00C12AA8" w:rsidRPr="00C12AA8">
        <w:rPr>
          <w:sz w:val="26"/>
          <w:szCs w:val="26"/>
        </w:rPr>
        <w:t>he portion of the charges from September 2014 through July 24, 2015</w:t>
      </w:r>
      <w:r w:rsidR="00295172">
        <w:rPr>
          <w:sz w:val="26"/>
          <w:szCs w:val="26"/>
        </w:rPr>
        <w:t>,</w:t>
      </w:r>
      <w:r w:rsidR="00C12AA8" w:rsidRPr="00C12AA8">
        <w:rPr>
          <w:sz w:val="26"/>
          <w:szCs w:val="26"/>
        </w:rPr>
        <w:t xml:space="preserve"> was $1,640.6</w:t>
      </w:r>
      <w:r>
        <w:rPr>
          <w:sz w:val="26"/>
          <w:szCs w:val="26"/>
        </w:rPr>
        <w:t>8; and a</w:t>
      </w:r>
      <w:r w:rsidR="00C12AA8" w:rsidRPr="00C12AA8">
        <w:rPr>
          <w:sz w:val="26"/>
          <w:szCs w:val="26"/>
        </w:rPr>
        <w:t>ll bills are based on actual usage.</w:t>
      </w:r>
    </w:p>
    <w:p w:rsidR="00C12AA8" w:rsidRPr="00C12AA8" w:rsidRDefault="00C12AA8" w:rsidP="00EC224F">
      <w:pPr>
        <w:widowControl/>
        <w:spacing w:line="360" w:lineRule="auto"/>
        <w:ind w:firstLine="1440"/>
        <w:rPr>
          <w:sz w:val="26"/>
          <w:szCs w:val="26"/>
        </w:rPr>
      </w:pPr>
    </w:p>
    <w:p w:rsidR="00C12AA8" w:rsidRPr="00C12AA8" w:rsidRDefault="00C12AA8" w:rsidP="00EC224F">
      <w:pPr>
        <w:widowControl/>
        <w:spacing w:line="360" w:lineRule="auto"/>
        <w:ind w:firstLine="1440"/>
        <w:rPr>
          <w:sz w:val="26"/>
          <w:szCs w:val="26"/>
        </w:rPr>
      </w:pPr>
      <w:r w:rsidRPr="00C12AA8">
        <w:rPr>
          <w:sz w:val="26"/>
          <w:szCs w:val="26"/>
        </w:rPr>
        <w:t>The ALJ acknowledged that PGW violated no regulation of the Commission, and made no findings that PGW otherwise violated any order of the Commission or Section 1501 of the Public Utility Code (Code), 66 Pa. C.S. § 1501, which requires that public utility service be safe and reasonable, and provides the Commission with jurisdiction to hear service and billing related complaints.</w:t>
      </w:r>
      <w:r w:rsidR="00EB25C8">
        <w:rPr>
          <w:sz w:val="26"/>
          <w:szCs w:val="26"/>
        </w:rPr>
        <w:t xml:space="preserve">  </w:t>
      </w:r>
      <w:r w:rsidRPr="00C12AA8">
        <w:rPr>
          <w:sz w:val="26"/>
          <w:szCs w:val="26"/>
        </w:rPr>
        <w:t xml:space="preserve">Nevertheless, the ALJ concluded that because the Complainant had not, in </w:t>
      </w:r>
      <w:r w:rsidR="00EB25C8">
        <w:rPr>
          <w:sz w:val="26"/>
          <w:szCs w:val="26"/>
        </w:rPr>
        <w:t>the ALJ’s</w:t>
      </w:r>
      <w:r w:rsidRPr="00C12AA8">
        <w:rPr>
          <w:sz w:val="26"/>
          <w:szCs w:val="26"/>
        </w:rPr>
        <w:t xml:space="preserve"> view, benefited from PGW’s service after she was hospitalized, that the charges </w:t>
      </w:r>
      <w:r w:rsidR="00EB25C8">
        <w:rPr>
          <w:sz w:val="26"/>
          <w:szCs w:val="26"/>
        </w:rPr>
        <w:t xml:space="preserve">in the amount of </w:t>
      </w:r>
      <w:r w:rsidR="00EB25C8" w:rsidRPr="00C12AA8">
        <w:rPr>
          <w:sz w:val="26"/>
          <w:szCs w:val="26"/>
        </w:rPr>
        <w:t>$1,640.6</w:t>
      </w:r>
      <w:r w:rsidR="00EB25C8">
        <w:rPr>
          <w:sz w:val="26"/>
          <w:szCs w:val="26"/>
        </w:rPr>
        <w:t xml:space="preserve">8 </w:t>
      </w:r>
      <w:r w:rsidRPr="00C12AA8">
        <w:rPr>
          <w:sz w:val="26"/>
          <w:szCs w:val="26"/>
        </w:rPr>
        <w:t xml:space="preserve">associated with </w:t>
      </w:r>
      <w:r w:rsidR="00EB25C8">
        <w:rPr>
          <w:sz w:val="26"/>
          <w:szCs w:val="26"/>
        </w:rPr>
        <w:t xml:space="preserve">the period from </w:t>
      </w:r>
      <w:r w:rsidR="00EB25C8" w:rsidRPr="00C12AA8">
        <w:rPr>
          <w:sz w:val="26"/>
          <w:szCs w:val="26"/>
        </w:rPr>
        <w:t>September 2014 through July 24, 2015</w:t>
      </w:r>
      <w:r w:rsidR="00EB25C8">
        <w:rPr>
          <w:sz w:val="26"/>
          <w:szCs w:val="26"/>
        </w:rPr>
        <w:t>,</w:t>
      </w:r>
      <w:r w:rsidR="00EB25C8" w:rsidRPr="00C12AA8">
        <w:rPr>
          <w:sz w:val="26"/>
          <w:szCs w:val="26"/>
        </w:rPr>
        <w:t xml:space="preserve"> </w:t>
      </w:r>
      <w:r w:rsidRPr="00C12AA8">
        <w:rPr>
          <w:sz w:val="26"/>
          <w:szCs w:val="26"/>
        </w:rPr>
        <w:t xml:space="preserve">should be removed from the outstanding balance. </w:t>
      </w:r>
    </w:p>
    <w:p w:rsidR="00C12AA8" w:rsidRPr="00C12AA8" w:rsidRDefault="00C12AA8" w:rsidP="00EC224F">
      <w:pPr>
        <w:widowControl/>
        <w:spacing w:line="360" w:lineRule="auto"/>
        <w:ind w:firstLine="1440"/>
        <w:rPr>
          <w:sz w:val="26"/>
          <w:szCs w:val="26"/>
        </w:rPr>
      </w:pPr>
    </w:p>
    <w:p w:rsidR="00463376" w:rsidRDefault="00EB25C8" w:rsidP="00EC224F">
      <w:pPr>
        <w:widowControl/>
        <w:spacing w:line="360" w:lineRule="auto"/>
        <w:ind w:firstLine="1440"/>
        <w:rPr>
          <w:sz w:val="26"/>
          <w:szCs w:val="26"/>
        </w:rPr>
      </w:pPr>
      <w:r>
        <w:rPr>
          <w:sz w:val="26"/>
          <w:szCs w:val="26"/>
        </w:rPr>
        <w:t xml:space="preserve">Upon review, we are compelled to reverse the ALJ’s Initial Decision and dismiss the Complainant.  </w:t>
      </w:r>
      <w:r w:rsidR="00E97891" w:rsidRPr="00C12AA8">
        <w:rPr>
          <w:sz w:val="26"/>
          <w:szCs w:val="26"/>
        </w:rPr>
        <w:t xml:space="preserve">The linchpin of the ALJ’s analysis was that the customer did not benefit from the service because she was not residing at the service address.  </w:t>
      </w:r>
      <w:r w:rsidR="00E97891">
        <w:rPr>
          <w:sz w:val="26"/>
          <w:szCs w:val="26"/>
        </w:rPr>
        <w:t xml:space="preserve">However, </w:t>
      </w:r>
      <w:r w:rsidR="00E97891" w:rsidRPr="00C12AA8">
        <w:rPr>
          <w:sz w:val="26"/>
          <w:szCs w:val="26"/>
        </w:rPr>
        <w:t xml:space="preserve">this fact is not relevant to </w:t>
      </w:r>
      <w:r w:rsidR="00E97891">
        <w:rPr>
          <w:sz w:val="26"/>
          <w:szCs w:val="26"/>
        </w:rPr>
        <w:t xml:space="preserve">our disposition of </w:t>
      </w:r>
      <w:r w:rsidR="00E97891" w:rsidRPr="00C12AA8">
        <w:rPr>
          <w:sz w:val="26"/>
          <w:szCs w:val="26"/>
        </w:rPr>
        <w:t xml:space="preserve">the merits of the Complaint.  </w:t>
      </w:r>
      <w:r w:rsidR="00E97891">
        <w:rPr>
          <w:sz w:val="26"/>
          <w:szCs w:val="26"/>
        </w:rPr>
        <w:t>In order</w:t>
      </w:r>
      <w:r w:rsidR="00E97891" w:rsidRPr="00C12AA8">
        <w:rPr>
          <w:sz w:val="26"/>
          <w:szCs w:val="26"/>
        </w:rPr>
        <w:t xml:space="preserve"> for </w:t>
      </w:r>
      <w:r w:rsidR="00E97891">
        <w:rPr>
          <w:sz w:val="26"/>
          <w:szCs w:val="26"/>
        </w:rPr>
        <w:t xml:space="preserve">a </w:t>
      </w:r>
      <w:r w:rsidR="00E97891" w:rsidRPr="00C12AA8">
        <w:rPr>
          <w:sz w:val="26"/>
          <w:szCs w:val="26"/>
        </w:rPr>
        <w:t>service related complaint to be sustained, a utility must have been found to have violated its duty to the customer.</w:t>
      </w:r>
      <w:r w:rsidR="00E97891">
        <w:rPr>
          <w:sz w:val="26"/>
          <w:szCs w:val="26"/>
        </w:rPr>
        <w:t xml:space="preserve">  </w:t>
      </w:r>
      <w:r w:rsidR="000F2B7C" w:rsidRPr="000F2B7C">
        <w:rPr>
          <w:i/>
          <w:sz w:val="26"/>
          <w:szCs w:val="26"/>
        </w:rPr>
        <w:t>See</w:t>
      </w:r>
      <w:r w:rsidR="000F2B7C">
        <w:rPr>
          <w:sz w:val="26"/>
          <w:szCs w:val="26"/>
        </w:rPr>
        <w:t xml:space="preserve"> </w:t>
      </w:r>
      <w:r w:rsidR="00E97891" w:rsidRPr="007133CF">
        <w:rPr>
          <w:i/>
          <w:sz w:val="26"/>
          <w:szCs w:val="26"/>
        </w:rPr>
        <w:t>West Penn Power Co. v. Pennsylvania Public Utility Comm</w:t>
      </w:r>
      <w:r w:rsidR="00E97891" w:rsidRPr="007133CF">
        <w:rPr>
          <w:sz w:val="26"/>
          <w:szCs w:val="26"/>
        </w:rPr>
        <w:t xml:space="preserve">., </w:t>
      </w:r>
      <w:r w:rsidR="00E97891">
        <w:rPr>
          <w:sz w:val="26"/>
          <w:szCs w:val="26"/>
        </w:rPr>
        <w:t xml:space="preserve">478 A.2d 947 (Pa. Cmwlth. 1984).  </w:t>
      </w:r>
      <w:r w:rsidR="007F5600">
        <w:rPr>
          <w:sz w:val="26"/>
          <w:szCs w:val="26"/>
        </w:rPr>
        <w:t>As explained below, i</w:t>
      </w:r>
      <w:r w:rsidR="00E97891">
        <w:rPr>
          <w:sz w:val="26"/>
          <w:szCs w:val="26"/>
        </w:rPr>
        <w:t xml:space="preserve">t is clear from the record in this proceeding that </w:t>
      </w:r>
      <w:r w:rsidR="00E97891" w:rsidRPr="00C12AA8">
        <w:rPr>
          <w:sz w:val="26"/>
          <w:szCs w:val="26"/>
        </w:rPr>
        <w:t>PGW has not violated a</w:t>
      </w:r>
      <w:r w:rsidR="0027181C">
        <w:rPr>
          <w:sz w:val="26"/>
          <w:szCs w:val="26"/>
        </w:rPr>
        <w:t xml:space="preserve"> Commission</w:t>
      </w:r>
      <w:r w:rsidR="00E97891" w:rsidRPr="00C12AA8">
        <w:rPr>
          <w:sz w:val="26"/>
          <w:szCs w:val="26"/>
        </w:rPr>
        <w:t xml:space="preserve"> </w:t>
      </w:r>
      <w:r w:rsidR="00E97891">
        <w:rPr>
          <w:sz w:val="26"/>
          <w:szCs w:val="26"/>
        </w:rPr>
        <w:t>R</w:t>
      </w:r>
      <w:r w:rsidR="00E97891" w:rsidRPr="00C12AA8">
        <w:rPr>
          <w:sz w:val="26"/>
          <w:szCs w:val="26"/>
        </w:rPr>
        <w:t>egulation or</w:t>
      </w:r>
      <w:r w:rsidR="000F2B7C">
        <w:rPr>
          <w:sz w:val="26"/>
          <w:szCs w:val="26"/>
        </w:rPr>
        <w:t xml:space="preserve"> Order, or</w:t>
      </w:r>
      <w:r w:rsidR="00E97891" w:rsidRPr="00C12AA8">
        <w:rPr>
          <w:sz w:val="26"/>
          <w:szCs w:val="26"/>
        </w:rPr>
        <w:t xml:space="preserve"> </w:t>
      </w:r>
      <w:r w:rsidR="00E97891">
        <w:rPr>
          <w:sz w:val="26"/>
          <w:szCs w:val="26"/>
        </w:rPr>
        <w:t>its</w:t>
      </w:r>
      <w:r w:rsidR="0027181C">
        <w:rPr>
          <w:sz w:val="26"/>
          <w:szCs w:val="26"/>
        </w:rPr>
        <w:t xml:space="preserve"> Commission-approved</w:t>
      </w:r>
      <w:r w:rsidR="00E97891">
        <w:rPr>
          <w:sz w:val="26"/>
          <w:szCs w:val="26"/>
        </w:rPr>
        <w:t xml:space="preserve"> Tariff</w:t>
      </w:r>
      <w:r w:rsidR="000F2B7C">
        <w:rPr>
          <w:sz w:val="26"/>
          <w:szCs w:val="26"/>
        </w:rPr>
        <w:t>,</w:t>
      </w:r>
      <w:r w:rsidR="00E97891" w:rsidRPr="00C12AA8">
        <w:rPr>
          <w:sz w:val="26"/>
          <w:szCs w:val="26"/>
        </w:rPr>
        <w:t xml:space="preserve"> or any provision of the Code</w:t>
      </w:r>
      <w:r w:rsidR="000F2B7C">
        <w:rPr>
          <w:sz w:val="26"/>
          <w:szCs w:val="26"/>
        </w:rPr>
        <w:t>,</w:t>
      </w:r>
      <w:r w:rsidR="00E97891" w:rsidRPr="00C12AA8">
        <w:rPr>
          <w:sz w:val="26"/>
          <w:szCs w:val="26"/>
        </w:rPr>
        <w:t xml:space="preserve"> in providing service to </w:t>
      </w:r>
      <w:r w:rsidR="000F2B7C">
        <w:rPr>
          <w:sz w:val="26"/>
          <w:szCs w:val="26"/>
        </w:rPr>
        <w:t>the Complainant.</w:t>
      </w:r>
      <w:r w:rsidR="00E97891" w:rsidRPr="00C12AA8">
        <w:rPr>
          <w:sz w:val="26"/>
          <w:szCs w:val="26"/>
        </w:rPr>
        <w:t xml:space="preserve"> </w:t>
      </w:r>
      <w:r w:rsidR="00E97891">
        <w:rPr>
          <w:sz w:val="26"/>
          <w:szCs w:val="26"/>
        </w:rPr>
        <w:t xml:space="preserve"> </w:t>
      </w:r>
      <w:r w:rsidR="001822CC">
        <w:rPr>
          <w:sz w:val="26"/>
          <w:szCs w:val="26"/>
        </w:rPr>
        <w:t>As</w:t>
      </w:r>
      <w:r w:rsidR="00463376">
        <w:rPr>
          <w:sz w:val="26"/>
          <w:szCs w:val="26"/>
        </w:rPr>
        <w:t xml:space="preserve"> </w:t>
      </w:r>
      <w:r w:rsidR="00463376" w:rsidRPr="00C12AA8">
        <w:rPr>
          <w:sz w:val="26"/>
          <w:szCs w:val="26"/>
        </w:rPr>
        <w:t>no violation has been demonstrated</w:t>
      </w:r>
      <w:r w:rsidR="00463376">
        <w:rPr>
          <w:sz w:val="26"/>
          <w:szCs w:val="26"/>
        </w:rPr>
        <w:t xml:space="preserve"> on the part of PGW</w:t>
      </w:r>
      <w:r w:rsidR="00463376" w:rsidRPr="00C12AA8">
        <w:rPr>
          <w:sz w:val="26"/>
          <w:szCs w:val="26"/>
        </w:rPr>
        <w:t>,</w:t>
      </w:r>
      <w:r w:rsidR="00463376">
        <w:rPr>
          <w:sz w:val="26"/>
          <w:szCs w:val="26"/>
        </w:rPr>
        <w:t xml:space="preserve"> </w:t>
      </w:r>
      <w:r w:rsidR="00463376" w:rsidRPr="00C12AA8">
        <w:rPr>
          <w:sz w:val="26"/>
          <w:szCs w:val="26"/>
        </w:rPr>
        <w:t xml:space="preserve">the Complaint must be dismissed. </w:t>
      </w:r>
    </w:p>
    <w:p w:rsidR="00E97891" w:rsidRDefault="00E97891" w:rsidP="00EC224F">
      <w:pPr>
        <w:widowControl/>
        <w:spacing w:line="360" w:lineRule="auto"/>
        <w:ind w:firstLine="1440"/>
        <w:rPr>
          <w:sz w:val="26"/>
          <w:szCs w:val="26"/>
        </w:rPr>
      </w:pPr>
    </w:p>
    <w:p w:rsidR="00C12AA8" w:rsidRDefault="00EB25C8" w:rsidP="00EC224F">
      <w:pPr>
        <w:widowControl/>
        <w:spacing w:line="360" w:lineRule="auto"/>
        <w:ind w:firstLine="1440"/>
        <w:rPr>
          <w:sz w:val="26"/>
          <w:szCs w:val="26"/>
        </w:rPr>
      </w:pPr>
      <w:r>
        <w:rPr>
          <w:sz w:val="26"/>
          <w:szCs w:val="26"/>
        </w:rPr>
        <w:t>Section 56.266</w:t>
      </w:r>
      <w:r w:rsidR="00D06FE9">
        <w:rPr>
          <w:sz w:val="26"/>
          <w:szCs w:val="26"/>
        </w:rPr>
        <w:t>(a)</w:t>
      </w:r>
      <w:r>
        <w:rPr>
          <w:sz w:val="26"/>
          <w:szCs w:val="26"/>
        </w:rPr>
        <w:t xml:space="preserve"> of our Regulations</w:t>
      </w:r>
      <w:r w:rsidR="00D06FE9">
        <w:rPr>
          <w:sz w:val="26"/>
          <w:szCs w:val="26"/>
        </w:rPr>
        <w:t xml:space="preserve"> requires a customer who wishes to have service discontinued by a utility to provide advanced notice thereof to the utility, and in the absence of a notice, </w:t>
      </w:r>
      <w:r w:rsidR="001822CC">
        <w:rPr>
          <w:sz w:val="26"/>
          <w:szCs w:val="26"/>
        </w:rPr>
        <w:t>holds the</w:t>
      </w:r>
      <w:r w:rsidR="00D06FE9">
        <w:rPr>
          <w:sz w:val="26"/>
          <w:szCs w:val="26"/>
        </w:rPr>
        <w:t xml:space="preserve"> customer responsible for </w:t>
      </w:r>
      <w:r w:rsidR="001822CC">
        <w:rPr>
          <w:sz w:val="26"/>
          <w:szCs w:val="26"/>
        </w:rPr>
        <w:t xml:space="preserve">any </w:t>
      </w:r>
      <w:r w:rsidR="00D06FE9">
        <w:rPr>
          <w:sz w:val="26"/>
          <w:szCs w:val="26"/>
        </w:rPr>
        <w:t>services rendered.  Specifically, Section 56.266(a)</w:t>
      </w:r>
      <w:r>
        <w:rPr>
          <w:sz w:val="26"/>
          <w:szCs w:val="26"/>
        </w:rPr>
        <w:t xml:space="preserve"> provides as follows</w:t>
      </w:r>
      <w:r w:rsidR="00C12AA8" w:rsidRPr="00C12AA8">
        <w:rPr>
          <w:sz w:val="26"/>
          <w:szCs w:val="26"/>
        </w:rPr>
        <w:t>:</w:t>
      </w:r>
    </w:p>
    <w:p w:rsidR="00603AB9" w:rsidRDefault="00603AB9" w:rsidP="00EC224F">
      <w:pPr>
        <w:widowControl/>
        <w:spacing w:line="360" w:lineRule="auto"/>
        <w:ind w:firstLine="1440"/>
        <w:rPr>
          <w:sz w:val="26"/>
          <w:szCs w:val="26"/>
        </w:rPr>
      </w:pPr>
    </w:p>
    <w:p w:rsidR="00603AB9" w:rsidRDefault="00C12AA8" w:rsidP="00EC224F">
      <w:pPr>
        <w:widowControl/>
        <w:ind w:left="1440" w:right="1440"/>
        <w:rPr>
          <w:sz w:val="26"/>
          <w:szCs w:val="26"/>
        </w:rPr>
      </w:pPr>
      <w:bookmarkStart w:id="0" w:name="56.266."/>
      <w:r w:rsidRPr="00C12AA8">
        <w:rPr>
          <w:sz w:val="26"/>
          <w:szCs w:val="26"/>
        </w:rPr>
        <w:t xml:space="preserve">(a)  A customer who is about to vacate premises supplied with utility service or who wishes to have service discontinued shall give at least </w:t>
      </w:r>
      <w:r w:rsidRPr="009463F9">
        <w:rPr>
          <w:sz w:val="26"/>
          <w:szCs w:val="26"/>
        </w:rPr>
        <w:t>7 days notice to</w:t>
      </w:r>
      <w:r w:rsidRPr="00C12AA8">
        <w:rPr>
          <w:sz w:val="26"/>
          <w:szCs w:val="26"/>
        </w:rPr>
        <w:t xml:space="preserve"> the utility and a noncustomer occupant, specifying the date on which it is desired that service be discontinued.  </w:t>
      </w:r>
      <w:r w:rsidRPr="00EB25C8">
        <w:rPr>
          <w:i/>
          <w:sz w:val="26"/>
          <w:szCs w:val="26"/>
        </w:rPr>
        <w:t>In the absence of a notice, the customer shall be responsible for services rendered</w:t>
      </w:r>
      <w:r w:rsidRPr="00C12AA8">
        <w:rPr>
          <w:sz w:val="26"/>
          <w:szCs w:val="26"/>
        </w:rPr>
        <w:t xml:space="preserve">.  If the utility is not, after a reasonable attempt to obtain meter access, able to access the meter for discontinuance, service shall be discontinued with an estimated meter reading upon which the final bill will be </w:t>
      </w:r>
    </w:p>
    <w:p w:rsidR="000C5FF3" w:rsidRDefault="00C12AA8" w:rsidP="00603AB9">
      <w:pPr>
        <w:keepNext/>
        <w:keepLines/>
        <w:widowControl/>
        <w:ind w:left="1440" w:right="1440"/>
        <w:rPr>
          <w:sz w:val="26"/>
          <w:szCs w:val="26"/>
        </w:rPr>
      </w:pPr>
      <w:r w:rsidRPr="00C12AA8">
        <w:rPr>
          <w:sz w:val="26"/>
          <w:szCs w:val="26"/>
        </w:rPr>
        <w:t xml:space="preserve">based.  The resulting final bill is subject to adjustment once the utility has obtained an actual meter reading. </w:t>
      </w:r>
    </w:p>
    <w:p w:rsidR="000C5FF3" w:rsidRPr="00C12AA8" w:rsidRDefault="000C5FF3" w:rsidP="00603AB9">
      <w:pPr>
        <w:keepNext/>
        <w:keepLines/>
        <w:widowControl/>
        <w:spacing w:line="360" w:lineRule="auto"/>
        <w:ind w:left="1440" w:right="1440"/>
        <w:rPr>
          <w:sz w:val="26"/>
          <w:szCs w:val="26"/>
        </w:rPr>
      </w:pPr>
    </w:p>
    <w:bookmarkEnd w:id="0"/>
    <w:p w:rsidR="00EB25C8" w:rsidRDefault="00C12AA8" w:rsidP="00EC224F">
      <w:pPr>
        <w:widowControl/>
        <w:spacing w:line="360" w:lineRule="auto"/>
        <w:rPr>
          <w:sz w:val="26"/>
          <w:szCs w:val="26"/>
        </w:rPr>
      </w:pPr>
      <w:r w:rsidRPr="00C12AA8">
        <w:rPr>
          <w:sz w:val="26"/>
          <w:szCs w:val="26"/>
        </w:rPr>
        <w:t>52 Pa. Code §56.266 (emphasis added).</w:t>
      </w:r>
    </w:p>
    <w:p w:rsidR="00EB25C8" w:rsidRDefault="00EB25C8" w:rsidP="00EC224F">
      <w:pPr>
        <w:widowControl/>
        <w:spacing w:line="360" w:lineRule="auto"/>
        <w:rPr>
          <w:sz w:val="26"/>
          <w:szCs w:val="26"/>
        </w:rPr>
      </w:pPr>
    </w:p>
    <w:p w:rsidR="00EB25C8" w:rsidRDefault="00D06FE9" w:rsidP="00EC224F">
      <w:pPr>
        <w:widowControl/>
        <w:spacing w:line="360" w:lineRule="auto"/>
        <w:ind w:firstLine="1440"/>
        <w:rPr>
          <w:sz w:val="26"/>
          <w:szCs w:val="26"/>
        </w:rPr>
      </w:pPr>
      <w:r>
        <w:rPr>
          <w:sz w:val="26"/>
          <w:szCs w:val="26"/>
        </w:rPr>
        <w:t xml:space="preserve">Moreover, Rule 5.5A of PGW’s Gas Service </w:t>
      </w:r>
      <w:r w:rsidR="00EB25C8" w:rsidRPr="00D06FE9">
        <w:rPr>
          <w:sz w:val="26"/>
          <w:szCs w:val="26"/>
        </w:rPr>
        <w:t>Tariff</w:t>
      </w:r>
      <w:r>
        <w:rPr>
          <w:sz w:val="26"/>
          <w:szCs w:val="26"/>
        </w:rPr>
        <w:t xml:space="preserve"> is consistent with Section 56.266 of our Regulations, in that it requires a customer to provide at least seven days notice to discontinue the supply of gas to the applicable service address.  It </w:t>
      </w:r>
      <w:r w:rsidR="007133CF">
        <w:rPr>
          <w:sz w:val="26"/>
          <w:szCs w:val="26"/>
        </w:rPr>
        <w:t>specifically provides:</w:t>
      </w:r>
      <w:r>
        <w:rPr>
          <w:sz w:val="26"/>
          <w:szCs w:val="26"/>
        </w:rPr>
        <w:t xml:space="preserve"> “In the absence of notice, the Customer shall be responsible for services rendered.”  </w:t>
      </w:r>
      <w:r w:rsidRPr="008D70DC">
        <w:rPr>
          <w:i/>
          <w:sz w:val="26"/>
          <w:szCs w:val="26"/>
        </w:rPr>
        <w:t>See</w:t>
      </w:r>
      <w:r w:rsidRPr="008D70DC">
        <w:rPr>
          <w:sz w:val="26"/>
          <w:szCs w:val="26"/>
        </w:rPr>
        <w:t xml:space="preserve"> Philadelphia Gas </w:t>
      </w:r>
      <w:r>
        <w:rPr>
          <w:sz w:val="26"/>
          <w:szCs w:val="26"/>
        </w:rPr>
        <w:t>Works</w:t>
      </w:r>
      <w:r w:rsidRPr="008D70DC">
        <w:rPr>
          <w:sz w:val="26"/>
          <w:szCs w:val="26"/>
        </w:rPr>
        <w:t xml:space="preserve"> Gas Se</w:t>
      </w:r>
      <w:r>
        <w:rPr>
          <w:sz w:val="26"/>
          <w:szCs w:val="26"/>
        </w:rPr>
        <w:t xml:space="preserve">rvice Tariff – Pa P.U.C. No. 2 at </w:t>
      </w:r>
      <w:r w:rsidRPr="008D70DC">
        <w:rPr>
          <w:sz w:val="26"/>
          <w:szCs w:val="26"/>
        </w:rPr>
        <w:t xml:space="preserve">Rule </w:t>
      </w:r>
      <w:r>
        <w:rPr>
          <w:sz w:val="26"/>
          <w:szCs w:val="26"/>
        </w:rPr>
        <w:t>5.5 (Discontinuance by Customer – Generally).  Additionally, Rule 5.6 sets for</w:t>
      </w:r>
      <w:r w:rsidR="00946472">
        <w:rPr>
          <w:sz w:val="26"/>
          <w:szCs w:val="26"/>
        </w:rPr>
        <w:t>th</w:t>
      </w:r>
      <w:r>
        <w:rPr>
          <w:sz w:val="26"/>
          <w:szCs w:val="26"/>
        </w:rPr>
        <w:t xml:space="preserve"> the option for a customer to request a temporary discontinuance of service, with notice required at least ten days in advance.  </w:t>
      </w:r>
      <w:r w:rsidR="00E23D01" w:rsidRPr="00E23D01">
        <w:rPr>
          <w:i/>
          <w:sz w:val="26"/>
          <w:szCs w:val="26"/>
        </w:rPr>
        <w:t>I</w:t>
      </w:r>
      <w:r w:rsidRPr="00E23D01">
        <w:rPr>
          <w:i/>
          <w:sz w:val="26"/>
          <w:szCs w:val="26"/>
        </w:rPr>
        <w:t>d</w:t>
      </w:r>
      <w:r>
        <w:rPr>
          <w:sz w:val="26"/>
          <w:szCs w:val="26"/>
        </w:rPr>
        <w:t xml:space="preserve">. at Rule 5.6 (Temporary Discontinuance of Gas Service by the Customer’s Request).  </w:t>
      </w:r>
      <w:r w:rsidRPr="001C6E41">
        <w:rPr>
          <w:sz w:val="26"/>
          <w:szCs w:val="26"/>
        </w:rPr>
        <w:t xml:space="preserve">A public utility’s Commission-approved tariff is </w:t>
      </w:r>
      <w:r w:rsidRPr="001C6E41">
        <w:rPr>
          <w:i/>
          <w:iCs/>
          <w:sz w:val="26"/>
          <w:szCs w:val="26"/>
        </w:rPr>
        <w:t xml:space="preserve">prima facie </w:t>
      </w:r>
      <w:r w:rsidRPr="001C6E41">
        <w:rPr>
          <w:sz w:val="26"/>
          <w:szCs w:val="26"/>
        </w:rPr>
        <w:t xml:space="preserve">reasonable, has the full force of law and is binding on the utility and the customer. </w:t>
      </w:r>
      <w:r>
        <w:rPr>
          <w:sz w:val="26"/>
          <w:szCs w:val="26"/>
        </w:rPr>
        <w:t xml:space="preserve"> </w:t>
      </w:r>
      <w:r w:rsidRPr="001C6E41">
        <w:rPr>
          <w:sz w:val="26"/>
          <w:szCs w:val="26"/>
        </w:rPr>
        <w:t xml:space="preserve">66 </w:t>
      </w:r>
      <w:r>
        <w:rPr>
          <w:sz w:val="26"/>
          <w:szCs w:val="26"/>
        </w:rPr>
        <w:t>Pa. C.S.</w:t>
      </w:r>
      <w:r w:rsidRPr="001C6E41">
        <w:rPr>
          <w:sz w:val="26"/>
          <w:szCs w:val="26"/>
        </w:rPr>
        <w:t xml:space="preserve"> § 316, </w:t>
      </w:r>
      <w:r w:rsidRPr="001C6E41">
        <w:rPr>
          <w:i/>
          <w:iCs/>
          <w:sz w:val="26"/>
          <w:szCs w:val="26"/>
        </w:rPr>
        <w:t>Kossman v. Pa. Pub. Util. Comm'n</w:t>
      </w:r>
      <w:r w:rsidRPr="001C6E41">
        <w:rPr>
          <w:sz w:val="26"/>
          <w:szCs w:val="26"/>
        </w:rPr>
        <w:t>, 694 A.2d 1147 (Pa.</w:t>
      </w:r>
      <w:r>
        <w:rPr>
          <w:sz w:val="26"/>
          <w:szCs w:val="26"/>
        </w:rPr>
        <w:t xml:space="preserve"> </w:t>
      </w:r>
      <w:r w:rsidRPr="001C6E41">
        <w:rPr>
          <w:sz w:val="26"/>
          <w:szCs w:val="26"/>
        </w:rPr>
        <w:t>Cmwlth. 1997) (</w:t>
      </w:r>
      <w:r w:rsidRPr="001C6E41">
        <w:rPr>
          <w:i/>
          <w:iCs/>
          <w:sz w:val="26"/>
          <w:szCs w:val="26"/>
        </w:rPr>
        <w:t>Kossman)</w:t>
      </w:r>
      <w:r w:rsidRPr="001C6E41">
        <w:rPr>
          <w:sz w:val="26"/>
          <w:szCs w:val="26"/>
        </w:rPr>
        <w:t xml:space="preserve">; and </w:t>
      </w:r>
      <w:r w:rsidRPr="001C6E41">
        <w:rPr>
          <w:i/>
          <w:iCs/>
          <w:sz w:val="26"/>
          <w:szCs w:val="26"/>
        </w:rPr>
        <w:t>Stiteler v. Bell Telephone Co. of Pennsylvania</w:t>
      </w:r>
      <w:r w:rsidRPr="001C6E41">
        <w:rPr>
          <w:sz w:val="26"/>
          <w:szCs w:val="26"/>
        </w:rPr>
        <w:t xml:space="preserve">, </w:t>
      </w:r>
      <w:r>
        <w:rPr>
          <w:sz w:val="26"/>
          <w:szCs w:val="26"/>
        </w:rPr>
        <w:t xml:space="preserve">379 </w:t>
      </w:r>
      <w:r w:rsidRPr="001C6E41">
        <w:rPr>
          <w:sz w:val="26"/>
          <w:szCs w:val="26"/>
        </w:rPr>
        <w:t>A.2d 339 (Pa.</w:t>
      </w:r>
      <w:r>
        <w:rPr>
          <w:sz w:val="26"/>
          <w:szCs w:val="26"/>
        </w:rPr>
        <w:t xml:space="preserve"> </w:t>
      </w:r>
      <w:r w:rsidRPr="001C6E41">
        <w:rPr>
          <w:sz w:val="26"/>
          <w:szCs w:val="26"/>
        </w:rPr>
        <w:t>Cmwlth. 1977) (</w:t>
      </w:r>
      <w:r w:rsidRPr="001C6E41">
        <w:rPr>
          <w:i/>
          <w:iCs/>
          <w:sz w:val="26"/>
          <w:szCs w:val="26"/>
        </w:rPr>
        <w:t>Stiteler)</w:t>
      </w:r>
      <w:r w:rsidRPr="001C6E41">
        <w:rPr>
          <w:sz w:val="26"/>
          <w:szCs w:val="26"/>
        </w:rPr>
        <w:t>.</w:t>
      </w:r>
    </w:p>
    <w:p w:rsidR="00E97891" w:rsidRDefault="00E97891" w:rsidP="00EC224F">
      <w:pPr>
        <w:widowControl/>
        <w:spacing w:line="360" w:lineRule="auto"/>
        <w:ind w:firstLine="1440"/>
        <w:rPr>
          <w:sz w:val="26"/>
          <w:szCs w:val="26"/>
        </w:rPr>
      </w:pPr>
    </w:p>
    <w:p w:rsidR="00463376" w:rsidRDefault="00463376" w:rsidP="00EC224F">
      <w:pPr>
        <w:widowControl/>
        <w:spacing w:line="360" w:lineRule="auto"/>
        <w:ind w:firstLine="1440"/>
        <w:rPr>
          <w:sz w:val="26"/>
          <w:szCs w:val="26"/>
        </w:rPr>
      </w:pPr>
      <w:r>
        <w:rPr>
          <w:sz w:val="26"/>
          <w:szCs w:val="26"/>
        </w:rPr>
        <w:t>Here, t</w:t>
      </w:r>
      <w:r w:rsidRPr="00C12AA8">
        <w:rPr>
          <w:sz w:val="26"/>
          <w:szCs w:val="26"/>
        </w:rPr>
        <w:t xml:space="preserve">he Complainant acknowledged that neither she nor any authorized representative </w:t>
      </w:r>
      <w:r>
        <w:rPr>
          <w:sz w:val="26"/>
          <w:szCs w:val="26"/>
        </w:rPr>
        <w:t xml:space="preserve">on her behalf </w:t>
      </w:r>
      <w:r w:rsidRPr="00C12AA8">
        <w:rPr>
          <w:sz w:val="26"/>
          <w:szCs w:val="26"/>
        </w:rPr>
        <w:t>ever contacted PGW to terminate or otherwise suspend her gas service.  She stated that she was not able to do so due to her health problems</w:t>
      </w:r>
      <w:r>
        <w:rPr>
          <w:sz w:val="26"/>
          <w:szCs w:val="26"/>
        </w:rPr>
        <w:t xml:space="preserve"> and hospitalization</w:t>
      </w:r>
      <w:r w:rsidRPr="00C12AA8">
        <w:rPr>
          <w:sz w:val="26"/>
          <w:szCs w:val="26"/>
        </w:rPr>
        <w:t>, and that no person ha</w:t>
      </w:r>
      <w:r>
        <w:rPr>
          <w:sz w:val="26"/>
          <w:szCs w:val="26"/>
        </w:rPr>
        <w:t>d</w:t>
      </w:r>
      <w:r w:rsidRPr="00C12AA8">
        <w:rPr>
          <w:sz w:val="26"/>
          <w:szCs w:val="26"/>
        </w:rPr>
        <w:t xml:space="preserve"> Power of Attorney over her affairs.  PGW’s witness testified that they would have addressed this issue and the Com</w:t>
      </w:r>
      <w:r>
        <w:rPr>
          <w:sz w:val="26"/>
          <w:szCs w:val="26"/>
        </w:rPr>
        <w:t>plainant would have avoided the</w:t>
      </w:r>
      <w:r w:rsidRPr="00C12AA8">
        <w:rPr>
          <w:sz w:val="26"/>
          <w:szCs w:val="26"/>
        </w:rPr>
        <w:t xml:space="preserve"> liability</w:t>
      </w:r>
      <w:r>
        <w:rPr>
          <w:sz w:val="26"/>
          <w:szCs w:val="26"/>
        </w:rPr>
        <w:t xml:space="preserve"> for the charges</w:t>
      </w:r>
      <w:r w:rsidRPr="00C12AA8">
        <w:rPr>
          <w:sz w:val="26"/>
          <w:szCs w:val="26"/>
        </w:rPr>
        <w:t xml:space="preserve"> if they had been contacted</w:t>
      </w:r>
      <w:r>
        <w:rPr>
          <w:sz w:val="26"/>
          <w:szCs w:val="26"/>
        </w:rPr>
        <w:t>.</w:t>
      </w:r>
      <w:r w:rsidRPr="00C12AA8">
        <w:rPr>
          <w:sz w:val="26"/>
          <w:szCs w:val="26"/>
        </w:rPr>
        <w:t xml:space="preserve">  </w:t>
      </w:r>
      <w:r>
        <w:rPr>
          <w:sz w:val="26"/>
          <w:szCs w:val="26"/>
        </w:rPr>
        <w:t xml:space="preserve">Tr. at 53.  However, in the absence of any notice from the Complainant, </w:t>
      </w:r>
      <w:r w:rsidR="004B58D7">
        <w:rPr>
          <w:sz w:val="26"/>
          <w:szCs w:val="26"/>
        </w:rPr>
        <w:t xml:space="preserve">PGW, accordingly, </w:t>
      </w:r>
      <w:r w:rsidR="00E97891" w:rsidRPr="00C12AA8">
        <w:rPr>
          <w:sz w:val="26"/>
          <w:szCs w:val="26"/>
        </w:rPr>
        <w:t xml:space="preserve">continued to provide gas service until it terminated service </w:t>
      </w:r>
      <w:r w:rsidR="00E97891">
        <w:rPr>
          <w:sz w:val="26"/>
          <w:szCs w:val="26"/>
        </w:rPr>
        <w:t xml:space="preserve">to the Service Address </w:t>
      </w:r>
      <w:r w:rsidR="004B58D7">
        <w:rPr>
          <w:sz w:val="26"/>
          <w:szCs w:val="26"/>
        </w:rPr>
        <w:t xml:space="preserve">on </w:t>
      </w:r>
      <w:r w:rsidR="00E97891" w:rsidRPr="00C12AA8">
        <w:rPr>
          <w:sz w:val="26"/>
          <w:szCs w:val="26"/>
        </w:rPr>
        <w:t>July 20, 2015</w:t>
      </w:r>
      <w:r w:rsidR="004B58D7">
        <w:rPr>
          <w:sz w:val="26"/>
          <w:szCs w:val="26"/>
        </w:rPr>
        <w:t xml:space="preserve">, due to </w:t>
      </w:r>
      <w:r>
        <w:rPr>
          <w:sz w:val="26"/>
          <w:szCs w:val="26"/>
        </w:rPr>
        <w:t xml:space="preserve">the Complainant’s </w:t>
      </w:r>
      <w:r w:rsidR="004B58D7">
        <w:rPr>
          <w:sz w:val="26"/>
          <w:szCs w:val="26"/>
        </w:rPr>
        <w:t xml:space="preserve">non-payment of </w:t>
      </w:r>
      <w:r>
        <w:rPr>
          <w:sz w:val="26"/>
          <w:szCs w:val="26"/>
        </w:rPr>
        <w:t xml:space="preserve">the outstanding </w:t>
      </w:r>
      <w:r w:rsidR="004B58D7">
        <w:rPr>
          <w:sz w:val="26"/>
          <w:szCs w:val="26"/>
        </w:rPr>
        <w:t>amounts owed.  While we acknowledge that the Complainant’</w:t>
      </w:r>
      <w:r w:rsidR="0027181C">
        <w:rPr>
          <w:sz w:val="26"/>
          <w:szCs w:val="26"/>
        </w:rPr>
        <w:t xml:space="preserve">s circumstances </w:t>
      </w:r>
      <w:r w:rsidR="004B58D7">
        <w:rPr>
          <w:sz w:val="26"/>
          <w:szCs w:val="26"/>
        </w:rPr>
        <w:t>may have prevented her from being able to contact PGW to request a discontinuation of service,</w:t>
      </w:r>
      <w:r w:rsidR="0049099E">
        <w:rPr>
          <w:sz w:val="26"/>
          <w:szCs w:val="26"/>
        </w:rPr>
        <w:t xml:space="preserve"> </w:t>
      </w:r>
      <w:r w:rsidR="004B58D7">
        <w:rPr>
          <w:sz w:val="26"/>
          <w:szCs w:val="26"/>
        </w:rPr>
        <w:t xml:space="preserve">such </w:t>
      </w:r>
      <w:r w:rsidR="0027181C">
        <w:rPr>
          <w:sz w:val="26"/>
          <w:szCs w:val="26"/>
        </w:rPr>
        <w:t>is</w:t>
      </w:r>
      <w:r w:rsidR="004B58D7">
        <w:rPr>
          <w:sz w:val="26"/>
          <w:szCs w:val="26"/>
        </w:rPr>
        <w:t xml:space="preserve"> of no consequence to our decision today.  </w:t>
      </w:r>
      <w:r>
        <w:rPr>
          <w:sz w:val="26"/>
          <w:szCs w:val="26"/>
        </w:rPr>
        <w:t xml:space="preserve">Based on our Regulations and the Company’s Tariff, </w:t>
      </w:r>
      <w:r w:rsidR="000F2B7C">
        <w:rPr>
          <w:sz w:val="26"/>
          <w:szCs w:val="26"/>
        </w:rPr>
        <w:t xml:space="preserve">in the absence of </w:t>
      </w:r>
      <w:r w:rsidR="001822CC">
        <w:rPr>
          <w:sz w:val="26"/>
          <w:szCs w:val="26"/>
        </w:rPr>
        <w:t xml:space="preserve">notice to PGW of her desire to discontinue or suspend gas service, </w:t>
      </w:r>
      <w:r>
        <w:rPr>
          <w:sz w:val="26"/>
          <w:szCs w:val="26"/>
        </w:rPr>
        <w:t xml:space="preserve">the Complainant is </w:t>
      </w:r>
      <w:r w:rsidR="001822CC">
        <w:rPr>
          <w:sz w:val="26"/>
          <w:szCs w:val="26"/>
        </w:rPr>
        <w:t xml:space="preserve">financially </w:t>
      </w:r>
      <w:r>
        <w:rPr>
          <w:sz w:val="26"/>
          <w:szCs w:val="26"/>
        </w:rPr>
        <w:t xml:space="preserve">responsible </w:t>
      </w:r>
      <w:r w:rsidR="001822CC">
        <w:rPr>
          <w:sz w:val="26"/>
          <w:szCs w:val="26"/>
        </w:rPr>
        <w:t xml:space="preserve">to PGW </w:t>
      </w:r>
      <w:r>
        <w:rPr>
          <w:sz w:val="26"/>
          <w:szCs w:val="26"/>
        </w:rPr>
        <w:t>for the services rendered to the Service Address despite he</w:t>
      </w:r>
      <w:r w:rsidR="001822CC">
        <w:rPr>
          <w:sz w:val="26"/>
          <w:szCs w:val="26"/>
        </w:rPr>
        <w:t>r not physically occupying the Service Address</w:t>
      </w:r>
      <w:r>
        <w:rPr>
          <w:sz w:val="26"/>
          <w:szCs w:val="26"/>
        </w:rPr>
        <w:t xml:space="preserve"> during the </w:t>
      </w:r>
      <w:r w:rsidR="001822CC">
        <w:rPr>
          <w:sz w:val="26"/>
          <w:szCs w:val="26"/>
        </w:rPr>
        <w:t>period</w:t>
      </w:r>
      <w:r>
        <w:rPr>
          <w:sz w:val="26"/>
          <w:szCs w:val="26"/>
        </w:rPr>
        <w:t xml:space="preserve"> in question.</w:t>
      </w:r>
    </w:p>
    <w:p w:rsidR="00463376" w:rsidRDefault="00463376" w:rsidP="00EC224F">
      <w:pPr>
        <w:widowControl/>
        <w:spacing w:line="360" w:lineRule="auto"/>
        <w:ind w:firstLine="1440"/>
        <w:rPr>
          <w:sz w:val="26"/>
          <w:szCs w:val="26"/>
        </w:rPr>
      </w:pPr>
    </w:p>
    <w:p w:rsidR="00554903" w:rsidRDefault="00554903" w:rsidP="00EC224F">
      <w:pPr>
        <w:widowControl/>
        <w:spacing w:line="360" w:lineRule="auto"/>
        <w:ind w:firstLine="1440"/>
        <w:rPr>
          <w:sz w:val="26"/>
          <w:szCs w:val="26"/>
        </w:rPr>
      </w:pPr>
      <w:r w:rsidRPr="00554903">
        <w:rPr>
          <w:sz w:val="26"/>
          <w:szCs w:val="26"/>
        </w:rPr>
        <w:t>The</w:t>
      </w:r>
      <w:r>
        <w:rPr>
          <w:sz w:val="26"/>
          <w:szCs w:val="26"/>
        </w:rPr>
        <w:t xml:space="preserve"> Commission </w:t>
      </w:r>
      <w:r w:rsidR="0027181C">
        <w:rPr>
          <w:sz w:val="26"/>
          <w:szCs w:val="26"/>
        </w:rPr>
        <w:t xml:space="preserve">can </w:t>
      </w:r>
      <w:r w:rsidRPr="00C12AA8">
        <w:rPr>
          <w:sz w:val="26"/>
          <w:szCs w:val="26"/>
        </w:rPr>
        <w:t>sympathize</w:t>
      </w:r>
      <w:r>
        <w:rPr>
          <w:sz w:val="26"/>
          <w:szCs w:val="26"/>
        </w:rPr>
        <w:t xml:space="preserve"> with c</w:t>
      </w:r>
      <w:r w:rsidRPr="00C12AA8">
        <w:rPr>
          <w:sz w:val="26"/>
          <w:szCs w:val="26"/>
        </w:rPr>
        <w:t>omplainants</w:t>
      </w:r>
      <w:r>
        <w:rPr>
          <w:sz w:val="26"/>
          <w:szCs w:val="26"/>
        </w:rPr>
        <w:t>, like the Complainant in th</w:t>
      </w:r>
      <w:r w:rsidR="0027181C">
        <w:rPr>
          <w:sz w:val="26"/>
          <w:szCs w:val="26"/>
        </w:rPr>
        <w:t>e instant</w:t>
      </w:r>
      <w:r>
        <w:rPr>
          <w:sz w:val="26"/>
          <w:szCs w:val="26"/>
        </w:rPr>
        <w:t xml:space="preserve"> proceeding,</w:t>
      </w:r>
      <w:r w:rsidRPr="00C12AA8">
        <w:rPr>
          <w:sz w:val="26"/>
          <w:szCs w:val="26"/>
        </w:rPr>
        <w:t xml:space="preserve"> who, due to unforeseen circumstances, incur significant financial liabilities associated with their utility service.  It is reasonable to consider whether the Commission can craft remedies that would mitigate the consequences experienced by these customers.  However,</w:t>
      </w:r>
      <w:r>
        <w:rPr>
          <w:sz w:val="26"/>
          <w:szCs w:val="26"/>
        </w:rPr>
        <w:t xml:space="preserve"> n</w:t>
      </w:r>
      <w:r w:rsidR="00D534C9">
        <w:rPr>
          <w:sz w:val="26"/>
          <w:szCs w:val="26"/>
        </w:rPr>
        <w:t>othing in the record</w:t>
      </w:r>
      <w:r>
        <w:rPr>
          <w:sz w:val="26"/>
          <w:szCs w:val="26"/>
        </w:rPr>
        <w:t xml:space="preserve"> nor the Initial Decision demonstrated an available remedy </w:t>
      </w:r>
      <w:r w:rsidR="001822CC">
        <w:rPr>
          <w:sz w:val="26"/>
          <w:szCs w:val="26"/>
        </w:rPr>
        <w:t>under the Code or the Commission’s</w:t>
      </w:r>
      <w:r w:rsidR="00D534C9">
        <w:rPr>
          <w:sz w:val="26"/>
          <w:szCs w:val="26"/>
        </w:rPr>
        <w:t xml:space="preserve"> Regulations</w:t>
      </w:r>
      <w:r>
        <w:rPr>
          <w:sz w:val="26"/>
          <w:szCs w:val="26"/>
        </w:rPr>
        <w:t xml:space="preserve"> </w:t>
      </w:r>
      <w:r w:rsidR="001822CC">
        <w:rPr>
          <w:sz w:val="26"/>
          <w:szCs w:val="26"/>
        </w:rPr>
        <w:t>for the</w:t>
      </w:r>
      <w:r w:rsidR="0027181C">
        <w:rPr>
          <w:sz w:val="26"/>
          <w:szCs w:val="26"/>
        </w:rPr>
        <w:t xml:space="preserve"> Complainant to avoid PGW’s proposed</w:t>
      </w:r>
      <w:r>
        <w:rPr>
          <w:sz w:val="26"/>
          <w:szCs w:val="26"/>
        </w:rPr>
        <w:t xml:space="preserve"> service shut-off</w:t>
      </w:r>
      <w:r w:rsidR="00D534C9">
        <w:rPr>
          <w:sz w:val="26"/>
          <w:szCs w:val="26"/>
        </w:rPr>
        <w:t xml:space="preserve"> due to</w:t>
      </w:r>
      <w:r w:rsidR="001822CC">
        <w:rPr>
          <w:sz w:val="26"/>
          <w:szCs w:val="26"/>
        </w:rPr>
        <w:t xml:space="preserve"> </w:t>
      </w:r>
      <w:r w:rsidR="00D534C9">
        <w:rPr>
          <w:sz w:val="26"/>
          <w:szCs w:val="26"/>
        </w:rPr>
        <w:t>non-payment</w:t>
      </w:r>
      <w:r>
        <w:rPr>
          <w:sz w:val="26"/>
          <w:szCs w:val="26"/>
        </w:rPr>
        <w:t>.</w:t>
      </w:r>
    </w:p>
    <w:p w:rsidR="0049099E" w:rsidRDefault="0049099E" w:rsidP="00EC224F">
      <w:pPr>
        <w:widowControl/>
        <w:spacing w:line="360" w:lineRule="auto"/>
        <w:ind w:firstLine="1440"/>
        <w:rPr>
          <w:sz w:val="26"/>
          <w:szCs w:val="26"/>
        </w:rPr>
      </w:pPr>
    </w:p>
    <w:p w:rsidR="00554903" w:rsidRDefault="00554903" w:rsidP="00EC224F">
      <w:pPr>
        <w:widowControl/>
        <w:spacing w:line="360" w:lineRule="auto"/>
        <w:ind w:firstLine="1440"/>
        <w:rPr>
          <w:sz w:val="26"/>
          <w:szCs w:val="26"/>
        </w:rPr>
      </w:pPr>
      <w:r>
        <w:rPr>
          <w:sz w:val="26"/>
          <w:szCs w:val="26"/>
        </w:rPr>
        <w:t>Finally</w:t>
      </w:r>
      <w:r w:rsidR="00C7023F">
        <w:rPr>
          <w:sz w:val="26"/>
          <w:szCs w:val="26"/>
        </w:rPr>
        <w:t>,</w:t>
      </w:r>
      <w:r w:rsidR="00E97891">
        <w:rPr>
          <w:sz w:val="26"/>
          <w:szCs w:val="26"/>
        </w:rPr>
        <w:t xml:space="preserve"> we </w:t>
      </w:r>
      <w:r w:rsidR="00463376">
        <w:rPr>
          <w:sz w:val="26"/>
          <w:szCs w:val="26"/>
        </w:rPr>
        <w:t xml:space="preserve">note our disagreement </w:t>
      </w:r>
      <w:r w:rsidR="00E97891">
        <w:rPr>
          <w:sz w:val="26"/>
          <w:szCs w:val="26"/>
        </w:rPr>
        <w:t>with the</w:t>
      </w:r>
      <w:r w:rsidR="00463376">
        <w:rPr>
          <w:sz w:val="26"/>
          <w:szCs w:val="26"/>
        </w:rPr>
        <w:t xml:space="preserve"> viewpoint expressed in the Initial Decision </w:t>
      </w:r>
      <w:r w:rsidR="00E97891">
        <w:rPr>
          <w:sz w:val="26"/>
          <w:szCs w:val="26"/>
        </w:rPr>
        <w:t xml:space="preserve">that the Customer did not receive </w:t>
      </w:r>
      <w:r w:rsidR="00463376">
        <w:rPr>
          <w:sz w:val="26"/>
          <w:szCs w:val="26"/>
        </w:rPr>
        <w:t xml:space="preserve">the </w:t>
      </w:r>
      <w:r w:rsidR="00E97891">
        <w:rPr>
          <w:sz w:val="26"/>
          <w:szCs w:val="26"/>
        </w:rPr>
        <w:t>benefit of the gas service simply because she was not physically occupying the Service Address</w:t>
      </w:r>
      <w:r w:rsidR="00C12AA8" w:rsidRPr="00C12AA8">
        <w:rPr>
          <w:sz w:val="26"/>
          <w:szCs w:val="26"/>
        </w:rPr>
        <w:t xml:space="preserve">. </w:t>
      </w:r>
      <w:r w:rsidR="00E97891">
        <w:rPr>
          <w:sz w:val="26"/>
          <w:szCs w:val="26"/>
        </w:rPr>
        <w:t xml:space="preserve"> </w:t>
      </w:r>
      <w:r w:rsidR="00C12AA8" w:rsidRPr="00C12AA8">
        <w:rPr>
          <w:sz w:val="26"/>
          <w:szCs w:val="26"/>
        </w:rPr>
        <w:t xml:space="preserve">The </w:t>
      </w:r>
      <w:r w:rsidR="000F2B7C">
        <w:rPr>
          <w:sz w:val="26"/>
          <w:szCs w:val="26"/>
        </w:rPr>
        <w:t xml:space="preserve">residential </w:t>
      </w:r>
      <w:r w:rsidR="00C12AA8" w:rsidRPr="00C12AA8">
        <w:rPr>
          <w:sz w:val="26"/>
          <w:szCs w:val="26"/>
        </w:rPr>
        <w:t>premises in question received gas heating service from PGW</w:t>
      </w:r>
      <w:r w:rsidR="004B58D7">
        <w:rPr>
          <w:sz w:val="26"/>
          <w:szCs w:val="26"/>
        </w:rPr>
        <w:t xml:space="preserve"> during at least one winter</w:t>
      </w:r>
      <w:r w:rsidR="0010215D">
        <w:rPr>
          <w:sz w:val="26"/>
          <w:szCs w:val="26"/>
        </w:rPr>
        <w:t xml:space="preserve"> season</w:t>
      </w:r>
      <w:r w:rsidR="004B58D7">
        <w:rPr>
          <w:sz w:val="26"/>
          <w:szCs w:val="26"/>
        </w:rPr>
        <w:t>.  Residential houses</w:t>
      </w:r>
      <w:r w:rsidR="00C12AA8" w:rsidRPr="00C12AA8">
        <w:rPr>
          <w:sz w:val="26"/>
          <w:szCs w:val="26"/>
        </w:rPr>
        <w:t xml:space="preserve"> that are not heated during </w:t>
      </w:r>
      <w:r w:rsidR="0010215D">
        <w:rPr>
          <w:sz w:val="26"/>
          <w:szCs w:val="26"/>
        </w:rPr>
        <w:t xml:space="preserve">the </w:t>
      </w:r>
      <w:r w:rsidR="00C12AA8" w:rsidRPr="00C12AA8">
        <w:rPr>
          <w:sz w:val="26"/>
          <w:szCs w:val="26"/>
        </w:rPr>
        <w:t>winter</w:t>
      </w:r>
      <w:r w:rsidR="0010215D">
        <w:rPr>
          <w:sz w:val="26"/>
          <w:szCs w:val="26"/>
        </w:rPr>
        <w:t xml:space="preserve"> season</w:t>
      </w:r>
      <w:r>
        <w:rPr>
          <w:sz w:val="26"/>
          <w:szCs w:val="26"/>
        </w:rPr>
        <w:t xml:space="preserve"> </w:t>
      </w:r>
      <w:r w:rsidR="00C12AA8" w:rsidRPr="00C12AA8">
        <w:rPr>
          <w:sz w:val="26"/>
          <w:szCs w:val="26"/>
        </w:rPr>
        <w:t xml:space="preserve">are at significant risk of negative consequences, such as ruptured water pipes that can </w:t>
      </w:r>
      <w:r w:rsidR="004B58D7">
        <w:rPr>
          <w:sz w:val="26"/>
          <w:szCs w:val="26"/>
        </w:rPr>
        <w:t>contribute to</w:t>
      </w:r>
      <w:r w:rsidR="00C12AA8" w:rsidRPr="00C12AA8">
        <w:rPr>
          <w:sz w:val="26"/>
          <w:szCs w:val="26"/>
        </w:rPr>
        <w:t xml:space="preserve"> structural damage and expensive repairs and restoration.</w:t>
      </w:r>
    </w:p>
    <w:p w:rsidR="00554903" w:rsidRDefault="00554903" w:rsidP="00EC224F">
      <w:pPr>
        <w:widowControl/>
        <w:spacing w:line="360" w:lineRule="auto"/>
        <w:ind w:firstLine="1440"/>
        <w:rPr>
          <w:sz w:val="26"/>
          <w:szCs w:val="26"/>
        </w:rPr>
      </w:pPr>
    </w:p>
    <w:p w:rsidR="00C12AA8" w:rsidRPr="00C12AA8" w:rsidRDefault="0010215D" w:rsidP="00EC224F">
      <w:pPr>
        <w:widowControl/>
        <w:spacing w:line="360" w:lineRule="auto"/>
        <w:ind w:firstLine="1440"/>
        <w:rPr>
          <w:sz w:val="26"/>
          <w:szCs w:val="26"/>
        </w:rPr>
      </w:pPr>
      <w:r>
        <w:rPr>
          <w:sz w:val="26"/>
          <w:szCs w:val="26"/>
        </w:rPr>
        <w:t>Moreover, i</w:t>
      </w:r>
      <w:r w:rsidR="004B58D7">
        <w:rPr>
          <w:sz w:val="26"/>
          <w:szCs w:val="26"/>
        </w:rPr>
        <w:t xml:space="preserve">n our opinion, </w:t>
      </w:r>
      <w:r>
        <w:rPr>
          <w:sz w:val="26"/>
          <w:szCs w:val="26"/>
        </w:rPr>
        <w:t xml:space="preserve">a holding that makes </w:t>
      </w:r>
      <w:r w:rsidR="004B58D7">
        <w:rPr>
          <w:sz w:val="26"/>
          <w:szCs w:val="26"/>
        </w:rPr>
        <w:t>p</w:t>
      </w:r>
      <w:r w:rsidR="00C12AA8" w:rsidRPr="00C12AA8">
        <w:rPr>
          <w:sz w:val="26"/>
          <w:szCs w:val="26"/>
        </w:rPr>
        <w:t>hysical occup</w:t>
      </w:r>
      <w:r w:rsidR="004B58D7">
        <w:rPr>
          <w:sz w:val="26"/>
          <w:szCs w:val="26"/>
        </w:rPr>
        <w:t>ancy a</w:t>
      </w:r>
      <w:r w:rsidR="00C12AA8" w:rsidRPr="00C12AA8">
        <w:rPr>
          <w:sz w:val="26"/>
          <w:szCs w:val="26"/>
        </w:rPr>
        <w:t xml:space="preserve"> </w:t>
      </w:r>
      <w:r w:rsidR="00463376" w:rsidRPr="00C12AA8">
        <w:rPr>
          <w:sz w:val="26"/>
          <w:szCs w:val="26"/>
        </w:rPr>
        <w:t>requirement</w:t>
      </w:r>
      <w:r w:rsidR="00C12AA8" w:rsidRPr="00C12AA8">
        <w:rPr>
          <w:sz w:val="26"/>
          <w:szCs w:val="26"/>
        </w:rPr>
        <w:t xml:space="preserve"> for </w:t>
      </w:r>
      <w:r w:rsidR="004B58D7">
        <w:rPr>
          <w:sz w:val="26"/>
          <w:szCs w:val="26"/>
        </w:rPr>
        <w:t>the billing of service</w:t>
      </w:r>
      <w:r w:rsidR="00554903">
        <w:rPr>
          <w:sz w:val="26"/>
          <w:szCs w:val="26"/>
        </w:rPr>
        <w:t xml:space="preserve"> </w:t>
      </w:r>
      <w:r w:rsidR="004B58D7">
        <w:rPr>
          <w:sz w:val="26"/>
          <w:szCs w:val="26"/>
        </w:rPr>
        <w:t xml:space="preserve">would lead to </w:t>
      </w:r>
      <w:r w:rsidR="00554903">
        <w:rPr>
          <w:sz w:val="26"/>
          <w:szCs w:val="26"/>
        </w:rPr>
        <w:t xml:space="preserve">an unreasonable </w:t>
      </w:r>
      <w:r w:rsidR="004B58D7">
        <w:rPr>
          <w:sz w:val="26"/>
          <w:szCs w:val="26"/>
        </w:rPr>
        <w:t xml:space="preserve">result because </w:t>
      </w:r>
      <w:r w:rsidR="0093016A">
        <w:rPr>
          <w:sz w:val="26"/>
          <w:szCs w:val="26"/>
        </w:rPr>
        <w:t xml:space="preserve">it would relieve </w:t>
      </w:r>
      <w:r w:rsidR="00C12AA8" w:rsidRPr="00C12AA8">
        <w:rPr>
          <w:sz w:val="26"/>
          <w:szCs w:val="26"/>
        </w:rPr>
        <w:t xml:space="preserve">a customer of record </w:t>
      </w:r>
      <w:r w:rsidR="0093016A">
        <w:rPr>
          <w:sz w:val="26"/>
          <w:szCs w:val="26"/>
        </w:rPr>
        <w:t>from the obligation to</w:t>
      </w:r>
      <w:r w:rsidR="00C12AA8" w:rsidRPr="00C12AA8">
        <w:rPr>
          <w:sz w:val="26"/>
          <w:szCs w:val="26"/>
        </w:rPr>
        <w:t xml:space="preserve"> pay for </w:t>
      </w:r>
      <w:r w:rsidR="0093016A">
        <w:rPr>
          <w:sz w:val="26"/>
          <w:szCs w:val="26"/>
        </w:rPr>
        <w:t xml:space="preserve">utility </w:t>
      </w:r>
      <w:r w:rsidR="00C12AA8" w:rsidRPr="00C12AA8">
        <w:rPr>
          <w:sz w:val="26"/>
          <w:szCs w:val="26"/>
        </w:rPr>
        <w:t>service</w:t>
      </w:r>
      <w:r w:rsidR="0093016A">
        <w:rPr>
          <w:sz w:val="26"/>
          <w:szCs w:val="26"/>
        </w:rPr>
        <w:t>s</w:t>
      </w:r>
      <w:r w:rsidR="00C12AA8" w:rsidRPr="00C12AA8">
        <w:rPr>
          <w:sz w:val="26"/>
          <w:szCs w:val="26"/>
        </w:rPr>
        <w:t xml:space="preserve"> </w:t>
      </w:r>
      <w:r w:rsidR="004B58D7">
        <w:rPr>
          <w:sz w:val="26"/>
          <w:szCs w:val="26"/>
        </w:rPr>
        <w:t>rendered</w:t>
      </w:r>
      <w:r w:rsidR="00C12AA8" w:rsidRPr="00C12AA8">
        <w:rPr>
          <w:sz w:val="26"/>
          <w:szCs w:val="26"/>
        </w:rPr>
        <w:t xml:space="preserve"> to unleased rental properties, second homes, newly constructed homes for sale, properties that had been condemned as unfit for occupancy, </w:t>
      </w:r>
      <w:r w:rsidR="00C12AA8" w:rsidRPr="004B58D7">
        <w:rPr>
          <w:i/>
          <w:sz w:val="26"/>
          <w:szCs w:val="26"/>
        </w:rPr>
        <w:t>etc</w:t>
      </w:r>
      <w:r w:rsidR="00C12AA8" w:rsidRPr="00C12AA8">
        <w:rPr>
          <w:sz w:val="26"/>
          <w:szCs w:val="26"/>
        </w:rPr>
        <w:t>.</w:t>
      </w:r>
      <w:r w:rsidR="0049099E">
        <w:rPr>
          <w:sz w:val="26"/>
          <w:szCs w:val="26"/>
        </w:rPr>
        <w:t xml:space="preserve">  Essentially, the result would be free, subsidized utility service to customers who directly benefit from</w:t>
      </w:r>
      <w:r>
        <w:rPr>
          <w:sz w:val="26"/>
          <w:szCs w:val="26"/>
        </w:rPr>
        <w:t xml:space="preserve"> such</w:t>
      </w:r>
      <w:r w:rsidR="0049099E">
        <w:rPr>
          <w:sz w:val="26"/>
          <w:szCs w:val="26"/>
        </w:rPr>
        <w:t xml:space="preserve"> utility service</w:t>
      </w:r>
      <w:r w:rsidR="00554903">
        <w:rPr>
          <w:sz w:val="26"/>
          <w:szCs w:val="26"/>
        </w:rPr>
        <w:t>, which is contrary to the regulatory compact that guides our regulation of public utilities.</w:t>
      </w:r>
    </w:p>
    <w:p w:rsidR="00C12AA8" w:rsidRPr="00C12AA8" w:rsidRDefault="00C12AA8" w:rsidP="00EC224F">
      <w:pPr>
        <w:widowControl/>
        <w:spacing w:line="360" w:lineRule="auto"/>
        <w:ind w:firstLine="1440"/>
        <w:rPr>
          <w:sz w:val="26"/>
          <w:szCs w:val="26"/>
        </w:rPr>
      </w:pPr>
    </w:p>
    <w:p w:rsidR="000B5A3D" w:rsidRDefault="00554903" w:rsidP="00EC224F">
      <w:pPr>
        <w:widowControl/>
        <w:spacing w:line="360" w:lineRule="auto"/>
        <w:ind w:firstLine="1440"/>
        <w:rPr>
          <w:sz w:val="26"/>
          <w:szCs w:val="26"/>
        </w:rPr>
      </w:pPr>
      <w:r>
        <w:rPr>
          <w:sz w:val="26"/>
          <w:szCs w:val="26"/>
        </w:rPr>
        <w:t>T</w:t>
      </w:r>
      <w:r w:rsidR="0049099E">
        <w:rPr>
          <w:sz w:val="26"/>
          <w:szCs w:val="26"/>
        </w:rPr>
        <w:t>he Commission is</w:t>
      </w:r>
      <w:r w:rsidR="00C12AA8" w:rsidRPr="00C12AA8">
        <w:rPr>
          <w:sz w:val="26"/>
          <w:szCs w:val="26"/>
        </w:rPr>
        <w:t xml:space="preserve"> obligated to consider the</w:t>
      </w:r>
      <w:r w:rsidR="0049099E">
        <w:rPr>
          <w:sz w:val="26"/>
          <w:szCs w:val="26"/>
        </w:rPr>
        <w:t xml:space="preserve"> </w:t>
      </w:r>
      <w:r w:rsidR="000A1DEE">
        <w:rPr>
          <w:sz w:val="26"/>
          <w:szCs w:val="26"/>
        </w:rPr>
        <w:t xml:space="preserve">broader </w:t>
      </w:r>
      <w:r w:rsidR="0049099E">
        <w:rPr>
          <w:sz w:val="26"/>
          <w:szCs w:val="26"/>
        </w:rPr>
        <w:t xml:space="preserve">public interest in each case. </w:t>
      </w:r>
      <w:r w:rsidR="00C12AA8" w:rsidRPr="00C12AA8">
        <w:rPr>
          <w:sz w:val="26"/>
          <w:szCs w:val="26"/>
        </w:rPr>
        <w:t xml:space="preserve"> The regulation of public utilities </w:t>
      </w:r>
      <w:r w:rsidR="0049099E">
        <w:rPr>
          <w:sz w:val="26"/>
          <w:szCs w:val="26"/>
        </w:rPr>
        <w:t>involves the balancing of the interests of utility consumers and shareholders</w:t>
      </w:r>
      <w:r w:rsidR="000E410B">
        <w:rPr>
          <w:sz w:val="26"/>
          <w:szCs w:val="26"/>
        </w:rPr>
        <w:t>,</w:t>
      </w:r>
      <w:r w:rsidR="0049099E">
        <w:rPr>
          <w:sz w:val="26"/>
          <w:szCs w:val="26"/>
        </w:rPr>
        <w:t xml:space="preserve"> alike</w:t>
      </w:r>
      <w:r w:rsidR="000E410B">
        <w:rPr>
          <w:sz w:val="26"/>
          <w:szCs w:val="26"/>
        </w:rPr>
        <w:t>,</w:t>
      </w:r>
      <w:r w:rsidR="0049099E">
        <w:rPr>
          <w:sz w:val="26"/>
          <w:szCs w:val="26"/>
        </w:rPr>
        <w:t xml:space="preserve"> and includes </w:t>
      </w:r>
      <w:r w:rsidR="000E410B">
        <w:rPr>
          <w:sz w:val="26"/>
          <w:szCs w:val="26"/>
        </w:rPr>
        <w:t xml:space="preserve">the enforcement of </w:t>
      </w:r>
      <w:r w:rsidR="00C12AA8" w:rsidRPr="00C12AA8">
        <w:rPr>
          <w:sz w:val="26"/>
          <w:szCs w:val="26"/>
        </w:rPr>
        <w:t xml:space="preserve">reciprocal obligations between </w:t>
      </w:r>
      <w:r w:rsidR="0049099E">
        <w:rPr>
          <w:sz w:val="26"/>
          <w:szCs w:val="26"/>
        </w:rPr>
        <w:t>customers and utilities</w:t>
      </w:r>
      <w:r w:rsidR="00C12AA8" w:rsidRPr="00C12AA8">
        <w:rPr>
          <w:sz w:val="26"/>
          <w:szCs w:val="26"/>
        </w:rPr>
        <w:t>.  Customers, including this Complainant, enjoy various protections and benefits, including notice before termination, universal service programs, and the use of medical certificates.  All of these</w:t>
      </w:r>
      <w:r w:rsidR="0049099E">
        <w:rPr>
          <w:sz w:val="26"/>
          <w:szCs w:val="26"/>
        </w:rPr>
        <w:t xml:space="preserve"> protections and benefits</w:t>
      </w:r>
      <w:r w:rsidR="00C12AA8" w:rsidRPr="00C12AA8">
        <w:rPr>
          <w:sz w:val="26"/>
          <w:szCs w:val="26"/>
        </w:rPr>
        <w:t xml:space="preserve"> come with costs</w:t>
      </w:r>
      <w:r w:rsidR="0049099E">
        <w:rPr>
          <w:sz w:val="26"/>
          <w:szCs w:val="26"/>
        </w:rPr>
        <w:t>,</w:t>
      </w:r>
      <w:r w:rsidR="00C12AA8" w:rsidRPr="00C12AA8">
        <w:rPr>
          <w:sz w:val="26"/>
          <w:szCs w:val="26"/>
        </w:rPr>
        <w:t xml:space="preserve"> which are ultimately recovered from other ratepayers.  The </w:t>
      </w:r>
      <w:r w:rsidR="0049099E">
        <w:rPr>
          <w:sz w:val="26"/>
          <w:szCs w:val="26"/>
        </w:rPr>
        <w:t xml:space="preserve">Commission’s </w:t>
      </w:r>
      <w:r w:rsidR="00C12AA8" w:rsidRPr="00C12AA8">
        <w:rPr>
          <w:sz w:val="26"/>
          <w:szCs w:val="26"/>
        </w:rPr>
        <w:t>obligation</w:t>
      </w:r>
      <w:r w:rsidR="0049099E">
        <w:rPr>
          <w:sz w:val="26"/>
          <w:szCs w:val="26"/>
        </w:rPr>
        <w:t xml:space="preserve"> in rendering decisions</w:t>
      </w:r>
      <w:r w:rsidR="00C12AA8" w:rsidRPr="00C12AA8">
        <w:rPr>
          <w:sz w:val="26"/>
          <w:szCs w:val="26"/>
        </w:rPr>
        <w:t xml:space="preserve"> is</w:t>
      </w:r>
      <w:r w:rsidR="0049099E">
        <w:rPr>
          <w:sz w:val="26"/>
          <w:szCs w:val="26"/>
        </w:rPr>
        <w:t>,</w:t>
      </w:r>
      <w:r w:rsidR="00C12AA8" w:rsidRPr="00C12AA8">
        <w:rPr>
          <w:sz w:val="26"/>
          <w:szCs w:val="26"/>
        </w:rPr>
        <w:t xml:space="preserve"> therefore</w:t>
      </w:r>
      <w:r w:rsidR="0049099E">
        <w:rPr>
          <w:sz w:val="26"/>
          <w:szCs w:val="26"/>
        </w:rPr>
        <w:t>,</w:t>
      </w:r>
      <w:r w:rsidR="00C12AA8" w:rsidRPr="00C12AA8">
        <w:rPr>
          <w:sz w:val="26"/>
          <w:szCs w:val="26"/>
        </w:rPr>
        <w:t xml:space="preserve"> not just between </w:t>
      </w:r>
      <w:r w:rsidR="000E410B">
        <w:rPr>
          <w:sz w:val="26"/>
          <w:szCs w:val="26"/>
        </w:rPr>
        <w:t xml:space="preserve">a billing </w:t>
      </w:r>
      <w:r w:rsidR="00C12AA8" w:rsidRPr="00C12AA8">
        <w:rPr>
          <w:sz w:val="26"/>
          <w:szCs w:val="26"/>
        </w:rPr>
        <w:t>utilit</w:t>
      </w:r>
      <w:r w:rsidR="000E410B">
        <w:rPr>
          <w:sz w:val="26"/>
          <w:szCs w:val="26"/>
        </w:rPr>
        <w:t>y</w:t>
      </w:r>
      <w:r w:rsidR="00C12AA8" w:rsidRPr="00C12AA8">
        <w:rPr>
          <w:sz w:val="26"/>
          <w:szCs w:val="26"/>
        </w:rPr>
        <w:t xml:space="preserve"> and</w:t>
      </w:r>
      <w:r w:rsidR="0049099E">
        <w:rPr>
          <w:sz w:val="26"/>
          <w:szCs w:val="26"/>
        </w:rPr>
        <w:t xml:space="preserve"> a specific</w:t>
      </w:r>
      <w:r w:rsidR="00C12AA8" w:rsidRPr="00C12AA8">
        <w:rPr>
          <w:sz w:val="26"/>
          <w:szCs w:val="26"/>
        </w:rPr>
        <w:t xml:space="preserve"> customer</w:t>
      </w:r>
      <w:r w:rsidR="000E410B">
        <w:rPr>
          <w:sz w:val="26"/>
          <w:szCs w:val="26"/>
        </w:rPr>
        <w:t>-complainant</w:t>
      </w:r>
      <w:r w:rsidR="00C12AA8" w:rsidRPr="00C12AA8">
        <w:rPr>
          <w:sz w:val="26"/>
          <w:szCs w:val="26"/>
        </w:rPr>
        <w:t xml:space="preserve">, but between </w:t>
      </w:r>
      <w:r w:rsidR="0049099E">
        <w:rPr>
          <w:sz w:val="26"/>
          <w:szCs w:val="26"/>
        </w:rPr>
        <w:t xml:space="preserve">all other </w:t>
      </w:r>
      <w:r w:rsidR="000F2B7C">
        <w:rPr>
          <w:sz w:val="26"/>
          <w:szCs w:val="26"/>
        </w:rPr>
        <w:t xml:space="preserve">customers </w:t>
      </w:r>
      <w:r w:rsidR="00C12AA8" w:rsidRPr="00C12AA8">
        <w:rPr>
          <w:sz w:val="26"/>
          <w:szCs w:val="26"/>
        </w:rPr>
        <w:t>as well.  A reasonable resolution of a case</w:t>
      </w:r>
      <w:r w:rsidR="0049099E">
        <w:rPr>
          <w:sz w:val="26"/>
          <w:szCs w:val="26"/>
        </w:rPr>
        <w:t>,</w:t>
      </w:r>
      <w:r w:rsidR="00C12AA8" w:rsidRPr="00C12AA8">
        <w:rPr>
          <w:sz w:val="26"/>
          <w:szCs w:val="26"/>
        </w:rPr>
        <w:t xml:space="preserve"> therefore includes a consideration of the </w:t>
      </w:r>
      <w:r>
        <w:rPr>
          <w:sz w:val="26"/>
          <w:szCs w:val="26"/>
        </w:rPr>
        <w:t xml:space="preserve">larger </w:t>
      </w:r>
      <w:r w:rsidR="00C12AA8" w:rsidRPr="00C12AA8">
        <w:rPr>
          <w:sz w:val="26"/>
          <w:szCs w:val="26"/>
        </w:rPr>
        <w:t xml:space="preserve">effect of that decision on other customers. </w:t>
      </w:r>
      <w:r>
        <w:rPr>
          <w:sz w:val="26"/>
          <w:szCs w:val="26"/>
        </w:rPr>
        <w:t xml:space="preserve"> </w:t>
      </w:r>
      <w:r w:rsidR="00C12AA8" w:rsidRPr="00C12AA8">
        <w:rPr>
          <w:sz w:val="26"/>
          <w:szCs w:val="26"/>
        </w:rPr>
        <w:t>Our statu</w:t>
      </w:r>
      <w:r>
        <w:rPr>
          <w:sz w:val="26"/>
          <w:szCs w:val="26"/>
        </w:rPr>
        <w:t>tory scheme and the Commission’s R</w:t>
      </w:r>
      <w:r w:rsidR="00C12AA8" w:rsidRPr="00C12AA8">
        <w:rPr>
          <w:sz w:val="26"/>
          <w:szCs w:val="26"/>
        </w:rPr>
        <w:t>egulations have been crafted</w:t>
      </w:r>
      <w:r>
        <w:rPr>
          <w:sz w:val="26"/>
          <w:szCs w:val="26"/>
        </w:rPr>
        <w:t xml:space="preserve"> and implemented</w:t>
      </w:r>
      <w:r w:rsidR="00C12AA8" w:rsidRPr="00C12AA8">
        <w:rPr>
          <w:sz w:val="26"/>
          <w:szCs w:val="26"/>
        </w:rPr>
        <w:t xml:space="preserve"> to protect that balance and should be adhered to in our decision-making process to ensure that it is preserved.</w:t>
      </w:r>
    </w:p>
    <w:p w:rsidR="000B5A3D" w:rsidRPr="000B5A3D" w:rsidRDefault="000B5A3D" w:rsidP="00EC224F">
      <w:pPr>
        <w:widowControl/>
        <w:spacing w:line="360" w:lineRule="auto"/>
        <w:rPr>
          <w:sz w:val="26"/>
          <w:szCs w:val="26"/>
        </w:rPr>
      </w:pPr>
    </w:p>
    <w:p w:rsidR="000B5A3D" w:rsidRPr="000B5A3D" w:rsidRDefault="000B5A3D" w:rsidP="00B323D3">
      <w:pPr>
        <w:keepNext/>
        <w:widowControl/>
        <w:spacing w:line="360" w:lineRule="auto"/>
        <w:jc w:val="center"/>
        <w:rPr>
          <w:b/>
          <w:sz w:val="26"/>
          <w:szCs w:val="26"/>
        </w:rPr>
      </w:pPr>
      <w:r w:rsidRPr="000B5A3D">
        <w:rPr>
          <w:b/>
          <w:sz w:val="26"/>
          <w:szCs w:val="26"/>
        </w:rPr>
        <w:t>Conclusion</w:t>
      </w:r>
    </w:p>
    <w:p w:rsidR="000B5A3D" w:rsidRDefault="000B5A3D" w:rsidP="00B323D3">
      <w:pPr>
        <w:keepNext/>
        <w:widowControl/>
        <w:rPr>
          <w:sz w:val="26"/>
          <w:szCs w:val="26"/>
        </w:rPr>
      </w:pPr>
    </w:p>
    <w:p w:rsidR="000A1DEE" w:rsidRPr="00FC3806" w:rsidRDefault="000A1DEE" w:rsidP="00EC224F">
      <w:pPr>
        <w:widowControl/>
        <w:spacing w:line="360" w:lineRule="auto"/>
        <w:ind w:firstLine="1440"/>
        <w:rPr>
          <w:sz w:val="26"/>
          <w:szCs w:val="26"/>
          <w:u w:val="single"/>
        </w:rPr>
      </w:pPr>
      <w:r w:rsidRPr="00FC3806">
        <w:rPr>
          <w:sz w:val="26"/>
          <w:szCs w:val="26"/>
        </w:rPr>
        <w:t xml:space="preserve">Based on the foregoing, we will reverse the Initial Decision of ALJ </w:t>
      </w:r>
      <w:r>
        <w:rPr>
          <w:sz w:val="26"/>
          <w:szCs w:val="26"/>
        </w:rPr>
        <w:t>Marta Guhl</w:t>
      </w:r>
      <w:r w:rsidRPr="00FC3806">
        <w:rPr>
          <w:sz w:val="26"/>
          <w:szCs w:val="26"/>
        </w:rPr>
        <w:t xml:space="preserve">, issued on </w:t>
      </w:r>
      <w:r>
        <w:rPr>
          <w:sz w:val="26"/>
          <w:szCs w:val="26"/>
        </w:rPr>
        <w:t>November 21</w:t>
      </w:r>
      <w:r w:rsidRPr="00FC3806">
        <w:rPr>
          <w:sz w:val="26"/>
          <w:szCs w:val="26"/>
        </w:rPr>
        <w:t xml:space="preserve">, 2017, </w:t>
      </w:r>
      <w:r>
        <w:rPr>
          <w:sz w:val="26"/>
          <w:szCs w:val="26"/>
        </w:rPr>
        <w:t xml:space="preserve">in this docket, and dismiss </w:t>
      </w:r>
      <w:r w:rsidRPr="00FC3806">
        <w:rPr>
          <w:sz w:val="26"/>
          <w:szCs w:val="26"/>
        </w:rPr>
        <w:t xml:space="preserve">the Complaint; </w:t>
      </w:r>
      <w:r w:rsidRPr="00FC3806">
        <w:rPr>
          <w:b/>
          <w:sz w:val="26"/>
          <w:szCs w:val="26"/>
        </w:rPr>
        <w:t>THEREFORE,</w:t>
      </w:r>
    </w:p>
    <w:p w:rsidR="000A1DEE" w:rsidRPr="00FC3806" w:rsidRDefault="000A1DEE" w:rsidP="00EC224F">
      <w:pPr>
        <w:widowControl/>
        <w:spacing w:line="360" w:lineRule="auto"/>
        <w:ind w:firstLine="1440"/>
        <w:rPr>
          <w:b/>
          <w:sz w:val="26"/>
          <w:szCs w:val="26"/>
        </w:rPr>
      </w:pPr>
    </w:p>
    <w:p w:rsidR="000A1DEE" w:rsidRPr="00FC3806" w:rsidRDefault="000A1DEE" w:rsidP="00EC224F">
      <w:pPr>
        <w:keepNext/>
        <w:keepLines/>
        <w:widowControl/>
        <w:spacing w:line="360" w:lineRule="auto"/>
        <w:ind w:firstLine="1440"/>
        <w:rPr>
          <w:b/>
          <w:sz w:val="26"/>
          <w:szCs w:val="26"/>
        </w:rPr>
      </w:pPr>
      <w:r w:rsidRPr="00FC3806">
        <w:rPr>
          <w:b/>
          <w:sz w:val="26"/>
          <w:szCs w:val="26"/>
        </w:rPr>
        <w:t>IT IS ORDERED:</w:t>
      </w:r>
    </w:p>
    <w:p w:rsidR="000A1DEE" w:rsidRPr="00FC3806" w:rsidRDefault="000A1DEE" w:rsidP="00EC224F">
      <w:pPr>
        <w:keepNext/>
        <w:keepLines/>
        <w:widowControl/>
        <w:spacing w:line="360" w:lineRule="auto"/>
        <w:ind w:firstLine="1440"/>
        <w:rPr>
          <w:b/>
          <w:sz w:val="26"/>
          <w:szCs w:val="26"/>
        </w:rPr>
      </w:pPr>
    </w:p>
    <w:p w:rsidR="00463376" w:rsidRDefault="000A1DEE" w:rsidP="00EC224F">
      <w:pPr>
        <w:pStyle w:val="ListParagraph"/>
        <w:widowControl/>
        <w:numPr>
          <w:ilvl w:val="0"/>
          <w:numId w:val="3"/>
        </w:numPr>
        <w:tabs>
          <w:tab w:val="clear" w:pos="2160"/>
          <w:tab w:val="num" w:pos="0"/>
        </w:tabs>
        <w:spacing w:line="360" w:lineRule="auto"/>
        <w:ind w:left="0" w:firstLine="1440"/>
        <w:rPr>
          <w:sz w:val="26"/>
          <w:szCs w:val="26"/>
        </w:rPr>
      </w:pPr>
      <w:r w:rsidRPr="00FC3806">
        <w:rPr>
          <w:sz w:val="26"/>
          <w:szCs w:val="26"/>
        </w:rPr>
        <w:t xml:space="preserve">That the Initial Decision of Administrative Law Judge </w:t>
      </w:r>
      <w:r>
        <w:rPr>
          <w:sz w:val="26"/>
          <w:szCs w:val="26"/>
        </w:rPr>
        <w:t>Mart Guhl</w:t>
      </w:r>
      <w:r w:rsidRPr="00FC3806">
        <w:rPr>
          <w:sz w:val="26"/>
          <w:szCs w:val="26"/>
        </w:rPr>
        <w:t>, issued</w:t>
      </w:r>
      <w:r>
        <w:rPr>
          <w:sz w:val="26"/>
          <w:szCs w:val="26"/>
        </w:rPr>
        <w:t xml:space="preserve"> November 21</w:t>
      </w:r>
      <w:r w:rsidRPr="00FC3806">
        <w:rPr>
          <w:sz w:val="26"/>
          <w:szCs w:val="26"/>
        </w:rPr>
        <w:t>, 2017, is reversed</w:t>
      </w:r>
      <w:r>
        <w:rPr>
          <w:sz w:val="26"/>
          <w:szCs w:val="26"/>
        </w:rPr>
        <w:t xml:space="preserve"> and modified</w:t>
      </w:r>
      <w:r w:rsidRPr="00FC3806">
        <w:rPr>
          <w:sz w:val="26"/>
          <w:szCs w:val="26"/>
        </w:rPr>
        <w:t>, consistent with this Opinion and Order.</w:t>
      </w:r>
    </w:p>
    <w:p w:rsidR="000A1DEE" w:rsidRPr="00463376" w:rsidRDefault="000A1DEE" w:rsidP="00EC224F">
      <w:pPr>
        <w:pStyle w:val="ListParagraph"/>
        <w:widowControl/>
        <w:numPr>
          <w:ilvl w:val="0"/>
          <w:numId w:val="3"/>
        </w:numPr>
        <w:tabs>
          <w:tab w:val="clear" w:pos="2160"/>
          <w:tab w:val="num" w:pos="0"/>
        </w:tabs>
        <w:spacing w:line="360" w:lineRule="auto"/>
        <w:ind w:left="0" w:firstLine="1440"/>
        <w:rPr>
          <w:sz w:val="26"/>
          <w:szCs w:val="26"/>
        </w:rPr>
      </w:pPr>
      <w:r w:rsidRPr="00463376">
        <w:rPr>
          <w:sz w:val="26"/>
          <w:szCs w:val="26"/>
        </w:rPr>
        <w:t xml:space="preserve">That the Formal Complaint filed on </w:t>
      </w:r>
      <w:r w:rsidR="00463376" w:rsidRPr="00463376">
        <w:rPr>
          <w:sz w:val="26"/>
          <w:szCs w:val="26"/>
        </w:rPr>
        <w:t xml:space="preserve">January 19, 2016, </w:t>
      </w:r>
      <w:r w:rsidRPr="00463376">
        <w:rPr>
          <w:sz w:val="26"/>
          <w:szCs w:val="26"/>
        </w:rPr>
        <w:t xml:space="preserve">by </w:t>
      </w:r>
      <w:r w:rsidR="00463376" w:rsidRPr="00463376">
        <w:rPr>
          <w:sz w:val="26"/>
          <w:szCs w:val="26"/>
        </w:rPr>
        <w:t>Geraldine Weston</w:t>
      </w:r>
      <w:r w:rsidRPr="00463376">
        <w:rPr>
          <w:sz w:val="26"/>
          <w:szCs w:val="26"/>
        </w:rPr>
        <w:t xml:space="preserve"> against </w:t>
      </w:r>
      <w:r w:rsidR="00463376" w:rsidRPr="00463376">
        <w:rPr>
          <w:sz w:val="26"/>
          <w:szCs w:val="26"/>
        </w:rPr>
        <w:t xml:space="preserve">Philadelphia Gas Works, in this docket, is dismissed.  </w:t>
      </w:r>
    </w:p>
    <w:p w:rsidR="000A1DEE" w:rsidRDefault="000A1DEE" w:rsidP="00EC224F">
      <w:pPr>
        <w:widowControl/>
        <w:spacing w:line="360" w:lineRule="auto"/>
        <w:ind w:firstLine="1440"/>
        <w:rPr>
          <w:sz w:val="26"/>
          <w:szCs w:val="26"/>
        </w:rPr>
      </w:pPr>
    </w:p>
    <w:p w:rsidR="000A1DEE" w:rsidRDefault="000A1DEE" w:rsidP="00EC224F">
      <w:pPr>
        <w:pStyle w:val="ListParagraph"/>
        <w:widowControl/>
        <w:numPr>
          <w:ilvl w:val="0"/>
          <w:numId w:val="3"/>
        </w:numPr>
        <w:spacing w:line="360" w:lineRule="auto"/>
        <w:rPr>
          <w:sz w:val="26"/>
          <w:szCs w:val="26"/>
        </w:rPr>
      </w:pPr>
      <w:r>
        <w:rPr>
          <w:sz w:val="26"/>
          <w:szCs w:val="26"/>
        </w:rPr>
        <w:t xml:space="preserve">That the Secretary’s Bureau shall mark this docket closed. </w:t>
      </w:r>
    </w:p>
    <w:p w:rsidR="00463376" w:rsidRPr="00463376" w:rsidRDefault="00463376" w:rsidP="00EC224F">
      <w:pPr>
        <w:pStyle w:val="ListParagraph"/>
        <w:widowControl/>
        <w:rPr>
          <w:sz w:val="26"/>
          <w:szCs w:val="26"/>
        </w:rPr>
      </w:pPr>
    </w:p>
    <w:p w:rsidR="00463376" w:rsidRDefault="00463376" w:rsidP="00EC224F">
      <w:pPr>
        <w:widowControl/>
        <w:spacing w:line="360" w:lineRule="auto"/>
        <w:rPr>
          <w:b/>
          <w:sz w:val="26"/>
          <w:szCs w:val="26"/>
        </w:rPr>
      </w:pPr>
    </w:p>
    <w:p w:rsidR="00463376" w:rsidRPr="00FC3806" w:rsidRDefault="00463376" w:rsidP="00EC224F">
      <w:pPr>
        <w:keepNext/>
        <w:keepLines/>
        <w:widowControl/>
        <w:tabs>
          <w:tab w:val="left" w:pos="-720"/>
        </w:tabs>
        <w:ind w:firstLine="5040"/>
        <w:rPr>
          <w:sz w:val="26"/>
          <w:szCs w:val="26"/>
        </w:rPr>
      </w:pPr>
      <w:r w:rsidRPr="00FC3806">
        <w:rPr>
          <w:b/>
          <w:sz w:val="26"/>
          <w:szCs w:val="26"/>
        </w:rPr>
        <w:t>BY THE COMMISSION,</w:t>
      </w:r>
    </w:p>
    <w:p w:rsidR="00463376" w:rsidRDefault="00875C61" w:rsidP="00EC224F">
      <w:pPr>
        <w:keepNext/>
        <w:keepLines/>
        <w:widowControl/>
        <w:tabs>
          <w:tab w:val="left" w:pos="-720"/>
        </w:tabs>
        <w:rPr>
          <w:sz w:val="26"/>
          <w:szCs w:val="26"/>
        </w:rPr>
      </w:pPr>
      <w:bookmarkStart w:id="1" w:name="_GoBack"/>
      <w:r>
        <w:rPr>
          <w:noProof/>
        </w:rPr>
        <w:drawing>
          <wp:anchor distT="0" distB="0" distL="114300" distR="114300" simplePos="0" relativeHeight="251659264" behindDoc="1" locked="0" layoutInCell="1" allowOverlap="1">
            <wp:simplePos x="0" y="0"/>
            <wp:positionH relativeFrom="column">
              <wp:posOffset>2981325</wp:posOffset>
            </wp:positionH>
            <wp:positionV relativeFrom="paragraph">
              <wp:posOffset>8890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1"/>
    </w:p>
    <w:p w:rsidR="00875C61" w:rsidRDefault="00875C61"/>
    <w:p w:rsidR="00B323D3" w:rsidRPr="00FC3806" w:rsidRDefault="00B323D3" w:rsidP="00EC224F">
      <w:pPr>
        <w:keepNext/>
        <w:keepLines/>
        <w:widowControl/>
        <w:tabs>
          <w:tab w:val="left" w:pos="-720"/>
        </w:tabs>
        <w:rPr>
          <w:sz w:val="26"/>
          <w:szCs w:val="26"/>
        </w:rPr>
      </w:pPr>
    </w:p>
    <w:p w:rsidR="00463376" w:rsidRPr="00FC3806" w:rsidRDefault="00463376" w:rsidP="00EC224F">
      <w:pPr>
        <w:keepNext/>
        <w:keepLines/>
        <w:widowControl/>
        <w:tabs>
          <w:tab w:val="left" w:pos="-720"/>
        </w:tabs>
        <w:rPr>
          <w:sz w:val="26"/>
          <w:szCs w:val="26"/>
        </w:rPr>
      </w:pPr>
    </w:p>
    <w:p w:rsidR="00463376" w:rsidRPr="00FC3806" w:rsidRDefault="00463376" w:rsidP="00EC224F">
      <w:pPr>
        <w:keepNext/>
        <w:keepLines/>
        <w:widowControl/>
        <w:tabs>
          <w:tab w:val="left" w:pos="-720"/>
        </w:tabs>
        <w:rPr>
          <w:sz w:val="26"/>
          <w:szCs w:val="26"/>
        </w:rPr>
      </w:pPr>
    </w:p>
    <w:p w:rsidR="00463376" w:rsidRPr="00FC3806" w:rsidRDefault="00463376" w:rsidP="00EC224F">
      <w:pPr>
        <w:keepNext/>
        <w:keepLines/>
        <w:widowControl/>
        <w:tabs>
          <w:tab w:val="left" w:pos="-720"/>
        </w:tabs>
        <w:ind w:firstLine="5040"/>
        <w:rPr>
          <w:b/>
          <w:sz w:val="26"/>
          <w:szCs w:val="26"/>
        </w:rPr>
      </w:pPr>
      <w:r w:rsidRPr="00FC3806">
        <w:rPr>
          <w:sz w:val="26"/>
          <w:szCs w:val="26"/>
        </w:rPr>
        <w:t>Rosemary Chiavetta</w:t>
      </w:r>
    </w:p>
    <w:p w:rsidR="00463376" w:rsidRPr="00FC3806" w:rsidRDefault="00463376" w:rsidP="00EC224F">
      <w:pPr>
        <w:keepNext/>
        <w:keepLines/>
        <w:widowControl/>
        <w:tabs>
          <w:tab w:val="left" w:pos="-720"/>
        </w:tabs>
        <w:ind w:firstLine="5040"/>
        <w:rPr>
          <w:sz w:val="26"/>
          <w:szCs w:val="26"/>
        </w:rPr>
      </w:pPr>
      <w:r w:rsidRPr="00FC3806">
        <w:rPr>
          <w:sz w:val="26"/>
          <w:szCs w:val="26"/>
        </w:rPr>
        <w:t>Secretary</w:t>
      </w:r>
    </w:p>
    <w:p w:rsidR="00463376" w:rsidRPr="00FC3806" w:rsidRDefault="00463376" w:rsidP="00EC224F">
      <w:pPr>
        <w:keepNext/>
        <w:keepLines/>
        <w:widowControl/>
        <w:tabs>
          <w:tab w:val="left" w:pos="-720"/>
        </w:tabs>
        <w:ind w:firstLine="5040"/>
        <w:rPr>
          <w:sz w:val="26"/>
          <w:szCs w:val="26"/>
        </w:rPr>
      </w:pPr>
    </w:p>
    <w:p w:rsidR="00463376" w:rsidRPr="00FC3806" w:rsidRDefault="00463376" w:rsidP="00EC224F">
      <w:pPr>
        <w:keepNext/>
        <w:keepLines/>
        <w:widowControl/>
        <w:tabs>
          <w:tab w:val="left" w:pos="-720"/>
        </w:tabs>
        <w:rPr>
          <w:sz w:val="26"/>
          <w:szCs w:val="26"/>
        </w:rPr>
      </w:pPr>
      <w:r w:rsidRPr="00FC3806">
        <w:rPr>
          <w:sz w:val="26"/>
          <w:szCs w:val="26"/>
        </w:rPr>
        <w:t>(SEAL)</w:t>
      </w:r>
    </w:p>
    <w:p w:rsidR="00463376" w:rsidRPr="00FC3806" w:rsidRDefault="00463376" w:rsidP="00EC224F">
      <w:pPr>
        <w:keepNext/>
        <w:keepLines/>
        <w:widowControl/>
        <w:tabs>
          <w:tab w:val="left" w:pos="-720"/>
        </w:tabs>
        <w:rPr>
          <w:sz w:val="26"/>
          <w:szCs w:val="26"/>
        </w:rPr>
      </w:pPr>
    </w:p>
    <w:p w:rsidR="00463376" w:rsidRPr="00FC3806" w:rsidRDefault="00463376" w:rsidP="00EC224F">
      <w:pPr>
        <w:keepNext/>
        <w:keepLines/>
        <w:widowControl/>
        <w:tabs>
          <w:tab w:val="left" w:pos="-720"/>
        </w:tabs>
        <w:rPr>
          <w:sz w:val="26"/>
          <w:szCs w:val="26"/>
        </w:rPr>
      </w:pPr>
      <w:r w:rsidRPr="00FC3806">
        <w:rPr>
          <w:sz w:val="26"/>
          <w:szCs w:val="26"/>
        </w:rPr>
        <w:t xml:space="preserve">ORDER ADOPTED:  </w:t>
      </w:r>
      <w:r>
        <w:rPr>
          <w:sz w:val="26"/>
          <w:szCs w:val="26"/>
        </w:rPr>
        <w:t>April 5, 2018</w:t>
      </w:r>
    </w:p>
    <w:p w:rsidR="00463376" w:rsidRPr="00FC3806" w:rsidRDefault="00463376" w:rsidP="00EC224F">
      <w:pPr>
        <w:keepNext/>
        <w:keepLines/>
        <w:widowControl/>
        <w:tabs>
          <w:tab w:val="left" w:pos="-720"/>
        </w:tabs>
        <w:rPr>
          <w:sz w:val="26"/>
          <w:szCs w:val="26"/>
        </w:rPr>
      </w:pPr>
    </w:p>
    <w:p w:rsidR="000B5A3D" w:rsidRPr="000A1DEE" w:rsidRDefault="00463376" w:rsidP="006265E4">
      <w:pPr>
        <w:keepNext/>
        <w:keepLines/>
        <w:widowControl/>
        <w:tabs>
          <w:tab w:val="left" w:pos="-720"/>
        </w:tabs>
        <w:rPr>
          <w:sz w:val="26"/>
          <w:szCs w:val="26"/>
        </w:rPr>
      </w:pPr>
      <w:r w:rsidRPr="00FC3806">
        <w:rPr>
          <w:sz w:val="26"/>
          <w:szCs w:val="26"/>
        </w:rPr>
        <w:t xml:space="preserve">ORDER ENTERED:  </w:t>
      </w:r>
      <w:r w:rsidR="00875C61">
        <w:rPr>
          <w:sz w:val="26"/>
          <w:szCs w:val="26"/>
        </w:rPr>
        <w:t>May 18, 2018</w:t>
      </w:r>
    </w:p>
    <w:sectPr w:rsidR="000B5A3D" w:rsidRPr="000A1DEE" w:rsidSect="00405EC5">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1C3A" w:rsidRDefault="009F1C3A" w:rsidP="00C12AA8">
      <w:r>
        <w:separator/>
      </w:r>
    </w:p>
  </w:endnote>
  <w:endnote w:type="continuationSeparator" w:id="0">
    <w:p w:rsidR="009F1C3A" w:rsidRDefault="009F1C3A" w:rsidP="00C12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3178844"/>
      <w:docPartObj>
        <w:docPartGallery w:val="Page Numbers (Bottom of Page)"/>
        <w:docPartUnique/>
      </w:docPartObj>
    </w:sdtPr>
    <w:sdtEndPr>
      <w:rPr>
        <w:noProof/>
      </w:rPr>
    </w:sdtEndPr>
    <w:sdtContent>
      <w:p w:rsidR="00405EC5" w:rsidRDefault="00405E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05EC5" w:rsidRDefault="00405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1C3A" w:rsidRDefault="009F1C3A" w:rsidP="00C12AA8">
      <w:r>
        <w:separator/>
      </w:r>
    </w:p>
  </w:footnote>
  <w:footnote w:type="continuationSeparator" w:id="0">
    <w:p w:rsidR="009F1C3A" w:rsidRDefault="009F1C3A" w:rsidP="00C12AA8">
      <w:r>
        <w:continuationSeparator/>
      </w:r>
    </w:p>
  </w:footnote>
  <w:footnote w:id="1">
    <w:p w:rsidR="00C12AA8" w:rsidRPr="00EB25C8" w:rsidRDefault="00C12AA8" w:rsidP="0027181C">
      <w:pPr>
        <w:pStyle w:val="FootnoteText"/>
        <w:keepNext/>
        <w:keepLines/>
        <w:ind w:firstLine="720"/>
        <w:rPr>
          <w:sz w:val="26"/>
          <w:szCs w:val="26"/>
        </w:rPr>
      </w:pPr>
      <w:r w:rsidRPr="00EB25C8">
        <w:rPr>
          <w:rStyle w:val="FootnoteReference"/>
          <w:sz w:val="26"/>
          <w:szCs w:val="26"/>
        </w:rPr>
        <w:footnoteRef/>
      </w:r>
      <w:r w:rsidR="00EB25C8">
        <w:rPr>
          <w:sz w:val="26"/>
          <w:szCs w:val="26"/>
        </w:rPr>
        <w:tab/>
      </w:r>
      <w:r w:rsidRPr="00EB25C8">
        <w:rPr>
          <w:sz w:val="26"/>
          <w:szCs w:val="26"/>
        </w:rPr>
        <w:t>The evidentiary record demonstrates that PGW attempted to terminate service for non-payment in August of 2014, prior to the Complainant’s illness, but was unable to do so due to the refusal of the occupants to grant access to the property. Tr. at 18-20.  Service was terminated in July of 2015 by digging up the service line at the street.  The record also showed that, at the time of the hearing, the Complainant was still the owner, but that a cousin was now residing at the property with the Complainant’s consent and receiving service from PGW in his own name. Tr. at 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40D18"/>
    <w:multiLevelType w:val="hybridMultilevel"/>
    <w:tmpl w:val="7DF457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C93AA2"/>
    <w:multiLevelType w:val="hybridMultilevel"/>
    <w:tmpl w:val="C7522CF8"/>
    <w:lvl w:ilvl="0" w:tplc="76E0F17C">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 w15:restartNumberingAfterBreak="0">
    <w:nsid w:val="64282410"/>
    <w:multiLevelType w:val="hybridMultilevel"/>
    <w:tmpl w:val="DE1C6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A3D"/>
    <w:rsid w:val="00046A8F"/>
    <w:rsid w:val="000A1DEE"/>
    <w:rsid w:val="000B5A3D"/>
    <w:rsid w:val="000C5FF3"/>
    <w:rsid w:val="000E410B"/>
    <w:rsid w:val="000F2B7C"/>
    <w:rsid w:val="0010215D"/>
    <w:rsid w:val="001822CC"/>
    <w:rsid w:val="00223AD9"/>
    <w:rsid w:val="0027181C"/>
    <w:rsid w:val="00295172"/>
    <w:rsid w:val="00324271"/>
    <w:rsid w:val="00392405"/>
    <w:rsid w:val="003D5C5F"/>
    <w:rsid w:val="00405EC5"/>
    <w:rsid w:val="004119DD"/>
    <w:rsid w:val="00463376"/>
    <w:rsid w:val="0049099E"/>
    <w:rsid w:val="004B58D7"/>
    <w:rsid w:val="00554903"/>
    <w:rsid w:val="00564F2E"/>
    <w:rsid w:val="005B6415"/>
    <w:rsid w:val="00603AB9"/>
    <w:rsid w:val="006265E4"/>
    <w:rsid w:val="007133CF"/>
    <w:rsid w:val="007D314C"/>
    <w:rsid w:val="007F5600"/>
    <w:rsid w:val="00875C61"/>
    <w:rsid w:val="00901480"/>
    <w:rsid w:val="00913CF0"/>
    <w:rsid w:val="0093016A"/>
    <w:rsid w:val="009463F9"/>
    <w:rsid w:val="00946472"/>
    <w:rsid w:val="00967499"/>
    <w:rsid w:val="009F1C3A"/>
    <w:rsid w:val="00A025DB"/>
    <w:rsid w:val="00A10F80"/>
    <w:rsid w:val="00B17C9E"/>
    <w:rsid w:val="00B323D3"/>
    <w:rsid w:val="00BA303B"/>
    <w:rsid w:val="00BE7940"/>
    <w:rsid w:val="00C12AA8"/>
    <w:rsid w:val="00C7023F"/>
    <w:rsid w:val="00D06FE9"/>
    <w:rsid w:val="00D4180F"/>
    <w:rsid w:val="00D534C9"/>
    <w:rsid w:val="00DA2A78"/>
    <w:rsid w:val="00E23D01"/>
    <w:rsid w:val="00E97891"/>
    <w:rsid w:val="00EB25C8"/>
    <w:rsid w:val="00EC224F"/>
    <w:rsid w:val="00FD4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0BA9E"/>
  <w15:chartTrackingRefBased/>
  <w15:docId w15:val="{C2E4D859-A691-4E9D-8175-E7E327D40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5A3D"/>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5A3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0B5A3D"/>
    <w:rPr>
      <w:color w:val="0000FF"/>
      <w:u w:val="single"/>
    </w:rPr>
  </w:style>
  <w:style w:type="character" w:styleId="Emphasis">
    <w:name w:val="Emphasis"/>
    <w:basedOn w:val="DefaultParagraphFont"/>
    <w:qFormat/>
    <w:rsid w:val="000B5A3D"/>
    <w:rPr>
      <w:i/>
      <w:iCs/>
    </w:rPr>
  </w:style>
  <w:style w:type="paragraph" w:customStyle="1" w:styleId="Default">
    <w:name w:val="Default"/>
    <w:rsid w:val="000B5A3D"/>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C12AA8"/>
    <w:pPr>
      <w:widowControl/>
    </w:pPr>
  </w:style>
  <w:style w:type="character" w:customStyle="1" w:styleId="FootnoteTextChar">
    <w:name w:val="Footnote Text Char"/>
    <w:basedOn w:val="DefaultParagraphFont"/>
    <w:link w:val="FootnoteText"/>
    <w:uiPriority w:val="99"/>
    <w:semiHidden/>
    <w:rsid w:val="00C12AA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12AA8"/>
    <w:rPr>
      <w:vertAlign w:val="superscript"/>
    </w:rPr>
  </w:style>
  <w:style w:type="paragraph" w:styleId="ListParagraph">
    <w:name w:val="List Paragraph"/>
    <w:basedOn w:val="Normal"/>
    <w:uiPriority w:val="34"/>
    <w:qFormat/>
    <w:rsid w:val="00392405"/>
    <w:pPr>
      <w:ind w:left="720"/>
      <w:contextualSpacing/>
    </w:pPr>
  </w:style>
  <w:style w:type="paragraph" w:styleId="BalloonText">
    <w:name w:val="Balloon Text"/>
    <w:basedOn w:val="Normal"/>
    <w:link w:val="BalloonTextChar"/>
    <w:uiPriority w:val="99"/>
    <w:semiHidden/>
    <w:unhideWhenUsed/>
    <w:rsid w:val="00223A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AD9"/>
    <w:rPr>
      <w:rFonts w:ascii="Segoe UI" w:eastAsia="Times New Roman" w:hAnsi="Segoe UI" w:cs="Segoe UI"/>
      <w:sz w:val="18"/>
      <w:szCs w:val="18"/>
    </w:rPr>
  </w:style>
  <w:style w:type="paragraph" w:styleId="Header">
    <w:name w:val="header"/>
    <w:basedOn w:val="Normal"/>
    <w:link w:val="HeaderChar"/>
    <w:uiPriority w:val="99"/>
    <w:unhideWhenUsed/>
    <w:rsid w:val="00405EC5"/>
    <w:pPr>
      <w:tabs>
        <w:tab w:val="center" w:pos="4680"/>
        <w:tab w:val="right" w:pos="9360"/>
      </w:tabs>
    </w:pPr>
  </w:style>
  <w:style w:type="character" w:customStyle="1" w:styleId="HeaderChar">
    <w:name w:val="Header Char"/>
    <w:basedOn w:val="DefaultParagraphFont"/>
    <w:link w:val="Header"/>
    <w:uiPriority w:val="99"/>
    <w:rsid w:val="00405EC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05EC5"/>
    <w:pPr>
      <w:tabs>
        <w:tab w:val="center" w:pos="4680"/>
        <w:tab w:val="right" w:pos="9360"/>
      </w:tabs>
    </w:pPr>
  </w:style>
  <w:style w:type="character" w:customStyle="1" w:styleId="FooterChar">
    <w:name w:val="Footer Char"/>
    <w:basedOn w:val="DefaultParagraphFont"/>
    <w:link w:val="Footer"/>
    <w:uiPriority w:val="99"/>
    <w:rsid w:val="00405EC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13A65-B9F2-4A11-85E9-3F8EC76B2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3496</Words>
  <Characters>19932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Reynolds, Doris</cp:lastModifiedBy>
  <cp:revision>3</cp:revision>
  <cp:lastPrinted>2018-05-18T15:10:00Z</cp:lastPrinted>
  <dcterms:created xsi:type="dcterms:W3CDTF">2018-05-18T15:11:00Z</dcterms:created>
  <dcterms:modified xsi:type="dcterms:W3CDTF">2018-05-18T15:11:00Z</dcterms:modified>
</cp:coreProperties>
</file>