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5" w:type="dxa"/>
        <w:tblLayout w:type="fixed"/>
        <w:tblLook w:val="0000" w:firstRow="0" w:lastRow="0" w:firstColumn="0" w:lastColumn="0" w:noHBand="0" w:noVBand="0"/>
      </w:tblPr>
      <w:tblGrid>
        <w:gridCol w:w="1278"/>
        <w:gridCol w:w="7542"/>
        <w:gridCol w:w="1575"/>
      </w:tblGrid>
      <w:tr w:rsidR="0011460D" w14:paraId="43164F3F" w14:textId="77777777" w:rsidTr="006B2726">
        <w:tc>
          <w:tcPr>
            <w:tcW w:w="1278" w:type="dxa"/>
          </w:tcPr>
          <w:p w14:paraId="382F59F4" w14:textId="77777777"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 w14:anchorId="57985C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8.5pt" o:ole="" fillcolor="window">
                  <v:imagedata r:id="rId7" o:title="" croptop="-9397f" cropbottom="-9325f" cropleft="-23f" cropright="-23f"/>
                </v:shape>
                <o:OLEObject Type="Embed" ProgID="Word.Picture.8" ShapeID="_x0000_i1025" DrawAspect="Content" ObjectID="_1588566120" r:id="rId8"/>
              </w:object>
            </w:r>
          </w:p>
        </w:tc>
        <w:tc>
          <w:tcPr>
            <w:tcW w:w="7542" w:type="dxa"/>
          </w:tcPr>
          <w:p w14:paraId="0B9AA6E8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14:paraId="4701CDC6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2B400750" w14:textId="77777777" w:rsidR="0011460D" w:rsidRDefault="0011460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spacing w:val="-3"/>
                <w:sz w:val="26"/>
              </w:rPr>
              <w:t xml:space="preserve"> 17105-3265</w:t>
            </w:r>
          </w:p>
          <w:p w14:paraId="52654E7F" w14:textId="77777777" w:rsidR="006B2726" w:rsidRDefault="006B272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</w:tcPr>
          <w:p w14:paraId="13812E17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DD1D49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5D47898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32348B8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0BA98B18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0249DFCE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671B8B45" w14:textId="77777777" w:rsidR="006B2726" w:rsidRDefault="0011460D" w:rsidP="00FF3279">
            <w:pPr>
              <w:ind w:left="-720" w:right="210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26BAC111" w14:textId="77777777" w:rsidR="0011460D" w:rsidRDefault="0011460D" w:rsidP="00FF3279">
            <w:pPr>
              <w:ind w:left="-720" w:right="210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  <w:p w14:paraId="658D8257" w14:textId="77777777" w:rsidR="00B521CA" w:rsidRDefault="00B521CA" w:rsidP="00FF3279">
            <w:pPr>
              <w:ind w:left="-720" w:right="210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0CE234B" w14:textId="77777777" w:rsidR="00B521CA" w:rsidRPr="006B2726" w:rsidRDefault="00A64738" w:rsidP="00FF3279">
            <w:pPr>
              <w:ind w:left="70" w:right="-60"/>
              <w:rPr>
                <w:rFonts w:ascii="Arial" w:hAnsi="Arial"/>
                <w:b/>
                <w:spacing w:val="-1"/>
                <w:sz w:val="14"/>
                <w:szCs w:val="14"/>
              </w:rPr>
            </w:pPr>
            <w:r w:rsidRPr="006B2726">
              <w:rPr>
                <w:rFonts w:ascii="Arial" w:hAnsi="Arial"/>
                <w:b/>
                <w:spacing w:val="-1"/>
                <w:sz w:val="14"/>
                <w:szCs w:val="14"/>
              </w:rPr>
              <w:t>C-2016-254</w:t>
            </w:r>
            <w:r w:rsidR="002254D1" w:rsidRPr="006B2726">
              <w:rPr>
                <w:rFonts w:ascii="Arial" w:hAnsi="Arial"/>
                <w:b/>
                <w:spacing w:val="-1"/>
                <w:sz w:val="14"/>
                <w:szCs w:val="14"/>
              </w:rPr>
              <w:t>7755</w:t>
            </w:r>
          </w:p>
          <w:p w14:paraId="7F2CA5FF" w14:textId="77777777" w:rsidR="007277CA" w:rsidRPr="006B2726" w:rsidRDefault="007277CA" w:rsidP="00FF3279">
            <w:pPr>
              <w:ind w:left="70" w:right="-60"/>
              <w:rPr>
                <w:rFonts w:ascii="Arial" w:hAnsi="Arial"/>
                <w:b/>
                <w:spacing w:val="-1"/>
                <w:sz w:val="14"/>
                <w:szCs w:val="14"/>
              </w:rPr>
            </w:pPr>
            <w:r w:rsidRPr="006B2726">
              <w:rPr>
                <w:rFonts w:ascii="Arial" w:hAnsi="Arial"/>
                <w:b/>
                <w:spacing w:val="-1"/>
                <w:sz w:val="14"/>
                <w:szCs w:val="14"/>
              </w:rPr>
              <w:t>P-2017-2594688</w:t>
            </w:r>
          </w:p>
          <w:p w14:paraId="6EE918DA" w14:textId="77777777" w:rsidR="007277CA" w:rsidRDefault="007277CA" w:rsidP="00FF3279">
            <w:pPr>
              <w:ind w:left="70" w:right="-60"/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6B2726">
              <w:rPr>
                <w:rFonts w:ascii="Arial" w:hAnsi="Arial"/>
                <w:b/>
                <w:spacing w:val="-1"/>
                <w:sz w:val="14"/>
                <w:szCs w:val="14"/>
              </w:rPr>
              <w:t>M-2018-2645983</w:t>
            </w:r>
          </w:p>
          <w:p w14:paraId="7F6B5A41" w14:textId="77777777" w:rsidR="007277CA" w:rsidRDefault="007277CA" w:rsidP="007277CA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54726194" w14:textId="77777777" w:rsidR="007277CA" w:rsidRPr="00B521CA" w:rsidRDefault="007277C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EAED9E" w14:textId="0637C84E" w:rsidR="0011460D" w:rsidRDefault="00BA1639" w:rsidP="000977A9">
      <w:pPr>
        <w:jc w:val="center"/>
        <w:rPr>
          <w:sz w:val="24"/>
        </w:rPr>
      </w:pPr>
      <w:r>
        <w:rPr>
          <w:sz w:val="24"/>
        </w:rPr>
        <w:t>May 23, 2018</w:t>
      </w:r>
    </w:p>
    <w:p w14:paraId="54AA960C" w14:textId="77777777" w:rsidR="00C6174A" w:rsidRPr="00A60630" w:rsidRDefault="00C6174A">
      <w:pPr>
        <w:rPr>
          <w:sz w:val="24"/>
        </w:rPr>
      </w:pPr>
    </w:p>
    <w:p w14:paraId="2F4B276C" w14:textId="77777777" w:rsidR="0011460D" w:rsidRPr="00A60630" w:rsidRDefault="0011460D">
      <w:pPr>
        <w:rPr>
          <w:sz w:val="24"/>
        </w:rPr>
      </w:pPr>
    </w:p>
    <w:p w14:paraId="713424A3" w14:textId="77777777" w:rsidR="002C49F9" w:rsidRDefault="0011460D" w:rsidP="007277CA">
      <w:pPr>
        <w:widowControl w:val="0"/>
        <w:rPr>
          <w:sz w:val="24"/>
        </w:rPr>
      </w:pPr>
      <w:r w:rsidRPr="00A60630">
        <w:rPr>
          <w:sz w:val="24"/>
        </w:rPr>
        <w:t>Re:</w:t>
      </w:r>
      <w:r w:rsidR="004C7A2B">
        <w:rPr>
          <w:sz w:val="24"/>
        </w:rPr>
        <w:t xml:space="preserve">  </w:t>
      </w:r>
      <w:r w:rsidR="004C7A2B">
        <w:rPr>
          <w:sz w:val="24"/>
        </w:rPr>
        <w:tab/>
      </w:r>
      <w:r w:rsidR="007277CA">
        <w:rPr>
          <w:sz w:val="24"/>
        </w:rPr>
        <w:t>Pennsylvania Public Utility Commission, Bureau of Investigation and</w:t>
      </w:r>
    </w:p>
    <w:p w14:paraId="786E6936" w14:textId="77777777" w:rsidR="007277CA" w:rsidRDefault="007277CA" w:rsidP="007277CA">
      <w:pPr>
        <w:widowControl w:val="0"/>
        <w:rPr>
          <w:sz w:val="24"/>
        </w:rPr>
      </w:pPr>
      <w:r>
        <w:rPr>
          <w:sz w:val="24"/>
        </w:rPr>
        <w:tab/>
        <w:t>Enforcement</w:t>
      </w:r>
      <w:r w:rsidRPr="00A60630">
        <w:rPr>
          <w:sz w:val="24"/>
        </w:rPr>
        <w:t xml:space="preserve"> v. </w:t>
      </w:r>
      <w:r>
        <w:rPr>
          <w:sz w:val="24"/>
        </w:rPr>
        <w:t>North Heidelberg Sewer Company</w:t>
      </w:r>
    </w:p>
    <w:p w14:paraId="3EC74151" w14:textId="77777777" w:rsidR="007277CA" w:rsidRDefault="007277CA" w:rsidP="007277CA">
      <w:pPr>
        <w:widowControl w:val="0"/>
        <w:rPr>
          <w:sz w:val="24"/>
        </w:rPr>
      </w:pPr>
      <w:r>
        <w:rPr>
          <w:sz w:val="24"/>
        </w:rPr>
        <w:tab/>
        <w:t>D</w:t>
      </w:r>
      <w:r w:rsidRPr="00A60630">
        <w:rPr>
          <w:sz w:val="24"/>
        </w:rPr>
        <w:t xml:space="preserve">ocket Number: </w:t>
      </w:r>
      <w:r>
        <w:rPr>
          <w:sz w:val="24"/>
        </w:rPr>
        <w:t>C-2016-2547755</w:t>
      </w:r>
      <w:r w:rsidR="000C5A19">
        <w:rPr>
          <w:sz w:val="24"/>
        </w:rPr>
        <w:t xml:space="preserve"> (Motion for Default Judgment)</w:t>
      </w:r>
    </w:p>
    <w:p w14:paraId="7D218E46" w14:textId="77777777" w:rsidR="007277CA" w:rsidRDefault="007277CA" w:rsidP="004C7A2B">
      <w:pPr>
        <w:widowControl w:val="0"/>
        <w:rPr>
          <w:sz w:val="24"/>
        </w:rPr>
      </w:pPr>
    </w:p>
    <w:p w14:paraId="0B5C0912" w14:textId="77777777" w:rsidR="002C49F9" w:rsidRDefault="007277CA" w:rsidP="007277CA">
      <w:pPr>
        <w:widowControl w:val="0"/>
        <w:rPr>
          <w:sz w:val="24"/>
        </w:rPr>
      </w:pPr>
      <w:r>
        <w:rPr>
          <w:sz w:val="24"/>
        </w:rPr>
        <w:tab/>
        <w:t>Pennsylvania Public Utility Commission, Bureau of Investigation and</w:t>
      </w:r>
    </w:p>
    <w:p w14:paraId="64D4B1E8" w14:textId="77777777" w:rsidR="007277CA" w:rsidRDefault="007277CA" w:rsidP="007277CA">
      <w:pPr>
        <w:widowControl w:val="0"/>
        <w:rPr>
          <w:sz w:val="24"/>
        </w:rPr>
      </w:pPr>
      <w:r>
        <w:rPr>
          <w:sz w:val="24"/>
        </w:rPr>
        <w:tab/>
        <w:t>Enforcement</w:t>
      </w:r>
      <w:r w:rsidRPr="00A60630">
        <w:rPr>
          <w:sz w:val="24"/>
        </w:rPr>
        <w:t xml:space="preserve"> v. </w:t>
      </w:r>
      <w:r>
        <w:rPr>
          <w:sz w:val="24"/>
        </w:rPr>
        <w:t>Metropolitan Edison Company and North Heidelberg Sewer Company</w:t>
      </w:r>
    </w:p>
    <w:p w14:paraId="4EB9FE3A" w14:textId="77777777" w:rsidR="007277CA" w:rsidRDefault="007277CA" w:rsidP="007277CA">
      <w:pPr>
        <w:widowControl w:val="0"/>
        <w:rPr>
          <w:sz w:val="24"/>
        </w:rPr>
      </w:pPr>
      <w:r>
        <w:rPr>
          <w:sz w:val="24"/>
        </w:rPr>
        <w:tab/>
        <w:t>D</w:t>
      </w:r>
      <w:r w:rsidRPr="00A60630">
        <w:rPr>
          <w:sz w:val="24"/>
        </w:rPr>
        <w:t xml:space="preserve">ocket Number: </w:t>
      </w:r>
      <w:r>
        <w:rPr>
          <w:sz w:val="24"/>
        </w:rPr>
        <w:t>P-2017-2594688</w:t>
      </w:r>
    </w:p>
    <w:p w14:paraId="505AD4F4" w14:textId="77777777" w:rsidR="007277CA" w:rsidRDefault="007277CA" w:rsidP="004C7A2B">
      <w:pPr>
        <w:widowControl w:val="0"/>
        <w:rPr>
          <w:sz w:val="24"/>
        </w:rPr>
      </w:pPr>
    </w:p>
    <w:p w14:paraId="47A88555" w14:textId="77777777" w:rsidR="002C49F9" w:rsidRDefault="007277CA" w:rsidP="004C7A2B">
      <w:pPr>
        <w:widowControl w:val="0"/>
        <w:rPr>
          <w:sz w:val="24"/>
        </w:rPr>
      </w:pPr>
      <w:r>
        <w:rPr>
          <w:sz w:val="24"/>
        </w:rPr>
        <w:tab/>
      </w:r>
      <w:r w:rsidR="002254D1">
        <w:rPr>
          <w:sz w:val="24"/>
        </w:rPr>
        <w:t>Pennsylvania Public Utility Commission, Bureau of Investigation and</w:t>
      </w:r>
    </w:p>
    <w:p w14:paraId="270FEEEA" w14:textId="77777777" w:rsidR="002254D1" w:rsidRDefault="002C49F9" w:rsidP="004C7A2B">
      <w:pPr>
        <w:widowControl w:val="0"/>
        <w:rPr>
          <w:sz w:val="24"/>
        </w:rPr>
      </w:pPr>
      <w:r>
        <w:rPr>
          <w:sz w:val="24"/>
        </w:rPr>
        <w:tab/>
      </w:r>
      <w:r w:rsidR="002254D1">
        <w:rPr>
          <w:sz w:val="24"/>
        </w:rPr>
        <w:t>Enforcement</w:t>
      </w:r>
      <w:r w:rsidR="00A60630" w:rsidRPr="00A60630">
        <w:rPr>
          <w:sz w:val="24"/>
        </w:rPr>
        <w:t xml:space="preserve"> v. </w:t>
      </w:r>
      <w:r w:rsidR="004C7A2B">
        <w:rPr>
          <w:sz w:val="24"/>
        </w:rPr>
        <w:t xml:space="preserve">Metropolitan Edison Company and </w:t>
      </w:r>
      <w:r w:rsidR="002254D1">
        <w:rPr>
          <w:sz w:val="24"/>
        </w:rPr>
        <w:t>North Heidelberg Sewer Company</w:t>
      </w:r>
    </w:p>
    <w:p w14:paraId="294D431A" w14:textId="77777777" w:rsidR="0011460D" w:rsidRDefault="004C7A2B" w:rsidP="004C7A2B">
      <w:pPr>
        <w:widowControl w:val="0"/>
        <w:rPr>
          <w:sz w:val="24"/>
        </w:rPr>
      </w:pPr>
      <w:r>
        <w:rPr>
          <w:sz w:val="24"/>
        </w:rPr>
        <w:tab/>
      </w:r>
      <w:r w:rsidR="002254D1">
        <w:rPr>
          <w:sz w:val="24"/>
        </w:rPr>
        <w:t>D</w:t>
      </w:r>
      <w:r w:rsidR="00723B65" w:rsidRPr="00A60630">
        <w:rPr>
          <w:sz w:val="24"/>
        </w:rPr>
        <w:t xml:space="preserve">ocket Number: </w:t>
      </w:r>
      <w:r>
        <w:rPr>
          <w:sz w:val="24"/>
        </w:rPr>
        <w:t>M</w:t>
      </w:r>
      <w:r w:rsidR="00A64738">
        <w:rPr>
          <w:sz w:val="24"/>
        </w:rPr>
        <w:t>-201</w:t>
      </w:r>
      <w:r>
        <w:rPr>
          <w:sz w:val="24"/>
        </w:rPr>
        <w:t>8</w:t>
      </w:r>
      <w:r w:rsidR="00A64738">
        <w:rPr>
          <w:sz w:val="24"/>
        </w:rPr>
        <w:t>-2</w:t>
      </w:r>
      <w:r>
        <w:rPr>
          <w:sz w:val="24"/>
        </w:rPr>
        <w:t>6</w:t>
      </w:r>
      <w:r w:rsidR="00A64738">
        <w:rPr>
          <w:sz w:val="24"/>
        </w:rPr>
        <w:t>4</w:t>
      </w:r>
      <w:r w:rsidR="002254D1">
        <w:rPr>
          <w:sz w:val="24"/>
        </w:rPr>
        <w:t>5</w:t>
      </w:r>
      <w:r>
        <w:rPr>
          <w:sz w:val="24"/>
        </w:rPr>
        <w:t>983</w:t>
      </w:r>
    </w:p>
    <w:p w14:paraId="141409D9" w14:textId="77777777" w:rsidR="00EC15C1" w:rsidRDefault="00EC15C1" w:rsidP="007277CA">
      <w:pPr>
        <w:widowControl w:val="0"/>
        <w:rPr>
          <w:sz w:val="24"/>
        </w:rPr>
      </w:pPr>
    </w:p>
    <w:p w14:paraId="5FCA95A8" w14:textId="77777777" w:rsidR="006B2726" w:rsidRDefault="006B2726" w:rsidP="007277CA">
      <w:pPr>
        <w:widowControl w:val="0"/>
        <w:rPr>
          <w:sz w:val="24"/>
        </w:rPr>
      </w:pPr>
    </w:p>
    <w:p w14:paraId="79DC4756" w14:textId="77777777" w:rsidR="00EC15C1" w:rsidRPr="00A60630" w:rsidRDefault="00EC15C1" w:rsidP="004C7A2B">
      <w:pPr>
        <w:widowControl w:val="0"/>
        <w:rPr>
          <w:sz w:val="24"/>
        </w:rPr>
      </w:pPr>
    </w:p>
    <w:p w14:paraId="12A9B15F" w14:textId="77777777" w:rsidR="0011460D" w:rsidRPr="00894C07" w:rsidRDefault="00893015">
      <w:pPr>
        <w:rPr>
          <w:sz w:val="24"/>
        </w:rPr>
      </w:pPr>
      <w:r w:rsidRPr="00A60630">
        <w:rPr>
          <w:sz w:val="24"/>
        </w:rPr>
        <w:t>To</w:t>
      </w:r>
      <w:r w:rsidR="00894C07">
        <w:rPr>
          <w:sz w:val="24"/>
        </w:rPr>
        <w:t xml:space="preserve"> All</w:t>
      </w:r>
      <w:r w:rsidRPr="00A60630">
        <w:rPr>
          <w:sz w:val="24"/>
        </w:rPr>
        <w:t xml:space="preserve"> Parties of </w:t>
      </w:r>
      <w:r w:rsidRPr="00894C07">
        <w:rPr>
          <w:sz w:val="24"/>
        </w:rPr>
        <w:t>Record</w:t>
      </w:r>
      <w:r w:rsidR="0011460D" w:rsidRPr="00894C07">
        <w:rPr>
          <w:sz w:val="24"/>
        </w:rPr>
        <w:t>:</w:t>
      </w:r>
    </w:p>
    <w:p w14:paraId="13063832" w14:textId="77777777" w:rsidR="0011460D" w:rsidRPr="00894C07" w:rsidRDefault="0011460D">
      <w:pPr>
        <w:rPr>
          <w:sz w:val="24"/>
        </w:rPr>
      </w:pPr>
    </w:p>
    <w:p w14:paraId="70A68FDB" w14:textId="77777777" w:rsidR="00DA4DCA" w:rsidRDefault="0011460D">
      <w:pPr>
        <w:rPr>
          <w:sz w:val="24"/>
        </w:rPr>
      </w:pPr>
      <w:r w:rsidRPr="00894C07">
        <w:rPr>
          <w:sz w:val="24"/>
        </w:rPr>
        <w:tab/>
      </w:r>
      <w:r w:rsidRPr="00894C07">
        <w:rPr>
          <w:sz w:val="24"/>
        </w:rPr>
        <w:tab/>
      </w:r>
      <w:r w:rsidR="008B5C78">
        <w:rPr>
          <w:sz w:val="24"/>
        </w:rPr>
        <w:t>O</w:t>
      </w:r>
      <w:r w:rsidR="00297A8C">
        <w:rPr>
          <w:sz w:val="24"/>
        </w:rPr>
        <w:t xml:space="preserve">n </w:t>
      </w:r>
      <w:r w:rsidR="00DA4DCA">
        <w:rPr>
          <w:sz w:val="24"/>
        </w:rPr>
        <w:t>May 27, 2016, the Bureau of Investigation &amp; Enforcement (I&amp;E) filed a Complaint</w:t>
      </w:r>
      <w:r w:rsidR="008B5C78">
        <w:rPr>
          <w:sz w:val="24"/>
        </w:rPr>
        <w:t>,</w:t>
      </w:r>
      <w:r w:rsidR="00DA4DCA">
        <w:rPr>
          <w:sz w:val="24"/>
        </w:rPr>
        <w:t xml:space="preserve"> </w:t>
      </w:r>
      <w:r w:rsidR="008B5C78">
        <w:rPr>
          <w:sz w:val="24"/>
        </w:rPr>
        <w:t>at Docket No. C-2016-2547755, in which it alleged</w:t>
      </w:r>
      <w:r w:rsidR="00DA4DCA">
        <w:rPr>
          <w:sz w:val="24"/>
        </w:rPr>
        <w:t xml:space="preserve"> that North Heidelberg Sewer Company (</w:t>
      </w:r>
      <w:r w:rsidR="006F3C54">
        <w:rPr>
          <w:sz w:val="24"/>
        </w:rPr>
        <w:t xml:space="preserve">North Heidelberg or </w:t>
      </w:r>
      <w:r w:rsidR="00DA4DCA">
        <w:rPr>
          <w:sz w:val="24"/>
        </w:rPr>
        <w:t>Respondent) violated Section 510 of the Public Utility Code</w:t>
      </w:r>
      <w:r w:rsidR="00DC1EF5">
        <w:rPr>
          <w:sz w:val="24"/>
        </w:rPr>
        <w:t xml:space="preserve"> (Code)</w:t>
      </w:r>
      <w:r w:rsidR="00DA4DCA">
        <w:rPr>
          <w:sz w:val="24"/>
        </w:rPr>
        <w:t>, 66 Pa. C.S. §</w:t>
      </w:r>
      <w:r w:rsidR="008B5C78">
        <w:rPr>
          <w:sz w:val="24"/>
        </w:rPr>
        <w:t> </w:t>
      </w:r>
      <w:r w:rsidR="00DA4DCA">
        <w:rPr>
          <w:sz w:val="24"/>
        </w:rPr>
        <w:t xml:space="preserve">510, </w:t>
      </w:r>
      <w:r w:rsidR="00462E0A">
        <w:rPr>
          <w:sz w:val="24"/>
        </w:rPr>
        <w:t>by</w:t>
      </w:r>
      <w:r w:rsidR="00DA4DCA">
        <w:rPr>
          <w:sz w:val="24"/>
        </w:rPr>
        <w:t xml:space="preserve"> failing to pay the Pennsylvania Public Utility Commission’s (Commission) assessment for the 2015-2016 fiscal year.  </w:t>
      </w:r>
      <w:r w:rsidR="00B701B4">
        <w:rPr>
          <w:sz w:val="24"/>
        </w:rPr>
        <w:t>In t</w:t>
      </w:r>
      <w:r w:rsidR="00DA4DCA">
        <w:rPr>
          <w:sz w:val="24"/>
        </w:rPr>
        <w:t xml:space="preserve">he </w:t>
      </w:r>
      <w:r w:rsidR="00B701B4">
        <w:rPr>
          <w:sz w:val="24"/>
        </w:rPr>
        <w:t>C</w:t>
      </w:r>
      <w:r w:rsidR="00DA4DCA">
        <w:rPr>
          <w:sz w:val="24"/>
        </w:rPr>
        <w:t>omplaint</w:t>
      </w:r>
      <w:r w:rsidR="00B701B4">
        <w:rPr>
          <w:sz w:val="24"/>
        </w:rPr>
        <w:t>, I&amp;E</w:t>
      </w:r>
      <w:r w:rsidR="00DA4DCA">
        <w:rPr>
          <w:sz w:val="24"/>
        </w:rPr>
        <w:t xml:space="preserve"> </w:t>
      </w:r>
      <w:r w:rsidR="008B5C78">
        <w:rPr>
          <w:sz w:val="24"/>
        </w:rPr>
        <w:t xml:space="preserve">claimed </w:t>
      </w:r>
      <w:r w:rsidR="00DA4DCA">
        <w:rPr>
          <w:sz w:val="24"/>
        </w:rPr>
        <w:t xml:space="preserve">that the Respondent owes $800 in unpaid assessments and </w:t>
      </w:r>
      <w:r w:rsidR="00B701B4">
        <w:rPr>
          <w:sz w:val="24"/>
        </w:rPr>
        <w:t>sought</w:t>
      </w:r>
      <w:r w:rsidR="00DA4DCA">
        <w:rPr>
          <w:sz w:val="24"/>
        </w:rPr>
        <w:t xml:space="preserve"> a civil penalty of $200</w:t>
      </w:r>
      <w:r w:rsidR="008B5C78">
        <w:rPr>
          <w:sz w:val="24"/>
        </w:rPr>
        <w:t xml:space="preserve"> against the Respondent for this violation</w:t>
      </w:r>
      <w:r w:rsidR="00DA4DCA">
        <w:rPr>
          <w:sz w:val="24"/>
        </w:rPr>
        <w:t xml:space="preserve">.  </w:t>
      </w:r>
      <w:r w:rsidR="00B701B4">
        <w:rPr>
          <w:sz w:val="24"/>
        </w:rPr>
        <w:t>I&amp;E</w:t>
      </w:r>
      <w:r w:rsidR="00DA4DCA">
        <w:rPr>
          <w:sz w:val="24"/>
        </w:rPr>
        <w:t xml:space="preserve"> requested that the Respondent pay</w:t>
      </w:r>
      <w:r w:rsidR="008B5C78">
        <w:rPr>
          <w:sz w:val="24"/>
        </w:rPr>
        <w:t xml:space="preserve"> $1,000 for</w:t>
      </w:r>
      <w:r w:rsidR="00DA4DCA">
        <w:rPr>
          <w:sz w:val="24"/>
        </w:rPr>
        <w:t xml:space="preserve"> the outstanding assessment balance and civil penalty within twenty days or I&amp;</w:t>
      </w:r>
      <w:r w:rsidR="003329C8">
        <w:rPr>
          <w:sz w:val="24"/>
        </w:rPr>
        <w:t>E would request cancellation of the Respondent’s Certificate of Public Convenience</w:t>
      </w:r>
      <w:r w:rsidR="00B701B4">
        <w:rPr>
          <w:sz w:val="24"/>
        </w:rPr>
        <w:t xml:space="preserve"> (Certificate)</w:t>
      </w:r>
      <w:r w:rsidR="003329C8">
        <w:rPr>
          <w:sz w:val="24"/>
        </w:rPr>
        <w:t>.</w:t>
      </w:r>
    </w:p>
    <w:p w14:paraId="40E9BF84" w14:textId="77777777" w:rsidR="003329C8" w:rsidRDefault="003329C8">
      <w:pPr>
        <w:rPr>
          <w:sz w:val="24"/>
        </w:rPr>
      </w:pPr>
    </w:p>
    <w:p w14:paraId="626507A3" w14:textId="77777777" w:rsidR="003329C8" w:rsidRDefault="003329C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B5C78">
        <w:rPr>
          <w:sz w:val="24"/>
        </w:rPr>
        <w:t xml:space="preserve">Because the Respondent did not reply within the twenty-day response period, </w:t>
      </w:r>
      <w:r>
        <w:rPr>
          <w:sz w:val="24"/>
        </w:rPr>
        <w:t xml:space="preserve">I&amp;E filed a Motion for Default Judgment </w:t>
      </w:r>
      <w:r w:rsidR="006F3C54">
        <w:rPr>
          <w:sz w:val="24"/>
        </w:rPr>
        <w:t xml:space="preserve">(Motion) </w:t>
      </w:r>
      <w:r>
        <w:rPr>
          <w:sz w:val="24"/>
        </w:rPr>
        <w:t>on August 25, 2016.</w:t>
      </w:r>
      <w:r w:rsidR="00B701B4">
        <w:rPr>
          <w:sz w:val="24"/>
        </w:rPr>
        <w:t xml:space="preserve">  In the Motion, I&amp;E </w:t>
      </w:r>
      <w:r w:rsidR="006F3C54">
        <w:rPr>
          <w:sz w:val="24"/>
        </w:rPr>
        <w:t xml:space="preserve">is </w:t>
      </w:r>
      <w:r w:rsidR="00B701B4">
        <w:rPr>
          <w:sz w:val="24"/>
        </w:rPr>
        <w:t>request</w:t>
      </w:r>
      <w:r w:rsidR="006F3C54">
        <w:rPr>
          <w:sz w:val="24"/>
        </w:rPr>
        <w:t xml:space="preserve">ing </w:t>
      </w:r>
      <w:r w:rsidR="00B701B4">
        <w:rPr>
          <w:sz w:val="24"/>
        </w:rPr>
        <w:t xml:space="preserve">that the Commission </w:t>
      </w:r>
      <w:r w:rsidR="006F3C54">
        <w:rPr>
          <w:sz w:val="24"/>
        </w:rPr>
        <w:t xml:space="preserve">issue an order that </w:t>
      </w:r>
      <w:r w:rsidR="00B701B4">
        <w:rPr>
          <w:sz w:val="24"/>
        </w:rPr>
        <w:t>direct</w:t>
      </w:r>
      <w:r w:rsidR="006F3C54">
        <w:rPr>
          <w:sz w:val="24"/>
        </w:rPr>
        <w:t>s</w:t>
      </w:r>
      <w:r w:rsidR="00B701B4">
        <w:rPr>
          <w:sz w:val="24"/>
        </w:rPr>
        <w:t xml:space="preserve"> the Respondent to pay its outstanding assessment of $800 and the requested civil penalty of $200 within thirty days</w:t>
      </w:r>
      <w:r w:rsidR="006F3C54">
        <w:rPr>
          <w:sz w:val="24"/>
        </w:rPr>
        <w:t>.  If North Heidelberg does not pay the civil penalty within thirty days, I&amp;E further requests that the Respondent’s Certificate be cancelled, and the matter be referred to the Pennsylvania Office of Attorney General for collection of the outstanding assessment and civil penalty.</w:t>
      </w:r>
      <w:r w:rsidR="00B701B4">
        <w:rPr>
          <w:sz w:val="24"/>
        </w:rPr>
        <w:t xml:space="preserve">  The Motion for Default Judgment is currently pending before the Commission.</w:t>
      </w:r>
    </w:p>
    <w:p w14:paraId="58E2EC81" w14:textId="77777777" w:rsidR="000D6A6F" w:rsidRDefault="000D6A6F">
      <w:pPr>
        <w:rPr>
          <w:sz w:val="24"/>
        </w:rPr>
      </w:pPr>
    </w:p>
    <w:p w14:paraId="1497E71C" w14:textId="77777777" w:rsidR="00FF3279" w:rsidRDefault="000E30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01B4">
        <w:rPr>
          <w:sz w:val="24"/>
        </w:rPr>
        <w:t xml:space="preserve">In the proceeding at Docket No. </w:t>
      </w:r>
      <w:r w:rsidR="00EC15C1">
        <w:rPr>
          <w:sz w:val="24"/>
        </w:rPr>
        <w:t>P</w:t>
      </w:r>
      <w:r w:rsidR="00B701B4">
        <w:rPr>
          <w:sz w:val="24"/>
        </w:rPr>
        <w:t>-201</w:t>
      </w:r>
      <w:r w:rsidR="00EC15C1">
        <w:rPr>
          <w:sz w:val="24"/>
        </w:rPr>
        <w:t>7</w:t>
      </w:r>
      <w:r w:rsidR="00B701B4">
        <w:rPr>
          <w:sz w:val="24"/>
        </w:rPr>
        <w:t>-2</w:t>
      </w:r>
      <w:r w:rsidR="00EC15C1">
        <w:rPr>
          <w:sz w:val="24"/>
        </w:rPr>
        <w:t>5</w:t>
      </w:r>
      <w:r w:rsidR="00B701B4">
        <w:rPr>
          <w:sz w:val="24"/>
        </w:rPr>
        <w:t>9</w:t>
      </w:r>
      <w:r w:rsidR="00EC15C1">
        <w:rPr>
          <w:sz w:val="24"/>
        </w:rPr>
        <w:t>4688</w:t>
      </w:r>
      <w:r w:rsidR="00B701B4">
        <w:rPr>
          <w:sz w:val="24"/>
        </w:rPr>
        <w:t>, o</w:t>
      </w:r>
      <w:r>
        <w:rPr>
          <w:sz w:val="24"/>
        </w:rPr>
        <w:t>n March 21,</w:t>
      </w:r>
      <w:r w:rsidR="005714AA">
        <w:rPr>
          <w:sz w:val="24"/>
        </w:rPr>
        <w:t xml:space="preserve"> 2017, I&amp;E </w:t>
      </w:r>
      <w:r w:rsidR="00B701B4">
        <w:rPr>
          <w:sz w:val="24"/>
        </w:rPr>
        <w:t>filed a P</w:t>
      </w:r>
      <w:r w:rsidR="005714AA">
        <w:rPr>
          <w:sz w:val="24"/>
        </w:rPr>
        <w:t xml:space="preserve">etition for the issuance of an </w:t>
      </w:r>
      <w:r w:rsidR="00B701B4">
        <w:rPr>
          <w:i/>
          <w:sz w:val="24"/>
        </w:rPr>
        <w:t>E</w:t>
      </w:r>
      <w:r w:rsidR="005714AA">
        <w:rPr>
          <w:i/>
          <w:sz w:val="24"/>
        </w:rPr>
        <w:t xml:space="preserve">x </w:t>
      </w:r>
      <w:proofErr w:type="spellStart"/>
      <w:r w:rsidR="00B701B4">
        <w:rPr>
          <w:i/>
          <w:sz w:val="24"/>
        </w:rPr>
        <w:t>P</w:t>
      </w:r>
      <w:r w:rsidR="005714AA">
        <w:rPr>
          <w:i/>
          <w:sz w:val="24"/>
        </w:rPr>
        <w:t>arte</w:t>
      </w:r>
      <w:proofErr w:type="spellEnd"/>
      <w:r w:rsidR="005714AA">
        <w:rPr>
          <w:sz w:val="24"/>
        </w:rPr>
        <w:t xml:space="preserve"> </w:t>
      </w:r>
      <w:r w:rsidR="00D22F34">
        <w:rPr>
          <w:sz w:val="24"/>
        </w:rPr>
        <w:t>E</w:t>
      </w:r>
      <w:r w:rsidR="005714AA">
        <w:rPr>
          <w:sz w:val="24"/>
        </w:rPr>
        <w:t xml:space="preserve">mergency </w:t>
      </w:r>
      <w:r w:rsidR="00D22F34">
        <w:rPr>
          <w:sz w:val="24"/>
        </w:rPr>
        <w:t>O</w:t>
      </w:r>
      <w:r w:rsidR="005714AA">
        <w:rPr>
          <w:sz w:val="24"/>
        </w:rPr>
        <w:t xml:space="preserve">rder </w:t>
      </w:r>
      <w:r w:rsidR="00B701B4">
        <w:rPr>
          <w:sz w:val="24"/>
        </w:rPr>
        <w:t xml:space="preserve">to enjoin </w:t>
      </w:r>
      <w:r w:rsidR="005714AA">
        <w:rPr>
          <w:sz w:val="24"/>
        </w:rPr>
        <w:t>Metropolitan Edison Company (Met-Ed) from terminating ele</w:t>
      </w:r>
      <w:r w:rsidR="006B2726">
        <w:rPr>
          <w:sz w:val="24"/>
        </w:rPr>
        <w:t xml:space="preserve">ctric service to the Respondent and </w:t>
      </w:r>
      <w:r w:rsidR="002961DC">
        <w:rPr>
          <w:sz w:val="24"/>
        </w:rPr>
        <w:t>to</w:t>
      </w:r>
      <w:r w:rsidR="005714AA">
        <w:rPr>
          <w:sz w:val="24"/>
        </w:rPr>
        <w:t xml:space="preserve"> direct the Respondent to cease withholding current and past due electric service payments to </w:t>
      </w:r>
      <w:proofErr w:type="spellStart"/>
      <w:r w:rsidR="005714AA">
        <w:rPr>
          <w:sz w:val="24"/>
        </w:rPr>
        <w:t>Met</w:t>
      </w:r>
      <w:proofErr w:type="spellEnd"/>
      <w:r w:rsidR="005714AA">
        <w:rPr>
          <w:sz w:val="24"/>
        </w:rPr>
        <w:t>-Ed</w:t>
      </w:r>
      <w:r w:rsidR="002961DC">
        <w:rPr>
          <w:sz w:val="24"/>
        </w:rPr>
        <w:t xml:space="preserve"> </w:t>
      </w:r>
    </w:p>
    <w:p w14:paraId="2289D346" w14:textId="77777777" w:rsidR="00FF3279" w:rsidRDefault="00FF3279">
      <w:pPr>
        <w:rPr>
          <w:sz w:val="24"/>
        </w:rPr>
      </w:pPr>
    </w:p>
    <w:p w14:paraId="1C7ADD74" w14:textId="77777777" w:rsidR="00FF3279" w:rsidRDefault="00FF3279">
      <w:pPr>
        <w:rPr>
          <w:sz w:val="24"/>
        </w:rPr>
      </w:pPr>
    </w:p>
    <w:p w14:paraId="308E6762" w14:textId="77777777" w:rsidR="00FF3279" w:rsidRDefault="00FF3279">
      <w:pPr>
        <w:rPr>
          <w:sz w:val="24"/>
        </w:rPr>
      </w:pPr>
    </w:p>
    <w:p w14:paraId="6220F5F0" w14:textId="77777777" w:rsidR="00FF3279" w:rsidRDefault="00FF3279">
      <w:pPr>
        <w:rPr>
          <w:sz w:val="24"/>
        </w:rPr>
      </w:pPr>
    </w:p>
    <w:p w14:paraId="2587E223" w14:textId="77777777" w:rsidR="00FF3279" w:rsidRDefault="00FF3279">
      <w:pPr>
        <w:rPr>
          <w:sz w:val="24"/>
        </w:rPr>
      </w:pPr>
    </w:p>
    <w:p w14:paraId="68FB2C68" w14:textId="77777777" w:rsidR="00D22F34" w:rsidRDefault="002961DC">
      <w:pPr>
        <w:rPr>
          <w:sz w:val="24"/>
        </w:rPr>
      </w:pPr>
      <w:r>
        <w:rPr>
          <w:sz w:val="24"/>
        </w:rPr>
        <w:t>(Petition)</w:t>
      </w:r>
      <w:r w:rsidR="005714AA">
        <w:rPr>
          <w:sz w:val="24"/>
        </w:rPr>
        <w:t xml:space="preserve">.  </w:t>
      </w:r>
      <w:r w:rsidR="006F3C54">
        <w:rPr>
          <w:sz w:val="24"/>
        </w:rPr>
        <w:t>On March 22, 2017, the Commission issued a</w:t>
      </w:r>
      <w:r>
        <w:rPr>
          <w:sz w:val="24"/>
        </w:rPr>
        <w:t xml:space="preserve">n </w:t>
      </w:r>
      <w:bookmarkStart w:id="0" w:name="_Hlk513487314"/>
      <w:r>
        <w:rPr>
          <w:i/>
          <w:sz w:val="24"/>
        </w:rPr>
        <w:t xml:space="preserve">Ex </w:t>
      </w:r>
      <w:proofErr w:type="spellStart"/>
      <w:r>
        <w:rPr>
          <w:i/>
          <w:sz w:val="24"/>
        </w:rPr>
        <w:t>Parte</w:t>
      </w:r>
      <w:proofErr w:type="spellEnd"/>
      <w:r>
        <w:rPr>
          <w:i/>
          <w:sz w:val="24"/>
        </w:rPr>
        <w:t xml:space="preserve"> </w:t>
      </w:r>
      <w:r w:rsidR="00D22F34">
        <w:rPr>
          <w:sz w:val="24"/>
        </w:rPr>
        <w:t>Emergency Order</w:t>
      </w:r>
      <w:r w:rsidR="006F3C54">
        <w:rPr>
          <w:sz w:val="24"/>
        </w:rPr>
        <w:t xml:space="preserve"> </w:t>
      </w:r>
      <w:bookmarkEnd w:id="0"/>
      <w:r w:rsidR="006F3C54">
        <w:rPr>
          <w:sz w:val="24"/>
        </w:rPr>
        <w:t>that granted the Petition</w:t>
      </w:r>
      <w:r w:rsidR="006B2726">
        <w:rPr>
          <w:sz w:val="24"/>
        </w:rPr>
        <w:t>,</w:t>
      </w:r>
      <w:r w:rsidR="006F3C54">
        <w:rPr>
          <w:sz w:val="24"/>
        </w:rPr>
        <w:t xml:space="preserve"> as modified</w:t>
      </w:r>
      <w:r w:rsidR="006B2726">
        <w:rPr>
          <w:sz w:val="24"/>
        </w:rPr>
        <w:t>,</w:t>
      </w:r>
      <w:r w:rsidR="006F3C54">
        <w:rPr>
          <w:sz w:val="24"/>
        </w:rPr>
        <w:t xml:space="preserve"> to ensure continued wastewater service from the Respondent to its customers.  The </w:t>
      </w:r>
      <w:r w:rsidR="006F3C54">
        <w:rPr>
          <w:i/>
          <w:sz w:val="24"/>
        </w:rPr>
        <w:t xml:space="preserve">Ex </w:t>
      </w:r>
      <w:proofErr w:type="spellStart"/>
      <w:r w:rsidR="006F3C54">
        <w:rPr>
          <w:i/>
          <w:sz w:val="24"/>
        </w:rPr>
        <w:t>Parte</w:t>
      </w:r>
      <w:proofErr w:type="spellEnd"/>
      <w:r w:rsidR="006F3C54">
        <w:rPr>
          <w:i/>
          <w:sz w:val="24"/>
        </w:rPr>
        <w:t xml:space="preserve"> </w:t>
      </w:r>
      <w:r w:rsidR="006F3C54">
        <w:rPr>
          <w:sz w:val="24"/>
        </w:rPr>
        <w:t xml:space="preserve">Emergency Order </w:t>
      </w:r>
      <w:r w:rsidR="00D22F34">
        <w:rPr>
          <w:sz w:val="24"/>
        </w:rPr>
        <w:t>was ratified on April 6, 2017</w:t>
      </w:r>
      <w:r w:rsidR="006F3C54">
        <w:rPr>
          <w:sz w:val="24"/>
        </w:rPr>
        <w:t>.</w:t>
      </w:r>
    </w:p>
    <w:p w14:paraId="06E38DDE" w14:textId="77777777" w:rsidR="006F3C54" w:rsidRDefault="006F3C54">
      <w:pPr>
        <w:rPr>
          <w:sz w:val="24"/>
        </w:rPr>
      </w:pPr>
    </w:p>
    <w:p w14:paraId="62C62954" w14:textId="77777777" w:rsidR="00D22F34" w:rsidRDefault="00D22F3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By Order entered October 5, 2017,</w:t>
      </w:r>
      <w:r w:rsidR="00EC15C1">
        <w:rPr>
          <w:sz w:val="24"/>
        </w:rPr>
        <w:t xml:space="preserve"> at Docket No. P-2017-2594688,</w:t>
      </w:r>
      <w:r w:rsidRPr="00D22F34">
        <w:t xml:space="preserve"> </w:t>
      </w:r>
      <w:r>
        <w:rPr>
          <w:sz w:val="24"/>
        </w:rPr>
        <w:t xml:space="preserve">the </w:t>
      </w:r>
      <w:r w:rsidR="002961DC">
        <w:rPr>
          <w:sz w:val="24"/>
        </w:rPr>
        <w:t xml:space="preserve">Commission, </w:t>
      </w:r>
      <w:r w:rsidR="002961DC">
        <w:rPr>
          <w:i/>
          <w:sz w:val="24"/>
        </w:rPr>
        <w:t xml:space="preserve">inter alia, </w:t>
      </w:r>
      <w:r w:rsidR="002961DC">
        <w:rPr>
          <w:sz w:val="24"/>
        </w:rPr>
        <w:t xml:space="preserve">directed the </w:t>
      </w:r>
      <w:r>
        <w:rPr>
          <w:sz w:val="24"/>
        </w:rPr>
        <w:t xml:space="preserve">Respondent </w:t>
      </w:r>
      <w:r w:rsidRPr="00D22F34">
        <w:rPr>
          <w:sz w:val="24"/>
        </w:rPr>
        <w:t xml:space="preserve">to pay a lump-sum amount of $61,337 in arrearage owed to </w:t>
      </w:r>
      <w:proofErr w:type="spellStart"/>
      <w:r w:rsidR="003A05A8">
        <w:rPr>
          <w:sz w:val="24"/>
        </w:rPr>
        <w:t>M</w:t>
      </w:r>
      <w:r>
        <w:rPr>
          <w:sz w:val="24"/>
        </w:rPr>
        <w:t>et</w:t>
      </w:r>
      <w:proofErr w:type="spellEnd"/>
      <w:r>
        <w:rPr>
          <w:sz w:val="24"/>
        </w:rPr>
        <w:t>-Ed</w:t>
      </w:r>
      <w:r w:rsidRPr="00D22F34">
        <w:rPr>
          <w:sz w:val="24"/>
        </w:rPr>
        <w:t xml:space="preserve"> within sixty days of </w:t>
      </w:r>
      <w:r w:rsidR="002961DC">
        <w:rPr>
          <w:sz w:val="24"/>
        </w:rPr>
        <w:t xml:space="preserve">the </w:t>
      </w:r>
      <w:r w:rsidRPr="00D22F34">
        <w:rPr>
          <w:sz w:val="24"/>
        </w:rPr>
        <w:t xml:space="preserve">entry </w:t>
      </w:r>
      <w:r w:rsidR="002961DC">
        <w:rPr>
          <w:sz w:val="24"/>
        </w:rPr>
        <w:t xml:space="preserve">date </w:t>
      </w:r>
      <w:r w:rsidRPr="00D22F34">
        <w:rPr>
          <w:sz w:val="24"/>
        </w:rPr>
        <w:t xml:space="preserve">of </w:t>
      </w:r>
      <w:r w:rsidR="003A05A8">
        <w:rPr>
          <w:sz w:val="24"/>
        </w:rPr>
        <w:t>the</w:t>
      </w:r>
      <w:r w:rsidRPr="00D22F34">
        <w:rPr>
          <w:sz w:val="24"/>
        </w:rPr>
        <w:t xml:space="preserve"> Order.</w:t>
      </w:r>
      <w:r>
        <w:rPr>
          <w:sz w:val="24"/>
        </w:rPr>
        <w:t xml:space="preserve">  </w:t>
      </w:r>
      <w:r w:rsidR="003A05A8">
        <w:rPr>
          <w:sz w:val="24"/>
        </w:rPr>
        <w:t xml:space="preserve">On December 11, 2017, </w:t>
      </w:r>
      <w:r>
        <w:rPr>
          <w:sz w:val="24"/>
        </w:rPr>
        <w:t>Met-Ed</w:t>
      </w:r>
      <w:r w:rsidR="003A05A8">
        <w:rPr>
          <w:sz w:val="24"/>
        </w:rPr>
        <w:t xml:space="preserve"> notified the Commission that the Respondent failed to make a timely payment to </w:t>
      </w:r>
      <w:proofErr w:type="spellStart"/>
      <w:r w:rsidR="003A05A8">
        <w:rPr>
          <w:sz w:val="24"/>
        </w:rPr>
        <w:t>Met</w:t>
      </w:r>
      <w:proofErr w:type="spellEnd"/>
      <w:r w:rsidR="003A05A8">
        <w:rPr>
          <w:sz w:val="24"/>
        </w:rPr>
        <w:t>-Ed.</w:t>
      </w:r>
    </w:p>
    <w:p w14:paraId="672C77BF" w14:textId="77777777" w:rsidR="00AD45D4" w:rsidRDefault="00AD45D4">
      <w:pPr>
        <w:rPr>
          <w:sz w:val="24"/>
        </w:rPr>
      </w:pPr>
    </w:p>
    <w:p w14:paraId="2FFABA5F" w14:textId="77777777" w:rsidR="00AD45D4" w:rsidRDefault="00AD45D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961DC">
        <w:rPr>
          <w:sz w:val="24"/>
        </w:rPr>
        <w:t>Accordingly, b</w:t>
      </w:r>
      <w:r>
        <w:rPr>
          <w:sz w:val="24"/>
        </w:rPr>
        <w:t xml:space="preserve">y Order entered February </w:t>
      </w:r>
      <w:r w:rsidR="002961DC">
        <w:rPr>
          <w:sz w:val="24"/>
        </w:rPr>
        <w:t>9</w:t>
      </w:r>
      <w:r>
        <w:rPr>
          <w:sz w:val="24"/>
        </w:rPr>
        <w:t xml:space="preserve">, 2018, </w:t>
      </w:r>
      <w:r w:rsidR="00EC15C1">
        <w:rPr>
          <w:sz w:val="24"/>
        </w:rPr>
        <w:t xml:space="preserve">at Docket No. M-2018-2645983, </w:t>
      </w:r>
      <w:r>
        <w:rPr>
          <w:sz w:val="24"/>
        </w:rPr>
        <w:t>the Commission initiated a proceeding</w:t>
      </w:r>
      <w:r w:rsidR="006B2726">
        <w:rPr>
          <w:sz w:val="24"/>
        </w:rPr>
        <w:t xml:space="preserve"> involving the Respondent</w:t>
      </w:r>
      <w:r>
        <w:rPr>
          <w:sz w:val="24"/>
        </w:rPr>
        <w:t xml:space="preserve"> pursuant to 66 Pa. C.S. § 529, including the appointment of a receiver </w:t>
      </w:r>
      <w:r w:rsidR="006B2726">
        <w:rPr>
          <w:sz w:val="24"/>
        </w:rPr>
        <w:t xml:space="preserve">for North Heidelberg </w:t>
      </w:r>
      <w:r>
        <w:rPr>
          <w:sz w:val="24"/>
        </w:rPr>
        <w:t>under Section 529(g).</w:t>
      </w:r>
      <w:r w:rsidR="002961DC">
        <w:rPr>
          <w:sz w:val="24"/>
        </w:rPr>
        <w:t xml:space="preserve">  In that Order, the Commission stated that </w:t>
      </w:r>
      <w:proofErr w:type="gramStart"/>
      <w:r w:rsidR="002961DC">
        <w:rPr>
          <w:sz w:val="24"/>
        </w:rPr>
        <w:t>a number of</w:t>
      </w:r>
      <w:proofErr w:type="gramEnd"/>
      <w:r w:rsidR="002961DC">
        <w:rPr>
          <w:sz w:val="24"/>
        </w:rPr>
        <w:t xml:space="preserve"> issues called into question </w:t>
      </w:r>
      <w:r w:rsidR="006B2726">
        <w:rPr>
          <w:sz w:val="24"/>
        </w:rPr>
        <w:t xml:space="preserve">North Heidelberg’s </w:t>
      </w:r>
      <w:r w:rsidR="002961DC">
        <w:rPr>
          <w:sz w:val="24"/>
        </w:rPr>
        <w:t xml:space="preserve">ability to operate its wastewater system, including </w:t>
      </w:r>
      <w:r w:rsidR="006B2726">
        <w:rPr>
          <w:sz w:val="24"/>
        </w:rPr>
        <w:t>its</w:t>
      </w:r>
      <w:r w:rsidR="002961DC">
        <w:rPr>
          <w:sz w:val="24"/>
        </w:rPr>
        <w:t xml:space="preserve"> failure to pay its Commission assessments.</w:t>
      </w:r>
    </w:p>
    <w:p w14:paraId="40CC9C23" w14:textId="77777777" w:rsidR="002961DC" w:rsidRDefault="002961DC">
      <w:pPr>
        <w:rPr>
          <w:sz w:val="24"/>
        </w:rPr>
      </w:pPr>
    </w:p>
    <w:p w14:paraId="048ECB74" w14:textId="77777777" w:rsidR="002961DC" w:rsidRDefault="002961DC" w:rsidP="002961D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proceedings at Docket No. C-2016-2547755 and M-2018-2645983 involve common questions of law and fact regarding the Respondent’s compliance with its assessment payments.  Under the circumstances, we find it appropriate to consolidate the proceeding at Docket No. C-2016-2547755 with the proceeding at Docket No. M-2018-2645983, pursuant to 52 Pa. Code § 5.81(a), for the purpose of addressing the assessment issues.</w:t>
      </w:r>
    </w:p>
    <w:p w14:paraId="751FC15B" w14:textId="77777777" w:rsidR="00D22F34" w:rsidRDefault="00D22F34">
      <w:pPr>
        <w:rPr>
          <w:sz w:val="24"/>
        </w:rPr>
      </w:pPr>
    </w:p>
    <w:p w14:paraId="5E49C44E" w14:textId="28716EBA" w:rsidR="001E24AD" w:rsidRPr="007531D2" w:rsidRDefault="00064D73" w:rsidP="005F54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56CA8" w:rsidRPr="007531D2">
        <w:rPr>
          <w:sz w:val="24"/>
        </w:rPr>
        <w:t xml:space="preserve">Should you have any questions, you may contact the Office of Special Assistants, </w:t>
      </w:r>
      <w:r w:rsidR="0022433B">
        <w:rPr>
          <w:sz w:val="24"/>
        </w:rPr>
        <w:t xml:space="preserve">Bert Marinko, Acting </w:t>
      </w:r>
      <w:r w:rsidR="00E56CA8" w:rsidRPr="007531D2">
        <w:rPr>
          <w:sz w:val="24"/>
        </w:rPr>
        <w:t xml:space="preserve">Director.  Please direct your inquiry to </w:t>
      </w:r>
      <w:r w:rsidR="00625DE6">
        <w:rPr>
          <w:sz w:val="24"/>
        </w:rPr>
        <w:t>Cindi Muriceak</w:t>
      </w:r>
      <w:r w:rsidR="00E56CA8" w:rsidRPr="007531D2">
        <w:rPr>
          <w:sz w:val="24"/>
        </w:rPr>
        <w:t xml:space="preserve">, at (717) </w:t>
      </w:r>
      <w:r w:rsidR="00625DE6">
        <w:rPr>
          <w:sz w:val="24"/>
        </w:rPr>
        <w:t>783</w:t>
      </w:r>
      <w:r w:rsidR="00E56CA8" w:rsidRPr="007531D2">
        <w:rPr>
          <w:sz w:val="24"/>
        </w:rPr>
        <w:t>-</w:t>
      </w:r>
      <w:r w:rsidR="00625DE6">
        <w:rPr>
          <w:sz w:val="24"/>
        </w:rPr>
        <w:t>5155</w:t>
      </w:r>
      <w:r w:rsidR="00E56CA8" w:rsidRPr="007531D2">
        <w:rPr>
          <w:sz w:val="24"/>
        </w:rPr>
        <w:t xml:space="preserve"> o</w:t>
      </w:r>
      <w:r w:rsidR="00625DE6">
        <w:rPr>
          <w:sz w:val="24"/>
        </w:rPr>
        <w:t>r cmuriceak@pa.gov</w:t>
      </w:r>
      <w:r w:rsidR="001E24AD" w:rsidRPr="007531D2">
        <w:rPr>
          <w:sz w:val="24"/>
        </w:rPr>
        <w:t>.</w:t>
      </w:r>
      <w:r w:rsidR="00BA1639" w:rsidRPr="00BA1639">
        <w:rPr>
          <w:noProof/>
        </w:rPr>
        <w:t xml:space="preserve"> </w:t>
      </w:r>
    </w:p>
    <w:p w14:paraId="4EFCD51A" w14:textId="77777777" w:rsidR="005F5480" w:rsidRPr="00A16AEA" w:rsidRDefault="005F5480">
      <w:pPr>
        <w:rPr>
          <w:sz w:val="24"/>
        </w:rPr>
      </w:pPr>
    </w:p>
    <w:p w14:paraId="54882E72" w14:textId="22B1A0A7" w:rsidR="0011460D" w:rsidRPr="00A16AEA" w:rsidRDefault="00BA1639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9F2754" wp14:editId="34573C84">
            <wp:simplePos x="0" y="0"/>
            <wp:positionH relativeFrom="column">
              <wp:posOffset>3648075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032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F93032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6A4367">
        <w:rPr>
          <w:sz w:val="24"/>
        </w:rPr>
        <w:t>Very truly yours,</w:t>
      </w:r>
    </w:p>
    <w:p w14:paraId="076AA9C1" w14:textId="77777777" w:rsidR="0011460D" w:rsidRPr="00A16AEA" w:rsidRDefault="0011460D">
      <w:pPr>
        <w:rPr>
          <w:sz w:val="24"/>
        </w:rPr>
      </w:pPr>
    </w:p>
    <w:p w14:paraId="21FEF887" w14:textId="77777777" w:rsidR="00BE47E4" w:rsidRPr="00A16AEA" w:rsidRDefault="00BE47E4"/>
    <w:p w14:paraId="4D911B59" w14:textId="77777777" w:rsidR="0011460D" w:rsidRPr="00A16AEA" w:rsidRDefault="0011460D">
      <w:pPr>
        <w:rPr>
          <w:sz w:val="24"/>
        </w:rPr>
      </w:pPr>
      <w:bookmarkStart w:id="1" w:name="_GoBack"/>
      <w:bookmarkEnd w:id="1"/>
    </w:p>
    <w:p w14:paraId="52D30A09" w14:textId="77777777"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BE47E4" w:rsidRPr="00A16AEA">
        <w:rPr>
          <w:sz w:val="24"/>
        </w:rPr>
        <w:t>Rosemary Chiavetta</w:t>
      </w:r>
    </w:p>
    <w:p w14:paraId="0534D9E8" w14:textId="77777777"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  <w:t>Secretary</w:t>
      </w:r>
    </w:p>
    <w:sectPr w:rsidR="0011460D" w:rsidRPr="00A16AEA" w:rsidSect="00B21BE1">
      <w:footerReference w:type="default" r:id="rId10"/>
      <w:pgSz w:w="12240" w:h="15840"/>
      <w:pgMar w:top="504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89506" w14:textId="77777777" w:rsidR="00580447" w:rsidRDefault="00580447" w:rsidP="00FF3279">
      <w:r>
        <w:separator/>
      </w:r>
    </w:p>
  </w:endnote>
  <w:endnote w:type="continuationSeparator" w:id="0">
    <w:p w14:paraId="5D544247" w14:textId="77777777" w:rsidR="00580447" w:rsidRDefault="00580447" w:rsidP="00FF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238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4CA9F" w14:textId="77777777" w:rsidR="00FF3279" w:rsidRDefault="00FF32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B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E08DB" w14:textId="77777777" w:rsidR="00FF3279" w:rsidRDefault="00FF3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E62B" w14:textId="77777777" w:rsidR="00580447" w:rsidRDefault="00580447" w:rsidP="00FF3279">
      <w:r>
        <w:separator/>
      </w:r>
    </w:p>
  </w:footnote>
  <w:footnote w:type="continuationSeparator" w:id="0">
    <w:p w14:paraId="0025F94B" w14:textId="77777777" w:rsidR="00580447" w:rsidRDefault="00580447" w:rsidP="00FF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0D"/>
    <w:rsid w:val="00064D73"/>
    <w:rsid w:val="0006563E"/>
    <w:rsid w:val="000977A9"/>
    <w:rsid w:val="000A1BFC"/>
    <w:rsid w:val="000A2F52"/>
    <w:rsid w:val="000A7F81"/>
    <w:rsid w:val="000C5A19"/>
    <w:rsid w:val="000D6A6F"/>
    <w:rsid w:val="000E3030"/>
    <w:rsid w:val="0011460D"/>
    <w:rsid w:val="00191B32"/>
    <w:rsid w:val="00191EDE"/>
    <w:rsid w:val="001B641C"/>
    <w:rsid w:val="001D56D3"/>
    <w:rsid w:val="001E24AD"/>
    <w:rsid w:val="001E4071"/>
    <w:rsid w:val="001F1271"/>
    <w:rsid w:val="0022433B"/>
    <w:rsid w:val="002254D1"/>
    <w:rsid w:val="00282BFD"/>
    <w:rsid w:val="002961DC"/>
    <w:rsid w:val="00297A8C"/>
    <w:rsid w:val="002C228B"/>
    <w:rsid w:val="002C49F9"/>
    <w:rsid w:val="002F74F5"/>
    <w:rsid w:val="00301F89"/>
    <w:rsid w:val="003329C8"/>
    <w:rsid w:val="003A05A8"/>
    <w:rsid w:val="003C0616"/>
    <w:rsid w:val="003D07F4"/>
    <w:rsid w:val="00424CF3"/>
    <w:rsid w:val="00437869"/>
    <w:rsid w:val="00462E0A"/>
    <w:rsid w:val="0048009C"/>
    <w:rsid w:val="00493B4A"/>
    <w:rsid w:val="004C7A2B"/>
    <w:rsid w:val="00535530"/>
    <w:rsid w:val="005714AA"/>
    <w:rsid w:val="0057392D"/>
    <w:rsid w:val="00580447"/>
    <w:rsid w:val="005F5480"/>
    <w:rsid w:val="005F55A1"/>
    <w:rsid w:val="00625DE6"/>
    <w:rsid w:val="00633B04"/>
    <w:rsid w:val="006A4367"/>
    <w:rsid w:val="006A47CB"/>
    <w:rsid w:val="006A60A4"/>
    <w:rsid w:val="006B2726"/>
    <w:rsid w:val="006C5BF0"/>
    <w:rsid w:val="006F3C54"/>
    <w:rsid w:val="007056AB"/>
    <w:rsid w:val="00723B65"/>
    <w:rsid w:val="007277CA"/>
    <w:rsid w:val="007531D2"/>
    <w:rsid w:val="007C7187"/>
    <w:rsid w:val="00880C68"/>
    <w:rsid w:val="00880F3D"/>
    <w:rsid w:val="00893015"/>
    <w:rsid w:val="00894C07"/>
    <w:rsid w:val="008B5C78"/>
    <w:rsid w:val="009F5936"/>
    <w:rsid w:val="00A06079"/>
    <w:rsid w:val="00A16AEA"/>
    <w:rsid w:val="00A60630"/>
    <w:rsid w:val="00A64738"/>
    <w:rsid w:val="00A76CE6"/>
    <w:rsid w:val="00AC7360"/>
    <w:rsid w:val="00AD45D4"/>
    <w:rsid w:val="00AE5456"/>
    <w:rsid w:val="00B06703"/>
    <w:rsid w:val="00B21BE1"/>
    <w:rsid w:val="00B521CA"/>
    <w:rsid w:val="00B701B4"/>
    <w:rsid w:val="00B86B69"/>
    <w:rsid w:val="00BA1639"/>
    <w:rsid w:val="00BC2B21"/>
    <w:rsid w:val="00BE4638"/>
    <w:rsid w:val="00BE47E4"/>
    <w:rsid w:val="00C1262A"/>
    <w:rsid w:val="00C51CAC"/>
    <w:rsid w:val="00C6174A"/>
    <w:rsid w:val="00C66B56"/>
    <w:rsid w:val="00CE670C"/>
    <w:rsid w:val="00D03848"/>
    <w:rsid w:val="00D14D7F"/>
    <w:rsid w:val="00D22F34"/>
    <w:rsid w:val="00D4144A"/>
    <w:rsid w:val="00DA4DCA"/>
    <w:rsid w:val="00DC1EF5"/>
    <w:rsid w:val="00DD4E5E"/>
    <w:rsid w:val="00E56CA8"/>
    <w:rsid w:val="00EC15C1"/>
    <w:rsid w:val="00EE0F59"/>
    <w:rsid w:val="00EE72DD"/>
    <w:rsid w:val="00F040C7"/>
    <w:rsid w:val="00F24A60"/>
    <w:rsid w:val="00F847B1"/>
    <w:rsid w:val="00F93032"/>
    <w:rsid w:val="00FB534C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4D2A15"/>
  <w15:docId w15:val="{C6DF3293-4104-4315-BFAE-E0259120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6C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A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2961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61DC"/>
  </w:style>
  <w:style w:type="character" w:customStyle="1" w:styleId="CommentTextChar">
    <w:name w:val="Comment Text Char"/>
    <w:basedOn w:val="DefaultParagraphFont"/>
    <w:link w:val="CommentText"/>
    <w:semiHidden/>
    <w:rsid w:val="002961DC"/>
  </w:style>
  <w:style w:type="paragraph" w:styleId="BalloonText">
    <w:name w:val="Balloon Text"/>
    <w:basedOn w:val="Normal"/>
    <w:link w:val="BalloonTextChar"/>
    <w:semiHidden/>
    <w:unhideWhenUsed/>
    <w:rsid w:val="00296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61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3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3279"/>
  </w:style>
  <w:style w:type="paragraph" w:styleId="Footer">
    <w:name w:val="footer"/>
    <w:basedOn w:val="Normal"/>
    <w:link w:val="FooterChar"/>
    <w:uiPriority w:val="99"/>
    <w:unhideWhenUsed/>
    <w:rsid w:val="00FF3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228C-D579-47DB-B0A9-100AA4BD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eberzonsky@pa.gov</dc:creator>
  <cp:lastModifiedBy>Wagner, Nathan R</cp:lastModifiedBy>
  <cp:revision>3</cp:revision>
  <cp:lastPrinted>2010-04-26T12:55:00Z</cp:lastPrinted>
  <dcterms:created xsi:type="dcterms:W3CDTF">2018-05-22T22:07:00Z</dcterms:created>
  <dcterms:modified xsi:type="dcterms:W3CDTF">2018-05-23T11:35:00Z</dcterms:modified>
</cp:coreProperties>
</file>