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Default="000F1894" w:rsidP="000F1894">
      <w:pPr>
        <w:jc w:val="center"/>
        <w:rPr>
          <w:sz w:val="24"/>
          <w:szCs w:val="24"/>
        </w:rPr>
      </w:pPr>
    </w:p>
    <w:p w:rsidR="004777D0" w:rsidRDefault="004777D0" w:rsidP="000F1894">
      <w:pPr>
        <w:jc w:val="center"/>
        <w:rPr>
          <w:sz w:val="24"/>
          <w:szCs w:val="24"/>
        </w:rPr>
      </w:pPr>
    </w:p>
    <w:p w:rsidR="00903664" w:rsidRPr="00DE562E" w:rsidRDefault="00903664" w:rsidP="000F1894">
      <w:pPr>
        <w:jc w:val="center"/>
        <w:rPr>
          <w:sz w:val="24"/>
          <w:szCs w:val="24"/>
        </w:rPr>
      </w:pPr>
    </w:p>
    <w:p w:rsidR="000F1894" w:rsidRDefault="000E0EFD" w:rsidP="00903664">
      <w:pPr>
        <w:rPr>
          <w:sz w:val="24"/>
          <w:szCs w:val="24"/>
        </w:rPr>
      </w:pPr>
      <w:r>
        <w:rPr>
          <w:sz w:val="24"/>
          <w:szCs w:val="24"/>
        </w:rPr>
        <w:t>Silver Valley Apartments</w:t>
      </w:r>
      <w:r w:rsidR="000E4377">
        <w:rPr>
          <w:sz w:val="24"/>
          <w:szCs w:val="24"/>
        </w:rPr>
        <w:tab/>
      </w:r>
      <w:r w:rsidR="000E4377">
        <w:rPr>
          <w:sz w:val="24"/>
          <w:szCs w:val="24"/>
        </w:rPr>
        <w:tab/>
      </w:r>
      <w:r>
        <w:rPr>
          <w:sz w:val="24"/>
          <w:szCs w:val="24"/>
        </w:rPr>
        <w:tab/>
      </w:r>
      <w:r>
        <w:rPr>
          <w:sz w:val="24"/>
          <w:szCs w:val="24"/>
        </w:rPr>
        <w:tab/>
        <w:t>:</w:t>
      </w:r>
    </w:p>
    <w:p w:rsidR="00903664" w:rsidRDefault="00903664" w:rsidP="0090366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E0EFD" w:rsidRDefault="000E0EFD" w:rsidP="00903664">
      <w:pPr>
        <w:ind w:firstLine="720"/>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903664">
        <w:rPr>
          <w:sz w:val="24"/>
          <w:szCs w:val="24"/>
        </w:rPr>
        <w:tab/>
      </w:r>
      <w:r>
        <w:rPr>
          <w:sz w:val="24"/>
          <w:szCs w:val="24"/>
        </w:rPr>
        <w:t>C-201</w:t>
      </w:r>
      <w:r w:rsidR="000E4377">
        <w:rPr>
          <w:sz w:val="24"/>
          <w:szCs w:val="24"/>
        </w:rPr>
        <w:t>8</w:t>
      </w:r>
      <w:r>
        <w:rPr>
          <w:sz w:val="24"/>
          <w:szCs w:val="24"/>
        </w:rPr>
        <w:t>-</w:t>
      </w:r>
      <w:r w:rsidR="000E4377">
        <w:rPr>
          <w:sz w:val="24"/>
          <w:szCs w:val="24"/>
        </w:rPr>
        <w:t>3000758</w:t>
      </w:r>
    </w:p>
    <w:p w:rsidR="00903664" w:rsidRDefault="00903664" w:rsidP="00903664">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E0EFD" w:rsidRDefault="000E0EFD" w:rsidP="00903664">
      <w:pPr>
        <w:rPr>
          <w:sz w:val="24"/>
          <w:szCs w:val="24"/>
        </w:rPr>
      </w:pPr>
      <w:r>
        <w:rPr>
          <w:sz w:val="24"/>
          <w:szCs w:val="24"/>
        </w:rPr>
        <w:t>PPL Electric Utilities Corporation</w:t>
      </w:r>
      <w:r>
        <w:rPr>
          <w:sz w:val="24"/>
          <w:szCs w:val="24"/>
        </w:rPr>
        <w:tab/>
      </w:r>
      <w:r>
        <w:rPr>
          <w:sz w:val="24"/>
          <w:szCs w:val="24"/>
        </w:rPr>
        <w:tab/>
      </w:r>
      <w:r>
        <w:rPr>
          <w:sz w:val="24"/>
          <w:szCs w:val="24"/>
        </w:rPr>
        <w:tab/>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903664" w:rsidRDefault="00903664" w:rsidP="00E52738">
      <w:pPr>
        <w:tabs>
          <w:tab w:val="left" w:pos="-720"/>
        </w:tabs>
        <w:suppressAutoHyphens/>
        <w:rPr>
          <w:bCs/>
          <w:spacing w:val="-3"/>
          <w:sz w:val="24"/>
          <w:szCs w:val="24"/>
        </w:rPr>
      </w:pPr>
    </w:p>
    <w:p w:rsidR="00E52738" w:rsidRDefault="00E52738" w:rsidP="00E52738">
      <w:pPr>
        <w:tabs>
          <w:tab w:val="left" w:pos="-720"/>
        </w:tabs>
        <w:suppressAutoHyphens/>
        <w:rPr>
          <w:bCs/>
          <w:spacing w:val="-3"/>
          <w:sz w:val="24"/>
          <w:szCs w:val="24"/>
        </w:rPr>
      </w:pPr>
    </w:p>
    <w:p w:rsidR="000F1894" w:rsidRPr="00E514FA" w:rsidRDefault="000E4377" w:rsidP="000F1894">
      <w:pPr>
        <w:jc w:val="center"/>
        <w:rPr>
          <w:b/>
          <w:sz w:val="24"/>
          <w:szCs w:val="24"/>
        </w:rPr>
      </w:pPr>
      <w:r>
        <w:rPr>
          <w:b/>
          <w:caps/>
          <w:sz w:val="24"/>
          <w:szCs w:val="24"/>
          <w:u w:val="single"/>
        </w:rPr>
        <w:t>ORDER DENYING PRELIMINARY OBJECTIONS</w:t>
      </w:r>
    </w:p>
    <w:p w:rsidR="006A21C2" w:rsidRDefault="006A21C2" w:rsidP="000F1894">
      <w:pPr>
        <w:jc w:val="center"/>
        <w:rPr>
          <w:sz w:val="24"/>
          <w:szCs w:val="24"/>
        </w:rPr>
      </w:pPr>
    </w:p>
    <w:p w:rsidR="00903664" w:rsidRPr="006A21C2" w:rsidRDefault="00903664" w:rsidP="000F1894">
      <w:pPr>
        <w:jc w:val="center"/>
        <w:rPr>
          <w:sz w:val="24"/>
          <w:szCs w:val="24"/>
        </w:rPr>
      </w:pPr>
    </w:p>
    <w:p w:rsidR="00E81DFE" w:rsidRDefault="00E81DFE" w:rsidP="00E81DFE">
      <w:pPr>
        <w:spacing w:line="360" w:lineRule="auto"/>
        <w:ind w:firstLine="1440"/>
        <w:rPr>
          <w:sz w:val="24"/>
          <w:szCs w:val="24"/>
        </w:rPr>
      </w:pPr>
      <w:r>
        <w:rPr>
          <w:sz w:val="24"/>
          <w:szCs w:val="24"/>
        </w:rPr>
        <w:t xml:space="preserve">By way of procedural background, on October 22, 2015, Silver Valley Apartments/Mike Vianello filed a Formal Complaint at C-2015-2510119, alleging that PPL Electric Utilities Corporation (PPL) threatened to shut off Silver Valley Apartments/Mike Vianello’s electric service and that PPL had improperly changed Silver Valley Apartments’ account number.  The Commission sustained the Complaint in part and found that Sections 1406 and 1501 of the Pennsylvania Public Utility Code had been violated when Complainant’s service was terminated for a period of fifty-six days without post-change notice or opportunity to the ratepayer.  </w:t>
      </w:r>
      <w:r w:rsidR="00DD1E6F">
        <w:rPr>
          <w:sz w:val="24"/>
          <w:szCs w:val="24"/>
        </w:rPr>
        <w:t xml:space="preserve">66 Pa. C.S. §§ 1406 and 1501.  </w:t>
      </w:r>
      <w:r>
        <w:rPr>
          <w:sz w:val="24"/>
          <w:szCs w:val="24"/>
        </w:rPr>
        <w:t xml:space="preserve">The Commission assessed a civil penalty against Respondent in the amount of five-hundred dollars.  </w:t>
      </w:r>
      <w:r w:rsidRPr="00E81DFE">
        <w:rPr>
          <w:i/>
          <w:sz w:val="24"/>
          <w:szCs w:val="24"/>
        </w:rPr>
        <w:t>Silver Valley Apartments/Mike Vianello v. PPL Electric Utilities Corporation</w:t>
      </w:r>
      <w:r>
        <w:rPr>
          <w:sz w:val="24"/>
          <w:szCs w:val="24"/>
        </w:rPr>
        <w:t xml:space="preserve">, C-2015-2510119 (Opinion and Order entered January 26, 2017).  </w:t>
      </w:r>
    </w:p>
    <w:p w:rsidR="00E81DFE" w:rsidRDefault="00E81DFE" w:rsidP="00E81DFE">
      <w:pPr>
        <w:spacing w:line="360" w:lineRule="auto"/>
        <w:ind w:firstLine="1440"/>
        <w:rPr>
          <w:sz w:val="24"/>
          <w:szCs w:val="24"/>
        </w:rPr>
      </w:pPr>
    </w:p>
    <w:p w:rsidR="00E81DFE" w:rsidRDefault="00E81DFE" w:rsidP="00E81DFE">
      <w:pPr>
        <w:spacing w:line="360" w:lineRule="auto"/>
        <w:ind w:firstLine="1440"/>
        <w:rPr>
          <w:sz w:val="24"/>
          <w:szCs w:val="24"/>
        </w:rPr>
      </w:pPr>
      <w:r>
        <w:rPr>
          <w:sz w:val="24"/>
          <w:szCs w:val="24"/>
        </w:rPr>
        <w:t xml:space="preserve">Thereafter, on March 26, 2018, Silver Valley Apartments (Complainant) </w:t>
      </w:r>
      <w:r w:rsidR="00DD1E6F">
        <w:rPr>
          <w:sz w:val="24"/>
          <w:szCs w:val="24"/>
        </w:rPr>
        <w:t xml:space="preserve">filed the instant complaint </w:t>
      </w:r>
      <w:r w:rsidR="007643F6">
        <w:rPr>
          <w:sz w:val="24"/>
          <w:szCs w:val="24"/>
        </w:rPr>
        <w:t xml:space="preserve">at Docket No. C-2018-3000758 </w:t>
      </w:r>
      <w:r w:rsidR="00DD1E6F">
        <w:rPr>
          <w:sz w:val="24"/>
          <w:szCs w:val="24"/>
        </w:rPr>
        <w:t>against PPL averring PPL</w:t>
      </w:r>
      <w:r w:rsidR="00AF70DA">
        <w:rPr>
          <w:sz w:val="24"/>
          <w:szCs w:val="24"/>
        </w:rPr>
        <w:t xml:space="preserve"> had </w:t>
      </w:r>
      <w:r w:rsidR="00B6151B">
        <w:rPr>
          <w:sz w:val="24"/>
          <w:szCs w:val="24"/>
        </w:rPr>
        <w:t xml:space="preserve">violated a payment agreement in June 2017 and had been “harassing Silver Valley Apartments with phone calls and letters demanding entire balance which violates the agreed-to payment schedule.”  Complainant requests the Commission: 1) enjoin PPL from terminating electric service; 2) direct PPL to send bills in conformity with an agreement; 3) direct PPL to stop harassing Complainant; 4) cancel any late payment charges; and 5) assess a maximum civil penalty. </w:t>
      </w:r>
      <w:r w:rsidR="00D95AD6">
        <w:rPr>
          <w:sz w:val="24"/>
          <w:szCs w:val="24"/>
        </w:rPr>
        <w:t>Complaint.</w:t>
      </w:r>
    </w:p>
    <w:p w:rsidR="00E81DFE" w:rsidRDefault="00E81DFE" w:rsidP="00E81DFE">
      <w:pPr>
        <w:spacing w:line="360" w:lineRule="auto"/>
        <w:ind w:firstLine="1440"/>
        <w:rPr>
          <w:sz w:val="24"/>
          <w:szCs w:val="24"/>
        </w:rPr>
      </w:pPr>
    </w:p>
    <w:p w:rsidR="00AC108C" w:rsidRDefault="000E4377" w:rsidP="000E4377">
      <w:pPr>
        <w:spacing w:line="360" w:lineRule="auto"/>
        <w:ind w:firstLine="1440"/>
        <w:rPr>
          <w:sz w:val="24"/>
          <w:szCs w:val="24"/>
        </w:rPr>
      </w:pPr>
      <w:r w:rsidRPr="000E4377">
        <w:rPr>
          <w:sz w:val="24"/>
          <w:szCs w:val="24"/>
        </w:rPr>
        <w:lastRenderedPageBreak/>
        <w:t xml:space="preserve">On </w:t>
      </w:r>
      <w:r w:rsidR="00B6151B">
        <w:rPr>
          <w:sz w:val="24"/>
          <w:szCs w:val="24"/>
        </w:rPr>
        <w:t xml:space="preserve">April 19, 2018, </w:t>
      </w:r>
      <w:r w:rsidRPr="000E4377">
        <w:rPr>
          <w:sz w:val="24"/>
          <w:szCs w:val="24"/>
        </w:rPr>
        <w:t>Respondent timely filed and served an Answer</w:t>
      </w:r>
      <w:r w:rsidR="00D95AD6">
        <w:rPr>
          <w:sz w:val="24"/>
          <w:szCs w:val="24"/>
        </w:rPr>
        <w:t xml:space="preserve">.  On April 20, 2018, a Call-In Telephonic Hearing Notice was issued scheduling a hearing for June 26, 2018.  On April 23, 2018, a Prehearing Order was issued.  On or about May 11, 2018, Complainant filed and served a Reply to New Matter.  On May 19, 2018, PPL filed </w:t>
      </w:r>
      <w:r w:rsidRPr="000E4377">
        <w:rPr>
          <w:sz w:val="24"/>
          <w:szCs w:val="24"/>
        </w:rPr>
        <w:t>Preliminary Objections</w:t>
      </w:r>
      <w:r w:rsidR="00D95AD6">
        <w:rPr>
          <w:sz w:val="24"/>
          <w:szCs w:val="24"/>
        </w:rPr>
        <w:t xml:space="preserve"> requesting Complainant’s Reply be stricken with prejudice</w:t>
      </w:r>
      <w:r w:rsidRPr="000E4377">
        <w:rPr>
          <w:sz w:val="24"/>
          <w:szCs w:val="24"/>
        </w:rPr>
        <w:t>.</w:t>
      </w:r>
      <w:r w:rsidR="00D95AD6">
        <w:rPr>
          <w:sz w:val="24"/>
          <w:szCs w:val="24"/>
        </w:rPr>
        <w:t xml:space="preserve">  On May 29, 2018, Complainant filed an Answer to the Preliminary Objections.  PPL’s Preliminary Objections are ripe for a decision.</w:t>
      </w:r>
      <w:r w:rsidR="00E026D1">
        <w:rPr>
          <w:sz w:val="24"/>
          <w:szCs w:val="24"/>
        </w:rPr>
        <w:t xml:space="preserve">  </w:t>
      </w:r>
    </w:p>
    <w:p w:rsidR="000E4377" w:rsidRPr="000E4377" w:rsidRDefault="000E4377" w:rsidP="000E4377">
      <w:pPr>
        <w:spacing w:line="360" w:lineRule="auto"/>
        <w:ind w:firstLine="1440"/>
        <w:rPr>
          <w:sz w:val="24"/>
          <w:szCs w:val="24"/>
        </w:rPr>
      </w:pPr>
      <w:r w:rsidRPr="000E4377">
        <w:rPr>
          <w:sz w:val="24"/>
          <w:szCs w:val="24"/>
        </w:rPr>
        <w:t xml:space="preserve">  </w:t>
      </w:r>
    </w:p>
    <w:p w:rsidR="000E4377" w:rsidRPr="000E4377" w:rsidRDefault="000E4377" w:rsidP="000E4377">
      <w:pPr>
        <w:spacing w:line="360" w:lineRule="auto"/>
        <w:jc w:val="center"/>
        <w:rPr>
          <w:sz w:val="24"/>
          <w:szCs w:val="24"/>
          <w:u w:val="single"/>
        </w:rPr>
      </w:pPr>
      <w:r w:rsidRPr="000E4377">
        <w:rPr>
          <w:sz w:val="24"/>
          <w:szCs w:val="24"/>
          <w:u w:val="single"/>
        </w:rPr>
        <w:t>DISCUSSION</w:t>
      </w:r>
    </w:p>
    <w:p w:rsidR="000E4377" w:rsidRPr="000E4377" w:rsidRDefault="000E4377" w:rsidP="000E4377">
      <w:pPr>
        <w:spacing w:line="360" w:lineRule="auto"/>
        <w:jc w:val="center"/>
        <w:rPr>
          <w:sz w:val="24"/>
          <w:szCs w:val="24"/>
          <w:u w:val="single"/>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r>
      <w:r w:rsidRPr="000E4377">
        <w:rPr>
          <w:sz w:val="24"/>
          <w:szCs w:val="24"/>
        </w:rP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rsidRPr="000E4377">
            <w:rPr>
              <w:sz w:val="24"/>
              <w:szCs w:val="24"/>
            </w:rPr>
            <w:t>Pennsylvania</w:t>
          </w:r>
        </w:smartTag>
      </w:smartTag>
      <w:r w:rsidRPr="000E4377">
        <w:rPr>
          <w:sz w:val="24"/>
          <w:szCs w:val="24"/>
        </w:rPr>
        <w:t xml:space="preserve"> civil practice respecting the filing of preliminary objections.  </w:t>
      </w:r>
      <w:r w:rsidRPr="000E4377">
        <w:rPr>
          <w:i/>
          <w:sz w:val="24"/>
          <w:szCs w:val="24"/>
        </w:rPr>
        <w:t xml:space="preserve">Equitable Small Transportation Interveners v. Equitable Gas Company, </w:t>
      </w:r>
      <w:r w:rsidRPr="000E4377">
        <w:rPr>
          <w:sz w:val="24"/>
          <w:szCs w:val="24"/>
        </w:rPr>
        <w:t xml:space="preserve">1994 </w:t>
      </w:r>
      <w:smartTag w:uri="urn:schemas-microsoft-com:office:smarttags" w:element="place">
        <w:smartTag w:uri="urn:schemas-microsoft-com:office:smarttags" w:element="State">
          <w:r w:rsidRPr="000E4377">
            <w:rPr>
              <w:sz w:val="24"/>
              <w:szCs w:val="24"/>
            </w:rPr>
            <w:t>Pa.</w:t>
          </w:r>
        </w:smartTag>
      </w:smartTag>
      <w:r w:rsidRPr="000E4377">
        <w:rPr>
          <w:sz w:val="24"/>
          <w:szCs w:val="24"/>
        </w:rPr>
        <w:t xml:space="preserve"> PUC LEXIS 69, PUC Docket No. C-000935435 (July 18, 1994).    </w:t>
      </w:r>
    </w:p>
    <w:p w:rsidR="000E4377" w:rsidRPr="000E4377" w:rsidRDefault="000E4377" w:rsidP="000E4377">
      <w:pPr>
        <w:spacing w:line="360" w:lineRule="auto"/>
        <w:rPr>
          <w:sz w:val="24"/>
          <w:szCs w:val="24"/>
        </w:rPr>
      </w:pPr>
    </w:p>
    <w:p w:rsidR="000E4377" w:rsidRPr="000E4377" w:rsidRDefault="000E4377" w:rsidP="000E4377">
      <w:pPr>
        <w:spacing w:line="360" w:lineRule="auto"/>
        <w:ind w:left="720" w:firstLine="720"/>
        <w:rPr>
          <w:sz w:val="24"/>
          <w:szCs w:val="24"/>
        </w:rPr>
      </w:pPr>
      <w:r w:rsidRPr="000E4377">
        <w:rPr>
          <w:sz w:val="24"/>
          <w:szCs w:val="24"/>
        </w:rPr>
        <w:t>Preliminary objections are limited to the following:</w:t>
      </w:r>
    </w:p>
    <w:p w:rsidR="000E4377" w:rsidRPr="000E4377" w:rsidRDefault="000E4377" w:rsidP="000E4377">
      <w:pPr>
        <w:spacing w:line="360" w:lineRule="auto"/>
        <w:rPr>
          <w:sz w:val="24"/>
          <w:szCs w:val="24"/>
        </w:rPr>
      </w:pPr>
    </w:p>
    <w:p w:rsidR="000E4377" w:rsidRPr="000E4377" w:rsidRDefault="000E4377" w:rsidP="000E4377">
      <w:pPr>
        <w:ind w:left="1440" w:right="1440"/>
        <w:rPr>
          <w:b/>
          <w:sz w:val="24"/>
          <w:szCs w:val="24"/>
        </w:rPr>
      </w:pPr>
      <w:r w:rsidRPr="000E4377">
        <w:rPr>
          <w:b/>
          <w:sz w:val="24"/>
          <w:szCs w:val="24"/>
        </w:rPr>
        <w:t>§ 5.101.  Preliminary objections.</w:t>
      </w:r>
    </w:p>
    <w:p w:rsidR="000E4377" w:rsidRPr="000E4377" w:rsidRDefault="000E4377" w:rsidP="000E4377">
      <w:pPr>
        <w:ind w:left="1440" w:right="1440"/>
        <w:rPr>
          <w:sz w:val="24"/>
          <w:szCs w:val="24"/>
        </w:rPr>
      </w:pPr>
      <w:r w:rsidRPr="000E4377">
        <w:rPr>
          <w:sz w:val="24"/>
          <w:szCs w:val="24"/>
        </w:rPr>
        <w:t>(a)</w:t>
      </w:r>
      <w:r w:rsidRPr="000E4377">
        <w:rPr>
          <w:sz w:val="24"/>
          <w:szCs w:val="24"/>
        </w:rPr>
        <w:tab/>
      </w:r>
      <w:r w:rsidRPr="000E4377">
        <w:rPr>
          <w:i/>
          <w:sz w:val="24"/>
          <w:szCs w:val="24"/>
        </w:rPr>
        <w:t>Grounds.</w:t>
      </w:r>
      <w:r w:rsidRPr="000E4377">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E4377" w:rsidRPr="000E4377" w:rsidRDefault="000E4377" w:rsidP="000E4377">
      <w:pPr>
        <w:ind w:left="1440" w:right="1440"/>
        <w:rPr>
          <w:i/>
          <w:sz w:val="24"/>
          <w:szCs w:val="24"/>
        </w:rPr>
      </w:pPr>
    </w:p>
    <w:p w:rsidR="000E4377" w:rsidRPr="000E4377" w:rsidRDefault="000E4377" w:rsidP="000E4377">
      <w:pPr>
        <w:ind w:left="1440" w:right="1440"/>
        <w:rPr>
          <w:sz w:val="24"/>
          <w:szCs w:val="24"/>
        </w:rPr>
      </w:pPr>
      <w:r w:rsidRPr="000E4377">
        <w:rPr>
          <w:sz w:val="24"/>
          <w:szCs w:val="24"/>
        </w:rPr>
        <w:t>(1)  Lack of Commission jurisdiction or improper service of the pleading initiating the proceeding.</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(2)  Failure of a pleading to conform to this chapter or the inclusion of scandalous or impertinent matter.</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(3)  Insufficient specificity of a pleading.</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(4)  Legal insufficiency of a pleading.</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(5) Lack of capacity to sue, nonjoinder of a necessary party or misjoinder of a cause of action.</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(6)  Pendency of a prior proceeding or agreement for alternative dispute resolution.</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 xml:space="preserve"> (7)  Standing of a party to participate in the proceeding.</w:t>
      </w:r>
    </w:p>
    <w:p w:rsidR="000E4377" w:rsidRPr="000E4377" w:rsidRDefault="000E4377" w:rsidP="000E4377">
      <w:pPr>
        <w:ind w:left="1440" w:right="1440"/>
        <w:rPr>
          <w:sz w:val="24"/>
          <w:szCs w:val="24"/>
        </w:rPr>
      </w:pPr>
    </w:p>
    <w:p w:rsidR="000E4377" w:rsidRPr="000E4377" w:rsidRDefault="000E4377" w:rsidP="000E4377">
      <w:pPr>
        <w:ind w:left="1440" w:right="1440"/>
        <w:rPr>
          <w:sz w:val="24"/>
          <w:szCs w:val="24"/>
        </w:rPr>
      </w:pPr>
      <w:r w:rsidRPr="000E4377">
        <w:rPr>
          <w:sz w:val="24"/>
          <w:szCs w:val="24"/>
        </w:rPr>
        <w:t xml:space="preserve">52 Pa. Code § 5.101(a).  </w:t>
      </w:r>
    </w:p>
    <w:p w:rsidR="000E4377" w:rsidRPr="000E4377" w:rsidRDefault="000E4377" w:rsidP="000E4377">
      <w:pPr>
        <w:spacing w:line="360" w:lineRule="auto"/>
        <w:rPr>
          <w:sz w:val="24"/>
          <w:szCs w:val="24"/>
        </w:rPr>
      </w:pPr>
      <w:r w:rsidRPr="000E4377">
        <w:rPr>
          <w:sz w:val="24"/>
          <w:szCs w:val="24"/>
        </w:rPr>
        <w:tab/>
      </w:r>
      <w:r w:rsidRPr="000E4377">
        <w:rPr>
          <w:sz w:val="24"/>
          <w:szCs w:val="24"/>
        </w:rPr>
        <w:tab/>
      </w:r>
    </w:p>
    <w:p w:rsidR="000E4377" w:rsidRPr="000E4377" w:rsidRDefault="000E4377" w:rsidP="000E4377">
      <w:pPr>
        <w:spacing w:line="360" w:lineRule="auto"/>
        <w:rPr>
          <w:sz w:val="24"/>
          <w:szCs w:val="24"/>
        </w:rPr>
      </w:pPr>
      <w:r w:rsidRPr="000E4377">
        <w:rPr>
          <w:sz w:val="24"/>
          <w:szCs w:val="24"/>
        </w:rPr>
        <w:tab/>
      </w:r>
      <w:r w:rsidRPr="000E4377">
        <w:rPr>
          <w:sz w:val="24"/>
          <w:szCs w:val="24"/>
        </w:rPr>
        <w:tab/>
        <w:t xml:space="preserve">When considering the preliminary objection, the Commission must determine “whether the law says with certainty, based on well-pleading factual averments . . . that no recovery or relief is possible.  </w:t>
      </w:r>
      <w:r w:rsidRPr="000E4377">
        <w:rPr>
          <w:i/>
          <w:sz w:val="24"/>
          <w:szCs w:val="24"/>
        </w:rPr>
        <w:t xml:space="preserve">P. J. S. v. Pa. State Ethics Commission, </w:t>
      </w:r>
      <w:r w:rsidRPr="000E4377">
        <w:rPr>
          <w:sz w:val="24"/>
          <w:szCs w:val="24"/>
        </w:rPr>
        <w:t xml:space="preserve">669 A.2d 1105 (Pa. Cmwlth. 1996).  Any doubt must be resolved in favor of the non-moving party by refusing to sustain the preliminary objections.  </w:t>
      </w:r>
      <w:r w:rsidRPr="000E4377">
        <w:rPr>
          <w:i/>
          <w:sz w:val="24"/>
          <w:szCs w:val="24"/>
        </w:rPr>
        <w:t xml:space="preserve">Boyd v. Ward, </w:t>
      </w:r>
      <w:r w:rsidRPr="000E4377">
        <w:rPr>
          <w:sz w:val="24"/>
          <w:szCs w:val="24"/>
        </w:rPr>
        <w:t xml:space="preserve">802 A.2d 705 (Pa. Cmwlth. 2002).”  </w:t>
      </w:r>
      <w:r w:rsidRPr="000E4377">
        <w:rPr>
          <w:i/>
          <w:sz w:val="24"/>
          <w:szCs w:val="24"/>
        </w:rPr>
        <w:t xml:space="preserve">Dept. of Auditor General, et al. v. State Employees’ Retirement System, et al., </w:t>
      </w:r>
      <w:r w:rsidRPr="000E4377">
        <w:rPr>
          <w:sz w:val="24"/>
          <w:szCs w:val="24"/>
        </w:rPr>
        <w:t xml:space="preserve">836 A.2d 1053, 1064 (Pa. Cmwlth. 2003).  </w:t>
      </w:r>
      <w:r w:rsidRPr="000E4377">
        <w:rPr>
          <w:i/>
          <w:sz w:val="24"/>
          <w:szCs w:val="24"/>
        </w:rPr>
        <w:t xml:space="preserve"> </w:t>
      </w:r>
    </w:p>
    <w:p w:rsidR="000E4377" w:rsidRPr="000E4377" w:rsidRDefault="000E4377" w:rsidP="000E4377">
      <w:pPr>
        <w:spacing w:line="360" w:lineRule="auto"/>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 xml:space="preserve">Commission preliminary motion practice is comparable to Pennsylvania civil practice respecting the filing of preliminary objections.  </w:t>
      </w:r>
      <w:r w:rsidRPr="000E4377">
        <w:rPr>
          <w:i/>
          <w:sz w:val="24"/>
          <w:szCs w:val="24"/>
        </w:rPr>
        <w:t xml:space="preserve">Equitable Small Transportation Intervenors v. Equitable Gas Company, </w:t>
      </w:r>
      <w:r w:rsidRPr="000E4377">
        <w:rPr>
          <w:sz w:val="24"/>
          <w:szCs w:val="24"/>
        </w:rPr>
        <w:t>1994 Pa. PUC LEXIS 69, Docket No. C-00935435 (July 18, 1994).</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The Commission’s regulations provide in pertinent part:</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tabs>
          <w:tab w:val="left" w:pos="-1440"/>
          <w:tab w:val="left" w:pos="-720"/>
        </w:tabs>
        <w:suppressAutoHyphens/>
        <w:ind w:left="720" w:right="720"/>
        <w:rPr>
          <w:sz w:val="24"/>
          <w:szCs w:val="24"/>
        </w:rPr>
      </w:pPr>
      <w:r w:rsidRPr="000E4377">
        <w:rPr>
          <w:sz w:val="24"/>
          <w:szCs w:val="24"/>
        </w:rPr>
        <w:tab/>
        <w:t>(a)</w:t>
      </w:r>
      <w:r w:rsidRPr="000E4377">
        <w:rPr>
          <w:sz w:val="24"/>
          <w:szCs w:val="24"/>
        </w:rPr>
        <w:tab/>
        <w:t xml:space="preserve">A preliminary motion is available to participants.  The </w:t>
      </w:r>
      <w:r w:rsidRPr="000E4377">
        <w:rPr>
          <w:sz w:val="24"/>
          <w:szCs w:val="24"/>
        </w:rPr>
        <w:tab/>
      </w:r>
      <w:r w:rsidRPr="000E4377">
        <w:rPr>
          <w:sz w:val="24"/>
          <w:szCs w:val="24"/>
        </w:rPr>
        <w:tab/>
      </w:r>
      <w:r w:rsidRPr="000E4377">
        <w:rPr>
          <w:sz w:val="24"/>
          <w:szCs w:val="24"/>
        </w:rPr>
        <w:tab/>
        <w:t xml:space="preserve">preliminary motion shall state specifically the grounds </w:t>
      </w:r>
      <w:r w:rsidRPr="000E4377">
        <w:rPr>
          <w:sz w:val="24"/>
          <w:szCs w:val="24"/>
        </w:rPr>
        <w:tab/>
      </w:r>
      <w:r w:rsidRPr="000E4377">
        <w:rPr>
          <w:sz w:val="24"/>
          <w:szCs w:val="24"/>
        </w:rPr>
        <w:tab/>
      </w:r>
      <w:r w:rsidRPr="000E4377">
        <w:rPr>
          <w:sz w:val="24"/>
          <w:szCs w:val="24"/>
        </w:rPr>
        <w:tab/>
        <w:t xml:space="preserve">relied upon, the standing of the party and shall be limited to </w:t>
      </w:r>
      <w:r w:rsidRPr="000E4377">
        <w:rPr>
          <w:sz w:val="24"/>
          <w:szCs w:val="24"/>
        </w:rPr>
        <w:tab/>
      </w:r>
      <w:r w:rsidRPr="000E4377">
        <w:rPr>
          <w:sz w:val="24"/>
          <w:szCs w:val="24"/>
        </w:rPr>
        <w:tab/>
        <w:t>the following:</w:t>
      </w:r>
    </w:p>
    <w:p w:rsidR="000E4377" w:rsidRPr="000E4377" w:rsidRDefault="000E4377" w:rsidP="000E4377">
      <w:pPr>
        <w:tabs>
          <w:tab w:val="left" w:pos="-1440"/>
          <w:tab w:val="left" w:pos="-720"/>
        </w:tabs>
        <w:suppressAutoHyphens/>
        <w:ind w:left="720" w:right="720" w:firstLine="1440"/>
        <w:rPr>
          <w:sz w:val="24"/>
          <w:szCs w:val="24"/>
        </w:rPr>
      </w:pPr>
      <w:r w:rsidRPr="000E4377">
        <w:rPr>
          <w:sz w:val="24"/>
          <w:szCs w:val="24"/>
        </w:rPr>
        <w:tab/>
      </w:r>
    </w:p>
    <w:p w:rsidR="000E4377" w:rsidRPr="000E4377" w:rsidRDefault="000E4377" w:rsidP="000E4377">
      <w:pPr>
        <w:tabs>
          <w:tab w:val="left" w:pos="-1440"/>
          <w:tab w:val="left" w:pos="-720"/>
        </w:tabs>
        <w:suppressAutoHyphens/>
        <w:ind w:left="720" w:right="720" w:firstLine="1440"/>
        <w:rPr>
          <w:sz w:val="24"/>
          <w:szCs w:val="24"/>
        </w:rPr>
      </w:pPr>
      <w:r w:rsidRPr="000E4377">
        <w:rPr>
          <w:sz w:val="24"/>
          <w:szCs w:val="24"/>
        </w:rPr>
        <w:t xml:space="preserve">(1) </w:t>
      </w:r>
      <w:r w:rsidRPr="000E4377">
        <w:rPr>
          <w:sz w:val="24"/>
          <w:szCs w:val="24"/>
        </w:rPr>
        <w:tab/>
        <w:t xml:space="preserve">A motion questioning the jurisdiction of the </w:t>
      </w:r>
      <w:r w:rsidRPr="000E4377">
        <w:rPr>
          <w:sz w:val="24"/>
          <w:szCs w:val="24"/>
        </w:rPr>
        <w:tab/>
      </w:r>
      <w:r w:rsidRPr="000E4377">
        <w:rPr>
          <w:sz w:val="24"/>
          <w:szCs w:val="24"/>
        </w:rPr>
        <w:tab/>
      </w:r>
      <w:r w:rsidRPr="000E4377">
        <w:rPr>
          <w:sz w:val="24"/>
          <w:szCs w:val="24"/>
        </w:rPr>
        <w:tab/>
      </w:r>
      <w:r w:rsidRPr="000E4377">
        <w:rPr>
          <w:sz w:val="24"/>
          <w:szCs w:val="24"/>
        </w:rPr>
        <w:tab/>
      </w:r>
      <w:r w:rsidRPr="000E4377">
        <w:rPr>
          <w:sz w:val="24"/>
          <w:szCs w:val="24"/>
        </w:rPr>
        <w:tab/>
        <w:t>Commission.</w:t>
      </w:r>
    </w:p>
    <w:p w:rsidR="000E4377" w:rsidRPr="000E4377" w:rsidRDefault="000E4377" w:rsidP="000E4377">
      <w:pPr>
        <w:tabs>
          <w:tab w:val="left" w:pos="-1440"/>
          <w:tab w:val="left" w:pos="-720"/>
        </w:tabs>
        <w:suppressAutoHyphens/>
        <w:ind w:left="720" w:right="720" w:firstLine="1440"/>
        <w:rPr>
          <w:sz w:val="24"/>
          <w:szCs w:val="24"/>
        </w:rPr>
      </w:pPr>
    </w:p>
    <w:p w:rsidR="000E4377" w:rsidRPr="000E4377" w:rsidRDefault="000E4377" w:rsidP="000E4377">
      <w:pPr>
        <w:ind w:left="1440" w:right="1440"/>
        <w:rPr>
          <w:sz w:val="24"/>
          <w:szCs w:val="24"/>
        </w:rPr>
      </w:pPr>
      <w:r w:rsidRPr="000E4377">
        <w:rPr>
          <w:sz w:val="24"/>
          <w:szCs w:val="24"/>
        </w:rPr>
        <w:tab/>
        <w:t>(3)</w:t>
      </w:r>
      <w:r w:rsidRPr="000E4377">
        <w:rPr>
          <w:sz w:val="24"/>
          <w:szCs w:val="24"/>
        </w:rPr>
        <w:tab/>
        <w:t>Insufficient specificity of a pleading.</w:t>
      </w:r>
    </w:p>
    <w:p w:rsidR="000E4377" w:rsidRPr="000E4377" w:rsidRDefault="000E4377" w:rsidP="000E4377">
      <w:pPr>
        <w:tabs>
          <w:tab w:val="left" w:pos="-1440"/>
          <w:tab w:val="left" w:pos="-720"/>
        </w:tabs>
        <w:suppressAutoHyphens/>
        <w:ind w:left="720" w:right="720" w:firstLine="1440"/>
        <w:rPr>
          <w:sz w:val="24"/>
          <w:szCs w:val="24"/>
        </w:rPr>
      </w:pPr>
    </w:p>
    <w:p w:rsidR="000E4377" w:rsidRPr="000E4377" w:rsidRDefault="000E4377" w:rsidP="000E4377">
      <w:pPr>
        <w:tabs>
          <w:tab w:val="left" w:pos="-1440"/>
          <w:tab w:val="left" w:pos="-720"/>
        </w:tabs>
        <w:suppressAutoHyphens/>
        <w:ind w:left="720" w:right="720" w:firstLine="1440"/>
        <w:rPr>
          <w:sz w:val="24"/>
          <w:szCs w:val="24"/>
        </w:rPr>
      </w:pPr>
      <w:r w:rsidRPr="000E4377">
        <w:rPr>
          <w:sz w:val="24"/>
          <w:szCs w:val="24"/>
        </w:rPr>
        <w:t>(4)</w:t>
      </w:r>
      <w:r w:rsidRPr="000E4377">
        <w:rPr>
          <w:sz w:val="24"/>
          <w:szCs w:val="24"/>
        </w:rPr>
        <w:tab/>
        <w:t>Legal insufficiency of a pleading.</w:t>
      </w:r>
    </w:p>
    <w:p w:rsidR="000E4377" w:rsidRPr="000E4377" w:rsidRDefault="000E4377" w:rsidP="000E4377">
      <w:pPr>
        <w:tabs>
          <w:tab w:val="left" w:pos="-1440"/>
          <w:tab w:val="left" w:pos="-720"/>
        </w:tabs>
        <w:suppressAutoHyphens/>
        <w:ind w:left="720" w:right="720" w:firstLine="1440"/>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52 Pa.Code § 5.101(a)(1);(3) and (4).</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 xml:space="preserve">The Commission must act within and cannot exceed its jurisdiction.  </w:t>
      </w:r>
      <w:r w:rsidRPr="000E4377">
        <w:rPr>
          <w:i/>
          <w:sz w:val="24"/>
          <w:szCs w:val="24"/>
        </w:rPr>
        <w:t xml:space="preserve">City of Pittsburgh v. PUC, </w:t>
      </w:r>
      <w:r w:rsidRPr="000E4377">
        <w:rPr>
          <w:sz w:val="24"/>
          <w:szCs w:val="24"/>
        </w:rPr>
        <w:t xml:space="preserve">157 Pa. Super 595, 43 A.2d 348 (1945).  Jurisdiction may not be conferred by the parties where none exists.  </w:t>
      </w:r>
      <w:r w:rsidRPr="000E4377">
        <w:rPr>
          <w:i/>
          <w:sz w:val="24"/>
          <w:szCs w:val="24"/>
        </w:rPr>
        <w:t xml:space="preserve">Roberts v. Martorano, </w:t>
      </w:r>
      <w:r w:rsidRPr="000E4377">
        <w:rPr>
          <w:sz w:val="24"/>
          <w:szCs w:val="24"/>
        </w:rPr>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0E4377">
        <w:rPr>
          <w:i/>
          <w:sz w:val="24"/>
          <w:szCs w:val="24"/>
        </w:rPr>
        <w:t xml:space="preserve">Lehigh Valley Power Comm. V. PUC, </w:t>
      </w:r>
      <w:r w:rsidRPr="000E4377">
        <w:rPr>
          <w:sz w:val="24"/>
          <w:szCs w:val="24"/>
        </w:rPr>
        <w:t xml:space="preserve">128 Pa.Cmwlth. 259, 563 A.2d 548 (1989), </w:t>
      </w:r>
      <w:r w:rsidRPr="000E4377">
        <w:rPr>
          <w:i/>
          <w:sz w:val="24"/>
          <w:szCs w:val="24"/>
        </w:rPr>
        <w:t xml:space="preserve">Edan Transportation Corp. v. PUC, </w:t>
      </w:r>
      <w:r w:rsidRPr="000E4377">
        <w:rPr>
          <w:sz w:val="24"/>
          <w:szCs w:val="24"/>
        </w:rPr>
        <w:t xml:space="preserve">154 Pa.Cmwlth. 21, 623 A.2d 6 (1993).  </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 xml:space="preserve">Preliminary objections in civil practice requesting dismissal of a pleading will be granted only where the right to relief is clearly warranted and free from doubt.  </w:t>
      </w:r>
      <w:r w:rsidRPr="000E4377">
        <w:rPr>
          <w:i/>
          <w:sz w:val="24"/>
          <w:szCs w:val="24"/>
        </w:rPr>
        <w:t xml:space="preserve">Interstate </w:t>
      </w:r>
      <w:proofErr w:type="spellStart"/>
      <w:r w:rsidRPr="000E4377">
        <w:rPr>
          <w:i/>
          <w:sz w:val="24"/>
          <w:szCs w:val="24"/>
        </w:rPr>
        <w:t>Traveller</w:t>
      </w:r>
      <w:proofErr w:type="spellEnd"/>
      <w:r w:rsidRPr="000E4377">
        <w:rPr>
          <w:i/>
          <w:sz w:val="24"/>
          <w:szCs w:val="24"/>
        </w:rPr>
        <w:t xml:space="preserve"> Services, Inc. v. Pa. Dept. of Environment Resources,</w:t>
      </w:r>
      <w:r w:rsidRPr="000E4377">
        <w:rPr>
          <w:sz w:val="24"/>
          <w:szCs w:val="24"/>
        </w:rPr>
        <w:t xml:space="preserve"> 406 A.2d 1020 (Pa. 1979); </w:t>
      </w:r>
      <w:r w:rsidRPr="000E4377">
        <w:rPr>
          <w:i/>
          <w:sz w:val="24"/>
          <w:szCs w:val="24"/>
        </w:rPr>
        <w:t>Rivera v. Philadelphia Theological Seminary of St. Charles Borromeo, Inc.</w:t>
      </w:r>
      <w:r w:rsidRPr="000E4377">
        <w:rPr>
          <w:sz w:val="24"/>
          <w:szCs w:val="24"/>
        </w:rPr>
        <w:t xml:space="preserve">, 595 A.2d 172 (Pa. Super 1991).  The Commission follows this standard.  </w:t>
      </w:r>
      <w:r w:rsidRPr="000E4377">
        <w:rPr>
          <w:i/>
          <w:sz w:val="24"/>
          <w:szCs w:val="24"/>
        </w:rPr>
        <w:t>Montague v. Philadelphia Electric Company,</w:t>
      </w:r>
      <w:r w:rsidRPr="000E4377">
        <w:rPr>
          <w:sz w:val="24"/>
          <w:szCs w:val="24"/>
        </w:rPr>
        <w:t xml:space="preserve"> 66 </w:t>
      </w:r>
      <w:proofErr w:type="spellStart"/>
      <w:r w:rsidRPr="000E4377">
        <w:rPr>
          <w:sz w:val="24"/>
          <w:szCs w:val="24"/>
        </w:rPr>
        <w:t>Pa.PUC</w:t>
      </w:r>
      <w:proofErr w:type="spellEnd"/>
      <w:r w:rsidRPr="000E4377">
        <w:rPr>
          <w:sz w:val="24"/>
          <w:szCs w:val="24"/>
        </w:rPr>
        <w:t xml:space="preserve"> 24 (1988).</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sidRPr="000E4377">
        <w:rPr>
          <w:i/>
          <w:sz w:val="24"/>
          <w:szCs w:val="24"/>
        </w:rPr>
        <w:t xml:space="preserve">Equitable Small Transportation Intervenors v. Equitable Gas Company, </w:t>
      </w:r>
      <w:r w:rsidRPr="000E4377">
        <w:rPr>
          <w:sz w:val="24"/>
          <w:szCs w:val="24"/>
        </w:rPr>
        <w:t>1994 Pa PUC LEXIS 69, Docket No. C-00935435 (1994).</w:t>
      </w:r>
    </w:p>
    <w:p w:rsidR="000E4377" w:rsidRPr="000E4377" w:rsidRDefault="000E4377" w:rsidP="000E4377">
      <w:pPr>
        <w:tabs>
          <w:tab w:val="left" w:pos="-1440"/>
          <w:tab w:val="left" w:pos="-720"/>
        </w:tabs>
        <w:suppressAutoHyphens/>
        <w:spacing w:line="360" w:lineRule="auto"/>
        <w:ind w:firstLine="1440"/>
        <w:rPr>
          <w:sz w:val="24"/>
          <w:szCs w:val="24"/>
        </w:rPr>
      </w:pPr>
    </w:p>
    <w:p w:rsidR="00AC108C" w:rsidRDefault="00AC108C" w:rsidP="000E4377">
      <w:pPr>
        <w:tabs>
          <w:tab w:val="left" w:pos="-1440"/>
          <w:tab w:val="left" w:pos="-720"/>
        </w:tabs>
        <w:suppressAutoHyphens/>
        <w:spacing w:line="360" w:lineRule="auto"/>
        <w:ind w:firstLine="1440"/>
        <w:rPr>
          <w:sz w:val="24"/>
          <w:szCs w:val="24"/>
        </w:rPr>
      </w:pPr>
      <w:r>
        <w:rPr>
          <w:sz w:val="24"/>
          <w:szCs w:val="24"/>
        </w:rPr>
        <w:t xml:space="preserve">In the instant case, Respondent objects to a </w:t>
      </w:r>
      <w:r w:rsidR="007643F6">
        <w:rPr>
          <w:sz w:val="24"/>
          <w:szCs w:val="24"/>
        </w:rPr>
        <w:t>R</w:t>
      </w:r>
      <w:r>
        <w:rPr>
          <w:sz w:val="24"/>
          <w:szCs w:val="24"/>
        </w:rPr>
        <w:t xml:space="preserve">eply to </w:t>
      </w:r>
      <w:r w:rsidR="007643F6">
        <w:rPr>
          <w:sz w:val="24"/>
          <w:szCs w:val="24"/>
        </w:rPr>
        <w:t>N</w:t>
      </w:r>
      <w:r>
        <w:rPr>
          <w:sz w:val="24"/>
          <w:szCs w:val="24"/>
        </w:rPr>
        <w:t xml:space="preserve">ew </w:t>
      </w:r>
      <w:r w:rsidR="007643F6">
        <w:rPr>
          <w:sz w:val="24"/>
          <w:szCs w:val="24"/>
        </w:rPr>
        <w:t>M</w:t>
      </w:r>
      <w:r>
        <w:rPr>
          <w:sz w:val="24"/>
          <w:szCs w:val="24"/>
        </w:rPr>
        <w:t>atter in violation of 52 Pa. Code § 5.62(b)</w:t>
      </w:r>
      <w:r w:rsidR="007643F6">
        <w:rPr>
          <w:sz w:val="24"/>
          <w:szCs w:val="24"/>
        </w:rPr>
        <w:t xml:space="preserve">, which provides that </w:t>
      </w:r>
      <w:r>
        <w:rPr>
          <w:sz w:val="24"/>
          <w:szCs w:val="24"/>
        </w:rPr>
        <w:t>an affirmative defense shall be pleaded in the respondent’s answer to the complaint.  Therefore, Respondent requests the Reply to New Matter be stricken in its entirety</w:t>
      </w:r>
      <w:r w:rsidR="007643F6">
        <w:rPr>
          <w:sz w:val="24"/>
          <w:szCs w:val="24"/>
        </w:rPr>
        <w:t xml:space="preserve"> with prejudice</w:t>
      </w:r>
      <w:r>
        <w:rPr>
          <w:sz w:val="24"/>
          <w:szCs w:val="24"/>
        </w:rPr>
        <w:t xml:space="preserve">.   Mr. Mike Vianello signed the </w:t>
      </w:r>
      <w:r w:rsidR="007643F6">
        <w:rPr>
          <w:sz w:val="24"/>
          <w:szCs w:val="24"/>
        </w:rPr>
        <w:t>Complaint, a</w:t>
      </w:r>
      <w:r w:rsidR="004F539D">
        <w:rPr>
          <w:sz w:val="24"/>
          <w:szCs w:val="24"/>
        </w:rPr>
        <w:t>nd all other pleadings and verifications</w:t>
      </w:r>
      <w:r>
        <w:rPr>
          <w:sz w:val="24"/>
          <w:szCs w:val="24"/>
        </w:rPr>
        <w:t xml:space="preserve">.  The Commission recently acknowledged that Mr. Vianello conducts business under the name, Silver Valley Apartments, and the business is not incorporated.  </w:t>
      </w:r>
      <w:r w:rsidRPr="00E81DFE">
        <w:rPr>
          <w:i/>
          <w:sz w:val="24"/>
          <w:szCs w:val="24"/>
        </w:rPr>
        <w:t>Silver Valley Apartments/Mike Vianello v. PPL Electric Utilities Corporation</w:t>
      </w:r>
      <w:r>
        <w:rPr>
          <w:sz w:val="24"/>
          <w:szCs w:val="24"/>
        </w:rPr>
        <w:t xml:space="preserve">, C-2015-2510119 (Opinion and Order entered January 26, 2017 at 2).   </w:t>
      </w:r>
    </w:p>
    <w:p w:rsidR="00AC108C" w:rsidRDefault="00AC108C" w:rsidP="000E4377">
      <w:pPr>
        <w:tabs>
          <w:tab w:val="left" w:pos="-1440"/>
          <w:tab w:val="left" w:pos="-720"/>
        </w:tabs>
        <w:suppressAutoHyphens/>
        <w:spacing w:line="360" w:lineRule="auto"/>
        <w:ind w:firstLine="1440"/>
        <w:rPr>
          <w:sz w:val="24"/>
          <w:szCs w:val="24"/>
        </w:rPr>
      </w:pPr>
    </w:p>
    <w:p w:rsidR="004F539D" w:rsidRDefault="00EA7CD3" w:rsidP="00EA7CD3">
      <w:pPr>
        <w:spacing w:line="360" w:lineRule="auto"/>
        <w:ind w:firstLine="1440"/>
        <w:rPr>
          <w:bCs/>
          <w:color w:val="000000"/>
          <w:sz w:val="24"/>
          <w:szCs w:val="24"/>
        </w:rPr>
      </w:pPr>
      <w:r>
        <w:rPr>
          <w:bCs/>
          <w:color w:val="000000"/>
          <w:sz w:val="24"/>
          <w:szCs w:val="24"/>
        </w:rPr>
        <w:t xml:space="preserve">The Commission’s regulations also allow Presiding Officers the authority to “regulate the course of the proceeding.”  52 Pa.Code § 5.483(a).  Liberal construction is allowed to “secure the just, speedy and inexpensive determination of every action or proceeding” and the “presiding officer at any stage of an action or proceeding may disregard an error or defect of procedure which does not affect the substantive rights of the parties.”  52 Pa.Code § 1.2(a); </w:t>
      </w:r>
      <w:r>
        <w:rPr>
          <w:bCs/>
          <w:i/>
          <w:color w:val="000000"/>
          <w:sz w:val="24"/>
          <w:szCs w:val="24"/>
        </w:rPr>
        <w:t>see also</w:t>
      </w:r>
      <w:r>
        <w:rPr>
          <w:bCs/>
          <w:color w:val="000000"/>
          <w:sz w:val="24"/>
          <w:szCs w:val="24"/>
        </w:rPr>
        <w:t xml:space="preserve">, 52 Pa.Code § 1.2(c) (presiding officer at any stage of an action or proceeding may waive a requirement of this subpart when necessary or appropriate, if the waiver does not adversely affect a substantive right of a party).  </w:t>
      </w:r>
    </w:p>
    <w:p w:rsidR="004F539D" w:rsidRDefault="004F539D" w:rsidP="00EA7CD3">
      <w:pPr>
        <w:spacing w:line="360" w:lineRule="auto"/>
        <w:ind w:firstLine="1440"/>
        <w:rPr>
          <w:bCs/>
          <w:color w:val="000000"/>
          <w:sz w:val="24"/>
          <w:szCs w:val="24"/>
        </w:rPr>
      </w:pPr>
    </w:p>
    <w:p w:rsidR="00EA7CD3" w:rsidRDefault="00EA7CD3" w:rsidP="00EA7CD3">
      <w:pPr>
        <w:spacing w:line="360" w:lineRule="auto"/>
        <w:ind w:firstLine="1440"/>
        <w:rPr>
          <w:bCs/>
          <w:color w:val="000000"/>
          <w:sz w:val="24"/>
          <w:szCs w:val="24"/>
        </w:rPr>
      </w:pPr>
      <w:r>
        <w:rPr>
          <w:bCs/>
          <w:color w:val="000000"/>
          <w:sz w:val="24"/>
          <w:szCs w:val="24"/>
        </w:rPr>
        <w:t xml:space="preserve">I find the Complainant’s </w:t>
      </w:r>
      <w:r w:rsidR="004F539D">
        <w:rPr>
          <w:bCs/>
          <w:color w:val="000000"/>
          <w:sz w:val="24"/>
          <w:szCs w:val="24"/>
        </w:rPr>
        <w:t>“</w:t>
      </w:r>
      <w:r>
        <w:rPr>
          <w:bCs/>
          <w:color w:val="000000"/>
          <w:sz w:val="24"/>
          <w:szCs w:val="24"/>
        </w:rPr>
        <w:t>Reply</w:t>
      </w:r>
      <w:r w:rsidR="004F539D">
        <w:rPr>
          <w:bCs/>
          <w:color w:val="000000"/>
          <w:sz w:val="24"/>
          <w:szCs w:val="24"/>
        </w:rPr>
        <w:t xml:space="preserve"> of Silver Valley Apartments” filed on May 11, 2018,</w:t>
      </w:r>
      <w:r>
        <w:rPr>
          <w:bCs/>
          <w:color w:val="000000"/>
          <w:sz w:val="24"/>
          <w:szCs w:val="24"/>
        </w:rPr>
        <w:t xml:space="preserve"> to be a sufficient </w:t>
      </w:r>
      <w:r w:rsidR="004F539D">
        <w:rPr>
          <w:bCs/>
          <w:color w:val="000000"/>
          <w:sz w:val="24"/>
          <w:szCs w:val="24"/>
        </w:rPr>
        <w:t xml:space="preserve">and timely </w:t>
      </w:r>
      <w:r>
        <w:rPr>
          <w:bCs/>
          <w:color w:val="000000"/>
          <w:sz w:val="24"/>
          <w:szCs w:val="24"/>
        </w:rPr>
        <w:t xml:space="preserve">reply to new matter as Paragraph 4 of PPL’s Answer does contain new matter even if it is not under a separate “new matter” heading.  </w:t>
      </w:r>
      <w:r w:rsidR="004F539D">
        <w:rPr>
          <w:bCs/>
          <w:color w:val="000000"/>
          <w:sz w:val="24"/>
          <w:szCs w:val="24"/>
        </w:rPr>
        <w:t xml:space="preserve">Paragraph 4 avers facts.  </w:t>
      </w:r>
      <w:r>
        <w:rPr>
          <w:bCs/>
          <w:color w:val="000000"/>
          <w:sz w:val="24"/>
          <w:szCs w:val="24"/>
        </w:rPr>
        <w:t xml:space="preserve">Under 52 Pa. Code §§ 5.1(a)(2) and 5.63, Complainant is entitled to file a reply to new matter, which it did.    </w:t>
      </w:r>
    </w:p>
    <w:p w:rsidR="00EA7CD3" w:rsidRDefault="00EA7CD3" w:rsidP="00EA7CD3">
      <w:pPr>
        <w:spacing w:line="360" w:lineRule="auto"/>
        <w:ind w:firstLine="1440"/>
        <w:rPr>
          <w:bCs/>
          <w:color w:val="000000"/>
          <w:sz w:val="24"/>
          <w:szCs w:val="24"/>
        </w:rPr>
      </w:pPr>
    </w:p>
    <w:p w:rsidR="000E4377" w:rsidRPr="000E4377" w:rsidRDefault="00EA7CD3" w:rsidP="000E4377">
      <w:pPr>
        <w:tabs>
          <w:tab w:val="left" w:pos="-1440"/>
          <w:tab w:val="left" w:pos="-720"/>
        </w:tabs>
        <w:suppressAutoHyphens/>
        <w:spacing w:line="360" w:lineRule="auto"/>
        <w:ind w:firstLine="1440"/>
        <w:rPr>
          <w:sz w:val="24"/>
          <w:szCs w:val="24"/>
        </w:rPr>
      </w:pPr>
      <w:r>
        <w:rPr>
          <w:sz w:val="24"/>
          <w:szCs w:val="24"/>
        </w:rPr>
        <w:t>T</w:t>
      </w:r>
      <w:r w:rsidR="000E4377" w:rsidRPr="000E4377">
        <w:rPr>
          <w:sz w:val="24"/>
          <w:szCs w:val="24"/>
        </w:rPr>
        <w:t xml:space="preserve">he facts as averred in Complainant’s complaint do raise an issue regarding </w:t>
      </w:r>
      <w:r>
        <w:rPr>
          <w:sz w:val="24"/>
          <w:szCs w:val="24"/>
        </w:rPr>
        <w:t>PPL</w:t>
      </w:r>
      <w:r w:rsidR="000E4377" w:rsidRPr="000E4377">
        <w:rPr>
          <w:sz w:val="24"/>
          <w:szCs w:val="24"/>
        </w:rPr>
        <w:t xml:space="preserve">’s service and the Commission has jurisdiction over service disputes between utilities and customers.  66 Pa. C.S. §1501.  In determining whether to grant a preliminary objection, the Commission must limit itself to reviewing the information contained in the Complaint, which in this case, sets forth a service dispute.  If </w:t>
      </w:r>
      <w:r>
        <w:rPr>
          <w:sz w:val="24"/>
          <w:szCs w:val="24"/>
        </w:rPr>
        <w:t>its</w:t>
      </w:r>
      <w:r w:rsidR="000E4377" w:rsidRPr="000E4377">
        <w:rPr>
          <w:sz w:val="24"/>
          <w:szCs w:val="24"/>
        </w:rPr>
        <w:t xml:space="preserve"> allegations are proven by a preponderance of evidence at a hearing, they may well constitute a violation of the provisions of Section 1501 of the Public Utility Code, 66 Pa. C.S. § 101 </w:t>
      </w:r>
      <w:r w:rsidR="000E4377" w:rsidRPr="000E4377">
        <w:rPr>
          <w:i/>
          <w:sz w:val="24"/>
          <w:szCs w:val="24"/>
        </w:rPr>
        <w:t>et seq.</w:t>
      </w:r>
      <w:r w:rsidR="000E4377" w:rsidRPr="000E4377">
        <w:rPr>
          <w:sz w:val="24"/>
          <w:szCs w:val="24"/>
        </w:rPr>
        <w:t xml:space="preserve">; rendering less than adequate service.  </w:t>
      </w:r>
      <w:r w:rsidR="000E4377" w:rsidRPr="000E4377">
        <w:rPr>
          <w:i/>
          <w:sz w:val="24"/>
          <w:szCs w:val="24"/>
        </w:rPr>
        <w:t xml:space="preserve">Honey Brook Water Co. v. Pa. Public Utility Commission, </w:t>
      </w:r>
      <w:r w:rsidR="000E4377" w:rsidRPr="000E4377">
        <w:rPr>
          <w:sz w:val="24"/>
          <w:szCs w:val="24"/>
        </w:rPr>
        <w:t xml:space="preserve">167 Pa.Cmwlth. 140, 647 A.2d 653 (1994), app. Denied, 540 Pa. 587, 655 A.2d 518 (1995).  Respondent may ultimately face a civil penalty if Complainant bears its burden of proving inadequate service.  </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tabs>
          <w:tab w:val="left" w:pos="-1440"/>
          <w:tab w:val="left" w:pos="-720"/>
        </w:tabs>
        <w:suppressAutoHyphens/>
        <w:spacing w:line="360" w:lineRule="auto"/>
        <w:ind w:firstLine="1440"/>
        <w:rPr>
          <w:sz w:val="24"/>
          <w:szCs w:val="24"/>
        </w:rPr>
      </w:pPr>
      <w:r w:rsidRPr="000E4377">
        <w:rPr>
          <w:sz w:val="24"/>
          <w:szCs w:val="24"/>
        </w:rPr>
        <w:t xml:space="preserve">Under the Commission-approved pleading standards applied to </w:t>
      </w:r>
      <w:r w:rsidRPr="000E4377">
        <w:rPr>
          <w:i/>
          <w:sz w:val="24"/>
          <w:szCs w:val="24"/>
        </w:rPr>
        <w:t>pro se</w:t>
      </w:r>
      <w:r w:rsidRPr="000E4377">
        <w:rPr>
          <w:sz w:val="24"/>
          <w:szCs w:val="24"/>
        </w:rPr>
        <w:t xml:space="preserve"> complainants, the instant Complaint</w:t>
      </w:r>
      <w:r w:rsidR="007643F6">
        <w:rPr>
          <w:sz w:val="24"/>
          <w:szCs w:val="24"/>
        </w:rPr>
        <w:t xml:space="preserve"> and Reply are</w:t>
      </w:r>
      <w:r w:rsidRPr="000E4377">
        <w:rPr>
          <w:sz w:val="24"/>
          <w:szCs w:val="24"/>
        </w:rPr>
        <w:t xml:space="preserve"> sufficient to set forth a claim upon which the Commission can grant relief even though that relief may not be compensatory damages.  This is all that is necessary to survive a demurrer.</w:t>
      </w:r>
    </w:p>
    <w:p w:rsidR="000E4377" w:rsidRPr="000E4377" w:rsidRDefault="000E4377" w:rsidP="000E4377">
      <w:pPr>
        <w:tabs>
          <w:tab w:val="left" w:pos="-1440"/>
          <w:tab w:val="left" w:pos="-720"/>
        </w:tabs>
        <w:suppressAutoHyphens/>
        <w:spacing w:line="360" w:lineRule="auto"/>
        <w:ind w:firstLine="1440"/>
        <w:rPr>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 xml:space="preserve">While the ultimate determination of facts will guide the outcome of the case, a factual </w:t>
      </w:r>
      <w:r w:rsidRPr="000E4377">
        <w:rPr>
          <w:i/>
          <w:sz w:val="24"/>
          <w:szCs w:val="24"/>
        </w:rPr>
        <w:t>dispute</w:t>
      </w:r>
      <w:r w:rsidRPr="000E4377">
        <w:rPr>
          <w:sz w:val="24"/>
          <w:szCs w:val="24"/>
        </w:rPr>
        <w:t xml:space="preserve"> will prevent the grant of preliminary objections since any doubt must be assumed in favor of the non-moving party.</w:t>
      </w:r>
    </w:p>
    <w:p w:rsidR="000E4377" w:rsidRPr="000E4377" w:rsidRDefault="000E4377" w:rsidP="000E4377">
      <w:pPr>
        <w:spacing w:line="360" w:lineRule="auto"/>
        <w:rPr>
          <w:sz w:val="24"/>
          <w:szCs w:val="24"/>
        </w:rPr>
      </w:pPr>
    </w:p>
    <w:p w:rsidR="007643F6" w:rsidRDefault="000E4377" w:rsidP="000E4377">
      <w:pPr>
        <w:spacing w:line="360" w:lineRule="auto"/>
        <w:rPr>
          <w:sz w:val="24"/>
          <w:szCs w:val="24"/>
        </w:rPr>
      </w:pPr>
      <w:r w:rsidRPr="000E4377">
        <w:rPr>
          <w:sz w:val="24"/>
          <w:szCs w:val="24"/>
        </w:rPr>
        <w:tab/>
      </w:r>
      <w:r w:rsidRPr="000E4377">
        <w:rPr>
          <w:sz w:val="24"/>
          <w:szCs w:val="24"/>
        </w:rPr>
        <w:tab/>
        <w:t xml:space="preserve">Accordingly, the Preliminary Objections shall be </w:t>
      </w:r>
      <w:proofErr w:type="gramStart"/>
      <w:r w:rsidRPr="000E4377">
        <w:rPr>
          <w:sz w:val="24"/>
          <w:szCs w:val="24"/>
        </w:rPr>
        <w:t>denied</w:t>
      </w:r>
      <w:proofErr w:type="gramEnd"/>
      <w:r w:rsidRPr="000E4377">
        <w:rPr>
          <w:sz w:val="24"/>
          <w:szCs w:val="24"/>
        </w:rPr>
        <w:t xml:space="preserve"> and the </w:t>
      </w:r>
      <w:r w:rsidR="007643F6">
        <w:rPr>
          <w:sz w:val="24"/>
          <w:szCs w:val="24"/>
        </w:rPr>
        <w:t>case shall proceed to an evidentiary hearing scheduled for June 26, 2018.</w:t>
      </w:r>
    </w:p>
    <w:p w:rsidR="007643F6" w:rsidRDefault="007643F6" w:rsidP="000E4377">
      <w:pPr>
        <w:spacing w:line="360" w:lineRule="auto"/>
        <w:rPr>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 xml:space="preserve">Complainant is cautioned that the </w:t>
      </w:r>
      <w:r w:rsidR="007643F6">
        <w:rPr>
          <w:sz w:val="24"/>
          <w:szCs w:val="24"/>
        </w:rPr>
        <w:t>P</w:t>
      </w:r>
      <w:r w:rsidRPr="000E4377">
        <w:rPr>
          <w:sz w:val="24"/>
          <w:szCs w:val="24"/>
        </w:rPr>
        <w:t xml:space="preserve">reliminary Objection is being denied on purely procedural grounds and does not, in any way, give credence to either the substance of his Complaint or to the likelihood of success on the merits.  </w:t>
      </w:r>
    </w:p>
    <w:p w:rsidR="000E4377" w:rsidRPr="000E4377" w:rsidRDefault="000E4377" w:rsidP="000E4377">
      <w:pPr>
        <w:spacing w:line="360" w:lineRule="auto"/>
        <w:rPr>
          <w:sz w:val="24"/>
          <w:szCs w:val="24"/>
        </w:rPr>
      </w:pPr>
    </w:p>
    <w:p w:rsidR="000E4377" w:rsidRPr="000E4377" w:rsidRDefault="000E4377" w:rsidP="000E4377">
      <w:pPr>
        <w:spacing w:line="360" w:lineRule="auto"/>
        <w:rPr>
          <w:spacing w:val="-3"/>
          <w:sz w:val="24"/>
          <w:szCs w:val="24"/>
        </w:rPr>
      </w:pPr>
      <w:r w:rsidRPr="000E4377">
        <w:rPr>
          <w:sz w:val="24"/>
          <w:szCs w:val="24"/>
        </w:rPr>
        <w:tab/>
      </w:r>
      <w:r w:rsidRPr="000E4377">
        <w:rPr>
          <w:sz w:val="24"/>
          <w:szCs w:val="24"/>
        </w:rPr>
        <w:tab/>
        <w:t>The C</w:t>
      </w:r>
      <w:r w:rsidRPr="000E4377">
        <w:rPr>
          <w:spacing w:val="-3"/>
          <w:sz w:val="24"/>
          <w:szCs w:val="24"/>
        </w:rPr>
        <w:t xml:space="preserve">omplainant carries the burden of showing that the named utility is responsible or accountable for the problem described in the Complaint in order to prevail.  </w:t>
      </w:r>
      <w:r w:rsidRPr="000E4377">
        <w:rPr>
          <w:i/>
          <w:spacing w:val="-3"/>
          <w:sz w:val="24"/>
          <w:szCs w:val="24"/>
        </w:rPr>
        <w:t>Patterson v. Bell Telephone Company of Pennsylvania</w:t>
      </w:r>
      <w:r w:rsidRPr="000E4377">
        <w:rPr>
          <w:spacing w:val="-3"/>
          <w:sz w:val="24"/>
          <w:szCs w:val="24"/>
        </w:rPr>
        <w:t xml:space="preserve">, 72 Pa. PUC 196 (1990); </w:t>
      </w:r>
      <w:r w:rsidRPr="000E4377">
        <w:rPr>
          <w:i/>
          <w:spacing w:val="-3"/>
          <w:sz w:val="24"/>
          <w:szCs w:val="24"/>
        </w:rPr>
        <w:t>Feinstein v. Philadelphia Suburban Water Company</w:t>
      </w:r>
      <w:r w:rsidRPr="000E4377">
        <w:rPr>
          <w:spacing w:val="-3"/>
          <w:sz w:val="24"/>
          <w:szCs w:val="24"/>
        </w:rPr>
        <w:t xml:space="preserve">, 50 Pa. PUC 300 (1976).  This must be shown by a preponderance of the evidence.  </w:t>
      </w:r>
      <w:r w:rsidRPr="000E4377">
        <w:rPr>
          <w:i/>
          <w:spacing w:val="-3"/>
          <w:sz w:val="24"/>
          <w:szCs w:val="24"/>
        </w:rPr>
        <w:t>Samuel J. Lansberry, Inc. v. PA Public Utility Comm’n</w:t>
      </w:r>
      <w:r w:rsidRPr="000E4377">
        <w:rPr>
          <w:spacing w:val="-3"/>
          <w:sz w:val="24"/>
          <w:szCs w:val="24"/>
        </w:rPr>
        <w:t xml:space="preserve">, 578 A.2d 600 (1990), </w:t>
      </w:r>
      <w:r w:rsidRPr="000E4377">
        <w:rPr>
          <w:i/>
          <w:spacing w:val="-3"/>
          <w:sz w:val="24"/>
          <w:szCs w:val="24"/>
        </w:rPr>
        <w:t>alloc. den.</w:t>
      </w:r>
      <w:r w:rsidRPr="000E4377">
        <w:rPr>
          <w:spacing w:val="-3"/>
          <w:sz w:val="24"/>
          <w:szCs w:val="24"/>
        </w:rPr>
        <w:t xml:space="preserve">, 602 A.2d 863 (1992).  That is, by presenting evidence more convincing, by even the smallest amount, than that presented by the other party.  </w:t>
      </w:r>
      <w:r w:rsidRPr="000E4377">
        <w:rPr>
          <w:i/>
          <w:spacing w:val="-3"/>
          <w:sz w:val="24"/>
          <w:szCs w:val="24"/>
        </w:rPr>
        <w:t>Se-Ling Hosiery v. Marqulies</w:t>
      </w:r>
      <w:r w:rsidRPr="000E4377">
        <w:rPr>
          <w:spacing w:val="-3"/>
          <w:sz w:val="24"/>
          <w:szCs w:val="24"/>
        </w:rPr>
        <w:t xml:space="preserve">, 70 A.2d 854 (1950).  </w:t>
      </w:r>
    </w:p>
    <w:p w:rsidR="000E4377" w:rsidRPr="000E4377" w:rsidRDefault="000E4377" w:rsidP="000E4377">
      <w:pPr>
        <w:spacing w:line="360" w:lineRule="auto"/>
        <w:ind w:firstLine="1440"/>
        <w:rPr>
          <w:spacing w:val="-3"/>
          <w:sz w:val="24"/>
          <w:szCs w:val="24"/>
        </w:rPr>
      </w:pPr>
    </w:p>
    <w:p w:rsidR="000E4377" w:rsidRPr="000E4377" w:rsidRDefault="000E4377" w:rsidP="000E4377">
      <w:pPr>
        <w:spacing w:line="360" w:lineRule="auto"/>
        <w:ind w:firstLine="1440"/>
        <w:rPr>
          <w:spacing w:val="-3"/>
          <w:sz w:val="24"/>
          <w:szCs w:val="24"/>
        </w:rPr>
      </w:pPr>
      <w:r w:rsidRPr="000E4377">
        <w:rPr>
          <w:spacing w:val="-3"/>
          <w:sz w:val="24"/>
          <w:szCs w:val="24"/>
        </w:rPr>
        <w:t xml:space="preserve">Additionally, any finding of fact necessary to support the Commission’s adjudication must be based upon substantial evidence.  </w:t>
      </w:r>
      <w:r w:rsidRPr="000E4377">
        <w:rPr>
          <w:i/>
          <w:spacing w:val="-3"/>
          <w:sz w:val="24"/>
          <w:szCs w:val="24"/>
        </w:rPr>
        <w:t xml:space="preserve">Mill v. </w:t>
      </w:r>
      <w:proofErr w:type="spellStart"/>
      <w:r w:rsidRPr="000E4377">
        <w:rPr>
          <w:i/>
          <w:spacing w:val="-3"/>
          <w:sz w:val="24"/>
          <w:szCs w:val="24"/>
        </w:rPr>
        <w:t>Comm’w</w:t>
      </w:r>
      <w:proofErr w:type="spellEnd"/>
      <w:r w:rsidRPr="000E4377">
        <w:rPr>
          <w:i/>
          <w:spacing w:val="-3"/>
          <w:sz w:val="24"/>
          <w:szCs w:val="24"/>
        </w:rPr>
        <w:t>., PA Public Utility Comm’n</w:t>
      </w:r>
      <w:r w:rsidRPr="000E4377">
        <w:rPr>
          <w:spacing w:val="-3"/>
          <w:sz w:val="24"/>
          <w:szCs w:val="24"/>
        </w:rPr>
        <w:t xml:space="preserve">, 447 A.2d 1100 (1982); </w:t>
      </w:r>
      <w:r w:rsidRPr="000E4377">
        <w:rPr>
          <w:i/>
          <w:spacing w:val="-3"/>
          <w:sz w:val="24"/>
          <w:szCs w:val="24"/>
        </w:rPr>
        <w:t>Edan Transportation Corp. v. PA Public Utility Comm’n,</w:t>
      </w:r>
      <w:r w:rsidRPr="000E4377">
        <w:rPr>
          <w:spacing w:val="-3"/>
          <w:sz w:val="24"/>
          <w:szCs w:val="24"/>
        </w:rPr>
        <w:t xml:space="preserve"> 623 A.2d 6 (1993), 2 Pa.C.S. §704.  More is required than a mere trace of evidence or a suspicion of the existence of a fact sought to be established.  </w:t>
      </w:r>
      <w:r w:rsidRPr="000E4377">
        <w:rPr>
          <w:i/>
          <w:spacing w:val="-3"/>
          <w:sz w:val="24"/>
          <w:szCs w:val="24"/>
        </w:rPr>
        <w:t>Norfolk and Western Ry. v. PA Public Utility Comm’n</w:t>
      </w:r>
      <w:r w:rsidRPr="000E4377">
        <w:rPr>
          <w:spacing w:val="-3"/>
          <w:sz w:val="24"/>
          <w:szCs w:val="24"/>
        </w:rPr>
        <w:t xml:space="preserve">, 413 A.2d 1037 (1980); </w:t>
      </w:r>
      <w:r w:rsidRPr="000E4377">
        <w:rPr>
          <w:i/>
          <w:spacing w:val="-3"/>
          <w:sz w:val="24"/>
          <w:szCs w:val="24"/>
        </w:rPr>
        <w:t>Erie Resistor Corp. v. Unemployment Compensation Bd. of Review</w:t>
      </w:r>
      <w:r w:rsidRPr="000E4377">
        <w:rPr>
          <w:spacing w:val="-3"/>
          <w:sz w:val="24"/>
          <w:szCs w:val="24"/>
        </w:rPr>
        <w:t xml:space="preserve">, 166 A.2d 96 (1960); </w:t>
      </w:r>
      <w:r w:rsidRPr="000E4377">
        <w:rPr>
          <w:i/>
          <w:spacing w:val="-3"/>
          <w:sz w:val="24"/>
          <w:szCs w:val="24"/>
        </w:rPr>
        <w:t xml:space="preserve">Murphy v. Commonwealth, Dep’t. of Public Welfare, </w:t>
      </w:r>
      <w:smartTag w:uri="urn:schemas-microsoft-com:office:smarttags" w:element="place">
        <w:smartTag w:uri="urn:schemas-microsoft-com:office:smarttags" w:element="PlaceName">
          <w:r w:rsidRPr="000E4377">
            <w:rPr>
              <w:i/>
              <w:spacing w:val="-3"/>
              <w:sz w:val="24"/>
              <w:szCs w:val="24"/>
            </w:rPr>
            <w:t>White</w:t>
          </w:r>
        </w:smartTag>
        <w:r w:rsidRPr="000E4377">
          <w:rPr>
            <w:i/>
            <w:spacing w:val="-3"/>
            <w:sz w:val="24"/>
            <w:szCs w:val="24"/>
          </w:rPr>
          <w:t xml:space="preserve"> </w:t>
        </w:r>
        <w:smartTag w:uri="urn:schemas-microsoft-com:office:smarttags" w:element="PlaceName">
          <w:r w:rsidRPr="000E4377">
            <w:rPr>
              <w:i/>
              <w:spacing w:val="-3"/>
              <w:sz w:val="24"/>
              <w:szCs w:val="24"/>
            </w:rPr>
            <w:t>Haven</w:t>
          </w:r>
        </w:smartTag>
        <w:r w:rsidRPr="000E4377">
          <w:rPr>
            <w:i/>
            <w:spacing w:val="-3"/>
            <w:sz w:val="24"/>
            <w:szCs w:val="24"/>
          </w:rPr>
          <w:t xml:space="preserve"> </w:t>
        </w:r>
        <w:smartTag w:uri="urn:schemas-microsoft-com:office:smarttags" w:element="PlaceType">
          <w:r w:rsidRPr="000E4377">
            <w:rPr>
              <w:i/>
              <w:spacing w:val="-3"/>
              <w:sz w:val="24"/>
              <w:szCs w:val="24"/>
            </w:rPr>
            <w:t>Center</w:t>
          </w:r>
        </w:smartTag>
      </w:smartTag>
      <w:r w:rsidRPr="000E4377">
        <w:rPr>
          <w:spacing w:val="-3"/>
          <w:sz w:val="24"/>
          <w:szCs w:val="24"/>
        </w:rPr>
        <w:t>, 480 A.2d 382 (1984).</w:t>
      </w:r>
    </w:p>
    <w:p w:rsidR="000E4377" w:rsidRPr="000E4377" w:rsidRDefault="000E4377" w:rsidP="000E4377">
      <w:pPr>
        <w:spacing w:line="360" w:lineRule="auto"/>
        <w:ind w:firstLine="1440"/>
        <w:rPr>
          <w:spacing w:val="-3"/>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 xml:space="preserve">In addition, the offense must be a violation of the Public Utility Code, the Commission’s regulations, or an outstanding order of the Commission.  66 Pa. C.S. § 701.  </w:t>
      </w:r>
    </w:p>
    <w:p w:rsidR="000E4377" w:rsidRPr="000E4377" w:rsidRDefault="000E4377" w:rsidP="000E4377">
      <w:pPr>
        <w:spacing w:line="360" w:lineRule="auto"/>
        <w:rPr>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Complainant is responsible for proving that the utility has acted improperly, for providing the evidence, in the form of documents, testimony or photographs necessary to support that finding, and that the Commission has the jurisdiction to provide the remedy.</w:t>
      </w:r>
    </w:p>
    <w:p w:rsidR="00565F86" w:rsidRDefault="00565F86" w:rsidP="000E4377">
      <w:pPr>
        <w:spacing w:line="360" w:lineRule="auto"/>
        <w:jc w:val="center"/>
        <w:rPr>
          <w:b/>
          <w:sz w:val="24"/>
          <w:szCs w:val="24"/>
        </w:rPr>
      </w:pPr>
    </w:p>
    <w:p w:rsidR="000E4377" w:rsidRPr="000E4377" w:rsidRDefault="000E4377" w:rsidP="000E4377">
      <w:pPr>
        <w:spacing w:line="360" w:lineRule="auto"/>
        <w:jc w:val="center"/>
        <w:rPr>
          <w:b/>
          <w:sz w:val="24"/>
          <w:szCs w:val="24"/>
        </w:rPr>
      </w:pPr>
      <w:r w:rsidRPr="000E4377">
        <w:rPr>
          <w:b/>
          <w:sz w:val="24"/>
          <w:szCs w:val="24"/>
        </w:rPr>
        <w:t>ORDER</w:t>
      </w:r>
    </w:p>
    <w:p w:rsidR="000E4377" w:rsidRDefault="000E4377" w:rsidP="000E4377">
      <w:pPr>
        <w:spacing w:line="360" w:lineRule="auto"/>
        <w:jc w:val="center"/>
        <w:rPr>
          <w:b/>
          <w:sz w:val="24"/>
          <w:szCs w:val="24"/>
        </w:rPr>
      </w:pPr>
    </w:p>
    <w:p w:rsidR="00565F86" w:rsidRPr="000E4377" w:rsidRDefault="00565F86" w:rsidP="000E4377">
      <w:pPr>
        <w:spacing w:line="360" w:lineRule="auto"/>
        <w:jc w:val="center"/>
        <w:rPr>
          <w:b/>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THEREFORE,</w:t>
      </w:r>
    </w:p>
    <w:p w:rsidR="000E4377" w:rsidRPr="000E4377" w:rsidRDefault="000E4377" w:rsidP="000E4377">
      <w:pPr>
        <w:spacing w:line="360" w:lineRule="auto"/>
        <w:rPr>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IT IS ORDERED:</w:t>
      </w:r>
    </w:p>
    <w:p w:rsidR="000E4377" w:rsidRPr="000E4377" w:rsidRDefault="000E4377" w:rsidP="000E4377">
      <w:pPr>
        <w:spacing w:line="360" w:lineRule="auto"/>
        <w:rPr>
          <w:sz w:val="24"/>
          <w:szCs w:val="24"/>
        </w:rPr>
      </w:pPr>
    </w:p>
    <w:p w:rsidR="000E4377" w:rsidRPr="000E4377" w:rsidRDefault="000E4377" w:rsidP="000E4377">
      <w:pPr>
        <w:spacing w:line="360" w:lineRule="auto"/>
        <w:rPr>
          <w:sz w:val="24"/>
          <w:szCs w:val="24"/>
        </w:rPr>
      </w:pPr>
      <w:r w:rsidRPr="000E4377">
        <w:rPr>
          <w:sz w:val="24"/>
          <w:szCs w:val="24"/>
        </w:rPr>
        <w:tab/>
      </w:r>
      <w:r w:rsidRPr="000E4377">
        <w:rPr>
          <w:sz w:val="24"/>
          <w:szCs w:val="24"/>
        </w:rPr>
        <w:tab/>
        <w:t>1.</w:t>
      </w:r>
      <w:r w:rsidRPr="000E4377">
        <w:rPr>
          <w:sz w:val="24"/>
          <w:szCs w:val="24"/>
        </w:rPr>
        <w:tab/>
        <w:t xml:space="preserve">That the Preliminary Objections filed by </w:t>
      </w:r>
      <w:r w:rsidR="007643F6">
        <w:rPr>
          <w:sz w:val="24"/>
          <w:szCs w:val="24"/>
        </w:rPr>
        <w:t xml:space="preserve">PPL Electric Utilities Corporation </w:t>
      </w:r>
      <w:r w:rsidRPr="000E4377">
        <w:rPr>
          <w:sz w:val="24"/>
          <w:szCs w:val="24"/>
        </w:rPr>
        <w:t xml:space="preserve">in the case captioned </w:t>
      </w:r>
      <w:bookmarkStart w:id="0" w:name="_Hlk506206065"/>
      <w:r w:rsidR="007643F6">
        <w:rPr>
          <w:i/>
          <w:sz w:val="24"/>
          <w:szCs w:val="24"/>
        </w:rPr>
        <w:t>Silver Valley Apartments v. PPL Electric Utilities Corporation</w:t>
      </w:r>
      <w:r w:rsidRPr="000E4377">
        <w:rPr>
          <w:sz w:val="24"/>
          <w:szCs w:val="24"/>
        </w:rPr>
        <w:t>, PUC Docket No. C-201</w:t>
      </w:r>
      <w:bookmarkEnd w:id="0"/>
      <w:r w:rsidR="007643F6">
        <w:rPr>
          <w:sz w:val="24"/>
          <w:szCs w:val="24"/>
        </w:rPr>
        <w:t>8-3000758</w:t>
      </w:r>
      <w:r w:rsidRPr="000E4377">
        <w:rPr>
          <w:sz w:val="24"/>
          <w:szCs w:val="24"/>
        </w:rPr>
        <w:t>, are denied.</w:t>
      </w:r>
    </w:p>
    <w:p w:rsidR="000E4377" w:rsidRPr="000E4377" w:rsidRDefault="000E4377" w:rsidP="000E4377">
      <w:pPr>
        <w:spacing w:line="360" w:lineRule="auto"/>
        <w:rPr>
          <w:sz w:val="24"/>
          <w:szCs w:val="24"/>
        </w:rPr>
      </w:pPr>
    </w:p>
    <w:p w:rsidR="000E4377" w:rsidRPr="000E4377" w:rsidRDefault="000E4377" w:rsidP="007643F6">
      <w:pPr>
        <w:spacing w:line="360" w:lineRule="auto"/>
        <w:rPr>
          <w:sz w:val="24"/>
          <w:szCs w:val="24"/>
        </w:rPr>
      </w:pPr>
      <w:r w:rsidRPr="000E4377">
        <w:rPr>
          <w:sz w:val="24"/>
          <w:szCs w:val="24"/>
        </w:rPr>
        <w:tab/>
      </w:r>
      <w:r w:rsidRPr="000E4377">
        <w:rPr>
          <w:sz w:val="24"/>
          <w:szCs w:val="24"/>
        </w:rPr>
        <w:tab/>
        <w:t>2.</w:t>
      </w:r>
      <w:r w:rsidRPr="000E4377">
        <w:rPr>
          <w:sz w:val="24"/>
          <w:szCs w:val="24"/>
        </w:rPr>
        <w:tab/>
        <w:t xml:space="preserve">That </w:t>
      </w:r>
      <w:r w:rsidR="007643F6">
        <w:rPr>
          <w:sz w:val="24"/>
          <w:szCs w:val="24"/>
        </w:rPr>
        <w:t xml:space="preserve">a call-in hearing shall be held as </w:t>
      </w:r>
      <w:r w:rsidR="004F539D">
        <w:rPr>
          <w:sz w:val="24"/>
          <w:szCs w:val="24"/>
        </w:rPr>
        <w:t xml:space="preserve">previously </w:t>
      </w:r>
      <w:r w:rsidR="007643F6">
        <w:rPr>
          <w:sz w:val="24"/>
          <w:szCs w:val="24"/>
        </w:rPr>
        <w:t xml:space="preserve">scheduled at 10:00 a.m. on Tuesday, June 26, 2018. </w:t>
      </w:r>
    </w:p>
    <w:p w:rsidR="000E4377" w:rsidRDefault="000E4377" w:rsidP="000E4377">
      <w:pPr>
        <w:spacing w:line="360" w:lineRule="auto"/>
        <w:rPr>
          <w:sz w:val="24"/>
          <w:szCs w:val="24"/>
        </w:rPr>
      </w:pPr>
      <w:r w:rsidRPr="000E4377">
        <w:rPr>
          <w:sz w:val="24"/>
          <w:szCs w:val="24"/>
        </w:rPr>
        <w:tab/>
      </w:r>
      <w:r w:rsidRPr="000E4377">
        <w:rPr>
          <w:sz w:val="24"/>
          <w:szCs w:val="24"/>
        </w:rPr>
        <w:tab/>
      </w:r>
    </w:p>
    <w:p w:rsidR="00565F86" w:rsidRPr="000E4377" w:rsidRDefault="00565F86" w:rsidP="000E4377">
      <w:pPr>
        <w:spacing w:line="360" w:lineRule="auto"/>
        <w:rPr>
          <w:sz w:val="24"/>
          <w:szCs w:val="24"/>
        </w:rPr>
      </w:pPr>
    </w:p>
    <w:p w:rsidR="000E4377" w:rsidRPr="00565F86" w:rsidRDefault="000E4377" w:rsidP="000E4377">
      <w:pPr>
        <w:rPr>
          <w:sz w:val="24"/>
          <w:szCs w:val="24"/>
          <w:u w:val="single"/>
        </w:rPr>
      </w:pPr>
      <w:r w:rsidRPr="000E4377">
        <w:rPr>
          <w:sz w:val="24"/>
          <w:szCs w:val="24"/>
        </w:rPr>
        <w:t xml:space="preserve">Date:  </w:t>
      </w:r>
      <w:r w:rsidR="007643F6">
        <w:rPr>
          <w:sz w:val="24"/>
          <w:szCs w:val="24"/>
          <w:u w:val="single"/>
        </w:rPr>
        <w:t>June 4, 2018</w:t>
      </w:r>
      <w:r w:rsidRPr="000E4377">
        <w:rPr>
          <w:sz w:val="24"/>
          <w:szCs w:val="24"/>
          <w:u w:val="single"/>
        </w:rPr>
        <w:t xml:space="preserve"> </w:t>
      </w:r>
      <w:r w:rsidR="007643F6">
        <w:rPr>
          <w:sz w:val="24"/>
          <w:szCs w:val="24"/>
          <w:u w:val="single"/>
        </w:rPr>
        <w:tab/>
      </w:r>
      <w:r w:rsidRPr="000E4377">
        <w:rPr>
          <w:sz w:val="24"/>
          <w:szCs w:val="24"/>
        </w:rPr>
        <w:tab/>
      </w:r>
      <w:r w:rsidRPr="000E4377">
        <w:rPr>
          <w:sz w:val="24"/>
          <w:szCs w:val="24"/>
        </w:rPr>
        <w:tab/>
      </w:r>
      <w:r w:rsidRPr="000E4377">
        <w:rPr>
          <w:sz w:val="24"/>
          <w:szCs w:val="24"/>
        </w:rPr>
        <w:tab/>
      </w:r>
      <w:r w:rsidR="00565F86">
        <w:rPr>
          <w:sz w:val="24"/>
          <w:szCs w:val="24"/>
        </w:rPr>
        <w:tab/>
      </w:r>
      <w:r w:rsidR="00565F86">
        <w:rPr>
          <w:sz w:val="24"/>
          <w:szCs w:val="24"/>
        </w:rPr>
        <w:tab/>
      </w:r>
      <w:r w:rsidR="00565F86">
        <w:rPr>
          <w:sz w:val="24"/>
          <w:szCs w:val="24"/>
          <w:u w:val="single"/>
        </w:rPr>
        <w:tab/>
      </w:r>
      <w:r w:rsidR="00565F86">
        <w:rPr>
          <w:sz w:val="24"/>
          <w:szCs w:val="24"/>
          <w:u w:val="single"/>
        </w:rPr>
        <w:tab/>
        <w:t>/s/</w:t>
      </w:r>
      <w:r w:rsidR="00565F86">
        <w:rPr>
          <w:sz w:val="24"/>
          <w:szCs w:val="24"/>
          <w:u w:val="single"/>
        </w:rPr>
        <w:tab/>
      </w:r>
      <w:r w:rsidR="00565F86">
        <w:rPr>
          <w:sz w:val="24"/>
          <w:szCs w:val="24"/>
          <w:u w:val="single"/>
        </w:rPr>
        <w:tab/>
      </w:r>
    </w:p>
    <w:p w:rsidR="000E4377" w:rsidRPr="000E4377" w:rsidRDefault="000E4377" w:rsidP="000E4377">
      <w:pPr>
        <w:rPr>
          <w:sz w:val="24"/>
          <w:szCs w:val="24"/>
        </w:rPr>
      </w:pPr>
      <w:r w:rsidRPr="000E4377">
        <w:rPr>
          <w:sz w:val="24"/>
          <w:szCs w:val="24"/>
        </w:rPr>
        <w:tab/>
      </w:r>
      <w:r w:rsidRPr="000E4377">
        <w:rPr>
          <w:sz w:val="24"/>
          <w:szCs w:val="24"/>
        </w:rPr>
        <w:tab/>
      </w:r>
      <w:r w:rsidRPr="000E4377">
        <w:rPr>
          <w:sz w:val="24"/>
          <w:szCs w:val="24"/>
        </w:rPr>
        <w:tab/>
      </w:r>
      <w:r w:rsidRPr="000E4377">
        <w:rPr>
          <w:sz w:val="24"/>
          <w:szCs w:val="24"/>
        </w:rPr>
        <w:tab/>
      </w:r>
      <w:r w:rsidRPr="000E4377">
        <w:rPr>
          <w:sz w:val="24"/>
          <w:szCs w:val="24"/>
        </w:rPr>
        <w:tab/>
      </w:r>
      <w:r w:rsidRPr="000E4377">
        <w:rPr>
          <w:sz w:val="24"/>
          <w:szCs w:val="24"/>
        </w:rPr>
        <w:tab/>
      </w:r>
      <w:r w:rsidR="00565F86">
        <w:rPr>
          <w:sz w:val="24"/>
          <w:szCs w:val="24"/>
        </w:rPr>
        <w:tab/>
      </w:r>
      <w:r w:rsidR="00565F86">
        <w:rPr>
          <w:sz w:val="24"/>
          <w:szCs w:val="24"/>
        </w:rPr>
        <w:tab/>
      </w:r>
      <w:r w:rsidRPr="000E4377">
        <w:rPr>
          <w:sz w:val="24"/>
          <w:szCs w:val="24"/>
        </w:rPr>
        <w:t>Elizabeth Barnes</w:t>
      </w:r>
    </w:p>
    <w:p w:rsidR="000E4377" w:rsidRPr="000E4377" w:rsidRDefault="000E4377" w:rsidP="000E4377">
      <w:pPr>
        <w:rPr>
          <w:sz w:val="24"/>
          <w:szCs w:val="24"/>
          <w:u w:val="single"/>
        </w:rPr>
      </w:pPr>
      <w:r w:rsidRPr="000E4377">
        <w:rPr>
          <w:sz w:val="24"/>
          <w:szCs w:val="24"/>
        </w:rPr>
        <w:tab/>
      </w:r>
      <w:r w:rsidRPr="000E4377">
        <w:rPr>
          <w:sz w:val="24"/>
          <w:szCs w:val="24"/>
        </w:rPr>
        <w:tab/>
      </w:r>
      <w:r w:rsidRPr="000E4377">
        <w:rPr>
          <w:sz w:val="24"/>
          <w:szCs w:val="24"/>
        </w:rPr>
        <w:tab/>
      </w:r>
      <w:r w:rsidRPr="000E4377">
        <w:rPr>
          <w:sz w:val="24"/>
          <w:szCs w:val="24"/>
        </w:rPr>
        <w:tab/>
      </w:r>
      <w:r w:rsidRPr="000E4377">
        <w:rPr>
          <w:sz w:val="24"/>
          <w:szCs w:val="24"/>
        </w:rPr>
        <w:tab/>
      </w:r>
      <w:r w:rsidRPr="000E4377">
        <w:rPr>
          <w:sz w:val="24"/>
          <w:szCs w:val="24"/>
        </w:rPr>
        <w:tab/>
      </w:r>
      <w:r w:rsidR="00565F86">
        <w:rPr>
          <w:sz w:val="24"/>
          <w:szCs w:val="24"/>
        </w:rPr>
        <w:tab/>
      </w:r>
      <w:r w:rsidR="00565F86">
        <w:rPr>
          <w:sz w:val="24"/>
          <w:szCs w:val="24"/>
        </w:rPr>
        <w:tab/>
      </w:r>
      <w:r w:rsidRPr="000E4377">
        <w:rPr>
          <w:sz w:val="24"/>
          <w:szCs w:val="24"/>
        </w:rPr>
        <w:t>Administrative Law Judge</w:t>
      </w:r>
    </w:p>
    <w:p w:rsidR="000E4377" w:rsidRPr="000E4377" w:rsidRDefault="000E4377" w:rsidP="000E4377">
      <w:pPr>
        <w:spacing w:line="360" w:lineRule="auto"/>
        <w:rPr>
          <w:sz w:val="24"/>
          <w:szCs w:val="24"/>
        </w:rPr>
      </w:pPr>
    </w:p>
    <w:p w:rsidR="000E4377" w:rsidRPr="000E4377" w:rsidRDefault="000E4377" w:rsidP="000E4377">
      <w:pPr>
        <w:spacing w:line="360" w:lineRule="auto"/>
        <w:rPr>
          <w:sz w:val="24"/>
          <w:szCs w:val="24"/>
        </w:rPr>
      </w:pPr>
    </w:p>
    <w:p w:rsidR="00565F86" w:rsidRDefault="000E4377" w:rsidP="000E4377">
      <w:pPr>
        <w:spacing w:line="360" w:lineRule="auto"/>
        <w:rPr>
          <w:sz w:val="24"/>
          <w:szCs w:val="24"/>
        </w:rPr>
        <w:sectPr w:rsidR="00565F86" w:rsidSect="005F452A">
          <w:footerReference w:type="even" r:id="rId8"/>
          <w:footerReference w:type="default" r:id="rId9"/>
          <w:pgSz w:w="12240" w:h="15840" w:code="1"/>
          <w:pgMar w:top="1440" w:right="1440" w:bottom="1440" w:left="1440" w:header="720" w:footer="720" w:gutter="0"/>
          <w:cols w:space="720"/>
          <w:titlePg/>
          <w:docGrid w:linePitch="360"/>
        </w:sectPr>
      </w:pPr>
      <w:r w:rsidRPr="000E4377">
        <w:rPr>
          <w:sz w:val="24"/>
          <w:szCs w:val="24"/>
        </w:rPr>
        <w:tab/>
      </w:r>
    </w:p>
    <w:p w:rsidR="00565F86" w:rsidRDefault="00565F86" w:rsidP="00565F86">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C-2018-3000758 - SILVER VALLEY APARTMENTS v. PPL ELECTRIC UTILITIES CORPORATION</w:t>
      </w:r>
      <w:r>
        <w:rPr>
          <w:rFonts w:ascii="Microsoft Sans Serif" w:eastAsia="Microsoft Sans Serif" w:hAnsi="Microsoft Sans Serif" w:cs="Microsoft Sans Serif"/>
          <w:b/>
          <w:sz w:val="24"/>
          <w:u w:val="single"/>
        </w:rPr>
        <w:cr/>
      </w:r>
    </w:p>
    <w:p w:rsidR="00565F86" w:rsidRDefault="00565F86" w:rsidP="00565F86">
      <w:pPr>
        <w:contextualSpacing/>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MIKE VIANELLO ACCOUNTANT</w:t>
      </w:r>
      <w:r>
        <w:rPr>
          <w:rFonts w:ascii="Microsoft Sans Serif" w:eastAsia="Microsoft Sans Serif" w:hAnsi="Microsoft Sans Serif" w:cs="Microsoft Sans Serif"/>
          <w:sz w:val="24"/>
        </w:rPr>
        <w:cr/>
        <w:t>SILVER VALLEY APARTMENTS</w:t>
      </w:r>
      <w:r>
        <w:rPr>
          <w:rFonts w:ascii="Microsoft Sans Serif" w:eastAsia="Microsoft Sans Serif" w:hAnsi="Microsoft Sans Serif" w:cs="Microsoft Sans Serif"/>
          <w:sz w:val="24"/>
        </w:rPr>
        <w:cr/>
        <w:t>258-1 SILVER VALLEY ROAD</w:t>
      </w:r>
      <w:r>
        <w:rPr>
          <w:rFonts w:ascii="Microsoft Sans Serif" w:eastAsia="Microsoft Sans Serif" w:hAnsi="Microsoft Sans Serif" w:cs="Microsoft Sans Serif"/>
          <w:sz w:val="24"/>
        </w:rPr>
        <w:cr/>
        <w:t>SAYLORSBURG PA  18353</w:t>
      </w:r>
      <w:r>
        <w:rPr>
          <w:rFonts w:ascii="Microsoft Sans Serif" w:eastAsia="Microsoft Sans Serif" w:hAnsi="Microsoft Sans Serif" w:cs="Microsoft Sans Serif"/>
          <w:sz w:val="24"/>
        </w:rPr>
        <w:cr/>
      </w:r>
      <w:r w:rsidRPr="009B4261">
        <w:rPr>
          <w:rFonts w:ascii="Microsoft Sans Serif" w:eastAsia="Microsoft Sans Serif" w:hAnsi="Microsoft Sans Serif" w:cs="Microsoft Sans Serif"/>
          <w:b/>
          <w:sz w:val="24"/>
        </w:rPr>
        <w:t>570.234.4060</w:t>
      </w:r>
      <w:r w:rsidRPr="009B426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9B4261">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rsidR="00565F86" w:rsidRDefault="00565F86" w:rsidP="00565F86">
      <w:pPr>
        <w:contextualSpacing/>
      </w:pPr>
    </w:p>
    <w:p w:rsidR="000E4377" w:rsidRPr="000E4377" w:rsidRDefault="000E4377" w:rsidP="000E4377">
      <w:pPr>
        <w:spacing w:line="360" w:lineRule="auto"/>
        <w:rPr>
          <w:sz w:val="24"/>
          <w:szCs w:val="24"/>
        </w:rPr>
      </w:pPr>
      <w:bookmarkStart w:id="1" w:name="_GoBack"/>
      <w:bookmarkEnd w:id="1"/>
    </w:p>
    <w:sectPr w:rsidR="000E4377" w:rsidRPr="000E437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36" w:rsidRDefault="00695236">
      <w:r>
        <w:separator/>
      </w:r>
    </w:p>
  </w:endnote>
  <w:endnote w:type="continuationSeparator" w:id="0">
    <w:p w:rsidR="00695236" w:rsidRDefault="0069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26140">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F86" w:rsidRDefault="00565F86" w:rsidP="000A001F">
    <w:pPr>
      <w:pStyle w:val="Footer"/>
      <w:jc w:val="right"/>
      <w:rPr>
        <w:rStyle w:val="PageNumbe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36" w:rsidRDefault="00695236">
      <w:r>
        <w:separator/>
      </w:r>
    </w:p>
  </w:footnote>
  <w:footnote w:type="continuationSeparator" w:id="0">
    <w:p w:rsidR="00695236" w:rsidRDefault="00695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7E331A"/>
    <w:multiLevelType w:val="hybridMultilevel"/>
    <w:tmpl w:val="6F207A0E"/>
    <w:lvl w:ilvl="0" w:tplc="4FA0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18F6CEF"/>
    <w:multiLevelType w:val="hybridMultilevel"/>
    <w:tmpl w:val="7618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120DD"/>
    <w:multiLevelType w:val="hybridMultilevel"/>
    <w:tmpl w:val="DC123A88"/>
    <w:lvl w:ilvl="0" w:tplc="BB16E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5" w15:restartNumberingAfterBreak="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8"/>
  </w:num>
  <w:num w:numId="3">
    <w:abstractNumId w:val="24"/>
  </w:num>
  <w:num w:numId="4">
    <w:abstractNumId w:val="2"/>
  </w:num>
  <w:num w:numId="5">
    <w:abstractNumId w:val="20"/>
  </w:num>
  <w:num w:numId="6">
    <w:abstractNumId w:val="10"/>
  </w:num>
  <w:num w:numId="7">
    <w:abstractNumId w:val="7"/>
  </w:num>
  <w:num w:numId="8">
    <w:abstractNumId w:val="0"/>
  </w:num>
  <w:num w:numId="9">
    <w:abstractNumId w:val="21"/>
  </w:num>
  <w:num w:numId="10">
    <w:abstractNumId w:val="25"/>
  </w:num>
  <w:num w:numId="11">
    <w:abstractNumId w:val="23"/>
  </w:num>
  <w:num w:numId="12">
    <w:abstractNumId w:val="34"/>
  </w:num>
  <w:num w:numId="13">
    <w:abstractNumId w:val="1"/>
  </w:num>
  <w:num w:numId="14">
    <w:abstractNumId w:val="8"/>
  </w:num>
  <w:num w:numId="15">
    <w:abstractNumId w:val="29"/>
  </w:num>
  <w:num w:numId="16">
    <w:abstractNumId w:val="31"/>
  </w:num>
  <w:num w:numId="17">
    <w:abstractNumId w:val="13"/>
  </w:num>
  <w:num w:numId="18">
    <w:abstractNumId w:val="5"/>
  </w:num>
  <w:num w:numId="19">
    <w:abstractNumId w:val="26"/>
  </w:num>
  <w:num w:numId="20">
    <w:abstractNumId w:val="3"/>
  </w:num>
  <w:num w:numId="21">
    <w:abstractNumId w:val="6"/>
  </w:num>
  <w:num w:numId="22">
    <w:abstractNumId w:val="18"/>
  </w:num>
  <w:num w:numId="23">
    <w:abstractNumId w:val="19"/>
  </w:num>
  <w:num w:numId="24">
    <w:abstractNumId w:val="33"/>
  </w:num>
  <w:num w:numId="25">
    <w:abstractNumId w:val="30"/>
  </w:num>
  <w:num w:numId="26">
    <w:abstractNumId w:val="4"/>
  </w:num>
  <w:num w:numId="27">
    <w:abstractNumId w:val="22"/>
  </w:num>
  <w:num w:numId="28">
    <w:abstractNumId w:val="12"/>
  </w:num>
  <w:num w:numId="29">
    <w:abstractNumId w:val="16"/>
  </w:num>
  <w:num w:numId="30">
    <w:abstractNumId w:val="9"/>
  </w:num>
  <w:num w:numId="31">
    <w:abstractNumId w:val="32"/>
  </w:num>
  <w:num w:numId="32">
    <w:abstractNumId w:val="27"/>
  </w:num>
  <w:num w:numId="33">
    <w:abstractNumId w:val="15"/>
  </w:num>
  <w:num w:numId="34">
    <w:abstractNumId w:val="1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C3"/>
    <w:rsid w:val="00003ED9"/>
    <w:rsid w:val="00020AB1"/>
    <w:rsid w:val="00022997"/>
    <w:rsid w:val="00022D67"/>
    <w:rsid w:val="0002304B"/>
    <w:rsid w:val="00023A1C"/>
    <w:rsid w:val="0002512E"/>
    <w:rsid w:val="000334AA"/>
    <w:rsid w:val="00034A86"/>
    <w:rsid w:val="00035C05"/>
    <w:rsid w:val="00035E78"/>
    <w:rsid w:val="000376EF"/>
    <w:rsid w:val="00042626"/>
    <w:rsid w:val="00046733"/>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A285B"/>
    <w:rsid w:val="000B5F6A"/>
    <w:rsid w:val="000C6F32"/>
    <w:rsid w:val="000D2CE8"/>
    <w:rsid w:val="000E0BD8"/>
    <w:rsid w:val="000E0EFD"/>
    <w:rsid w:val="000E277A"/>
    <w:rsid w:val="000E2934"/>
    <w:rsid w:val="000E3F6F"/>
    <w:rsid w:val="000E4377"/>
    <w:rsid w:val="000E6B17"/>
    <w:rsid w:val="000F0833"/>
    <w:rsid w:val="000F1894"/>
    <w:rsid w:val="000F1F62"/>
    <w:rsid w:val="000F2F0A"/>
    <w:rsid w:val="000F6118"/>
    <w:rsid w:val="0010177F"/>
    <w:rsid w:val="00101D68"/>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57791"/>
    <w:rsid w:val="001620CA"/>
    <w:rsid w:val="00162898"/>
    <w:rsid w:val="00176F82"/>
    <w:rsid w:val="0018160C"/>
    <w:rsid w:val="00187B87"/>
    <w:rsid w:val="001930DE"/>
    <w:rsid w:val="00193B6C"/>
    <w:rsid w:val="001A4CC0"/>
    <w:rsid w:val="001A4EEB"/>
    <w:rsid w:val="001A721E"/>
    <w:rsid w:val="001B123C"/>
    <w:rsid w:val="001B3235"/>
    <w:rsid w:val="001C20B7"/>
    <w:rsid w:val="001C715B"/>
    <w:rsid w:val="001D14DA"/>
    <w:rsid w:val="001D3206"/>
    <w:rsid w:val="001D6FCF"/>
    <w:rsid w:val="001E4FAC"/>
    <w:rsid w:val="001F0787"/>
    <w:rsid w:val="001F08B4"/>
    <w:rsid w:val="001F2116"/>
    <w:rsid w:val="001F3112"/>
    <w:rsid w:val="001F6FC1"/>
    <w:rsid w:val="001F7F73"/>
    <w:rsid w:val="0020095D"/>
    <w:rsid w:val="00200D69"/>
    <w:rsid w:val="00202FE3"/>
    <w:rsid w:val="00215221"/>
    <w:rsid w:val="00220C5E"/>
    <w:rsid w:val="00223E7E"/>
    <w:rsid w:val="00234619"/>
    <w:rsid w:val="0023520D"/>
    <w:rsid w:val="00235C44"/>
    <w:rsid w:val="00236FF7"/>
    <w:rsid w:val="002416AB"/>
    <w:rsid w:val="0024496F"/>
    <w:rsid w:val="00244D86"/>
    <w:rsid w:val="00246A1F"/>
    <w:rsid w:val="00251D19"/>
    <w:rsid w:val="0025370D"/>
    <w:rsid w:val="00253FC4"/>
    <w:rsid w:val="00260D19"/>
    <w:rsid w:val="0027270B"/>
    <w:rsid w:val="002732DC"/>
    <w:rsid w:val="002739D7"/>
    <w:rsid w:val="0028114B"/>
    <w:rsid w:val="0028185A"/>
    <w:rsid w:val="00281CAD"/>
    <w:rsid w:val="00290918"/>
    <w:rsid w:val="002919C6"/>
    <w:rsid w:val="00293557"/>
    <w:rsid w:val="002959E3"/>
    <w:rsid w:val="002A7C1C"/>
    <w:rsid w:val="002B19D4"/>
    <w:rsid w:val="002B3489"/>
    <w:rsid w:val="002B4EAE"/>
    <w:rsid w:val="002C3FDE"/>
    <w:rsid w:val="002C486F"/>
    <w:rsid w:val="002D13C5"/>
    <w:rsid w:val="002D554B"/>
    <w:rsid w:val="002D6A19"/>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A14"/>
    <w:rsid w:val="00346E30"/>
    <w:rsid w:val="003539D2"/>
    <w:rsid w:val="00354E6F"/>
    <w:rsid w:val="0035737A"/>
    <w:rsid w:val="00364519"/>
    <w:rsid w:val="003657A8"/>
    <w:rsid w:val="00375C52"/>
    <w:rsid w:val="00380450"/>
    <w:rsid w:val="00380AD7"/>
    <w:rsid w:val="00382B1A"/>
    <w:rsid w:val="003857DF"/>
    <w:rsid w:val="00386CDC"/>
    <w:rsid w:val="00392382"/>
    <w:rsid w:val="00394493"/>
    <w:rsid w:val="003959AC"/>
    <w:rsid w:val="00395E03"/>
    <w:rsid w:val="00396B93"/>
    <w:rsid w:val="00396DE1"/>
    <w:rsid w:val="003A167D"/>
    <w:rsid w:val="003B715B"/>
    <w:rsid w:val="003C050F"/>
    <w:rsid w:val="003C0716"/>
    <w:rsid w:val="003C3664"/>
    <w:rsid w:val="003C7143"/>
    <w:rsid w:val="003D139F"/>
    <w:rsid w:val="003D15FA"/>
    <w:rsid w:val="003D77FF"/>
    <w:rsid w:val="003D7EC6"/>
    <w:rsid w:val="003E292B"/>
    <w:rsid w:val="003E594B"/>
    <w:rsid w:val="003F155A"/>
    <w:rsid w:val="003F202D"/>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53B16"/>
    <w:rsid w:val="0046339D"/>
    <w:rsid w:val="00473B14"/>
    <w:rsid w:val="00476C8A"/>
    <w:rsid w:val="004777D0"/>
    <w:rsid w:val="00486535"/>
    <w:rsid w:val="00490174"/>
    <w:rsid w:val="004917C1"/>
    <w:rsid w:val="00491C99"/>
    <w:rsid w:val="00495450"/>
    <w:rsid w:val="00495B88"/>
    <w:rsid w:val="004A1805"/>
    <w:rsid w:val="004A5AD6"/>
    <w:rsid w:val="004B4C99"/>
    <w:rsid w:val="004C2124"/>
    <w:rsid w:val="004C3EFA"/>
    <w:rsid w:val="004D1B54"/>
    <w:rsid w:val="004D3108"/>
    <w:rsid w:val="004D46FD"/>
    <w:rsid w:val="004D65F3"/>
    <w:rsid w:val="004E187E"/>
    <w:rsid w:val="004E20CB"/>
    <w:rsid w:val="004E2912"/>
    <w:rsid w:val="004E2B03"/>
    <w:rsid w:val="004E533F"/>
    <w:rsid w:val="004F01FA"/>
    <w:rsid w:val="004F2D3D"/>
    <w:rsid w:val="004F539D"/>
    <w:rsid w:val="005032B5"/>
    <w:rsid w:val="00515937"/>
    <w:rsid w:val="00517AD1"/>
    <w:rsid w:val="00523780"/>
    <w:rsid w:val="00526B2A"/>
    <w:rsid w:val="00530D1B"/>
    <w:rsid w:val="00531226"/>
    <w:rsid w:val="00531409"/>
    <w:rsid w:val="00532A03"/>
    <w:rsid w:val="00535DF7"/>
    <w:rsid w:val="00540F3D"/>
    <w:rsid w:val="00542107"/>
    <w:rsid w:val="00553EEB"/>
    <w:rsid w:val="005619B0"/>
    <w:rsid w:val="00564C41"/>
    <w:rsid w:val="00565F86"/>
    <w:rsid w:val="0056706A"/>
    <w:rsid w:val="005701DB"/>
    <w:rsid w:val="005755EF"/>
    <w:rsid w:val="00577322"/>
    <w:rsid w:val="00582896"/>
    <w:rsid w:val="00584798"/>
    <w:rsid w:val="0059070D"/>
    <w:rsid w:val="00592C86"/>
    <w:rsid w:val="005A33D0"/>
    <w:rsid w:val="005B083F"/>
    <w:rsid w:val="005B13B6"/>
    <w:rsid w:val="005B250B"/>
    <w:rsid w:val="005B3C00"/>
    <w:rsid w:val="005B6749"/>
    <w:rsid w:val="005B7834"/>
    <w:rsid w:val="005C28EC"/>
    <w:rsid w:val="005C2971"/>
    <w:rsid w:val="005C3634"/>
    <w:rsid w:val="005D19C4"/>
    <w:rsid w:val="005D2DEE"/>
    <w:rsid w:val="005D4D0C"/>
    <w:rsid w:val="005D5E04"/>
    <w:rsid w:val="005D6656"/>
    <w:rsid w:val="005E2068"/>
    <w:rsid w:val="005E3007"/>
    <w:rsid w:val="005E5A56"/>
    <w:rsid w:val="005E6321"/>
    <w:rsid w:val="005E6C27"/>
    <w:rsid w:val="005E78AE"/>
    <w:rsid w:val="005F17F5"/>
    <w:rsid w:val="005F38EC"/>
    <w:rsid w:val="005F3B50"/>
    <w:rsid w:val="005F452A"/>
    <w:rsid w:val="006034D3"/>
    <w:rsid w:val="0062087D"/>
    <w:rsid w:val="006215E0"/>
    <w:rsid w:val="006306EB"/>
    <w:rsid w:val="00631220"/>
    <w:rsid w:val="00634A5C"/>
    <w:rsid w:val="006352B9"/>
    <w:rsid w:val="00641596"/>
    <w:rsid w:val="0064329B"/>
    <w:rsid w:val="006441F5"/>
    <w:rsid w:val="00644E60"/>
    <w:rsid w:val="00645B55"/>
    <w:rsid w:val="00652C21"/>
    <w:rsid w:val="0066237B"/>
    <w:rsid w:val="006656FC"/>
    <w:rsid w:val="00675607"/>
    <w:rsid w:val="00675986"/>
    <w:rsid w:val="00695236"/>
    <w:rsid w:val="00695694"/>
    <w:rsid w:val="006A21C2"/>
    <w:rsid w:val="006A3B47"/>
    <w:rsid w:val="006A7A0A"/>
    <w:rsid w:val="006B59E7"/>
    <w:rsid w:val="006C1047"/>
    <w:rsid w:val="006C3226"/>
    <w:rsid w:val="006D4BB7"/>
    <w:rsid w:val="006D75BD"/>
    <w:rsid w:val="006E4407"/>
    <w:rsid w:val="006F44F9"/>
    <w:rsid w:val="00700D66"/>
    <w:rsid w:val="007015FC"/>
    <w:rsid w:val="007114E7"/>
    <w:rsid w:val="0071588F"/>
    <w:rsid w:val="007208D8"/>
    <w:rsid w:val="0073239A"/>
    <w:rsid w:val="0073727C"/>
    <w:rsid w:val="00744AF3"/>
    <w:rsid w:val="00747E56"/>
    <w:rsid w:val="00751672"/>
    <w:rsid w:val="0075510C"/>
    <w:rsid w:val="007643F6"/>
    <w:rsid w:val="00766C8E"/>
    <w:rsid w:val="0077255F"/>
    <w:rsid w:val="00775593"/>
    <w:rsid w:val="00782A08"/>
    <w:rsid w:val="00786153"/>
    <w:rsid w:val="00790EF3"/>
    <w:rsid w:val="00791ABB"/>
    <w:rsid w:val="00792662"/>
    <w:rsid w:val="00792C70"/>
    <w:rsid w:val="007965B0"/>
    <w:rsid w:val="007A09EF"/>
    <w:rsid w:val="007A49B5"/>
    <w:rsid w:val="007B1672"/>
    <w:rsid w:val="007B1D2D"/>
    <w:rsid w:val="007B46F9"/>
    <w:rsid w:val="007B492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5393D"/>
    <w:rsid w:val="00866264"/>
    <w:rsid w:val="008663C0"/>
    <w:rsid w:val="008746E1"/>
    <w:rsid w:val="0087572C"/>
    <w:rsid w:val="008803F7"/>
    <w:rsid w:val="00881C76"/>
    <w:rsid w:val="0088763C"/>
    <w:rsid w:val="00893B0E"/>
    <w:rsid w:val="00893F0B"/>
    <w:rsid w:val="00894839"/>
    <w:rsid w:val="0089761B"/>
    <w:rsid w:val="008A0235"/>
    <w:rsid w:val="008A60E2"/>
    <w:rsid w:val="008A6528"/>
    <w:rsid w:val="008B1A8B"/>
    <w:rsid w:val="008B282A"/>
    <w:rsid w:val="008B2B8B"/>
    <w:rsid w:val="008C0525"/>
    <w:rsid w:val="008D6D09"/>
    <w:rsid w:val="008D761F"/>
    <w:rsid w:val="008E3BE1"/>
    <w:rsid w:val="008E5A53"/>
    <w:rsid w:val="008F013A"/>
    <w:rsid w:val="008F22F9"/>
    <w:rsid w:val="008F554F"/>
    <w:rsid w:val="008F6AC3"/>
    <w:rsid w:val="00903664"/>
    <w:rsid w:val="009077E3"/>
    <w:rsid w:val="00910EF2"/>
    <w:rsid w:val="00913B17"/>
    <w:rsid w:val="009166DD"/>
    <w:rsid w:val="0091672D"/>
    <w:rsid w:val="00922660"/>
    <w:rsid w:val="00922FE6"/>
    <w:rsid w:val="0093170C"/>
    <w:rsid w:val="009342E4"/>
    <w:rsid w:val="009445E9"/>
    <w:rsid w:val="00947175"/>
    <w:rsid w:val="009542EA"/>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37BF"/>
    <w:rsid w:val="009B44FC"/>
    <w:rsid w:val="009C22D0"/>
    <w:rsid w:val="009D5A08"/>
    <w:rsid w:val="009E5C59"/>
    <w:rsid w:val="009E69A1"/>
    <w:rsid w:val="009F24FB"/>
    <w:rsid w:val="009F4939"/>
    <w:rsid w:val="009F620C"/>
    <w:rsid w:val="009F7BD8"/>
    <w:rsid w:val="00A022C7"/>
    <w:rsid w:val="00A02D20"/>
    <w:rsid w:val="00A0627A"/>
    <w:rsid w:val="00A107BC"/>
    <w:rsid w:val="00A21506"/>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108C"/>
    <w:rsid w:val="00AC4DB7"/>
    <w:rsid w:val="00AC7513"/>
    <w:rsid w:val="00AC7FED"/>
    <w:rsid w:val="00AD0497"/>
    <w:rsid w:val="00AD0503"/>
    <w:rsid w:val="00AD0929"/>
    <w:rsid w:val="00AD27BC"/>
    <w:rsid w:val="00AD507E"/>
    <w:rsid w:val="00AE00BA"/>
    <w:rsid w:val="00AE22DE"/>
    <w:rsid w:val="00AE3E93"/>
    <w:rsid w:val="00AE6D1F"/>
    <w:rsid w:val="00AF2068"/>
    <w:rsid w:val="00AF70DA"/>
    <w:rsid w:val="00AF7EAE"/>
    <w:rsid w:val="00B03092"/>
    <w:rsid w:val="00B0541E"/>
    <w:rsid w:val="00B1189B"/>
    <w:rsid w:val="00B13849"/>
    <w:rsid w:val="00B23067"/>
    <w:rsid w:val="00B2590D"/>
    <w:rsid w:val="00B26140"/>
    <w:rsid w:val="00B32E66"/>
    <w:rsid w:val="00B34848"/>
    <w:rsid w:val="00B40019"/>
    <w:rsid w:val="00B40E21"/>
    <w:rsid w:val="00B41924"/>
    <w:rsid w:val="00B45676"/>
    <w:rsid w:val="00B45F71"/>
    <w:rsid w:val="00B5018B"/>
    <w:rsid w:val="00B57687"/>
    <w:rsid w:val="00B6151B"/>
    <w:rsid w:val="00B625D9"/>
    <w:rsid w:val="00B665D7"/>
    <w:rsid w:val="00B70860"/>
    <w:rsid w:val="00B71D02"/>
    <w:rsid w:val="00B73C5C"/>
    <w:rsid w:val="00B810E7"/>
    <w:rsid w:val="00B851F6"/>
    <w:rsid w:val="00B87994"/>
    <w:rsid w:val="00B922CF"/>
    <w:rsid w:val="00B94E3D"/>
    <w:rsid w:val="00BA47D2"/>
    <w:rsid w:val="00BA61F7"/>
    <w:rsid w:val="00BB08DD"/>
    <w:rsid w:val="00BB3104"/>
    <w:rsid w:val="00BB352A"/>
    <w:rsid w:val="00BB7304"/>
    <w:rsid w:val="00BC2D8F"/>
    <w:rsid w:val="00BC2DE6"/>
    <w:rsid w:val="00BC7240"/>
    <w:rsid w:val="00BC7AF5"/>
    <w:rsid w:val="00BD24DE"/>
    <w:rsid w:val="00BD42F1"/>
    <w:rsid w:val="00BE1D82"/>
    <w:rsid w:val="00BE5F2D"/>
    <w:rsid w:val="00BE6352"/>
    <w:rsid w:val="00BF5F04"/>
    <w:rsid w:val="00BF72A4"/>
    <w:rsid w:val="00C052E4"/>
    <w:rsid w:val="00C10931"/>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46D2"/>
    <w:rsid w:val="00C61510"/>
    <w:rsid w:val="00C61561"/>
    <w:rsid w:val="00C6581D"/>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1783C"/>
    <w:rsid w:val="00D21BFC"/>
    <w:rsid w:val="00D21D55"/>
    <w:rsid w:val="00D21EF9"/>
    <w:rsid w:val="00D22F4A"/>
    <w:rsid w:val="00D23330"/>
    <w:rsid w:val="00D32326"/>
    <w:rsid w:val="00D33638"/>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8302B"/>
    <w:rsid w:val="00D91EAF"/>
    <w:rsid w:val="00D926F9"/>
    <w:rsid w:val="00D93182"/>
    <w:rsid w:val="00D95AD6"/>
    <w:rsid w:val="00D961B5"/>
    <w:rsid w:val="00DA7FD6"/>
    <w:rsid w:val="00DB1328"/>
    <w:rsid w:val="00DB7EE0"/>
    <w:rsid w:val="00DC0E41"/>
    <w:rsid w:val="00DC4452"/>
    <w:rsid w:val="00DD1E6F"/>
    <w:rsid w:val="00DD2411"/>
    <w:rsid w:val="00DD24A0"/>
    <w:rsid w:val="00DD3E7F"/>
    <w:rsid w:val="00DE0ECC"/>
    <w:rsid w:val="00DE1193"/>
    <w:rsid w:val="00DE2348"/>
    <w:rsid w:val="00DE3943"/>
    <w:rsid w:val="00DE562E"/>
    <w:rsid w:val="00DE6FB0"/>
    <w:rsid w:val="00DE77F8"/>
    <w:rsid w:val="00DF0138"/>
    <w:rsid w:val="00DF294A"/>
    <w:rsid w:val="00DF57F5"/>
    <w:rsid w:val="00E00EAF"/>
    <w:rsid w:val="00E0236A"/>
    <w:rsid w:val="00E026D1"/>
    <w:rsid w:val="00E11739"/>
    <w:rsid w:val="00E12F72"/>
    <w:rsid w:val="00E15A2D"/>
    <w:rsid w:val="00E15B2B"/>
    <w:rsid w:val="00E23F95"/>
    <w:rsid w:val="00E267A5"/>
    <w:rsid w:val="00E32DA2"/>
    <w:rsid w:val="00E35AC9"/>
    <w:rsid w:val="00E40D52"/>
    <w:rsid w:val="00E413A9"/>
    <w:rsid w:val="00E5003A"/>
    <w:rsid w:val="00E514FA"/>
    <w:rsid w:val="00E51D1F"/>
    <w:rsid w:val="00E52738"/>
    <w:rsid w:val="00E56529"/>
    <w:rsid w:val="00E6135C"/>
    <w:rsid w:val="00E6277D"/>
    <w:rsid w:val="00E659AC"/>
    <w:rsid w:val="00E66725"/>
    <w:rsid w:val="00E67591"/>
    <w:rsid w:val="00E67A2A"/>
    <w:rsid w:val="00E728B0"/>
    <w:rsid w:val="00E75758"/>
    <w:rsid w:val="00E75BC0"/>
    <w:rsid w:val="00E81DFE"/>
    <w:rsid w:val="00E85ECC"/>
    <w:rsid w:val="00E9292D"/>
    <w:rsid w:val="00EA2B0E"/>
    <w:rsid w:val="00EA319E"/>
    <w:rsid w:val="00EA56F6"/>
    <w:rsid w:val="00EA77CE"/>
    <w:rsid w:val="00EA7CD3"/>
    <w:rsid w:val="00EB1948"/>
    <w:rsid w:val="00EB1DAB"/>
    <w:rsid w:val="00EB1EEE"/>
    <w:rsid w:val="00EC15BD"/>
    <w:rsid w:val="00EC28AA"/>
    <w:rsid w:val="00EC38D5"/>
    <w:rsid w:val="00EC41CE"/>
    <w:rsid w:val="00EC477B"/>
    <w:rsid w:val="00ED0F47"/>
    <w:rsid w:val="00EE34BE"/>
    <w:rsid w:val="00EE7E40"/>
    <w:rsid w:val="00EF6C7F"/>
    <w:rsid w:val="00F2180F"/>
    <w:rsid w:val="00F31732"/>
    <w:rsid w:val="00F31F04"/>
    <w:rsid w:val="00F327E2"/>
    <w:rsid w:val="00F34A38"/>
    <w:rsid w:val="00F375FF"/>
    <w:rsid w:val="00F46DBB"/>
    <w:rsid w:val="00F50C2B"/>
    <w:rsid w:val="00F566E6"/>
    <w:rsid w:val="00F67159"/>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18AE"/>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277AC25"/>
  <w15:docId w15:val="{94AEB9DA-5F4F-403C-B99A-59315B04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5526-AEE3-488B-90E5-D134C1A8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Williams, Bobbie Jo</cp:lastModifiedBy>
  <cp:revision>2</cp:revision>
  <cp:lastPrinted>2018-06-05T12:35:00Z</cp:lastPrinted>
  <dcterms:created xsi:type="dcterms:W3CDTF">2018-06-05T12:35:00Z</dcterms:created>
  <dcterms:modified xsi:type="dcterms:W3CDTF">2018-06-05T12:35:00Z</dcterms:modified>
</cp:coreProperties>
</file>