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8B818" w14:textId="77777777" w:rsidR="00991980" w:rsidRDefault="00991980" w:rsidP="00991980">
      <w:pPr>
        <w:tabs>
          <w:tab w:val="center" w:pos="4680"/>
        </w:tabs>
        <w:jc w:val="center"/>
        <w:rPr>
          <w:b/>
          <w:sz w:val="24"/>
          <w:szCs w:val="24"/>
        </w:rPr>
      </w:pPr>
      <w:r>
        <w:rPr>
          <w:b/>
          <w:sz w:val="24"/>
          <w:szCs w:val="24"/>
        </w:rPr>
        <w:t>BEFORE THE</w:t>
      </w:r>
    </w:p>
    <w:p w14:paraId="684B2731" w14:textId="77777777" w:rsidR="00E01029" w:rsidRPr="0090587A" w:rsidRDefault="00E01029" w:rsidP="00E01029">
      <w:pPr>
        <w:tabs>
          <w:tab w:val="center" w:pos="4680"/>
        </w:tabs>
        <w:jc w:val="both"/>
        <w:rPr>
          <w:sz w:val="24"/>
          <w:szCs w:val="24"/>
        </w:rPr>
      </w:pPr>
      <w:r w:rsidRPr="0090587A">
        <w:rPr>
          <w:b/>
          <w:sz w:val="24"/>
          <w:szCs w:val="24"/>
        </w:rPr>
        <w:tab/>
        <w:t>PENNSYLVANIA PUBLIC UTILITY COMMISSION</w:t>
      </w:r>
    </w:p>
    <w:p w14:paraId="262B5EAA" w14:textId="77777777" w:rsidR="00E01029" w:rsidRPr="0090587A" w:rsidRDefault="00E01029" w:rsidP="00E01029">
      <w:pPr>
        <w:jc w:val="both"/>
        <w:rPr>
          <w:sz w:val="24"/>
          <w:szCs w:val="24"/>
        </w:rPr>
      </w:pPr>
    </w:p>
    <w:p w14:paraId="68DB6DC2" w14:textId="77777777" w:rsidR="00E01029" w:rsidRPr="0090587A" w:rsidRDefault="00E01029" w:rsidP="00E01029">
      <w:pPr>
        <w:jc w:val="both"/>
        <w:rPr>
          <w:sz w:val="24"/>
          <w:szCs w:val="24"/>
        </w:rPr>
      </w:pPr>
    </w:p>
    <w:p w14:paraId="450E88B0" w14:textId="77777777" w:rsidR="00E01029" w:rsidRPr="0090587A" w:rsidRDefault="00E01029" w:rsidP="00E01029">
      <w:pPr>
        <w:jc w:val="both"/>
        <w:rPr>
          <w:sz w:val="24"/>
          <w:szCs w:val="24"/>
        </w:rPr>
      </w:pPr>
    </w:p>
    <w:p w14:paraId="599EA047" w14:textId="153A794E" w:rsidR="00E01029" w:rsidRPr="001B3AAD" w:rsidRDefault="007345BE" w:rsidP="00E01029">
      <w:pPr>
        <w:jc w:val="both"/>
        <w:rPr>
          <w:sz w:val="24"/>
          <w:szCs w:val="24"/>
        </w:rPr>
      </w:pPr>
      <w:r>
        <w:rPr>
          <w:sz w:val="24"/>
          <w:szCs w:val="24"/>
        </w:rPr>
        <w:t>Alan C. Fitton</w:t>
      </w:r>
      <w:r>
        <w:rPr>
          <w:sz w:val="24"/>
          <w:szCs w:val="24"/>
        </w:rPr>
        <w:tab/>
      </w:r>
      <w:r w:rsidR="00871E5F">
        <w:rPr>
          <w:sz w:val="24"/>
          <w:szCs w:val="24"/>
        </w:rPr>
        <w:tab/>
      </w:r>
      <w:r w:rsidR="00871E5F">
        <w:rPr>
          <w:sz w:val="24"/>
          <w:szCs w:val="24"/>
        </w:rPr>
        <w:tab/>
      </w:r>
      <w:r w:rsidR="00871E5F">
        <w:rPr>
          <w:sz w:val="24"/>
          <w:szCs w:val="24"/>
        </w:rPr>
        <w:tab/>
      </w:r>
      <w:r w:rsidR="00871E5F">
        <w:rPr>
          <w:sz w:val="24"/>
          <w:szCs w:val="24"/>
        </w:rPr>
        <w:tab/>
      </w:r>
      <w:r w:rsidR="00E01029" w:rsidRPr="001B3AAD">
        <w:rPr>
          <w:sz w:val="24"/>
          <w:szCs w:val="24"/>
        </w:rPr>
        <w:tab/>
        <w:t>:</w:t>
      </w:r>
      <w:r w:rsidR="00E01029" w:rsidRPr="001B3AAD">
        <w:rPr>
          <w:sz w:val="24"/>
          <w:szCs w:val="24"/>
        </w:rPr>
        <w:tab/>
      </w:r>
      <w:r w:rsidR="00E01029" w:rsidRPr="001B3AAD">
        <w:rPr>
          <w:sz w:val="24"/>
          <w:szCs w:val="24"/>
        </w:rPr>
        <w:tab/>
      </w:r>
    </w:p>
    <w:p w14:paraId="3577A38D" w14:textId="77777777" w:rsidR="00622D33" w:rsidRDefault="00622D33" w:rsidP="00E01029">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49CA374E" w14:textId="35AA0BF2" w:rsidR="00E01029" w:rsidRDefault="00622D33" w:rsidP="00E01029">
      <w:pPr>
        <w:jc w:val="both"/>
        <w:rPr>
          <w:sz w:val="24"/>
          <w:szCs w:val="24"/>
        </w:rPr>
      </w:pPr>
      <w:r>
        <w:rPr>
          <w:sz w:val="24"/>
          <w:szCs w:val="24"/>
        </w:rPr>
        <w:tab/>
        <w:t>v.</w:t>
      </w:r>
      <w:r>
        <w:rPr>
          <w:sz w:val="24"/>
          <w:szCs w:val="24"/>
        </w:rPr>
        <w:tab/>
      </w:r>
      <w:r>
        <w:rPr>
          <w:sz w:val="24"/>
          <w:szCs w:val="24"/>
        </w:rPr>
        <w:tab/>
      </w:r>
      <w:r>
        <w:rPr>
          <w:sz w:val="24"/>
          <w:szCs w:val="24"/>
        </w:rPr>
        <w:tab/>
      </w:r>
      <w:r w:rsidR="00871E5F">
        <w:rPr>
          <w:sz w:val="24"/>
          <w:szCs w:val="24"/>
        </w:rPr>
        <w:tab/>
      </w:r>
      <w:r w:rsidR="00E01029">
        <w:rPr>
          <w:sz w:val="24"/>
          <w:szCs w:val="24"/>
        </w:rPr>
        <w:t xml:space="preserve"> </w:t>
      </w:r>
      <w:r w:rsidR="00E01029">
        <w:rPr>
          <w:sz w:val="24"/>
          <w:szCs w:val="24"/>
        </w:rPr>
        <w:tab/>
      </w:r>
      <w:r w:rsidR="00E01029">
        <w:rPr>
          <w:sz w:val="24"/>
          <w:szCs w:val="24"/>
        </w:rPr>
        <w:tab/>
        <w:t>:</w:t>
      </w:r>
      <w:r w:rsidR="00871E5F">
        <w:rPr>
          <w:sz w:val="24"/>
          <w:szCs w:val="24"/>
        </w:rPr>
        <w:tab/>
      </w:r>
      <w:r w:rsidR="00871E5F">
        <w:rPr>
          <w:sz w:val="24"/>
          <w:szCs w:val="24"/>
        </w:rPr>
        <w:tab/>
      </w:r>
      <w:r>
        <w:rPr>
          <w:sz w:val="24"/>
          <w:szCs w:val="24"/>
        </w:rPr>
        <w:t>C-</w:t>
      </w:r>
      <w:r w:rsidR="007345BE">
        <w:rPr>
          <w:sz w:val="24"/>
          <w:szCs w:val="24"/>
        </w:rPr>
        <w:t>2018-3000665</w:t>
      </w:r>
    </w:p>
    <w:p w14:paraId="6DB8986E" w14:textId="77777777" w:rsidR="00622D33" w:rsidRDefault="00622D33" w:rsidP="00E01029">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5DBC9FC8" w14:textId="2DB20BA0" w:rsidR="00E01029" w:rsidRDefault="007345BE" w:rsidP="00E01029">
      <w:pPr>
        <w:jc w:val="both"/>
        <w:rPr>
          <w:sz w:val="24"/>
          <w:szCs w:val="24"/>
        </w:rPr>
      </w:pPr>
      <w:r>
        <w:rPr>
          <w:sz w:val="24"/>
          <w:szCs w:val="24"/>
        </w:rPr>
        <w:t>Pennsylvania-American Water Company</w:t>
      </w:r>
      <w:r w:rsidR="00871E5F">
        <w:rPr>
          <w:sz w:val="24"/>
          <w:szCs w:val="24"/>
        </w:rPr>
        <w:tab/>
      </w:r>
      <w:r w:rsidR="00E01029">
        <w:rPr>
          <w:sz w:val="24"/>
          <w:szCs w:val="24"/>
        </w:rPr>
        <w:tab/>
        <w:t>:</w:t>
      </w:r>
    </w:p>
    <w:p w14:paraId="284AA42F" w14:textId="77777777" w:rsidR="00E01029" w:rsidRPr="001B3AAD" w:rsidRDefault="00E01029" w:rsidP="00E01029">
      <w:pPr>
        <w:jc w:val="both"/>
        <w:rPr>
          <w:sz w:val="24"/>
          <w:szCs w:val="24"/>
        </w:rPr>
      </w:pPr>
    </w:p>
    <w:p w14:paraId="52896176" w14:textId="77777777" w:rsidR="00E01029" w:rsidRPr="0090587A" w:rsidRDefault="00E01029" w:rsidP="00E01029">
      <w:pPr>
        <w:jc w:val="both"/>
        <w:rPr>
          <w:sz w:val="24"/>
          <w:szCs w:val="24"/>
        </w:rPr>
      </w:pPr>
    </w:p>
    <w:p w14:paraId="7B6CC328" w14:textId="77777777" w:rsidR="00E01029" w:rsidRPr="0090587A" w:rsidRDefault="00E01029" w:rsidP="00E01029">
      <w:pPr>
        <w:spacing w:line="233" w:lineRule="auto"/>
        <w:jc w:val="both"/>
        <w:rPr>
          <w:b/>
          <w:sz w:val="24"/>
          <w:szCs w:val="24"/>
        </w:rPr>
      </w:pPr>
    </w:p>
    <w:p w14:paraId="1687C6D3" w14:textId="77777777" w:rsidR="00E01029" w:rsidRPr="0090587A" w:rsidRDefault="008D5797" w:rsidP="00E01029">
      <w:pPr>
        <w:spacing w:line="233" w:lineRule="auto"/>
        <w:jc w:val="center"/>
        <w:outlineLvl w:val="0"/>
        <w:rPr>
          <w:b/>
          <w:sz w:val="24"/>
          <w:szCs w:val="24"/>
          <w:u w:val="single"/>
        </w:rPr>
      </w:pPr>
      <w:r>
        <w:rPr>
          <w:b/>
          <w:sz w:val="24"/>
          <w:szCs w:val="24"/>
          <w:u w:val="single"/>
        </w:rPr>
        <w:t>FIRST</w:t>
      </w:r>
      <w:r w:rsidR="00E01029">
        <w:rPr>
          <w:b/>
          <w:sz w:val="24"/>
          <w:szCs w:val="24"/>
          <w:u w:val="single"/>
        </w:rPr>
        <w:t xml:space="preserve"> INTERIM </w:t>
      </w:r>
      <w:r w:rsidR="00E01029" w:rsidRPr="0090587A">
        <w:rPr>
          <w:b/>
          <w:sz w:val="24"/>
          <w:szCs w:val="24"/>
          <w:u w:val="single"/>
        </w:rPr>
        <w:t>ORDER</w:t>
      </w:r>
    </w:p>
    <w:p w14:paraId="71E358B4" w14:textId="4F9ED430" w:rsidR="00E01029" w:rsidRPr="00AC7EBE" w:rsidRDefault="00E01029" w:rsidP="00E01029">
      <w:pPr>
        <w:spacing w:line="233" w:lineRule="auto"/>
        <w:jc w:val="center"/>
        <w:rPr>
          <w:sz w:val="24"/>
          <w:szCs w:val="24"/>
        </w:rPr>
      </w:pPr>
      <w:r w:rsidRPr="00AC7EBE">
        <w:rPr>
          <w:sz w:val="24"/>
          <w:szCs w:val="24"/>
        </w:rPr>
        <w:t xml:space="preserve">Granting </w:t>
      </w:r>
      <w:r w:rsidR="00D87036">
        <w:rPr>
          <w:sz w:val="24"/>
          <w:szCs w:val="24"/>
        </w:rPr>
        <w:t>Request</w:t>
      </w:r>
      <w:r w:rsidR="00D7203F">
        <w:rPr>
          <w:sz w:val="24"/>
          <w:szCs w:val="24"/>
        </w:rPr>
        <w:t xml:space="preserve"> to </w:t>
      </w:r>
      <w:r w:rsidR="00D87036">
        <w:rPr>
          <w:sz w:val="24"/>
          <w:szCs w:val="24"/>
        </w:rPr>
        <w:t>Continue</w:t>
      </w:r>
      <w:r w:rsidRPr="00AC7EBE">
        <w:rPr>
          <w:sz w:val="24"/>
          <w:szCs w:val="24"/>
        </w:rPr>
        <w:t xml:space="preserve"> </w:t>
      </w:r>
    </w:p>
    <w:p w14:paraId="39CED93E" w14:textId="77777777" w:rsidR="00E01029" w:rsidRPr="00AC7EBE" w:rsidRDefault="00E01029" w:rsidP="00E01029">
      <w:pPr>
        <w:spacing w:line="233" w:lineRule="auto"/>
        <w:jc w:val="both"/>
        <w:rPr>
          <w:sz w:val="24"/>
          <w:szCs w:val="24"/>
        </w:rPr>
      </w:pPr>
    </w:p>
    <w:p w14:paraId="4F70F012" w14:textId="77777777" w:rsidR="0001733E" w:rsidRPr="00286C99" w:rsidRDefault="0001733E" w:rsidP="0001733E">
      <w:pPr>
        <w:jc w:val="both"/>
        <w:rPr>
          <w:sz w:val="24"/>
          <w:szCs w:val="24"/>
        </w:rPr>
      </w:pPr>
    </w:p>
    <w:p w14:paraId="3AB6C67E" w14:textId="32AE6841" w:rsidR="002E26E9" w:rsidRDefault="0001733E" w:rsidP="0001733E">
      <w:pPr>
        <w:spacing w:line="360" w:lineRule="auto"/>
        <w:ind w:firstLine="1440"/>
        <w:rPr>
          <w:sz w:val="24"/>
          <w:szCs w:val="24"/>
        </w:rPr>
      </w:pPr>
      <w:r w:rsidRPr="00286C99">
        <w:rPr>
          <w:sz w:val="24"/>
          <w:szCs w:val="24"/>
        </w:rPr>
        <w:t xml:space="preserve">On </w:t>
      </w:r>
      <w:r w:rsidR="007345BE">
        <w:rPr>
          <w:sz w:val="24"/>
          <w:szCs w:val="24"/>
        </w:rPr>
        <w:t>March 13, 2018</w:t>
      </w:r>
      <w:r>
        <w:rPr>
          <w:sz w:val="24"/>
          <w:szCs w:val="24"/>
        </w:rPr>
        <w:t xml:space="preserve">, </w:t>
      </w:r>
      <w:r w:rsidR="007345BE">
        <w:rPr>
          <w:sz w:val="24"/>
          <w:szCs w:val="24"/>
        </w:rPr>
        <w:t>Alan C. Fitton</w:t>
      </w:r>
      <w:r w:rsidRPr="00286C99">
        <w:rPr>
          <w:sz w:val="24"/>
          <w:szCs w:val="24"/>
        </w:rPr>
        <w:t xml:space="preserve"> (</w:t>
      </w:r>
      <w:r w:rsidR="008D5797">
        <w:rPr>
          <w:sz w:val="24"/>
          <w:szCs w:val="24"/>
        </w:rPr>
        <w:t xml:space="preserve">Mr. </w:t>
      </w:r>
      <w:r w:rsidR="007345BE">
        <w:rPr>
          <w:sz w:val="24"/>
          <w:szCs w:val="24"/>
        </w:rPr>
        <w:t>Fitton</w:t>
      </w:r>
      <w:r w:rsidR="008D5797">
        <w:rPr>
          <w:sz w:val="24"/>
          <w:szCs w:val="24"/>
        </w:rPr>
        <w:t xml:space="preserve"> or Complainant</w:t>
      </w:r>
      <w:r w:rsidRPr="00286C99">
        <w:rPr>
          <w:sz w:val="24"/>
          <w:szCs w:val="24"/>
        </w:rPr>
        <w:t xml:space="preserve">) filed a formal complaint </w:t>
      </w:r>
      <w:r>
        <w:rPr>
          <w:sz w:val="24"/>
          <w:szCs w:val="24"/>
        </w:rPr>
        <w:t>with the Pennsylva</w:t>
      </w:r>
      <w:r w:rsidR="008D5797">
        <w:rPr>
          <w:sz w:val="24"/>
          <w:szCs w:val="24"/>
        </w:rPr>
        <w:t>nia Public Utility Commission (</w:t>
      </w:r>
      <w:r>
        <w:rPr>
          <w:sz w:val="24"/>
          <w:szCs w:val="24"/>
        </w:rPr>
        <w:t xml:space="preserve">Commission) </w:t>
      </w:r>
      <w:r w:rsidRPr="00286C99">
        <w:rPr>
          <w:sz w:val="24"/>
          <w:szCs w:val="24"/>
        </w:rPr>
        <w:t xml:space="preserve">against </w:t>
      </w:r>
      <w:r w:rsidR="007345BE">
        <w:rPr>
          <w:sz w:val="24"/>
          <w:szCs w:val="24"/>
        </w:rPr>
        <w:t>Pennsylvania-American Water Company</w:t>
      </w:r>
      <w:r>
        <w:rPr>
          <w:sz w:val="24"/>
          <w:szCs w:val="24"/>
        </w:rPr>
        <w:t xml:space="preserve"> </w:t>
      </w:r>
      <w:r w:rsidRPr="00286C99">
        <w:rPr>
          <w:sz w:val="24"/>
          <w:szCs w:val="24"/>
        </w:rPr>
        <w:t>(</w:t>
      </w:r>
      <w:r w:rsidR="007345BE">
        <w:rPr>
          <w:sz w:val="24"/>
          <w:szCs w:val="24"/>
        </w:rPr>
        <w:t xml:space="preserve">PAWC </w:t>
      </w:r>
      <w:r w:rsidR="008D5797">
        <w:rPr>
          <w:sz w:val="24"/>
          <w:szCs w:val="24"/>
        </w:rPr>
        <w:t xml:space="preserve">or </w:t>
      </w:r>
      <w:r w:rsidRPr="00286C99">
        <w:rPr>
          <w:sz w:val="24"/>
          <w:szCs w:val="24"/>
        </w:rPr>
        <w:t>Respondent</w:t>
      </w:r>
      <w:r w:rsidR="008D5797">
        <w:rPr>
          <w:sz w:val="24"/>
          <w:szCs w:val="24"/>
        </w:rPr>
        <w:t>)</w:t>
      </w:r>
      <w:r w:rsidRPr="00286C99">
        <w:rPr>
          <w:sz w:val="24"/>
          <w:szCs w:val="24"/>
        </w:rPr>
        <w:t xml:space="preserve"> alleging </w:t>
      </w:r>
      <w:r w:rsidR="007345BE">
        <w:rPr>
          <w:sz w:val="24"/>
          <w:szCs w:val="24"/>
        </w:rPr>
        <w:t>a reliability, safety or quality problem involving repairs to a water shut-off valve and Complainant’s driveway</w:t>
      </w:r>
      <w:r w:rsidRPr="00286C99">
        <w:rPr>
          <w:sz w:val="24"/>
          <w:szCs w:val="24"/>
        </w:rPr>
        <w:t>.</w:t>
      </w:r>
      <w:r w:rsidR="007345BE">
        <w:rPr>
          <w:sz w:val="24"/>
          <w:szCs w:val="24"/>
        </w:rPr>
        <w:t xml:space="preserve">  Complainant requested the Commission order PAWC to fix the driveway.  </w:t>
      </w:r>
      <w:r w:rsidRPr="00286C99">
        <w:rPr>
          <w:sz w:val="24"/>
          <w:szCs w:val="24"/>
        </w:rPr>
        <w:t xml:space="preserve">  </w:t>
      </w:r>
    </w:p>
    <w:p w14:paraId="10E9B574" w14:textId="77777777" w:rsidR="002E26E9" w:rsidRDefault="002E26E9" w:rsidP="0001733E">
      <w:pPr>
        <w:spacing w:line="360" w:lineRule="auto"/>
        <w:ind w:firstLine="1440"/>
        <w:rPr>
          <w:sz w:val="24"/>
          <w:szCs w:val="24"/>
        </w:rPr>
      </w:pPr>
    </w:p>
    <w:p w14:paraId="56B1CD51" w14:textId="77777777" w:rsidR="007345BE" w:rsidRDefault="0001733E" w:rsidP="0001733E">
      <w:pPr>
        <w:spacing w:line="360" w:lineRule="auto"/>
        <w:ind w:firstLine="1440"/>
        <w:rPr>
          <w:sz w:val="24"/>
          <w:szCs w:val="24"/>
        </w:rPr>
      </w:pPr>
      <w:r w:rsidRPr="00286C99">
        <w:rPr>
          <w:sz w:val="24"/>
          <w:szCs w:val="24"/>
        </w:rPr>
        <w:t xml:space="preserve">On </w:t>
      </w:r>
      <w:r w:rsidR="007345BE">
        <w:rPr>
          <w:sz w:val="24"/>
          <w:szCs w:val="24"/>
        </w:rPr>
        <w:t>April 12, 2018</w:t>
      </w:r>
      <w:r w:rsidRPr="00286C99">
        <w:rPr>
          <w:sz w:val="24"/>
          <w:szCs w:val="24"/>
        </w:rPr>
        <w:t xml:space="preserve">, Respondent </w:t>
      </w:r>
      <w:r w:rsidR="007345BE" w:rsidRPr="007345BE">
        <w:rPr>
          <w:sz w:val="24"/>
          <w:szCs w:val="24"/>
        </w:rPr>
        <w:t>filed its</w:t>
      </w:r>
      <w:r w:rsidR="008D5797">
        <w:rPr>
          <w:sz w:val="24"/>
          <w:szCs w:val="24"/>
        </w:rPr>
        <w:t xml:space="preserve"> Answer</w:t>
      </w:r>
      <w:r w:rsidR="007345BE">
        <w:rPr>
          <w:sz w:val="24"/>
          <w:szCs w:val="24"/>
        </w:rPr>
        <w:t xml:space="preserve"> and New Matter in which it admitted to replacing the curb box and shut-off valve in front of Complainant’s property in January 2011 but denied PAWC’s actions caused damage to Complainant’s property.  In New Matter, PAWC states actions must be brought within three years of the date the liability arose and the Commission is not empowered to award monetary damages.</w:t>
      </w:r>
    </w:p>
    <w:p w14:paraId="71CB95F4" w14:textId="77777777" w:rsidR="007345BE" w:rsidRDefault="007345BE" w:rsidP="0001733E">
      <w:pPr>
        <w:spacing w:line="360" w:lineRule="auto"/>
        <w:ind w:firstLine="1440"/>
        <w:rPr>
          <w:sz w:val="24"/>
          <w:szCs w:val="24"/>
        </w:rPr>
      </w:pPr>
    </w:p>
    <w:p w14:paraId="70E2E945" w14:textId="28549158" w:rsidR="0001733E" w:rsidRDefault="007345BE" w:rsidP="0001733E">
      <w:pPr>
        <w:spacing w:line="360" w:lineRule="auto"/>
        <w:ind w:firstLine="1440"/>
        <w:rPr>
          <w:sz w:val="24"/>
          <w:szCs w:val="24"/>
        </w:rPr>
      </w:pPr>
      <w:r>
        <w:rPr>
          <w:sz w:val="24"/>
          <w:szCs w:val="24"/>
        </w:rPr>
        <w:t>On April 25, 2018, Mr. Fitton responded to the averments in PAWC’s New Matter</w:t>
      </w:r>
      <w:r w:rsidR="00392B02">
        <w:rPr>
          <w:sz w:val="24"/>
          <w:szCs w:val="24"/>
        </w:rPr>
        <w:t xml:space="preserve">.  Mr. Fitton contended he has been complaining for years and PAWC did not send the insurance inspector until many years after the original damage in 2011.  Mr. Fitton repeated his request to have PAWC restore his driveway to its original </w:t>
      </w:r>
      <w:proofErr w:type="gramStart"/>
      <w:r w:rsidR="00392B02">
        <w:rPr>
          <w:sz w:val="24"/>
          <w:szCs w:val="24"/>
        </w:rPr>
        <w:t>state</w:t>
      </w:r>
      <w:proofErr w:type="gramEnd"/>
      <w:r w:rsidR="00392B02">
        <w:rPr>
          <w:sz w:val="24"/>
          <w:szCs w:val="24"/>
        </w:rPr>
        <w:t xml:space="preserve"> so it is level, high enough to drain water into the street, and without uneven asphalt patches.  </w:t>
      </w:r>
      <w:r w:rsidR="0001733E">
        <w:rPr>
          <w:sz w:val="24"/>
          <w:szCs w:val="24"/>
        </w:rPr>
        <w:t xml:space="preserve">   </w:t>
      </w:r>
    </w:p>
    <w:p w14:paraId="4C1BFCDE" w14:textId="77777777" w:rsidR="00D7203F" w:rsidRDefault="00D7203F" w:rsidP="0001733E">
      <w:pPr>
        <w:spacing w:line="360" w:lineRule="auto"/>
        <w:ind w:firstLine="1440"/>
        <w:rPr>
          <w:sz w:val="24"/>
          <w:szCs w:val="24"/>
        </w:rPr>
      </w:pPr>
    </w:p>
    <w:p w14:paraId="68C0B3C7" w14:textId="4080ABD8" w:rsidR="00D7203F" w:rsidRPr="00286C99" w:rsidRDefault="00D7203F" w:rsidP="0001733E">
      <w:pPr>
        <w:spacing w:line="360" w:lineRule="auto"/>
        <w:ind w:firstLine="1440"/>
        <w:rPr>
          <w:sz w:val="24"/>
          <w:szCs w:val="24"/>
        </w:rPr>
      </w:pPr>
      <w:r w:rsidRPr="00286C99">
        <w:rPr>
          <w:sz w:val="24"/>
          <w:szCs w:val="24"/>
        </w:rPr>
        <w:t xml:space="preserve">On </w:t>
      </w:r>
      <w:r w:rsidR="00392B02">
        <w:rPr>
          <w:sz w:val="24"/>
          <w:szCs w:val="24"/>
        </w:rPr>
        <w:t>May 18, 2018</w:t>
      </w:r>
      <w:r w:rsidRPr="00286C99">
        <w:rPr>
          <w:sz w:val="24"/>
          <w:szCs w:val="24"/>
        </w:rPr>
        <w:t xml:space="preserve">, the Commission </w:t>
      </w:r>
      <w:r>
        <w:rPr>
          <w:sz w:val="24"/>
          <w:szCs w:val="24"/>
        </w:rPr>
        <w:t xml:space="preserve">scheduled an </w:t>
      </w:r>
      <w:r w:rsidR="00362101">
        <w:rPr>
          <w:sz w:val="24"/>
          <w:szCs w:val="24"/>
        </w:rPr>
        <w:t xml:space="preserve">Initial </w:t>
      </w:r>
      <w:r w:rsidR="001D4978">
        <w:rPr>
          <w:sz w:val="24"/>
          <w:szCs w:val="24"/>
        </w:rPr>
        <w:t>Call-In</w:t>
      </w:r>
      <w:r>
        <w:rPr>
          <w:sz w:val="24"/>
          <w:szCs w:val="24"/>
        </w:rPr>
        <w:t xml:space="preserve"> Telephonic</w:t>
      </w:r>
      <w:r w:rsidRPr="00286C99">
        <w:rPr>
          <w:sz w:val="24"/>
          <w:szCs w:val="24"/>
        </w:rPr>
        <w:t xml:space="preserve"> Hearing</w:t>
      </w:r>
      <w:r w:rsidR="001D4978">
        <w:rPr>
          <w:sz w:val="24"/>
          <w:szCs w:val="24"/>
        </w:rPr>
        <w:t xml:space="preserve"> </w:t>
      </w:r>
      <w:r>
        <w:rPr>
          <w:sz w:val="24"/>
          <w:szCs w:val="24"/>
        </w:rPr>
        <w:t>in thi</w:t>
      </w:r>
      <w:r w:rsidRPr="00286C99">
        <w:rPr>
          <w:sz w:val="24"/>
          <w:szCs w:val="24"/>
        </w:rPr>
        <w:t xml:space="preserve">s matter </w:t>
      </w:r>
      <w:r>
        <w:rPr>
          <w:sz w:val="24"/>
          <w:szCs w:val="24"/>
        </w:rPr>
        <w:t xml:space="preserve">for </w:t>
      </w:r>
      <w:r w:rsidR="00392B02">
        <w:rPr>
          <w:sz w:val="24"/>
          <w:szCs w:val="24"/>
        </w:rPr>
        <w:t>Monday, June 25, 2018</w:t>
      </w:r>
      <w:r w:rsidR="001D4978">
        <w:rPr>
          <w:sz w:val="24"/>
          <w:szCs w:val="24"/>
        </w:rPr>
        <w:t xml:space="preserve"> at 1</w:t>
      </w:r>
      <w:r w:rsidR="00392B02">
        <w:rPr>
          <w:sz w:val="24"/>
          <w:szCs w:val="24"/>
        </w:rPr>
        <w:t>0</w:t>
      </w:r>
      <w:r w:rsidR="001D4978">
        <w:rPr>
          <w:sz w:val="24"/>
          <w:szCs w:val="24"/>
        </w:rPr>
        <w:t xml:space="preserve">:00 </w:t>
      </w:r>
      <w:r w:rsidR="00392B02">
        <w:rPr>
          <w:sz w:val="24"/>
          <w:szCs w:val="24"/>
        </w:rPr>
        <w:t>a</w:t>
      </w:r>
      <w:r w:rsidR="001D4978">
        <w:rPr>
          <w:sz w:val="24"/>
          <w:szCs w:val="24"/>
        </w:rPr>
        <w:t>.m.</w:t>
      </w:r>
      <w:r w:rsidRPr="00286C99">
        <w:rPr>
          <w:sz w:val="24"/>
          <w:szCs w:val="24"/>
        </w:rPr>
        <w:t xml:space="preserve"> </w:t>
      </w:r>
      <w:r>
        <w:rPr>
          <w:sz w:val="24"/>
          <w:szCs w:val="24"/>
        </w:rPr>
        <w:t>from</w:t>
      </w:r>
      <w:r w:rsidRPr="00286C99">
        <w:rPr>
          <w:sz w:val="24"/>
          <w:szCs w:val="24"/>
        </w:rPr>
        <w:t xml:space="preserve"> the Commission’s offices in Pittsburgh, </w:t>
      </w:r>
      <w:r w:rsidRPr="00286C99">
        <w:rPr>
          <w:sz w:val="24"/>
          <w:szCs w:val="24"/>
        </w:rPr>
        <w:lastRenderedPageBreak/>
        <w:t>Pennsylvania.</w:t>
      </w:r>
      <w:r w:rsidR="008D5797">
        <w:rPr>
          <w:sz w:val="24"/>
          <w:szCs w:val="24"/>
        </w:rPr>
        <w:t xml:space="preserve">  On </w:t>
      </w:r>
      <w:r w:rsidR="00392B02">
        <w:rPr>
          <w:sz w:val="24"/>
          <w:szCs w:val="24"/>
        </w:rPr>
        <w:t>May 21, 2018</w:t>
      </w:r>
      <w:r w:rsidR="008D5797">
        <w:rPr>
          <w:sz w:val="24"/>
          <w:szCs w:val="24"/>
        </w:rPr>
        <w:t>, the presiding officer issued the Prehearing Order which notified the parties about procedural matters, including how to request a continuance.</w:t>
      </w:r>
    </w:p>
    <w:p w14:paraId="43BDBF0C" w14:textId="77777777" w:rsidR="0001733E" w:rsidRPr="00286C99" w:rsidRDefault="0001733E" w:rsidP="0001733E">
      <w:pPr>
        <w:spacing w:line="360" w:lineRule="auto"/>
        <w:ind w:firstLine="1440"/>
        <w:rPr>
          <w:sz w:val="24"/>
          <w:szCs w:val="24"/>
        </w:rPr>
      </w:pPr>
    </w:p>
    <w:p w14:paraId="6156FC75" w14:textId="3847B230" w:rsidR="001D4978" w:rsidRDefault="00D7203F" w:rsidP="0001733E">
      <w:pPr>
        <w:spacing w:line="360" w:lineRule="auto"/>
        <w:ind w:firstLine="1440"/>
        <w:rPr>
          <w:sz w:val="24"/>
          <w:szCs w:val="24"/>
        </w:rPr>
      </w:pPr>
      <w:r>
        <w:rPr>
          <w:sz w:val="24"/>
          <w:szCs w:val="24"/>
        </w:rPr>
        <w:t xml:space="preserve">On </w:t>
      </w:r>
      <w:r w:rsidR="00392B02">
        <w:rPr>
          <w:sz w:val="24"/>
          <w:szCs w:val="24"/>
        </w:rPr>
        <w:t>June 5, 2018</w:t>
      </w:r>
      <w:r>
        <w:rPr>
          <w:sz w:val="24"/>
          <w:szCs w:val="24"/>
        </w:rPr>
        <w:t xml:space="preserve">, </w:t>
      </w:r>
      <w:r w:rsidR="00392B02">
        <w:rPr>
          <w:sz w:val="24"/>
          <w:szCs w:val="24"/>
        </w:rPr>
        <w:t>PAWC</w:t>
      </w:r>
      <w:r w:rsidR="001D4978">
        <w:rPr>
          <w:sz w:val="24"/>
          <w:szCs w:val="24"/>
        </w:rPr>
        <w:t xml:space="preserve"> sent a </w:t>
      </w:r>
      <w:r w:rsidR="00392B02">
        <w:rPr>
          <w:sz w:val="24"/>
          <w:szCs w:val="24"/>
        </w:rPr>
        <w:t xml:space="preserve">written </w:t>
      </w:r>
      <w:r w:rsidR="001D4978">
        <w:rPr>
          <w:sz w:val="24"/>
          <w:szCs w:val="24"/>
        </w:rPr>
        <w:t xml:space="preserve">request </w:t>
      </w:r>
      <w:r w:rsidR="00392B02">
        <w:rPr>
          <w:sz w:val="24"/>
          <w:szCs w:val="24"/>
        </w:rPr>
        <w:t>for a continuance.</w:t>
      </w:r>
      <w:r w:rsidR="000E477D">
        <w:rPr>
          <w:sz w:val="24"/>
          <w:szCs w:val="24"/>
        </w:rPr>
        <w:t xml:space="preserve"> </w:t>
      </w:r>
      <w:bookmarkStart w:id="0" w:name="_GoBack"/>
      <w:bookmarkEnd w:id="0"/>
      <w:r w:rsidR="001D4978">
        <w:rPr>
          <w:sz w:val="24"/>
          <w:szCs w:val="24"/>
        </w:rPr>
        <w:t xml:space="preserve"> Respondent </w:t>
      </w:r>
      <w:r w:rsidR="00392B02">
        <w:rPr>
          <w:sz w:val="24"/>
          <w:szCs w:val="24"/>
        </w:rPr>
        <w:t xml:space="preserve">contended its counsel and one witness would be unavailable on June 25, 2018.  PAWC requested the hearing be rescheduled approximately one month later.  PAWC asserted Mr. Fitton had no objection to the reschedule.  </w:t>
      </w:r>
    </w:p>
    <w:p w14:paraId="05727F21" w14:textId="77777777" w:rsidR="001D4978" w:rsidRDefault="001D4978" w:rsidP="001D4978">
      <w:pPr>
        <w:spacing w:line="360" w:lineRule="auto"/>
        <w:ind w:firstLine="1440"/>
        <w:rPr>
          <w:sz w:val="24"/>
          <w:szCs w:val="24"/>
        </w:rPr>
      </w:pPr>
    </w:p>
    <w:p w14:paraId="4794FBDE" w14:textId="77777777" w:rsidR="00622D33" w:rsidRDefault="0001733E" w:rsidP="00030C3E">
      <w:pPr>
        <w:tabs>
          <w:tab w:val="left" w:pos="2160"/>
        </w:tabs>
        <w:spacing w:line="360" w:lineRule="auto"/>
        <w:rPr>
          <w:sz w:val="24"/>
          <w:szCs w:val="24"/>
        </w:rPr>
      </w:pPr>
      <w:r>
        <w:rPr>
          <w:sz w:val="24"/>
          <w:szCs w:val="24"/>
          <w:u w:val="single"/>
        </w:rPr>
        <w:t>Discussion</w:t>
      </w:r>
    </w:p>
    <w:p w14:paraId="398F51C2" w14:textId="77777777" w:rsidR="00030C3E" w:rsidRPr="00030C3E" w:rsidRDefault="00030C3E" w:rsidP="00030C3E">
      <w:pPr>
        <w:tabs>
          <w:tab w:val="left" w:pos="2160"/>
        </w:tabs>
        <w:spacing w:line="360" w:lineRule="auto"/>
        <w:rPr>
          <w:sz w:val="24"/>
          <w:szCs w:val="24"/>
        </w:rPr>
      </w:pPr>
    </w:p>
    <w:p w14:paraId="60884299" w14:textId="12EFFFD1" w:rsidR="00AD692D" w:rsidRPr="00AD692D" w:rsidRDefault="00622D33" w:rsidP="00AD692D">
      <w:pPr>
        <w:spacing w:line="360" w:lineRule="auto"/>
        <w:ind w:firstLine="1440"/>
        <w:rPr>
          <w:sz w:val="24"/>
          <w:szCs w:val="24"/>
        </w:rPr>
      </w:pPr>
      <w:r>
        <w:rPr>
          <w:sz w:val="24"/>
          <w:szCs w:val="24"/>
        </w:rPr>
        <w:t xml:space="preserve">Pursuant to </w:t>
      </w:r>
      <w:r w:rsidR="00CE4FA6" w:rsidRPr="00AD692D">
        <w:rPr>
          <w:sz w:val="24"/>
          <w:szCs w:val="24"/>
        </w:rPr>
        <w:t>52 Pa. Code §1.15, extensions of time may be granted by the presiding officer for good cause shown upon request by a party.</w:t>
      </w:r>
      <w:r w:rsidR="001D4978">
        <w:rPr>
          <w:sz w:val="24"/>
          <w:szCs w:val="24"/>
        </w:rPr>
        <w:t xml:space="preserve">  In this proceeding, </w:t>
      </w:r>
      <w:r w:rsidR="00392B02">
        <w:rPr>
          <w:sz w:val="24"/>
          <w:szCs w:val="24"/>
        </w:rPr>
        <w:t>PAWC has indicated its counsel and one witness are unavailable on June 25, 2018.  In addition, Mr. Fitton has no objection to the short continuance request.</w:t>
      </w:r>
      <w:r w:rsidR="00D87036">
        <w:rPr>
          <w:sz w:val="24"/>
          <w:szCs w:val="24"/>
        </w:rPr>
        <w:t xml:space="preserve">  </w:t>
      </w:r>
      <w:r w:rsidR="00AD692D" w:rsidRPr="00AD692D">
        <w:rPr>
          <w:sz w:val="24"/>
          <w:szCs w:val="24"/>
        </w:rPr>
        <w:t xml:space="preserve">A review of </w:t>
      </w:r>
      <w:r w:rsidR="00392B02">
        <w:rPr>
          <w:sz w:val="24"/>
          <w:szCs w:val="24"/>
        </w:rPr>
        <w:t>this</w:t>
      </w:r>
      <w:r w:rsidR="00AD692D" w:rsidRPr="00AD692D">
        <w:rPr>
          <w:sz w:val="24"/>
          <w:szCs w:val="24"/>
        </w:rPr>
        <w:t xml:space="preserve"> request leads to the conclusion </w:t>
      </w:r>
      <w:r w:rsidR="00392B02">
        <w:rPr>
          <w:sz w:val="24"/>
          <w:szCs w:val="24"/>
        </w:rPr>
        <w:t>PAWC</w:t>
      </w:r>
      <w:r w:rsidR="00AD692D" w:rsidRPr="00AD692D">
        <w:rPr>
          <w:sz w:val="24"/>
          <w:szCs w:val="24"/>
        </w:rPr>
        <w:t xml:space="preserve"> justified a</w:t>
      </w:r>
      <w:r w:rsidR="00C61A93">
        <w:rPr>
          <w:sz w:val="24"/>
          <w:szCs w:val="24"/>
        </w:rPr>
        <w:t xml:space="preserve"> need for a short continuance</w:t>
      </w:r>
      <w:r w:rsidR="00392B02">
        <w:rPr>
          <w:sz w:val="24"/>
          <w:szCs w:val="24"/>
        </w:rPr>
        <w:t>.  T</w:t>
      </w:r>
      <w:r w:rsidR="00C61A93">
        <w:rPr>
          <w:sz w:val="24"/>
          <w:szCs w:val="24"/>
        </w:rPr>
        <w:t xml:space="preserve">he </w:t>
      </w:r>
      <w:r w:rsidR="00AD692D">
        <w:rPr>
          <w:sz w:val="24"/>
          <w:szCs w:val="24"/>
        </w:rPr>
        <w:t xml:space="preserve">short </w:t>
      </w:r>
      <w:r w:rsidR="00AD692D" w:rsidRPr="00AD692D">
        <w:rPr>
          <w:sz w:val="24"/>
          <w:szCs w:val="24"/>
        </w:rPr>
        <w:t>continuance is reasonable and sufficient cause exists, under the circumstances</w:t>
      </w:r>
      <w:r w:rsidR="00392B02">
        <w:rPr>
          <w:sz w:val="24"/>
          <w:szCs w:val="24"/>
        </w:rPr>
        <w:t>, to grant it</w:t>
      </w:r>
      <w:r w:rsidR="00AD692D">
        <w:rPr>
          <w:sz w:val="24"/>
          <w:szCs w:val="24"/>
        </w:rPr>
        <w:t xml:space="preserve">.  </w:t>
      </w:r>
      <w:r w:rsidR="00392B02">
        <w:rPr>
          <w:sz w:val="24"/>
          <w:szCs w:val="24"/>
        </w:rPr>
        <w:t>Accordingly, t</w:t>
      </w:r>
      <w:r w:rsidR="00C61A93">
        <w:rPr>
          <w:sz w:val="24"/>
          <w:szCs w:val="24"/>
        </w:rPr>
        <w:t>he</w:t>
      </w:r>
      <w:r w:rsidR="00AD692D">
        <w:rPr>
          <w:sz w:val="24"/>
          <w:szCs w:val="24"/>
        </w:rPr>
        <w:t xml:space="preserve"> r</w:t>
      </w:r>
      <w:r w:rsidR="00AD692D" w:rsidRPr="00AD692D">
        <w:rPr>
          <w:sz w:val="24"/>
          <w:szCs w:val="24"/>
        </w:rPr>
        <w:t xml:space="preserve">equest will be granted.  </w:t>
      </w:r>
    </w:p>
    <w:p w14:paraId="666FD0C8" w14:textId="77777777" w:rsidR="00030C3E" w:rsidRPr="00AD692D" w:rsidRDefault="00030C3E" w:rsidP="00030C3E">
      <w:pPr>
        <w:spacing w:line="360" w:lineRule="auto"/>
        <w:rPr>
          <w:sz w:val="24"/>
          <w:szCs w:val="24"/>
          <w:u w:val="single"/>
        </w:rPr>
      </w:pPr>
    </w:p>
    <w:p w14:paraId="6AA96364" w14:textId="77777777" w:rsidR="00622D33" w:rsidRPr="00AD692D" w:rsidRDefault="00622D33" w:rsidP="00622D33">
      <w:pPr>
        <w:spacing w:line="360" w:lineRule="auto"/>
        <w:ind w:left="720" w:firstLine="720"/>
        <w:rPr>
          <w:sz w:val="24"/>
          <w:szCs w:val="24"/>
        </w:rPr>
      </w:pPr>
      <w:r w:rsidRPr="00AD692D">
        <w:rPr>
          <w:sz w:val="24"/>
          <w:szCs w:val="24"/>
        </w:rPr>
        <w:t xml:space="preserve">THEREFORE, </w:t>
      </w:r>
    </w:p>
    <w:p w14:paraId="7F56F241" w14:textId="77777777" w:rsidR="00622D33" w:rsidRPr="00AD692D" w:rsidRDefault="00622D33" w:rsidP="00622D33">
      <w:pPr>
        <w:spacing w:line="360" w:lineRule="auto"/>
        <w:rPr>
          <w:sz w:val="24"/>
          <w:szCs w:val="24"/>
        </w:rPr>
      </w:pPr>
    </w:p>
    <w:p w14:paraId="45989C47" w14:textId="77777777" w:rsidR="00622D33" w:rsidRPr="001F6704" w:rsidRDefault="00622D33" w:rsidP="00622D33">
      <w:pPr>
        <w:spacing w:line="360" w:lineRule="auto"/>
        <w:ind w:firstLine="1440"/>
        <w:rPr>
          <w:sz w:val="24"/>
          <w:szCs w:val="24"/>
        </w:rPr>
      </w:pPr>
      <w:r w:rsidRPr="001F6704">
        <w:rPr>
          <w:sz w:val="24"/>
          <w:szCs w:val="24"/>
        </w:rPr>
        <w:t xml:space="preserve">IT IS ORDERED: </w:t>
      </w:r>
    </w:p>
    <w:p w14:paraId="0AB02298" w14:textId="77777777" w:rsidR="00622D33" w:rsidRPr="006F7437" w:rsidRDefault="00622D33" w:rsidP="00622D33">
      <w:pPr>
        <w:spacing w:line="360" w:lineRule="auto"/>
        <w:rPr>
          <w:sz w:val="24"/>
          <w:szCs w:val="24"/>
        </w:rPr>
      </w:pPr>
    </w:p>
    <w:p w14:paraId="222BC9AF" w14:textId="462E21A1" w:rsidR="00622D33" w:rsidRDefault="00622D33" w:rsidP="00622D33">
      <w:pPr>
        <w:spacing w:line="360" w:lineRule="auto"/>
        <w:ind w:firstLine="1440"/>
        <w:rPr>
          <w:sz w:val="24"/>
          <w:szCs w:val="24"/>
        </w:rPr>
      </w:pPr>
      <w:r>
        <w:rPr>
          <w:sz w:val="24"/>
          <w:szCs w:val="24"/>
        </w:rPr>
        <w:t>1.</w:t>
      </w:r>
      <w:r>
        <w:rPr>
          <w:sz w:val="24"/>
          <w:szCs w:val="24"/>
        </w:rPr>
        <w:tab/>
        <w:t xml:space="preserve">That </w:t>
      </w:r>
      <w:r w:rsidR="00392B02">
        <w:rPr>
          <w:sz w:val="24"/>
          <w:szCs w:val="24"/>
        </w:rPr>
        <w:t>the request of Pennsylvania-American Water Company</w:t>
      </w:r>
      <w:r>
        <w:rPr>
          <w:sz w:val="24"/>
          <w:szCs w:val="24"/>
        </w:rPr>
        <w:t xml:space="preserve"> for a continuance </w:t>
      </w:r>
      <w:r w:rsidR="00392B02">
        <w:rPr>
          <w:sz w:val="24"/>
          <w:szCs w:val="24"/>
        </w:rPr>
        <w:t>is</w:t>
      </w:r>
      <w:r>
        <w:rPr>
          <w:sz w:val="24"/>
          <w:szCs w:val="24"/>
        </w:rPr>
        <w:t xml:space="preserve"> granted.  </w:t>
      </w:r>
    </w:p>
    <w:p w14:paraId="04E4F55A" w14:textId="77777777" w:rsidR="0001733E" w:rsidRPr="00C20A66" w:rsidRDefault="0001733E" w:rsidP="0001733E">
      <w:pPr>
        <w:spacing w:line="360" w:lineRule="auto"/>
        <w:ind w:firstLine="1440"/>
        <w:rPr>
          <w:sz w:val="24"/>
          <w:szCs w:val="24"/>
        </w:rPr>
      </w:pPr>
      <w:r>
        <w:rPr>
          <w:sz w:val="24"/>
          <w:szCs w:val="24"/>
        </w:rPr>
        <w:t xml:space="preserve"> </w:t>
      </w:r>
      <w:r w:rsidRPr="00C20A66">
        <w:rPr>
          <w:sz w:val="24"/>
          <w:szCs w:val="24"/>
        </w:rPr>
        <w:t xml:space="preserve">  </w:t>
      </w:r>
    </w:p>
    <w:p w14:paraId="5EA528B4" w14:textId="6D08D93A" w:rsidR="0001733E" w:rsidRPr="002C076A" w:rsidRDefault="0001733E" w:rsidP="0001733E">
      <w:pPr>
        <w:spacing w:line="360" w:lineRule="auto"/>
        <w:rPr>
          <w:sz w:val="24"/>
          <w:szCs w:val="24"/>
        </w:rPr>
      </w:pPr>
      <w:r>
        <w:rPr>
          <w:sz w:val="24"/>
          <w:szCs w:val="24"/>
        </w:rPr>
        <w:tab/>
      </w:r>
      <w:r>
        <w:rPr>
          <w:sz w:val="24"/>
          <w:szCs w:val="24"/>
        </w:rPr>
        <w:tab/>
        <w:t>2</w:t>
      </w:r>
      <w:r w:rsidRPr="002C076A">
        <w:rPr>
          <w:sz w:val="24"/>
          <w:szCs w:val="24"/>
        </w:rPr>
        <w:t>.</w:t>
      </w:r>
      <w:r w:rsidRPr="002C076A">
        <w:rPr>
          <w:sz w:val="24"/>
          <w:szCs w:val="24"/>
        </w:rPr>
        <w:tab/>
        <w:t>That</w:t>
      </w:r>
      <w:r w:rsidR="00AD692D">
        <w:rPr>
          <w:sz w:val="24"/>
          <w:szCs w:val="24"/>
        </w:rPr>
        <w:t xml:space="preserve"> </w:t>
      </w:r>
      <w:r>
        <w:rPr>
          <w:sz w:val="24"/>
          <w:szCs w:val="24"/>
        </w:rPr>
        <w:t>t</w:t>
      </w:r>
      <w:r w:rsidRPr="002C076A">
        <w:rPr>
          <w:sz w:val="24"/>
          <w:szCs w:val="24"/>
        </w:rPr>
        <w:t xml:space="preserve">he Office of Administrative Law Judge’s Scheduler will issue a notice </w:t>
      </w:r>
      <w:r>
        <w:rPr>
          <w:sz w:val="24"/>
          <w:szCs w:val="24"/>
        </w:rPr>
        <w:t xml:space="preserve">to the parties </w:t>
      </w:r>
      <w:r w:rsidRPr="002C076A">
        <w:rPr>
          <w:sz w:val="24"/>
          <w:szCs w:val="24"/>
        </w:rPr>
        <w:t xml:space="preserve">which </w:t>
      </w:r>
      <w:r w:rsidR="00392B02">
        <w:rPr>
          <w:sz w:val="24"/>
          <w:szCs w:val="24"/>
        </w:rPr>
        <w:t>re</w:t>
      </w:r>
      <w:r w:rsidRPr="002C076A">
        <w:rPr>
          <w:sz w:val="24"/>
          <w:szCs w:val="24"/>
        </w:rPr>
        <w:t xml:space="preserve">schedules the </w:t>
      </w:r>
      <w:r w:rsidR="002E26E9">
        <w:rPr>
          <w:sz w:val="24"/>
          <w:szCs w:val="24"/>
        </w:rPr>
        <w:t>Call-In</w:t>
      </w:r>
      <w:r w:rsidRPr="002C076A">
        <w:rPr>
          <w:sz w:val="24"/>
          <w:szCs w:val="24"/>
        </w:rPr>
        <w:t xml:space="preserve"> Telephonic Hearing.  </w:t>
      </w:r>
    </w:p>
    <w:p w14:paraId="01176546" w14:textId="77777777" w:rsidR="0001733E" w:rsidRPr="002C076A" w:rsidRDefault="0001733E" w:rsidP="0001733E">
      <w:pPr>
        <w:spacing w:line="360" w:lineRule="auto"/>
        <w:rPr>
          <w:sz w:val="24"/>
          <w:szCs w:val="24"/>
        </w:rPr>
      </w:pPr>
    </w:p>
    <w:p w14:paraId="7994E6C6" w14:textId="77777777" w:rsidR="0001733E" w:rsidRDefault="0001733E" w:rsidP="0001733E">
      <w:pPr>
        <w:rPr>
          <w:sz w:val="24"/>
          <w:szCs w:val="24"/>
        </w:rPr>
      </w:pPr>
    </w:p>
    <w:p w14:paraId="60662A8C" w14:textId="77777777" w:rsidR="0001733E" w:rsidRPr="00E77C24" w:rsidRDefault="0001733E" w:rsidP="0001733E">
      <w:pPr>
        <w:pStyle w:val="Footer"/>
        <w:tabs>
          <w:tab w:val="clear" w:pos="4320"/>
          <w:tab w:val="clear" w:pos="8640"/>
        </w:tabs>
        <w:rPr>
          <w:spacing w:val="-3"/>
          <w:sz w:val="24"/>
          <w:szCs w:val="24"/>
        </w:rPr>
      </w:pPr>
    </w:p>
    <w:p w14:paraId="4A7B2289" w14:textId="390DF0A4" w:rsidR="0001733E" w:rsidRPr="00E77C24" w:rsidRDefault="0001733E" w:rsidP="0001733E">
      <w:pPr>
        <w:pStyle w:val="Footer"/>
        <w:tabs>
          <w:tab w:val="clear" w:pos="4320"/>
          <w:tab w:val="clear" w:pos="8640"/>
        </w:tabs>
        <w:rPr>
          <w:spacing w:val="-3"/>
          <w:sz w:val="24"/>
          <w:szCs w:val="24"/>
        </w:rPr>
      </w:pPr>
      <w:r w:rsidRPr="00E77C24">
        <w:rPr>
          <w:spacing w:val="-3"/>
          <w:sz w:val="24"/>
          <w:szCs w:val="24"/>
        </w:rPr>
        <w:t xml:space="preserve">Date:  </w:t>
      </w:r>
      <w:r w:rsidR="00D87036">
        <w:rPr>
          <w:spacing w:val="-3"/>
          <w:sz w:val="24"/>
          <w:szCs w:val="24"/>
          <w:u w:val="single"/>
        </w:rPr>
        <w:t>June 7, 2018</w:t>
      </w:r>
      <w:r w:rsidRPr="00E77C24">
        <w:rPr>
          <w:spacing w:val="-3"/>
          <w:sz w:val="24"/>
          <w:szCs w:val="24"/>
        </w:rPr>
        <w:tab/>
      </w:r>
      <w:r w:rsidR="00D87036">
        <w:rPr>
          <w:spacing w:val="-3"/>
          <w:sz w:val="24"/>
          <w:szCs w:val="24"/>
        </w:rPr>
        <w:tab/>
      </w:r>
      <w:r w:rsidRPr="00E77C24">
        <w:rPr>
          <w:spacing w:val="-3"/>
          <w:sz w:val="24"/>
          <w:szCs w:val="24"/>
        </w:rPr>
        <w:tab/>
      </w:r>
      <w:r>
        <w:rPr>
          <w:spacing w:val="-3"/>
          <w:sz w:val="24"/>
          <w:szCs w:val="24"/>
        </w:rPr>
        <w:tab/>
      </w:r>
      <w:r>
        <w:rPr>
          <w:spacing w:val="-3"/>
          <w:sz w:val="24"/>
          <w:szCs w:val="24"/>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00063004" w:rsidRPr="00E77C24">
        <w:rPr>
          <w:spacing w:val="-3"/>
          <w:sz w:val="24"/>
          <w:szCs w:val="24"/>
          <w:u w:val="single"/>
        </w:rPr>
        <w:tab/>
      </w:r>
    </w:p>
    <w:p w14:paraId="70E8CE43" w14:textId="77777777" w:rsidR="0001733E" w:rsidRPr="00E77C24" w:rsidRDefault="0001733E" w:rsidP="0001733E">
      <w:pPr>
        <w:pStyle w:val="Footer"/>
        <w:tabs>
          <w:tab w:val="clear" w:pos="4320"/>
          <w:tab w:val="clear" w:pos="8640"/>
        </w:tabs>
        <w:rPr>
          <w:spacing w:val="-3"/>
          <w:sz w:val="24"/>
          <w:szCs w:val="24"/>
        </w:rPr>
      </w:pP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Pr>
          <w:spacing w:val="-3"/>
          <w:sz w:val="24"/>
          <w:szCs w:val="24"/>
        </w:rPr>
        <w:tab/>
      </w:r>
      <w:r w:rsidRPr="00E77C24">
        <w:rPr>
          <w:spacing w:val="-3"/>
          <w:sz w:val="24"/>
          <w:szCs w:val="24"/>
        </w:rPr>
        <w:t>Katrina L. Dunderdale</w:t>
      </w:r>
    </w:p>
    <w:p w14:paraId="2E3DE125" w14:textId="77777777" w:rsidR="0001733E" w:rsidRDefault="0001733E" w:rsidP="0001733E">
      <w:pPr>
        <w:pStyle w:val="Footer"/>
        <w:tabs>
          <w:tab w:val="clear" w:pos="4320"/>
          <w:tab w:val="clear" w:pos="8640"/>
        </w:tabs>
        <w:rPr>
          <w:spacing w:val="-3"/>
          <w:sz w:val="24"/>
          <w:szCs w:val="24"/>
        </w:rPr>
      </w:pP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Pr>
          <w:spacing w:val="-3"/>
          <w:sz w:val="24"/>
          <w:szCs w:val="24"/>
        </w:rPr>
        <w:tab/>
      </w:r>
      <w:r w:rsidRPr="00E77C24">
        <w:rPr>
          <w:spacing w:val="-3"/>
          <w:sz w:val="24"/>
          <w:szCs w:val="24"/>
        </w:rPr>
        <w:t>Administrative Law Judge</w:t>
      </w:r>
    </w:p>
    <w:p w14:paraId="16F30536" w14:textId="77777777" w:rsidR="0001733E" w:rsidRPr="00E77C24" w:rsidRDefault="0001733E" w:rsidP="0001733E">
      <w:pPr>
        <w:pStyle w:val="Footer"/>
        <w:tabs>
          <w:tab w:val="clear" w:pos="4320"/>
          <w:tab w:val="clear" w:pos="8640"/>
        </w:tabs>
        <w:rPr>
          <w:spacing w:val="-3"/>
          <w:sz w:val="24"/>
          <w:szCs w:val="24"/>
        </w:rPr>
      </w:pPr>
    </w:p>
    <w:p w14:paraId="12CC5152" w14:textId="39B46725" w:rsidR="00851997" w:rsidRDefault="00851997">
      <w:pPr>
        <w:rPr>
          <w:sz w:val="24"/>
          <w:szCs w:val="24"/>
        </w:rPr>
      </w:pPr>
      <w:r>
        <w:rPr>
          <w:sz w:val="24"/>
          <w:szCs w:val="24"/>
        </w:rPr>
        <w:br w:type="page"/>
      </w:r>
    </w:p>
    <w:p w14:paraId="309DDA20" w14:textId="77777777" w:rsidR="00851997" w:rsidRDefault="00851997" w:rsidP="00851997">
      <w:pPr>
        <w:contextualSpacing/>
        <w:rPr>
          <w:rFonts w:ascii="Microsoft Sans Serif" w:eastAsia="Microsoft Sans Serif" w:hAnsi="Microsoft Sans Serif" w:cs="Microsoft Sans Serif"/>
          <w:b/>
          <w:sz w:val="24"/>
          <w:u w:val="single"/>
        </w:rPr>
        <w:sectPr w:rsidR="00851997" w:rsidSect="002459E0">
          <w:footerReference w:type="even" r:id="rId7"/>
          <w:footerReference w:type="default" r:id="rId8"/>
          <w:pgSz w:w="12240" w:h="15840" w:code="1"/>
          <w:pgMar w:top="1296" w:right="1296" w:bottom="1296" w:left="1296" w:header="720" w:footer="720" w:gutter="0"/>
          <w:pgNumType w:start="1"/>
          <w:cols w:space="720"/>
          <w:titlePg/>
          <w:docGrid w:linePitch="360"/>
        </w:sectPr>
      </w:pPr>
    </w:p>
    <w:p w14:paraId="019FA0EA" w14:textId="5F573BCC" w:rsidR="00851997" w:rsidRPr="00C20D68" w:rsidRDefault="00851997" w:rsidP="00851997">
      <w:pPr>
        <w:contextualSpacing/>
        <w:rPr>
          <w:b/>
          <w:i/>
          <w:u w:val="single"/>
        </w:rPr>
      </w:pPr>
      <w:r>
        <w:rPr>
          <w:rFonts w:ascii="Microsoft Sans Serif" w:eastAsia="Microsoft Sans Serif" w:hAnsi="Microsoft Sans Serif" w:cs="Microsoft Sans Serif"/>
          <w:b/>
          <w:sz w:val="24"/>
          <w:u w:val="single"/>
        </w:rPr>
        <w:t>C-2018-3000665 - ALAN FITTON v. PENNSYLVANIA AMERICAN WATER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ALAN FITTON</w:t>
      </w:r>
      <w:r>
        <w:rPr>
          <w:rFonts w:ascii="Microsoft Sans Serif" w:eastAsia="Microsoft Sans Serif" w:hAnsi="Microsoft Sans Serif" w:cs="Microsoft Sans Serif"/>
          <w:sz w:val="24"/>
        </w:rPr>
        <w:cr/>
        <w:t>120 BUSH STREET</w:t>
      </w:r>
      <w:r>
        <w:rPr>
          <w:rFonts w:ascii="Microsoft Sans Serif" w:eastAsia="Microsoft Sans Serif" w:hAnsi="Microsoft Sans Serif" w:cs="Microsoft Sans Serif"/>
          <w:sz w:val="24"/>
        </w:rPr>
        <w:cr/>
        <w:t>DUNMORE PA  18510</w:t>
      </w:r>
      <w:r>
        <w:rPr>
          <w:rFonts w:ascii="Microsoft Sans Serif" w:eastAsia="Microsoft Sans Serif" w:hAnsi="Microsoft Sans Serif" w:cs="Microsoft Sans Serif"/>
          <w:sz w:val="24"/>
        </w:rPr>
        <w:cr/>
        <w:t>973.759.3540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MICHAEL A GRUIN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16</w:t>
      </w:r>
      <w:r w:rsidRPr="00C20D68">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FLOOR</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t>717.255.7365</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-E-SERVE-</w:t>
      </w:r>
    </w:p>
    <w:p w14:paraId="63ECD13A" w14:textId="77777777" w:rsidR="00851997" w:rsidRDefault="00851997" w:rsidP="00851997">
      <w:pPr>
        <w:contextualSpacing/>
      </w:pPr>
    </w:p>
    <w:p w14:paraId="58E5C411" w14:textId="77777777" w:rsidR="00EB39EF" w:rsidRPr="00206CA1" w:rsidRDefault="00EB39EF" w:rsidP="00497544">
      <w:pPr>
        <w:ind w:right="115"/>
        <w:rPr>
          <w:sz w:val="24"/>
          <w:szCs w:val="24"/>
        </w:rPr>
      </w:pPr>
    </w:p>
    <w:sectPr w:rsidR="00EB39EF" w:rsidRPr="00206CA1" w:rsidSect="002459E0">
      <w:pgSz w:w="12240" w:h="15840" w:code="1"/>
      <w:pgMar w:top="1296" w:right="1296" w:bottom="1296" w:left="129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6CCE4" w14:textId="77777777" w:rsidR="00BA4A02" w:rsidRDefault="00BA4A02">
      <w:r>
        <w:separator/>
      </w:r>
    </w:p>
  </w:endnote>
  <w:endnote w:type="continuationSeparator" w:id="0">
    <w:p w14:paraId="600966CC" w14:textId="77777777" w:rsidR="00BA4A02" w:rsidRDefault="00BA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AB967" w14:textId="77777777" w:rsidR="00973FFF" w:rsidRDefault="00654EE7" w:rsidP="001F1A89">
    <w:pPr>
      <w:pStyle w:val="Footer"/>
      <w:framePr w:wrap="around" w:vAnchor="text" w:hAnchor="margin" w:xAlign="center" w:y="1"/>
      <w:rPr>
        <w:rStyle w:val="PageNumber"/>
      </w:rPr>
    </w:pPr>
    <w:r>
      <w:rPr>
        <w:rStyle w:val="PageNumber"/>
      </w:rPr>
      <w:fldChar w:fldCharType="begin"/>
    </w:r>
    <w:r w:rsidR="00973FFF">
      <w:rPr>
        <w:rStyle w:val="PageNumber"/>
      </w:rPr>
      <w:instrText xml:space="preserve">PAGE  </w:instrText>
    </w:r>
    <w:r>
      <w:rPr>
        <w:rStyle w:val="PageNumber"/>
      </w:rPr>
      <w:fldChar w:fldCharType="end"/>
    </w:r>
  </w:p>
  <w:p w14:paraId="48277FE8" w14:textId="77777777" w:rsidR="00973FFF" w:rsidRDefault="00973F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8824B" w14:textId="77777777" w:rsidR="00973FFF" w:rsidRPr="006F7437" w:rsidRDefault="00654EE7" w:rsidP="001F1A89">
    <w:pPr>
      <w:pStyle w:val="Footer"/>
      <w:framePr w:wrap="around" w:vAnchor="text" w:hAnchor="margin" w:xAlign="center" w:y="1"/>
      <w:rPr>
        <w:rStyle w:val="PageNumber"/>
        <w:sz w:val="20"/>
        <w:szCs w:val="20"/>
      </w:rPr>
    </w:pPr>
    <w:r w:rsidRPr="006F7437">
      <w:rPr>
        <w:rStyle w:val="PageNumber"/>
        <w:sz w:val="20"/>
        <w:szCs w:val="20"/>
      </w:rPr>
      <w:fldChar w:fldCharType="begin"/>
    </w:r>
    <w:r w:rsidR="00973FFF" w:rsidRPr="006F7437">
      <w:rPr>
        <w:rStyle w:val="PageNumber"/>
        <w:sz w:val="20"/>
        <w:szCs w:val="20"/>
      </w:rPr>
      <w:instrText xml:space="preserve">PAGE  </w:instrText>
    </w:r>
    <w:r w:rsidRPr="006F7437">
      <w:rPr>
        <w:rStyle w:val="PageNumber"/>
        <w:sz w:val="20"/>
        <w:szCs w:val="20"/>
      </w:rPr>
      <w:fldChar w:fldCharType="separate"/>
    </w:r>
    <w:r w:rsidR="00A772EC">
      <w:rPr>
        <w:rStyle w:val="PageNumber"/>
        <w:noProof/>
        <w:sz w:val="20"/>
        <w:szCs w:val="20"/>
      </w:rPr>
      <w:t>3</w:t>
    </w:r>
    <w:r w:rsidRPr="006F7437">
      <w:rPr>
        <w:rStyle w:val="PageNumber"/>
        <w:sz w:val="20"/>
        <w:szCs w:val="20"/>
      </w:rPr>
      <w:fldChar w:fldCharType="end"/>
    </w:r>
  </w:p>
  <w:p w14:paraId="0A8B275B" w14:textId="77777777" w:rsidR="00973FFF" w:rsidRDefault="00973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97742" w14:textId="77777777" w:rsidR="00BA4A02" w:rsidRDefault="00BA4A02">
      <w:r>
        <w:separator/>
      </w:r>
    </w:p>
  </w:footnote>
  <w:footnote w:type="continuationSeparator" w:id="0">
    <w:p w14:paraId="58D090BC" w14:textId="77777777" w:rsidR="00BA4A02" w:rsidRDefault="00BA4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D0"/>
    <w:rsid w:val="0001733E"/>
    <w:rsid w:val="0003005A"/>
    <w:rsid w:val="00030C3E"/>
    <w:rsid w:val="00032F81"/>
    <w:rsid w:val="00043C75"/>
    <w:rsid w:val="00050A0B"/>
    <w:rsid w:val="00063004"/>
    <w:rsid w:val="00065127"/>
    <w:rsid w:val="00065BCC"/>
    <w:rsid w:val="00071286"/>
    <w:rsid w:val="000870A4"/>
    <w:rsid w:val="000A699C"/>
    <w:rsid w:val="000B03E7"/>
    <w:rsid w:val="000B0C12"/>
    <w:rsid w:val="000D25A0"/>
    <w:rsid w:val="000D56DD"/>
    <w:rsid w:val="000E477D"/>
    <w:rsid w:val="000E6C40"/>
    <w:rsid w:val="000E7AE4"/>
    <w:rsid w:val="000F1B9E"/>
    <w:rsid w:val="001341A6"/>
    <w:rsid w:val="001467C0"/>
    <w:rsid w:val="00151BBB"/>
    <w:rsid w:val="00157A5F"/>
    <w:rsid w:val="001630B8"/>
    <w:rsid w:val="00184856"/>
    <w:rsid w:val="00193FEF"/>
    <w:rsid w:val="00196AB8"/>
    <w:rsid w:val="001A3EB5"/>
    <w:rsid w:val="001C0320"/>
    <w:rsid w:val="001C1BAE"/>
    <w:rsid w:val="001D3122"/>
    <w:rsid w:val="001D4978"/>
    <w:rsid w:val="001E0D74"/>
    <w:rsid w:val="001E412C"/>
    <w:rsid w:val="001F1A89"/>
    <w:rsid w:val="001F232B"/>
    <w:rsid w:val="001F34E0"/>
    <w:rsid w:val="001F4FBC"/>
    <w:rsid w:val="001F60B9"/>
    <w:rsid w:val="001F6704"/>
    <w:rsid w:val="002026AD"/>
    <w:rsid w:val="00206A03"/>
    <w:rsid w:val="00206CA1"/>
    <w:rsid w:val="00216F3D"/>
    <w:rsid w:val="00222A2F"/>
    <w:rsid w:val="002409E8"/>
    <w:rsid w:val="002415B9"/>
    <w:rsid w:val="00243530"/>
    <w:rsid w:val="002459E0"/>
    <w:rsid w:val="00256602"/>
    <w:rsid w:val="0029169C"/>
    <w:rsid w:val="002A7443"/>
    <w:rsid w:val="002C5906"/>
    <w:rsid w:val="002D39BA"/>
    <w:rsid w:val="002E26E9"/>
    <w:rsid w:val="002E5138"/>
    <w:rsid w:val="002F3134"/>
    <w:rsid w:val="00301EF0"/>
    <w:rsid w:val="00304F7D"/>
    <w:rsid w:val="00361884"/>
    <w:rsid w:val="00362101"/>
    <w:rsid w:val="00362D03"/>
    <w:rsid w:val="00364DC8"/>
    <w:rsid w:val="00390FDE"/>
    <w:rsid w:val="00392B02"/>
    <w:rsid w:val="003B0F8B"/>
    <w:rsid w:val="003C37AC"/>
    <w:rsid w:val="003D6890"/>
    <w:rsid w:val="003E0EBE"/>
    <w:rsid w:val="003E1F54"/>
    <w:rsid w:val="00400079"/>
    <w:rsid w:val="00400081"/>
    <w:rsid w:val="00402DF9"/>
    <w:rsid w:val="0041786A"/>
    <w:rsid w:val="0042692B"/>
    <w:rsid w:val="00450A53"/>
    <w:rsid w:val="00450D93"/>
    <w:rsid w:val="004704D0"/>
    <w:rsid w:val="00497544"/>
    <w:rsid w:val="00497FF1"/>
    <w:rsid w:val="004A5678"/>
    <w:rsid w:val="004A7BA9"/>
    <w:rsid w:val="004B0E80"/>
    <w:rsid w:val="004C7B2E"/>
    <w:rsid w:val="004D5CCB"/>
    <w:rsid w:val="004E0995"/>
    <w:rsid w:val="004F594C"/>
    <w:rsid w:val="0053563A"/>
    <w:rsid w:val="00541AC8"/>
    <w:rsid w:val="00544A18"/>
    <w:rsid w:val="00563641"/>
    <w:rsid w:val="00572946"/>
    <w:rsid w:val="005738A9"/>
    <w:rsid w:val="00577B2E"/>
    <w:rsid w:val="00584910"/>
    <w:rsid w:val="005A0F74"/>
    <w:rsid w:val="005A39CA"/>
    <w:rsid w:val="005C1D14"/>
    <w:rsid w:val="005C646A"/>
    <w:rsid w:val="005F58E4"/>
    <w:rsid w:val="00622D33"/>
    <w:rsid w:val="0062325B"/>
    <w:rsid w:val="00644277"/>
    <w:rsid w:val="00654EE7"/>
    <w:rsid w:val="00657583"/>
    <w:rsid w:val="006843DA"/>
    <w:rsid w:val="006915A4"/>
    <w:rsid w:val="006937E5"/>
    <w:rsid w:val="00696F2B"/>
    <w:rsid w:val="006D6E19"/>
    <w:rsid w:val="006E441D"/>
    <w:rsid w:val="006F6AE4"/>
    <w:rsid w:val="00707C36"/>
    <w:rsid w:val="00710E25"/>
    <w:rsid w:val="00713B82"/>
    <w:rsid w:val="007345BE"/>
    <w:rsid w:val="00735B16"/>
    <w:rsid w:val="007400C8"/>
    <w:rsid w:val="00781FE4"/>
    <w:rsid w:val="007957F3"/>
    <w:rsid w:val="0079783E"/>
    <w:rsid w:val="007C4960"/>
    <w:rsid w:val="007C511D"/>
    <w:rsid w:val="007C58C3"/>
    <w:rsid w:val="007F4EB9"/>
    <w:rsid w:val="00800437"/>
    <w:rsid w:val="008015AD"/>
    <w:rsid w:val="0082533E"/>
    <w:rsid w:val="00832179"/>
    <w:rsid w:val="0083374F"/>
    <w:rsid w:val="00835550"/>
    <w:rsid w:val="00851997"/>
    <w:rsid w:val="00855134"/>
    <w:rsid w:val="00871E5F"/>
    <w:rsid w:val="008B3E6F"/>
    <w:rsid w:val="008D4B2F"/>
    <w:rsid w:val="008D5797"/>
    <w:rsid w:val="008E56A7"/>
    <w:rsid w:val="00905555"/>
    <w:rsid w:val="0094317E"/>
    <w:rsid w:val="00961C91"/>
    <w:rsid w:val="00966CA3"/>
    <w:rsid w:val="0096758B"/>
    <w:rsid w:val="009702C4"/>
    <w:rsid w:val="00973FFF"/>
    <w:rsid w:val="00984547"/>
    <w:rsid w:val="00991980"/>
    <w:rsid w:val="009926E3"/>
    <w:rsid w:val="009E08C1"/>
    <w:rsid w:val="009E32D5"/>
    <w:rsid w:val="009E34B2"/>
    <w:rsid w:val="009E54EF"/>
    <w:rsid w:val="009F21C0"/>
    <w:rsid w:val="00A03A9F"/>
    <w:rsid w:val="00A03C2B"/>
    <w:rsid w:val="00A071D6"/>
    <w:rsid w:val="00A122E2"/>
    <w:rsid w:val="00A23266"/>
    <w:rsid w:val="00A34E5D"/>
    <w:rsid w:val="00A62042"/>
    <w:rsid w:val="00A772EC"/>
    <w:rsid w:val="00A87D5F"/>
    <w:rsid w:val="00A90AD0"/>
    <w:rsid w:val="00A94C40"/>
    <w:rsid w:val="00AA28E5"/>
    <w:rsid w:val="00AA7600"/>
    <w:rsid w:val="00AB52ED"/>
    <w:rsid w:val="00AC7EBE"/>
    <w:rsid w:val="00AD692D"/>
    <w:rsid w:val="00AE6D0E"/>
    <w:rsid w:val="00AF5B01"/>
    <w:rsid w:val="00B05F72"/>
    <w:rsid w:val="00B11C64"/>
    <w:rsid w:val="00B2419F"/>
    <w:rsid w:val="00B44FC0"/>
    <w:rsid w:val="00B54E30"/>
    <w:rsid w:val="00B60E76"/>
    <w:rsid w:val="00B81B05"/>
    <w:rsid w:val="00BA4A02"/>
    <w:rsid w:val="00BD3982"/>
    <w:rsid w:val="00BE275A"/>
    <w:rsid w:val="00BF23B1"/>
    <w:rsid w:val="00C13AFA"/>
    <w:rsid w:val="00C203AE"/>
    <w:rsid w:val="00C332C3"/>
    <w:rsid w:val="00C61A93"/>
    <w:rsid w:val="00C70F61"/>
    <w:rsid w:val="00C71D48"/>
    <w:rsid w:val="00C74646"/>
    <w:rsid w:val="00C92A7D"/>
    <w:rsid w:val="00C94EE2"/>
    <w:rsid w:val="00CA6F32"/>
    <w:rsid w:val="00CB389B"/>
    <w:rsid w:val="00CB7734"/>
    <w:rsid w:val="00CD26E2"/>
    <w:rsid w:val="00CE4FA6"/>
    <w:rsid w:val="00CF0E66"/>
    <w:rsid w:val="00D01BCB"/>
    <w:rsid w:val="00D045F1"/>
    <w:rsid w:val="00D0723B"/>
    <w:rsid w:val="00D21B47"/>
    <w:rsid w:val="00D35F33"/>
    <w:rsid w:val="00D455EF"/>
    <w:rsid w:val="00D7203F"/>
    <w:rsid w:val="00D87036"/>
    <w:rsid w:val="00D92589"/>
    <w:rsid w:val="00DD557F"/>
    <w:rsid w:val="00DD5A59"/>
    <w:rsid w:val="00DF201C"/>
    <w:rsid w:val="00DF64DC"/>
    <w:rsid w:val="00DF6E99"/>
    <w:rsid w:val="00E007DC"/>
    <w:rsid w:val="00E01029"/>
    <w:rsid w:val="00E14396"/>
    <w:rsid w:val="00E274C1"/>
    <w:rsid w:val="00E5250F"/>
    <w:rsid w:val="00E675CD"/>
    <w:rsid w:val="00E7786C"/>
    <w:rsid w:val="00E77AFF"/>
    <w:rsid w:val="00E9495E"/>
    <w:rsid w:val="00E97A26"/>
    <w:rsid w:val="00EA1F99"/>
    <w:rsid w:val="00EB39EF"/>
    <w:rsid w:val="00EB569B"/>
    <w:rsid w:val="00EB5DCB"/>
    <w:rsid w:val="00EB7C09"/>
    <w:rsid w:val="00EC2911"/>
    <w:rsid w:val="00ED504E"/>
    <w:rsid w:val="00EE5EB2"/>
    <w:rsid w:val="00F039D4"/>
    <w:rsid w:val="00F11369"/>
    <w:rsid w:val="00F23290"/>
    <w:rsid w:val="00F264AB"/>
    <w:rsid w:val="00F35426"/>
    <w:rsid w:val="00F41640"/>
    <w:rsid w:val="00F43F9B"/>
    <w:rsid w:val="00F576F5"/>
    <w:rsid w:val="00F63931"/>
    <w:rsid w:val="00F735B1"/>
    <w:rsid w:val="00FB06D7"/>
    <w:rsid w:val="00FB1153"/>
    <w:rsid w:val="00FD04C8"/>
    <w:rsid w:val="00FD5B1E"/>
    <w:rsid w:val="00FD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CC335"/>
  <w15:docId w15:val="{BC5AC069-0722-4FBD-A776-0C015DA2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1A89"/>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F1A89"/>
    <w:pPr>
      <w:tabs>
        <w:tab w:val="center" w:pos="4320"/>
        <w:tab w:val="right" w:pos="8640"/>
      </w:tabs>
    </w:pPr>
  </w:style>
  <w:style w:type="character" w:styleId="PageNumber">
    <w:name w:val="page number"/>
    <w:basedOn w:val="DefaultParagraphFont"/>
    <w:rsid w:val="001F1A89"/>
  </w:style>
  <w:style w:type="paragraph" w:styleId="FootnoteText">
    <w:name w:val="footnote text"/>
    <w:basedOn w:val="Normal"/>
    <w:semiHidden/>
    <w:rsid w:val="006E441D"/>
    <w:rPr>
      <w:sz w:val="20"/>
      <w:szCs w:val="20"/>
    </w:rPr>
  </w:style>
  <w:style w:type="character" w:styleId="FootnoteReference">
    <w:name w:val="footnote reference"/>
    <w:basedOn w:val="DefaultParagraphFont"/>
    <w:semiHidden/>
    <w:rsid w:val="006E441D"/>
    <w:rPr>
      <w:vertAlign w:val="superscript"/>
    </w:rPr>
  </w:style>
  <w:style w:type="paragraph" w:styleId="BalloonText">
    <w:name w:val="Balloon Text"/>
    <w:basedOn w:val="Normal"/>
    <w:semiHidden/>
    <w:rsid w:val="00DF6E99"/>
    <w:rPr>
      <w:rFonts w:ascii="Tahoma" w:hAnsi="Tahoma" w:cs="Tahoma"/>
      <w:sz w:val="16"/>
      <w:szCs w:val="16"/>
    </w:rPr>
  </w:style>
  <w:style w:type="character" w:customStyle="1" w:styleId="FooterChar">
    <w:name w:val="Footer Char"/>
    <w:basedOn w:val="DefaultParagraphFont"/>
    <w:link w:val="Footer"/>
    <w:uiPriority w:val="99"/>
    <w:rsid w:val="00622D33"/>
    <w:rPr>
      <w:sz w:val="26"/>
      <w:szCs w:val="26"/>
    </w:rPr>
  </w:style>
  <w:style w:type="character" w:styleId="Hyperlink">
    <w:name w:val="Hyperlink"/>
    <w:rsid w:val="000173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7F48C-58B0-43D2-8293-B283D234D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500</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DUNDERDALE</dc:creator>
  <cp:lastModifiedBy>Oldynski, Sandra</cp:lastModifiedBy>
  <cp:revision>6</cp:revision>
  <cp:lastPrinted>2018-06-07T14:41:00Z</cp:lastPrinted>
  <dcterms:created xsi:type="dcterms:W3CDTF">2018-06-07T14:38:00Z</dcterms:created>
  <dcterms:modified xsi:type="dcterms:W3CDTF">2018-06-07T14:44:00Z</dcterms:modified>
</cp:coreProperties>
</file>