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14:paraId="25C830AC" w14:textId="77777777" w:rsidTr="00252E10">
        <w:tc>
          <w:tcPr>
            <w:tcW w:w="1363" w:type="dxa"/>
          </w:tcPr>
          <w:p w14:paraId="3FF3BB2C" w14:textId="77777777" w:rsidR="00C53327" w:rsidRPr="008516FB" w:rsidRDefault="00C53327" w:rsidP="00252E10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5007070A" wp14:editId="38A5E10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460634D" w14:textId="77777777" w:rsidR="00C53327" w:rsidRPr="008516FB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0CE2C10" w14:textId="77777777" w:rsidR="00D46CD8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07CFFF0" w14:textId="77777777" w:rsidR="00C53327" w:rsidRPr="008516FB" w:rsidRDefault="00E24690" w:rsidP="00E2469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6734E6A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20940EA3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6B025170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52FB27CD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0832D5E4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21444D51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5456ECD3" w14:textId="77777777" w:rsidR="00C53327" w:rsidRPr="008516FB" w:rsidRDefault="00C53327" w:rsidP="00252E10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BFFFE0B" w14:textId="3B7BF76E" w:rsidR="00D27F3B" w:rsidRDefault="008C769E" w:rsidP="00D27F3B">
      <w:pPr>
        <w:jc w:val="center"/>
        <w:rPr>
          <w:sz w:val="26"/>
          <w:szCs w:val="26"/>
        </w:rPr>
      </w:pPr>
      <w:r>
        <w:rPr>
          <w:sz w:val="26"/>
          <w:szCs w:val="26"/>
        </w:rPr>
        <w:t>June 7, 2018</w:t>
      </w:r>
    </w:p>
    <w:p w14:paraId="76C1B160" w14:textId="77777777" w:rsidR="00D27F3B" w:rsidRDefault="00D27F3B" w:rsidP="002F6FE6">
      <w:pPr>
        <w:jc w:val="right"/>
        <w:rPr>
          <w:sz w:val="26"/>
          <w:szCs w:val="26"/>
        </w:rPr>
      </w:pPr>
    </w:p>
    <w:p w14:paraId="7FBEB7B7" w14:textId="77777777" w:rsidR="002F6FE6" w:rsidRDefault="002F6FE6" w:rsidP="002F6FE6">
      <w:pPr>
        <w:jc w:val="right"/>
        <w:rPr>
          <w:sz w:val="26"/>
          <w:szCs w:val="26"/>
        </w:rPr>
      </w:pPr>
      <w:r w:rsidRPr="005B1693">
        <w:rPr>
          <w:sz w:val="26"/>
          <w:szCs w:val="26"/>
        </w:rPr>
        <w:t>Docket No</w:t>
      </w:r>
      <w:r w:rsidR="00D27F3B">
        <w:rPr>
          <w:sz w:val="26"/>
          <w:szCs w:val="26"/>
        </w:rPr>
        <w:t>s</w:t>
      </w:r>
      <w:r w:rsidRPr="005B1693">
        <w:rPr>
          <w:sz w:val="26"/>
          <w:szCs w:val="26"/>
        </w:rPr>
        <w:t xml:space="preserve">. </w:t>
      </w:r>
      <w:r w:rsidR="00EE7076">
        <w:rPr>
          <w:sz w:val="26"/>
          <w:szCs w:val="26"/>
        </w:rPr>
        <w:t>R</w:t>
      </w:r>
      <w:r w:rsidR="00226616" w:rsidRPr="00226616">
        <w:rPr>
          <w:sz w:val="26"/>
          <w:szCs w:val="26"/>
        </w:rPr>
        <w:t>-201</w:t>
      </w:r>
      <w:r w:rsidR="00EE7076">
        <w:rPr>
          <w:sz w:val="26"/>
          <w:szCs w:val="26"/>
        </w:rPr>
        <w:t>8</w:t>
      </w:r>
      <w:r w:rsidR="00226616" w:rsidRPr="00226616">
        <w:rPr>
          <w:sz w:val="26"/>
          <w:szCs w:val="26"/>
        </w:rPr>
        <w:t>-</w:t>
      </w:r>
      <w:r w:rsidR="00EE7076">
        <w:rPr>
          <w:sz w:val="26"/>
          <w:szCs w:val="26"/>
        </w:rPr>
        <w:t>3000942</w:t>
      </w:r>
    </w:p>
    <w:p w14:paraId="529AF3D2" w14:textId="77777777" w:rsidR="00D86A7D" w:rsidRDefault="00EE7076" w:rsidP="002F6FE6">
      <w:pPr>
        <w:jc w:val="right"/>
        <w:rPr>
          <w:sz w:val="26"/>
          <w:szCs w:val="26"/>
        </w:rPr>
      </w:pPr>
      <w:r>
        <w:rPr>
          <w:sz w:val="26"/>
          <w:szCs w:val="26"/>
        </w:rPr>
        <w:t>M</w:t>
      </w:r>
      <w:r w:rsidR="00D86A7D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="00D86A7D">
        <w:rPr>
          <w:sz w:val="26"/>
          <w:szCs w:val="26"/>
        </w:rPr>
        <w:t>-2</w:t>
      </w:r>
      <w:r>
        <w:rPr>
          <w:sz w:val="26"/>
          <w:szCs w:val="26"/>
        </w:rPr>
        <w:t>641242</w:t>
      </w:r>
    </w:p>
    <w:p w14:paraId="1D88A15F" w14:textId="77777777" w:rsidR="002F6FE6" w:rsidRDefault="002F6FE6" w:rsidP="002F6FE6">
      <w:pPr>
        <w:jc w:val="right"/>
        <w:rPr>
          <w:sz w:val="26"/>
          <w:szCs w:val="26"/>
        </w:rPr>
      </w:pPr>
    </w:p>
    <w:p w14:paraId="1DA38A70" w14:textId="77777777" w:rsidR="00D27F3B" w:rsidRDefault="00D27F3B" w:rsidP="002F6FE6">
      <w:pPr>
        <w:jc w:val="right"/>
        <w:rPr>
          <w:sz w:val="26"/>
          <w:szCs w:val="26"/>
        </w:rPr>
      </w:pPr>
    </w:p>
    <w:p w14:paraId="2602A4C2" w14:textId="77777777" w:rsidR="00D27F3B" w:rsidRDefault="00EE7076" w:rsidP="003D3AAB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Whitney</w:t>
      </w:r>
      <w:r w:rsidR="00A5044E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E</w:t>
      </w:r>
      <w:r w:rsidR="00A5044E">
        <w:rPr>
          <w:noProof/>
          <w:sz w:val="26"/>
          <w:szCs w:val="26"/>
        </w:rPr>
        <w:t xml:space="preserve">. </w:t>
      </w:r>
      <w:r>
        <w:rPr>
          <w:noProof/>
          <w:sz w:val="26"/>
          <w:szCs w:val="26"/>
        </w:rPr>
        <w:t>Snyder</w:t>
      </w:r>
    </w:p>
    <w:p w14:paraId="4E77778C" w14:textId="77777777" w:rsidR="00D27F3B" w:rsidRDefault="00EE7076" w:rsidP="003D3AAB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Hawk McKeon &amp; Sniscak,</w:t>
      </w:r>
      <w:r w:rsidR="00A5044E">
        <w:rPr>
          <w:noProof/>
          <w:sz w:val="26"/>
          <w:szCs w:val="26"/>
        </w:rPr>
        <w:t xml:space="preserve"> LLP</w:t>
      </w:r>
    </w:p>
    <w:p w14:paraId="5832243A" w14:textId="77777777" w:rsidR="00344E17" w:rsidRDefault="00EE7076" w:rsidP="00D27F3B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100 North Tenth Street</w:t>
      </w:r>
    </w:p>
    <w:p w14:paraId="16A4B444" w14:textId="77777777" w:rsidR="00E24690" w:rsidRPr="005B1693" w:rsidRDefault="00EE7076" w:rsidP="00D27F3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Harrisburg</w:t>
      </w:r>
      <w:r w:rsidR="00D7392B">
        <w:rPr>
          <w:noProof/>
          <w:sz w:val="26"/>
          <w:szCs w:val="26"/>
        </w:rPr>
        <w:t>,</w:t>
      </w:r>
      <w:r w:rsidR="00344E17">
        <w:rPr>
          <w:noProof/>
          <w:sz w:val="26"/>
          <w:szCs w:val="26"/>
        </w:rPr>
        <w:t xml:space="preserve"> </w:t>
      </w:r>
      <w:r w:rsidR="00A5044E">
        <w:rPr>
          <w:noProof/>
          <w:sz w:val="26"/>
          <w:szCs w:val="26"/>
        </w:rPr>
        <w:t>PA</w:t>
      </w:r>
      <w:r w:rsidR="00344E1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17101</w:t>
      </w:r>
    </w:p>
    <w:p w14:paraId="47A45D75" w14:textId="77777777" w:rsidR="00D6307B" w:rsidRDefault="00D6307B" w:rsidP="00F360A6">
      <w:pPr>
        <w:ind w:left="1260" w:hanging="540"/>
        <w:rPr>
          <w:sz w:val="26"/>
          <w:szCs w:val="26"/>
        </w:rPr>
      </w:pPr>
    </w:p>
    <w:p w14:paraId="07A239A8" w14:textId="77777777" w:rsidR="005B1693" w:rsidRPr="005B1693" w:rsidRDefault="005B1693" w:rsidP="00F360A6">
      <w:pPr>
        <w:ind w:left="1260" w:hanging="540"/>
        <w:rPr>
          <w:sz w:val="26"/>
          <w:szCs w:val="26"/>
        </w:rPr>
      </w:pPr>
    </w:p>
    <w:p w14:paraId="758AA7F0" w14:textId="77777777" w:rsidR="00C53327" w:rsidRPr="005B1693" w:rsidRDefault="00C53327" w:rsidP="00F360A6">
      <w:pPr>
        <w:ind w:left="1260" w:hanging="540"/>
        <w:rPr>
          <w:sz w:val="26"/>
          <w:szCs w:val="26"/>
        </w:rPr>
      </w:pPr>
      <w:r w:rsidRPr="005B1693">
        <w:rPr>
          <w:sz w:val="26"/>
          <w:szCs w:val="26"/>
        </w:rPr>
        <w:t xml:space="preserve">RE: </w:t>
      </w:r>
      <w:r w:rsidR="00916C5A">
        <w:rPr>
          <w:sz w:val="26"/>
          <w:szCs w:val="26"/>
        </w:rPr>
        <w:t xml:space="preserve"> </w:t>
      </w:r>
      <w:r w:rsidR="00EE7076">
        <w:rPr>
          <w:sz w:val="26"/>
          <w:szCs w:val="26"/>
        </w:rPr>
        <w:t xml:space="preserve">Petition </w:t>
      </w:r>
      <w:r w:rsidR="009F1DFD">
        <w:rPr>
          <w:sz w:val="26"/>
          <w:szCs w:val="26"/>
        </w:rPr>
        <w:t xml:space="preserve">of Pike County Light &amp; Power Company (Electric) </w:t>
      </w:r>
      <w:r w:rsidR="00EE7076">
        <w:rPr>
          <w:sz w:val="26"/>
          <w:szCs w:val="26"/>
        </w:rPr>
        <w:t xml:space="preserve">for </w:t>
      </w:r>
      <w:r w:rsidR="009F1DFD">
        <w:rPr>
          <w:sz w:val="26"/>
          <w:szCs w:val="26"/>
        </w:rPr>
        <w:t>Reconsideration</w:t>
      </w:r>
      <w:r w:rsidR="00EE7076">
        <w:rPr>
          <w:sz w:val="26"/>
          <w:szCs w:val="26"/>
        </w:rPr>
        <w:t xml:space="preserve"> </w:t>
      </w:r>
      <w:r w:rsidR="009F1DFD">
        <w:rPr>
          <w:sz w:val="26"/>
          <w:szCs w:val="26"/>
        </w:rPr>
        <w:t>of the Commission’s May 17, 2018 Orders</w:t>
      </w:r>
    </w:p>
    <w:p w14:paraId="63598E15" w14:textId="77777777" w:rsidR="005B1693" w:rsidRDefault="005B1693" w:rsidP="00C53327">
      <w:pPr>
        <w:rPr>
          <w:sz w:val="26"/>
          <w:szCs w:val="26"/>
        </w:rPr>
      </w:pPr>
    </w:p>
    <w:p w14:paraId="7DACAB0B" w14:textId="77777777" w:rsidR="00C53327" w:rsidRPr="005B1693" w:rsidRDefault="00C53327" w:rsidP="00C53327">
      <w:pPr>
        <w:rPr>
          <w:sz w:val="26"/>
          <w:szCs w:val="26"/>
        </w:rPr>
      </w:pPr>
      <w:r w:rsidRPr="005B1693">
        <w:rPr>
          <w:sz w:val="26"/>
          <w:szCs w:val="26"/>
        </w:rPr>
        <w:t xml:space="preserve">Dear </w:t>
      </w:r>
      <w:r w:rsidR="00557E89" w:rsidRPr="005B1693">
        <w:rPr>
          <w:sz w:val="26"/>
          <w:szCs w:val="26"/>
        </w:rPr>
        <w:t>M</w:t>
      </w:r>
      <w:r w:rsidR="00EE7076">
        <w:rPr>
          <w:sz w:val="26"/>
          <w:szCs w:val="26"/>
        </w:rPr>
        <w:t>s</w:t>
      </w:r>
      <w:r w:rsidR="00557E89" w:rsidRPr="005B1693">
        <w:rPr>
          <w:sz w:val="26"/>
          <w:szCs w:val="26"/>
        </w:rPr>
        <w:t xml:space="preserve">. </w:t>
      </w:r>
      <w:r w:rsidR="00EE7076">
        <w:rPr>
          <w:sz w:val="26"/>
          <w:szCs w:val="26"/>
        </w:rPr>
        <w:t>Snyder</w:t>
      </w:r>
      <w:r w:rsidR="00557E89" w:rsidRPr="005B1693">
        <w:rPr>
          <w:sz w:val="26"/>
          <w:szCs w:val="26"/>
        </w:rPr>
        <w:t>:</w:t>
      </w:r>
    </w:p>
    <w:p w14:paraId="642AC905" w14:textId="77777777" w:rsidR="00C53327" w:rsidRPr="005B1693" w:rsidRDefault="00C53327" w:rsidP="00C53327">
      <w:pPr>
        <w:rPr>
          <w:sz w:val="26"/>
          <w:szCs w:val="26"/>
        </w:rPr>
      </w:pPr>
    </w:p>
    <w:p w14:paraId="586EA0C1" w14:textId="77777777" w:rsidR="00C53327" w:rsidRPr="005B1693" w:rsidRDefault="00E24690" w:rsidP="008516FB">
      <w:pPr>
        <w:pStyle w:val="BodyText"/>
        <w:spacing w:after="0"/>
        <w:ind w:right="540"/>
        <w:rPr>
          <w:sz w:val="26"/>
          <w:szCs w:val="26"/>
        </w:rPr>
      </w:pPr>
      <w:r w:rsidRPr="005B1693">
        <w:rPr>
          <w:sz w:val="26"/>
          <w:szCs w:val="26"/>
        </w:rPr>
        <w:tab/>
      </w:r>
      <w:r w:rsidR="00EF0031">
        <w:rPr>
          <w:sz w:val="26"/>
          <w:szCs w:val="26"/>
        </w:rPr>
        <w:t>The above-captioned</w:t>
      </w:r>
      <w:r w:rsidR="00F360A6" w:rsidRPr="005B1693">
        <w:rPr>
          <w:sz w:val="26"/>
          <w:szCs w:val="26"/>
        </w:rPr>
        <w:t xml:space="preserve"> </w:t>
      </w:r>
      <w:r w:rsidR="009F1DFD">
        <w:rPr>
          <w:sz w:val="26"/>
          <w:szCs w:val="26"/>
        </w:rPr>
        <w:t>petition</w:t>
      </w:r>
      <w:r w:rsidR="00F360A6" w:rsidRPr="005B1693">
        <w:rPr>
          <w:sz w:val="26"/>
          <w:szCs w:val="26"/>
        </w:rPr>
        <w:t xml:space="preserve"> was filed with the Commission</w:t>
      </w:r>
      <w:r w:rsidR="00BC50AA" w:rsidRPr="005B1693">
        <w:rPr>
          <w:sz w:val="26"/>
          <w:szCs w:val="26"/>
        </w:rPr>
        <w:t xml:space="preserve"> </w:t>
      </w:r>
      <w:r w:rsidR="00D14E94" w:rsidRPr="005B1693">
        <w:rPr>
          <w:sz w:val="26"/>
          <w:szCs w:val="26"/>
        </w:rPr>
        <w:t>on</w:t>
      </w:r>
      <w:r w:rsidR="006D204E" w:rsidRPr="005B1693">
        <w:rPr>
          <w:sz w:val="26"/>
          <w:szCs w:val="26"/>
        </w:rPr>
        <w:t xml:space="preserve"> </w:t>
      </w:r>
      <w:r w:rsidR="009F1DFD">
        <w:rPr>
          <w:sz w:val="26"/>
          <w:szCs w:val="26"/>
        </w:rPr>
        <w:t>June 1</w:t>
      </w:r>
      <w:r w:rsidR="006D204E" w:rsidRPr="005B1693">
        <w:rPr>
          <w:sz w:val="26"/>
          <w:szCs w:val="26"/>
        </w:rPr>
        <w:t>, 201</w:t>
      </w:r>
      <w:r w:rsidR="009F1DFD">
        <w:rPr>
          <w:sz w:val="26"/>
          <w:szCs w:val="26"/>
        </w:rPr>
        <w:t>8</w:t>
      </w:r>
      <w:r w:rsidR="00134EB2" w:rsidRPr="005B1693">
        <w:rPr>
          <w:sz w:val="26"/>
          <w:szCs w:val="26"/>
        </w:rPr>
        <w:t>.</w:t>
      </w:r>
      <w:r w:rsidR="00903363" w:rsidRPr="005B1693">
        <w:rPr>
          <w:sz w:val="26"/>
          <w:szCs w:val="26"/>
        </w:rPr>
        <w:t xml:space="preserve">  </w:t>
      </w:r>
      <w:r w:rsidR="00E07598" w:rsidRPr="005B1693">
        <w:rPr>
          <w:sz w:val="26"/>
          <w:szCs w:val="26"/>
        </w:rPr>
        <w:t>T</w:t>
      </w:r>
      <w:r w:rsidR="00D94B36" w:rsidRPr="005B1693">
        <w:rPr>
          <w:sz w:val="26"/>
          <w:szCs w:val="26"/>
        </w:rPr>
        <w:t>o assist</w:t>
      </w:r>
      <w:r w:rsidR="008516FB" w:rsidRPr="005B1693">
        <w:rPr>
          <w:sz w:val="26"/>
          <w:szCs w:val="26"/>
        </w:rPr>
        <w:t xml:space="preserve"> the Commission</w:t>
      </w:r>
      <w:r w:rsidR="000F48F8" w:rsidRPr="005B1693">
        <w:rPr>
          <w:sz w:val="26"/>
          <w:szCs w:val="26"/>
        </w:rPr>
        <w:t xml:space="preserve"> </w:t>
      </w:r>
      <w:r w:rsidR="00D94B36" w:rsidRPr="005B1693">
        <w:rPr>
          <w:sz w:val="26"/>
          <w:szCs w:val="26"/>
        </w:rPr>
        <w:t xml:space="preserve">in </w:t>
      </w:r>
      <w:r w:rsidR="00E07598" w:rsidRPr="005B1693">
        <w:rPr>
          <w:sz w:val="26"/>
          <w:szCs w:val="26"/>
        </w:rPr>
        <w:t xml:space="preserve">conducting </w:t>
      </w:r>
      <w:r w:rsidR="009F1DFD">
        <w:rPr>
          <w:sz w:val="26"/>
          <w:szCs w:val="26"/>
        </w:rPr>
        <w:t>its</w:t>
      </w:r>
      <w:r w:rsidR="00E07598" w:rsidRPr="005B1693">
        <w:rPr>
          <w:sz w:val="26"/>
          <w:szCs w:val="26"/>
        </w:rPr>
        <w:t xml:space="preserve"> review of</w:t>
      </w:r>
      <w:r w:rsidR="002F6FE6" w:rsidRPr="005B1693">
        <w:rPr>
          <w:sz w:val="26"/>
          <w:szCs w:val="26"/>
        </w:rPr>
        <w:t xml:space="preserve"> </w:t>
      </w:r>
      <w:r w:rsidR="00F360A6" w:rsidRPr="005B1693">
        <w:rPr>
          <w:sz w:val="26"/>
          <w:szCs w:val="26"/>
        </w:rPr>
        <w:t xml:space="preserve">the proposed </w:t>
      </w:r>
      <w:r w:rsidR="009F1DFD">
        <w:rPr>
          <w:sz w:val="26"/>
          <w:szCs w:val="26"/>
        </w:rPr>
        <w:t>petition for reconsideration</w:t>
      </w:r>
      <w:r w:rsidR="00E07598" w:rsidRPr="005B1693">
        <w:rPr>
          <w:sz w:val="26"/>
          <w:szCs w:val="26"/>
        </w:rPr>
        <w:t xml:space="preserve">, </w:t>
      </w:r>
      <w:r w:rsidR="00451E07" w:rsidRPr="005B1693">
        <w:rPr>
          <w:sz w:val="26"/>
          <w:szCs w:val="26"/>
        </w:rPr>
        <w:t xml:space="preserve">please </w:t>
      </w:r>
      <w:r w:rsidR="00D5440D" w:rsidRPr="005B1693">
        <w:rPr>
          <w:sz w:val="26"/>
          <w:szCs w:val="26"/>
        </w:rPr>
        <w:t xml:space="preserve">respond </w:t>
      </w:r>
      <w:r w:rsidR="009D5A24" w:rsidRPr="005B1693">
        <w:rPr>
          <w:sz w:val="26"/>
          <w:szCs w:val="26"/>
        </w:rPr>
        <w:t>with the information requested in Attachment 1</w:t>
      </w:r>
      <w:r w:rsidR="00D5440D" w:rsidRPr="005B1693">
        <w:rPr>
          <w:sz w:val="26"/>
          <w:szCs w:val="26"/>
        </w:rPr>
        <w:t>.</w:t>
      </w:r>
      <w:r w:rsidR="000F48F8" w:rsidRPr="005B1693">
        <w:rPr>
          <w:sz w:val="26"/>
          <w:szCs w:val="26"/>
        </w:rPr>
        <w:t xml:space="preserve"> </w:t>
      </w:r>
      <w:r w:rsidR="00EF66EF">
        <w:rPr>
          <w:sz w:val="26"/>
          <w:szCs w:val="26"/>
        </w:rPr>
        <w:t xml:space="preserve"> </w:t>
      </w:r>
      <w:r w:rsidR="000C0812" w:rsidRPr="005B1693">
        <w:rPr>
          <w:sz w:val="26"/>
          <w:szCs w:val="26"/>
        </w:rPr>
        <w:t>In addition to the hard-copy filing directions below, please also email the information to</w:t>
      </w:r>
      <w:r w:rsidR="006E705B">
        <w:rPr>
          <w:sz w:val="26"/>
          <w:szCs w:val="26"/>
        </w:rPr>
        <w:t xml:space="preserve"> </w:t>
      </w:r>
      <w:hyperlink r:id="rId9" w:history="1">
        <w:r w:rsidR="00EF0031" w:rsidRPr="00F71726">
          <w:rPr>
            <w:rStyle w:val="Hyperlink"/>
            <w:sz w:val="26"/>
            <w:szCs w:val="26"/>
          </w:rPr>
          <w:t>rlayton@pa.gov</w:t>
        </w:r>
      </w:hyperlink>
      <w:r w:rsidR="006E705B">
        <w:rPr>
          <w:sz w:val="26"/>
          <w:szCs w:val="26"/>
        </w:rPr>
        <w:t xml:space="preserve">. </w:t>
      </w:r>
      <w:r w:rsidR="000C0812" w:rsidRPr="005B1693">
        <w:rPr>
          <w:sz w:val="26"/>
          <w:szCs w:val="26"/>
        </w:rPr>
        <w:t xml:space="preserve"> </w:t>
      </w:r>
    </w:p>
    <w:p w14:paraId="2719E115" w14:textId="77777777" w:rsidR="00D5440D" w:rsidRPr="005B1693" w:rsidRDefault="00D5440D" w:rsidP="00D5440D">
      <w:pPr>
        <w:ind w:left="720"/>
        <w:rPr>
          <w:sz w:val="26"/>
          <w:szCs w:val="26"/>
        </w:rPr>
      </w:pPr>
    </w:p>
    <w:p w14:paraId="26DCBBB8" w14:textId="77777777" w:rsidR="00C53327" w:rsidRPr="005B1693" w:rsidRDefault="00E24690" w:rsidP="008516FB">
      <w:pPr>
        <w:ind w:right="-90"/>
        <w:rPr>
          <w:sz w:val="26"/>
          <w:szCs w:val="26"/>
        </w:rPr>
      </w:pPr>
      <w:r w:rsidRPr="005B1693">
        <w:rPr>
          <w:sz w:val="26"/>
          <w:szCs w:val="26"/>
        </w:rPr>
        <w:tab/>
      </w:r>
      <w:r w:rsidR="00C53327" w:rsidRPr="005B1693">
        <w:rPr>
          <w:sz w:val="26"/>
          <w:szCs w:val="26"/>
        </w:rPr>
        <w:t xml:space="preserve">Please forward the information to the Secretary of the Commission at the address listed below </w:t>
      </w:r>
      <w:r w:rsidR="006D204E" w:rsidRPr="005B1693">
        <w:rPr>
          <w:b/>
          <w:sz w:val="26"/>
          <w:szCs w:val="26"/>
        </w:rPr>
        <w:t>with</w:t>
      </w:r>
      <w:r w:rsidR="008F1D46" w:rsidRPr="005B1693">
        <w:rPr>
          <w:b/>
          <w:sz w:val="26"/>
          <w:szCs w:val="26"/>
        </w:rPr>
        <w:t>in</w:t>
      </w:r>
      <w:r w:rsidR="006D204E" w:rsidRPr="005B1693">
        <w:rPr>
          <w:b/>
          <w:sz w:val="26"/>
          <w:szCs w:val="26"/>
        </w:rPr>
        <w:t xml:space="preserve"> ten (10) days of the date of this lette</w:t>
      </w:r>
      <w:r w:rsidR="00195884">
        <w:rPr>
          <w:b/>
          <w:sz w:val="26"/>
          <w:szCs w:val="26"/>
        </w:rPr>
        <w:t>r.</w:t>
      </w:r>
      <w:r w:rsidR="00C53327" w:rsidRPr="005B1693">
        <w:rPr>
          <w:sz w:val="26"/>
          <w:szCs w:val="26"/>
        </w:rPr>
        <w:t xml:space="preserve">  </w:t>
      </w:r>
      <w:r w:rsidR="007232DE" w:rsidRPr="005B1693">
        <w:rPr>
          <w:sz w:val="26"/>
          <w:szCs w:val="26"/>
        </w:rPr>
        <w:t xml:space="preserve">Make sure to reference </w:t>
      </w:r>
      <w:r w:rsidR="00F360A6" w:rsidRPr="005B1693">
        <w:rPr>
          <w:sz w:val="26"/>
          <w:szCs w:val="26"/>
        </w:rPr>
        <w:t xml:space="preserve">Docket No. </w:t>
      </w:r>
      <w:r w:rsidR="009F1DFD">
        <w:rPr>
          <w:sz w:val="26"/>
          <w:szCs w:val="26"/>
        </w:rPr>
        <w:t>R</w:t>
      </w:r>
      <w:r w:rsidR="00F360A6" w:rsidRPr="005B1693">
        <w:rPr>
          <w:sz w:val="26"/>
          <w:szCs w:val="26"/>
        </w:rPr>
        <w:t>-201</w:t>
      </w:r>
      <w:r w:rsidR="009F1DFD">
        <w:rPr>
          <w:sz w:val="26"/>
          <w:szCs w:val="26"/>
        </w:rPr>
        <w:t>8</w:t>
      </w:r>
      <w:r w:rsidR="00F360A6" w:rsidRPr="005B1693">
        <w:rPr>
          <w:sz w:val="26"/>
          <w:szCs w:val="26"/>
        </w:rPr>
        <w:t>-</w:t>
      </w:r>
      <w:r w:rsidR="009F1DFD">
        <w:rPr>
          <w:sz w:val="26"/>
          <w:szCs w:val="26"/>
        </w:rPr>
        <w:t>3000942</w:t>
      </w:r>
      <w:r w:rsidR="00EF0031">
        <w:rPr>
          <w:sz w:val="26"/>
          <w:szCs w:val="26"/>
        </w:rPr>
        <w:t xml:space="preserve"> </w:t>
      </w:r>
      <w:r w:rsidR="00F360A6" w:rsidRPr="005B1693">
        <w:rPr>
          <w:sz w:val="26"/>
          <w:szCs w:val="26"/>
        </w:rPr>
        <w:t>wh</w:t>
      </w:r>
      <w:r w:rsidR="007232DE" w:rsidRPr="005B1693">
        <w:rPr>
          <w:sz w:val="26"/>
          <w:szCs w:val="26"/>
        </w:rPr>
        <w:t xml:space="preserve">en filing your response.  </w:t>
      </w:r>
      <w:r w:rsidR="00C53327" w:rsidRPr="005B1693">
        <w:rPr>
          <w:sz w:val="26"/>
          <w:szCs w:val="26"/>
        </w:rPr>
        <w:t>Please note that some responses may be e-filed to your case</w:t>
      </w:r>
      <w:r w:rsidR="00EF0031">
        <w:rPr>
          <w:sz w:val="26"/>
          <w:szCs w:val="26"/>
        </w:rPr>
        <w:t xml:space="preserve"> at:</w:t>
      </w:r>
      <w:r w:rsidR="00C53327" w:rsidRPr="005B1693">
        <w:rPr>
          <w:sz w:val="26"/>
          <w:szCs w:val="26"/>
        </w:rPr>
        <w:t xml:space="preserve"> </w:t>
      </w:r>
      <w:hyperlink r:id="rId10" w:history="1">
        <w:r w:rsidR="00C53327" w:rsidRPr="005B1693">
          <w:rPr>
            <w:rStyle w:val="Hyperlink"/>
            <w:sz w:val="26"/>
            <w:szCs w:val="26"/>
          </w:rPr>
          <w:t>http://www.puc.pa.gov/efiling/default.aspx</w:t>
        </w:r>
      </w:hyperlink>
      <w:r w:rsidR="00C53327" w:rsidRPr="005B1693">
        <w:rPr>
          <w:sz w:val="26"/>
          <w:szCs w:val="26"/>
        </w:rPr>
        <w:t>.  A list of document</w:t>
      </w:r>
      <w:r w:rsidR="00EF0031">
        <w:rPr>
          <w:sz w:val="26"/>
          <w:szCs w:val="26"/>
        </w:rPr>
        <w:t xml:space="preserve"> types allowed to be e-filed may</w:t>
      </w:r>
      <w:r w:rsidR="00C53327" w:rsidRPr="005B1693">
        <w:rPr>
          <w:sz w:val="26"/>
          <w:szCs w:val="26"/>
        </w:rPr>
        <w:t xml:space="preserve"> be found at</w:t>
      </w:r>
      <w:r w:rsidR="00EF0031">
        <w:rPr>
          <w:sz w:val="26"/>
          <w:szCs w:val="26"/>
        </w:rPr>
        <w:t>:</w:t>
      </w:r>
      <w:r w:rsidR="00C53327" w:rsidRPr="005B1693">
        <w:rPr>
          <w:sz w:val="26"/>
          <w:szCs w:val="26"/>
        </w:rPr>
        <w:t xml:space="preserve"> </w:t>
      </w:r>
      <w:hyperlink r:id="rId11" w:history="1">
        <w:r w:rsidR="00C53327" w:rsidRPr="005B1693">
          <w:rPr>
            <w:rStyle w:val="Hyperlink"/>
            <w:sz w:val="26"/>
            <w:szCs w:val="26"/>
          </w:rPr>
          <w:t>http://www.puc.pa.gov/efiling/DocTypes.aspx</w:t>
        </w:r>
      </w:hyperlink>
      <w:r w:rsidR="00C53327" w:rsidRPr="005B1693">
        <w:rPr>
          <w:sz w:val="26"/>
          <w:szCs w:val="26"/>
        </w:rPr>
        <w:t xml:space="preserve">.  </w:t>
      </w:r>
    </w:p>
    <w:p w14:paraId="7D1A5A8E" w14:textId="77777777" w:rsidR="00C53327" w:rsidRPr="005B1693" w:rsidRDefault="00C53327" w:rsidP="00C53327">
      <w:pPr>
        <w:ind w:right="-90" w:firstLine="720"/>
        <w:rPr>
          <w:sz w:val="26"/>
          <w:szCs w:val="26"/>
        </w:rPr>
      </w:pPr>
    </w:p>
    <w:p w14:paraId="7710FC2F" w14:textId="77777777" w:rsidR="00E24690" w:rsidRPr="005B1693" w:rsidRDefault="00E24690" w:rsidP="00E24690">
      <w:pPr>
        <w:ind w:right="-90"/>
        <w:jc w:val="center"/>
        <w:rPr>
          <w:sz w:val="26"/>
          <w:szCs w:val="26"/>
        </w:rPr>
      </w:pPr>
      <w:r w:rsidRPr="005B1693">
        <w:rPr>
          <w:sz w:val="26"/>
          <w:szCs w:val="26"/>
        </w:rPr>
        <w:t>Rosemary Chiavetta, Secretary</w:t>
      </w:r>
    </w:p>
    <w:p w14:paraId="61A787FD" w14:textId="77777777" w:rsidR="00E24690" w:rsidRPr="005B1693" w:rsidRDefault="00E24690" w:rsidP="00E24690">
      <w:pPr>
        <w:ind w:right="-90"/>
        <w:jc w:val="center"/>
        <w:rPr>
          <w:sz w:val="26"/>
          <w:szCs w:val="26"/>
        </w:rPr>
      </w:pPr>
      <w:r w:rsidRPr="005B1693">
        <w:rPr>
          <w:sz w:val="26"/>
          <w:szCs w:val="26"/>
        </w:rPr>
        <w:t>Pennsylvania Public Utility Commission</w:t>
      </w:r>
    </w:p>
    <w:p w14:paraId="7318EAEB" w14:textId="77777777" w:rsidR="00E24690" w:rsidRPr="005B1693" w:rsidRDefault="00E24690" w:rsidP="00E24690">
      <w:pPr>
        <w:ind w:right="-90"/>
        <w:jc w:val="center"/>
        <w:rPr>
          <w:sz w:val="26"/>
          <w:szCs w:val="26"/>
        </w:rPr>
      </w:pPr>
      <w:r w:rsidRPr="005B1693">
        <w:rPr>
          <w:sz w:val="26"/>
          <w:szCs w:val="26"/>
        </w:rPr>
        <w:t>400 North Street</w:t>
      </w:r>
      <w:r w:rsidR="00AB3A47">
        <w:rPr>
          <w:sz w:val="26"/>
          <w:szCs w:val="26"/>
        </w:rPr>
        <w:t>, 2</w:t>
      </w:r>
      <w:r w:rsidR="00AB3A47" w:rsidRPr="00AB3A47">
        <w:rPr>
          <w:sz w:val="26"/>
          <w:szCs w:val="26"/>
          <w:vertAlign w:val="superscript"/>
        </w:rPr>
        <w:t>nd</w:t>
      </w:r>
      <w:r w:rsidR="00AB3A47">
        <w:rPr>
          <w:sz w:val="26"/>
          <w:szCs w:val="26"/>
        </w:rPr>
        <w:t xml:space="preserve"> Floor</w:t>
      </w:r>
    </w:p>
    <w:p w14:paraId="1DF93CCC" w14:textId="77777777" w:rsidR="00E24690" w:rsidRPr="005B1693" w:rsidRDefault="00E24690" w:rsidP="00E24690">
      <w:pPr>
        <w:ind w:right="-90"/>
        <w:jc w:val="center"/>
        <w:rPr>
          <w:sz w:val="26"/>
          <w:szCs w:val="26"/>
        </w:rPr>
      </w:pPr>
      <w:r w:rsidRPr="005B1693">
        <w:rPr>
          <w:sz w:val="26"/>
          <w:szCs w:val="26"/>
        </w:rPr>
        <w:t>Harrisburg, PA 17120</w:t>
      </w:r>
    </w:p>
    <w:p w14:paraId="7D9E28A9" w14:textId="77777777" w:rsidR="00C53327" w:rsidRDefault="00C53327" w:rsidP="00C53327">
      <w:pPr>
        <w:ind w:right="-90" w:firstLine="720"/>
        <w:rPr>
          <w:sz w:val="26"/>
          <w:szCs w:val="26"/>
        </w:rPr>
      </w:pPr>
    </w:p>
    <w:p w14:paraId="378AD155" w14:textId="77777777" w:rsidR="00C53327" w:rsidRPr="005B1693" w:rsidRDefault="00C53327" w:rsidP="00C53327">
      <w:pPr>
        <w:ind w:right="-90" w:firstLine="720"/>
        <w:rPr>
          <w:sz w:val="26"/>
          <w:szCs w:val="26"/>
        </w:rPr>
      </w:pPr>
      <w:r w:rsidRPr="005B1693">
        <w:rPr>
          <w:b/>
          <w:sz w:val="26"/>
          <w:szCs w:val="26"/>
        </w:rPr>
        <w:t>Your answers should be verified per 52 Pa Code § 1.36.</w:t>
      </w:r>
      <w:r w:rsidRPr="005B1693">
        <w:rPr>
          <w:sz w:val="26"/>
          <w:szCs w:val="26"/>
        </w:rPr>
        <w:t xml:space="preserve">  Accordingly, you must provide the following statement with your responses:</w:t>
      </w:r>
    </w:p>
    <w:p w14:paraId="638D801F" w14:textId="77777777" w:rsidR="00C53327" w:rsidRPr="005B1693" w:rsidRDefault="00C53327" w:rsidP="00C53327">
      <w:pPr>
        <w:ind w:right="-90" w:firstLine="720"/>
        <w:rPr>
          <w:sz w:val="26"/>
          <w:szCs w:val="26"/>
          <w:highlight w:val="green"/>
        </w:rPr>
      </w:pPr>
    </w:p>
    <w:p w14:paraId="467901B9" w14:textId="77777777" w:rsidR="00C53327" w:rsidRPr="005B1693" w:rsidRDefault="00C53327" w:rsidP="00D27F3B">
      <w:pPr>
        <w:tabs>
          <w:tab w:val="left" w:pos="1440"/>
        </w:tabs>
        <w:ind w:left="1440" w:right="1440"/>
        <w:rPr>
          <w:sz w:val="26"/>
          <w:szCs w:val="26"/>
        </w:rPr>
      </w:pPr>
      <w:r w:rsidRPr="005B1693">
        <w:rPr>
          <w:sz w:val="26"/>
          <w:szCs w:val="26"/>
        </w:rPr>
        <w:lastRenderedPageBreak/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  <w:r w:rsidR="00195884">
        <w:rPr>
          <w:sz w:val="26"/>
          <w:szCs w:val="26"/>
        </w:rPr>
        <w:t xml:space="preserve">  </w:t>
      </w:r>
    </w:p>
    <w:p w14:paraId="2B43F598" w14:textId="77777777" w:rsidR="007232DE" w:rsidRPr="005B1693" w:rsidRDefault="007232DE" w:rsidP="007232DE">
      <w:pPr>
        <w:ind w:right="-90"/>
        <w:rPr>
          <w:sz w:val="26"/>
          <w:szCs w:val="26"/>
        </w:rPr>
      </w:pPr>
    </w:p>
    <w:p w14:paraId="69318475" w14:textId="77777777" w:rsidR="007232DE" w:rsidRPr="005B1693" w:rsidRDefault="00E24690" w:rsidP="008516FB">
      <w:pPr>
        <w:ind w:right="-90"/>
        <w:rPr>
          <w:sz w:val="26"/>
          <w:szCs w:val="26"/>
        </w:rPr>
      </w:pPr>
      <w:r w:rsidRPr="005B1693">
        <w:rPr>
          <w:sz w:val="26"/>
          <w:szCs w:val="26"/>
        </w:rPr>
        <w:tab/>
      </w:r>
      <w:r w:rsidR="00C53327" w:rsidRPr="005B1693">
        <w:rPr>
          <w:sz w:val="26"/>
          <w:szCs w:val="26"/>
        </w:rPr>
        <w:t>The blank should be filled in with the name of the appropriate company representative, and the signature of that representative should follow the statement.</w:t>
      </w:r>
      <w:r w:rsidR="00195884">
        <w:rPr>
          <w:sz w:val="26"/>
          <w:szCs w:val="26"/>
        </w:rPr>
        <w:t xml:space="preserve">  </w:t>
      </w:r>
    </w:p>
    <w:p w14:paraId="2BB37E35" w14:textId="77777777" w:rsidR="007232DE" w:rsidRPr="005B1693" w:rsidRDefault="007232DE" w:rsidP="007232DE">
      <w:pPr>
        <w:rPr>
          <w:sz w:val="26"/>
          <w:szCs w:val="26"/>
        </w:rPr>
      </w:pPr>
    </w:p>
    <w:p w14:paraId="1FFD7AD7" w14:textId="77777777" w:rsidR="00C53327" w:rsidRPr="005B1693" w:rsidRDefault="00E24690" w:rsidP="007232DE">
      <w:pPr>
        <w:rPr>
          <w:sz w:val="26"/>
          <w:szCs w:val="26"/>
        </w:rPr>
      </w:pPr>
      <w:r w:rsidRPr="005B1693">
        <w:rPr>
          <w:sz w:val="26"/>
          <w:szCs w:val="26"/>
        </w:rPr>
        <w:tab/>
      </w:r>
      <w:r w:rsidR="000C0812" w:rsidRPr="005B1693">
        <w:rPr>
          <w:sz w:val="26"/>
          <w:szCs w:val="26"/>
        </w:rPr>
        <w:t>If you have any questions on this matter, p</w:t>
      </w:r>
      <w:r w:rsidR="00C53327" w:rsidRPr="005B1693">
        <w:rPr>
          <w:sz w:val="26"/>
          <w:szCs w:val="26"/>
        </w:rPr>
        <w:t xml:space="preserve">lease </w:t>
      </w:r>
      <w:r w:rsidR="000C0812" w:rsidRPr="005B1693">
        <w:rPr>
          <w:sz w:val="26"/>
          <w:szCs w:val="26"/>
        </w:rPr>
        <w:t>contact</w:t>
      </w:r>
      <w:r w:rsidR="00C53327" w:rsidRPr="005B1693">
        <w:rPr>
          <w:sz w:val="26"/>
          <w:szCs w:val="26"/>
        </w:rPr>
        <w:t xml:space="preserve"> </w:t>
      </w:r>
      <w:r w:rsidR="00EF0031">
        <w:rPr>
          <w:sz w:val="26"/>
          <w:szCs w:val="26"/>
        </w:rPr>
        <w:t>Rich Layton</w:t>
      </w:r>
      <w:r w:rsidR="00C53327" w:rsidRPr="005B1693">
        <w:rPr>
          <w:sz w:val="26"/>
          <w:szCs w:val="26"/>
        </w:rPr>
        <w:t xml:space="preserve">, Bureau of Technical Utility Services, </w:t>
      </w:r>
      <w:r w:rsidR="00D5440D" w:rsidRPr="005B1693">
        <w:rPr>
          <w:sz w:val="26"/>
          <w:szCs w:val="26"/>
        </w:rPr>
        <w:t xml:space="preserve">at </w:t>
      </w:r>
      <w:hyperlink r:id="rId12" w:history="1">
        <w:r w:rsidR="00EF0031" w:rsidRPr="00F71726">
          <w:rPr>
            <w:rStyle w:val="Hyperlink"/>
            <w:sz w:val="26"/>
            <w:szCs w:val="26"/>
          </w:rPr>
          <w:t>rlayton@pa.gov</w:t>
        </w:r>
      </w:hyperlink>
      <w:r w:rsidR="00AB3A47">
        <w:rPr>
          <w:sz w:val="26"/>
          <w:szCs w:val="26"/>
        </w:rPr>
        <w:t xml:space="preserve"> </w:t>
      </w:r>
      <w:r w:rsidR="00C53327" w:rsidRPr="005B1693">
        <w:rPr>
          <w:sz w:val="26"/>
          <w:szCs w:val="26"/>
        </w:rPr>
        <w:t xml:space="preserve">(717) </w:t>
      </w:r>
      <w:r w:rsidR="00EF0031">
        <w:rPr>
          <w:sz w:val="26"/>
          <w:szCs w:val="26"/>
        </w:rPr>
        <w:t>214</w:t>
      </w:r>
      <w:r w:rsidR="006E705B">
        <w:rPr>
          <w:sz w:val="26"/>
          <w:szCs w:val="26"/>
        </w:rPr>
        <w:t>-</w:t>
      </w:r>
      <w:r w:rsidR="00EF0031">
        <w:rPr>
          <w:sz w:val="26"/>
          <w:szCs w:val="26"/>
        </w:rPr>
        <w:t>9117</w:t>
      </w:r>
      <w:r w:rsidR="00C53327" w:rsidRPr="005B1693">
        <w:rPr>
          <w:sz w:val="26"/>
          <w:szCs w:val="26"/>
        </w:rPr>
        <w:t xml:space="preserve">.  </w:t>
      </w:r>
    </w:p>
    <w:p w14:paraId="5A5E5DCD" w14:textId="77777777" w:rsidR="00C53327" w:rsidRDefault="00C53327" w:rsidP="00C53327">
      <w:pPr>
        <w:ind w:right="-90" w:firstLine="720"/>
        <w:rPr>
          <w:sz w:val="26"/>
          <w:szCs w:val="26"/>
        </w:rPr>
      </w:pPr>
    </w:p>
    <w:p w14:paraId="71415730" w14:textId="77777777" w:rsidR="00AB3A47" w:rsidRPr="005B1693" w:rsidRDefault="00AB3A47" w:rsidP="00C53327">
      <w:pPr>
        <w:ind w:right="-90" w:firstLine="720"/>
        <w:rPr>
          <w:sz w:val="26"/>
          <w:szCs w:val="26"/>
        </w:rPr>
      </w:pPr>
    </w:p>
    <w:p w14:paraId="72BAC4D8" w14:textId="51AB7349" w:rsidR="00C53327" w:rsidRPr="005B1693" w:rsidRDefault="008C769E" w:rsidP="00C53327">
      <w:pPr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C916368" wp14:editId="16A43051">
            <wp:simplePos x="0" y="0"/>
            <wp:positionH relativeFrom="column">
              <wp:posOffset>2847372</wp:posOffset>
            </wp:positionH>
            <wp:positionV relativeFrom="paragraph">
              <wp:posOffset>159176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5B1693">
        <w:rPr>
          <w:sz w:val="26"/>
          <w:szCs w:val="26"/>
        </w:rPr>
        <w:tab/>
      </w:r>
      <w:r w:rsidR="00C53327" w:rsidRPr="005B1693">
        <w:rPr>
          <w:sz w:val="26"/>
          <w:szCs w:val="26"/>
        </w:rPr>
        <w:tab/>
      </w:r>
      <w:r w:rsidR="00C53327" w:rsidRPr="005B1693">
        <w:rPr>
          <w:sz w:val="26"/>
          <w:szCs w:val="26"/>
        </w:rPr>
        <w:tab/>
      </w:r>
      <w:r w:rsidR="00C53327" w:rsidRPr="005B1693">
        <w:rPr>
          <w:sz w:val="26"/>
          <w:szCs w:val="26"/>
        </w:rPr>
        <w:tab/>
      </w:r>
      <w:r w:rsidR="00C53327" w:rsidRPr="005B1693">
        <w:rPr>
          <w:sz w:val="26"/>
          <w:szCs w:val="26"/>
        </w:rPr>
        <w:tab/>
      </w:r>
      <w:r w:rsidR="00C53327" w:rsidRPr="005B1693">
        <w:rPr>
          <w:sz w:val="26"/>
          <w:szCs w:val="26"/>
        </w:rPr>
        <w:tab/>
      </w:r>
      <w:r w:rsidR="00C53327" w:rsidRPr="005B1693">
        <w:rPr>
          <w:sz w:val="26"/>
          <w:szCs w:val="26"/>
        </w:rPr>
        <w:tab/>
        <w:t>Sincerely,</w:t>
      </w:r>
    </w:p>
    <w:p w14:paraId="021E8EC7" w14:textId="03BC86DC" w:rsidR="00C53327" w:rsidRPr="005B1693" w:rsidRDefault="00C53327" w:rsidP="00C53327">
      <w:pPr>
        <w:rPr>
          <w:sz w:val="26"/>
          <w:szCs w:val="26"/>
        </w:rPr>
      </w:pPr>
    </w:p>
    <w:p w14:paraId="695828F4" w14:textId="76846F36" w:rsidR="00C53327" w:rsidRDefault="00C53327" w:rsidP="00C53327">
      <w:pPr>
        <w:rPr>
          <w:sz w:val="26"/>
          <w:szCs w:val="26"/>
        </w:rPr>
      </w:pPr>
    </w:p>
    <w:p w14:paraId="76280F7A" w14:textId="77777777" w:rsidR="00AB3A47" w:rsidRPr="005B1693" w:rsidRDefault="00AB3A47" w:rsidP="00C53327">
      <w:pPr>
        <w:rPr>
          <w:sz w:val="26"/>
          <w:szCs w:val="26"/>
        </w:rPr>
      </w:pPr>
    </w:p>
    <w:p w14:paraId="79E6AF4E" w14:textId="77777777" w:rsidR="00C53327" w:rsidRPr="005B1693" w:rsidRDefault="00C53327" w:rsidP="00C53327">
      <w:pPr>
        <w:rPr>
          <w:sz w:val="26"/>
          <w:szCs w:val="26"/>
        </w:rPr>
      </w:pPr>
    </w:p>
    <w:p w14:paraId="21E04A6F" w14:textId="77777777" w:rsidR="00C53327" w:rsidRPr="005B1693" w:rsidRDefault="00C53327" w:rsidP="00C53327">
      <w:pPr>
        <w:rPr>
          <w:sz w:val="26"/>
          <w:szCs w:val="26"/>
        </w:rPr>
      </w:pP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="00E24690" w:rsidRPr="005B1693">
        <w:rPr>
          <w:sz w:val="26"/>
          <w:szCs w:val="26"/>
        </w:rPr>
        <w:t>Rosemary Chiavetta</w:t>
      </w:r>
      <w:r w:rsidRPr="005B1693">
        <w:rPr>
          <w:sz w:val="26"/>
          <w:szCs w:val="26"/>
        </w:rPr>
        <w:t xml:space="preserve">  </w:t>
      </w:r>
    </w:p>
    <w:p w14:paraId="34944AFC" w14:textId="77777777" w:rsidR="00C53327" w:rsidRPr="005B1693" w:rsidRDefault="00C53327" w:rsidP="00C53327">
      <w:pPr>
        <w:rPr>
          <w:sz w:val="26"/>
          <w:szCs w:val="26"/>
        </w:rPr>
      </w:pP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Pr="005B1693">
        <w:rPr>
          <w:sz w:val="26"/>
          <w:szCs w:val="26"/>
        </w:rPr>
        <w:tab/>
      </w:r>
      <w:r w:rsidR="00E24690" w:rsidRPr="005B1693">
        <w:rPr>
          <w:sz w:val="26"/>
          <w:szCs w:val="26"/>
        </w:rPr>
        <w:t>Secretary</w:t>
      </w:r>
      <w:r w:rsidRPr="005B1693">
        <w:rPr>
          <w:sz w:val="26"/>
          <w:szCs w:val="26"/>
        </w:rPr>
        <w:t xml:space="preserve">  </w:t>
      </w:r>
    </w:p>
    <w:p w14:paraId="380D640A" w14:textId="77777777" w:rsidR="00C53327" w:rsidRPr="005B1693" w:rsidRDefault="00C53327" w:rsidP="00C53327">
      <w:pPr>
        <w:rPr>
          <w:sz w:val="26"/>
          <w:szCs w:val="26"/>
        </w:rPr>
      </w:pPr>
    </w:p>
    <w:p w14:paraId="74C399D6" w14:textId="77777777" w:rsidR="00C53327" w:rsidRPr="005B1693" w:rsidRDefault="00C53327" w:rsidP="00C53327">
      <w:pPr>
        <w:rPr>
          <w:sz w:val="26"/>
          <w:szCs w:val="26"/>
        </w:rPr>
      </w:pPr>
      <w:r w:rsidRPr="005B1693">
        <w:rPr>
          <w:sz w:val="26"/>
          <w:szCs w:val="26"/>
        </w:rPr>
        <w:t xml:space="preserve">Enclosure </w:t>
      </w:r>
      <w:r w:rsidR="00E24690" w:rsidRPr="005B1693">
        <w:rPr>
          <w:sz w:val="26"/>
          <w:szCs w:val="26"/>
        </w:rPr>
        <w:t>– Attachment 1</w:t>
      </w:r>
    </w:p>
    <w:p w14:paraId="0EF1AE84" w14:textId="77777777" w:rsidR="00C53327" w:rsidRPr="005B1693" w:rsidRDefault="00C53327" w:rsidP="00C53327">
      <w:pPr>
        <w:rPr>
          <w:sz w:val="26"/>
          <w:szCs w:val="26"/>
        </w:rPr>
      </w:pPr>
    </w:p>
    <w:p w14:paraId="68C0B686" w14:textId="77777777" w:rsidR="00F0205C" w:rsidRPr="005B1693" w:rsidRDefault="00F0205C" w:rsidP="00C53327">
      <w:pPr>
        <w:rPr>
          <w:sz w:val="26"/>
          <w:szCs w:val="26"/>
        </w:rPr>
      </w:pPr>
    </w:p>
    <w:p w14:paraId="442711D7" w14:textId="77777777" w:rsidR="00C53327" w:rsidRPr="008516FB" w:rsidRDefault="00557E89" w:rsidP="00557E8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9E432CF" w14:textId="77777777" w:rsidR="00E24690" w:rsidRDefault="00C53327" w:rsidP="00C53327">
      <w:pPr>
        <w:jc w:val="center"/>
        <w:rPr>
          <w:sz w:val="24"/>
          <w:szCs w:val="24"/>
        </w:rPr>
      </w:pPr>
      <w:r w:rsidRPr="008516FB">
        <w:rPr>
          <w:sz w:val="24"/>
          <w:szCs w:val="24"/>
        </w:rPr>
        <w:br w:type="page"/>
      </w:r>
    </w:p>
    <w:p w14:paraId="327DF08A" w14:textId="77777777" w:rsidR="00D6307B" w:rsidRDefault="00D6307B" w:rsidP="00D63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Attachment 1:</w:t>
      </w:r>
      <w:r w:rsidR="00CB00EC">
        <w:rPr>
          <w:b/>
          <w:sz w:val="26"/>
          <w:szCs w:val="26"/>
        </w:rPr>
        <w:t xml:space="preserve"> Data Request</w:t>
      </w:r>
    </w:p>
    <w:p w14:paraId="2481A099" w14:textId="77777777" w:rsidR="00D0016B" w:rsidRPr="00CB00EC" w:rsidRDefault="00CB00EC" w:rsidP="00CB00EC">
      <w:pPr>
        <w:jc w:val="center"/>
        <w:rPr>
          <w:b/>
          <w:sz w:val="26"/>
          <w:szCs w:val="26"/>
        </w:rPr>
      </w:pPr>
      <w:r w:rsidRPr="00CB00EC">
        <w:rPr>
          <w:b/>
          <w:sz w:val="26"/>
          <w:szCs w:val="26"/>
        </w:rPr>
        <w:t>Pike County Light &amp; Power Company</w:t>
      </w:r>
    </w:p>
    <w:p w14:paraId="1BFAC57B" w14:textId="77777777" w:rsidR="00366C51" w:rsidRPr="00714A32" w:rsidRDefault="00366C51" w:rsidP="00366C51">
      <w:pPr>
        <w:ind w:left="720"/>
        <w:rPr>
          <w:sz w:val="26"/>
          <w:szCs w:val="26"/>
        </w:rPr>
      </w:pPr>
    </w:p>
    <w:p w14:paraId="7E76C67D" w14:textId="36CE8FB9" w:rsidR="005F01A3" w:rsidRDefault="005F01A3" w:rsidP="005F01A3">
      <w:pPr>
        <w:widowControl w:val="0"/>
        <w:rPr>
          <w:sz w:val="26"/>
          <w:szCs w:val="26"/>
        </w:rPr>
      </w:pPr>
      <w:r w:rsidRPr="005F01A3">
        <w:rPr>
          <w:sz w:val="26"/>
          <w:szCs w:val="26"/>
        </w:rPr>
        <w:t xml:space="preserve">The </w:t>
      </w:r>
      <w:r w:rsidR="001C68BA">
        <w:rPr>
          <w:sz w:val="26"/>
          <w:szCs w:val="26"/>
        </w:rPr>
        <w:t>data requests</w:t>
      </w:r>
      <w:r w:rsidRPr="005F01A3">
        <w:rPr>
          <w:sz w:val="26"/>
          <w:szCs w:val="26"/>
        </w:rPr>
        <w:t xml:space="preserve"> herein </w:t>
      </w:r>
      <w:r>
        <w:rPr>
          <w:sz w:val="26"/>
          <w:szCs w:val="26"/>
        </w:rPr>
        <w:t>reference</w:t>
      </w:r>
      <w:r w:rsidRPr="005F01A3">
        <w:rPr>
          <w:sz w:val="26"/>
          <w:szCs w:val="26"/>
        </w:rPr>
        <w:t xml:space="preserve"> the following three filings of Pike County Light &amp; Power Company – Electric Division (Pike):</w:t>
      </w:r>
    </w:p>
    <w:p w14:paraId="2DA99C34" w14:textId="77777777" w:rsidR="005F01A3" w:rsidRPr="005F01A3" w:rsidRDefault="005F01A3" w:rsidP="005F01A3">
      <w:pPr>
        <w:widowControl w:val="0"/>
        <w:ind w:left="720" w:hanging="720"/>
        <w:rPr>
          <w:sz w:val="26"/>
          <w:szCs w:val="26"/>
        </w:rPr>
      </w:pPr>
    </w:p>
    <w:p w14:paraId="5EDA34DB" w14:textId="77777777" w:rsidR="005F01A3" w:rsidRPr="005F01A3" w:rsidRDefault="005F01A3" w:rsidP="005F01A3">
      <w:pPr>
        <w:widowControl w:val="0"/>
        <w:numPr>
          <w:ilvl w:val="0"/>
          <w:numId w:val="23"/>
        </w:numPr>
        <w:rPr>
          <w:sz w:val="26"/>
          <w:szCs w:val="26"/>
        </w:rPr>
      </w:pPr>
      <w:r w:rsidRPr="005F01A3">
        <w:rPr>
          <w:sz w:val="26"/>
          <w:szCs w:val="26"/>
        </w:rPr>
        <w:t>Pike’s 2017 Electric Annual Report (Annual Report) submitted on April 27, 2018.</w:t>
      </w:r>
    </w:p>
    <w:p w14:paraId="742A97B6" w14:textId="77777777" w:rsidR="005F01A3" w:rsidRPr="005F01A3" w:rsidRDefault="005F01A3" w:rsidP="005F01A3">
      <w:pPr>
        <w:widowControl w:val="0"/>
        <w:numPr>
          <w:ilvl w:val="0"/>
          <w:numId w:val="23"/>
        </w:numPr>
        <w:rPr>
          <w:sz w:val="26"/>
          <w:szCs w:val="26"/>
        </w:rPr>
      </w:pPr>
      <w:r w:rsidRPr="005F01A3">
        <w:rPr>
          <w:sz w:val="26"/>
          <w:szCs w:val="26"/>
        </w:rPr>
        <w:t>Pike’s Public Utility Earnings Report (Quarterly Report) of electric department earnings for the twelve months ended December 31, 2017, filed on May 21, 2018.</w:t>
      </w:r>
    </w:p>
    <w:p w14:paraId="210B1F60" w14:textId="77777777" w:rsidR="005F01A3" w:rsidRPr="005F01A3" w:rsidRDefault="005F01A3" w:rsidP="005F01A3">
      <w:pPr>
        <w:widowControl w:val="0"/>
        <w:numPr>
          <w:ilvl w:val="0"/>
          <w:numId w:val="23"/>
        </w:numPr>
        <w:rPr>
          <w:sz w:val="26"/>
          <w:szCs w:val="26"/>
        </w:rPr>
      </w:pPr>
      <w:r w:rsidRPr="005F01A3">
        <w:rPr>
          <w:sz w:val="26"/>
          <w:szCs w:val="26"/>
        </w:rPr>
        <w:t>Pike’s Petition for Reconsideration (Petition), filed on June 1, 2018, of the Commission’s May 17, 2018 Orders – specifically as it relates to Attachment 1 of the Petition regarding Pike’s Electric Division Income Statement for the 12 months ended April 30, 2018.</w:t>
      </w:r>
    </w:p>
    <w:p w14:paraId="42BF5BE6" w14:textId="77777777" w:rsidR="005F01A3" w:rsidRPr="005F01A3" w:rsidRDefault="005F01A3" w:rsidP="005F01A3">
      <w:pPr>
        <w:widowControl w:val="0"/>
        <w:ind w:left="720" w:hanging="720"/>
        <w:rPr>
          <w:sz w:val="26"/>
          <w:szCs w:val="26"/>
        </w:rPr>
      </w:pPr>
    </w:p>
    <w:p w14:paraId="42355EF8" w14:textId="77777777" w:rsidR="005F01A3" w:rsidRDefault="005F01A3" w:rsidP="005F01A3">
      <w:pPr>
        <w:widowControl w:val="0"/>
        <w:ind w:left="360" w:hanging="360"/>
        <w:rPr>
          <w:sz w:val="26"/>
          <w:szCs w:val="26"/>
        </w:rPr>
      </w:pPr>
      <w:r w:rsidRPr="005F01A3">
        <w:rPr>
          <w:sz w:val="26"/>
          <w:szCs w:val="26"/>
        </w:rPr>
        <w:t>1.  With regards to the Balance Sheet contained in the Annual Report, please explain the following discrepancies:</w:t>
      </w:r>
    </w:p>
    <w:p w14:paraId="148936D3" w14:textId="77777777" w:rsidR="005F01A3" w:rsidRPr="005F01A3" w:rsidRDefault="005F01A3" w:rsidP="005F01A3">
      <w:pPr>
        <w:widowControl w:val="0"/>
        <w:ind w:left="360" w:hanging="360"/>
        <w:rPr>
          <w:sz w:val="26"/>
          <w:szCs w:val="26"/>
        </w:rPr>
      </w:pPr>
    </w:p>
    <w:p w14:paraId="6F08F140" w14:textId="77777777" w:rsidR="005F01A3" w:rsidRPr="005F01A3" w:rsidRDefault="005F01A3" w:rsidP="005F01A3">
      <w:pPr>
        <w:widowControl w:val="0"/>
        <w:numPr>
          <w:ilvl w:val="0"/>
          <w:numId w:val="24"/>
        </w:numPr>
        <w:rPr>
          <w:sz w:val="26"/>
          <w:szCs w:val="26"/>
        </w:rPr>
      </w:pPr>
      <w:r w:rsidRPr="005F01A3">
        <w:rPr>
          <w:sz w:val="26"/>
          <w:szCs w:val="26"/>
        </w:rPr>
        <w:t>Why are total assets and liabilities not equal?</w:t>
      </w:r>
    </w:p>
    <w:p w14:paraId="451C11B8" w14:textId="77777777" w:rsidR="005F01A3" w:rsidRPr="005F01A3" w:rsidRDefault="005F01A3" w:rsidP="005F01A3">
      <w:pPr>
        <w:widowControl w:val="0"/>
        <w:numPr>
          <w:ilvl w:val="0"/>
          <w:numId w:val="24"/>
        </w:numPr>
        <w:rPr>
          <w:sz w:val="26"/>
          <w:szCs w:val="26"/>
        </w:rPr>
      </w:pPr>
      <w:r w:rsidRPr="005F01A3">
        <w:rPr>
          <w:sz w:val="26"/>
          <w:szCs w:val="26"/>
        </w:rPr>
        <w:t>Why has Schedule 208 “Construction Work in Progress” been left blank when account 107 displays a CWIP of $319,233?</w:t>
      </w:r>
    </w:p>
    <w:p w14:paraId="60E0A838" w14:textId="77777777" w:rsidR="005F01A3" w:rsidRPr="005F01A3" w:rsidRDefault="005F01A3" w:rsidP="005F01A3">
      <w:pPr>
        <w:widowControl w:val="0"/>
        <w:numPr>
          <w:ilvl w:val="0"/>
          <w:numId w:val="24"/>
        </w:numPr>
        <w:rPr>
          <w:sz w:val="26"/>
          <w:szCs w:val="26"/>
        </w:rPr>
      </w:pPr>
      <w:r w:rsidRPr="005F01A3">
        <w:rPr>
          <w:sz w:val="26"/>
          <w:szCs w:val="26"/>
        </w:rPr>
        <w:t>Pike shows a gain of nearly $7.5 million in Plant in Service, almost a 40% increase over the beginning year plant balance.  Is this an accurate representation of the actual infrastructure investment that was observed in 2017?</w:t>
      </w:r>
    </w:p>
    <w:p w14:paraId="25A24729" w14:textId="77777777" w:rsidR="005F01A3" w:rsidRPr="005F01A3" w:rsidRDefault="005F01A3" w:rsidP="005F01A3">
      <w:pPr>
        <w:widowControl w:val="0"/>
        <w:numPr>
          <w:ilvl w:val="0"/>
          <w:numId w:val="24"/>
        </w:numPr>
        <w:rPr>
          <w:sz w:val="26"/>
          <w:szCs w:val="26"/>
        </w:rPr>
      </w:pPr>
      <w:r w:rsidRPr="005F01A3">
        <w:rPr>
          <w:sz w:val="26"/>
          <w:szCs w:val="26"/>
        </w:rPr>
        <w:t xml:space="preserve">With regards to plant related items, why must Pike file a combined balance sheet on its Annual Report when it seems able to split out certain figures for the purposes of its gas and electric Quarterly Reports?  </w:t>
      </w:r>
    </w:p>
    <w:p w14:paraId="5D90A910" w14:textId="77777777" w:rsidR="005F01A3" w:rsidRPr="005F01A3" w:rsidRDefault="005F01A3" w:rsidP="005F01A3">
      <w:pPr>
        <w:widowControl w:val="0"/>
        <w:ind w:left="720" w:hanging="720"/>
        <w:rPr>
          <w:sz w:val="26"/>
          <w:szCs w:val="26"/>
        </w:rPr>
      </w:pPr>
    </w:p>
    <w:p w14:paraId="11B2BB5C" w14:textId="77777777" w:rsidR="005F01A3" w:rsidRPr="005F01A3" w:rsidRDefault="005F01A3" w:rsidP="005F01A3">
      <w:pPr>
        <w:widowControl w:val="0"/>
        <w:ind w:left="360" w:hanging="360"/>
        <w:rPr>
          <w:sz w:val="26"/>
          <w:szCs w:val="26"/>
        </w:rPr>
      </w:pPr>
      <w:r w:rsidRPr="005F01A3">
        <w:rPr>
          <w:sz w:val="26"/>
          <w:szCs w:val="26"/>
        </w:rPr>
        <w:t xml:space="preserve">2.  Why, when </w:t>
      </w:r>
      <w:r w:rsidRPr="005F01A3">
        <w:rPr>
          <w:color w:val="FF0000"/>
          <w:sz w:val="26"/>
          <w:szCs w:val="26"/>
        </w:rPr>
        <w:t>($1,704,727)</w:t>
      </w:r>
      <w:r w:rsidRPr="005F01A3">
        <w:rPr>
          <w:sz w:val="26"/>
          <w:szCs w:val="26"/>
        </w:rPr>
        <w:t xml:space="preserve"> is listed for deferred income tax in the Petition, are deferred income taxes not included as part of the calculation for rate of return</w:t>
      </w:r>
      <w:r w:rsidR="00957E0E">
        <w:rPr>
          <w:sz w:val="26"/>
          <w:szCs w:val="26"/>
        </w:rPr>
        <w:t xml:space="preserve"> (ROR)</w:t>
      </w:r>
      <w:r w:rsidRPr="005F01A3">
        <w:rPr>
          <w:sz w:val="26"/>
          <w:szCs w:val="26"/>
        </w:rPr>
        <w:t xml:space="preserve"> on the Quarterly Report?</w:t>
      </w:r>
    </w:p>
    <w:p w14:paraId="10CA6528" w14:textId="77777777" w:rsidR="005F01A3" w:rsidRPr="005F01A3" w:rsidRDefault="005F01A3" w:rsidP="005F01A3">
      <w:pPr>
        <w:widowControl w:val="0"/>
        <w:ind w:left="720" w:hanging="720"/>
        <w:rPr>
          <w:sz w:val="26"/>
          <w:szCs w:val="26"/>
        </w:rPr>
      </w:pPr>
    </w:p>
    <w:p w14:paraId="3F9773DE" w14:textId="77777777" w:rsidR="005F01A3" w:rsidRPr="005F01A3" w:rsidRDefault="005F01A3" w:rsidP="005F01A3">
      <w:pPr>
        <w:widowControl w:val="0"/>
        <w:ind w:left="360" w:hanging="360"/>
        <w:rPr>
          <w:sz w:val="26"/>
          <w:szCs w:val="26"/>
        </w:rPr>
      </w:pPr>
      <w:r w:rsidRPr="005F01A3">
        <w:rPr>
          <w:sz w:val="26"/>
          <w:szCs w:val="26"/>
        </w:rPr>
        <w:t xml:space="preserve">3.  Why in its Quarterly Report and Annual Report did Pike report </w:t>
      </w:r>
      <w:r w:rsidRPr="005F01A3">
        <w:rPr>
          <w:color w:val="FF0000"/>
          <w:sz w:val="26"/>
          <w:szCs w:val="26"/>
        </w:rPr>
        <w:t>($203,000)</w:t>
      </w:r>
      <w:r w:rsidRPr="005F01A3">
        <w:rPr>
          <w:sz w:val="26"/>
          <w:szCs w:val="26"/>
        </w:rPr>
        <w:t xml:space="preserve"> in accumulated depreciation as of December 31, 2017; however, that same figured ballooned to </w:t>
      </w:r>
      <w:r w:rsidRPr="005F01A3">
        <w:rPr>
          <w:color w:val="FF0000"/>
          <w:sz w:val="26"/>
          <w:szCs w:val="26"/>
        </w:rPr>
        <w:t>($769,862)</w:t>
      </w:r>
      <w:r w:rsidRPr="005F01A3">
        <w:rPr>
          <w:sz w:val="26"/>
          <w:szCs w:val="26"/>
        </w:rPr>
        <w:t xml:space="preserve"> just four months later as reported in Pike’s Petition?</w:t>
      </w:r>
    </w:p>
    <w:p w14:paraId="3044D84D" w14:textId="77777777" w:rsidR="005F01A3" w:rsidRPr="005F01A3" w:rsidRDefault="005F01A3" w:rsidP="005F01A3">
      <w:pPr>
        <w:widowControl w:val="0"/>
        <w:ind w:left="720" w:hanging="720"/>
        <w:rPr>
          <w:sz w:val="26"/>
          <w:szCs w:val="26"/>
        </w:rPr>
      </w:pPr>
    </w:p>
    <w:p w14:paraId="5C2AD4D8" w14:textId="77777777" w:rsidR="005F01A3" w:rsidRPr="005F01A3" w:rsidRDefault="005F01A3" w:rsidP="005F01A3">
      <w:pPr>
        <w:widowControl w:val="0"/>
        <w:ind w:left="360" w:hanging="360"/>
        <w:rPr>
          <w:sz w:val="26"/>
          <w:szCs w:val="26"/>
        </w:rPr>
      </w:pPr>
      <w:r w:rsidRPr="005F01A3">
        <w:rPr>
          <w:sz w:val="26"/>
          <w:szCs w:val="26"/>
        </w:rPr>
        <w:t xml:space="preserve">4.  Pike only uses operating revenues of $2,161,000 on its Quarterly Report, which is roughly one fourth of its annual revenues of ~$8.5-9 million.  The Quarterly Report should display financials representing 12 months of data, on a rolling quarterly basis.  The same issue arises on the expense side, and altogether leads to a much lower net income being shown than what was </w:t>
      </w:r>
      <w:proofErr w:type="gramStart"/>
      <w:r w:rsidRPr="005F01A3">
        <w:rPr>
          <w:sz w:val="26"/>
          <w:szCs w:val="26"/>
        </w:rPr>
        <w:t>actually realized</w:t>
      </w:r>
      <w:proofErr w:type="gramEnd"/>
      <w:r w:rsidRPr="005F01A3">
        <w:rPr>
          <w:sz w:val="26"/>
          <w:szCs w:val="26"/>
        </w:rPr>
        <w:t xml:space="preserve"> for the entire year, which in turn, when combined with the fully-accounted-for rate base, leads to a much lower overall </w:t>
      </w:r>
      <w:r w:rsidR="00957E0E">
        <w:rPr>
          <w:sz w:val="26"/>
          <w:szCs w:val="26"/>
        </w:rPr>
        <w:t>ROR</w:t>
      </w:r>
      <w:r w:rsidRPr="005F01A3">
        <w:rPr>
          <w:sz w:val="26"/>
          <w:szCs w:val="26"/>
        </w:rPr>
        <w:t xml:space="preserve"> being calculated than what should have been observed in reality.  Why was this done?</w:t>
      </w:r>
    </w:p>
    <w:p w14:paraId="72343842" w14:textId="77777777" w:rsidR="005F01A3" w:rsidRPr="005F01A3" w:rsidRDefault="005F01A3" w:rsidP="005F01A3">
      <w:pPr>
        <w:widowControl w:val="0"/>
        <w:ind w:left="720" w:hanging="720"/>
        <w:rPr>
          <w:sz w:val="26"/>
          <w:szCs w:val="26"/>
        </w:rPr>
      </w:pPr>
    </w:p>
    <w:p w14:paraId="585F3B5A" w14:textId="77777777" w:rsidR="005F01A3" w:rsidRPr="005F01A3" w:rsidRDefault="005F01A3" w:rsidP="005F01A3">
      <w:pPr>
        <w:widowControl w:val="0"/>
        <w:ind w:left="360" w:hanging="360"/>
        <w:rPr>
          <w:sz w:val="26"/>
          <w:szCs w:val="26"/>
        </w:rPr>
      </w:pPr>
      <w:r w:rsidRPr="005F01A3">
        <w:rPr>
          <w:sz w:val="26"/>
          <w:szCs w:val="26"/>
        </w:rPr>
        <w:t xml:space="preserve">5.  For the year-end 2014 and 2015 Quarterly Reports filed by Pike, the actual overall </w:t>
      </w:r>
      <w:r w:rsidR="00957E0E">
        <w:rPr>
          <w:sz w:val="26"/>
          <w:szCs w:val="26"/>
        </w:rPr>
        <w:t>RORs</w:t>
      </w:r>
      <w:r w:rsidRPr="005F01A3">
        <w:rPr>
          <w:sz w:val="26"/>
          <w:szCs w:val="26"/>
        </w:rPr>
        <w:t xml:space="preserve"> were calculated to be 5.05% and 7.07%, respectively.  Staff cannot find evidence of Pike having filed a Quarterly Report for 2016; however, using data from the company’s 2016 Annual Report, Staff estimates an overall </w:t>
      </w:r>
      <w:r w:rsidR="0046559E">
        <w:rPr>
          <w:sz w:val="26"/>
          <w:szCs w:val="26"/>
        </w:rPr>
        <w:t>ROR</w:t>
      </w:r>
      <w:r w:rsidRPr="005F01A3">
        <w:rPr>
          <w:sz w:val="26"/>
          <w:szCs w:val="26"/>
        </w:rPr>
        <w:t xml:space="preserve"> greater than 5%.  For 2017, if we adjust the results of what is believed to be an incorrectly-filed Quarterly Report, Staff estimates an actual overall </w:t>
      </w:r>
      <w:r w:rsidR="0046559E">
        <w:rPr>
          <w:sz w:val="26"/>
          <w:szCs w:val="26"/>
        </w:rPr>
        <w:t>ROR</w:t>
      </w:r>
      <w:r w:rsidRPr="005F01A3">
        <w:rPr>
          <w:sz w:val="26"/>
          <w:szCs w:val="26"/>
        </w:rPr>
        <w:t xml:space="preserve"> of somewhere right around or just below 5%.  In its Petition, Pike calculated an actual overall </w:t>
      </w:r>
      <w:r w:rsidR="0046559E">
        <w:rPr>
          <w:sz w:val="26"/>
          <w:szCs w:val="26"/>
        </w:rPr>
        <w:t>ROR</w:t>
      </w:r>
      <w:r w:rsidRPr="005F01A3">
        <w:rPr>
          <w:sz w:val="26"/>
          <w:szCs w:val="26"/>
        </w:rPr>
        <w:t xml:space="preserve"> as of April 30, 2018 of 3.93%.  What do you believe has led to Pike’s </w:t>
      </w:r>
      <w:r w:rsidR="0046559E">
        <w:rPr>
          <w:sz w:val="26"/>
          <w:szCs w:val="26"/>
        </w:rPr>
        <w:t>ROR</w:t>
      </w:r>
      <w:r w:rsidRPr="005F01A3">
        <w:rPr>
          <w:sz w:val="26"/>
          <w:szCs w:val="26"/>
        </w:rPr>
        <w:t xml:space="preserve"> having fallen off in recent calculations and is this an accurate depiction of where Pike’s returns are likely to be in the coming fiscal year?</w:t>
      </w:r>
    </w:p>
    <w:p w14:paraId="5874E3CE" w14:textId="77777777" w:rsidR="005F01A3" w:rsidRPr="005F01A3" w:rsidRDefault="005F01A3" w:rsidP="005F01A3">
      <w:pPr>
        <w:widowControl w:val="0"/>
        <w:ind w:left="720" w:hanging="720"/>
        <w:rPr>
          <w:sz w:val="26"/>
          <w:szCs w:val="26"/>
        </w:rPr>
      </w:pPr>
    </w:p>
    <w:p w14:paraId="17543632" w14:textId="77777777" w:rsidR="005F01A3" w:rsidRPr="005F01A3" w:rsidRDefault="005F01A3" w:rsidP="005F01A3">
      <w:pPr>
        <w:widowControl w:val="0"/>
        <w:ind w:left="360" w:hanging="360"/>
        <w:rPr>
          <w:sz w:val="26"/>
          <w:szCs w:val="26"/>
        </w:rPr>
      </w:pPr>
      <w:r w:rsidRPr="005F01A3">
        <w:rPr>
          <w:sz w:val="26"/>
          <w:szCs w:val="26"/>
        </w:rPr>
        <w:t xml:space="preserve">6.  Pike also filed a 2017 Quarterly Report for its gas division, in which it calculated an actual overall </w:t>
      </w:r>
      <w:r w:rsidR="0046559E">
        <w:rPr>
          <w:sz w:val="26"/>
          <w:szCs w:val="26"/>
        </w:rPr>
        <w:t>ROR</w:t>
      </w:r>
      <w:r w:rsidRPr="005F01A3">
        <w:rPr>
          <w:sz w:val="26"/>
          <w:szCs w:val="26"/>
        </w:rPr>
        <w:t xml:space="preserve"> of 1.21%, to say nothing of the same ¼ revenue/expense issue that plagued the electric Quarterly Report.  However, according to its 2017 Gas Annual Report, Pike seems to be operating at a loss.  Can you explain this disparity?  Furthermore, how did Pike calculate the exact same overall </w:t>
      </w:r>
      <w:r w:rsidR="0046559E">
        <w:rPr>
          <w:sz w:val="26"/>
          <w:szCs w:val="26"/>
        </w:rPr>
        <w:t>ROR</w:t>
      </w:r>
      <w:r w:rsidRPr="005F01A3">
        <w:rPr>
          <w:sz w:val="26"/>
          <w:szCs w:val="26"/>
        </w:rPr>
        <w:t>, that being 1.21%, for both its gas and electric operations on the Quarterly Reports, which seems beyond coincidental?</w:t>
      </w:r>
    </w:p>
    <w:p w14:paraId="14AFE645" w14:textId="77777777" w:rsidR="005F01A3" w:rsidRPr="005F01A3" w:rsidRDefault="005F01A3" w:rsidP="005F01A3">
      <w:pPr>
        <w:widowControl w:val="0"/>
        <w:ind w:left="720" w:hanging="720"/>
        <w:rPr>
          <w:sz w:val="26"/>
          <w:szCs w:val="26"/>
        </w:rPr>
      </w:pPr>
    </w:p>
    <w:p w14:paraId="3B21B132" w14:textId="77777777" w:rsidR="005F01A3" w:rsidRPr="005F01A3" w:rsidRDefault="005F01A3" w:rsidP="005F01A3">
      <w:pPr>
        <w:widowControl w:val="0"/>
        <w:ind w:left="360" w:hanging="360"/>
        <w:rPr>
          <w:sz w:val="26"/>
          <w:szCs w:val="26"/>
        </w:rPr>
      </w:pPr>
      <w:r w:rsidRPr="005F01A3">
        <w:rPr>
          <w:sz w:val="26"/>
          <w:szCs w:val="26"/>
        </w:rPr>
        <w:t>7.  Does Pike have independently audited financial statements?  If so, please provide them for the past three years.  Additionally, please provide a Cash Flow Statement for the period ending April 30, 2018.</w:t>
      </w:r>
    </w:p>
    <w:p w14:paraId="1697939F" w14:textId="77777777" w:rsidR="00F23A26" w:rsidRDefault="00F23A26" w:rsidP="0059182F">
      <w:pPr>
        <w:widowControl w:val="0"/>
        <w:ind w:left="720" w:hanging="720"/>
        <w:rPr>
          <w:sz w:val="26"/>
          <w:szCs w:val="26"/>
        </w:rPr>
      </w:pPr>
    </w:p>
    <w:sectPr w:rsidR="00F23A26" w:rsidSect="002726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637C" w14:textId="77777777" w:rsidR="00C50A62" w:rsidRDefault="00C50A62">
      <w:r>
        <w:separator/>
      </w:r>
    </w:p>
  </w:endnote>
  <w:endnote w:type="continuationSeparator" w:id="0">
    <w:p w14:paraId="414EFE58" w14:textId="77777777" w:rsidR="00C50A62" w:rsidRDefault="00C5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B40A" w14:textId="77777777" w:rsidR="004F6D68" w:rsidRDefault="004F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6EFD" w14:textId="77777777" w:rsidR="002A679C" w:rsidRDefault="002A679C">
    <w:pPr>
      <w:pStyle w:val="Footer"/>
    </w:pPr>
    <w:r>
      <w:rPr>
        <w:snapToGrid w:val="0"/>
      </w:rPr>
      <w:tab/>
      <w:t xml:space="preserve">- </w:t>
    </w:r>
    <w:r w:rsidR="0069415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94159">
      <w:rPr>
        <w:snapToGrid w:val="0"/>
      </w:rPr>
      <w:fldChar w:fldCharType="separate"/>
    </w:r>
    <w:r w:rsidR="00D86A7D">
      <w:rPr>
        <w:noProof/>
        <w:snapToGrid w:val="0"/>
      </w:rPr>
      <w:t>1</w:t>
    </w:r>
    <w:r w:rsidR="0069415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6713" w14:textId="77777777" w:rsidR="004F6D68" w:rsidRDefault="004F6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A236" w14:textId="77777777" w:rsidR="00C50A62" w:rsidRDefault="00C50A62">
      <w:r>
        <w:separator/>
      </w:r>
    </w:p>
  </w:footnote>
  <w:footnote w:type="continuationSeparator" w:id="0">
    <w:p w14:paraId="30742589" w14:textId="77777777" w:rsidR="00C50A62" w:rsidRDefault="00C5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B522" w14:textId="77777777" w:rsidR="004F6D68" w:rsidRDefault="004F6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379B" w14:textId="77777777" w:rsidR="00D6307B" w:rsidRPr="00D6307B" w:rsidRDefault="00D6307B" w:rsidP="00D6307B">
    <w:pPr>
      <w:pStyle w:val="Header"/>
      <w:tabs>
        <w:tab w:val="clear" w:pos="4320"/>
      </w:tabs>
      <w:jc w:val="right"/>
      <w:rPr>
        <w:sz w:val="26"/>
        <w:szCs w:val="26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FA3F" w14:textId="77777777" w:rsidR="004F6D68" w:rsidRDefault="004F6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2DA6"/>
    <w:multiLevelType w:val="hybridMultilevel"/>
    <w:tmpl w:val="01A8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192E0C"/>
    <w:multiLevelType w:val="hybridMultilevel"/>
    <w:tmpl w:val="8C7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19D0"/>
    <w:multiLevelType w:val="hybridMultilevel"/>
    <w:tmpl w:val="F3280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1419"/>
    <w:multiLevelType w:val="hybridMultilevel"/>
    <w:tmpl w:val="918E71EA"/>
    <w:lvl w:ilvl="0" w:tplc="05DC23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33B28"/>
    <w:multiLevelType w:val="hybridMultilevel"/>
    <w:tmpl w:val="46C09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45B1"/>
    <w:multiLevelType w:val="hybridMultilevel"/>
    <w:tmpl w:val="F78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160B72"/>
    <w:multiLevelType w:val="hybridMultilevel"/>
    <w:tmpl w:val="54E0A3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52F73"/>
    <w:multiLevelType w:val="hybridMultilevel"/>
    <w:tmpl w:val="D5A6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39F"/>
    <w:multiLevelType w:val="hybridMultilevel"/>
    <w:tmpl w:val="A1CCBE0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A5D8C"/>
    <w:multiLevelType w:val="hybridMultilevel"/>
    <w:tmpl w:val="9D2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6119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0A7653"/>
    <w:multiLevelType w:val="hybridMultilevel"/>
    <w:tmpl w:val="CBBC74B4"/>
    <w:lvl w:ilvl="0" w:tplc="D6D2F9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409E7"/>
    <w:multiLevelType w:val="hybridMultilevel"/>
    <w:tmpl w:val="3F46B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20"/>
  </w:num>
  <w:num w:numId="11">
    <w:abstractNumId w:val="11"/>
  </w:num>
  <w:num w:numId="12">
    <w:abstractNumId w:val="7"/>
  </w:num>
  <w:num w:numId="13">
    <w:abstractNumId w:val="19"/>
  </w:num>
  <w:num w:numId="14">
    <w:abstractNumId w:val="3"/>
  </w:num>
  <w:num w:numId="15">
    <w:abstractNumId w:val="6"/>
  </w:num>
  <w:num w:numId="16">
    <w:abstractNumId w:val="9"/>
  </w:num>
  <w:num w:numId="17">
    <w:abstractNumId w:val="5"/>
  </w:num>
  <w:num w:numId="18">
    <w:abstractNumId w:val="16"/>
  </w:num>
  <w:num w:numId="19">
    <w:abstractNumId w:val="10"/>
  </w:num>
  <w:num w:numId="20">
    <w:abstractNumId w:val="21"/>
  </w:num>
  <w:num w:numId="21">
    <w:abstractNumId w:val="8"/>
  </w:num>
  <w:num w:numId="22">
    <w:abstractNumId w:val="14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B7C"/>
    <w:rsid w:val="0001077D"/>
    <w:rsid w:val="00014C37"/>
    <w:rsid w:val="00017070"/>
    <w:rsid w:val="00017EB0"/>
    <w:rsid w:val="00023804"/>
    <w:rsid w:val="0002509C"/>
    <w:rsid w:val="00026EBD"/>
    <w:rsid w:val="00034183"/>
    <w:rsid w:val="0004397B"/>
    <w:rsid w:val="00043EC8"/>
    <w:rsid w:val="000624F5"/>
    <w:rsid w:val="000652E3"/>
    <w:rsid w:val="00070868"/>
    <w:rsid w:val="0007177D"/>
    <w:rsid w:val="00072557"/>
    <w:rsid w:val="00074046"/>
    <w:rsid w:val="00081F8E"/>
    <w:rsid w:val="00083D4C"/>
    <w:rsid w:val="000977CA"/>
    <w:rsid w:val="000B1F25"/>
    <w:rsid w:val="000C013F"/>
    <w:rsid w:val="000C0812"/>
    <w:rsid w:val="000C0EB4"/>
    <w:rsid w:val="000C2A00"/>
    <w:rsid w:val="000C5A0B"/>
    <w:rsid w:val="000C751B"/>
    <w:rsid w:val="000C78FA"/>
    <w:rsid w:val="000F48F8"/>
    <w:rsid w:val="000F5AA6"/>
    <w:rsid w:val="00103DAF"/>
    <w:rsid w:val="00105875"/>
    <w:rsid w:val="0012325B"/>
    <w:rsid w:val="00130762"/>
    <w:rsid w:val="00131B85"/>
    <w:rsid w:val="00134EB2"/>
    <w:rsid w:val="00135B29"/>
    <w:rsid w:val="00136319"/>
    <w:rsid w:val="00136A95"/>
    <w:rsid w:val="00142126"/>
    <w:rsid w:val="00147162"/>
    <w:rsid w:val="00147820"/>
    <w:rsid w:val="00160133"/>
    <w:rsid w:val="001619A2"/>
    <w:rsid w:val="0017520D"/>
    <w:rsid w:val="00180EE3"/>
    <w:rsid w:val="0018438E"/>
    <w:rsid w:val="00184966"/>
    <w:rsid w:val="00195884"/>
    <w:rsid w:val="001A0D5E"/>
    <w:rsid w:val="001A1FB5"/>
    <w:rsid w:val="001A51B5"/>
    <w:rsid w:val="001B083C"/>
    <w:rsid w:val="001B1533"/>
    <w:rsid w:val="001B41D8"/>
    <w:rsid w:val="001B44BC"/>
    <w:rsid w:val="001B5D19"/>
    <w:rsid w:val="001C3B36"/>
    <w:rsid w:val="001C649D"/>
    <w:rsid w:val="001C68BA"/>
    <w:rsid w:val="001C75CD"/>
    <w:rsid w:val="001E02DF"/>
    <w:rsid w:val="0021364B"/>
    <w:rsid w:val="002226D6"/>
    <w:rsid w:val="00226616"/>
    <w:rsid w:val="00232020"/>
    <w:rsid w:val="00240B47"/>
    <w:rsid w:val="00243277"/>
    <w:rsid w:val="002547DD"/>
    <w:rsid w:val="002556F0"/>
    <w:rsid w:val="00264998"/>
    <w:rsid w:val="002663B6"/>
    <w:rsid w:val="00266A6E"/>
    <w:rsid w:val="002712F5"/>
    <w:rsid w:val="00271CF7"/>
    <w:rsid w:val="002726D8"/>
    <w:rsid w:val="00274A1E"/>
    <w:rsid w:val="00286063"/>
    <w:rsid w:val="0029000C"/>
    <w:rsid w:val="002930C6"/>
    <w:rsid w:val="00296DF5"/>
    <w:rsid w:val="00296E69"/>
    <w:rsid w:val="00297488"/>
    <w:rsid w:val="002A00F3"/>
    <w:rsid w:val="002A08D9"/>
    <w:rsid w:val="002A58C0"/>
    <w:rsid w:val="002A679C"/>
    <w:rsid w:val="002B211A"/>
    <w:rsid w:val="002C073E"/>
    <w:rsid w:val="002C355B"/>
    <w:rsid w:val="002C3C09"/>
    <w:rsid w:val="002C47F2"/>
    <w:rsid w:val="002C7BA1"/>
    <w:rsid w:val="002D18F2"/>
    <w:rsid w:val="002D5BCC"/>
    <w:rsid w:val="002E00DA"/>
    <w:rsid w:val="002E1FF7"/>
    <w:rsid w:val="002E40AD"/>
    <w:rsid w:val="002F4A02"/>
    <w:rsid w:val="002F6FE6"/>
    <w:rsid w:val="00302CD9"/>
    <w:rsid w:val="0030599C"/>
    <w:rsid w:val="00306850"/>
    <w:rsid w:val="003130E2"/>
    <w:rsid w:val="00316688"/>
    <w:rsid w:val="00322763"/>
    <w:rsid w:val="00323358"/>
    <w:rsid w:val="0032671A"/>
    <w:rsid w:val="0033252F"/>
    <w:rsid w:val="003346F2"/>
    <w:rsid w:val="00343058"/>
    <w:rsid w:val="003446D3"/>
    <w:rsid w:val="00344E17"/>
    <w:rsid w:val="003523B6"/>
    <w:rsid w:val="0035756C"/>
    <w:rsid w:val="003614E5"/>
    <w:rsid w:val="00366C51"/>
    <w:rsid w:val="00382848"/>
    <w:rsid w:val="00386C9E"/>
    <w:rsid w:val="003951CA"/>
    <w:rsid w:val="00395B29"/>
    <w:rsid w:val="003B1E23"/>
    <w:rsid w:val="003D085D"/>
    <w:rsid w:val="003D27E8"/>
    <w:rsid w:val="003D3AAB"/>
    <w:rsid w:val="003F37DC"/>
    <w:rsid w:val="003F4C6A"/>
    <w:rsid w:val="004051E9"/>
    <w:rsid w:val="0042053D"/>
    <w:rsid w:val="004207BF"/>
    <w:rsid w:val="00431993"/>
    <w:rsid w:val="00431C29"/>
    <w:rsid w:val="00434796"/>
    <w:rsid w:val="0043513D"/>
    <w:rsid w:val="00435CD9"/>
    <w:rsid w:val="00450975"/>
    <w:rsid w:val="00451E07"/>
    <w:rsid w:val="004527A2"/>
    <w:rsid w:val="0045656D"/>
    <w:rsid w:val="00464932"/>
    <w:rsid w:val="0046559E"/>
    <w:rsid w:val="00482705"/>
    <w:rsid w:val="0049319D"/>
    <w:rsid w:val="00496B80"/>
    <w:rsid w:val="004A1739"/>
    <w:rsid w:val="004A5E36"/>
    <w:rsid w:val="004A7FC1"/>
    <w:rsid w:val="004B1A2D"/>
    <w:rsid w:val="004B33AC"/>
    <w:rsid w:val="004B65E7"/>
    <w:rsid w:val="004C6A17"/>
    <w:rsid w:val="004D0350"/>
    <w:rsid w:val="004D1AB8"/>
    <w:rsid w:val="004D1C7A"/>
    <w:rsid w:val="004D7195"/>
    <w:rsid w:val="004E09C2"/>
    <w:rsid w:val="004E589D"/>
    <w:rsid w:val="004F62B7"/>
    <w:rsid w:val="004F6D68"/>
    <w:rsid w:val="004F79B3"/>
    <w:rsid w:val="00512DED"/>
    <w:rsid w:val="0052287D"/>
    <w:rsid w:val="00525B09"/>
    <w:rsid w:val="0052681F"/>
    <w:rsid w:val="00526F12"/>
    <w:rsid w:val="00534A16"/>
    <w:rsid w:val="00537D15"/>
    <w:rsid w:val="00541EC1"/>
    <w:rsid w:val="00543F9C"/>
    <w:rsid w:val="0054525C"/>
    <w:rsid w:val="00546673"/>
    <w:rsid w:val="00553CF8"/>
    <w:rsid w:val="00556CEC"/>
    <w:rsid w:val="00557E89"/>
    <w:rsid w:val="00562A1F"/>
    <w:rsid w:val="00562B03"/>
    <w:rsid w:val="00565150"/>
    <w:rsid w:val="00567C8D"/>
    <w:rsid w:val="00575BE1"/>
    <w:rsid w:val="005820EE"/>
    <w:rsid w:val="00590A7D"/>
    <w:rsid w:val="0059182F"/>
    <w:rsid w:val="00593E6D"/>
    <w:rsid w:val="00596FAB"/>
    <w:rsid w:val="005A23A2"/>
    <w:rsid w:val="005A24C5"/>
    <w:rsid w:val="005B1693"/>
    <w:rsid w:val="005B370A"/>
    <w:rsid w:val="005B67F6"/>
    <w:rsid w:val="005D724D"/>
    <w:rsid w:val="005D7F45"/>
    <w:rsid w:val="005E1D94"/>
    <w:rsid w:val="005E31DF"/>
    <w:rsid w:val="005F01A3"/>
    <w:rsid w:val="005F4989"/>
    <w:rsid w:val="00615F18"/>
    <w:rsid w:val="006162E6"/>
    <w:rsid w:val="00637B52"/>
    <w:rsid w:val="006503D3"/>
    <w:rsid w:val="00653A1A"/>
    <w:rsid w:val="006640C3"/>
    <w:rsid w:val="0066539E"/>
    <w:rsid w:val="00666971"/>
    <w:rsid w:val="00674B96"/>
    <w:rsid w:val="0068420C"/>
    <w:rsid w:val="006872E7"/>
    <w:rsid w:val="00692DA2"/>
    <w:rsid w:val="00694159"/>
    <w:rsid w:val="00695438"/>
    <w:rsid w:val="006957B7"/>
    <w:rsid w:val="006A39B0"/>
    <w:rsid w:val="006B06E4"/>
    <w:rsid w:val="006C6317"/>
    <w:rsid w:val="006C7C10"/>
    <w:rsid w:val="006D204E"/>
    <w:rsid w:val="006D24B1"/>
    <w:rsid w:val="006D3428"/>
    <w:rsid w:val="006E019D"/>
    <w:rsid w:val="006E437A"/>
    <w:rsid w:val="006E705B"/>
    <w:rsid w:val="006F1490"/>
    <w:rsid w:val="006F2D4E"/>
    <w:rsid w:val="006F5F75"/>
    <w:rsid w:val="00700192"/>
    <w:rsid w:val="00702CF9"/>
    <w:rsid w:val="00703784"/>
    <w:rsid w:val="007053AB"/>
    <w:rsid w:val="007165DB"/>
    <w:rsid w:val="007232DE"/>
    <w:rsid w:val="007303AE"/>
    <w:rsid w:val="007373A4"/>
    <w:rsid w:val="00741281"/>
    <w:rsid w:val="00751EB6"/>
    <w:rsid w:val="0075516F"/>
    <w:rsid w:val="00757E6C"/>
    <w:rsid w:val="00764443"/>
    <w:rsid w:val="0076499A"/>
    <w:rsid w:val="0077507D"/>
    <w:rsid w:val="00776194"/>
    <w:rsid w:val="007813B4"/>
    <w:rsid w:val="00787280"/>
    <w:rsid w:val="007A1C08"/>
    <w:rsid w:val="007A57F3"/>
    <w:rsid w:val="007A62E9"/>
    <w:rsid w:val="007A6B31"/>
    <w:rsid w:val="007B0845"/>
    <w:rsid w:val="007B7255"/>
    <w:rsid w:val="007C5A08"/>
    <w:rsid w:val="007D616B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14FAA"/>
    <w:rsid w:val="00816473"/>
    <w:rsid w:val="0082499B"/>
    <w:rsid w:val="00830E07"/>
    <w:rsid w:val="00845CED"/>
    <w:rsid w:val="008516FB"/>
    <w:rsid w:val="00853796"/>
    <w:rsid w:val="00860819"/>
    <w:rsid w:val="00860B01"/>
    <w:rsid w:val="008710C3"/>
    <w:rsid w:val="00872678"/>
    <w:rsid w:val="008772B6"/>
    <w:rsid w:val="00877C99"/>
    <w:rsid w:val="008827C6"/>
    <w:rsid w:val="00884888"/>
    <w:rsid w:val="00885115"/>
    <w:rsid w:val="008A0A87"/>
    <w:rsid w:val="008B0118"/>
    <w:rsid w:val="008B72C2"/>
    <w:rsid w:val="008C3D19"/>
    <w:rsid w:val="008C6117"/>
    <w:rsid w:val="008C769E"/>
    <w:rsid w:val="008D3697"/>
    <w:rsid w:val="008D37DA"/>
    <w:rsid w:val="008E3360"/>
    <w:rsid w:val="008F1D46"/>
    <w:rsid w:val="008F1EF4"/>
    <w:rsid w:val="008F498B"/>
    <w:rsid w:val="008F57BF"/>
    <w:rsid w:val="009009EE"/>
    <w:rsid w:val="00902CEE"/>
    <w:rsid w:val="00903363"/>
    <w:rsid w:val="00916C5A"/>
    <w:rsid w:val="009276EE"/>
    <w:rsid w:val="00930B12"/>
    <w:rsid w:val="00937A57"/>
    <w:rsid w:val="009411C6"/>
    <w:rsid w:val="009568D8"/>
    <w:rsid w:val="009569E0"/>
    <w:rsid w:val="00956C6F"/>
    <w:rsid w:val="00957E0E"/>
    <w:rsid w:val="00961382"/>
    <w:rsid w:val="00971173"/>
    <w:rsid w:val="009739CB"/>
    <w:rsid w:val="0098426D"/>
    <w:rsid w:val="00990335"/>
    <w:rsid w:val="00997BF6"/>
    <w:rsid w:val="009A04D8"/>
    <w:rsid w:val="009A64FD"/>
    <w:rsid w:val="009B0634"/>
    <w:rsid w:val="009D5A24"/>
    <w:rsid w:val="009F1DFD"/>
    <w:rsid w:val="009F27C1"/>
    <w:rsid w:val="009F4F0E"/>
    <w:rsid w:val="009F65EE"/>
    <w:rsid w:val="00A07363"/>
    <w:rsid w:val="00A15C58"/>
    <w:rsid w:val="00A3389D"/>
    <w:rsid w:val="00A343E5"/>
    <w:rsid w:val="00A34967"/>
    <w:rsid w:val="00A47189"/>
    <w:rsid w:val="00A5044E"/>
    <w:rsid w:val="00A55B50"/>
    <w:rsid w:val="00A61693"/>
    <w:rsid w:val="00A624BF"/>
    <w:rsid w:val="00A639AB"/>
    <w:rsid w:val="00A76893"/>
    <w:rsid w:val="00A85575"/>
    <w:rsid w:val="00A96298"/>
    <w:rsid w:val="00AA38F0"/>
    <w:rsid w:val="00AB3A47"/>
    <w:rsid w:val="00AC0F91"/>
    <w:rsid w:val="00AC20DD"/>
    <w:rsid w:val="00AD42A2"/>
    <w:rsid w:val="00AD44D8"/>
    <w:rsid w:val="00AE6934"/>
    <w:rsid w:val="00AE799C"/>
    <w:rsid w:val="00AF0919"/>
    <w:rsid w:val="00AF0A76"/>
    <w:rsid w:val="00B01F4B"/>
    <w:rsid w:val="00B05D63"/>
    <w:rsid w:val="00B15A04"/>
    <w:rsid w:val="00B2119E"/>
    <w:rsid w:val="00B23551"/>
    <w:rsid w:val="00B379FA"/>
    <w:rsid w:val="00B37CFF"/>
    <w:rsid w:val="00B419A3"/>
    <w:rsid w:val="00B41B04"/>
    <w:rsid w:val="00B422DD"/>
    <w:rsid w:val="00B43EBF"/>
    <w:rsid w:val="00B46A73"/>
    <w:rsid w:val="00B478D4"/>
    <w:rsid w:val="00B6181A"/>
    <w:rsid w:val="00B63D27"/>
    <w:rsid w:val="00B72223"/>
    <w:rsid w:val="00B9170D"/>
    <w:rsid w:val="00BA4F39"/>
    <w:rsid w:val="00BC10BB"/>
    <w:rsid w:val="00BC50AA"/>
    <w:rsid w:val="00BC72CD"/>
    <w:rsid w:val="00BD271D"/>
    <w:rsid w:val="00BD6811"/>
    <w:rsid w:val="00BE11EB"/>
    <w:rsid w:val="00BE66E8"/>
    <w:rsid w:val="00C06C9A"/>
    <w:rsid w:val="00C07ED1"/>
    <w:rsid w:val="00C137AD"/>
    <w:rsid w:val="00C139C6"/>
    <w:rsid w:val="00C17FC1"/>
    <w:rsid w:val="00C20D5E"/>
    <w:rsid w:val="00C258CB"/>
    <w:rsid w:val="00C41CDC"/>
    <w:rsid w:val="00C43477"/>
    <w:rsid w:val="00C50659"/>
    <w:rsid w:val="00C50A62"/>
    <w:rsid w:val="00C53327"/>
    <w:rsid w:val="00C67323"/>
    <w:rsid w:val="00C70CFF"/>
    <w:rsid w:val="00C73073"/>
    <w:rsid w:val="00C81971"/>
    <w:rsid w:val="00C84424"/>
    <w:rsid w:val="00C84E04"/>
    <w:rsid w:val="00C86252"/>
    <w:rsid w:val="00CB00EC"/>
    <w:rsid w:val="00CD62C8"/>
    <w:rsid w:val="00CE2D9A"/>
    <w:rsid w:val="00CE3B6A"/>
    <w:rsid w:val="00CF60E5"/>
    <w:rsid w:val="00D0016B"/>
    <w:rsid w:val="00D01178"/>
    <w:rsid w:val="00D02319"/>
    <w:rsid w:val="00D070F3"/>
    <w:rsid w:val="00D14309"/>
    <w:rsid w:val="00D14E94"/>
    <w:rsid w:val="00D22287"/>
    <w:rsid w:val="00D24767"/>
    <w:rsid w:val="00D2648F"/>
    <w:rsid w:val="00D26EF3"/>
    <w:rsid w:val="00D27F3B"/>
    <w:rsid w:val="00D32C05"/>
    <w:rsid w:val="00D42DC8"/>
    <w:rsid w:val="00D436FB"/>
    <w:rsid w:val="00D46CD8"/>
    <w:rsid w:val="00D474C6"/>
    <w:rsid w:val="00D531A3"/>
    <w:rsid w:val="00D5440D"/>
    <w:rsid w:val="00D620DC"/>
    <w:rsid w:val="00D6307B"/>
    <w:rsid w:val="00D66890"/>
    <w:rsid w:val="00D71060"/>
    <w:rsid w:val="00D7392B"/>
    <w:rsid w:val="00D83D4D"/>
    <w:rsid w:val="00D841A8"/>
    <w:rsid w:val="00D86A7D"/>
    <w:rsid w:val="00D92D58"/>
    <w:rsid w:val="00D94B36"/>
    <w:rsid w:val="00D97D62"/>
    <w:rsid w:val="00DA7001"/>
    <w:rsid w:val="00DA799E"/>
    <w:rsid w:val="00DC28D3"/>
    <w:rsid w:val="00DC2959"/>
    <w:rsid w:val="00DD1727"/>
    <w:rsid w:val="00DD22B1"/>
    <w:rsid w:val="00DE0789"/>
    <w:rsid w:val="00DF3DBD"/>
    <w:rsid w:val="00E036AF"/>
    <w:rsid w:val="00E04563"/>
    <w:rsid w:val="00E07598"/>
    <w:rsid w:val="00E20C2C"/>
    <w:rsid w:val="00E24690"/>
    <w:rsid w:val="00E25181"/>
    <w:rsid w:val="00E35E7D"/>
    <w:rsid w:val="00E430FD"/>
    <w:rsid w:val="00E5328F"/>
    <w:rsid w:val="00E566E2"/>
    <w:rsid w:val="00E8035A"/>
    <w:rsid w:val="00E80B2D"/>
    <w:rsid w:val="00E908EA"/>
    <w:rsid w:val="00E914B1"/>
    <w:rsid w:val="00E93FD7"/>
    <w:rsid w:val="00EA3314"/>
    <w:rsid w:val="00EA3C96"/>
    <w:rsid w:val="00ED1F9E"/>
    <w:rsid w:val="00ED5B4E"/>
    <w:rsid w:val="00EE7076"/>
    <w:rsid w:val="00EE7718"/>
    <w:rsid w:val="00EF0031"/>
    <w:rsid w:val="00EF3B78"/>
    <w:rsid w:val="00EF4CFB"/>
    <w:rsid w:val="00EF59B0"/>
    <w:rsid w:val="00EF63A8"/>
    <w:rsid w:val="00EF66EF"/>
    <w:rsid w:val="00F0205C"/>
    <w:rsid w:val="00F045EE"/>
    <w:rsid w:val="00F05F69"/>
    <w:rsid w:val="00F12EA2"/>
    <w:rsid w:val="00F1506C"/>
    <w:rsid w:val="00F17155"/>
    <w:rsid w:val="00F23A26"/>
    <w:rsid w:val="00F252BA"/>
    <w:rsid w:val="00F26454"/>
    <w:rsid w:val="00F30101"/>
    <w:rsid w:val="00F360A6"/>
    <w:rsid w:val="00F37777"/>
    <w:rsid w:val="00F47183"/>
    <w:rsid w:val="00F5699D"/>
    <w:rsid w:val="00F805F2"/>
    <w:rsid w:val="00FB2C32"/>
    <w:rsid w:val="00FB4314"/>
    <w:rsid w:val="00FB56FD"/>
    <w:rsid w:val="00FB69AE"/>
    <w:rsid w:val="00FC1026"/>
    <w:rsid w:val="00FD0632"/>
    <w:rsid w:val="00FD3475"/>
    <w:rsid w:val="00FD3A57"/>
    <w:rsid w:val="00FD7CBE"/>
    <w:rsid w:val="00FE1852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0E8B7"/>
  <w15:docId w15:val="{52C66F59-7E8E-4769-B577-0EDF064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  <w:style w:type="table" w:customStyle="1" w:styleId="TableGrid1">
    <w:name w:val="Table Grid1"/>
    <w:basedOn w:val="TableNormal"/>
    <w:next w:val="TableGrid"/>
    <w:rsid w:val="008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66539E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8772B6"/>
  </w:style>
  <w:style w:type="character" w:customStyle="1" w:styleId="FootnoteTextChar">
    <w:name w:val="Footnote Text Char"/>
    <w:basedOn w:val="DefaultParagraphFont"/>
    <w:link w:val="FootnoteText"/>
    <w:rsid w:val="008772B6"/>
  </w:style>
  <w:style w:type="character" w:styleId="FootnoteReference">
    <w:name w:val="footnote reference"/>
    <w:basedOn w:val="DefaultParagraphFont"/>
    <w:rsid w:val="008772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469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D63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layton@pa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uc.pa.gov/efiling/default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layton@p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5774-865C-4A6B-8704-60F31BFE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Base/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Hoffer, Marc</dc:creator>
  <cp:lastModifiedBy>Farner, Joyce</cp:lastModifiedBy>
  <cp:revision>6</cp:revision>
  <cp:lastPrinted>2018-06-07T15:11:00Z</cp:lastPrinted>
  <dcterms:created xsi:type="dcterms:W3CDTF">2018-06-07T12:50:00Z</dcterms:created>
  <dcterms:modified xsi:type="dcterms:W3CDTF">2018-06-07T15:11:00Z</dcterms:modified>
</cp:coreProperties>
</file>