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9787D" w:rsidRDefault="00F514FB" w:rsidP="00A6670C">
      <w:pPr>
        <w:widowControl/>
        <w:tabs>
          <w:tab w:val="center" w:pos="4680"/>
        </w:tabs>
        <w:jc w:val="center"/>
        <w:rPr>
          <w:b/>
          <w:sz w:val="26"/>
          <w:szCs w:val="26"/>
        </w:rPr>
      </w:pPr>
      <w:r w:rsidRPr="00A9787D">
        <w:rPr>
          <w:b/>
          <w:sz w:val="26"/>
          <w:szCs w:val="26"/>
        </w:rPr>
        <w:t>PENNSYLVANIA</w:t>
      </w:r>
    </w:p>
    <w:p w:rsidR="00F514FB" w:rsidRPr="00A9787D" w:rsidRDefault="00F514FB" w:rsidP="00A6670C">
      <w:pPr>
        <w:widowControl/>
        <w:tabs>
          <w:tab w:val="center" w:pos="4680"/>
        </w:tabs>
        <w:jc w:val="center"/>
        <w:rPr>
          <w:sz w:val="26"/>
          <w:szCs w:val="26"/>
        </w:rPr>
      </w:pPr>
      <w:r w:rsidRPr="00A9787D">
        <w:rPr>
          <w:b/>
          <w:sz w:val="26"/>
          <w:szCs w:val="26"/>
        </w:rPr>
        <w:t>PUBLIC UTILITY COMMISSION</w:t>
      </w:r>
    </w:p>
    <w:p w:rsidR="00F514FB" w:rsidRPr="00A9787D" w:rsidRDefault="00F514FB" w:rsidP="00A6670C">
      <w:pPr>
        <w:widowControl/>
        <w:tabs>
          <w:tab w:val="center" w:pos="4680"/>
        </w:tabs>
        <w:jc w:val="center"/>
        <w:rPr>
          <w:sz w:val="26"/>
          <w:szCs w:val="26"/>
        </w:rPr>
      </w:pPr>
      <w:r w:rsidRPr="00A9787D">
        <w:rPr>
          <w:b/>
          <w:sz w:val="26"/>
          <w:szCs w:val="26"/>
        </w:rPr>
        <w:t>Harrisburg, PA 17105-3265</w:t>
      </w:r>
    </w:p>
    <w:p w:rsidR="00F514FB" w:rsidRPr="00A9787D" w:rsidRDefault="00F514FB" w:rsidP="00A6670C">
      <w:pPr>
        <w:widowControl/>
        <w:tabs>
          <w:tab w:val="left" w:pos="-720"/>
        </w:tabs>
        <w:rPr>
          <w:sz w:val="26"/>
          <w:szCs w:val="26"/>
        </w:rPr>
      </w:pPr>
    </w:p>
    <w:p w:rsidR="00F514FB" w:rsidRPr="00A9787D" w:rsidRDefault="00F514FB" w:rsidP="00A6670C">
      <w:pPr>
        <w:widowControl/>
        <w:rPr>
          <w:sz w:val="26"/>
          <w:szCs w:val="26"/>
        </w:rPr>
      </w:pPr>
    </w:p>
    <w:tbl>
      <w:tblPr>
        <w:tblStyle w:val="TableGrid"/>
        <w:tblW w:w="9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677"/>
      </w:tblGrid>
      <w:tr w:rsidR="00D365A7" w:rsidRPr="00A9787D" w:rsidTr="0092292D">
        <w:trPr>
          <w:trHeight w:val="1488"/>
        </w:trPr>
        <w:tc>
          <w:tcPr>
            <w:tcW w:w="5268" w:type="dxa"/>
          </w:tcPr>
          <w:p w:rsidR="00F514FB" w:rsidRPr="00A9787D" w:rsidRDefault="00F514FB" w:rsidP="00A6670C">
            <w:pPr>
              <w:widowControl/>
              <w:rPr>
                <w:sz w:val="26"/>
                <w:szCs w:val="26"/>
              </w:rPr>
            </w:pPr>
          </w:p>
        </w:tc>
        <w:tc>
          <w:tcPr>
            <w:tcW w:w="4677" w:type="dxa"/>
          </w:tcPr>
          <w:p w:rsidR="00F514FB" w:rsidRPr="00A9787D" w:rsidRDefault="007405C2" w:rsidP="00A6670C">
            <w:pPr>
              <w:widowControl/>
              <w:rPr>
                <w:sz w:val="26"/>
                <w:szCs w:val="26"/>
              </w:rPr>
            </w:pPr>
            <w:r>
              <w:rPr>
                <w:sz w:val="26"/>
                <w:szCs w:val="26"/>
              </w:rPr>
              <w:t>Public Meeting held</w:t>
            </w:r>
            <w:r w:rsidR="001D530A">
              <w:rPr>
                <w:sz w:val="26"/>
                <w:szCs w:val="26"/>
              </w:rPr>
              <w:t xml:space="preserve"> June 14</w:t>
            </w:r>
            <w:r w:rsidR="007C44C2">
              <w:rPr>
                <w:sz w:val="26"/>
                <w:szCs w:val="26"/>
              </w:rPr>
              <w:t>, 2018</w:t>
            </w:r>
          </w:p>
        </w:tc>
      </w:tr>
      <w:tr w:rsidR="00D365A7" w:rsidRPr="00A9787D" w:rsidTr="0092292D">
        <w:trPr>
          <w:trHeight w:val="2663"/>
        </w:trPr>
        <w:tc>
          <w:tcPr>
            <w:tcW w:w="5268" w:type="dxa"/>
          </w:tcPr>
          <w:p w:rsidR="00F514FB" w:rsidRDefault="00F514FB" w:rsidP="00A6670C">
            <w:pPr>
              <w:widowControl/>
              <w:rPr>
                <w:sz w:val="26"/>
                <w:szCs w:val="26"/>
              </w:rPr>
            </w:pPr>
            <w:r w:rsidRPr="00A9787D">
              <w:rPr>
                <w:sz w:val="26"/>
                <w:szCs w:val="26"/>
              </w:rPr>
              <w:t>Commissioners Present:</w:t>
            </w:r>
          </w:p>
          <w:p w:rsidR="003D0DCD" w:rsidRPr="00A9787D" w:rsidRDefault="003D0DCD" w:rsidP="00A6670C">
            <w:pPr>
              <w:widowControl/>
              <w:rPr>
                <w:sz w:val="26"/>
                <w:szCs w:val="26"/>
              </w:rPr>
            </w:pPr>
          </w:p>
          <w:p w:rsidR="003D0DCD" w:rsidRPr="003D0DCD" w:rsidRDefault="003D0DCD" w:rsidP="00A6670C">
            <w:pPr>
              <w:widowControl/>
              <w:tabs>
                <w:tab w:val="left" w:pos="705"/>
              </w:tabs>
              <w:ind w:firstLine="720"/>
              <w:contextualSpacing/>
              <w:rPr>
                <w:sz w:val="26"/>
                <w:szCs w:val="26"/>
              </w:rPr>
            </w:pPr>
            <w:r w:rsidRPr="003D0DCD">
              <w:rPr>
                <w:sz w:val="26"/>
                <w:szCs w:val="26"/>
              </w:rPr>
              <w:t>Gladys M. Brown, Chairman</w:t>
            </w:r>
          </w:p>
          <w:p w:rsidR="003D0DCD" w:rsidRDefault="003D0DCD" w:rsidP="00A6670C">
            <w:pPr>
              <w:widowControl/>
              <w:tabs>
                <w:tab w:val="left" w:pos="705"/>
              </w:tabs>
              <w:ind w:firstLine="720"/>
              <w:contextualSpacing/>
              <w:rPr>
                <w:sz w:val="26"/>
                <w:szCs w:val="26"/>
              </w:rPr>
            </w:pPr>
            <w:r w:rsidRPr="003D0DCD">
              <w:rPr>
                <w:sz w:val="26"/>
                <w:szCs w:val="26"/>
              </w:rPr>
              <w:t>Andrew G. Place, Vice Chairman</w:t>
            </w:r>
          </w:p>
          <w:p w:rsidR="00D3058C" w:rsidRDefault="00D3058C" w:rsidP="00A6670C">
            <w:pPr>
              <w:widowControl/>
              <w:ind w:firstLine="720"/>
              <w:rPr>
                <w:color w:val="000000"/>
                <w:sz w:val="26"/>
                <w:szCs w:val="26"/>
              </w:rPr>
            </w:pPr>
            <w:r>
              <w:rPr>
                <w:color w:val="000000"/>
                <w:sz w:val="26"/>
                <w:szCs w:val="26"/>
              </w:rPr>
              <w:t>Norman J. Kennard</w:t>
            </w:r>
          </w:p>
          <w:p w:rsidR="003D0DCD" w:rsidRPr="003D0DCD" w:rsidRDefault="003D0DCD" w:rsidP="00A6670C">
            <w:pPr>
              <w:widowControl/>
              <w:tabs>
                <w:tab w:val="left" w:pos="705"/>
              </w:tabs>
              <w:ind w:firstLine="720"/>
              <w:contextualSpacing/>
              <w:rPr>
                <w:sz w:val="26"/>
                <w:szCs w:val="26"/>
              </w:rPr>
            </w:pPr>
            <w:r w:rsidRPr="003D0DCD">
              <w:rPr>
                <w:sz w:val="26"/>
                <w:szCs w:val="26"/>
              </w:rPr>
              <w:t>David W. Sweet</w:t>
            </w:r>
          </w:p>
          <w:p w:rsidR="00F514FB" w:rsidRPr="00A9787D" w:rsidRDefault="00635CEA" w:rsidP="00A6670C">
            <w:pPr>
              <w:widowControl/>
              <w:tabs>
                <w:tab w:val="left" w:pos="705"/>
              </w:tabs>
              <w:ind w:firstLine="720"/>
              <w:contextualSpacing/>
              <w:rPr>
                <w:sz w:val="26"/>
                <w:szCs w:val="26"/>
              </w:rPr>
            </w:pPr>
            <w:r>
              <w:rPr>
                <w:sz w:val="26"/>
                <w:szCs w:val="26"/>
              </w:rPr>
              <w:t>John F. Coleman, Jr.</w:t>
            </w:r>
          </w:p>
          <w:p w:rsidR="00F514FB" w:rsidRPr="00A9787D" w:rsidRDefault="00F514FB" w:rsidP="00A6670C">
            <w:pPr>
              <w:widowControl/>
              <w:rPr>
                <w:sz w:val="26"/>
                <w:szCs w:val="26"/>
              </w:rPr>
            </w:pPr>
          </w:p>
        </w:tc>
        <w:tc>
          <w:tcPr>
            <w:tcW w:w="4677" w:type="dxa"/>
          </w:tcPr>
          <w:p w:rsidR="00F514FB" w:rsidRPr="00A9787D" w:rsidRDefault="00F514FB" w:rsidP="00A6670C">
            <w:pPr>
              <w:widowControl/>
              <w:jc w:val="right"/>
              <w:rPr>
                <w:sz w:val="26"/>
                <w:szCs w:val="26"/>
              </w:rPr>
            </w:pPr>
          </w:p>
          <w:p w:rsidR="00F514FB" w:rsidRPr="00A9787D" w:rsidRDefault="00F514FB" w:rsidP="00A6670C">
            <w:pPr>
              <w:widowControl/>
              <w:jc w:val="right"/>
              <w:rPr>
                <w:sz w:val="26"/>
                <w:szCs w:val="26"/>
              </w:rPr>
            </w:pPr>
          </w:p>
        </w:tc>
      </w:tr>
      <w:tr w:rsidR="00D365A7" w:rsidRPr="00A9787D" w:rsidTr="0092292D">
        <w:trPr>
          <w:trHeight w:val="669"/>
        </w:trPr>
        <w:tc>
          <w:tcPr>
            <w:tcW w:w="5268" w:type="dxa"/>
          </w:tcPr>
          <w:p w:rsidR="00F514FB" w:rsidRPr="00A9787D" w:rsidRDefault="000B1D37" w:rsidP="00A6670C">
            <w:pPr>
              <w:widowControl/>
              <w:rPr>
                <w:sz w:val="26"/>
                <w:szCs w:val="26"/>
              </w:rPr>
            </w:pPr>
            <w:r>
              <w:rPr>
                <w:sz w:val="26"/>
                <w:szCs w:val="26"/>
              </w:rPr>
              <w:t>Loretta Ferguson</w:t>
            </w:r>
          </w:p>
          <w:p w:rsidR="00F514FB" w:rsidRPr="00A9787D" w:rsidRDefault="00F514FB" w:rsidP="00A6670C">
            <w:pPr>
              <w:widowControl/>
              <w:rPr>
                <w:sz w:val="26"/>
                <w:szCs w:val="26"/>
              </w:rPr>
            </w:pPr>
          </w:p>
        </w:tc>
        <w:tc>
          <w:tcPr>
            <w:tcW w:w="4677" w:type="dxa"/>
          </w:tcPr>
          <w:p w:rsidR="00F514FB" w:rsidRPr="00A9787D" w:rsidRDefault="000B1D37" w:rsidP="00A6670C">
            <w:pPr>
              <w:widowControl/>
              <w:jc w:val="right"/>
              <w:rPr>
                <w:sz w:val="26"/>
                <w:szCs w:val="26"/>
              </w:rPr>
            </w:pPr>
            <w:r>
              <w:rPr>
                <w:sz w:val="26"/>
                <w:szCs w:val="26"/>
              </w:rPr>
              <w:t>C</w:t>
            </w:r>
            <w:r w:rsidR="00992D66" w:rsidRPr="00A9787D">
              <w:rPr>
                <w:sz w:val="26"/>
                <w:szCs w:val="26"/>
              </w:rPr>
              <w:t>-201</w:t>
            </w:r>
            <w:r>
              <w:rPr>
                <w:sz w:val="26"/>
                <w:szCs w:val="26"/>
              </w:rPr>
              <w:t>7</w:t>
            </w:r>
            <w:r w:rsidR="00992D66" w:rsidRPr="00A9787D">
              <w:rPr>
                <w:sz w:val="26"/>
                <w:szCs w:val="26"/>
              </w:rPr>
              <w:t>-</w:t>
            </w:r>
            <w:r w:rsidR="00977584">
              <w:rPr>
                <w:sz w:val="26"/>
                <w:szCs w:val="26"/>
              </w:rPr>
              <w:t>25</w:t>
            </w:r>
            <w:r>
              <w:rPr>
                <w:sz w:val="26"/>
                <w:szCs w:val="26"/>
              </w:rPr>
              <w:t>91174</w:t>
            </w:r>
          </w:p>
        </w:tc>
      </w:tr>
      <w:tr w:rsidR="00D365A7" w:rsidRPr="00A9787D" w:rsidTr="0092292D">
        <w:trPr>
          <w:trHeight w:val="595"/>
        </w:trPr>
        <w:tc>
          <w:tcPr>
            <w:tcW w:w="5268" w:type="dxa"/>
          </w:tcPr>
          <w:p w:rsidR="00F514FB" w:rsidRPr="00A9787D" w:rsidRDefault="00F514FB" w:rsidP="00A6670C">
            <w:pPr>
              <w:widowControl/>
              <w:ind w:firstLine="900"/>
              <w:rPr>
                <w:sz w:val="26"/>
                <w:szCs w:val="26"/>
              </w:rPr>
            </w:pPr>
            <w:r w:rsidRPr="00A9787D">
              <w:rPr>
                <w:sz w:val="26"/>
                <w:szCs w:val="26"/>
              </w:rPr>
              <w:t>v.</w:t>
            </w:r>
          </w:p>
          <w:p w:rsidR="00F514FB" w:rsidRPr="00A9787D" w:rsidRDefault="00F514FB" w:rsidP="00A6670C">
            <w:pPr>
              <w:widowControl/>
              <w:ind w:firstLine="1440"/>
              <w:rPr>
                <w:sz w:val="26"/>
                <w:szCs w:val="26"/>
              </w:rPr>
            </w:pPr>
          </w:p>
        </w:tc>
        <w:tc>
          <w:tcPr>
            <w:tcW w:w="4677" w:type="dxa"/>
          </w:tcPr>
          <w:p w:rsidR="00F514FB" w:rsidRPr="00A9787D" w:rsidRDefault="00F514FB" w:rsidP="00A6670C">
            <w:pPr>
              <w:widowControl/>
              <w:rPr>
                <w:sz w:val="26"/>
                <w:szCs w:val="26"/>
              </w:rPr>
            </w:pPr>
          </w:p>
        </w:tc>
      </w:tr>
      <w:tr w:rsidR="00F514FB" w:rsidRPr="00A9787D" w:rsidTr="0092292D">
        <w:trPr>
          <w:trHeight w:val="297"/>
        </w:trPr>
        <w:tc>
          <w:tcPr>
            <w:tcW w:w="5268" w:type="dxa"/>
          </w:tcPr>
          <w:p w:rsidR="00F514FB" w:rsidRPr="00A9787D" w:rsidRDefault="000B1D37" w:rsidP="00A6670C">
            <w:pPr>
              <w:widowControl/>
              <w:rPr>
                <w:sz w:val="26"/>
                <w:szCs w:val="26"/>
              </w:rPr>
            </w:pPr>
            <w:r>
              <w:rPr>
                <w:sz w:val="26"/>
                <w:szCs w:val="26"/>
              </w:rPr>
              <w:t>Philadelphia Gas Works</w:t>
            </w:r>
          </w:p>
        </w:tc>
        <w:tc>
          <w:tcPr>
            <w:tcW w:w="4677" w:type="dxa"/>
          </w:tcPr>
          <w:p w:rsidR="00F514FB" w:rsidRPr="00A9787D" w:rsidRDefault="00F514FB" w:rsidP="00A6670C">
            <w:pPr>
              <w:widowControl/>
              <w:rPr>
                <w:sz w:val="26"/>
                <w:szCs w:val="26"/>
              </w:rPr>
            </w:pPr>
          </w:p>
        </w:tc>
      </w:tr>
    </w:tbl>
    <w:p w:rsidR="00F514FB" w:rsidRDefault="00F514FB" w:rsidP="00A6670C">
      <w:pPr>
        <w:widowControl/>
        <w:rPr>
          <w:sz w:val="26"/>
          <w:szCs w:val="26"/>
        </w:rPr>
      </w:pPr>
    </w:p>
    <w:p w:rsidR="006D6995" w:rsidRDefault="006D6995" w:rsidP="00A6670C">
      <w:pPr>
        <w:widowControl/>
        <w:rPr>
          <w:sz w:val="26"/>
          <w:szCs w:val="26"/>
        </w:rPr>
      </w:pPr>
    </w:p>
    <w:p w:rsidR="006D6995" w:rsidRPr="00A9787D" w:rsidRDefault="006D6995" w:rsidP="00A6670C">
      <w:pPr>
        <w:widowControl/>
        <w:rPr>
          <w:sz w:val="26"/>
          <w:szCs w:val="26"/>
        </w:rPr>
      </w:pPr>
    </w:p>
    <w:p w:rsidR="00F514FB" w:rsidRPr="00A9787D" w:rsidRDefault="00F514FB" w:rsidP="00A6670C">
      <w:pPr>
        <w:widowControl/>
        <w:jc w:val="center"/>
        <w:rPr>
          <w:b/>
          <w:sz w:val="26"/>
          <w:szCs w:val="26"/>
        </w:rPr>
      </w:pPr>
      <w:r w:rsidRPr="00A9787D">
        <w:rPr>
          <w:b/>
          <w:sz w:val="26"/>
          <w:szCs w:val="26"/>
        </w:rPr>
        <w:t>OPINION AND ORDER</w:t>
      </w:r>
    </w:p>
    <w:p w:rsidR="00F514FB" w:rsidRDefault="00F514FB" w:rsidP="00A6670C">
      <w:pPr>
        <w:widowControl/>
        <w:jc w:val="center"/>
        <w:rPr>
          <w:b/>
          <w:sz w:val="26"/>
          <w:szCs w:val="26"/>
        </w:rPr>
      </w:pPr>
    </w:p>
    <w:p w:rsidR="006D6995" w:rsidRDefault="006D6995" w:rsidP="00A6670C">
      <w:pPr>
        <w:widowControl/>
        <w:jc w:val="center"/>
        <w:rPr>
          <w:b/>
          <w:sz w:val="26"/>
          <w:szCs w:val="26"/>
        </w:rPr>
      </w:pPr>
    </w:p>
    <w:p w:rsidR="006D6995" w:rsidRPr="00A9787D" w:rsidRDefault="006D6995" w:rsidP="00A6670C">
      <w:pPr>
        <w:widowControl/>
        <w:jc w:val="center"/>
        <w:rPr>
          <w:b/>
          <w:sz w:val="26"/>
          <w:szCs w:val="26"/>
        </w:rPr>
      </w:pPr>
    </w:p>
    <w:p w:rsidR="00F514FB" w:rsidRPr="00A9787D" w:rsidRDefault="00F514FB" w:rsidP="00A6670C">
      <w:pPr>
        <w:widowControl/>
        <w:rPr>
          <w:b/>
          <w:sz w:val="26"/>
          <w:szCs w:val="26"/>
        </w:rPr>
      </w:pPr>
      <w:r w:rsidRPr="00A9787D">
        <w:rPr>
          <w:b/>
          <w:sz w:val="26"/>
          <w:szCs w:val="26"/>
        </w:rPr>
        <w:t>BY THE COMMISSION:</w:t>
      </w:r>
    </w:p>
    <w:p w:rsidR="00F514FB" w:rsidRPr="00A9787D" w:rsidRDefault="00F514FB" w:rsidP="00A6670C">
      <w:pPr>
        <w:widowControl/>
        <w:rPr>
          <w:sz w:val="26"/>
          <w:szCs w:val="26"/>
        </w:rPr>
      </w:pPr>
    </w:p>
    <w:p w:rsidR="00F514FB" w:rsidRPr="00A9787D" w:rsidRDefault="00F514FB" w:rsidP="00A6670C">
      <w:pPr>
        <w:widowControl/>
        <w:rPr>
          <w:sz w:val="26"/>
          <w:szCs w:val="26"/>
        </w:rPr>
      </w:pPr>
    </w:p>
    <w:p w:rsidR="00CA43A5" w:rsidRPr="00A9787D" w:rsidRDefault="00CA43A5" w:rsidP="00A6670C">
      <w:pPr>
        <w:widowControl/>
        <w:spacing w:line="360" w:lineRule="auto"/>
        <w:ind w:firstLine="1440"/>
        <w:rPr>
          <w:sz w:val="26"/>
          <w:szCs w:val="26"/>
        </w:rPr>
      </w:pPr>
      <w:r w:rsidRPr="00A9787D">
        <w:rPr>
          <w:sz w:val="26"/>
          <w:szCs w:val="26"/>
        </w:rPr>
        <w:t>Before the Pennsylvania Public Utility Commission (</w:t>
      </w:r>
      <w:r w:rsidR="00211169">
        <w:rPr>
          <w:sz w:val="26"/>
          <w:szCs w:val="26"/>
        </w:rPr>
        <w:t xml:space="preserve">the </w:t>
      </w:r>
      <w:r w:rsidRPr="00A9787D">
        <w:rPr>
          <w:sz w:val="26"/>
          <w:szCs w:val="26"/>
        </w:rPr>
        <w:t xml:space="preserve">Commission) for consideration and disposition </w:t>
      </w:r>
      <w:r w:rsidR="00671E4C" w:rsidRPr="00A9787D">
        <w:rPr>
          <w:sz w:val="26"/>
          <w:szCs w:val="26"/>
        </w:rPr>
        <w:t xml:space="preserve">are the Exceptions </w:t>
      </w:r>
      <w:r w:rsidR="00A16587" w:rsidRPr="00A9787D">
        <w:rPr>
          <w:sz w:val="26"/>
          <w:szCs w:val="26"/>
        </w:rPr>
        <w:t xml:space="preserve">of </w:t>
      </w:r>
      <w:r w:rsidR="008B6D30">
        <w:rPr>
          <w:sz w:val="26"/>
          <w:szCs w:val="26"/>
        </w:rPr>
        <w:t>Loretta Ferguson</w:t>
      </w:r>
      <w:r w:rsidR="00FF5CDE">
        <w:rPr>
          <w:sz w:val="26"/>
          <w:szCs w:val="26"/>
        </w:rPr>
        <w:t xml:space="preserve"> </w:t>
      </w:r>
      <w:r w:rsidR="00671E4C" w:rsidRPr="00A9787D">
        <w:rPr>
          <w:sz w:val="26"/>
          <w:szCs w:val="26"/>
        </w:rPr>
        <w:t>(</w:t>
      </w:r>
      <w:r w:rsidR="00211169">
        <w:rPr>
          <w:sz w:val="26"/>
          <w:szCs w:val="26"/>
        </w:rPr>
        <w:t xml:space="preserve">the </w:t>
      </w:r>
      <w:r w:rsidR="00EF4058" w:rsidRPr="00A9787D">
        <w:rPr>
          <w:sz w:val="26"/>
          <w:szCs w:val="26"/>
        </w:rPr>
        <w:t>C</w:t>
      </w:r>
      <w:r w:rsidR="00346C47" w:rsidRPr="00A9787D">
        <w:rPr>
          <w:sz w:val="26"/>
          <w:szCs w:val="26"/>
        </w:rPr>
        <w:t>omplainant</w:t>
      </w:r>
      <w:r w:rsidR="00FF5CDE">
        <w:rPr>
          <w:sz w:val="26"/>
          <w:szCs w:val="26"/>
        </w:rPr>
        <w:t xml:space="preserve"> </w:t>
      </w:r>
      <w:r w:rsidR="00977584">
        <w:rPr>
          <w:sz w:val="26"/>
          <w:szCs w:val="26"/>
        </w:rPr>
        <w:t>or Ms.</w:t>
      </w:r>
      <w:r w:rsidR="004770EB">
        <w:rPr>
          <w:sz w:val="26"/>
          <w:szCs w:val="26"/>
        </w:rPr>
        <w:t> </w:t>
      </w:r>
      <w:r w:rsidR="008B6D30">
        <w:rPr>
          <w:sz w:val="26"/>
          <w:szCs w:val="26"/>
        </w:rPr>
        <w:t>Ferguson</w:t>
      </w:r>
      <w:r w:rsidR="00977584">
        <w:rPr>
          <w:sz w:val="26"/>
          <w:szCs w:val="26"/>
        </w:rPr>
        <w:t xml:space="preserve">) filed on </w:t>
      </w:r>
      <w:r w:rsidR="008B6D30">
        <w:rPr>
          <w:sz w:val="26"/>
          <w:szCs w:val="26"/>
        </w:rPr>
        <w:t xml:space="preserve">October </w:t>
      </w:r>
      <w:r w:rsidR="007277B6">
        <w:rPr>
          <w:sz w:val="26"/>
          <w:szCs w:val="26"/>
        </w:rPr>
        <w:t>12</w:t>
      </w:r>
      <w:r w:rsidR="004064EA" w:rsidRPr="00A9787D">
        <w:rPr>
          <w:sz w:val="26"/>
          <w:szCs w:val="26"/>
        </w:rPr>
        <w:t>,</w:t>
      </w:r>
      <w:r w:rsidR="00FF5CDE">
        <w:rPr>
          <w:sz w:val="26"/>
          <w:szCs w:val="26"/>
        </w:rPr>
        <w:t xml:space="preserve"> 201</w:t>
      </w:r>
      <w:r w:rsidR="008B6D30">
        <w:rPr>
          <w:sz w:val="26"/>
          <w:szCs w:val="26"/>
        </w:rPr>
        <w:t>7</w:t>
      </w:r>
      <w:r w:rsidR="007E2AAF" w:rsidRPr="00A9787D">
        <w:rPr>
          <w:sz w:val="26"/>
          <w:szCs w:val="26"/>
        </w:rPr>
        <w:t>,</w:t>
      </w:r>
      <w:r w:rsidR="00671E4C" w:rsidRPr="00A9787D">
        <w:rPr>
          <w:sz w:val="26"/>
          <w:szCs w:val="26"/>
        </w:rPr>
        <w:t xml:space="preserve"> to the Initial Decision (I.D.) of Administrative </w:t>
      </w:r>
      <w:r w:rsidR="00E609DF" w:rsidRPr="00A9787D">
        <w:rPr>
          <w:sz w:val="26"/>
          <w:szCs w:val="26"/>
        </w:rPr>
        <w:t xml:space="preserve">Law Judge </w:t>
      </w:r>
      <w:r w:rsidR="00FF5CDE">
        <w:rPr>
          <w:sz w:val="26"/>
          <w:szCs w:val="26"/>
        </w:rPr>
        <w:t xml:space="preserve">(ALJ) </w:t>
      </w:r>
      <w:r w:rsidR="008B6D30">
        <w:rPr>
          <w:sz w:val="26"/>
          <w:szCs w:val="26"/>
        </w:rPr>
        <w:t>Darlene D. Heep</w:t>
      </w:r>
      <w:r w:rsidR="00DB71D6" w:rsidRPr="00A9787D">
        <w:rPr>
          <w:sz w:val="26"/>
          <w:szCs w:val="26"/>
        </w:rPr>
        <w:t xml:space="preserve"> </w:t>
      </w:r>
      <w:r w:rsidR="009A0ABC" w:rsidRPr="00A9787D">
        <w:rPr>
          <w:sz w:val="26"/>
          <w:szCs w:val="26"/>
        </w:rPr>
        <w:t>issued</w:t>
      </w:r>
      <w:r w:rsidR="00FF5CDE">
        <w:rPr>
          <w:sz w:val="26"/>
          <w:szCs w:val="26"/>
        </w:rPr>
        <w:t xml:space="preserve"> on </w:t>
      </w:r>
      <w:r w:rsidR="00977584">
        <w:rPr>
          <w:sz w:val="26"/>
          <w:szCs w:val="26"/>
        </w:rPr>
        <w:t xml:space="preserve">October </w:t>
      </w:r>
      <w:r w:rsidR="008B6D30">
        <w:rPr>
          <w:sz w:val="26"/>
          <w:szCs w:val="26"/>
        </w:rPr>
        <w:t>2</w:t>
      </w:r>
      <w:r w:rsidR="00FF5CDE">
        <w:rPr>
          <w:sz w:val="26"/>
          <w:szCs w:val="26"/>
        </w:rPr>
        <w:t>, 201</w:t>
      </w:r>
      <w:r w:rsidR="008B6D30">
        <w:rPr>
          <w:sz w:val="26"/>
          <w:szCs w:val="26"/>
        </w:rPr>
        <w:t>7</w:t>
      </w:r>
      <w:r w:rsidR="00671E4C" w:rsidRPr="00A9787D">
        <w:rPr>
          <w:sz w:val="26"/>
          <w:szCs w:val="26"/>
        </w:rPr>
        <w:t>, in</w:t>
      </w:r>
      <w:r w:rsidR="0035728C" w:rsidRPr="00A9787D">
        <w:rPr>
          <w:sz w:val="26"/>
          <w:szCs w:val="26"/>
        </w:rPr>
        <w:t xml:space="preserve"> the above-captioned </w:t>
      </w:r>
      <w:r w:rsidR="000318E7" w:rsidRPr="00A9787D">
        <w:rPr>
          <w:sz w:val="26"/>
          <w:szCs w:val="26"/>
        </w:rPr>
        <w:lastRenderedPageBreak/>
        <w:t>P</w:t>
      </w:r>
      <w:r w:rsidR="0035728C" w:rsidRPr="00A9787D">
        <w:rPr>
          <w:sz w:val="26"/>
          <w:szCs w:val="26"/>
        </w:rPr>
        <w:t>roceeding</w:t>
      </w:r>
      <w:r w:rsidR="000318E7">
        <w:rPr>
          <w:sz w:val="26"/>
          <w:szCs w:val="26"/>
        </w:rPr>
        <w:t>.</w:t>
      </w:r>
      <w:r w:rsidR="008D3E66">
        <w:rPr>
          <w:rStyle w:val="FootnoteReference"/>
          <w:sz w:val="26"/>
          <w:szCs w:val="26"/>
        </w:rPr>
        <w:footnoteReference w:id="2"/>
      </w:r>
      <w:r w:rsidR="000318E7">
        <w:rPr>
          <w:sz w:val="26"/>
          <w:szCs w:val="26"/>
        </w:rPr>
        <w:t xml:space="preserve">  </w:t>
      </w:r>
      <w:r w:rsidR="00671E4C" w:rsidRPr="00A9787D">
        <w:rPr>
          <w:sz w:val="26"/>
          <w:szCs w:val="26"/>
        </w:rPr>
        <w:t xml:space="preserve">Replies to Exceptions </w:t>
      </w:r>
      <w:r w:rsidR="00A61C8F" w:rsidRPr="00A9787D">
        <w:rPr>
          <w:sz w:val="26"/>
          <w:szCs w:val="26"/>
        </w:rPr>
        <w:t>w</w:t>
      </w:r>
      <w:r w:rsidR="00D43DC1" w:rsidRPr="00A9787D">
        <w:rPr>
          <w:sz w:val="26"/>
          <w:szCs w:val="26"/>
        </w:rPr>
        <w:t xml:space="preserve">ere filed by </w:t>
      </w:r>
      <w:r w:rsidR="0050074B">
        <w:rPr>
          <w:sz w:val="26"/>
          <w:szCs w:val="26"/>
        </w:rPr>
        <w:t>Philadelphia Gas Works</w:t>
      </w:r>
      <w:r w:rsidR="00BB19A9" w:rsidRPr="00A9787D">
        <w:rPr>
          <w:sz w:val="26"/>
          <w:szCs w:val="26"/>
        </w:rPr>
        <w:t xml:space="preserve"> (</w:t>
      </w:r>
      <w:r w:rsidR="00977584">
        <w:rPr>
          <w:sz w:val="26"/>
          <w:szCs w:val="26"/>
        </w:rPr>
        <w:t>P</w:t>
      </w:r>
      <w:r w:rsidR="0050074B">
        <w:rPr>
          <w:sz w:val="26"/>
          <w:szCs w:val="26"/>
        </w:rPr>
        <w:t>GW</w:t>
      </w:r>
      <w:r w:rsidR="007E2AAF" w:rsidRPr="00A9787D">
        <w:rPr>
          <w:sz w:val="26"/>
          <w:szCs w:val="26"/>
        </w:rPr>
        <w:t xml:space="preserve"> or the Company</w:t>
      </w:r>
      <w:r w:rsidR="00977584">
        <w:rPr>
          <w:sz w:val="26"/>
          <w:szCs w:val="26"/>
        </w:rPr>
        <w:t xml:space="preserve">) on November </w:t>
      </w:r>
      <w:r w:rsidR="0050074B">
        <w:rPr>
          <w:sz w:val="26"/>
          <w:szCs w:val="26"/>
        </w:rPr>
        <w:t>2</w:t>
      </w:r>
      <w:r w:rsidR="004B68E4">
        <w:rPr>
          <w:sz w:val="26"/>
          <w:szCs w:val="26"/>
        </w:rPr>
        <w:t>, 201</w:t>
      </w:r>
      <w:r w:rsidR="0050074B">
        <w:rPr>
          <w:sz w:val="26"/>
          <w:szCs w:val="26"/>
        </w:rPr>
        <w:t>7</w:t>
      </w:r>
      <w:r w:rsidR="00671E4C" w:rsidRPr="00A9787D">
        <w:rPr>
          <w:sz w:val="26"/>
          <w:szCs w:val="26"/>
        </w:rPr>
        <w:t>.</w:t>
      </w:r>
      <w:r w:rsidR="0050074B">
        <w:rPr>
          <w:sz w:val="26"/>
          <w:szCs w:val="26"/>
        </w:rPr>
        <w:t xml:space="preserve"> </w:t>
      </w:r>
      <w:r w:rsidR="00671E4C" w:rsidRPr="00A9787D">
        <w:rPr>
          <w:sz w:val="26"/>
          <w:szCs w:val="26"/>
        </w:rPr>
        <w:t xml:space="preserve"> </w:t>
      </w:r>
      <w:r w:rsidR="007277B6">
        <w:rPr>
          <w:sz w:val="26"/>
          <w:szCs w:val="26"/>
        </w:rPr>
        <w:t>A Letter in r</w:t>
      </w:r>
      <w:r w:rsidR="0050074B">
        <w:rPr>
          <w:sz w:val="26"/>
          <w:szCs w:val="26"/>
        </w:rPr>
        <w:t>esponse to PGW</w:t>
      </w:r>
      <w:r w:rsidR="00694B7B">
        <w:rPr>
          <w:sz w:val="26"/>
          <w:szCs w:val="26"/>
        </w:rPr>
        <w:t>’</w:t>
      </w:r>
      <w:r w:rsidR="0050074B">
        <w:rPr>
          <w:sz w:val="26"/>
          <w:szCs w:val="26"/>
        </w:rPr>
        <w:t>s Repl</w:t>
      </w:r>
      <w:r w:rsidR="00C76D7F">
        <w:rPr>
          <w:sz w:val="26"/>
          <w:szCs w:val="26"/>
        </w:rPr>
        <w:t>y</w:t>
      </w:r>
      <w:r w:rsidR="0050074B">
        <w:rPr>
          <w:sz w:val="26"/>
          <w:szCs w:val="26"/>
        </w:rPr>
        <w:t xml:space="preserve"> Exceptions </w:t>
      </w:r>
      <w:r w:rsidR="007277B6">
        <w:rPr>
          <w:sz w:val="26"/>
          <w:szCs w:val="26"/>
        </w:rPr>
        <w:t>was</w:t>
      </w:r>
      <w:r w:rsidR="0050074B">
        <w:rPr>
          <w:sz w:val="26"/>
          <w:szCs w:val="26"/>
        </w:rPr>
        <w:t xml:space="preserve"> filed by the Complainant on November 13, 2017.</w:t>
      </w:r>
      <w:r w:rsidR="00FA720B">
        <w:rPr>
          <w:sz w:val="26"/>
          <w:szCs w:val="26"/>
        </w:rPr>
        <w:t xml:space="preserve">  </w:t>
      </w:r>
      <w:r w:rsidRPr="00A9787D">
        <w:rPr>
          <w:sz w:val="26"/>
          <w:szCs w:val="26"/>
        </w:rPr>
        <w:t>For the reason</w:t>
      </w:r>
      <w:r w:rsidR="0006356A" w:rsidRPr="00A9787D">
        <w:rPr>
          <w:sz w:val="26"/>
          <w:szCs w:val="26"/>
        </w:rPr>
        <w:t xml:space="preserve">s stated below, we </w:t>
      </w:r>
      <w:r w:rsidR="000E0295" w:rsidRPr="00A9787D">
        <w:rPr>
          <w:sz w:val="26"/>
          <w:szCs w:val="26"/>
        </w:rPr>
        <w:t>sha</w:t>
      </w:r>
      <w:r w:rsidR="0006356A" w:rsidRPr="00A9787D">
        <w:rPr>
          <w:sz w:val="26"/>
          <w:szCs w:val="26"/>
        </w:rPr>
        <w:t xml:space="preserve">ll </w:t>
      </w:r>
      <w:r w:rsidR="0050074B">
        <w:rPr>
          <w:sz w:val="26"/>
          <w:szCs w:val="26"/>
        </w:rPr>
        <w:t xml:space="preserve">deny </w:t>
      </w:r>
      <w:r w:rsidR="0006356A" w:rsidRPr="00A9787D">
        <w:rPr>
          <w:sz w:val="26"/>
          <w:szCs w:val="26"/>
        </w:rPr>
        <w:t>t</w:t>
      </w:r>
      <w:r w:rsidR="00DA6C17" w:rsidRPr="00A9787D">
        <w:rPr>
          <w:sz w:val="26"/>
          <w:szCs w:val="26"/>
        </w:rPr>
        <w:t>he Complainant</w:t>
      </w:r>
      <w:r w:rsidR="00694B7B">
        <w:rPr>
          <w:sz w:val="26"/>
          <w:szCs w:val="26"/>
        </w:rPr>
        <w:t>’</w:t>
      </w:r>
      <w:r w:rsidR="00DA6C17" w:rsidRPr="00A9787D">
        <w:rPr>
          <w:sz w:val="26"/>
          <w:szCs w:val="26"/>
        </w:rPr>
        <w:t>s Exception</w:t>
      </w:r>
      <w:r w:rsidR="0050074B">
        <w:rPr>
          <w:sz w:val="26"/>
          <w:szCs w:val="26"/>
        </w:rPr>
        <w:t>s</w:t>
      </w:r>
      <w:r w:rsidR="00DA6C17" w:rsidRPr="00A9787D">
        <w:rPr>
          <w:sz w:val="26"/>
          <w:szCs w:val="26"/>
        </w:rPr>
        <w:t xml:space="preserve"> and </w:t>
      </w:r>
      <w:r w:rsidR="007277B6">
        <w:rPr>
          <w:sz w:val="26"/>
          <w:szCs w:val="26"/>
        </w:rPr>
        <w:t xml:space="preserve">modify </w:t>
      </w:r>
      <w:r w:rsidR="0006356A" w:rsidRPr="00A9787D">
        <w:rPr>
          <w:sz w:val="26"/>
          <w:szCs w:val="26"/>
        </w:rPr>
        <w:t>the ALJ</w:t>
      </w:r>
      <w:r w:rsidR="00694B7B">
        <w:rPr>
          <w:sz w:val="26"/>
          <w:szCs w:val="26"/>
        </w:rPr>
        <w:t>’</w:t>
      </w:r>
      <w:r w:rsidR="0006356A" w:rsidRPr="00A9787D">
        <w:rPr>
          <w:sz w:val="26"/>
          <w:szCs w:val="26"/>
        </w:rPr>
        <w:t>s Initial Decision</w:t>
      </w:r>
      <w:r w:rsidR="000A6282" w:rsidRPr="00A9787D">
        <w:rPr>
          <w:sz w:val="26"/>
          <w:szCs w:val="26"/>
        </w:rPr>
        <w:t xml:space="preserve">, </w:t>
      </w:r>
      <w:r w:rsidR="00916C5D">
        <w:rPr>
          <w:sz w:val="26"/>
          <w:szCs w:val="26"/>
        </w:rPr>
        <w:t>consistent with this Opinion and Order</w:t>
      </w:r>
      <w:r w:rsidR="00C2222C">
        <w:rPr>
          <w:sz w:val="26"/>
          <w:szCs w:val="26"/>
        </w:rPr>
        <w:t>.</w:t>
      </w:r>
    </w:p>
    <w:p w:rsidR="00CA43A5" w:rsidRPr="00A9787D" w:rsidRDefault="00CA43A5" w:rsidP="00A6670C">
      <w:pPr>
        <w:widowControl/>
        <w:spacing w:line="360" w:lineRule="auto"/>
        <w:rPr>
          <w:sz w:val="26"/>
          <w:szCs w:val="26"/>
        </w:rPr>
      </w:pPr>
    </w:p>
    <w:p w:rsidR="000C31E4" w:rsidRPr="00CF63A2" w:rsidRDefault="004064EA" w:rsidP="00A6670C">
      <w:pPr>
        <w:pStyle w:val="ListParagraph"/>
        <w:keepNext/>
        <w:widowControl/>
        <w:numPr>
          <w:ilvl w:val="0"/>
          <w:numId w:val="9"/>
        </w:numPr>
        <w:spacing w:line="360" w:lineRule="auto"/>
        <w:jc w:val="center"/>
        <w:rPr>
          <w:b/>
          <w:sz w:val="26"/>
          <w:szCs w:val="26"/>
        </w:rPr>
      </w:pPr>
      <w:bookmarkStart w:id="0" w:name="OLE_LINK1"/>
      <w:bookmarkStart w:id="1" w:name="OLE_LINK2"/>
      <w:r w:rsidRPr="00CF63A2">
        <w:rPr>
          <w:b/>
          <w:sz w:val="26"/>
          <w:szCs w:val="26"/>
        </w:rPr>
        <w:t>History of the Proceeding</w:t>
      </w:r>
    </w:p>
    <w:p w:rsidR="000C31E4" w:rsidRPr="00A9787D" w:rsidRDefault="000C31E4" w:rsidP="00A6670C">
      <w:pPr>
        <w:keepNext/>
        <w:widowControl/>
        <w:spacing w:line="360" w:lineRule="auto"/>
        <w:rPr>
          <w:sz w:val="26"/>
          <w:szCs w:val="26"/>
        </w:rPr>
      </w:pPr>
    </w:p>
    <w:p w:rsidR="00DE0758" w:rsidRPr="00A9787D" w:rsidRDefault="00585FDF" w:rsidP="00A6670C">
      <w:pPr>
        <w:pStyle w:val="ParaTab1"/>
        <w:tabs>
          <w:tab w:val="num" w:pos="0"/>
          <w:tab w:val="left" w:pos="2070"/>
        </w:tabs>
        <w:suppressAutoHyphens w:val="0"/>
        <w:spacing w:line="360" w:lineRule="auto"/>
        <w:rPr>
          <w:sz w:val="26"/>
          <w:szCs w:val="26"/>
        </w:rPr>
      </w:pPr>
      <w:r w:rsidRPr="00B5256C">
        <w:rPr>
          <w:sz w:val="26"/>
          <w:szCs w:val="26"/>
        </w:rPr>
        <w:t>On</w:t>
      </w:r>
      <w:r w:rsidR="00FA720B">
        <w:rPr>
          <w:sz w:val="26"/>
          <w:szCs w:val="26"/>
        </w:rPr>
        <w:t xml:space="preserve"> February 21</w:t>
      </w:r>
      <w:r w:rsidR="006033E9" w:rsidRPr="00B5256C">
        <w:rPr>
          <w:sz w:val="26"/>
          <w:szCs w:val="26"/>
        </w:rPr>
        <w:t>, 201</w:t>
      </w:r>
      <w:r w:rsidR="001E3A79">
        <w:rPr>
          <w:sz w:val="26"/>
          <w:szCs w:val="26"/>
        </w:rPr>
        <w:t>7</w:t>
      </w:r>
      <w:r w:rsidR="004765F6" w:rsidRPr="00B5256C">
        <w:rPr>
          <w:sz w:val="26"/>
          <w:szCs w:val="26"/>
        </w:rPr>
        <w:t>, the Complainant filed a Formal C</w:t>
      </w:r>
      <w:r w:rsidR="00EF59CA" w:rsidRPr="00B5256C">
        <w:rPr>
          <w:sz w:val="26"/>
          <w:szCs w:val="26"/>
        </w:rPr>
        <w:t>omplaint (Compl</w:t>
      </w:r>
      <w:r w:rsidR="001B6DA6">
        <w:rPr>
          <w:sz w:val="26"/>
          <w:szCs w:val="26"/>
        </w:rPr>
        <w:t xml:space="preserve">aint) </w:t>
      </w:r>
      <w:r w:rsidR="00D04ACF">
        <w:rPr>
          <w:sz w:val="26"/>
          <w:szCs w:val="26"/>
        </w:rPr>
        <w:t xml:space="preserve">against </w:t>
      </w:r>
      <w:r w:rsidR="00FA720B">
        <w:rPr>
          <w:sz w:val="26"/>
          <w:szCs w:val="26"/>
        </w:rPr>
        <w:t>PGW</w:t>
      </w:r>
      <w:r w:rsidR="00D04ACF">
        <w:rPr>
          <w:sz w:val="26"/>
          <w:szCs w:val="26"/>
        </w:rPr>
        <w:t xml:space="preserve"> </w:t>
      </w:r>
      <w:r w:rsidR="001B6DA6">
        <w:rPr>
          <w:sz w:val="26"/>
          <w:szCs w:val="26"/>
        </w:rPr>
        <w:t xml:space="preserve">alleging </w:t>
      </w:r>
      <w:r w:rsidR="001B6DA6">
        <w:rPr>
          <w:rFonts w:ascii="Times New Roman" w:hAnsi="Times New Roman" w:cs="Times New Roman"/>
          <w:sz w:val="26"/>
          <w:szCs w:val="26"/>
        </w:rPr>
        <w:t>incorrect charges</w:t>
      </w:r>
      <w:r w:rsidR="00FA720B">
        <w:rPr>
          <w:rFonts w:ascii="Times New Roman" w:hAnsi="Times New Roman" w:cs="Times New Roman"/>
          <w:sz w:val="26"/>
          <w:szCs w:val="26"/>
        </w:rPr>
        <w:t xml:space="preserve"> on her bill.</w:t>
      </w:r>
      <w:r w:rsidR="00EC1CB7">
        <w:rPr>
          <w:rFonts w:ascii="Times New Roman" w:hAnsi="Times New Roman" w:cs="Times New Roman"/>
          <w:sz w:val="26"/>
          <w:szCs w:val="26"/>
        </w:rPr>
        <w:t xml:space="preserve">  </w:t>
      </w:r>
      <w:r w:rsidR="00211169">
        <w:rPr>
          <w:sz w:val="26"/>
          <w:szCs w:val="26"/>
        </w:rPr>
        <w:t>The Complaint wa</w:t>
      </w:r>
      <w:r w:rsidR="00C2222C" w:rsidRPr="00AF389D">
        <w:rPr>
          <w:sz w:val="26"/>
          <w:szCs w:val="26"/>
        </w:rPr>
        <w:t>s a</w:t>
      </w:r>
      <w:r w:rsidR="001E3A79">
        <w:rPr>
          <w:sz w:val="26"/>
          <w:szCs w:val="26"/>
        </w:rPr>
        <w:t xml:space="preserve">n </w:t>
      </w:r>
      <w:r w:rsidR="00C2222C" w:rsidRPr="00AF389D">
        <w:rPr>
          <w:sz w:val="26"/>
          <w:szCs w:val="26"/>
        </w:rPr>
        <w:t xml:space="preserve">appeal of a Bureau of Consumer Services (BCS) informal </w:t>
      </w:r>
      <w:r w:rsidR="00536C67">
        <w:rPr>
          <w:sz w:val="26"/>
          <w:szCs w:val="26"/>
        </w:rPr>
        <w:t xml:space="preserve">complaint </w:t>
      </w:r>
      <w:r w:rsidR="00C2222C" w:rsidRPr="00AF389D">
        <w:rPr>
          <w:sz w:val="26"/>
          <w:szCs w:val="26"/>
        </w:rPr>
        <w:t>decision at BCS Case No. 3</w:t>
      </w:r>
      <w:r w:rsidR="001E3A79">
        <w:rPr>
          <w:sz w:val="26"/>
          <w:szCs w:val="26"/>
        </w:rPr>
        <w:t>41199</w:t>
      </w:r>
      <w:r w:rsidR="00C2222C">
        <w:rPr>
          <w:sz w:val="26"/>
          <w:szCs w:val="26"/>
        </w:rPr>
        <w:t xml:space="preserve">.  </w:t>
      </w:r>
      <w:r w:rsidR="00B5256C" w:rsidRPr="001B6DA6">
        <w:rPr>
          <w:spacing w:val="-3"/>
          <w:sz w:val="26"/>
          <w:szCs w:val="26"/>
        </w:rPr>
        <w:t>In</w:t>
      </w:r>
      <w:r w:rsidR="00B5256C" w:rsidRPr="00B5256C">
        <w:rPr>
          <w:spacing w:val="-3"/>
          <w:sz w:val="26"/>
          <w:szCs w:val="26"/>
        </w:rPr>
        <w:t xml:space="preserve"> the Complaint, </w:t>
      </w:r>
      <w:r w:rsidR="002C645E" w:rsidRPr="002C645E">
        <w:rPr>
          <w:spacing w:val="-3"/>
          <w:sz w:val="26"/>
          <w:szCs w:val="26"/>
        </w:rPr>
        <w:t>Ms. Ferguson a</w:t>
      </w:r>
      <w:r w:rsidR="00211169">
        <w:rPr>
          <w:spacing w:val="-3"/>
          <w:sz w:val="26"/>
          <w:szCs w:val="26"/>
        </w:rPr>
        <w:t>dmitted</w:t>
      </w:r>
      <w:r w:rsidR="002C645E" w:rsidRPr="002C645E">
        <w:rPr>
          <w:spacing w:val="-3"/>
          <w:sz w:val="26"/>
          <w:szCs w:val="26"/>
        </w:rPr>
        <w:t xml:space="preserve"> that </w:t>
      </w:r>
      <w:r w:rsidR="00211169">
        <w:rPr>
          <w:spacing w:val="-3"/>
          <w:sz w:val="26"/>
          <w:szCs w:val="26"/>
        </w:rPr>
        <w:t xml:space="preserve">she </w:t>
      </w:r>
      <w:r w:rsidR="00502360">
        <w:rPr>
          <w:spacing w:val="-3"/>
          <w:sz w:val="26"/>
          <w:szCs w:val="26"/>
        </w:rPr>
        <w:t>is the owner of</w:t>
      </w:r>
      <w:r w:rsidR="00211169">
        <w:rPr>
          <w:spacing w:val="-3"/>
          <w:sz w:val="26"/>
          <w:szCs w:val="26"/>
        </w:rPr>
        <w:t xml:space="preserve"> the property at </w:t>
      </w:r>
      <w:r w:rsidR="00211169" w:rsidRPr="004645C7">
        <w:rPr>
          <w:spacing w:val="-3"/>
          <w:sz w:val="26"/>
          <w:szCs w:val="26"/>
        </w:rPr>
        <w:t>257 S. 60th St., Philadelphia, PA (Service Address)</w:t>
      </w:r>
      <w:r w:rsidR="00211169">
        <w:rPr>
          <w:spacing w:val="-3"/>
          <w:sz w:val="26"/>
          <w:szCs w:val="26"/>
        </w:rPr>
        <w:t xml:space="preserve">.  She alleged that </w:t>
      </w:r>
      <w:r w:rsidR="002C645E" w:rsidRPr="002C645E">
        <w:rPr>
          <w:spacing w:val="-3"/>
          <w:sz w:val="26"/>
          <w:szCs w:val="26"/>
        </w:rPr>
        <w:t>PGW allowed</w:t>
      </w:r>
      <w:r w:rsidR="00EC1CB7">
        <w:rPr>
          <w:spacing w:val="-3"/>
          <w:sz w:val="26"/>
          <w:szCs w:val="26"/>
        </w:rPr>
        <w:t xml:space="preserve"> </w:t>
      </w:r>
      <w:r w:rsidR="00211169">
        <w:rPr>
          <w:spacing w:val="-3"/>
          <w:sz w:val="26"/>
          <w:szCs w:val="26"/>
        </w:rPr>
        <w:t xml:space="preserve">an individual, </w:t>
      </w:r>
      <w:r w:rsidR="002C645E" w:rsidRPr="002C645E">
        <w:rPr>
          <w:spacing w:val="-3"/>
          <w:sz w:val="26"/>
          <w:szCs w:val="26"/>
        </w:rPr>
        <w:t xml:space="preserve">Ms. </w:t>
      </w:r>
      <w:proofErr w:type="spellStart"/>
      <w:r w:rsidR="006A43BC">
        <w:rPr>
          <w:spacing w:val="-3"/>
          <w:sz w:val="26"/>
          <w:szCs w:val="26"/>
        </w:rPr>
        <w:t>Sehlina</w:t>
      </w:r>
      <w:proofErr w:type="spellEnd"/>
      <w:r w:rsidR="006A43BC">
        <w:rPr>
          <w:spacing w:val="-3"/>
          <w:sz w:val="26"/>
          <w:szCs w:val="26"/>
        </w:rPr>
        <w:t xml:space="preserve"> </w:t>
      </w:r>
      <w:proofErr w:type="spellStart"/>
      <w:r w:rsidR="002C645E" w:rsidRPr="002C645E">
        <w:rPr>
          <w:spacing w:val="-3"/>
          <w:sz w:val="26"/>
          <w:szCs w:val="26"/>
        </w:rPr>
        <w:t>Behlin</w:t>
      </w:r>
      <w:proofErr w:type="spellEnd"/>
      <w:r w:rsidR="006A43BC">
        <w:rPr>
          <w:spacing w:val="-3"/>
          <w:sz w:val="26"/>
          <w:szCs w:val="26"/>
        </w:rPr>
        <w:t xml:space="preserve"> (</w:t>
      </w:r>
      <w:r w:rsidR="00502360">
        <w:rPr>
          <w:spacing w:val="-3"/>
          <w:sz w:val="26"/>
          <w:szCs w:val="26"/>
        </w:rPr>
        <w:t xml:space="preserve">the </w:t>
      </w:r>
      <w:r w:rsidR="00211169">
        <w:rPr>
          <w:spacing w:val="-3"/>
          <w:sz w:val="26"/>
          <w:szCs w:val="26"/>
        </w:rPr>
        <w:t>Tenant</w:t>
      </w:r>
      <w:r w:rsidR="006A43BC">
        <w:rPr>
          <w:spacing w:val="-3"/>
          <w:sz w:val="26"/>
          <w:szCs w:val="26"/>
        </w:rPr>
        <w:t>)</w:t>
      </w:r>
      <w:r w:rsidR="00EC1CB7">
        <w:rPr>
          <w:spacing w:val="-3"/>
          <w:sz w:val="26"/>
          <w:szCs w:val="26"/>
        </w:rPr>
        <w:t xml:space="preserve">, </w:t>
      </w:r>
      <w:r w:rsidR="00211169">
        <w:rPr>
          <w:spacing w:val="-3"/>
          <w:sz w:val="26"/>
          <w:szCs w:val="26"/>
        </w:rPr>
        <w:t>who resided at the Service Address,</w:t>
      </w:r>
      <w:r w:rsidR="00EC1CB7">
        <w:rPr>
          <w:spacing w:val="-3"/>
          <w:sz w:val="26"/>
          <w:szCs w:val="26"/>
        </w:rPr>
        <w:t xml:space="preserve"> </w:t>
      </w:r>
      <w:r w:rsidR="00211169" w:rsidRPr="002C645E">
        <w:rPr>
          <w:spacing w:val="-3"/>
          <w:sz w:val="26"/>
          <w:szCs w:val="26"/>
        </w:rPr>
        <w:t xml:space="preserve">to take responsibility for gas service </w:t>
      </w:r>
      <w:r w:rsidR="002C645E" w:rsidRPr="002C645E">
        <w:rPr>
          <w:spacing w:val="-3"/>
          <w:sz w:val="26"/>
          <w:szCs w:val="26"/>
        </w:rPr>
        <w:t xml:space="preserve">without </w:t>
      </w:r>
      <w:r w:rsidR="00211169">
        <w:rPr>
          <w:spacing w:val="-3"/>
          <w:sz w:val="26"/>
          <w:szCs w:val="26"/>
        </w:rPr>
        <w:t>Ms. Ferguson</w:t>
      </w:r>
      <w:r w:rsidR="00694B7B">
        <w:rPr>
          <w:spacing w:val="-3"/>
          <w:sz w:val="26"/>
          <w:szCs w:val="26"/>
        </w:rPr>
        <w:t>’</w:t>
      </w:r>
      <w:r w:rsidR="00211169">
        <w:rPr>
          <w:spacing w:val="-3"/>
          <w:sz w:val="26"/>
          <w:szCs w:val="26"/>
        </w:rPr>
        <w:t xml:space="preserve">s </w:t>
      </w:r>
      <w:r w:rsidR="002C645E" w:rsidRPr="002C645E">
        <w:rPr>
          <w:spacing w:val="-3"/>
          <w:sz w:val="26"/>
          <w:szCs w:val="26"/>
        </w:rPr>
        <w:t>knowledge or permission</w:t>
      </w:r>
      <w:r w:rsidR="000F34D4">
        <w:rPr>
          <w:spacing w:val="-3"/>
          <w:sz w:val="26"/>
          <w:szCs w:val="26"/>
        </w:rPr>
        <w:t>.</w:t>
      </w:r>
      <w:r w:rsidR="00211169">
        <w:rPr>
          <w:spacing w:val="-3"/>
          <w:sz w:val="26"/>
          <w:szCs w:val="26"/>
        </w:rPr>
        <w:t xml:space="preserve">  In the Complaint, M</w:t>
      </w:r>
      <w:r w:rsidR="006D6995">
        <w:rPr>
          <w:spacing w:val="-3"/>
          <w:sz w:val="26"/>
          <w:szCs w:val="26"/>
        </w:rPr>
        <w:t>s</w:t>
      </w:r>
      <w:r w:rsidR="00211169">
        <w:rPr>
          <w:spacing w:val="-3"/>
          <w:sz w:val="26"/>
          <w:szCs w:val="26"/>
        </w:rPr>
        <w:t>. Ferguson requested to be r</w:t>
      </w:r>
      <w:r w:rsidR="002C645E" w:rsidRPr="002C645E">
        <w:rPr>
          <w:spacing w:val="-3"/>
          <w:sz w:val="26"/>
          <w:szCs w:val="26"/>
        </w:rPr>
        <w:t>elieve</w:t>
      </w:r>
      <w:r w:rsidR="00211169">
        <w:rPr>
          <w:spacing w:val="-3"/>
          <w:sz w:val="26"/>
          <w:szCs w:val="26"/>
        </w:rPr>
        <w:t>d</w:t>
      </w:r>
      <w:r w:rsidR="002C645E" w:rsidRPr="002C645E">
        <w:rPr>
          <w:spacing w:val="-3"/>
          <w:sz w:val="26"/>
          <w:szCs w:val="26"/>
        </w:rPr>
        <w:t xml:space="preserve"> of the $1,952.16 </w:t>
      </w:r>
      <w:r w:rsidR="00211169">
        <w:rPr>
          <w:spacing w:val="-3"/>
          <w:sz w:val="26"/>
          <w:szCs w:val="26"/>
        </w:rPr>
        <w:t xml:space="preserve">account arrearage, which </w:t>
      </w:r>
      <w:r w:rsidR="00895C03">
        <w:rPr>
          <w:spacing w:val="-3"/>
          <w:sz w:val="26"/>
          <w:szCs w:val="26"/>
        </w:rPr>
        <w:t xml:space="preserve">PGW </w:t>
      </w:r>
      <w:r w:rsidR="00211169">
        <w:rPr>
          <w:spacing w:val="-3"/>
          <w:sz w:val="26"/>
          <w:szCs w:val="26"/>
        </w:rPr>
        <w:t xml:space="preserve">billed in her name, and asserted that the Tenant is responsible for payment of the charges on the account.  </w:t>
      </w:r>
      <w:r w:rsidR="001B6DA6">
        <w:rPr>
          <w:sz w:val="26"/>
          <w:szCs w:val="26"/>
        </w:rPr>
        <w:t xml:space="preserve">Complaint at </w:t>
      </w:r>
      <w:r w:rsidR="002C645E">
        <w:rPr>
          <w:sz w:val="26"/>
          <w:szCs w:val="26"/>
        </w:rPr>
        <w:t>2</w:t>
      </w:r>
      <w:r w:rsidR="001B6DA6">
        <w:rPr>
          <w:sz w:val="26"/>
          <w:szCs w:val="26"/>
        </w:rPr>
        <w:t>-</w:t>
      </w:r>
      <w:r w:rsidR="002C645E">
        <w:rPr>
          <w:sz w:val="26"/>
          <w:szCs w:val="26"/>
        </w:rPr>
        <w:t>3</w:t>
      </w:r>
      <w:r w:rsidR="00705F95">
        <w:rPr>
          <w:sz w:val="26"/>
          <w:szCs w:val="26"/>
        </w:rPr>
        <w:t>;</w:t>
      </w:r>
      <w:r w:rsidR="00123510" w:rsidRPr="00A9787D">
        <w:rPr>
          <w:sz w:val="26"/>
          <w:szCs w:val="26"/>
        </w:rPr>
        <w:t xml:space="preserve"> I.D. at 1.</w:t>
      </w:r>
    </w:p>
    <w:p w:rsidR="00361DD8" w:rsidRPr="00A9787D" w:rsidRDefault="00361DD8" w:rsidP="00A6670C">
      <w:pPr>
        <w:widowControl/>
        <w:spacing w:line="360" w:lineRule="auto"/>
        <w:rPr>
          <w:sz w:val="26"/>
          <w:szCs w:val="26"/>
        </w:rPr>
      </w:pPr>
    </w:p>
    <w:p w:rsidR="003250C7" w:rsidRDefault="003250C7" w:rsidP="00A6670C">
      <w:pPr>
        <w:widowControl/>
        <w:spacing w:line="360" w:lineRule="auto"/>
        <w:ind w:firstLine="1440"/>
        <w:rPr>
          <w:sz w:val="26"/>
          <w:szCs w:val="26"/>
        </w:rPr>
      </w:pPr>
      <w:r w:rsidRPr="003250C7">
        <w:rPr>
          <w:spacing w:val="-3"/>
          <w:sz w:val="26"/>
          <w:szCs w:val="26"/>
        </w:rPr>
        <w:t xml:space="preserve">On </w:t>
      </w:r>
      <w:r w:rsidR="00E45D6B">
        <w:rPr>
          <w:spacing w:val="-3"/>
          <w:sz w:val="26"/>
          <w:szCs w:val="26"/>
        </w:rPr>
        <w:t>March 21</w:t>
      </w:r>
      <w:r w:rsidRPr="003250C7">
        <w:rPr>
          <w:spacing w:val="-3"/>
          <w:sz w:val="26"/>
          <w:szCs w:val="26"/>
        </w:rPr>
        <w:t>, 201</w:t>
      </w:r>
      <w:r w:rsidR="00E45D6B">
        <w:rPr>
          <w:spacing w:val="-3"/>
          <w:sz w:val="26"/>
          <w:szCs w:val="26"/>
        </w:rPr>
        <w:t>7</w:t>
      </w:r>
      <w:r w:rsidRPr="003250C7">
        <w:rPr>
          <w:spacing w:val="-3"/>
          <w:sz w:val="26"/>
          <w:szCs w:val="26"/>
        </w:rPr>
        <w:t xml:space="preserve">, </w:t>
      </w:r>
      <w:r w:rsidR="00E45D6B">
        <w:rPr>
          <w:spacing w:val="-3"/>
          <w:sz w:val="26"/>
          <w:szCs w:val="26"/>
        </w:rPr>
        <w:t>PGW</w:t>
      </w:r>
      <w:r w:rsidRPr="003250C7">
        <w:rPr>
          <w:spacing w:val="-3"/>
          <w:sz w:val="26"/>
          <w:szCs w:val="26"/>
        </w:rPr>
        <w:t xml:space="preserve"> filed an Answer denying all material allegations of fact </w:t>
      </w:r>
      <w:r w:rsidR="00F26E54">
        <w:rPr>
          <w:spacing w:val="-3"/>
          <w:sz w:val="26"/>
          <w:szCs w:val="26"/>
        </w:rPr>
        <w:t xml:space="preserve">in the Complaint.  </w:t>
      </w:r>
      <w:r w:rsidR="004645C7">
        <w:rPr>
          <w:spacing w:val="-3"/>
          <w:sz w:val="26"/>
          <w:szCs w:val="26"/>
        </w:rPr>
        <w:t xml:space="preserve">PGW </w:t>
      </w:r>
      <w:r w:rsidR="00F26E54">
        <w:rPr>
          <w:spacing w:val="-3"/>
          <w:sz w:val="26"/>
          <w:szCs w:val="26"/>
        </w:rPr>
        <w:t xml:space="preserve">indicated </w:t>
      </w:r>
      <w:r w:rsidRPr="003250C7">
        <w:rPr>
          <w:spacing w:val="-3"/>
          <w:sz w:val="26"/>
          <w:szCs w:val="26"/>
        </w:rPr>
        <w:t xml:space="preserve">that </w:t>
      </w:r>
      <w:r w:rsidR="00E45D6B" w:rsidRPr="00E45D6B">
        <w:rPr>
          <w:spacing w:val="-3"/>
          <w:sz w:val="26"/>
          <w:szCs w:val="26"/>
        </w:rPr>
        <w:t xml:space="preserve">the service was in </w:t>
      </w:r>
      <w:r w:rsidR="00211169">
        <w:rPr>
          <w:spacing w:val="-3"/>
          <w:sz w:val="26"/>
          <w:szCs w:val="26"/>
        </w:rPr>
        <w:t>the Tenant</w:t>
      </w:r>
      <w:r w:rsidR="00694B7B">
        <w:rPr>
          <w:spacing w:val="-3"/>
          <w:sz w:val="26"/>
          <w:szCs w:val="26"/>
        </w:rPr>
        <w:t>’</w:t>
      </w:r>
      <w:r w:rsidR="00211169">
        <w:rPr>
          <w:spacing w:val="-3"/>
          <w:sz w:val="26"/>
          <w:szCs w:val="26"/>
        </w:rPr>
        <w:t xml:space="preserve">s </w:t>
      </w:r>
      <w:r w:rsidR="006A43BC">
        <w:rPr>
          <w:spacing w:val="-3"/>
          <w:sz w:val="26"/>
          <w:szCs w:val="26"/>
        </w:rPr>
        <w:t>name</w:t>
      </w:r>
      <w:r w:rsidR="00E45D6B" w:rsidRPr="00E45D6B">
        <w:rPr>
          <w:spacing w:val="-3"/>
          <w:sz w:val="26"/>
          <w:szCs w:val="26"/>
        </w:rPr>
        <w:t xml:space="preserve"> from October 1, 2015, through August 4, 2016, when a PGW representative discovered foreign load</w:t>
      </w:r>
      <w:r w:rsidR="00AA3112">
        <w:rPr>
          <w:spacing w:val="-3"/>
          <w:sz w:val="26"/>
          <w:szCs w:val="26"/>
        </w:rPr>
        <w:t xml:space="preserve"> </w:t>
      </w:r>
      <w:r w:rsidR="00E45D6B" w:rsidRPr="00E45D6B">
        <w:rPr>
          <w:spacing w:val="-3"/>
          <w:sz w:val="26"/>
          <w:szCs w:val="26"/>
        </w:rPr>
        <w:t xml:space="preserve">at the </w:t>
      </w:r>
      <w:r w:rsidR="004645C7">
        <w:rPr>
          <w:spacing w:val="-3"/>
          <w:sz w:val="26"/>
          <w:szCs w:val="26"/>
        </w:rPr>
        <w:t>Service Address</w:t>
      </w:r>
      <w:r w:rsidR="00E45D6B" w:rsidRPr="00E45D6B">
        <w:rPr>
          <w:spacing w:val="-3"/>
          <w:sz w:val="26"/>
          <w:szCs w:val="26"/>
        </w:rPr>
        <w:t xml:space="preserve"> and transferred the account balance </w:t>
      </w:r>
      <w:r w:rsidR="006A43BC">
        <w:rPr>
          <w:spacing w:val="-3"/>
          <w:sz w:val="26"/>
          <w:szCs w:val="26"/>
        </w:rPr>
        <w:t xml:space="preserve">from </w:t>
      </w:r>
      <w:r w:rsidR="00CD7BB3">
        <w:rPr>
          <w:spacing w:val="-3"/>
          <w:sz w:val="26"/>
          <w:szCs w:val="26"/>
        </w:rPr>
        <w:t>t</w:t>
      </w:r>
      <w:r w:rsidR="00211169">
        <w:rPr>
          <w:spacing w:val="-3"/>
          <w:sz w:val="26"/>
          <w:szCs w:val="26"/>
        </w:rPr>
        <w:t>he Tenant</w:t>
      </w:r>
      <w:r w:rsidR="006A43BC">
        <w:rPr>
          <w:spacing w:val="-3"/>
          <w:sz w:val="26"/>
          <w:szCs w:val="26"/>
        </w:rPr>
        <w:t xml:space="preserve"> </w:t>
      </w:r>
      <w:r w:rsidR="00E45D6B" w:rsidRPr="00E45D6B">
        <w:rPr>
          <w:spacing w:val="-3"/>
          <w:sz w:val="26"/>
          <w:szCs w:val="26"/>
        </w:rPr>
        <w:t>to the Complainant</w:t>
      </w:r>
      <w:r w:rsidR="0066434B">
        <w:rPr>
          <w:spacing w:val="-3"/>
          <w:sz w:val="26"/>
          <w:szCs w:val="26"/>
        </w:rPr>
        <w:t>.</w:t>
      </w:r>
      <w:r w:rsidR="00AA3112">
        <w:rPr>
          <w:spacing w:val="-3"/>
          <w:sz w:val="26"/>
          <w:szCs w:val="26"/>
        </w:rPr>
        <w:t xml:space="preserve"> </w:t>
      </w:r>
      <w:r w:rsidR="0066434B">
        <w:rPr>
          <w:spacing w:val="-3"/>
          <w:sz w:val="26"/>
          <w:szCs w:val="26"/>
        </w:rPr>
        <w:t xml:space="preserve"> </w:t>
      </w:r>
      <w:r w:rsidR="00CD7BB3">
        <w:rPr>
          <w:spacing w:val="-3"/>
          <w:sz w:val="26"/>
          <w:szCs w:val="26"/>
        </w:rPr>
        <w:t>PGW asserted that</w:t>
      </w:r>
      <w:r w:rsidR="0066434B">
        <w:rPr>
          <w:spacing w:val="-3"/>
          <w:sz w:val="26"/>
          <w:szCs w:val="26"/>
        </w:rPr>
        <w:t xml:space="preserve"> the City of Philade</w:t>
      </w:r>
      <w:r w:rsidR="009906ED">
        <w:rPr>
          <w:spacing w:val="-3"/>
          <w:sz w:val="26"/>
          <w:szCs w:val="26"/>
        </w:rPr>
        <w:t>lphia</w:t>
      </w:r>
      <w:r w:rsidR="00694B7B">
        <w:rPr>
          <w:spacing w:val="-3"/>
          <w:sz w:val="26"/>
          <w:szCs w:val="26"/>
        </w:rPr>
        <w:t>’</w:t>
      </w:r>
      <w:r w:rsidR="009906ED">
        <w:rPr>
          <w:spacing w:val="-3"/>
          <w:sz w:val="26"/>
          <w:szCs w:val="26"/>
        </w:rPr>
        <w:t xml:space="preserve">s records show that the Complainant </w:t>
      </w:r>
      <w:r w:rsidR="006D6995">
        <w:rPr>
          <w:spacing w:val="-3"/>
          <w:sz w:val="26"/>
          <w:szCs w:val="26"/>
        </w:rPr>
        <w:t>has been</w:t>
      </w:r>
      <w:r w:rsidR="00E45D6B" w:rsidRPr="00E45D6B">
        <w:rPr>
          <w:spacing w:val="-3"/>
          <w:sz w:val="26"/>
          <w:szCs w:val="26"/>
        </w:rPr>
        <w:t xml:space="preserve"> the owner of the property</w:t>
      </w:r>
      <w:r w:rsidR="009906ED">
        <w:rPr>
          <w:spacing w:val="-3"/>
          <w:sz w:val="26"/>
          <w:szCs w:val="26"/>
        </w:rPr>
        <w:t xml:space="preserve"> at the Service Address</w:t>
      </w:r>
      <w:r w:rsidR="006D6995">
        <w:rPr>
          <w:spacing w:val="-3"/>
          <w:sz w:val="26"/>
          <w:szCs w:val="26"/>
        </w:rPr>
        <w:t xml:space="preserve"> since May 28, 2013.  </w:t>
      </w:r>
      <w:r>
        <w:rPr>
          <w:sz w:val="26"/>
          <w:szCs w:val="26"/>
        </w:rPr>
        <w:t>Answer at 1-</w:t>
      </w:r>
      <w:r w:rsidR="009906ED">
        <w:rPr>
          <w:sz w:val="26"/>
          <w:szCs w:val="26"/>
        </w:rPr>
        <w:t>2</w:t>
      </w:r>
      <w:r>
        <w:rPr>
          <w:sz w:val="26"/>
          <w:szCs w:val="26"/>
        </w:rPr>
        <w:t>.</w:t>
      </w:r>
    </w:p>
    <w:p w:rsidR="00C1249D" w:rsidRDefault="00C1249D" w:rsidP="00A6670C">
      <w:pPr>
        <w:widowControl/>
        <w:spacing w:line="360" w:lineRule="auto"/>
        <w:ind w:firstLine="1440"/>
        <w:rPr>
          <w:sz w:val="26"/>
          <w:szCs w:val="26"/>
        </w:rPr>
      </w:pPr>
    </w:p>
    <w:p w:rsidR="00B07FED" w:rsidRPr="00B41799" w:rsidRDefault="007575DF" w:rsidP="00A6670C">
      <w:pPr>
        <w:widowControl/>
        <w:spacing w:line="360" w:lineRule="auto"/>
        <w:rPr>
          <w:sz w:val="26"/>
          <w:szCs w:val="26"/>
        </w:rPr>
      </w:pPr>
      <w:r>
        <w:rPr>
          <w:sz w:val="26"/>
          <w:szCs w:val="26"/>
        </w:rPr>
        <w:tab/>
      </w:r>
      <w:r>
        <w:rPr>
          <w:sz w:val="26"/>
          <w:szCs w:val="26"/>
        </w:rPr>
        <w:tab/>
      </w:r>
      <w:r w:rsidR="00752C37">
        <w:rPr>
          <w:sz w:val="26"/>
          <w:szCs w:val="26"/>
        </w:rPr>
        <w:t>On</w:t>
      </w:r>
      <w:r w:rsidR="00BD141D">
        <w:rPr>
          <w:sz w:val="26"/>
          <w:szCs w:val="26"/>
        </w:rPr>
        <w:t xml:space="preserve"> May 19</w:t>
      </w:r>
      <w:r w:rsidR="005921BF">
        <w:rPr>
          <w:sz w:val="26"/>
          <w:szCs w:val="26"/>
        </w:rPr>
        <w:t>, 201</w:t>
      </w:r>
      <w:r w:rsidR="00BD141D">
        <w:rPr>
          <w:sz w:val="26"/>
          <w:szCs w:val="26"/>
        </w:rPr>
        <w:t>7</w:t>
      </w:r>
      <w:r w:rsidR="00E55B3A" w:rsidRPr="00A9787D">
        <w:rPr>
          <w:sz w:val="26"/>
          <w:szCs w:val="26"/>
        </w:rPr>
        <w:t>, a</w:t>
      </w:r>
      <w:r w:rsidR="00D02B7D" w:rsidRPr="00A9787D">
        <w:rPr>
          <w:sz w:val="26"/>
          <w:szCs w:val="26"/>
        </w:rPr>
        <w:t xml:space="preserve"> </w:t>
      </w:r>
      <w:r w:rsidR="006C1271" w:rsidRPr="00A9787D">
        <w:rPr>
          <w:sz w:val="26"/>
          <w:szCs w:val="26"/>
        </w:rPr>
        <w:t xml:space="preserve">hearing was held in this matter.  The </w:t>
      </w:r>
      <w:r w:rsidR="00CF4E3B">
        <w:rPr>
          <w:sz w:val="26"/>
          <w:szCs w:val="26"/>
        </w:rPr>
        <w:t>Complainant</w:t>
      </w:r>
      <w:r w:rsidR="006C1271" w:rsidRPr="00A9787D">
        <w:rPr>
          <w:sz w:val="26"/>
          <w:szCs w:val="26"/>
        </w:rPr>
        <w:t xml:space="preserve"> </w:t>
      </w:r>
      <w:r w:rsidR="001E6885" w:rsidRPr="00A9787D">
        <w:rPr>
          <w:sz w:val="26"/>
          <w:szCs w:val="26"/>
        </w:rPr>
        <w:t xml:space="preserve">appeared </w:t>
      </w:r>
      <w:r w:rsidR="001E6885" w:rsidRPr="00A9787D">
        <w:rPr>
          <w:i/>
          <w:sz w:val="26"/>
          <w:szCs w:val="26"/>
        </w:rPr>
        <w:t>pro</w:t>
      </w:r>
      <w:r w:rsidR="001E6885" w:rsidRPr="00705F95">
        <w:rPr>
          <w:i/>
          <w:sz w:val="26"/>
          <w:szCs w:val="26"/>
        </w:rPr>
        <w:t xml:space="preserve"> se</w:t>
      </w:r>
      <w:r w:rsidR="001E6885" w:rsidRPr="00A9787D">
        <w:rPr>
          <w:sz w:val="26"/>
          <w:szCs w:val="26"/>
        </w:rPr>
        <w:t xml:space="preserve"> </w:t>
      </w:r>
      <w:r w:rsidR="00D02B7D" w:rsidRPr="00A9787D">
        <w:rPr>
          <w:sz w:val="26"/>
          <w:szCs w:val="26"/>
        </w:rPr>
        <w:t>and testified</w:t>
      </w:r>
      <w:r w:rsidR="006C1271" w:rsidRPr="00A9787D">
        <w:rPr>
          <w:sz w:val="26"/>
          <w:szCs w:val="26"/>
        </w:rPr>
        <w:t xml:space="preserve">.  </w:t>
      </w:r>
      <w:r w:rsidR="00752C37">
        <w:rPr>
          <w:sz w:val="26"/>
          <w:szCs w:val="26"/>
        </w:rPr>
        <w:t xml:space="preserve">The Complainant offered </w:t>
      </w:r>
      <w:r w:rsidR="00BD141D">
        <w:rPr>
          <w:sz w:val="26"/>
          <w:szCs w:val="26"/>
        </w:rPr>
        <w:t>ten</w:t>
      </w:r>
      <w:r w:rsidR="00752C37">
        <w:rPr>
          <w:sz w:val="26"/>
          <w:szCs w:val="26"/>
        </w:rPr>
        <w:t xml:space="preserve"> </w:t>
      </w:r>
      <w:r w:rsidR="003F4215">
        <w:rPr>
          <w:sz w:val="26"/>
          <w:szCs w:val="26"/>
        </w:rPr>
        <w:t>exhibit</w:t>
      </w:r>
      <w:r w:rsidR="00BD141D">
        <w:rPr>
          <w:sz w:val="26"/>
          <w:szCs w:val="26"/>
        </w:rPr>
        <w:t>s</w:t>
      </w:r>
      <w:r w:rsidR="003F4215">
        <w:rPr>
          <w:sz w:val="26"/>
          <w:szCs w:val="26"/>
        </w:rPr>
        <w:t xml:space="preserve"> </w:t>
      </w:r>
      <w:r w:rsidR="00BD141D">
        <w:rPr>
          <w:sz w:val="26"/>
          <w:szCs w:val="26"/>
        </w:rPr>
        <w:t>(C</w:t>
      </w:r>
      <w:r w:rsidR="00AA3112">
        <w:rPr>
          <w:sz w:val="26"/>
          <w:szCs w:val="26"/>
        </w:rPr>
        <w:t>omplainant Exhibits 1 through 10</w:t>
      </w:r>
      <w:r w:rsidR="00BD141D">
        <w:rPr>
          <w:sz w:val="26"/>
          <w:szCs w:val="26"/>
        </w:rPr>
        <w:t xml:space="preserve">), </w:t>
      </w:r>
      <w:r w:rsidR="003F4215">
        <w:rPr>
          <w:sz w:val="26"/>
          <w:szCs w:val="26"/>
        </w:rPr>
        <w:t>which</w:t>
      </w:r>
      <w:r w:rsidR="00EF523D">
        <w:rPr>
          <w:sz w:val="26"/>
          <w:szCs w:val="26"/>
        </w:rPr>
        <w:t xml:space="preserve"> w</w:t>
      </w:r>
      <w:r w:rsidR="00BD141D">
        <w:rPr>
          <w:sz w:val="26"/>
          <w:szCs w:val="26"/>
        </w:rPr>
        <w:t>ere</w:t>
      </w:r>
      <w:r w:rsidR="00EF523D">
        <w:rPr>
          <w:sz w:val="26"/>
          <w:szCs w:val="26"/>
        </w:rPr>
        <w:t xml:space="preserve"> admitted into the record</w:t>
      </w:r>
      <w:r w:rsidR="00752C37">
        <w:rPr>
          <w:sz w:val="26"/>
          <w:szCs w:val="26"/>
        </w:rPr>
        <w:t>.  P</w:t>
      </w:r>
      <w:r w:rsidR="00BD141D">
        <w:rPr>
          <w:sz w:val="26"/>
          <w:szCs w:val="26"/>
        </w:rPr>
        <w:t>GW</w:t>
      </w:r>
      <w:r w:rsidR="00752C37">
        <w:rPr>
          <w:sz w:val="26"/>
          <w:szCs w:val="26"/>
        </w:rPr>
        <w:t xml:space="preserve"> </w:t>
      </w:r>
      <w:r w:rsidR="00D02B7D" w:rsidRPr="00A9787D">
        <w:rPr>
          <w:sz w:val="26"/>
          <w:szCs w:val="26"/>
        </w:rPr>
        <w:t xml:space="preserve">appeared and was represented by </w:t>
      </w:r>
      <w:r w:rsidR="007D0C12">
        <w:rPr>
          <w:sz w:val="26"/>
          <w:szCs w:val="26"/>
        </w:rPr>
        <w:t>counsel</w:t>
      </w:r>
      <w:r w:rsidR="00D02B7D" w:rsidRPr="00A9787D">
        <w:rPr>
          <w:sz w:val="26"/>
          <w:szCs w:val="26"/>
        </w:rPr>
        <w:t>, who presente</w:t>
      </w:r>
      <w:r w:rsidR="003141F1" w:rsidRPr="00A9787D">
        <w:rPr>
          <w:sz w:val="26"/>
          <w:szCs w:val="26"/>
        </w:rPr>
        <w:t xml:space="preserve">d the testimony of </w:t>
      </w:r>
      <w:r w:rsidR="00BD141D">
        <w:rPr>
          <w:sz w:val="26"/>
          <w:szCs w:val="26"/>
        </w:rPr>
        <w:t>one</w:t>
      </w:r>
      <w:r w:rsidR="008752EE">
        <w:rPr>
          <w:sz w:val="26"/>
          <w:szCs w:val="26"/>
        </w:rPr>
        <w:t xml:space="preserve"> witness.  </w:t>
      </w:r>
      <w:r w:rsidR="00BD141D">
        <w:rPr>
          <w:sz w:val="26"/>
          <w:szCs w:val="26"/>
        </w:rPr>
        <w:t>PGW</w:t>
      </w:r>
      <w:r w:rsidR="008752EE">
        <w:rPr>
          <w:sz w:val="26"/>
          <w:szCs w:val="26"/>
        </w:rPr>
        <w:t xml:space="preserve"> also </w:t>
      </w:r>
      <w:r w:rsidR="00400634">
        <w:rPr>
          <w:sz w:val="26"/>
          <w:szCs w:val="26"/>
        </w:rPr>
        <w:t xml:space="preserve">offered </w:t>
      </w:r>
      <w:r w:rsidR="00BD141D">
        <w:rPr>
          <w:sz w:val="26"/>
          <w:szCs w:val="26"/>
        </w:rPr>
        <w:t>five</w:t>
      </w:r>
      <w:r w:rsidR="00752C37">
        <w:rPr>
          <w:sz w:val="26"/>
          <w:szCs w:val="26"/>
        </w:rPr>
        <w:t xml:space="preserve"> </w:t>
      </w:r>
      <w:r w:rsidR="003F4215" w:rsidRPr="00A9787D">
        <w:rPr>
          <w:sz w:val="26"/>
          <w:szCs w:val="26"/>
        </w:rPr>
        <w:t xml:space="preserve">exhibits </w:t>
      </w:r>
      <w:r w:rsidR="00677BDD">
        <w:rPr>
          <w:sz w:val="26"/>
          <w:szCs w:val="26"/>
        </w:rPr>
        <w:t xml:space="preserve">(PGW Exhibits 1 through 5) </w:t>
      </w:r>
      <w:r w:rsidR="003F4215" w:rsidRPr="00A9787D">
        <w:rPr>
          <w:sz w:val="26"/>
          <w:szCs w:val="26"/>
        </w:rPr>
        <w:t>during</w:t>
      </w:r>
      <w:r w:rsidR="00D02B7D" w:rsidRPr="00A9787D">
        <w:rPr>
          <w:sz w:val="26"/>
          <w:szCs w:val="26"/>
        </w:rPr>
        <w:t xml:space="preserve"> the hearing, which were all admitted into the record</w:t>
      </w:r>
      <w:r w:rsidR="00D324D4" w:rsidRPr="00A9787D">
        <w:rPr>
          <w:sz w:val="26"/>
          <w:szCs w:val="26"/>
        </w:rPr>
        <w:t xml:space="preserve">.  </w:t>
      </w:r>
      <w:r w:rsidR="00855F77">
        <w:rPr>
          <w:sz w:val="26"/>
          <w:szCs w:val="26"/>
        </w:rPr>
        <w:t>T</w:t>
      </w:r>
      <w:r w:rsidR="00B07FED" w:rsidRPr="00A9787D">
        <w:rPr>
          <w:sz w:val="26"/>
          <w:szCs w:val="26"/>
        </w:rPr>
        <w:t>he</w:t>
      </w:r>
      <w:r w:rsidR="003141F1" w:rsidRPr="00A9787D">
        <w:rPr>
          <w:sz w:val="26"/>
          <w:szCs w:val="26"/>
        </w:rPr>
        <w:t xml:space="preserve"> reco</w:t>
      </w:r>
      <w:r w:rsidR="00E63E28" w:rsidRPr="00A9787D">
        <w:rPr>
          <w:sz w:val="26"/>
          <w:szCs w:val="26"/>
        </w:rPr>
        <w:t xml:space="preserve">rd </w:t>
      </w:r>
      <w:r w:rsidR="00C757B8" w:rsidRPr="00A9787D">
        <w:rPr>
          <w:sz w:val="26"/>
          <w:szCs w:val="26"/>
        </w:rPr>
        <w:t>also</w:t>
      </w:r>
      <w:r w:rsidR="00752C37">
        <w:rPr>
          <w:sz w:val="26"/>
          <w:szCs w:val="26"/>
        </w:rPr>
        <w:t xml:space="preserve"> contain</w:t>
      </w:r>
      <w:r w:rsidR="00557CE7">
        <w:rPr>
          <w:sz w:val="26"/>
          <w:szCs w:val="26"/>
        </w:rPr>
        <w:t>ed</w:t>
      </w:r>
      <w:r w:rsidR="00752C37">
        <w:rPr>
          <w:sz w:val="26"/>
          <w:szCs w:val="26"/>
        </w:rPr>
        <w:t xml:space="preserve"> a </w:t>
      </w:r>
      <w:r w:rsidR="00BD141D">
        <w:rPr>
          <w:sz w:val="26"/>
          <w:szCs w:val="26"/>
        </w:rPr>
        <w:t>sixty-two-page</w:t>
      </w:r>
      <w:r w:rsidR="00752C37">
        <w:rPr>
          <w:sz w:val="26"/>
          <w:szCs w:val="26"/>
        </w:rPr>
        <w:t xml:space="preserve"> </w:t>
      </w:r>
      <w:r w:rsidR="002306C9" w:rsidRPr="00A9787D">
        <w:rPr>
          <w:sz w:val="26"/>
          <w:szCs w:val="26"/>
        </w:rPr>
        <w:t>transcript</w:t>
      </w:r>
      <w:r w:rsidR="00B07FED" w:rsidRPr="00A9787D">
        <w:rPr>
          <w:sz w:val="26"/>
          <w:szCs w:val="26"/>
        </w:rPr>
        <w:t xml:space="preserve">.  </w:t>
      </w:r>
      <w:r w:rsidR="00B07FED" w:rsidRPr="00B41799">
        <w:rPr>
          <w:sz w:val="26"/>
          <w:szCs w:val="26"/>
        </w:rPr>
        <w:t>T</w:t>
      </w:r>
      <w:r w:rsidR="00400634" w:rsidRPr="00B41799">
        <w:rPr>
          <w:sz w:val="26"/>
          <w:szCs w:val="26"/>
        </w:rPr>
        <w:t xml:space="preserve">he record was closed on </w:t>
      </w:r>
      <w:r w:rsidR="00234273" w:rsidRPr="00B41799">
        <w:rPr>
          <w:sz w:val="26"/>
          <w:szCs w:val="26"/>
        </w:rPr>
        <w:t>Ju</w:t>
      </w:r>
      <w:r w:rsidR="00480B95">
        <w:rPr>
          <w:sz w:val="26"/>
          <w:szCs w:val="26"/>
        </w:rPr>
        <w:t>ne 20</w:t>
      </w:r>
      <w:r w:rsidR="00400634" w:rsidRPr="00B41799">
        <w:rPr>
          <w:sz w:val="26"/>
          <w:szCs w:val="26"/>
        </w:rPr>
        <w:t>, 201</w:t>
      </w:r>
      <w:r w:rsidR="00480B95">
        <w:rPr>
          <w:sz w:val="26"/>
          <w:szCs w:val="26"/>
        </w:rPr>
        <w:t>7</w:t>
      </w:r>
      <w:r w:rsidR="00234273" w:rsidRPr="00B41799">
        <w:rPr>
          <w:sz w:val="26"/>
          <w:szCs w:val="26"/>
        </w:rPr>
        <w:t xml:space="preserve">, </w:t>
      </w:r>
      <w:r w:rsidR="00A624B2">
        <w:rPr>
          <w:sz w:val="26"/>
          <w:szCs w:val="26"/>
        </w:rPr>
        <w:t>after</w:t>
      </w:r>
      <w:r w:rsidR="00234273" w:rsidRPr="00B41799">
        <w:rPr>
          <w:sz w:val="26"/>
          <w:szCs w:val="26"/>
        </w:rPr>
        <w:t xml:space="preserve"> the ALJ received the transcript</w:t>
      </w:r>
      <w:r w:rsidR="00B07FED" w:rsidRPr="00B41799">
        <w:rPr>
          <w:sz w:val="26"/>
          <w:szCs w:val="26"/>
        </w:rPr>
        <w:t>.  I.D</w:t>
      </w:r>
      <w:r w:rsidR="003141F1" w:rsidRPr="00B41799">
        <w:rPr>
          <w:sz w:val="26"/>
          <w:szCs w:val="26"/>
        </w:rPr>
        <w:t xml:space="preserve">. at </w:t>
      </w:r>
      <w:r w:rsidR="003B390C">
        <w:rPr>
          <w:sz w:val="26"/>
          <w:szCs w:val="26"/>
        </w:rPr>
        <w:t>2</w:t>
      </w:r>
      <w:r w:rsidR="00B07FED" w:rsidRPr="00B41799">
        <w:rPr>
          <w:sz w:val="26"/>
          <w:szCs w:val="26"/>
        </w:rPr>
        <w:t>.</w:t>
      </w:r>
    </w:p>
    <w:p w:rsidR="00B07FED" w:rsidRPr="00A9787D" w:rsidRDefault="00752C37" w:rsidP="00A6670C">
      <w:pPr>
        <w:pStyle w:val="BodyText"/>
        <w:widowControl/>
        <w:tabs>
          <w:tab w:val="left" w:pos="0"/>
        </w:tabs>
        <w:suppressAutoHyphens w:val="0"/>
        <w:spacing w:line="360" w:lineRule="auto"/>
        <w:jc w:val="left"/>
        <w:rPr>
          <w:sz w:val="26"/>
          <w:szCs w:val="26"/>
        </w:rPr>
      </w:pPr>
      <w:r>
        <w:rPr>
          <w:sz w:val="26"/>
          <w:szCs w:val="26"/>
        </w:rPr>
        <w:tab/>
      </w:r>
      <w:r>
        <w:rPr>
          <w:sz w:val="26"/>
          <w:szCs w:val="26"/>
        </w:rPr>
        <w:tab/>
      </w:r>
    </w:p>
    <w:p w:rsidR="00B7619A" w:rsidRPr="00A9787D" w:rsidRDefault="00B7619A" w:rsidP="00A6670C">
      <w:pPr>
        <w:widowControl/>
        <w:spacing w:line="360" w:lineRule="auto"/>
        <w:rPr>
          <w:sz w:val="26"/>
          <w:szCs w:val="26"/>
        </w:rPr>
      </w:pPr>
      <w:r w:rsidRPr="00A9787D">
        <w:rPr>
          <w:sz w:val="26"/>
          <w:szCs w:val="26"/>
        </w:rPr>
        <w:tab/>
      </w:r>
      <w:r w:rsidRPr="00A9787D">
        <w:rPr>
          <w:sz w:val="26"/>
          <w:szCs w:val="26"/>
        </w:rPr>
        <w:tab/>
      </w:r>
      <w:r w:rsidR="006919C9">
        <w:rPr>
          <w:sz w:val="26"/>
          <w:szCs w:val="26"/>
        </w:rPr>
        <w:t>In h</w:t>
      </w:r>
      <w:r w:rsidR="003B390C">
        <w:rPr>
          <w:sz w:val="26"/>
          <w:szCs w:val="26"/>
        </w:rPr>
        <w:t>er</w:t>
      </w:r>
      <w:r w:rsidR="00E1419D" w:rsidRPr="00A9787D">
        <w:rPr>
          <w:sz w:val="26"/>
          <w:szCs w:val="26"/>
        </w:rPr>
        <w:t xml:space="preserve"> Init</w:t>
      </w:r>
      <w:r w:rsidR="003141F1" w:rsidRPr="00A9787D">
        <w:rPr>
          <w:sz w:val="26"/>
          <w:szCs w:val="26"/>
        </w:rPr>
        <w:t>ial</w:t>
      </w:r>
      <w:r w:rsidR="0050458B">
        <w:rPr>
          <w:sz w:val="26"/>
          <w:szCs w:val="26"/>
        </w:rPr>
        <w:t xml:space="preserve"> Decision</w:t>
      </w:r>
      <w:r w:rsidR="00234273">
        <w:rPr>
          <w:sz w:val="26"/>
          <w:szCs w:val="26"/>
        </w:rPr>
        <w:t xml:space="preserve"> issued on October</w:t>
      </w:r>
      <w:r w:rsidR="003B390C">
        <w:rPr>
          <w:sz w:val="26"/>
          <w:szCs w:val="26"/>
        </w:rPr>
        <w:t xml:space="preserve"> 2</w:t>
      </w:r>
      <w:r w:rsidR="006919C9">
        <w:rPr>
          <w:sz w:val="26"/>
          <w:szCs w:val="26"/>
        </w:rPr>
        <w:t>, 201</w:t>
      </w:r>
      <w:r w:rsidR="003B390C">
        <w:rPr>
          <w:sz w:val="26"/>
          <w:szCs w:val="26"/>
        </w:rPr>
        <w:t>7</w:t>
      </w:r>
      <w:r w:rsidR="006919C9">
        <w:rPr>
          <w:sz w:val="26"/>
          <w:szCs w:val="26"/>
        </w:rPr>
        <w:t xml:space="preserve">, </w:t>
      </w:r>
      <w:r w:rsidR="0003481E" w:rsidRPr="00A9787D">
        <w:rPr>
          <w:sz w:val="26"/>
          <w:szCs w:val="26"/>
        </w:rPr>
        <w:t>ALJ</w:t>
      </w:r>
      <w:r w:rsidR="003B390C">
        <w:rPr>
          <w:sz w:val="26"/>
          <w:szCs w:val="26"/>
        </w:rPr>
        <w:t xml:space="preserve"> Heep </w:t>
      </w:r>
      <w:r w:rsidR="00855F77">
        <w:rPr>
          <w:sz w:val="26"/>
          <w:szCs w:val="26"/>
        </w:rPr>
        <w:t>sustained</w:t>
      </w:r>
      <w:r w:rsidR="003B390C">
        <w:rPr>
          <w:sz w:val="26"/>
          <w:szCs w:val="26"/>
        </w:rPr>
        <w:t xml:space="preserve"> the Complaint, in part, and denied it, in part.  </w:t>
      </w:r>
      <w:r w:rsidR="00F55971" w:rsidRPr="00F55971">
        <w:rPr>
          <w:i/>
          <w:sz w:val="26"/>
          <w:szCs w:val="26"/>
        </w:rPr>
        <w:t>Id.</w:t>
      </w:r>
      <w:r w:rsidR="00E1419D" w:rsidRPr="00A9787D">
        <w:rPr>
          <w:sz w:val="26"/>
          <w:szCs w:val="26"/>
        </w:rPr>
        <w:t xml:space="preserve"> at </w:t>
      </w:r>
      <w:r w:rsidR="00234273">
        <w:rPr>
          <w:sz w:val="26"/>
          <w:szCs w:val="26"/>
        </w:rPr>
        <w:t>1</w:t>
      </w:r>
      <w:r w:rsidR="003B390C">
        <w:rPr>
          <w:sz w:val="26"/>
          <w:szCs w:val="26"/>
        </w:rPr>
        <w:t>0</w:t>
      </w:r>
      <w:r w:rsidR="00E1419D" w:rsidRPr="00A9787D">
        <w:rPr>
          <w:sz w:val="26"/>
          <w:szCs w:val="26"/>
        </w:rPr>
        <w:t xml:space="preserve">.  As noted, </w:t>
      </w:r>
      <w:r w:rsidR="00E1419D" w:rsidRPr="00A9787D">
        <w:rPr>
          <w:i/>
          <w:sz w:val="26"/>
          <w:szCs w:val="26"/>
        </w:rPr>
        <w:t>supra</w:t>
      </w:r>
      <w:r w:rsidR="00E1419D" w:rsidRPr="00A9787D">
        <w:rPr>
          <w:sz w:val="26"/>
          <w:szCs w:val="26"/>
        </w:rPr>
        <w:t xml:space="preserve">, the </w:t>
      </w:r>
      <w:r w:rsidR="00CF4E3B">
        <w:rPr>
          <w:sz w:val="26"/>
          <w:szCs w:val="26"/>
        </w:rPr>
        <w:t>Complainant</w:t>
      </w:r>
      <w:r w:rsidR="00E1419D" w:rsidRPr="00A9787D">
        <w:rPr>
          <w:sz w:val="26"/>
          <w:szCs w:val="26"/>
        </w:rPr>
        <w:t xml:space="preserve"> filed </w:t>
      </w:r>
      <w:r w:rsidR="00234273">
        <w:rPr>
          <w:sz w:val="26"/>
          <w:szCs w:val="26"/>
        </w:rPr>
        <w:t>Exceptions on</w:t>
      </w:r>
      <w:r w:rsidR="00881F55">
        <w:rPr>
          <w:sz w:val="26"/>
          <w:szCs w:val="26"/>
        </w:rPr>
        <w:t xml:space="preserve"> October</w:t>
      </w:r>
      <w:r w:rsidR="00234273">
        <w:rPr>
          <w:sz w:val="26"/>
          <w:szCs w:val="26"/>
        </w:rPr>
        <w:t xml:space="preserve"> </w:t>
      </w:r>
      <w:r w:rsidR="00E82F35">
        <w:rPr>
          <w:sz w:val="26"/>
          <w:szCs w:val="26"/>
        </w:rPr>
        <w:t>12</w:t>
      </w:r>
      <w:r w:rsidR="006919C9">
        <w:rPr>
          <w:sz w:val="26"/>
          <w:szCs w:val="26"/>
        </w:rPr>
        <w:t>, 201</w:t>
      </w:r>
      <w:r w:rsidR="00881F55">
        <w:rPr>
          <w:sz w:val="26"/>
          <w:szCs w:val="26"/>
        </w:rPr>
        <w:t>7</w:t>
      </w:r>
      <w:r w:rsidR="003A64D0" w:rsidRPr="00A9787D">
        <w:rPr>
          <w:sz w:val="26"/>
          <w:szCs w:val="26"/>
        </w:rPr>
        <w:t xml:space="preserve">, and </w:t>
      </w:r>
      <w:r w:rsidR="00881F55">
        <w:rPr>
          <w:sz w:val="26"/>
          <w:szCs w:val="26"/>
        </w:rPr>
        <w:t>PGW</w:t>
      </w:r>
      <w:r w:rsidR="00E1419D" w:rsidRPr="00A9787D">
        <w:rPr>
          <w:sz w:val="26"/>
          <w:szCs w:val="26"/>
        </w:rPr>
        <w:t xml:space="preserve"> filed </w:t>
      </w:r>
      <w:r w:rsidR="003141F1" w:rsidRPr="00A9787D">
        <w:rPr>
          <w:sz w:val="26"/>
          <w:szCs w:val="26"/>
        </w:rPr>
        <w:t>Rep</w:t>
      </w:r>
      <w:r w:rsidR="006919C9">
        <w:rPr>
          <w:sz w:val="26"/>
          <w:szCs w:val="26"/>
        </w:rPr>
        <w:t>l</w:t>
      </w:r>
      <w:r w:rsidR="00933955">
        <w:rPr>
          <w:sz w:val="26"/>
          <w:szCs w:val="26"/>
        </w:rPr>
        <w:t>y</w:t>
      </w:r>
      <w:r w:rsidR="00234273">
        <w:rPr>
          <w:sz w:val="26"/>
          <w:szCs w:val="26"/>
        </w:rPr>
        <w:t xml:space="preserve"> Exceptions on November</w:t>
      </w:r>
      <w:r w:rsidR="00A6670C">
        <w:rPr>
          <w:sz w:val="26"/>
          <w:szCs w:val="26"/>
        </w:rPr>
        <w:t> </w:t>
      </w:r>
      <w:r w:rsidR="00881F55">
        <w:rPr>
          <w:sz w:val="26"/>
          <w:szCs w:val="26"/>
        </w:rPr>
        <w:t>2</w:t>
      </w:r>
      <w:r w:rsidR="006919C9">
        <w:rPr>
          <w:sz w:val="26"/>
          <w:szCs w:val="26"/>
        </w:rPr>
        <w:t>, 201</w:t>
      </w:r>
      <w:r w:rsidR="00881F55">
        <w:rPr>
          <w:sz w:val="26"/>
          <w:szCs w:val="26"/>
        </w:rPr>
        <w:t>7</w:t>
      </w:r>
      <w:r w:rsidR="00E1419D" w:rsidRPr="00A9787D">
        <w:rPr>
          <w:sz w:val="26"/>
          <w:szCs w:val="26"/>
        </w:rPr>
        <w:t>.</w:t>
      </w:r>
    </w:p>
    <w:p w:rsidR="006C3AA0" w:rsidRDefault="006C3AA0" w:rsidP="00A6670C">
      <w:pPr>
        <w:widowControl/>
        <w:spacing w:line="360" w:lineRule="auto"/>
        <w:rPr>
          <w:b/>
          <w:sz w:val="26"/>
          <w:szCs w:val="26"/>
        </w:rPr>
      </w:pPr>
    </w:p>
    <w:p w:rsidR="00502F00" w:rsidRPr="00CF63A2" w:rsidRDefault="00502F00" w:rsidP="00A6670C">
      <w:pPr>
        <w:pStyle w:val="ListParagraph"/>
        <w:keepNext/>
        <w:widowControl/>
        <w:numPr>
          <w:ilvl w:val="0"/>
          <w:numId w:val="9"/>
        </w:numPr>
        <w:spacing w:line="360" w:lineRule="auto"/>
        <w:jc w:val="center"/>
        <w:rPr>
          <w:b/>
          <w:sz w:val="26"/>
          <w:szCs w:val="26"/>
        </w:rPr>
      </w:pPr>
      <w:r w:rsidRPr="00CF63A2">
        <w:rPr>
          <w:b/>
          <w:sz w:val="26"/>
          <w:szCs w:val="26"/>
        </w:rPr>
        <w:t>Discussion</w:t>
      </w:r>
    </w:p>
    <w:p w:rsidR="00B66847" w:rsidRPr="00A9787D" w:rsidRDefault="00B66847" w:rsidP="00A6670C">
      <w:pPr>
        <w:keepNext/>
        <w:widowControl/>
        <w:spacing w:line="360" w:lineRule="auto"/>
        <w:jc w:val="center"/>
        <w:rPr>
          <w:b/>
          <w:sz w:val="26"/>
          <w:szCs w:val="26"/>
        </w:rPr>
      </w:pPr>
    </w:p>
    <w:p w:rsidR="0099020B" w:rsidRPr="00FD56D4" w:rsidRDefault="0099020B" w:rsidP="00A6670C">
      <w:pPr>
        <w:widowControl/>
        <w:spacing w:line="360" w:lineRule="auto"/>
        <w:ind w:firstLine="1440"/>
        <w:rPr>
          <w:sz w:val="26"/>
          <w:szCs w:val="26"/>
        </w:rPr>
      </w:pPr>
      <w:r w:rsidRPr="00131C9F">
        <w:rPr>
          <w:sz w:val="26"/>
          <w:szCs w:val="26"/>
        </w:rPr>
        <w:t xml:space="preserve">This Complaint </w:t>
      </w:r>
      <w:r>
        <w:rPr>
          <w:sz w:val="26"/>
          <w:szCs w:val="26"/>
        </w:rPr>
        <w:t xml:space="preserve">involves a billing dispute between the Complainant and PGW regarding a “foreign load” discovered by PGW at the property owned by the Complainant.  </w:t>
      </w:r>
    </w:p>
    <w:p w:rsidR="0099020B" w:rsidRDefault="0099020B" w:rsidP="00A6670C">
      <w:pPr>
        <w:widowControl/>
        <w:spacing w:line="360" w:lineRule="auto"/>
        <w:ind w:firstLine="1440"/>
        <w:contextualSpacing/>
        <w:rPr>
          <w:sz w:val="26"/>
          <w:szCs w:val="26"/>
        </w:rPr>
      </w:pPr>
    </w:p>
    <w:p w:rsidR="003B615B" w:rsidRDefault="007277B6" w:rsidP="00A6670C">
      <w:pPr>
        <w:widowControl/>
        <w:spacing w:line="360" w:lineRule="auto"/>
        <w:ind w:firstLine="1440"/>
        <w:contextualSpacing/>
        <w:rPr>
          <w:color w:val="212121"/>
          <w:sz w:val="26"/>
          <w:szCs w:val="26"/>
        </w:rPr>
      </w:pPr>
      <w:r>
        <w:rPr>
          <w:sz w:val="26"/>
          <w:szCs w:val="26"/>
        </w:rPr>
        <w:t xml:space="preserve">As a preliminary matter, we </w:t>
      </w:r>
      <w:r w:rsidR="005337CF">
        <w:rPr>
          <w:sz w:val="26"/>
          <w:szCs w:val="26"/>
        </w:rPr>
        <w:t xml:space="preserve">note that we </w:t>
      </w:r>
      <w:r>
        <w:rPr>
          <w:sz w:val="26"/>
          <w:szCs w:val="26"/>
        </w:rPr>
        <w:t>will</w:t>
      </w:r>
      <w:r w:rsidR="005337CF">
        <w:rPr>
          <w:sz w:val="26"/>
          <w:szCs w:val="26"/>
        </w:rPr>
        <w:t xml:space="preserve"> not consider</w:t>
      </w:r>
      <w:r>
        <w:rPr>
          <w:sz w:val="26"/>
          <w:szCs w:val="26"/>
        </w:rPr>
        <w:t xml:space="preserve"> the Letter filed by the Complainant on November 13, 2017</w:t>
      </w:r>
      <w:r w:rsidR="00855F77">
        <w:rPr>
          <w:sz w:val="26"/>
          <w:szCs w:val="26"/>
        </w:rPr>
        <w:t>.  Such Letter appears to respond</w:t>
      </w:r>
      <w:r>
        <w:rPr>
          <w:sz w:val="26"/>
          <w:szCs w:val="26"/>
        </w:rPr>
        <w:t xml:space="preserve"> to PGW</w:t>
      </w:r>
      <w:r w:rsidR="00694B7B">
        <w:rPr>
          <w:sz w:val="26"/>
          <w:szCs w:val="26"/>
        </w:rPr>
        <w:t>’</w:t>
      </w:r>
      <w:r>
        <w:rPr>
          <w:sz w:val="26"/>
          <w:szCs w:val="26"/>
        </w:rPr>
        <w:t xml:space="preserve">s </w:t>
      </w:r>
      <w:r w:rsidR="00855F77">
        <w:rPr>
          <w:sz w:val="26"/>
          <w:szCs w:val="26"/>
        </w:rPr>
        <w:t>Reply Exceptions in this matter, and our</w:t>
      </w:r>
      <w:r>
        <w:rPr>
          <w:sz w:val="26"/>
          <w:szCs w:val="26"/>
        </w:rPr>
        <w:t xml:space="preserve"> Regulations do not</w:t>
      </w:r>
      <w:r w:rsidR="00855F77">
        <w:rPr>
          <w:sz w:val="26"/>
          <w:szCs w:val="26"/>
        </w:rPr>
        <w:t xml:space="preserve"> permit </w:t>
      </w:r>
      <w:r>
        <w:rPr>
          <w:sz w:val="26"/>
          <w:szCs w:val="26"/>
        </w:rPr>
        <w:t>the filing of res</w:t>
      </w:r>
      <w:r w:rsidR="005337CF">
        <w:rPr>
          <w:sz w:val="26"/>
          <w:szCs w:val="26"/>
        </w:rPr>
        <w:t xml:space="preserve">ponses to Replies to Exceptions. </w:t>
      </w:r>
      <w:r>
        <w:rPr>
          <w:sz w:val="26"/>
          <w:szCs w:val="26"/>
        </w:rPr>
        <w:t xml:space="preserve"> </w:t>
      </w:r>
      <w:r w:rsidR="005337CF" w:rsidRPr="005337CF">
        <w:rPr>
          <w:i/>
          <w:sz w:val="26"/>
          <w:szCs w:val="26"/>
        </w:rPr>
        <w:t>S</w:t>
      </w:r>
      <w:r w:rsidRPr="007A4135">
        <w:rPr>
          <w:i/>
          <w:sz w:val="26"/>
          <w:szCs w:val="26"/>
        </w:rPr>
        <w:t>ee</w:t>
      </w:r>
      <w:r>
        <w:rPr>
          <w:sz w:val="26"/>
          <w:szCs w:val="26"/>
        </w:rPr>
        <w:t xml:space="preserve"> 52 Pa. Code §§ 5.533</w:t>
      </w:r>
      <w:r w:rsidR="005337CF">
        <w:rPr>
          <w:sz w:val="26"/>
          <w:szCs w:val="26"/>
        </w:rPr>
        <w:t xml:space="preserve">, </w:t>
      </w:r>
      <w:r>
        <w:rPr>
          <w:sz w:val="26"/>
          <w:szCs w:val="26"/>
        </w:rPr>
        <w:t>5.535</w:t>
      </w:r>
      <w:r w:rsidR="005337CF">
        <w:rPr>
          <w:sz w:val="26"/>
          <w:szCs w:val="26"/>
        </w:rPr>
        <w:t>.</w:t>
      </w:r>
      <w:r>
        <w:rPr>
          <w:sz w:val="26"/>
          <w:szCs w:val="26"/>
        </w:rPr>
        <w:t xml:space="preserve">  </w:t>
      </w:r>
      <w:r w:rsidR="0099020B">
        <w:rPr>
          <w:color w:val="212121"/>
          <w:sz w:val="26"/>
          <w:szCs w:val="26"/>
        </w:rPr>
        <w:t xml:space="preserve"> Also, </w:t>
      </w:r>
      <w:r w:rsidR="0033369D">
        <w:rPr>
          <w:color w:val="212121"/>
          <w:sz w:val="26"/>
          <w:szCs w:val="26"/>
        </w:rPr>
        <w:t xml:space="preserve">we note that </w:t>
      </w:r>
      <w:r w:rsidR="0033369D">
        <w:rPr>
          <w:sz w:val="26"/>
          <w:szCs w:val="26"/>
        </w:rPr>
        <w:t>the Complainant</w:t>
      </w:r>
      <w:r w:rsidR="00694B7B">
        <w:rPr>
          <w:sz w:val="26"/>
          <w:szCs w:val="26"/>
        </w:rPr>
        <w:t>’</w:t>
      </w:r>
      <w:r w:rsidR="0033369D">
        <w:rPr>
          <w:sz w:val="26"/>
          <w:szCs w:val="26"/>
        </w:rPr>
        <w:t xml:space="preserve">s Exceptions </w:t>
      </w:r>
      <w:r w:rsidR="0072081F" w:rsidRPr="007B531E">
        <w:rPr>
          <w:color w:val="212121"/>
          <w:sz w:val="26"/>
          <w:szCs w:val="26"/>
        </w:rPr>
        <w:t>do not strictly comply with</w:t>
      </w:r>
      <w:r w:rsidR="0033369D">
        <w:rPr>
          <w:color w:val="212121"/>
          <w:sz w:val="26"/>
          <w:szCs w:val="26"/>
        </w:rPr>
        <w:t xml:space="preserve"> the formatting requirements of 52</w:t>
      </w:r>
      <w:r w:rsidR="006D6995">
        <w:rPr>
          <w:color w:val="212121"/>
          <w:sz w:val="26"/>
          <w:szCs w:val="26"/>
        </w:rPr>
        <w:t> </w:t>
      </w:r>
      <w:r w:rsidR="0033369D">
        <w:rPr>
          <w:color w:val="212121"/>
          <w:sz w:val="26"/>
          <w:szCs w:val="26"/>
        </w:rPr>
        <w:t>Pa. Code §</w:t>
      </w:r>
      <w:r w:rsidR="005337CF">
        <w:rPr>
          <w:color w:val="212121"/>
          <w:sz w:val="26"/>
          <w:szCs w:val="26"/>
        </w:rPr>
        <w:t xml:space="preserve"> </w:t>
      </w:r>
      <w:r w:rsidR="0033369D">
        <w:rPr>
          <w:color w:val="212121"/>
          <w:sz w:val="26"/>
          <w:szCs w:val="26"/>
        </w:rPr>
        <w:t>5.533(b)</w:t>
      </w:r>
      <w:r w:rsidR="0072081F" w:rsidRPr="007B531E">
        <w:rPr>
          <w:color w:val="212121"/>
          <w:sz w:val="26"/>
          <w:szCs w:val="26"/>
        </w:rPr>
        <w:t>,</w:t>
      </w:r>
      <w:r w:rsidR="00635CEA">
        <w:rPr>
          <w:rStyle w:val="FootnoteReference"/>
          <w:color w:val="212121"/>
          <w:sz w:val="26"/>
          <w:szCs w:val="26"/>
        </w:rPr>
        <w:footnoteReference w:id="3"/>
      </w:r>
      <w:r w:rsidR="0072081F" w:rsidRPr="007B531E">
        <w:rPr>
          <w:color w:val="212121"/>
          <w:sz w:val="26"/>
          <w:szCs w:val="26"/>
        </w:rPr>
        <w:t xml:space="preserve"> </w:t>
      </w:r>
      <w:r w:rsidR="00635CEA">
        <w:rPr>
          <w:color w:val="212121"/>
          <w:sz w:val="26"/>
          <w:szCs w:val="26"/>
        </w:rPr>
        <w:t>but b</w:t>
      </w:r>
      <w:r w:rsidR="0072081F" w:rsidRPr="007B531E">
        <w:rPr>
          <w:color w:val="212121"/>
          <w:sz w:val="26"/>
          <w:szCs w:val="26"/>
        </w:rPr>
        <w:t xml:space="preserve">ecause the Complainant is not represented by legal counsel in this proceeding, we will accept the </w:t>
      </w:r>
      <w:r w:rsidR="0072081F" w:rsidRPr="00D57829">
        <w:rPr>
          <w:bCs/>
          <w:color w:val="252525"/>
          <w:sz w:val="26"/>
          <w:szCs w:val="26"/>
        </w:rPr>
        <w:t>Exceptions</w:t>
      </w:r>
      <w:r w:rsidR="00635CEA">
        <w:rPr>
          <w:bCs/>
          <w:color w:val="252525"/>
          <w:sz w:val="26"/>
          <w:szCs w:val="26"/>
        </w:rPr>
        <w:t>,</w:t>
      </w:r>
      <w:r w:rsidR="0072081F" w:rsidRPr="007B531E">
        <w:rPr>
          <w:color w:val="212121"/>
          <w:sz w:val="26"/>
          <w:szCs w:val="26"/>
        </w:rPr>
        <w:t xml:space="preserve"> as filed</w:t>
      </w:r>
      <w:r w:rsidR="00635CEA">
        <w:rPr>
          <w:color w:val="212121"/>
          <w:sz w:val="26"/>
          <w:szCs w:val="26"/>
        </w:rPr>
        <w:t>,</w:t>
      </w:r>
      <w:r w:rsidR="0072081F" w:rsidRPr="007B531E">
        <w:rPr>
          <w:color w:val="212121"/>
          <w:sz w:val="26"/>
          <w:szCs w:val="26"/>
        </w:rPr>
        <w:t xml:space="preserve"> pursuant to </w:t>
      </w:r>
      <w:r w:rsidR="0033369D" w:rsidRPr="00D57829">
        <w:rPr>
          <w:sz w:val="26"/>
          <w:szCs w:val="26"/>
        </w:rPr>
        <w:t>52 Pa. Code §</w:t>
      </w:r>
      <w:r w:rsidR="006D6995">
        <w:rPr>
          <w:sz w:val="26"/>
          <w:szCs w:val="26"/>
        </w:rPr>
        <w:t> </w:t>
      </w:r>
      <w:r w:rsidR="0033369D" w:rsidRPr="00D57829">
        <w:rPr>
          <w:sz w:val="26"/>
          <w:szCs w:val="26"/>
        </w:rPr>
        <w:t>1.2(a)</w:t>
      </w:r>
      <w:r w:rsidR="00635CEA">
        <w:rPr>
          <w:color w:val="212121"/>
          <w:sz w:val="26"/>
          <w:szCs w:val="26"/>
        </w:rPr>
        <w:t>.</w:t>
      </w:r>
      <w:r w:rsidR="005337CF">
        <w:rPr>
          <w:rStyle w:val="FootnoteReference"/>
          <w:color w:val="212121"/>
          <w:sz w:val="26"/>
          <w:szCs w:val="26"/>
        </w:rPr>
        <w:footnoteReference w:id="4"/>
      </w:r>
    </w:p>
    <w:p w:rsidR="0099020B" w:rsidRDefault="0099020B" w:rsidP="00A6670C">
      <w:pPr>
        <w:widowControl/>
        <w:spacing w:line="360" w:lineRule="auto"/>
        <w:ind w:firstLine="1440"/>
        <w:contextualSpacing/>
        <w:rPr>
          <w:color w:val="212121"/>
          <w:sz w:val="26"/>
          <w:szCs w:val="26"/>
        </w:rPr>
      </w:pPr>
    </w:p>
    <w:p w:rsidR="0099020B" w:rsidRDefault="0099020B" w:rsidP="00A6670C">
      <w:pPr>
        <w:widowControl/>
        <w:spacing w:line="360" w:lineRule="auto"/>
        <w:ind w:firstLine="1440"/>
        <w:contextualSpacing/>
        <w:rPr>
          <w:sz w:val="26"/>
          <w:szCs w:val="26"/>
        </w:rPr>
      </w:pPr>
      <w:r>
        <w:rPr>
          <w:sz w:val="26"/>
          <w:szCs w:val="26"/>
        </w:rPr>
        <w:t>Additionally, we note that we are</w:t>
      </w:r>
      <w:r w:rsidRPr="002A6750">
        <w:rPr>
          <w:sz w:val="26"/>
          <w:szCs w:val="26"/>
        </w:rPr>
        <w:t xml:space="preserve"> not required to consider expressly or at length each contention or argument raised by the parties.  </w:t>
      </w:r>
      <w:hyperlink r:id="rId8"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9"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r>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we did</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this Order </w:t>
      </w:r>
      <w:r w:rsidRPr="002A6750">
        <w:rPr>
          <w:sz w:val="26"/>
          <w:szCs w:val="26"/>
        </w:rPr>
        <w:t>shall be deemed to have been duly considered and denied without further discussion.</w:t>
      </w:r>
    </w:p>
    <w:p w:rsidR="005337CF" w:rsidRPr="005337CF" w:rsidRDefault="005337CF" w:rsidP="00A6670C">
      <w:pPr>
        <w:widowControl/>
        <w:spacing w:line="360" w:lineRule="auto"/>
        <w:ind w:firstLine="1440"/>
        <w:contextualSpacing/>
        <w:rPr>
          <w:sz w:val="26"/>
          <w:szCs w:val="26"/>
        </w:rPr>
      </w:pPr>
    </w:p>
    <w:p w:rsidR="007D0C12" w:rsidRPr="00CF63A2" w:rsidRDefault="007D0C12" w:rsidP="00A6670C">
      <w:pPr>
        <w:pStyle w:val="ListParagraph"/>
        <w:keepNext/>
        <w:keepLines/>
        <w:widowControl/>
        <w:numPr>
          <w:ilvl w:val="0"/>
          <w:numId w:val="10"/>
        </w:numPr>
        <w:spacing w:line="360" w:lineRule="auto"/>
        <w:contextualSpacing w:val="0"/>
        <w:rPr>
          <w:b/>
          <w:sz w:val="26"/>
          <w:szCs w:val="26"/>
        </w:rPr>
      </w:pPr>
      <w:r w:rsidRPr="00CF63A2">
        <w:rPr>
          <w:b/>
          <w:sz w:val="26"/>
          <w:szCs w:val="26"/>
        </w:rPr>
        <w:t>Legal Standards</w:t>
      </w:r>
    </w:p>
    <w:p w:rsidR="007D0C12" w:rsidRDefault="007D0C12" w:rsidP="00A6670C">
      <w:pPr>
        <w:keepNext/>
        <w:keepLines/>
        <w:widowControl/>
        <w:spacing w:line="360" w:lineRule="auto"/>
        <w:rPr>
          <w:b/>
          <w:sz w:val="26"/>
          <w:szCs w:val="26"/>
        </w:rPr>
      </w:pPr>
    </w:p>
    <w:p w:rsidR="00FD56D4" w:rsidRPr="00FD56D4" w:rsidRDefault="00FD56D4" w:rsidP="00A6670C">
      <w:pPr>
        <w:pStyle w:val="ListParagraph"/>
        <w:keepNext/>
        <w:keepLines/>
        <w:widowControl/>
        <w:numPr>
          <w:ilvl w:val="0"/>
          <w:numId w:val="12"/>
        </w:numPr>
        <w:spacing w:line="360" w:lineRule="auto"/>
        <w:rPr>
          <w:b/>
          <w:sz w:val="26"/>
          <w:szCs w:val="26"/>
        </w:rPr>
      </w:pPr>
      <w:r w:rsidRPr="00FD56D4">
        <w:rPr>
          <w:b/>
          <w:sz w:val="26"/>
          <w:szCs w:val="26"/>
        </w:rPr>
        <w:t>Foreign Load</w:t>
      </w:r>
    </w:p>
    <w:p w:rsidR="00FD56D4" w:rsidRDefault="00FD56D4" w:rsidP="00A6670C">
      <w:pPr>
        <w:keepNext/>
        <w:keepLines/>
        <w:widowControl/>
        <w:spacing w:line="360" w:lineRule="auto"/>
        <w:rPr>
          <w:sz w:val="26"/>
          <w:szCs w:val="26"/>
        </w:rPr>
      </w:pPr>
    </w:p>
    <w:p w:rsidR="00A73E48" w:rsidRDefault="00FD56D4" w:rsidP="00A6670C">
      <w:pPr>
        <w:widowControl/>
        <w:spacing w:line="360" w:lineRule="auto"/>
        <w:ind w:firstLine="1440"/>
        <w:rPr>
          <w:sz w:val="26"/>
          <w:szCs w:val="26"/>
        </w:rPr>
      </w:pPr>
      <w:bookmarkStart w:id="2" w:name="_Hlk505935272"/>
      <w:r>
        <w:rPr>
          <w:sz w:val="26"/>
          <w:szCs w:val="26"/>
        </w:rPr>
        <w:t>The term “f</w:t>
      </w:r>
      <w:r w:rsidRPr="00687B34">
        <w:rPr>
          <w:sz w:val="26"/>
          <w:szCs w:val="26"/>
        </w:rPr>
        <w:t>oreign load</w:t>
      </w:r>
      <w:r>
        <w:rPr>
          <w:sz w:val="26"/>
          <w:szCs w:val="26"/>
        </w:rPr>
        <w:t>”</w:t>
      </w:r>
      <w:r w:rsidRPr="00687B34">
        <w:rPr>
          <w:sz w:val="26"/>
          <w:szCs w:val="26"/>
        </w:rPr>
        <w:t xml:space="preserve"> refers to the situation </w:t>
      </w:r>
      <w:r w:rsidRPr="00687B34">
        <w:rPr>
          <w:color w:val="000000"/>
          <w:sz w:val="26"/>
          <w:szCs w:val="26"/>
        </w:rPr>
        <w:t xml:space="preserve">where a </w:t>
      </w:r>
      <w:r>
        <w:rPr>
          <w:color w:val="000000"/>
          <w:sz w:val="26"/>
          <w:szCs w:val="26"/>
        </w:rPr>
        <w:t>customer</w:t>
      </w:r>
      <w:r w:rsidR="00694B7B">
        <w:rPr>
          <w:color w:val="000000"/>
          <w:sz w:val="26"/>
          <w:szCs w:val="26"/>
        </w:rPr>
        <w:t>’</w:t>
      </w:r>
      <w:r w:rsidRPr="00687B34">
        <w:rPr>
          <w:color w:val="000000"/>
          <w:sz w:val="26"/>
          <w:szCs w:val="26"/>
        </w:rPr>
        <w:t xml:space="preserve">s meter registers utility usage not </w:t>
      </w:r>
      <w:r w:rsidRPr="00687B34">
        <w:rPr>
          <w:sz w:val="26"/>
          <w:szCs w:val="26"/>
        </w:rPr>
        <w:t xml:space="preserve">exclusive to the </w:t>
      </w:r>
      <w:r>
        <w:rPr>
          <w:sz w:val="26"/>
          <w:szCs w:val="26"/>
        </w:rPr>
        <w:t>customer</w:t>
      </w:r>
      <w:r w:rsidR="00694B7B">
        <w:rPr>
          <w:sz w:val="26"/>
          <w:szCs w:val="26"/>
        </w:rPr>
        <w:t>’</w:t>
      </w:r>
      <w:r w:rsidRPr="00687B34">
        <w:rPr>
          <w:sz w:val="26"/>
          <w:szCs w:val="26"/>
        </w:rPr>
        <w:t xml:space="preserve">s dwelling unit or its occupants.  In 1993, the General Assembly amended the </w:t>
      </w:r>
      <w:r w:rsidR="00A6670C">
        <w:rPr>
          <w:sz w:val="26"/>
          <w:szCs w:val="26"/>
        </w:rPr>
        <w:t>Public Utility Code (</w:t>
      </w:r>
      <w:r w:rsidRPr="00687B34">
        <w:rPr>
          <w:sz w:val="26"/>
          <w:szCs w:val="26"/>
        </w:rPr>
        <w:t>Code</w:t>
      </w:r>
      <w:r w:rsidR="00A6670C">
        <w:rPr>
          <w:sz w:val="26"/>
          <w:szCs w:val="26"/>
        </w:rPr>
        <w:t>)</w:t>
      </w:r>
      <w:r w:rsidRPr="00687B34">
        <w:rPr>
          <w:sz w:val="26"/>
          <w:szCs w:val="26"/>
        </w:rPr>
        <w:t xml:space="preserve"> to include 66 Pa. C.S. §</w:t>
      </w:r>
      <w:r w:rsidR="00A6670C">
        <w:rPr>
          <w:sz w:val="26"/>
          <w:szCs w:val="26"/>
        </w:rPr>
        <w:t> </w:t>
      </w:r>
      <w:r w:rsidRPr="00687B34">
        <w:rPr>
          <w:sz w:val="26"/>
          <w:szCs w:val="26"/>
        </w:rPr>
        <w:t>1529.1 to address foreign load issues.</w:t>
      </w:r>
      <w:r w:rsidRPr="00687B34">
        <w:rPr>
          <w:rStyle w:val="FootnoteReference"/>
          <w:sz w:val="26"/>
          <w:szCs w:val="26"/>
        </w:rPr>
        <w:footnoteReference w:id="5"/>
      </w:r>
      <w:r w:rsidRPr="00687B34">
        <w:rPr>
          <w:sz w:val="26"/>
          <w:szCs w:val="26"/>
        </w:rPr>
        <w:t xml:space="preserve">  </w:t>
      </w:r>
      <w:r>
        <w:rPr>
          <w:sz w:val="26"/>
          <w:szCs w:val="26"/>
        </w:rPr>
        <w:t>Section 1529.1 provides as follows (emphasis added):</w:t>
      </w:r>
    </w:p>
    <w:p w:rsidR="0099020B" w:rsidRPr="00687B34" w:rsidRDefault="0099020B" w:rsidP="00A6670C">
      <w:pPr>
        <w:widowControl/>
        <w:spacing w:line="360" w:lineRule="auto"/>
        <w:ind w:firstLine="1440"/>
        <w:rPr>
          <w:sz w:val="26"/>
          <w:szCs w:val="26"/>
        </w:rPr>
      </w:pPr>
    </w:p>
    <w:p w:rsidR="00FD56D4" w:rsidRDefault="00FD56D4" w:rsidP="00A6670C">
      <w:pPr>
        <w:pStyle w:val="Default"/>
        <w:keepNext/>
        <w:keepLines/>
        <w:ind w:left="1440" w:right="1440"/>
        <w:rPr>
          <w:sz w:val="26"/>
          <w:szCs w:val="26"/>
        </w:rPr>
      </w:pPr>
      <w:r w:rsidRPr="00687B34">
        <w:rPr>
          <w:sz w:val="26"/>
          <w:szCs w:val="26"/>
        </w:rPr>
        <w:t xml:space="preserve">§ 1529.1. Duty of owners of rental property </w:t>
      </w:r>
    </w:p>
    <w:p w:rsidR="006D6995" w:rsidRPr="00687B34" w:rsidRDefault="006D6995" w:rsidP="00A6670C">
      <w:pPr>
        <w:pStyle w:val="Default"/>
        <w:keepNext/>
        <w:keepLines/>
        <w:ind w:left="1440" w:right="1440"/>
        <w:rPr>
          <w:sz w:val="26"/>
          <w:szCs w:val="26"/>
        </w:rPr>
      </w:pPr>
    </w:p>
    <w:p w:rsidR="00FD56D4" w:rsidRDefault="00FD56D4" w:rsidP="00A6670C">
      <w:pPr>
        <w:pStyle w:val="Default"/>
        <w:ind w:left="1440" w:right="1440"/>
        <w:rPr>
          <w:bCs/>
          <w:i/>
          <w:sz w:val="26"/>
          <w:szCs w:val="26"/>
        </w:rPr>
      </w:pPr>
      <w:bookmarkStart w:id="3" w:name="_Hlk505937745"/>
      <w:r w:rsidRPr="00687B34">
        <w:rPr>
          <w:sz w:val="26"/>
          <w:szCs w:val="26"/>
        </w:rPr>
        <w:t xml:space="preserve">(a) </w:t>
      </w:r>
      <w:r w:rsidRPr="00687B34">
        <w:rPr>
          <w:b/>
          <w:iCs/>
          <w:sz w:val="26"/>
          <w:szCs w:val="26"/>
        </w:rPr>
        <w:t xml:space="preserve">Notice to public </w:t>
      </w:r>
      <w:proofErr w:type="gramStart"/>
      <w:r w:rsidRPr="00687B34">
        <w:rPr>
          <w:b/>
          <w:iCs/>
          <w:sz w:val="26"/>
          <w:szCs w:val="26"/>
        </w:rPr>
        <w:t>utility</w:t>
      </w:r>
      <w:r w:rsidRPr="00687B34">
        <w:rPr>
          <w:i/>
          <w:iCs/>
          <w:sz w:val="26"/>
          <w:szCs w:val="26"/>
        </w:rPr>
        <w:t>.</w:t>
      </w:r>
      <w:r w:rsidR="006D6995">
        <w:rPr>
          <w:i/>
          <w:iCs/>
          <w:sz w:val="26"/>
          <w:szCs w:val="26"/>
        </w:rPr>
        <w:t>—</w:t>
      </w:r>
      <w:proofErr w:type="gramEnd"/>
      <w:r w:rsidRPr="00687B34">
        <w:rPr>
          <w:sz w:val="26"/>
          <w:szCs w:val="26"/>
        </w:rPr>
        <w:t>It is the duty of every owner of a residential building</w:t>
      </w:r>
      <w:r w:rsidR="006D6995">
        <w:rPr>
          <w:sz w:val="26"/>
          <w:szCs w:val="26"/>
        </w:rPr>
        <w:t xml:space="preserve"> . . .</w:t>
      </w:r>
      <w:r w:rsidRPr="00687B34">
        <w:rPr>
          <w:sz w:val="26"/>
          <w:szCs w:val="26"/>
        </w:rPr>
        <w:t xml:space="preserve">, which contains one or more dwelling units, </w:t>
      </w:r>
      <w:r w:rsidRPr="00687B34">
        <w:rPr>
          <w:bCs/>
          <w:i/>
          <w:sz w:val="26"/>
          <w:szCs w:val="26"/>
        </w:rPr>
        <w:t>not individually metered</w:t>
      </w:r>
      <w:r w:rsidRPr="00687B34">
        <w:rPr>
          <w:bCs/>
          <w:sz w:val="26"/>
          <w:szCs w:val="26"/>
        </w:rPr>
        <w:t>, to notify each public utility from whom utility service is received of their ownership and the fact that the premises served are used for rental purposes</w:t>
      </w:r>
      <w:r w:rsidRPr="00687B34">
        <w:rPr>
          <w:bCs/>
          <w:i/>
          <w:sz w:val="26"/>
          <w:szCs w:val="26"/>
        </w:rPr>
        <w:t>.</w:t>
      </w:r>
    </w:p>
    <w:p w:rsidR="00A6670C" w:rsidRPr="006D6995" w:rsidRDefault="00A6670C" w:rsidP="00A6670C">
      <w:pPr>
        <w:pStyle w:val="Default"/>
        <w:ind w:left="1440" w:right="1440"/>
        <w:rPr>
          <w:i/>
          <w:iCs/>
          <w:sz w:val="26"/>
          <w:szCs w:val="26"/>
        </w:rPr>
      </w:pPr>
    </w:p>
    <w:p w:rsidR="00FD56D4" w:rsidRPr="00687B34" w:rsidRDefault="00FD56D4" w:rsidP="00A6670C">
      <w:pPr>
        <w:pStyle w:val="Default"/>
        <w:spacing w:after="240"/>
        <w:ind w:left="1440" w:right="1440"/>
        <w:rPr>
          <w:sz w:val="26"/>
          <w:szCs w:val="26"/>
        </w:rPr>
      </w:pPr>
      <w:r w:rsidRPr="00687B34">
        <w:rPr>
          <w:sz w:val="26"/>
          <w:szCs w:val="26"/>
        </w:rPr>
        <w:t xml:space="preserve">(b) </w:t>
      </w:r>
      <w:r w:rsidRPr="00687B34">
        <w:rPr>
          <w:b/>
          <w:sz w:val="26"/>
          <w:szCs w:val="26"/>
        </w:rPr>
        <w:t>H</w:t>
      </w:r>
      <w:r w:rsidRPr="00687B34">
        <w:rPr>
          <w:b/>
          <w:iCs/>
          <w:sz w:val="26"/>
          <w:szCs w:val="26"/>
        </w:rPr>
        <w:t xml:space="preserve">istory of </w:t>
      </w:r>
      <w:proofErr w:type="gramStart"/>
      <w:r w:rsidRPr="00687B34">
        <w:rPr>
          <w:b/>
          <w:iCs/>
          <w:sz w:val="26"/>
          <w:szCs w:val="26"/>
        </w:rPr>
        <w:t>account</w:t>
      </w:r>
      <w:r w:rsidRPr="00687B34">
        <w:rPr>
          <w:i/>
          <w:iCs/>
          <w:sz w:val="26"/>
          <w:szCs w:val="26"/>
        </w:rPr>
        <w:t>.--</w:t>
      </w:r>
      <w:proofErr w:type="gramEnd"/>
      <w:r w:rsidRPr="00687B34">
        <w:rPr>
          <w:i/>
          <w:iCs/>
          <w:sz w:val="26"/>
          <w:szCs w:val="26"/>
        </w:rPr>
        <w:t xml:space="preserve"> </w:t>
      </w:r>
      <w:r w:rsidRPr="00687B34">
        <w:rPr>
          <w:sz w:val="26"/>
          <w:szCs w:val="26"/>
        </w:rPr>
        <w:t>Upon receipt of the notice provided in this section, if the</w:t>
      </w:r>
      <w:r w:rsidR="006D6995">
        <w:rPr>
          <w:sz w:val="26"/>
          <w:szCs w:val="26"/>
        </w:rPr>
        <w:t xml:space="preserve"> . . . </w:t>
      </w:r>
      <w:r w:rsidRPr="00687B34">
        <w:rPr>
          <w:sz w:val="26"/>
          <w:szCs w:val="26"/>
        </w:rPr>
        <w:t xml:space="preserve">residential building contains </w:t>
      </w:r>
      <w:r w:rsidRPr="00687B34">
        <w:rPr>
          <w:bCs/>
          <w:sz w:val="26"/>
          <w:szCs w:val="26"/>
        </w:rPr>
        <w:t xml:space="preserve">one or more dwelling units </w:t>
      </w:r>
      <w:r w:rsidRPr="001E6995">
        <w:rPr>
          <w:bCs/>
          <w:i/>
          <w:sz w:val="26"/>
          <w:szCs w:val="26"/>
        </w:rPr>
        <w:t>not individually metered</w:t>
      </w:r>
      <w:r w:rsidRPr="00687B34">
        <w:rPr>
          <w:bCs/>
          <w:sz w:val="26"/>
          <w:szCs w:val="26"/>
        </w:rPr>
        <w:t>, an affected public utility shall forthwith list the account for the premises in question in the name of the owner, and the owner shall thereafter be responsible for the payment for the utility services rendered thereunto</w:t>
      </w:r>
      <w:r w:rsidR="006D6995">
        <w:rPr>
          <w:bCs/>
          <w:sz w:val="26"/>
          <w:szCs w:val="26"/>
        </w:rPr>
        <w:t xml:space="preserve"> . . . </w:t>
      </w:r>
    </w:p>
    <w:p w:rsidR="00744E80" w:rsidRDefault="00FD56D4" w:rsidP="00A6670C">
      <w:pPr>
        <w:pStyle w:val="Default"/>
        <w:ind w:left="1440" w:right="1440"/>
        <w:rPr>
          <w:bCs/>
          <w:i/>
          <w:sz w:val="26"/>
          <w:szCs w:val="26"/>
        </w:rPr>
      </w:pPr>
      <w:r w:rsidRPr="00687B34">
        <w:rPr>
          <w:sz w:val="26"/>
          <w:szCs w:val="26"/>
        </w:rPr>
        <w:t xml:space="preserve">(c) </w:t>
      </w:r>
      <w:r w:rsidRPr="00687B34">
        <w:rPr>
          <w:b/>
          <w:iCs/>
          <w:sz w:val="26"/>
          <w:szCs w:val="26"/>
        </w:rPr>
        <w:t xml:space="preserve">Failure to give </w:t>
      </w:r>
      <w:proofErr w:type="gramStart"/>
      <w:r w:rsidRPr="00687B34">
        <w:rPr>
          <w:b/>
          <w:iCs/>
          <w:sz w:val="26"/>
          <w:szCs w:val="26"/>
        </w:rPr>
        <w:t>notice</w:t>
      </w:r>
      <w:r w:rsidRPr="00687B34">
        <w:rPr>
          <w:i/>
          <w:iCs/>
          <w:sz w:val="26"/>
          <w:szCs w:val="26"/>
        </w:rPr>
        <w:t>.</w:t>
      </w:r>
      <w:r w:rsidR="006D6995">
        <w:rPr>
          <w:i/>
          <w:iCs/>
          <w:sz w:val="26"/>
          <w:szCs w:val="26"/>
        </w:rPr>
        <w:t>—</w:t>
      </w:r>
      <w:proofErr w:type="gramEnd"/>
      <w:r w:rsidRPr="00687B34">
        <w:rPr>
          <w:bCs/>
          <w:sz w:val="26"/>
          <w:szCs w:val="26"/>
        </w:rPr>
        <w:t>Any owner of a residential building</w:t>
      </w:r>
      <w:r w:rsidR="006D6995">
        <w:rPr>
          <w:bCs/>
          <w:sz w:val="26"/>
          <w:szCs w:val="26"/>
        </w:rPr>
        <w:t xml:space="preserve"> . . . </w:t>
      </w:r>
      <w:r w:rsidRPr="00687B34">
        <w:rPr>
          <w:bCs/>
          <w:sz w:val="26"/>
          <w:szCs w:val="26"/>
        </w:rPr>
        <w:t>failing to notify affected public utilities as required by this section shall nonetheless be responsible for payment of the utility services as if the required notice had been given</w:t>
      </w:r>
      <w:r w:rsidRPr="00687B34">
        <w:rPr>
          <w:bCs/>
          <w:i/>
          <w:sz w:val="26"/>
          <w:szCs w:val="26"/>
        </w:rPr>
        <w:t>.</w:t>
      </w:r>
      <w:bookmarkEnd w:id="3"/>
    </w:p>
    <w:p w:rsidR="00A6670C" w:rsidRPr="006D6995" w:rsidRDefault="00A6670C" w:rsidP="00A6670C">
      <w:pPr>
        <w:pStyle w:val="Default"/>
        <w:ind w:left="1440" w:right="1440"/>
        <w:rPr>
          <w:i/>
          <w:iCs/>
          <w:sz w:val="26"/>
          <w:szCs w:val="26"/>
        </w:rPr>
      </w:pPr>
    </w:p>
    <w:p w:rsidR="0002018B" w:rsidRDefault="0002018B" w:rsidP="00A6670C">
      <w:pPr>
        <w:widowControl/>
        <w:spacing w:line="360" w:lineRule="auto"/>
        <w:ind w:firstLine="1440"/>
        <w:rPr>
          <w:sz w:val="26"/>
          <w:szCs w:val="26"/>
        </w:rPr>
      </w:pPr>
    </w:p>
    <w:p w:rsidR="00FD56D4" w:rsidRDefault="00FD56D4" w:rsidP="00A6670C">
      <w:pPr>
        <w:widowControl/>
        <w:spacing w:line="360" w:lineRule="auto"/>
        <w:ind w:firstLine="1440"/>
        <w:rPr>
          <w:sz w:val="26"/>
          <w:szCs w:val="26"/>
        </w:rPr>
      </w:pPr>
      <w:r w:rsidRPr="00687B34">
        <w:rPr>
          <w:sz w:val="26"/>
          <w:szCs w:val="26"/>
        </w:rPr>
        <w:t xml:space="preserve">The phrase “not individually metered,” as used in Section 1529.1, is not defined in the Code or </w:t>
      </w:r>
      <w:r w:rsidR="006D6995">
        <w:rPr>
          <w:sz w:val="26"/>
          <w:szCs w:val="26"/>
        </w:rPr>
        <w:t>our</w:t>
      </w:r>
      <w:r w:rsidRPr="00687B34">
        <w:rPr>
          <w:sz w:val="26"/>
          <w:szCs w:val="26"/>
        </w:rPr>
        <w:t xml:space="preserve"> Regulations.  </w:t>
      </w:r>
      <w:r w:rsidRPr="00687B34">
        <w:rPr>
          <w:i/>
          <w:sz w:val="26"/>
          <w:szCs w:val="26"/>
        </w:rPr>
        <w:t>See 1-A Realty v. Pa. PUC</w:t>
      </w:r>
      <w:r w:rsidRPr="00687B34">
        <w:rPr>
          <w:sz w:val="26"/>
          <w:szCs w:val="26"/>
        </w:rPr>
        <w:t>, 63 A.3d 480, 483 (Pa. Cmwlth. 2013).  However, s</w:t>
      </w:r>
      <w:r w:rsidRPr="00687B34">
        <w:rPr>
          <w:color w:val="000000"/>
          <w:sz w:val="26"/>
          <w:szCs w:val="26"/>
        </w:rPr>
        <w:t xml:space="preserve">ince the enactment of Section 1529.1 of the Code in 1993, </w:t>
      </w:r>
      <w:r w:rsidR="006D6995">
        <w:rPr>
          <w:color w:val="000000"/>
          <w:sz w:val="26"/>
          <w:szCs w:val="26"/>
        </w:rPr>
        <w:t xml:space="preserve">we consistently have </w:t>
      </w:r>
      <w:r w:rsidRPr="00687B34">
        <w:rPr>
          <w:color w:val="000000"/>
          <w:sz w:val="26"/>
          <w:szCs w:val="26"/>
        </w:rPr>
        <w:t xml:space="preserve">defined “not individually metered” in </w:t>
      </w:r>
      <w:r w:rsidR="006D6995">
        <w:rPr>
          <w:color w:val="000000"/>
          <w:sz w:val="26"/>
          <w:szCs w:val="26"/>
        </w:rPr>
        <w:t>our</w:t>
      </w:r>
      <w:r w:rsidRPr="00687B34">
        <w:rPr>
          <w:color w:val="000000"/>
          <w:sz w:val="26"/>
          <w:szCs w:val="26"/>
        </w:rPr>
        <w:t xml:space="preserve"> decisions as the “utility meter for the unit is registering a foreign load, or usage not </w:t>
      </w:r>
      <w:r w:rsidRPr="00687B34">
        <w:rPr>
          <w:sz w:val="26"/>
          <w:szCs w:val="26"/>
        </w:rPr>
        <w:t xml:space="preserve">exclusive to the dwelling unit or its occupants.”  </w:t>
      </w:r>
      <w:r w:rsidRPr="00687B34">
        <w:rPr>
          <w:i/>
          <w:sz w:val="26"/>
          <w:szCs w:val="26"/>
        </w:rPr>
        <w:t>Id</w:t>
      </w:r>
      <w:r w:rsidRPr="00687B34">
        <w:rPr>
          <w:sz w:val="26"/>
          <w:szCs w:val="26"/>
        </w:rPr>
        <w:t>. at 483 (citations omitted).</w:t>
      </w:r>
      <w:r w:rsidRPr="00687B34">
        <w:rPr>
          <w:rStyle w:val="FootnoteReference"/>
          <w:sz w:val="26"/>
          <w:szCs w:val="26"/>
        </w:rPr>
        <w:footnoteReference w:id="6"/>
      </w:r>
    </w:p>
    <w:p w:rsidR="00FD56D4" w:rsidRDefault="00FD56D4" w:rsidP="00A6670C">
      <w:pPr>
        <w:widowControl/>
        <w:spacing w:line="360" w:lineRule="auto"/>
        <w:rPr>
          <w:sz w:val="26"/>
          <w:szCs w:val="26"/>
        </w:rPr>
      </w:pPr>
    </w:p>
    <w:p w:rsidR="00FD56D4" w:rsidRDefault="00FD56D4" w:rsidP="00A6670C">
      <w:pPr>
        <w:widowControl/>
        <w:spacing w:line="360" w:lineRule="auto"/>
        <w:ind w:firstLine="1440"/>
        <w:rPr>
          <w:sz w:val="26"/>
          <w:szCs w:val="26"/>
        </w:rPr>
      </w:pPr>
      <w:bookmarkStart w:id="4" w:name="_Hlk505159165"/>
      <w:r w:rsidRPr="00687B34">
        <w:rPr>
          <w:i/>
          <w:sz w:val="26"/>
          <w:szCs w:val="26"/>
        </w:rPr>
        <w:t>In Ace Check Cashing</w:t>
      </w:r>
      <w:r w:rsidRPr="00687B34">
        <w:rPr>
          <w:sz w:val="26"/>
          <w:szCs w:val="26"/>
        </w:rPr>
        <w:t xml:space="preserve">, </w:t>
      </w:r>
      <w:r w:rsidR="006D6995">
        <w:rPr>
          <w:sz w:val="26"/>
          <w:szCs w:val="26"/>
        </w:rPr>
        <w:t>we</w:t>
      </w:r>
      <w:r w:rsidRPr="00687B34">
        <w:rPr>
          <w:sz w:val="26"/>
          <w:szCs w:val="26"/>
        </w:rPr>
        <w:t xml:space="preserve"> explained the operation of Section 1529.1.  Specifically, Subsection (a) of Section 1529.1 establishes an affirmative duty on the owner of a property to notify the utility if a residential building contains “one or more dwelling units, not</w:t>
      </w:r>
      <w:r w:rsidR="00EF0443">
        <w:rPr>
          <w:sz w:val="26"/>
          <w:szCs w:val="26"/>
        </w:rPr>
        <w:t xml:space="preserve"> individually metered.”</w:t>
      </w:r>
      <w:r w:rsidRPr="00687B34">
        <w:rPr>
          <w:sz w:val="26"/>
          <w:szCs w:val="26"/>
        </w:rPr>
        <w:t xml:space="preserve">  If the landlord provides the required notice, Subsection (b) requires the utility to list the account with the foreign load in</w:t>
      </w:r>
      <w:r w:rsidR="003E6D0D">
        <w:rPr>
          <w:sz w:val="26"/>
          <w:szCs w:val="26"/>
        </w:rPr>
        <w:t xml:space="preserve"> the landlord</w:t>
      </w:r>
      <w:r w:rsidR="00694B7B">
        <w:rPr>
          <w:sz w:val="26"/>
          <w:szCs w:val="26"/>
        </w:rPr>
        <w:t>’</w:t>
      </w:r>
      <w:r w:rsidR="003E6D0D">
        <w:rPr>
          <w:sz w:val="26"/>
          <w:szCs w:val="26"/>
        </w:rPr>
        <w:t>s name and hold</w:t>
      </w:r>
      <w:r w:rsidRPr="00687B34">
        <w:rPr>
          <w:sz w:val="26"/>
          <w:szCs w:val="26"/>
        </w:rPr>
        <w:t xml:space="preserve"> the landlord responsible for the payment for utility services rendered to the account.</w:t>
      </w:r>
      <w:r w:rsidR="00744E80">
        <w:rPr>
          <w:rStyle w:val="FootnoteReference"/>
          <w:sz w:val="26"/>
          <w:szCs w:val="26"/>
        </w:rPr>
        <w:footnoteReference w:id="7"/>
      </w:r>
      <w:r w:rsidRPr="00687B34">
        <w:rPr>
          <w:sz w:val="26"/>
          <w:szCs w:val="26"/>
        </w:rPr>
        <w:t xml:space="preserve">  If the landlord fails to provide the required notice, Subsection (c) </w:t>
      </w:r>
      <w:r w:rsidR="00B431DE">
        <w:rPr>
          <w:sz w:val="26"/>
          <w:szCs w:val="26"/>
        </w:rPr>
        <w:t>places an affirmative duty on</w:t>
      </w:r>
      <w:r w:rsidRPr="00687B34">
        <w:rPr>
          <w:sz w:val="26"/>
          <w:szCs w:val="26"/>
        </w:rPr>
        <w:t xml:space="preserve"> the utility</w:t>
      </w:r>
      <w:r w:rsidR="00B431DE">
        <w:rPr>
          <w:sz w:val="26"/>
          <w:szCs w:val="26"/>
        </w:rPr>
        <w:t xml:space="preserve"> to</w:t>
      </w:r>
      <w:r w:rsidRPr="00687B34">
        <w:rPr>
          <w:sz w:val="26"/>
          <w:szCs w:val="26"/>
        </w:rPr>
        <w:t xml:space="preserve"> proceed as if the notice had been provided.  </w:t>
      </w:r>
      <w:r w:rsidR="00B431DE">
        <w:rPr>
          <w:sz w:val="26"/>
          <w:szCs w:val="26"/>
        </w:rPr>
        <w:t>Thus</w:t>
      </w:r>
      <w:r w:rsidR="00ED361E">
        <w:rPr>
          <w:sz w:val="26"/>
          <w:szCs w:val="26"/>
        </w:rPr>
        <w:t>,</w:t>
      </w:r>
      <w:r w:rsidR="00B431DE">
        <w:rPr>
          <w:sz w:val="26"/>
          <w:szCs w:val="26"/>
        </w:rPr>
        <w:t xml:space="preserve"> a utility has an affirmative duty to investigate a foreign load or high bill complaint, and </w:t>
      </w:r>
      <w:r w:rsidR="00AE401A">
        <w:rPr>
          <w:sz w:val="26"/>
          <w:szCs w:val="26"/>
        </w:rPr>
        <w:t>i</w:t>
      </w:r>
      <w:r w:rsidRPr="00687B34">
        <w:rPr>
          <w:sz w:val="26"/>
          <w:szCs w:val="26"/>
        </w:rPr>
        <w:t xml:space="preserve">f the utility discovers </w:t>
      </w:r>
      <w:r w:rsidR="00B431DE">
        <w:rPr>
          <w:sz w:val="26"/>
          <w:szCs w:val="26"/>
        </w:rPr>
        <w:t>the presence of a foreign load</w:t>
      </w:r>
      <w:r w:rsidR="00AE401A">
        <w:rPr>
          <w:sz w:val="26"/>
          <w:szCs w:val="26"/>
        </w:rPr>
        <w:t>, the utility is required to</w:t>
      </w:r>
      <w:r w:rsidRPr="00687B34">
        <w:rPr>
          <w:sz w:val="26"/>
          <w:szCs w:val="26"/>
        </w:rPr>
        <w:t xml:space="preserve"> list the account in the landlord</w:t>
      </w:r>
      <w:r w:rsidR="00694B7B">
        <w:rPr>
          <w:sz w:val="26"/>
          <w:szCs w:val="26"/>
        </w:rPr>
        <w:t>’</w:t>
      </w:r>
      <w:r w:rsidRPr="00687B34">
        <w:rPr>
          <w:sz w:val="26"/>
          <w:szCs w:val="26"/>
        </w:rPr>
        <w:t xml:space="preserve">s name and hold the landlord responsible for the payment for utility services rendered to the account.  </w:t>
      </w:r>
      <w:bookmarkStart w:id="5" w:name="_Hlk505164331"/>
      <w:r w:rsidRPr="00687B34">
        <w:rPr>
          <w:i/>
          <w:sz w:val="26"/>
          <w:szCs w:val="26"/>
        </w:rPr>
        <w:t>See Ace Check Cashing</w:t>
      </w:r>
      <w:r w:rsidRPr="00687B34">
        <w:rPr>
          <w:sz w:val="26"/>
          <w:szCs w:val="26"/>
        </w:rPr>
        <w:t>.</w:t>
      </w:r>
      <w:bookmarkEnd w:id="2"/>
      <w:bookmarkEnd w:id="4"/>
      <w:bookmarkEnd w:id="5"/>
    </w:p>
    <w:p w:rsidR="00581E5F" w:rsidRDefault="00581E5F" w:rsidP="00A6670C">
      <w:pPr>
        <w:widowControl/>
        <w:spacing w:line="360" w:lineRule="auto"/>
        <w:ind w:firstLine="1440"/>
        <w:rPr>
          <w:sz w:val="26"/>
          <w:szCs w:val="26"/>
        </w:rPr>
      </w:pPr>
    </w:p>
    <w:p w:rsidR="000066AF" w:rsidRDefault="006D6995" w:rsidP="00A6670C">
      <w:pPr>
        <w:widowControl/>
        <w:spacing w:line="360" w:lineRule="auto"/>
        <w:ind w:firstLine="1440"/>
        <w:rPr>
          <w:sz w:val="26"/>
          <w:szCs w:val="26"/>
        </w:rPr>
      </w:pPr>
      <w:r>
        <w:rPr>
          <w:sz w:val="26"/>
          <w:szCs w:val="26"/>
        </w:rPr>
        <w:t>Our</w:t>
      </w:r>
      <w:r w:rsidR="003677FB">
        <w:rPr>
          <w:sz w:val="26"/>
          <w:szCs w:val="26"/>
        </w:rPr>
        <w:t xml:space="preserve"> f</w:t>
      </w:r>
      <w:r w:rsidR="00581E5F">
        <w:rPr>
          <w:sz w:val="26"/>
          <w:szCs w:val="26"/>
        </w:rPr>
        <w:t>oreign load</w:t>
      </w:r>
      <w:r w:rsidR="003677FB">
        <w:rPr>
          <w:sz w:val="26"/>
          <w:szCs w:val="26"/>
        </w:rPr>
        <w:t xml:space="preserve"> policy</w:t>
      </w:r>
      <w:r w:rsidR="00581E5F">
        <w:rPr>
          <w:sz w:val="26"/>
          <w:szCs w:val="26"/>
        </w:rPr>
        <w:t xml:space="preserve"> </w:t>
      </w:r>
      <w:r w:rsidR="00766CCF">
        <w:rPr>
          <w:sz w:val="26"/>
          <w:szCs w:val="26"/>
        </w:rPr>
        <w:t xml:space="preserve">in implementing Section 1529.1 </w:t>
      </w:r>
      <w:r w:rsidR="00581E5F">
        <w:rPr>
          <w:sz w:val="26"/>
          <w:szCs w:val="26"/>
        </w:rPr>
        <w:t>is</w:t>
      </w:r>
      <w:r w:rsidR="003677FB">
        <w:rPr>
          <w:sz w:val="26"/>
          <w:szCs w:val="26"/>
        </w:rPr>
        <w:t xml:space="preserve"> well-settled. </w:t>
      </w:r>
      <w:r w:rsidR="006B5355">
        <w:rPr>
          <w:sz w:val="26"/>
          <w:szCs w:val="26"/>
        </w:rPr>
        <w:t xml:space="preserve"> </w:t>
      </w:r>
      <w:r w:rsidR="000066AF" w:rsidRPr="005E1849">
        <w:rPr>
          <w:sz w:val="26"/>
          <w:szCs w:val="26"/>
        </w:rPr>
        <w:t xml:space="preserve">That long-standing policy, as articulated in </w:t>
      </w:r>
      <w:r w:rsidR="000066AF" w:rsidRPr="005E1849">
        <w:rPr>
          <w:i/>
          <w:sz w:val="26"/>
          <w:szCs w:val="26"/>
        </w:rPr>
        <w:t>Ace Check Cashing</w:t>
      </w:r>
      <w:r w:rsidR="000066AF">
        <w:rPr>
          <w:sz w:val="26"/>
          <w:szCs w:val="26"/>
        </w:rPr>
        <w:t xml:space="preserve"> (citing </w:t>
      </w:r>
      <w:r w:rsidR="000066AF" w:rsidRPr="000066AF">
        <w:rPr>
          <w:i/>
          <w:sz w:val="26"/>
          <w:szCs w:val="26"/>
        </w:rPr>
        <w:t>Santos</w:t>
      </w:r>
      <w:r w:rsidR="000066AF">
        <w:rPr>
          <w:sz w:val="26"/>
          <w:szCs w:val="26"/>
        </w:rPr>
        <w:t>)</w:t>
      </w:r>
      <w:r w:rsidR="000066AF" w:rsidRPr="005E1849">
        <w:rPr>
          <w:i/>
          <w:sz w:val="26"/>
          <w:szCs w:val="26"/>
        </w:rPr>
        <w:t>,</w:t>
      </w:r>
      <w:r w:rsidR="000066AF" w:rsidRPr="005E1849">
        <w:rPr>
          <w:sz w:val="26"/>
          <w:szCs w:val="26"/>
        </w:rPr>
        <w:t xml:space="preserve"> is as follows: </w:t>
      </w:r>
    </w:p>
    <w:p w:rsidR="000066AF" w:rsidRPr="005E1849" w:rsidRDefault="000066AF" w:rsidP="00A6670C">
      <w:pPr>
        <w:widowControl/>
        <w:spacing w:line="360" w:lineRule="auto"/>
        <w:ind w:firstLine="1440"/>
        <w:rPr>
          <w:sz w:val="26"/>
          <w:szCs w:val="26"/>
        </w:rPr>
      </w:pPr>
    </w:p>
    <w:p w:rsidR="000066AF" w:rsidRDefault="000066AF" w:rsidP="00A6670C">
      <w:pPr>
        <w:widowControl/>
        <w:ind w:left="1440" w:right="1440"/>
        <w:rPr>
          <w:sz w:val="26"/>
          <w:szCs w:val="26"/>
        </w:rPr>
      </w:pPr>
      <w:r w:rsidRPr="005E1849">
        <w:rPr>
          <w:sz w:val="26"/>
          <w:szCs w:val="26"/>
        </w:rPr>
        <w:t xml:space="preserve">Upon the finding of foreign load, the utility would list the account, </w:t>
      </w:r>
      <w:r w:rsidRPr="000066AF">
        <w:rPr>
          <w:sz w:val="26"/>
          <w:szCs w:val="26"/>
        </w:rPr>
        <w:t>including any arrearages,</w:t>
      </w:r>
      <w:r w:rsidRPr="005E1849">
        <w:rPr>
          <w:sz w:val="26"/>
          <w:szCs w:val="26"/>
        </w:rPr>
        <w:t xml:space="preserve"> in the name of the landlord.  The landlord had the responsibility to pay the utility bills until the foreign load was corrected.  Once the foreign load was corrected by the landlord and verified by the utility, the utility would place the account back in the name of the tenant.  However, </w:t>
      </w:r>
      <w:r w:rsidRPr="000066AF">
        <w:rPr>
          <w:sz w:val="26"/>
          <w:szCs w:val="26"/>
        </w:rPr>
        <w:t xml:space="preserve">the arrearage, if any, was to remain with the landlord.  </w:t>
      </w:r>
      <w:r w:rsidRPr="005E1849">
        <w:rPr>
          <w:sz w:val="26"/>
          <w:szCs w:val="26"/>
        </w:rPr>
        <w:t xml:space="preserve">There was no </w:t>
      </w:r>
      <w:r w:rsidRPr="005E1849">
        <w:rPr>
          <w:i/>
          <w:sz w:val="26"/>
          <w:szCs w:val="26"/>
        </w:rPr>
        <w:t xml:space="preserve">de </w:t>
      </w:r>
      <w:proofErr w:type="spellStart"/>
      <w:r w:rsidRPr="005E1849">
        <w:rPr>
          <w:i/>
          <w:sz w:val="26"/>
          <w:szCs w:val="26"/>
        </w:rPr>
        <w:t>minimus</w:t>
      </w:r>
      <w:proofErr w:type="spellEnd"/>
      <w:r w:rsidRPr="005E1849">
        <w:rPr>
          <w:sz w:val="26"/>
          <w:szCs w:val="26"/>
        </w:rPr>
        <w:t xml:space="preserve"> exception, and any dispute regarding the financial responsibilities of the parties [as between landlord and tenant] was a matter to be resolved in the Court of Common Pleas and outside this Commission</w:t>
      </w:r>
      <w:r w:rsidR="00694B7B">
        <w:rPr>
          <w:sz w:val="26"/>
          <w:szCs w:val="26"/>
        </w:rPr>
        <w:t>’</w:t>
      </w:r>
      <w:r w:rsidRPr="005E1849">
        <w:rPr>
          <w:sz w:val="26"/>
          <w:szCs w:val="26"/>
        </w:rPr>
        <w:t>s jurisdiction.</w:t>
      </w:r>
    </w:p>
    <w:p w:rsidR="00A6670C" w:rsidRDefault="00A6670C" w:rsidP="00A6670C">
      <w:pPr>
        <w:widowControl/>
        <w:ind w:left="1440" w:right="1440"/>
        <w:rPr>
          <w:sz w:val="26"/>
          <w:szCs w:val="26"/>
        </w:rPr>
      </w:pPr>
    </w:p>
    <w:p w:rsidR="000066AF" w:rsidRDefault="000066AF" w:rsidP="00A6670C">
      <w:pPr>
        <w:widowControl/>
        <w:spacing w:line="360" w:lineRule="auto"/>
        <w:ind w:left="1440" w:right="1440"/>
        <w:rPr>
          <w:sz w:val="26"/>
          <w:szCs w:val="26"/>
        </w:rPr>
      </w:pPr>
    </w:p>
    <w:p w:rsidR="00581E5F" w:rsidRDefault="009B60F9" w:rsidP="00A6670C">
      <w:pPr>
        <w:widowControl/>
        <w:spacing w:line="360" w:lineRule="auto"/>
        <w:ind w:firstLine="1440"/>
        <w:contextualSpacing/>
        <w:rPr>
          <w:sz w:val="26"/>
          <w:szCs w:val="26"/>
        </w:rPr>
      </w:pPr>
      <w:r>
        <w:rPr>
          <w:sz w:val="26"/>
          <w:szCs w:val="26"/>
        </w:rPr>
        <w:t>Accordingly</w:t>
      </w:r>
      <w:r w:rsidR="002669CA">
        <w:rPr>
          <w:sz w:val="26"/>
          <w:szCs w:val="26"/>
        </w:rPr>
        <w:t>, o</w:t>
      </w:r>
      <w:r w:rsidR="003677FB">
        <w:rPr>
          <w:sz w:val="26"/>
          <w:szCs w:val="26"/>
        </w:rPr>
        <w:t>nce a foreign load is</w:t>
      </w:r>
      <w:r w:rsidR="00581E5F">
        <w:rPr>
          <w:sz w:val="26"/>
          <w:szCs w:val="26"/>
        </w:rPr>
        <w:t xml:space="preserve"> verified on </w:t>
      </w:r>
      <w:r w:rsidR="00B74E9A">
        <w:rPr>
          <w:sz w:val="26"/>
          <w:szCs w:val="26"/>
        </w:rPr>
        <w:t>a</w:t>
      </w:r>
      <w:r w:rsidR="00581E5F">
        <w:rPr>
          <w:sz w:val="26"/>
          <w:szCs w:val="26"/>
        </w:rPr>
        <w:t xml:space="preserve"> tenant</w:t>
      </w:r>
      <w:r w:rsidR="00694B7B">
        <w:rPr>
          <w:sz w:val="26"/>
          <w:szCs w:val="26"/>
        </w:rPr>
        <w:t>’</w:t>
      </w:r>
      <w:r w:rsidR="00581E5F">
        <w:rPr>
          <w:sz w:val="26"/>
          <w:szCs w:val="26"/>
        </w:rPr>
        <w:t>s service, the</w:t>
      </w:r>
      <w:r w:rsidR="003677FB">
        <w:rPr>
          <w:sz w:val="26"/>
          <w:szCs w:val="26"/>
        </w:rPr>
        <w:t xml:space="preserve"> utility is to</w:t>
      </w:r>
      <w:r w:rsidR="003677FB" w:rsidRPr="003677FB">
        <w:rPr>
          <w:sz w:val="26"/>
          <w:szCs w:val="26"/>
        </w:rPr>
        <w:t xml:space="preserve"> </w:t>
      </w:r>
      <w:r w:rsidR="003677FB" w:rsidRPr="00687B34">
        <w:rPr>
          <w:sz w:val="26"/>
          <w:szCs w:val="26"/>
        </w:rPr>
        <w:t xml:space="preserve">list the account in the </w:t>
      </w:r>
      <w:r w:rsidR="003677FB">
        <w:rPr>
          <w:sz w:val="26"/>
          <w:szCs w:val="26"/>
        </w:rPr>
        <w:t>property owner</w:t>
      </w:r>
      <w:r w:rsidR="00694B7B">
        <w:rPr>
          <w:sz w:val="26"/>
          <w:szCs w:val="26"/>
        </w:rPr>
        <w:t>’</w:t>
      </w:r>
      <w:r w:rsidR="003677FB">
        <w:rPr>
          <w:sz w:val="26"/>
          <w:szCs w:val="26"/>
        </w:rPr>
        <w:t xml:space="preserve">s </w:t>
      </w:r>
      <w:r w:rsidR="003677FB" w:rsidRPr="00687B34">
        <w:rPr>
          <w:sz w:val="26"/>
          <w:szCs w:val="26"/>
        </w:rPr>
        <w:t>name</w:t>
      </w:r>
      <w:r w:rsidR="003677FB">
        <w:rPr>
          <w:sz w:val="26"/>
          <w:szCs w:val="26"/>
        </w:rPr>
        <w:t xml:space="preserve"> and hold the</w:t>
      </w:r>
      <w:r w:rsidR="00581E5F">
        <w:rPr>
          <w:sz w:val="26"/>
          <w:szCs w:val="26"/>
        </w:rPr>
        <w:t xml:space="preserve"> property owner financially responsible for the</w:t>
      </w:r>
      <w:r w:rsidR="003677FB">
        <w:rPr>
          <w:sz w:val="26"/>
          <w:szCs w:val="26"/>
        </w:rPr>
        <w:t xml:space="preserve"> current balance and any arrearages</w:t>
      </w:r>
      <w:r w:rsidR="00197829">
        <w:rPr>
          <w:rStyle w:val="FootnoteReference"/>
          <w:sz w:val="26"/>
          <w:szCs w:val="26"/>
        </w:rPr>
        <w:footnoteReference w:id="8"/>
      </w:r>
      <w:r w:rsidR="003677FB">
        <w:rPr>
          <w:sz w:val="26"/>
          <w:szCs w:val="26"/>
        </w:rPr>
        <w:t xml:space="preserve"> on the</w:t>
      </w:r>
      <w:r w:rsidR="00581E5F">
        <w:rPr>
          <w:sz w:val="26"/>
          <w:szCs w:val="26"/>
        </w:rPr>
        <w:t xml:space="preserve"> account.  It is only after the landlord corrects the foreign load, as verified by the utility, that the utility must re-list the account back in the name of the tenant; however, the landlord remains responsible for any arrearage on the tenant</w:t>
      </w:r>
      <w:r w:rsidR="00694B7B">
        <w:rPr>
          <w:sz w:val="26"/>
          <w:szCs w:val="26"/>
        </w:rPr>
        <w:t>’</w:t>
      </w:r>
      <w:r w:rsidR="00581E5F">
        <w:rPr>
          <w:sz w:val="26"/>
          <w:szCs w:val="26"/>
        </w:rPr>
        <w:t xml:space="preserve">s account that existed prior to when the utility verified that the foreign load was corrected.  </w:t>
      </w:r>
      <w:r w:rsidR="00581E5F" w:rsidRPr="00EC7444">
        <w:rPr>
          <w:i/>
          <w:sz w:val="26"/>
          <w:szCs w:val="26"/>
        </w:rPr>
        <w:t>Ace Check</w:t>
      </w:r>
      <w:r w:rsidR="00581E5F">
        <w:rPr>
          <w:i/>
          <w:sz w:val="26"/>
          <w:szCs w:val="26"/>
        </w:rPr>
        <w:t xml:space="preserve"> Cashing</w:t>
      </w:r>
      <w:r w:rsidR="00197829">
        <w:rPr>
          <w:sz w:val="26"/>
          <w:szCs w:val="26"/>
        </w:rPr>
        <w:t>;</w:t>
      </w:r>
      <w:r w:rsidR="00197829" w:rsidRPr="00197829">
        <w:rPr>
          <w:i/>
          <w:sz w:val="26"/>
          <w:szCs w:val="26"/>
        </w:rPr>
        <w:t xml:space="preserve"> </w:t>
      </w:r>
      <w:r w:rsidR="00197829" w:rsidRPr="00EC7444">
        <w:rPr>
          <w:i/>
          <w:sz w:val="26"/>
          <w:szCs w:val="26"/>
        </w:rPr>
        <w:t>Kopf</w:t>
      </w:r>
      <w:r w:rsidR="00581E5F">
        <w:rPr>
          <w:sz w:val="26"/>
          <w:szCs w:val="26"/>
        </w:rPr>
        <w:t xml:space="preserve">.  The utility must pursue collection of any unpaid amounts on the foreign-load affected account from the landlord, and not from the tenant.  </w:t>
      </w:r>
      <w:r w:rsidR="00581E5F" w:rsidRPr="00A55132">
        <w:rPr>
          <w:i/>
          <w:sz w:val="26"/>
          <w:szCs w:val="26"/>
        </w:rPr>
        <w:t>Santos</w:t>
      </w:r>
      <w:r w:rsidR="00581E5F">
        <w:rPr>
          <w:sz w:val="26"/>
          <w:szCs w:val="26"/>
        </w:rPr>
        <w:t>.</w:t>
      </w:r>
    </w:p>
    <w:p w:rsidR="0099020B" w:rsidRDefault="0099020B" w:rsidP="00A6670C">
      <w:pPr>
        <w:widowControl/>
        <w:spacing w:line="360" w:lineRule="auto"/>
        <w:ind w:firstLine="1440"/>
        <w:contextualSpacing/>
        <w:rPr>
          <w:sz w:val="26"/>
          <w:szCs w:val="26"/>
        </w:rPr>
      </w:pPr>
    </w:p>
    <w:p w:rsidR="00581E5F" w:rsidRDefault="0099020B" w:rsidP="00A6670C">
      <w:pPr>
        <w:widowControl/>
        <w:spacing w:line="360" w:lineRule="auto"/>
        <w:ind w:firstLine="1440"/>
        <w:rPr>
          <w:sz w:val="26"/>
          <w:szCs w:val="26"/>
        </w:rPr>
      </w:pPr>
      <w:r w:rsidRPr="00744E80">
        <w:rPr>
          <w:sz w:val="26"/>
          <w:szCs w:val="26"/>
        </w:rPr>
        <w:t xml:space="preserve">Section 1529.1 </w:t>
      </w:r>
      <w:r>
        <w:rPr>
          <w:sz w:val="26"/>
          <w:szCs w:val="26"/>
        </w:rPr>
        <w:t xml:space="preserve">is intended to </w:t>
      </w:r>
      <w:r w:rsidRPr="00744E80">
        <w:rPr>
          <w:sz w:val="26"/>
          <w:szCs w:val="26"/>
        </w:rPr>
        <w:t xml:space="preserve">protect residential tenants from the loss of utility service because another </w:t>
      </w:r>
      <w:r>
        <w:rPr>
          <w:sz w:val="26"/>
          <w:szCs w:val="26"/>
        </w:rPr>
        <w:t>customer</w:t>
      </w:r>
      <w:r w:rsidRPr="00744E80">
        <w:rPr>
          <w:sz w:val="26"/>
          <w:szCs w:val="26"/>
        </w:rPr>
        <w:t xml:space="preserve"> has service terminated by the utility.  </w:t>
      </w:r>
      <w:r w:rsidRPr="00744E80">
        <w:rPr>
          <w:i/>
          <w:sz w:val="26"/>
          <w:szCs w:val="26"/>
        </w:rPr>
        <w:t>See Elizabeth</w:t>
      </w:r>
      <w:r w:rsidRPr="00744E80">
        <w:rPr>
          <w:sz w:val="26"/>
          <w:szCs w:val="26"/>
        </w:rPr>
        <w:t xml:space="preserve"> </w:t>
      </w:r>
      <w:r w:rsidRPr="00744E80">
        <w:rPr>
          <w:i/>
          <w:sz w:val="26"/>
          <w:szCs w:val="26"/>
        </w:rPr>
        <w:t>Santos v. Metropolitan Edison Company</w:t>
      </w:r>
      <w:r w:rsidRPr="00744E80">
        <w:rPr>
          <w:sz w:val="26"/>
          <w:szCs w:val="26"/>
        </w:rPr>
        <w:t>, Docket No. C-00967757 (Order entered August 7, 1997) (</w:t>
      </w:r>
      <w:r w:rsidRPr="00744E80">
        <w:rPr>
          <w:i/>
          <w:sz w:val="26"/>
          <w:szCs w:val="26"/>
        </w:rPr>
        <w:t>Santos</w:t>
      </w:r>
      <w:r w:rsidRPr="00744E80">
        <w:rPr>
          <w:sz w:val="26"/>
          <w:szCs w:val="26"/>
        </w:rPr>
        <w:t xml:space="preserve">).  Additionally, Section 1529.1 </w:t>
      </w:r>
      <w:r>
        <w:rPr>
          <w:sz w:val="26"/>
          <w:szCs w:val="26"/>
        </w:rPr>
        <w:t>recognizes</w:t>
      </w:r>
      <w:r w:rsidRPr="00744E80">
        <w:rPr>
          <w:sz w:val="26"/>
          <w:szCs w:val="26"/>
        </w:rPr>
        <w:t xml:space="preserve"> that the property owner is in a better position to know about and correct the existence of the foreign load than a tenant.  </w:t>
      </w:r>
      <w:r w:rsidRPr="00744E80">
        <w:rPr>
          <w:i/>
          <w:sz w:val="26"/>
          <w:szCs w:val="26"/>
        </w:rPr>
        <w:t xml:space="preserve">See </w:t>
      </w:r>
      <w:r w:rsidRPr="00687B34">
        <w:rPr>
          <w:i/>
          <w:iCs/>
          <w:sz w:val="26"/>
          <w:szCs w:val="26"/>
        </w:rPr>
        <w:t>Albright v. UGI Penn Natural Gas Co., Inc.,</w:t>
      </w:r>
      <w:r w:rsidRPr="00687B34">
        <w:rPr>
          <w:sz w:val="26"/>
          <w:szCs w:val="26"/>
        </w:rPr>
        <w:t xml:space="preserve"> Docket No. F-2009-2139408 (Initial Decision Issued September 29, 2010) (</w:t>
      </w:r>
      <w:r w:rsidRPr="00687B34">
        <w:rPr>
          <w:i/>
          <w:sz w:val="26"/>
          <w:szCs w:val="26"/>
        </w:rPr>
        <w:t>Albright</w:t>
      </w:r>
      <w:r>
        <w:rPr>
          <w:sz w:val="26"/>
          <w:szCs w:val="26"/>
        </w:rPr>
        <w:t xml:space="preserve">); </w:t>
      </w:r>
      <w:r w:rsidRPr="00744E80">
        <w:rPr>
          <w:i/>
          <w:sz w:val="26"/>
          <w:szCs w:val="26"/>
        </w:rPr>
        <w:t>see also</w:t>
      </w:r>
      <w:r>
        <w:rPr>
          <w:sz w:val="26"/>
          <w:szCs w:val="26"/>
        </w:rPr>
        <w:t xml:space="preserve"> </w:t>
      </w:r>
      <w:r w:rsidRPr="00744E80">
        <w:rPr>
          <w:i/>
          <w:sz w:val="26"/>
          <w:szCs w:val="26"/>
        </w:rPr>
        <w:t>Ace Check Cashing, Inc. v. Philadelphia Gas Works</w:t>
      </w:r>
      <w:r w:rsidRPr="00744E80">
        <w:rPr>
          <w:sz w:val="26"/>
          <w:szCs w:val="26"/>
        </w:rPr>
        <w:t>, Docket No. C-2008-2056428 (Order entered May 21, 2010) (</w:t>
      </w:r>
      <w:r w:rsidRPr="00744E80">
        <w:rPr>
          <w:i/>
          <w:sz w:val="26"/>
          <w:szCs w:val="26"/>
        </w:rPr>
        <w:t>Ace Check Cashing</w:t>
      </w:r>
      <w:r w:rsidRPr="00744E80">
        <w:rPr>
          <w:sz w:val="26"/>
          <w:szCs w:val="26"/>
        </w:rPr>
        <w:t xml:space="preserve">).  </w:t>
      </w:r>
      <w:r>
        <w:rPr>
          <w:sz w:val="26"/>
          <w:szCs w:val="26"/>
        </w:rPr>
        <w:t>Th</w:t>
      </w:r>
      <w:r w:rsidRPr="00744E80">
        <w:rPr>
          <w:sz w:val="26"/>
          <w:szCs w:val="26"/>
        </w:rPr>
        <w:t>e operation of Section 1529.1 provides a</w:t>
      </w:r>
      <w:r>
        <w:rPr>
          <w:sz w:val="26"/>
          <w:szCs w:val="26"/>
        </w:rPr>
        <w:t>n</w:t>
      </w:r>
      <w:r w:rsidRPr="00744E80">
        <w:rPr>
          <w:sz w:val="26"/>
          <w:szCs w:val="26"/>
        </w:rPr>
        <w:t xml:space="preserve"> incentive for the landlord to correct the foreign load situation resulting from the wiring, plum</w:t>
      </w:r>
      <w:r>
        <w:rPr>
          <w:sz w:val="26"/>
          <w:szCs w:val="26"/>
        </w:rPr>
        <w:t>b</w:t>
      </w:r>
      <w:r w:rsidRPr="00744E80">
        <w:rPr>
          <w:sz w:val="26"/>
          <w:szCs w:val="26"/>
        </w:rPr>
        <w:t xml:space="preserve">ing or piping for which the landlord is responsible.  </w:t>
      </w:r>
      <w:r w:rsidRPr="00744E80">
        <w:rPr>
          <w:i/>
          <w:sz w:val="26"/>
          <w:szCs w:val="26"/>
        </w:rPr>
        <w:t>See</w:t>
      </w:r>
      <w:r w:rsidRPr="00744E80">
        <w:rPr>
          <w:sz w:val="26"/>
          <w:szCs w:val="26"/>
        </w:rPr>
        <w:t xml:space="preserve"> </w:t>
      </w:r>
      <w:r w:rsidRPr="00744E80">
        <w:rPr>
          <w:i/>
          <w:sz w:val="26"/>
          <w:szCs w:val="26"/>
        </w:rPr>
        <w:t>Ace Check Cashing</w:t>
      </w:r>
      <w:r w:rsidR="00A6670C">
        <w:rPr>
          <w:sz w:val="26"/>
          <w:szCs w:val="26"/>
        </w:rPr>
        <w:t>.</w:t>
      </w:r>
    </w:p>
    <w:p w:rsidR="0002018B" w:rsidRDefault="0002018B" w:rsidP="00A6670C">
      <w:pPr>
        <w:widowControl/>
        <w:spacing w:line="360" w:lineRule="auto"/>
        <w:ind w:firstLine="1440"/>
        <w:rPr>
          <w:sz w:val="26"/>
          <w:szCs w:val="26"/>
        </w:rPr>
      </w:pPr>
    </w:p>
    <w:p w:rsidR="00922CFE" w:rsidRPr="00744E80" w:rsidRDefault="00922CFE" w:rsidP="00A6670C">
      <w:pPr>
        <w:pStyle w:val="ListParagraph"/>
        <w:keepNext/>
        <w:widowControl/>
        <w:numPr>
          <w:ilvl w:val="0"/>
          <w:numId w:val="12"/>
        </w:numPr>
        <w:spacing w:line="360" w:lineRule="auto"/>
        <w:rPr>
          <w:b/>
          <w:sz w:val="26"/>
          <w:szCs w:val="26"/>
        </w:rPr>
      </w:pPr>
      <w:r w:rsidRPr="00744E80">
        <w:rPr>
          <w:b/>
          <w:sz w:val="26"/>
          <w:szCs w:val="26"/>
        </w:rPr>
        <w:t>Burden of Proof</w:t>
      </w:r>
    </w:p>
    <w:p w:rsidR="00922CFE" w:rsidRPr="00A9787D" w:rsidRDefault="00922CFE" w:rsidP="00A6670C">
      <w:pPr>
        <w:keepNext/>
        <w:widowControl/>
        <w:spacing w:line="360" w:lineRule="auto"/>
        <w:rPr>
          <w:b/>
          <w:sz w:val="26"/>
          <w:szCs w:val="26"/>
        </w:rPr>
      </w:pPr>
    </w:p>
    <w:p w:rsidR="000D60AA" w:rsidRPr="00BC7E17" w:rsidRDefault="000D60AA" w:rsidP="00A6670C">
      <w:pPr>
        <w:widowControl/>
        <w:spacing w:line="360" w:lineRule="auto"/>
        <w:ind w:firstLine="1440"/>
        <w:contextualSpacing/>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w:t>
      </w:r>
      <w:proofErr w:type="gramStart"/>
      <w:r w:rsidRPr="00BC7E17">
        <w:rPr>
          <w:sz w:val="26"/>
          <w:szCs w:val="26"/>
        </w:rPr>
        <w:t>in order to</w:t>
      </w:r>
      <w:proofErr w:type="gramEnd"/>
      <w:r w:rsidRPr="00BC7E17">
        <w:rPr>
          <w:sz w:val="26"/>
          <w:szCs w:val="26"/>
        </w:rPr>
        <w:t xml:space="preserve"> prevail.  </w:t>
      </w:r>
      <w:r w:rsidRPr="00BC7E17">
        <w:rPr>
          <w:i/>
          <w:sz w:val="26"/>
          <w:szCs w:val="26"/>
        </w:rPr>
        <w:t>Patterson v. The Bell Telephone Company of Pennsylvania</w:t>
      </w:r>
      <w:r w:rsidRPr="00BC7E17">
        <w:rPr>
          <w:sz w:val="26"/>
          <w:szCs w:val="26"/>
        </w:rPr>
        <w:t>, 72 Pa. P.U.C. 196 (1990).  The offense must be a violation of the Public Utility Code</w:t>
      </w:r>
      <w:r>
        <w:rPr>
          <w:sz w:val="26"/>
          <w:szCs w:val="26"/>
        </w:rPr>
        <w:t xml:space="preserve"> (Code)</w:t>
      </w:r>
      <w:r w:rsidRPr="00BC7E17">
        <w:rPr>
          <w:sz w:val="26"/>
          <w:szCs w:val="26"/>
        </w:rPr>
        <w:t xml:space="preserve">, a Commission Regulation or Order or a violation of a Commission-approved tariff.  66 Pa. C.S. § 701.  </w:t>
      </w:r>
    </w:p>
    <w:p w:rsidR="000D60AA" w:rsidRPr="00BC7E17" w:rsidRDefault="000D60AA" w:rsidP="00A6670C">
      <w:pPr>
        <w:widowControl/>
        <w:spacing w:line="360" w:lineRule="auto"/>
        <w:ind w:firstLine="1440"/>
        <w:rPr>
          <w:sz w:val="26"/>
          <w:szCs w:val="26"/>
        </w:rPr>
      </w:pPr>
    </w:p>
    <w:p w:rsidR="00502F00" w:rsidRPr="000D60AA" w:rsidRDefault="000D60AA" w:rsidP="00A6670C">
      <w:pPr>
        <w:widowControl/>
        <w:spacing w:line="360" w:lineRule="auto"/>
        <w:ind w:firstLine="1440"/>
        <w:rPr>
          <w:rFonts w:ascii="Arial" w:hAnsi="Arial" w:cs="Arial"/>
          <w:sz w:val="21"/>
          <w:szCs w:val="21"/>
        </w:rPr>
      </w:pPr>
      <w:r w:rsidRPr="00BC7E17">
        <w:rPr>
          <w:sz w:val="26"/>
          <w:szCs w:val="26"/>
        </w:rPr>
        <w:t>Section 332(a) of the Code provides that a complainant, as the party seeking affirmative relief from the Commission, has the burden of proof.  66 Pa. C.S. §</w:t>
      </w:r>
      <w:r w:rsidR="00A6670C">
        <w:rPr>
          <w:sz w:val="26"/>
          <w:szCs w:val="26"/>
        </w:rPr>
        <w:t> </w:t>
      </w:r>
      <w:r w:rsidRPr="00BC7E17">
        <w:rPr>
          <w:sz w:val="26"/>
          <w:szCs w:val="26"/>
        </w:rPr>
        <w:t xml:space="preserve">332(a).  The </w:t>
      </w:r>
      <w:r>
        <w:rPr>
          <w:sz w:val="26"/>
          <w:szCs w:val="26"/>
        </w:rPr>
        <w:t xml:space="preserve">evidentiary </w:t>
      </w:r>
      <w:r w:rsidRPr="00BC7E17">
        <w:rPr>
          <w:sz w:val="26"/>
          <w:szCs w:val="26"/>
        </w:rPr>
        <w:t xml:space="preserve">burden of proof for actions before the Commission is the “preponderance of the evidence” standard.  </w:t>
      </w:r>
      <w:r w:rsidRPr="00BC7E17">
        <w:rPr>
          <w:i/>
          <w:sz w:val="26"/>
          <w:szCs w:val="26"/>
        </w:rPr>
        <w:t>Suber v. Pennsylvania Com</w:t>
      </w:r>
      <w:r w:rsidR="00694B7B">
        <w:rPr>
          <w:i/>
          <w:sz w:val="26"/>
          <w:szCs w:val="26"/>
        </w:rPr>
        <w:t>’</w:t>
      </w:r>
      <w:r w:rsidRPr="00BC7E17">
        <w:rPr>
          <w:i/>
          <w:sz w:val="26"/>
          <w:szCs w:val="26"/>
        </w:rPr>
        <w:t>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w:t>
      </w:r>
      <w:r w:rsidR="00A6670C">
        <w:rPr>
          <w:sz w:val="26"/>
          <w:szCs w:val="26"/>
        </w:rPr>
        <w:t> </w:t>
      </w:r>
      <w:r w:rsidRPr="00BC7E17">
        <w:rPr>
          <w:sz w:val="26"/>
          <w:szCs w:val="26"/>
        </w:rPr>
        <w:t>45, 48-49, 70 A.2d 854, 855 (1950).</w:t>
      </w:r>
      <w:r w:rsidRPr="00BC7E17">
        <w:rPr>
          <w:rFonts w:ascii="Arial" w:hAnsi="Arial" w:cs="Arial"/>
          <w:sz w:val="21"/>
          <w:szCs w:val="21"/>
        </w:rPr>
        <w:t xml:space="preserve">  </w:t>
      </w:r>
    </w:p>
    <w:p w:rsidR="00C65B65" w:rsidRDefault="00C65B65" w:rsidP="00A6670C">
      <w:pPr>
        <w:widowControl/>
        <w:spacing w:line="360" w:lineRule="auto"/>
        <w:ind w:firstLine="1440"/>
        <w:rPr>
          <w:sz w:val="26"/>
          <w:szCs w:val="26"/>
        </w:rPr>
      </w:pPr>
    </w:p>
    <w:p w:rsidR="00FD56D4" w:rsidRDefault="00FD56D4" w:rsidP="00A6670C">
      <w:pPr>
        <w:pStyle w:val="ListParagraph"/>
        <w:keepNext/>
        <w:keepLines/>
        <w:widowControl/>
        <w:numPr>
          <w:ilvl w:val="0"/>
          <w:numId w:val="12"/>
        </w:numPr>
        <w:spacing w:line="360" w:lineRule="auto"/>
        <w:rPr>
          <w:b/>
          <w:sz w:val="26"/>
          <w:szCs w:val="26"/>
        </w:rPr>
      </w:pPr>
      <w:r>
        <w:rPr>
          <w:b/>
          <w:sz w:val="26"/>
          <w:szCs w:val="26"/>
        </w:rPr>
        <w:t>Substantial Evidence</w:t>
      </w:r>
    </w:p>
    <w:p w:rsidR="00FD56D4" w:rsidRDefault="00FD56D4" w:rsidP="00A6670C">
      <w:pPr>
        <w:keepNext/>
        <w:keepLines/>
        <w:widowControl/>
        <w:spacing w:line="360" w:lineRule="auto"/>
        <w:rPr>
          <w:b/>
          <w:sz w:val="26"/>
          <w:szCs w:val="26"/>
        </w:rPr>
      </w:pPr>
    </w:p>
    <w:p w:rsidR="00FD56D4" w:rsidRDefault="00FD56D4" w:rsidP="00A6670C">
      <w:pPr>
        <w:widowControl/>
        <w:spacing w:line="360" w:lineRule="auto"/>
        <w:ind w:firstLine="1440"/>
        <w:rPr>
          <w:sz w:val="26"/>
          <w:szCs w:val="26"/>
        </w:rPr>
      </w:pPr>
      <w:r>
        <w:rPr>
          <w:rFonts w:eastAsiaTheme="minorHAnsi"/>
          <w:sz w:val="26"/>
          <w:szCs w:val="26"/>
        </w:rPr>
        <w:t>A</w:t>
      </w:r>
      <w:r w:rsidRPr="00AF3DB9">
        <w:rPr>
          <w:rFonts w:eastAsiaTheme="minorHAnsi"/>
          <w:sz w:val="26"/>
          <w:szCs w:val="26"/>
        </w:rPr>
        <w:t>djudications by the Commission must be supported by substantial evidence in the record.  2 Pa.</w:t>
      </w:r>
      <w:r w:rsidR="00016B6D">
        <w:rPr>
          <w:rFonts w:eastAsiaTheme="minorHAnsi"/>
          <w:sz w:val="26"/>
          <w:szCs w:val="26"/>
        </w:rPr>
        <w:t xml:space="preserve"> </w:t>
      </w:r>
      <w:r w:rsidRPr="00AF3DB9">
        <w:rPr>
          <w:rFonts w:eastAsiaTheme="minorHAnsi"/>
          <w:sz w:val="26"/>
          <w:szCs w:val="26"/>
        </w:rPr>
        <w:t>C.S. § 704.</w:t>
      </w:r>
      <w:r w:rsidRPr="00AF3DB9">
        <w:rPr>
          <w:rFonts w:eastAsiaTheme="minorHAnsi"/>
          <w:szCs w:val="26"/>
        </w:rPr>
        <w:t xml:space="preserve">  </w:t>
      </w:r>
      <w:r w:rsidR="00744E80" w:rsidRPr="00914F3C">
        <w:rPr>
          <w:rFonts w:eastAsiaTheme="minorHAnsi"/>
          <w:sz w:val="26"/>
          <w:szCs w:val="26"/>
        </w:rPr>
        <w:t xml:space="preserve">“Substantial evidence” is an appellate standard of review and not a standard of evidence.  </w:t>
      </w:r>
      <w:r w:rsidR="00744E80" w:rsidRPr="00914F3C">
        <w:rPr>
          <w:rFonts w:eastAsiaTheme="minorHAnsi"/>
          <w:i/>
          <w:sz w:val="26"/>
          <w:szCs w:val="26"/>
        </w:rPr>
        <w:t>Lansberry</w:t>
      </w:r>
      <w:r w:rsidR="00744E80" w:rsidRPr="00914F3C">
        <w:rPr>
          <w:rFonts w:eastAsiaTheme="minorHAnsi"/>
          <w:sz w:val="26"/>
          <w:szCs w:val="26"/>
        </w:rPr>
        <w:t xml:space="preserve">, 578 A.2d at 602.  </w:t>
      </w:r>
      <w:r w:rsidRPr="00AF3DB9">
        <w:rPr>
          <w:rFonts w:eastAsiaTheme="minorHAnsi"/>
          <w:szCs w:val="26"/>
        </w:rPr>
        <w:t>“</w:t>
      </w:r>
      <w:r w:rsidRPr="00AF3DB9">
        <w:rPr>
          <w:sz w:val="26"/>
          <w:szCs w:val="26"/>
        </w:rPr>
        <w:t xml:space="preserve">Substantial evidence” is such relevant evidence that a reasonable mind might accept as adequate to support a conclusion.  </w:t>
      </w:r>
      <w:r w:rsidRPr="00AF3DB9">
        <w:rPr>
          <w:i/>
          <w:sz w:val="26"/>
          <w:szCs w:val="26"/>
        </w:rPr>
        <w:t>Consolidated Edison Company of New York v. National Labor Relations Board</w:t>
      </w:r>
      <w:r w:rsidRPr="00AF3DB9">
        <w:rPr>
          <w:sz w:val="26"/>
          <w:szCs w:val="26"/>
        </w:rPr>
        <w:t xml:space="preserve">, 305 U.S. 197, 229, 59 S.Ct. 206, 217.  More is required than a mere trace of evidence or a suspicion of the existence of a fact sought to be established.  </w:t>
      </w:r>
      <w:r w:rsidRPr="00AF3DB9">
        <w:rPr>
          <w:i/>
          <w:sz w:val="26"/>
          <w:szCs w:val="26"/>
        </w:rPr>
        <w:t xml:space="preserve">Norfolk &amp; Western Ry. Co. v. Pa. PUC, </w:t>
      </w:r>
      <w:r w:rsidRPr="00AF3DB9">
        <w:rPr>
          <w:sz w:val="26"/>
          <w:szCs w:val="26"/>
        </w:rPr>
        <w:t xml:space="preserve">489 Pa. 109, 413 A.2d 1037 (1980); </w:t>
      </w:r>
      <w:r w:rsidRPr="00AF3DB9">
        <w:rPr>
          <w:i/>
          <w:sz w:val="26"/>
          <w:szCs w:val="26"/>
        </w:rPr>
        <w:t>Erie Resistor Corp. v. Unemployment Comp. Bd. of Review</w:t>
      </w:r>
      <w:r w:rsidRPr="00AF3DB9">
        <w:rPr>
          <w:sz w:val="26"/>
          <w:szCs w:val="26"/>
        </w:rPr>
        <w:t xml:space="preserve">, 166 A.2d 96 (Pa. Super. 1961); </w:t>
      </w:r>
      <w:r w:rsidRPr="00AF3DB9">
        <w:rPr>
          <w:i/>
          <w:sz w:val="26"/>
          <w:szCs w:val="26"/>
        </w:rPr>
        <w:t>Murphy v. Comm. Dept. of Public Welfare, White Haven Center</w:t>
      </w:r>
      <w:r w:rsidRPr="00AF3DB9">
        <w:rPr>
          <w:sz w:val="26"/>
          <w:szCs w:val="26"/>
        </w:rPr>
        <w:t>, 480 A.2d 382 (Pa. Cmwlth. 1984).</w:t>
      </w:r>
    </w:p>
    <w:p w:rsidR="00E822CB" w:rsidRPr="00A9787D" w:rsidRDefault="00E822CB" w:rsidP="00A6670C">
      <w:pPr>
        <w:widowControl/>
        <w:spacing w:line="360" w:lineRule="auto"/>
        <w:rPr>
          <w:sz w:val="26"/>
          <w:szCs w:val="26"/>
        </w:rPr>
      </w:pPr>
    </w:p>
    <w:bookmarkEnd w:id="0"/>
    <w:bookmarkEnd w:id="1"/>
    <w:p w:rsidR="004150EB" w:rsidRPr="00744E80" w:rsidRDefault="004150EB" w:rsidP="00A6670C">
      <w:pPr>
        <w:pStyle w:val="ListParagraph"/>
        <w:keepNext/>
        <w:keepLines/>
        <w:widowControl/>
        <w:numPr>
          <w:ilvl w:val="0"/>
          <w:numId w:val="10"/>
        </w:numPr>
        <w:spacing w:line="360" w:lineRule="auto"/>
        <w:rPr>
          <w:b/>
          <w:sz w:val="26"/>
          <w:szCs w:val="26"/>
        </w:rPr>
      </w:pPr>
      <w:r w:rsidRPr="00744E80">
        <w:rPr>
          <w:b/>
          <w:sz w:val="26"/>
          <w:szCs w:val="26"/>
        </w:rPr>
        <w:t>Background</w:t>
      </w:r>
    </w:p>
    <w:p w:rsidR="004150EB" w:rsidRDefault="004150EB" w:rsidP="00A6670C">
      <w:pPr>
        <w:keepNext/>
        <w:keepLines/>
        <w:widowControl/>
        <w:spacing w:line="360" w:lineRule="auto"/>
        <w:rPr>
          <w:sz w:val="26"/>
          <w:szCs w:val="26"/>
        </w:rPr>
      </w:pPr>
    </w:p>
    <w:p w:rsidR="004150EB" w:rsidRDefault="004150EB" w:rsidP="00A6670C">
      <w:pPr>
        <w:widowControl/>
        <w:spacing w:line="360" w:lineRule="auto"/>
        <w:ind w:firstLine="1440"/>
        <w:rPr>
          <w:sz w:val="26"/>
          <w:szCs w:val="26"/>
        </w:rPr>
      </w:pPr>
      <w:r>
        <w:rPr>
          <w:sz w:val="26"/>
          <w:szCs w:val="26"/>
        </w:rPr>
        <w:t xml:space="preserve">The Complainant testified at the </w:t>
      </w:r>
      <w:r w:rsidRPr="00D627A1">
        <w:rPr>
          <w:sz w:val="26"/>
          <w:szCs w:val="26"/>
        </w:rPr>
        <w:t>hearing that she should not be held responsible f</w:t>
      </w:r>
      <w:r>
        <w:rPr>
          <w:sz w:val="26"/>
          <w:szCs w:val="26"/>
        </w:rPr>
        <w:t xml:space="preserve">or the </w:t>
      </w:r>
      <w:r w:rsidRPr="00D627A1">
        <w:rPr>
          <w:sz w:val="26"/>
          <w:szCs w:val="26"/>
        </w:rPr>
        <w:t xml:space="preserve">charges </w:t>
      </w:r>
      <w:r>
        <w:rPr>
          <w:sz w:val="26"/>
          <w:szCs w:val="26"/>
        </w:rPr>
        <w:t xml:space="preserve">accrued by </w:t>
      </w:r>
      <w:r w:rsidR="00B74E9A">
        <w:rPr>
          <w:sz w:val="26"/>
          <w:szCs w:val="26"/>
        </w:rPr>
        <w:t>t</w:t>
      </w:r>
      <w:r w:rsidR="00211169">
        <w:rPr>
          <w:sz w:val="26"/>
          <w:szCs w:val="26"/>
        </w:rPr>
        <w:t>he Tenant</w:t>
      </w:r>
      <w:r w:rsidR="00036509">
        <w:rPr>
          <w:sz w:val="26"/>
          <w:szCs w:val="26"/>
        </w:rPr>
        <w:t xml:space="preserve"> </w:t>
      </w:r>
      <w:r w:rsidR="00557CE7">
        <w:rPr>
          <w:sz w:val="26"/>
          <w:szCs w:val="26"/>
        </w:rPr>
        <w:t>whom she alleged</w:t>
      </w:r>
      <w:r>
        <w:rPr>
          <w:sz w:val="26"/>
          <w:szCs w:val="26"/>
        </w:rPr>
        <w:t xml:space="preserve"> PGW allowed to become the customer of record in October 2015, without </w:t>
      </w:r>
      <w:proofErr w:type="gramStart"/>
      <w:r w:rsidR="00A6670C">
        <w:rPr>
          <w:sz w:val="26"/>
          <w:szCs w:val="26"/>
        </w:rPr>
        <w:t xml:space="preserve">her </w:t>
      </w:r>
      <w:r>
        <w:rPr>
          <w:sz w:val="26"/>
          <w:szCs w:val="26"/>
        </w:rPr>
        <w:t xml:space="preserve"> knowledge</w:t>
      </w:r>
      <w:proofErr w:type="gramEnd"/>
      <w:r>
        <w:rPr>
          <w:sz w:val="26"/>
          <w:szCs w:val="26"/>
        </w:rPr>
        <w:t xml:space="preserve"> or permissi</w:t>
      </w:r>
      <w:r w:rsidR="00A6670C">
        <w:rPr>
          <w:sz w:val="26"/>
          <w:szCs w:val="26"/>
        </w:rPr>
        <w:t>on.  Tr. at 5, 35; PGW Exh. 1.</w:t>
      </w:r>
    </w:p>
    <w:p w:rsidR="004150EB" w:rsidRDefault="004150EB" w:rsidP="00A6670C">
      <w:pPr>
        <w:widowControl/>
        <w:spacing w:line="360" w:lineRule="auto"/>
        <w:ind w:firstLine="1440"/>
        <w:rPr>
          <w:sz w:val="26"/>
          <w:szCs w:val="26"/>
        </w:rPr>
      </w:pPr>
    </w:p>
    <w:p w:rsidR="004150EB" w:rsidRDefault="00557CE7" w:rsidP="00A6670C">
      <w:pPr>
        <w:widowControl/>
        <w:spacing w:line="360" w:lineRule="auto"/>
        <w:ind w:firstLine="1440"/>
        <w:rPr>
          <w:sz w:val="26"/>
          <w:szCs w:val="26"/>
        </w:rPr>
      </w:pPr>
      <w:r>
        <w:rPr>
          <w:sz w:val="26"/>
          <w:szCs w:val="26"/>
        </w:rPr>
        <w:t>The</w:t>
      </w:r>
      <w:r w:rsidR="004150EB">
        <w:rPr>
          <w:sz w:val="26"/>
          <w:szCs w:val="26"/>
        </w:rPr>
        <w:t xml:space="preserve"> Complainant</w:t>
      </w:r>
      <w:r w:rsidR="00694B7B">
        <w:rPr>
          <w:sz w:val="26"/>
          <w:szCs w:val="26"/>
        </w:rPr>
        <w:t>’</w:t>
      </w:r>
      <w:r w:rsidR="004150EB">
        <w:rPr>
          <w:sz w:val="26"/>
          <w:szCs w:val="26"/>
        </w:rPr>
        <w:t xml:space="preserve">s family have </w:t>
      </w:r>
      <w:r>
        <w:rPr>
          <w:sz w:val="26"/>
          <w:szCs w:val="26"/>
        </w:rPr>
        <w:t>owned</w:t>
      </w:r>
      <w:r w:rsidR="004150EB">
        <w:rPr>
          <w:sz w:val="26"/>
          <w:szCs w:val="26"/>
        </w:rPr>
        <w:t xml:space="preserve"> the property at the Service Address for over fifty years.  Over this period, the property</w:t>
      </w:r>
      <w:r>
        <w:rPr>
          <w:sz w:val="26"/>
          <w:szCs w:val="26"/>
        </w:rPr>
        <w:t xml:space="preserve"> included </w:t>
      </w:r>
      <w:r w:rsidR="004150EB">
        <w:rPr>
          <w:sz w:val="26"/>
          <w:szCs w:val="26"/>
        </w:rPr>
        <w:t xml:space="preserve">bedrooms on the second floor and a storefront on the first floor.  The Complainant became the owner of the property in the 1980s and has kept it as </w:t>
      </w:r>
      <w:r>
        <w:rPr>
          <w:sz w:val="26"/>
          <w:szCs w:val="26"/>
        </w:rPr>
        <w:t>a single</w:t>
      </w:r>
      <w:r w:rsidR="004150EB">
        <w:rPr>
          <w:sz w:val="26"/>
          <w:szCs w:val="26"/>
        </w:rPr>
        <w:t xml:space="preserve"> commercial unit</w:t>
      </w:r>
      <w:r>
        <w:rPr>
          <w:sz w:val="26"/>
          <w:szCs w:val="26"/>
        </w:rPr>
        <w:t xml:space="preserve">.  Tr. at 6, 14.  According </w:t>
      </w:r>
      <w:r w:rsidR="004150EB">
        <w:rPr>
          <w:sz w:val="26"/>
          <w:szCs w:val="26"/>
        </w:rPr>
        <w:t>to the Complainant, she moved out of the building in 2011</w:t>
      </w:r>
      <w:r>
        <w:rPr>
          <w:sz w:val="26"/>
          <w:szCs w:val="26"/>
        </w:rPr>
        <w:t>,</w:t>
      </w:r>
      <w:r w:rsidR="004150EB">
        <w:rPr>
          <w:sz w:val="26"/>
          <w:szCs w:val="26"/>
        </w:rPr>
        <w:t xml:space="preserve"> but </w:t>
      </w:r>
      <w:r>
        <w:rPr>
          <w:sz w:val="26"/>
          <w:szCs w:val="26"/>
        </w:rPr>
        <w:t xml:space="preserve">she </w:t>
      </w:r>
      <w:r w:rsidR="004150EB">
        <w:rPr>
          <w:sz w:val="26"/>
          <w:szCs w:val="26"/>
        </w:rPr>
        <w:t xml:space="preserve">continued to pay the gas bills.  </w:t>
      </w:r>
      <w:r w:rsidR="004150EB" w:rsidRPr="00F800E3">
        <w:rPr>
          <w:i/>
          <w:sz w:val="26"/>
          <w:szCs w:val="26"/>
        </w:rPr>
        <w:t>Id.</w:t>
      </w:r>
      <w:r w:rsidR="004150EB">
        <w:rPr>
          <w:sz w:val="26"/>
          <w:szCs w:val="26"/>
        </w:rPr>
        <w:t xml:space="preserve"> at 15.  However, sometime in 2014, after her husband passed away, she obtained a renter</w:t>
      </w:r>
      <w:r w:rsidR="00694B7B">
        <w:rPr>
          <w:sz w:val="26"/>
          <w:szCs w:val="26"/>
        </w:rPr>
        <w:t>’</w:t>
      </w:r>
      <w:r w:rsidR="004150EB">
        <w:rPr>
          <w:sz w:val="26"/>
          <w:szCs w:val="26"/>
        </w:rPr>
        <w:t>s license, joined PGW</w:t>
      </w:r>
      <w:r w:rsidR="00694B7B">
        <w:rPr>
          <w:sz w:val="26"/>
          <w:szCs w:val="26"/>
        </w:rPr>
        <w:t>’</w:t>
      </w:r>
      <w:r w:rsidR="004150EB">
        <w:rPr>
          <w:sz w:val="26"/>
          <w:szCs w:val="26"/>
        </w:rPr>
        <w:t xml:space="preserve">s </w:t>
      </w:r>
      <w:r w:rsidR="00016B6D">
        <w:rPr>
          <w:sz w:val="26"/>
          <w:szCs w:val="26"/>
        </w:rPr>
        <w:t>Landlord Cooperation Program (</w:t>
      </w:r>
      <w:r w:rsidR="004150EB">
        <w:rPr>
          <w:sz w:val="26"/>
          <w:szCs w:val="26"/>
        </w:rPr>
        <w:t>LCP</w:t>
      </w:r>
      <w:r w:rsidR="00016B6D">
        <w:rPr>
          <w:sz w:val="26"/>
          <w:szCs w:val="26"/>
        </w:rPr>
        <w:t>)</w:t>
      </w:r>
      <w:r w:rsidR="004150EB">
        <w:rPr>
          <w:sz w:val="26"/>
          <w:szCs w:val="26"/>
        </w:rPr>
        <w:t xml:space="preserve">, and handed over management of the property to her daughter, Ms. </w:t>
      </w:r>
      <w:proofErr w:type="spellStart"/>
      <w:r w:rsidR="004150EB">
        <w:rPr>
          <w:sz w:val="26"/>
          <w:szCs w:val="26"/>
        </w:rPr>
        <w:t>Alletta</w:t>
      </w:r>
      <w:proofErr w:type="spellEnd"/>
      <w:r w:rsidR="004150EB">
        <w:rPr>
          <w:sz w:val="26"/>
          <w:szCs w:val="26"/>
        </w:rPr>
        <w:t xml:space="preserve"> </w:t>
      </w:r>
      <w:proofErr w:type="spellStart"/>
      <w:r w:rsidR="004150EB">
        <w:rPr>
          <w:sz w:val="26"/>
          <w:szCs w:val="26"/>
        </w:rPr>
        <w:t>Olday</w:t>
      </w:r>
      <w:proofErr w:type="spellEnd"/>
      <w:r w:rsidR="004150EB">
        <w:rPr>
          <w:sz w:val="26"/>
          <w:szCs w:val="26"/>
        </w:rPr>
        <w:t>, and her daughter</w:t>
      </w:r>
      <w:r w:rsidR="00694B7B">
        <w:rPr>
          <w:sz w:val="26"/>
          <w:szCs w:val="26"/>
        </w:rPr>
        <w:t>’</w:t>
      </w:r>
      <w:r w:rsidR="004150EB">
        <w:rPr>
          <w:sz w:val="26"/>
          <w:szCs w:val="26"/>
        </w:rPr>
        <w:t xml:space="preserve">s friend and business partner, Ms. Jennifer Murray.  </w:t>
      </w:r>
      <w:r w:rsidR="004150EB" w:rsidRPr="00885CDC">
        <w:rPr>
          <w:i/>
          <w:sz w:val="26"/>
          <w:szCs w:val="26"/>
        </w:rPr>
        <w:t>Id.</w:t>
      </w:r>
      <w:r w:rsidR="004150EB">
        <w:rPr>
          <w:sz w:val="26"/>
          <w:szCs w:val="26"/>
        </w:rPr>
        <w:t xml:space="preserve"> at 6, 17, Complainant Exh.</w:t>
      </w:r>
      <w:r>
        <w:rPr>
          <w:sz w:val="26"/>
          <w:szCs w:val="26"/>
        </w:rPr>
        <w:t xml:space="preserve"> </w:t>
      </w:r>
      <w:r w:rsidR="004150EB">
        <w:rPr>
          <w:sz w:val="26"/>
          <w:szCs w:val="26"/>
        </w:rPr>
        <w:t xml:space="preserve">3. </w:t>
      </w:r>
      <w:r>
        <w:rPr>
          <w:sz w:val="26"/>
          <w:szCs w:val="26"/>
        </w:rPr>
        <w:t xml:space="preserve"> S</w:t>
      </w:r>
      <w:r w:rsidR="004150EB">
        <w:rPr>
          <w:sz w:val="26"/>
          <w:szCs w:val="26"/>
        </w:rPr>
        <w:t xml:space="preserve">ometime in 2014, Ms. </w:t>
      </w:r>
      <w:proofErr w:type="spellStart"/>
      <w:r w:rsidR="004150EB">
        <w:rPr>
          <w:sz w:val="26"/>
          <w:szCs w:val="26"/>
        </w:rPr>
        <w:t>Olday</w:t>
      </w:r>
      <w:proofErr w:type="spellEnd"/>
      <w:r w:rsidR="004150EB">
        <w:rPr>
          <w:sz w:val="26"/>
          <w:szCs w:val="26"/>
        </w:rPr>
        <w:t xml:space="preserve"> and Ms. Murray leased the entire building to reside in and operate a small business known as AOK.  The lease </w:t>
      </w:r>
      <w:proofErr w:type="gramStart"/>
      <w:r w:rsidR="004150EB">
        <w:rPr>
          <w:sz w:val="26"/>
          <w:szCs w:val="26"/>
        </w:rPr>
        <w:t>provided that</w:t>
      </w:r>
      <w:proofErr w:type="gramEnd"/>
      <w:r w:rsidR="004150EB">
        <w:rPr>
          <w:sz w:val="26"/>
          <w:szCs w:val="26"/>
        </w:rPr>
        <w:t xml:space="preserve"> Ms. </w:t>
      </w:r>
      <w:proofErr w:type="spellStart"/>
      <w:r w:rsidR="004150EB">
        <w:rPr>
          <w:sz w:val="26"/>
          <w:szCs w:val="26"/>
        </w:rPr>
        <w:t>Olday</w:t>
      </w:r>
      <w:proofErr w:type="spellEnd"/>
      <w:r w:rsidR="004150EB">
        <w:rPr>
          <w:sz w:val="26"/>
          <w:szCs w:val="26"/>
        </w:rPr>
        <w:t xml:space="preserve"> and Ms. Murray were responsible for the entire building and the utilities.  Tr. at 6, 15-</w:t>
      </w:r>
      <w:r w:rsidR="00A6670C">
        <w:rPr>
          <w:sz w:val="26"/>
          <w:szCs w:val="26"/>
        </w:rPr>
        <w:t>16, 18-19; Complainant Exh. 2.</w:t>
      </w:r>
    </w:p>
    <w:p w:rsidR="004150EB" w:rsidRDefault="004150EB" w:rsidP="00A6670C">
      <w:pPr>
        <w:widowControl/>
        <w:spacing w:line="360" w:lineRule="auto"/>
        <w:ind w:firstLine="1440"/>
        <w:rPr>
          <w:sz w:val="26"/>
          <w:szCs w:val="26"/>
        </w:rPr>
      </w:pPr>
    </w:p>
    <w:p w:rsidR="00557CE7" w:rsidRDefault="00557CE7" w:rsidP="00A6670C">
      <w:pPr>
        <w:widowControl/>
        <w:spacing w:line="360" w:lineRule="auto"/>
        <w:ind w:firstLine="1440"/>
        <w:rPr>
          <w:sz w:val="26"/>
          <w:szCs w:val="26"/>
        </w:rPr>
      </w:pPr>
      <w:r>
        <w:rPr>
          <w:sz w:val="26"/>
          <w:szCs w:val="26"/>
        </w:rPr>
        <w:t>A</w:t>
      </w:r>
      <w:r w:rsidR="004150EB">
        <w:rPr>
          <w:sz w:val="26"/>
          <w:szCs w:val="26"/>
        </w:rPr>
        <w:t xml:space="preserve">fter Ms. Murray left the business in August 2015, the Complainant and her daughter leased a portion of the property to </w:t>
      </w:r>
      <w:r w:rsidR="00B74E9A">
        <w:rPr>
          <w:sz w:val="26"/>
          <w:szCs w:val="26"/>
        </w:rPr>
        <w:t>t</w:t>
      </w:r>
      <w:r w:rsidR="00211169">
        <w:rPr>
          <w:sz w:val="26"/>
          <w:szCs w:val="26"/>
        </w:rPr>
        <w:t>he Tenant</w:t>
      </w:r>
      <w:r w:rsidR="004150EB">
        <w:rPr>
          <w:sz w:val="26"/>
          <w:szCs w:val="26"/>
        </w:rPr>
        <w:t xml:space="preserve">, a family friend.  Per the lease agreement signed by the Complainant and her daughter, </w:t>
      </w:r>
      <w:r w:rsidR="00B74E9A">
        <w:rPr>
          <w:sz w:val="26"/>
          <w:szCs w:val="26"/>
        </w:rPr>
        <w:t>t</w:t>
      </w:r>
      <w:r w:rsidR="00211169">
        <w:rPr>
          <w:sz w:val="26"/>
          <w:szCs w:val="26"/>
        </w:rPr>
        <w:t>he Tenant</w:t>
      </w:r>
      <w:r w:rsidR="004150EB">
        <w:rPr>
          <w:sz w:val="26"/>
          <w:szCs w:val="26"/>
        </w:rPr>
        <w:t xml:space="preserve"> had access to the residential portion of the building but not the business area, unless expressly provided for in the agreement.</w:t>
      </w:r>
      <w:r>
        <w:rPr>
          <w:sz w:val="26"/>
          <w:szCs w:val="26"/>
        </w:rPr>
        <w:t xml:space="preserve">  Complainant Exh. 4</w:t>
      </w:r>
      <w:r w:rsidR="004150EB">
        <w:rPr>
          <w:sz w:val="26"/>
          <w:szCs w:val="26"/>
        </w:rPr>
        <w:t xml:space="preserve">.  </w:t>
      </w:r>
      <w:r w:rsidRPr="00DD6C23">
        <w:rPr>
          <w:sz w:val="26"/>
          <w:szCs w:val="26"/>
        </w:rPr>
        <w:t xml:space="preserve">In a letter written to </w:t>
      </w:r>
      <w:r>
        <w:rPr>
          <w:sz w:val="26"/>
          <w:szCs w:val="26"/>
        </w:rPr>
        <w:t>the Tenant</w:t>
      </w:r>
      <w:r w:rsidRPr="00DD6C23">
        <w:rPr>
          <w:sz w:val="26"/>
          <w:szCs w:val="26"/>
        </w:rPr>
        <w:t xml:space="preserve"> on December 17, 2015, it was emphasized to </w:t>
      </w:r>
      <w:r>
        <w:rPr>
          <w:sz w:val="26"/>
          <w:szCs w:val="26"/>
        </w:rPr>
        <w:t>the Tenant</w:t>
      </w:r>
      <w:r w:rsidRPr="00DD6C23">
        <w:rPr>
          <w:sz w:val="26"/>
          <w:szCs w:val="26"/>
        </w:rPr>
        <w:t xml:space="preserve"> that "The office is unavailable </w:t>
      </w:r>
      <w:proofErr w:type="gramStart"/>
      <w:r w:rsidRPr="00DD6C23">
        <w:rPr>
          <w:sz w:val="26"/>
          <w:szCs w:val="26"/>
        </w:rPr>
        <w:t>with the exception of</w:t>
      </w:r>
      <w:proofErr w:type="gramEnd"/>
      <w:r w:rsidRPr="00DD6C23">
        <w:rPr>
          <w:sz w:val="26"/>
          <w:szCs w:val="26"/>
        </w:rPr>
        <w:t xml:space="preserve"> passing through to the kitchen" and that "infractions could lead to the termination of you</w:t>
      </w:r>
      <w:r w:rsidR="00A6670C">
        <w:rPr>
          <w:sz w:val="26"/>
          <w:szCs w:val="26"/>
        </w:rPr>
        <w:t>r lease."  Complainant Exh. 5.</w:t>
      </w:r>
    </w:p>
    <w:p w:rsidR="00557CE7" w:rsidRDefault="00557CE7" w:rsidP="00A6670C">
      <w:pPr>
        <w:widowControl/>
        <w:spacing w:line="360" w:lineRule="auto"/>
        <w:ind w:firstLine="1440"/>
        <w:rPr>
          <w:sz w:val="26"/>
          <w:szCs w:val="26"/>
        </w:rPr>
      </w:pPr>
    </w:p>
    <w:p w:rsidR="004150EB" w:rsidRDefault="00557CE7" w:rsidP="00A6670C">
      <w:pPr>
        <w:widowControl/>
        <w:spacing w:line="360" w:lineRule="auto"/>
        <w:ind w:firstLine="1440"/>
        <w:rPr>
          <w:sz w:val="26"/>
          <w:szCs w:val="26"/>
        </w:rPr>
      </w:pPr>
      <w:r>
        <w:rPr>
          <w:sz w:val="26"/>
          <w:szCs w:val="26"/>
        </w:rPr>
        <w:t>T</w:t>
      </w:r>
      <w:r w:rsidR="00211169">
        <w:rPr>
          <w:sz w:val="26"/>
          <w:szCs w:val="26"/>
        </w:rPr>
        <w:t>he Tenant</w:t>
      </w:r>
      <w:r w:rsidR="004150EB">
        <w:rPr>
          <w:sz w:val="26"/>
          <w:szCs w:val="26"/>
        </w:rPr>
        <w:t xml:space="preserve"> moved into the property in October 2015.  Tr. at 8, 10, 22-23, 33; Complainant Exhs. 4 and 5.   </w:t>
      </w:r>
      <w:r>
        <w:rPr>
          <w:sz w:val="26"/>
          <w:szCs w:val="26"/>
        </w:rPr>
        <w:t>Pursuant to the terms of the</w:t>
      </w:r>
      <w:r w:rsidR="004150EB">
        <w:rPr>
          <w:sz w:val="26"/>
          <w:szCs w:val="26"/>
        </w:rPr>
        <w:t xml:space="preserve"> lease </w:t>
      </w:r>
      <w:r>
        <w:rPr>
          <w:sz w:val="26"/>
          <w:szCs w:val="26"/>
        </w:rPr>
        <w:t xml:space="preserve">agreement, which </w:t>
      </w:r>
      <w:r w:rsidR="004150EB">
        <w:rPr>
          <w:sz w:val="26"/>
          <w:szCs w:val="26"/>
        </w:rPr>
        <w:t>require</w:t>
      </w:r>
      <w:r>
        <w:rPr>
          <w:sz w:val="26"/>
          <w:szCs w:val="26"/>
        </w:rPr>
        <w:t>d tenant</w:t>
      </w:r>
      <w:r w:rsidR="00016B6D">
        <w:rPr>
          <w:sz w:val="26"/>
          <w:szCs w:val="26"/>
        </w:rPr>
        <w:t>s</w:t>
      </w:r>
      <w:r>
        <w:rPr>
          <w:sz w:val="26"/>
          <w:szCs w:val="26"/>
        </w:rPr>
        <w:t xml:space="preserve"> to</w:t>
      </w:r>
      <w:r w:rsidR="004150EB">
        <w:rPr>
          <w:sz w:val="26"/>
          <w:szCs w:val="26"/>
        </w:rPr>
        <w:t xml:space="preserve"> be responsible for the gas payments</w:t>
      </w:r>
      <w:r>
        <w:rPr>
          <w:sz w:val="26"/>
          <w:szCs w:val="26"/>
        </w:rPr>
        <w:t>, t</w:t>
      </w:r>
      <w:r w:rsidR="00211169">
        <w:rPr>
          <w:sz w:val="26"/>
          <w:szCs w:val="26"/>
        </w:rPr>
        <w:t>he Tenant</w:t>
      </w:r>
      <w:r w:rsidR="004150EB">
        <w:rPr>
          <w:sz w:val="26"/>
          <w:szCs w:val="26"/>
        </w:rPr>
        <w:t xml:space="preserve"> signed up as the PGW customer of record in October 2015.  Tr. at 26, 35; PGW Exh. 1.  On December 17, 2015, </w:t>
      </w:r>
      <w:r w:rsidR="00B74E9A">
        <w:rPr>
          <w:sz w:val="26"/>
          <w:szCs w:val="26"/>
        </w:rPr>
        <w:t>t</w:t>
      </w:r>
      <w:r w:rsidR="00211169">
        <w:rPr>
          <w:sz w:val="26"/>
          <w:szCs w:val="26"/>
        </w:rPr>
        <w:t>he Tenant</w:t>
      </w:r>
      <w:r w:rsidR="004150EB">
        <w:rPr>
          <w:sz w:val="26"/>
          <w:szCs w:val="26"/>
        </w:rPr>
        <w:t xml:space="preserve"> was issued a notice that she had ten days to move out</w:t>
      </w:r>
      <w:r>
        <w:rPr>
          <w:sz w:val="26"/>
          <w:szCs w:val="26"/>
        </w:rPr>
        <w:t xml:space="preserve">, but she did not.  In March </w:t>
      </w:r>
      <w:r w:rsidR="004150EB">
        <w:rPr>
          <w:sz w:val="26"/>
          <w:szCs w:val="26"/>
        </w:rPr>
        <w:t>2016</w:t>
      </w:r>
      <w:r>
        <w:rPr>
          <w:sz w:val="26"/>
          <w:szCs w:val="26"/>
        </w:rPr>
        <w:t>,</w:t>
      </w:r>
      <w:r w:rsidR="004150EB">
        <w:rPr>
          <w:sz w:val="26"/>
          <w:szCs w:val="26"/>
        </w:rPr>
        <w:t xml:space="preserve"> </w:t>
      </w:r>
      <w:r w:rsidR="00B74E9A">
        <w:rPr>
          <w:sz w:val="26"/>
          <w:szCs w:val="26"/>
        </w:rPr>
        <w:t>t</w:t>
      </w:r>
      <w:r w:rsidR="00211169">
        <w:rPr>
          <w:sz w:val="26"/>
          <w:szCs w:val="26"/>
        </w:rPr>
        <w:t>he</w:t>
      </w:r>
      <w:r>
        <w:rPr>
          <w:sz w:val="26"/>
          <w:szCs w:val="26"/>
        </w:rPr>
        <w:t xml:space="preserve"> Complainant alleged that the</w:t>
      </w:r>
      <w:r w:rsidR="00211169">
        <w:rPr>
          <w:sz w:val="26"/>
          <w:szCs w:val="26"/>
        </w:rPr>
        <w:t xml:space="preserve"> Tenant</w:t>
      </w:r>
      <w:r w:rsidR="004150EB">
        <w:rPr>
          <w:sz w:val="26"/>
          <w:szCs w:val="26"/>
        </w:rPr>
        <w:t xml:space="preserve"> changed the locks on the doors of the property, moved other members of her family into the Service Address and took </w:t>
      </w:r>
      <w:r>
        <w:rPr>
          <w:sz w:val="26"/>
          <w:szCs w:val="26"/>
        </w:rPr>
        <w:t xml:space="preserve">total </w:t>
      </w:r>
      <w:r w:rsidR="004150EB">
        <w:rPr>
          <w:sz w:val="26"/>
          <w:szCs w:val="26"/>
        </w:rPr>
        <w:t xml:space="preserve">control over the entire building.  Tr. at 12, 33-34; Complainant Exh. 6.  The Complainant averred that on several occasions, she enlisted the police to have </w:t>
      </w:r>
      <w:r w:rsidR="00B74E9A">
        <w:rPr>
          <w:sz w:val="26"/>
          <w:szCs w:val="26"/>
        </w:rPr>
        <w:t>t</w:t>
      </w:r>
      <w:r w:rsidR="00211169">
        <w:rPr>
          <w:sz w:val="26"/>
          <w:szCs w:val="26"/>
        </w:rPr>
        <w:t>he Tenant</w:t>
      </w:r>
      <w:r w:rsidR="004150EB">
        <w:rPr>
          <w:sz w:val="26"/>
          <w:szCs w:val="26"/>
        </w:rPr>
        <w:t xml:space="preserve"> removed from the property but </w:t>
      </w:r>
      <w:proofErr w:type="gramStart"/>
      <w:r w:rsidR="004150EB">
        <w:rPr>
          <w:sz w:val="26"/>
          <w:szCs w:val="26"/>
        </w:rPr>
        <w:t>did not succeed</w:t>
      </w:r>
      <w:proofErr w:type="gramEnd"/>
      <w:r w:rsidR="004150EB">
        <w:rPr>
          <w:sz w:val="26"/>
          <w:szCs w:val="26"/>
        </w:rPr>
        <w:t xml:space="preserve"> in evicting </w:t>
      </w:r>
      <w:r w:rsidR="00B74E9A">
        <w:rPr>
          <w:sz w:val="26"/>
          <w:szCs w:val="26"/>
        </w:rPr>
        <w:t>t</w:t>
      </w:r>
      <w:r w:rsidR="00211169">
        <w:rPr>
          <w:sz w:val="26"/>
          <w:szCs w:val="26"/>
        </w:rPr>
        <w:t>he Tenant</w:t>
      </w:r>
      <w:r>
        <w:rPr>
          <w:sz w:val="26"/>
          <w:szCs w:val="26"/>
        </w:rPr>
        <w:t xml:space="preserve">.  However, in September </w:t>
      </w:r>
      <w:r w:rsidR="004150EB">
        <w:rPr>
          <w:sz w:val="26"/>
          <w:szCs w:val="26"/>
        </w:rPr>
        <w:t xml:space="preserve">2016, the Complainant eventually succeeded in evicting </w:t>
      </w:r>
      <w:r w:rsidR="00B74E9A">
        <w:rPr>
          <w:sz w:val="26"/>
          <w:szCs w:val="26"/>
        </w:rPr>
        <w:t>t</w:t>
      </w:r>
      <w:r w:rsidR="00211169">
        <w:rPr>
          <w:sz w:val="26"/>
          <w:szCs w:val="26"/>
        </w:rPr>
        <w:t>he Tenant</w:t>
      </w:r>
      <w:r w:rsidR="004150EB">
        <w:rPr>
          <w:sz w:val="26"/>
          <w:szCs w:val="26"/>
        </w:rPr>
        <w:t xml:space="preserve"> from the property.  Tr. at 11.</w:t>
      </w:r>
    </w:p>
    <w:p w:rsidR="004150EB" w:rsidRDefault="004150EB" w:rsidP="00A6670C">
      <w:pPr>
        <w:widowControl/>
        <w:spacing w:line="360" w:lineRule="auto"/>
        <w:ind w:firstLine="1440"/>
        <w:rPr>
          <w:sz w:val="26"/>
          <w:szCs w:val="26"/>
        </w:rPr>
      </w:pPr>
    </w:p>
    <w:p w:rsidR="004150EB" w:rsidRDefault="004C171E" w:rsidP="00A6670C">
      <w:pPr>
        <w:widowControl/>
        <w:spacing w:line="360" w:lineRule="auto"/>
        <w:ind w:firstLine="1440"/>
        <w:rPr>
          <w:sz w:val="26"/>
          <w:szCs w:val="26"/>
        </w:rPr>
      </w:pPr>
      <w:r>
        <w:rPr>
          <w:sz w:val="26"/>
          <w:szCs w:val="26"/>
        </w:rPr>
        <w:t>PGW averred</w:t>
      </w:r>
      <w:r w:rsidR="004150EB">
        <w:rPr>
          <w:sz w:val="26"/>
          <w:szCs w:val="26"/>
        </w:rPr>
        <w:t xml:space="preserve"> that it always </w:t>
      </w:r>
      <w:r w:rsidR="00A6670C">
        <w:rPr>
          <w:sz w:val="26"/>
          <w:szCs w:val="26"/>
        </w:rPr>
        <w:t xml:space="preserve">had </w:t>
      </w:r>
      <w:r w:rsidR="004150EB">
        <w:rPr>
          <w:sz w:val="26"/>
          <w:szCs w:val="26"/>
        </w:rPr>
        <w:t xml:space="preserve">billed the property as a </w:t>
      </w:r>
      <w:r>
        <w:rPr>
          <w:sz w:val="26"/>
          <w:szCs w:val="26"/>
        </w:rPr>
        <w:t xml:space="preserve">single </w:t>
      </w:r>
      <w:r w:rsidR="004150EB">
        <w:rPr>
          <w:sz w:val="26"/>
          <w:szCs w:val="26"/>
        </w:rPr>
        <w:t xml:space="preserve">unit with commercial rates based on one meter located at the Service Address.  However, on August 4, 2016, </w:t>
      </w:r>
      <w:r w:rsidR="00B74E9A">
        <w:rPr>
          <w:sz w:val="26"/>
          <w:szCs w:val="26"/>
        </w:rPr>
        <w:t>t</w:t>
      </w:r>
      <w:r w:rsidR="00211169">
        <w:rPr>
          <w:sz w:val="26"/>
          <w:szCs w:val="26"/>
        </w:rPr>
        <w:t>he Tenant</w:t>
      </w:r>
      <w:r w:rsidR="004150EB">
        <w:rPr>
          <w:sz w:val="26"/>
          <w:szCs w:val="26"/>
        </w:rPr>
        <w:t xml:space="preserve"> contacted the Company claiming there was foreign load at the property.  On August 5, 2016, PGW </w:t>
      </w:r>
      <w:proofErr w:type="gramStart"/>
      <w:r w:rsidR="004150EB">
        <w:rPr>
          <w:sz w:val="26"/>
          <w:szCs w:val="26"/>
        </w:rPr>
        <w:t>conducted an investigation into</w:t>
      </w:r>
      <w:proofErr w:type="gramEnd"/>
      <w:r w:rsidR="004150EB">
        <w:rPr>
          <w:sz w:val="26"/>
          <w:szCs w:val="26"/>
        </w:rPr>
        <w:t xml:space="preserve"> the foreign load allegations and confirmed there was foreign load at the Service Address.  Following this discovery, PGW informed the Complainant that foreign load exists at the property and changed the rates from commercial and heat to commercial heat and domestic having found a range and water heater at the property during the investigation.  Tr. at 13, </w:t>
      </w:r>
      <w:r>
        <w:rPr>
          <w:sz w:val="26"/>
          <w:szCs w:val="26"/>
        </w:rPr>
        <w:t>41-43; PGW Exh. 1.  PGW contended</w:t>
      </w:r>
      <w:r w:rsidR="004150EB">
        <w:rPr>
          <w:sz w:val="26"/>
          <w:szCs w:val="26"/>
        </w:rPr>
        <w:t xml:space="preserve"> that pursuant to </w:t>
      </w:r>
      <w:r w:rsidR="004150EB" w:rsidRPr="00FA254C">
        <w:rPr>
          <w:sz w:val="26"/>
          <w:szCs w:val="26"/>
        </w:rPr>
        <w:t>66 Pa.</w:t>
      </w:r>
      <w:r w:rsidR="004150EB">
        <w:rPr>
          <w:sz w:val="26"/>
          <w:szCs w:val="26"/>
        </w:rPr>
        <w:t xml:space="preserve"> </w:t>
      </w:r>
      <w:r w:rsidR="004150EB" w:rsidRPr="00FA254C">
        <w:rPr>
          <w:sz w:val="26"/>
          <w:szCs w:val="26"/>
        </w:rPr>
        <w:t>C.S. § 1529.1</w:t>
      </w:r>
      <w:r w:rsidR="004150EB">
        <w:rPr>
          <w:sz w:val="26"/>
          <w:szCs w:val="26"/>
        </w:rPr>
        <w:t>, the Complainant is responsible for the entire bill because there was foreign load at the property and because the Complainan</w:t>
      </w:r>
      <w:r>
        <w:rPr>
          <w:sz w:val="26"/>
          <w:szCs w:val="26"/>
        </w:rPr>
        <w:t>t</w:t>
      </w:r>
      <w:r w:rsidR="00694B7B">
        <w:rPr>
          <w:sz w:val="26"/>
          <w:szCs w:val="26"/>
        </w:rPr>
        <w:t>’</w:t>
      </w:r>
      <w:r>
        <w:rPr>
          <w:sz w:val="26"/>
          <w:szCs w:val="26"/>
        </w:rPr>
        <w:t>s enrollment into PGW</w:t>
      </w:r>
      <w:r w:rsidR="00694B7B">
        <w:rPr>
          <w:sz w:val="26"/>
          <w:szCs w:val="26"/>
        </w:rPr>
        <w:t>’</w:t>
      </w:r>
      <w:r>
        <w:rPr>
          <w:sz w:val="26"/>
          <w:szCs w:val="26"/>
        </w:rPr>
        <w:t>s LCP did</w:t>
      </w:r>
      <w:r w:rsidR="004150EB">
        <w:rPr>
          <w:sz w:val="26"/>
          <w:szCs w:val="26"/>
        </w:rPr>
        <w:t xml:space="preserve"> not relieve her from paying the usage charges where the</w:t>
      </w:r>
      <w:r w:rsidR="00A6670C">
        <w:rPr>
          <w:sz w:val="26"/>
          <w:szCs w:val="26"/>
        </w:rPr>
        <w:t>re is foreign load.  Tr. at 47.</w:t>
      </w:r>
    </w:p>
    <w:p w:rsidR="00425200" w:rsidRDefault="00425200" w:rsidP="00A6670C">
      <w:pPr>
        <w:widowControl/>
        <w:spacing w:line="360" w:lineRule="auto"/>
        <w:ind w:firstLine="1440"/>
        <w:rPr>
          <w:sz w:val="26"/>
          <w:szCs w:val="26"/>
        </w:rPr>
      </w:pPr>
    </w:p>
    <w:p w:rsidR="00ED60FB" w:rsidRPr="00CF63A2" w:rsidRDefault="00ED60FB" w:rsidP="00A6670C">
      <w:pPr>
        <w:pStyle w:val="ListParagraph"/>
        <w:keepNext/>
        <w:keepLines/>
        <w:widowControl/>
        <w:numPr>
          <w:ilvl w:val="0"/>
          <w:numId w:val="10"/>
        </w:numPr>
        <w:spacing w:line="360" w:lineRule="auto"/>
        <w:rPr>
          <w:b/>
          <w:sz w:val="26"/>
          <w:szCs w:val="26"/>
        </w:rPr>
      </w:pPr>
      <w:r w:rsidRPr="00CF63A2">
        <w:rPr>
          <w:b/>
          <w:sz w:val="26"/>
          <w:szCs w:val="26"/>
        </w:rPr>
        <w:t>ALJ</w:t>
      </w:r>
      <w:r w:rsidR="00694B7B">
        <w:rPr>
          <w:b/>
          <w:sz w:val="26"/>
          <w:szCs w:val="26"/>
        </w:rPr>
        <w:t>’</w:t>
      </w:r>
      <w:r w:rsidRPr="00CF63A2">
        <w:rPr>
          <w:b/>
          <w:sz w:val="26"/>
          <w:szCs w:val="26"/>
        </w:rPr>
        <w:t>s Initial Decision</w:t>
      </w:r>
    </w:p>
    <w:p w:rsidR="00ED60FB" w:rsidRPr="00A9787D" w:rsidRDefault="00ED60FB" w:rsidP="00A6670C">
      <w:pPr>
        <w:keepNext/>
        <w:keepLines/>
        <w:widowControl/>
        <w:spacing w:line="360" w:lineRule="auto"/>
        <w:rPr>
          <w:sz w:val="26"/>
          <w:szCs w:val="26"/>
        </w:rPr>
      </w:pPr>
    </w:p>
    <w:p w:rsidR="00300D18" w:rsidRPr="00A9787D" w:rsidRDefault="00300D18" w:rsidP="00A6670C">
      <w:pPr>
        <w:widowControl/>
        <w:spacing w:line="360" w:lineRule="auto"/>
        <w:ind w:firstLine="1440"/>
        <w:rPr>
          <w:sz w:val="26"/>
          <w:szCs w:val="26"/>
        </w:rPr>
      </w:pPr>
      <w:r w:rsidRPr="00A9787D">
        <w:rPr>
          <w:sz w:val="26"/>
          <w:szCs w:val="26"/>
        </w:rPr>
        <w:t xml:space="preserve">ALJ </w:t>
      </w:r>
      <w:r>
        <w:rPr>
          <w:sz w:val="26"/>
          <w:szCs w:val="26"/>
        </w:rPr>
        <w:t>Heep made twenty</w:t>
      </w:r>
      <w:r w:rsidRPr="00A9787D">
        <w:rPr>
          <w:sz w:val="26"/>
          <w:szCs w:val="26"/>
        </w:rPr>
        <w:t xml:space="preserve"> Find</w:t>
      </w:r>
      <w:r>
        <w:rPr>
          <w:sz w:val="26"/>
          <w:szCs w:val="26"/>
        </w:rPr>
        <w:t>ings of Fact and reached four</w:t>
      </w:r>
      <w:r w:rsidRPr="00A9787D">
        <w:rPr>
          <w:sz w:val="26"/>
          <w:szCs w:val="26"/>
        </w:rPr>
        <w:t xml:space="preserve"> Conclusions of Law.  I.D. at </w:t>
      </w:r>
      <w:r>
        <w:rPr>
          <w:sz w:val="26"/>
          <w:szCs w:val="26"/>
        </w:rPr>
        <w:t>2-4</w:t>
      </w:r>
      <w:r w:rsidRPr="00A9787D">
        <w:rPr>
          <w:sz w:val="26"/>
          <w:szCs w:val="26"/>
        </w:rPr>
        <w:t xml:space="preserve">, </w:t>
      </w:r>
      <w:r>
        <w:rPr>
          <w:sz w:val="26"/>
          <w:szCs w:val="26"/>
        </w:rPr>
        <w:t>9-10</w:t>
      </w:r>
      <w:r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300D18" w:rsidRDefault="00300D18" w:rsidP="00A6670C">
      <w:pPr>
        <w:widowControl/>
        <w:spacing w:line="360" w:lineRule="auto"/>
        <w:rPr>
          <w:sz w:val="26"/>
          <w:szCs w:val="26"/>
        </w:rPr>
      </w:pPr>
    </w:p>
    <w:p w:rsidR="00036509" w:rsidRDefault="007F40C4" w:rsidP="00A6670C">
      <w:pPr>
        <w:widowControl/>
        <w:spacing w:line="360" w:lineRule="auto"/>
        <w:ind w:firstLine="1440"/>
        <w:rPr>
          <w:sz w:val="26"/>
          <w:szCs w:val="26"/>
        </w:rPr>
      </w:pPr>
      <w:r>
        <w:rPr>
          <w:sz w:val="26"/>
          <w:szCs w:val="26"/>
        </w:rPr>
        <w:t>In</w:t>
      </w:r>
      <w:r w:rsidR="008C5691">
        <w:rPr>
          <w:sz w:val="26"/>
          <w:szCs w:val="26"/>
        </w:rPr>
        <w:t xml:space="preserve"> her analysis</w:t>
      </w:r>
      <w:r>
        <w:rPr>
          <w:sz w:val="26"/>
          <w:szCs w:val="26"/>
        </w:rPr>
        <w:t xml:space="preserve">, the ALJ </w:t>
      </w:r>
      <w:r w:rsidR="00F92800">
        <w:rPr>
          <w:sz w:val="26"/>
          <w:szCs w:val="26"/>
        </w:rPr>
        <w:t>explained that</w:t>
      </w:r>
      <w:r>
        <w:rPr>
          <w:sz w:val="26"/>
          <w:szCs w:val="26"/>
        </w:rPr>
        <w:t xml:space="preserve"> </w:t>
      </w:r>
      <w:r w:rsidR="00F92800">
        <w:rPr>
          <w:sz w:val="26"/>
          <w:szCs w:val="26"/>
        </w:rPr>
        <w:t>PGW contended</w:t>
      </w:r>
      <w:r w:rsidR="00B17BC3">
        <w:rPr>
          <w:sz w:val="26"/>
          <w:szCs w:val="26"/>
        </w:rPr>
        <w:t xml:space="preserve"> that the Complainant is responsible for the entire bill because there was foreign load at the Service Address and </w:t>
      </w:r>
      <w:r w:rsidR="00A01ACC">
        <w:rPr>
          <w:sz w:val="26"/>
          <w:szCs w:val="26"/>
        </w:rPr>
        <w:t xml:space="preserve">that </w:t>
      </w:r>
      <w:r w:rsidR="00B17BC3">
        <w:rPr>
          <w:sz w:val="26"/>
          <w:szCs w:val="26"/>
        </w:rPr>
        <w:t xml:space="preserve">a landlord/owner enrolled in </w:t>
      </w:r>
      <w:r w:rsidR="005E241A" w:rsidRPr="00F92800">
        <w:rPr>
          <w:sz w:val="26"/>
          <w:szCs w:val="26"/>
        </w:rPr>
        <w:t>PGW</w:t>
      </w:r>
      <w:r w:rsidR="00694B7B">
        <w:rPr>
          <w:sz w:val="26"/>
          <w:szCs w:val="26"/>
        </w:rPr>
        <w:t>’</w:t>
      </w:r>
      <w:r w:rsidR="005E241A" w:rsidRPr="00F92800">
        <w:rPr>
          <w:sz w:val="26"/>
          <w:szCs w:val="26"/>
        </w:rPr>
        <w:t>s</w:t>
      </w:r>
      <w:r w:rsidR="00F92800" w:rsidRPr="00F92800">
        <w:rPr>
          <w:sz w:val="26"/>
          <w:szCs w:val="26"/>
        </w:rPr>
        <w:t xml:space="preserve"> </w:t>
      </w:r>
      <w:r w:rsidR="00016B6D">
        <w:rPr>
          <w:sz w:val="26"/>
          <w:szCs w:val="26"/>
        </w:rPr>
        <w:t>LCP</w:t>
      </w:r>
      <w:r w:rsidR="00F92800" w:rsidRPr="00F92800">
        <w:rPr>
          <w:sz w:val="26"/>
          <w:szCs w:val="26"/>
        </w:rPr>
        <w:t xml:space="preserve"> </w:t>
      </w:r>
      <w:r w:rsidR="00B17BC3" w:rsidRPr="00F92800">
        <w:rPr>
          <w:sz w:val="26"/>
          <w:szCs w:val="26"/>
        </w:rPr>
        <w:t xml:space="preserve">is not relieved of responsibility for </w:t>
      </w:r>
      <w:r w:rsidR="008C5691" w:rsidRPr="00F92800">
        <w:rPr>
          <w:sz w:val="26"/>
          <w:szCs w:val="26"/>
        </w:rPr>
        <w:t xml:space="preserve">the </w:t>
      </w:r>
      <w:r w:rsidR="00B17BC3" w:rsidRPr="00F92800">
        <w:rPr>
          <w:sz w:val="26"/>
          <w:szCs w:val="26"/>
        </w:rPr>
        <w:t>unpaid gas</w:t>
      </w:r>
      <w:r w:rsidR="00B17BC3">
        <w:rPr>
          <w:sz w:val="26"/>
          <w:szCs w:val="26"/>
        </w:rPr>
        <w:t xml:space="preserve"> service where there is foreign load.  I.D. at 6 (citing Tr. at 47).  </w:t>
      </w:r>
      <w:r w:rsidR="00036509">
        <w:rPr>
          <w:sz w:val="26"/>
          <w:szCs w:val="26"/>
        </w:rPr>
        <w:t>T</w:t>
      </w:r>
      <w:r w:rsidR="00A01ACC">
        <w:rPr>
          <w:sz w:val="26"/>
          <w:szCs w:val="26"/>
        </w:rPr>
        <w:t>he ALJ</w:t>
      </w:r>
      <w:r w:rsidR="00036509">
        <w:rPr>
          <w:sz w:val="26"/>
          <w:szCs w:val="26"/>
        </w:rPr>
        <w:t xml:space="preserve"> stated th</w:t>
      </w:r>
      <w:r w:rsidR="00016B6D">
        <w:rPr>
          <w:sz w:val="26"/>
          <w:szCs w:val="26"/>
        </w:rPr>
        <w:t>at</w:t>
      </w:r>
      <w:r w:rsidR="00036509">
        <w:rPr>
          <w:sz w:val="26"/>
          <w:szCs w:val="26"/>
        </w:rPr>
        <w:t xml:space="preserve"> because </w:t>
      </w:r>
      <w:r w:rsidR="005907F6">
        <w:rPr>
          <w:sz w:val="26"/>
          <w:szCs w:val="26"/>
        </w:rPr>
        <w:t>PGW</w:t>
      </w:r>
      <w:r w:rsidR="00694B7B">
        <w:rPr>
          <w:sz w:val="26"/>
          <w:szCs w:val="26"/>
        </w:rPr>
        <w:t>’</w:t>
      </w:r>
      <w:r w:rsidR="005907F6">
        <w:rPr>
          <w:sz w:val="26"/>
          <w:szCs w:val="26"/>
        </w:rPr>
        <w:t>s</w:t>
      </w:r>
      <w:r w:rsidR="00036509">
        <w:rPr>
          <w:sz w:val="26"/>
          <w:szCs w:val="26"/>
        </w:rPr>
        <w:t xml:space="preserve"> LCP </w:t>
      </w:r>
      <w:r w:rsidR="005C3F25">
        <w:rPr>
          <w:sz w:val="26"/>
          <w:szCs w:val="26"/>
        </w:rPr>
        <w:t>is</w:t>
      </w:r>
      <w:r w:rsidR="00B17BC3">
        <w:rPr>
          <w:sz w:val="26"/>
          <w:szCs w:val="26"/>
        </w:rPr>
        <w:t xml:space="preserve"> a </w:t>
      </w:r>
      <w:r w:rsidR="005C3F25">
        <w:rPr>
          <w:sz w:val="26"/>
          <w:szCs w:val="26"/>
        </w:rPr>
        <w:t>contract between PGW and landlords</w:t>
      </w:r>
      <w:r w:rsidR="00036509">
        <w:rPr>
          <w:sz w:val="26"/>
          <w:szCs w:val="26"/>
        </w:rPr>
        <w:t xml:space="preserve">, </w:t>
      </w:r>
      <w:r w:rsidR="005C3F25">
        <w:rPr>
          <w:sz w:val="26"/>
          <w:szCs w:val="26"/>
        </w:rPr>
        <w:t xml:space="preserve">the Commission does not have jurisdiction over </w:t>
      </w:r>
      <w:r w:rsidR="005907F6">
        <w:rPr>
          <w:sz w:val="26"/>
          <w:szCs w:val="26"/>
        </w:rPr>
        <w:t>PGW</w:t>
      </w:r>
      <w:r w:rsidR="00694B7B">
        <w:rPr>
          <w:sz w:val="26"/>
          <w:szCs w:val="26"/>
        </w:rPr>
        <w:t>’</w:t>
      </w:r>
      <w:r w:rsidR="005907F6">
        <w:rPr>
          <w:sz w:val="26"/>
          <w:szCs w:val="26"/>
        </w:rPr>
        <w:t xml:space="preserve">s </w:t>
      </w:r>
      <w:r w:rsidR="00036509">
        <w:rPr>
          <w:sz w:val="26"/>
          <w:szCs w:val="26"/>
        </w:rPr>
        <w:t xml:space="preserve">LCP.  </w:t>
      </w:r>
      <w:r w:rsidR="005C3F25">
        <w:rPr>
          <w:sz w:val="26"/>
          <w:szCs w:val="26"/>
        </w:rPr>
        <w:t>I.D. at 6</w:t>
      </w:r>
      <w:r w:rsidR="00036509">
        <w:rPr>
          <w:sz w:val="26"/>
          <w:szCs w:val="26"/>
        </w:rPr>
        <w:t xml:space="preserve"> (</w:t>
      </w:r>
      <w:r w:rsidR="00036509" w:rsidRPr="00F92800">
        <w:rPr>
          <w:sz w:val="26"/>
          <w:szCs w:val="26"/>
        </w:rPr>
        <w:t xml:space="preserve">citing </w:t>
      </w:r>
      <w:r w:rsidR="00036509" w:rsidRPr="00F92800">
        <w:rPr>
          <w:i/>
          <w:sz w:val="26"/>
          <w:szCs w:val="26"/>
        </w:rPr>
        <w:t>Fisher</w:t>
      </w:r>
      <w:r w:rsidR="00036509" w:rsidRPr="00EF6C59">
        <w:rPr>
          <w:i/>
          <w:sz w:val="26"/>
          <w:szCs w:val="26"/>
        </w:rPr>
        <w:t xml:space="preserve"> v. Philadelphia Gas Works,</w:t>
      </w:r>
      <w:r w:rsidR="00036509" w:rsidRPr="00EF6C59">
        <w:rPr>
          <w:sz w:val="26"/>
          <w:szCs w:val="26"/>
        </w:rPr>
        <w:t xml:space="preserve"> PUC Docket Number F-2010-2215047 (Final Order entered July 31, 2012)</w:t>
      </w:r>
      <w:r w:rsidR="00036509">
        <w:rPr>
          <w:sz w:val="26"/>
          <w:szCs w:val="26"/>
        </w:rPr>
        <w:t xml:space="preserve"> </w:t>
      </w:r>
      <w:r w:rsidR="00036509" w:rsidRPr="00036509">
        <w:rPr>
          <w:sz w:val="26"/>
          <w:szCs w:val="26"/>
        </w:rPr>
        <w:t>(</w:t>
      </w:r>
      <w:r w:rsidR="00036509">
        <w:rPr>
          <w:i/>
          <w:sz w:val="26"/>
          <w:szCs w:val="26"/>
        </w:rPr>
        <w:t>Fisher</w:t>
      </w:r>
      <w:r w:rsidR="00036509" w:rsidRPr="00B74E9A">
        <w:rPr>
          <w:sz w:val="26"/>
          <w:szCs w:val="26"/>
        </w:rPr>
        <w:t>)).</w:t>
      </w:r>
      <w:r w:rsidR="005E241A" w:rsidRPr="00B74E9A">
        <w:rPr>
          <w:sz w:val="26"/>
          <w:szCs w:val="26"/>
        </w:rPr>
        <w:t xml:space="preserve">  </w:t>
      </w:r>
      <w:r w:rsidR="00036509" w:rsidRPr="00B74E9A">
        <w:rPr>
          <w:sz w:val="26"/>
          <w:szCs w:val="26"/>
        </w:rPr>
        <w:t>Thus</w:t>
      </w:r>
      <w:r w:rsidR="00F92800" w:rsidRPr="00B74E9A">
        <w:rPr>
          <w:sz w:val="26"/>
          <w:szCs w:val="26"/>
        </w:rPr>
        <w:t>, the</w:t>
      </w:r>
      <w:r w:rsidR="00F92800">
        <w:rPr>
          <w:sz w:val="26"/>
          <w:szCs w:val="26"/>
        </w:rPr>
        <w:t xml:space="preserve"> ALJ stated that the duties and liabilities of parties to the Landlord Cooperation Program will not be addressed</w:t>
      </w:r>
      <w:r w:rsidR="001861CF">
        <w:rPr>
          <w:sz w:val="26"/>
          <w:szCs w:val="26"/>
        </w:rPr>
        <w:t xml:space="preserve"> in her Initial Decision</w:t>
      </w:r>
      <w:r w:rsidR="00F92800">
        <w:rPr>
          <w:sz w:val="26"/>
          <w:szCs w:val="26"/>
        </w:rPr>
        <w:t>.  I.D. at 6.</w:t>
      </w:r>
    </w:p>
    <w:p w:rsidR="00036509" w:rsidRDefault="00036509" w:rsidP="00A6670C">
      <w:pPr>
        <w:widowControl/>
        <w:spacing w:line="360" w:lineRule="auto"/>
        <w:ind w:firstLine="1440"/>
        <w:rPr>
          <w:sz w:val="26"/>
          <w:szCs w:val="26"/>
        </w:rPr>
      </w:pPr>
    </w:p>
    <w:p w:rsidR="00B17BC3" w:rsidRDefault="00036509" w:rsidP="00A6670C">
      <w:pPr>
        <w:widowControl/>
        <w:spacing w:line="360" w:lineRule="auto"/>
        <w:ind w:firstLine="1440"/>
        <w:rPr>
          <w:sz w:val="26"/>
          <w:szCs w:val="26"/>
        </w:rPr>
      </w:pPr>
      <w:r>
        <w:rPr>
          <w:sz w:val="26"/>
          <w:szCs w:val="26"/>
        </w:rPr>
        <w:t>In addressing the foreign load issue</w:t>
      </w:r>
      <w:r w:rsidR="005E241A">
        <w:rPr>
          <w:sz w:val="26"/>
          <w:szCs w:val="26"/>
        </w:rPr>
        <w:t xml:space="preserve">, the ALJ </w:t>
      </w:r>
      <w:r w:rsidR="00694B7B">
        <w:rPr>
          <w:sz w:val="26"/>
          <w:szCs w:val="26"/>
        </w:rPr>
        <w:t>explained that PGW’s witness</w:t>
      </w:r>
      <w:r w:rsidR="001861CF">
        <w:rPr>
          <w:sz w:val="26"/>
          <w:szCs w:val="26"/>
        </w:rPr>
        <w:t xml:space="preserve"> testified that </w:t>
      </w:r>
      <w:r w:rsidR="001861CF" w:rsidRPr="00C214A9">
        <w:rPr>
          <w:sz w:val="26"/>
          <w:szCs w:val="26"/>
        </w:rPr>
        <w:t>PGW define</w:t>
      </w:r>
      <w:r w:rsidR="001861CF">
        <w:rPr>
          <w:sz w:val="26"/>
          <w:szCs w:val="26"/>
        </w:rPr>
        <w:t>s</w:t>
      </w:r>
      <w:r w:rsidR="001861CF" w:rsidRPr="00C214A9">
        <w:rPr>
          <w:sz w:val="26"/>
          <w:szCs w:val="26"/>
        </w:rPr>
        <w:t xml:space="preserve"> foreign load as a </w:t>
      </w:r>
      <w:r w:rsidR="00694B7B">
        <w:rPr>
          <w:sz w:val="26"/>
          <w:szCs w:val="26"/>
        </w:rPr>
        <w:t>“</w:t>
      </w:r>
      <w:r w:rsidR="001861CF" w:rsidRPr="00C214A9">
        <w:rPr>
          <w:sz w:val="26"/>
          <w:szCs w:val="26"/>
        </w:rPr>
        <w:t>situation where a tenant</w:t>
      </w:r>
      <w:r w:rsidR="00694B7B">
        <w:rPr>
          <w:sz w:val="26"/>
          <w:szCs w:val="26"/>
        </w:rPr>
        <w:t>’</w:t>
      </w:r>
      <w:r w:rsidR="001861CF" w:rsidRPr="00C214A9">
        <w:rPr>
          <w:sz w:val="26"/>
          <w:szCs w:val="26"/>
        </w:rPr>
        <w:t>s gas meter supplies another tenant</w:t>
      </w:r>
      <w:r w:rsidR="00694B7B">
        <w:rPr>
          <w:sz w:val="26"/>
          <w:szCs w:val="26"/>
        </w:rPr>
        <w:t>’</w:t>
      </w:r>
      <w:r w:rsidR="001861CF" w:rsidRPr="00C214A9">
        <w:rPr>
          <w:sz w:val="26"/>
          <w:szCs w:val="26"/>
        </w:rPr>
        <w:t xml:space="preserve">s service area or when </w:t>
      </w:r>
      <w:r w:rsidR="00694B7B">
        <w:rPr>
          <w:sz w:val="26"/>
          <w:szCs w:val="26"/>
        </w:rPr>
        <w:t>a tenant’s</w:t>
      </w:r>
      <w:r w:rsidR="001861CF" w:rsidRPr="00C214A9">
        <w:rPr>
          <w:sz w:val="26"/>
          <w:szCs w:val="26"/>
        </w:rPr>
        <w:t xml:space="preserve"> gas meter supplies a common area with gas service.</w:t>
      </w:r>
      <w:r w:rsidR="00694B7B">
        <w:rPr>
          <w:sz w:val="26"/>
          <w:szCs w:val="26"/>
        </w:rPr>
        <w:t>”</w:t>
      </w:r>
      <w:r w:rsidR="001861CF" w:rsidRPr="00C214A9">
        <w:rPr>
          <w:sz w:val="26"/>
          <w:szCs w:val="26"/>
        </w:rPr>
        <w:t xml:space="preserve">  </w:t>
      </w:r>
      <w:r w:rsidR="001861CF">
        <w:rPr>
          <w:sz w:val="26"/>
          <w:szCs w:val="26"/>
        </w:rPr>
        <w:t xml:space="preserve">I.D. at 6 (citing </w:t>
      </w:r>
      <w:r w:rsidR="001861CF" w:rsidRPr="00C214A9">
        <w:rPr>
          <w:sz w:val="26"/>
          <w:szCs w:val="26"/>
        </w:rPr>
        <w:t>Tr. at 41</w:t>
      </w:r>
      <w:r w:rsidR="001861CF">
        <w:rPr>
          <w:sz w:val="26"/>
          <w:szCs w:val="26"/>
        </w:rPr>
        <w:t>)</w:t>
      </w:r>
      <w:r w:rsidR="001861CF" w:rsidRPr="00C214A9">
        <w:rPr>
          <w:sz w:val="26"/>
          <w:szCs w:val="26"/>
        </w:rPr>
        <w:t>.</w:t>
      </w:r>
      <w:r w:rsidR="001861CF">
        <w:rPr>
          <w:sz w:val="26"/>
          <w:szCs w:val="26"/>
        </w:rPr>
        <w:t xml:space="preserve">  The ALJ explained that</w:t>
      </w:r>
      <w:r w:rsidR="005E241A">
        <w:rPr>
          <w:sz w:val="26"/>
          <w:szCs w:val="26"/>
        </w:rPr>
        <w:t xml:space="preserve"> PGW</w:t>
      </w:r>
      <w:r w:rsidR="00694B7B">
        <w:rPr>
          <w:sz w:val="26"/>
          <w:szCs w:val="26"/>
        </w:rPr>
        <w:t>’</w:t>
      </w:r>
      <w:r w:rsidR="005E241A">
        <w:rPr>
          <w:sz w:val="26"/>
          <w:szCs w:val="26"/>
        </w:rPr>
        <w:t xml:space="preserve">s </w:t>
      </w:r>
      <w:r w:rsidR="001861CF">
        <w:rPr>
          <w:sz w:val="26"/>
          <w:szCs w:val="26"/>
        </w:rPr>
        <w:t>position is</w:t>
      </w:r>
      <w:r w:rsidR="005E241A">
        <w:rPr>
          <w:sz w:val="26"/>
          <w:szCs w:val="26"/>
        </w:rPr>
        <w:t xml:space="preserve"> that</w:t>
      </w:r>
      <w:r w:rsidR="001861CF">
        <w:rPr>
          <w:sz w:val="26"/>
          <w:szCs w:val="26"/>
        </w:rPr>
        <w:t xml:space="preserve"> </w:t>
      </w:r>
      <w:r w:rsidR="005E241A">
        <w:rPr>
          <w:sz w:val="26"/>
          <w:szCs w:val="26"/>
        </w:rPr>
        <w:t>the charges were properly transferred to the Complainant</w:t>
      </w:r>
      <w:r w:rsidR="001861CF" w:rsidRPr="001861CF">
        <w:rPr>
          <w:sz w:val="26"/>
          <w:szCs w:val="26"/>
        </w:rPr>
        <w:t xml:space="preserve"> </w:t>
      </w:r>
      <w:r w:rsidR="001861CF">
        <w:rPr>
          <w:sz w:val="26"/>
          <w:szCs w:val="26"/>
        </w:rPr>
        <w:t xml:space="preserve">under </w:t>
      </w:r>
      <w:r w:rsidR="001861CF" w:rsidRPr="00FA254C">
        <w:rPr>
          <w:sz w:val="26"/>
          <w:szCs w:val="26"/>
        </w:rPr>
        <w:t>66 Pa.</w:t>
      </w:r>
      <w:r w:rsidR="001861CF">
        <w:rPr>
          <w:sz w:val="26"/>
          <w:szCs w:val="26"/>
        </w:rPr>
        <w:t xml:space="preserve"> </w:t>
      </w:r>
      <w:r w:rsidR="001861CF" w:rsidRPr="00FA254C">
        <w:rPr>
          <w:sz w:val="26"/>
          <w:szCs w:val="26"/>
        </w:rPr>
        <w:t>C.S. § 1529.1</w:t>
      </w:r>
      <w:r w:rsidR="005E241A">
        <w:rPr>
          <w:sz w:val="26"/>
          <w:szCs w:val="26"/>
        </w:rPr>
        <w:t>.</w:t>
      </w:r>
      <w:r w:rsidR="001861CF">
        <w:rPr>
          <w:sz w:val="26"/>
          <w:szCs w:val="26"/>
        </w:rPr>
        <w:t xml:space="preserve">  I.D. at 7.</w:t>
      </w:r>
      <w:r w:rsidR="00016B6D">
        <w:rPr>
          <w:sz w:val="26"/>
          <w:szCs w:val="26"/>
        </w:rPr>
        <w:t xml:space="preserve">  </w:t>
      </w:r>
      <w:r w:rsidR="00FA5494">
        <w:rPr>
          <w:sz w:val="26"/>
          <w:szCs w:val="26"/>
        </w:rPr>
        <w:t xml:space="preserve">However, the ALJ pointed out that the Complainant is responsible for </w:t>
      </w:r>
      <w:r w:rsidR="00917686">
        <w:rPr>
          <w:sz w:val="26"/>
          <w:szCs w:val="26"/>
        </w:rPr>
        <w:t xml:space="preserve">only </w:t>
      </w:r>
      <w:r w:rsidR="005907F6">
        <w:rPr>
          <w:sz w:val="26"/>
          <w:szCs w:val="26"/>
        </w:rPr>
        <w:t xml:space="preserve">a </w:t>
      </w:r>
      <w:r w:rsidR="00917686">
        <w:rPr>
          <w:sz w:val="26"/>
          <w:szCs w:val="26"/>
        </w:rPr>
        <w:t xml:space="preserve">portion of </w:t>
      </w:r>
      <w:r w:rsidR="00FA5494">
        <w:rPr>
          <w:sz w:val="26"/>
          <w:szCs w:val="26"/>
        </w:rPr>
        <w:t>the charges</w:t>
      </w:r>
      <w:r w:rsidR="00917686">
        <w:rPr>
          <w:sz w:val="26"/>
          <w:szCs w:val="26"/>
        </w:rPr>
        <w:t xml:space="preserve"> that pertains to foreign load</w:t>
      </w:r>
      <w:r w:rsidR="0095426C">
        <w:rPr>
          <w:sz w:val="26"/>
          <w:szCs w:val="26"/>
        </w:rPr>
        <w:t xml:space="preserve"> in this case</w:t>
      </w:r>
      <w:r w:rsidR="00FA5494" w:rsidRPr="001861CF">
        <w:rPr>
          <w:sz w:val="26"/>
          <w:szCs w:val="26"/>
        </w:rPr>
        <w:t xml:space="preserve">.  </w:t>
      </w:r>
      <w:r w:rsidR="001861CF" w:rsidRPr="001861CF">
        <w:rPr>
          <w:sz w:val="26"/>
          <w:szCs w:val="26"/>
        </w:rPr>
        <w:t>I.D. at</w:t>
      </w:r>
      <w:r w:rsidR="00694B7B">
        <w:rPr>
          <w:sz w:val="26"/>
          <w:szCs w:val="26"/>
        </w:rPr>
        <w:t> </w:t>
      </w:r>
      <w:r w:rsidR="00A6670C">
        <w:rPr>
          <w:sz w:val="26"/>
          <w:szCs w:val="26"/>
        </w:rPr>
        <w:t>7.</w:t>
      </w:r>
    </w:p>
    <w:p w:rsidR="002869B5" w:rsidRDefault="002869B5" w:rsidP="00A6670C">
      <w:pPr>
        <w:widowControl/>
        <w:spacing w:line="360" w:lineRule="auto"/>
        <w:rPr>
          <w:sz w:val="26"/>
          <w:szCs w:val="26"/>
        </w:rPr>
      </w:pPr>
    </w:p>
    <w:p w:rsidR="006448B1" w:rsidRDefault="002869B5" w:rsidP="00A6670C">
      <w:pPr>
        <w:widowControl/>
        <w:spacing w:line="360" w:lineRule="auto"/>
        <w:rPr>
          <w:sz w:val="26"/>
          <w:szCs w:val="26"/>
        </w:rPr>
      </w:pPr>
      <w:r>
        <w:rPr>
          <w:sz w:val="26"/>
          <w:szCs w:val="26"/>
        </w:rPr>
        <w:tab/>
      </w:r>
      <w:r>
        <w:rPr>
          <w:sz w:val="26"/>
          <w:szCs w:val="26"/>
        </w:rPr>
        <w:tab/>
      </w:r>
      <w:r w:rsidR="000F0313">
        <w:rPr>
          <w:sz w:val="26"/>
          <w:szCs w:val="26"/>
        </w:rPr>
        <w:t>A</w:t>
      </w:r>
      <w:r>
        <w:rPr>
          <w:sz w:val="26"/>
          <w:szCs w:val="26"/>
        </w:rPr>
        <w:t>fter considering the</w:t>
      </w:r>
      <w:r w:rsidR="000F0313">
        <w:rPr>
          <w:sz w:val="26"/>
          <w:szCs w:val="26"/>
        </w:rPr>
        <w:t xml:space="preserve"> facts and</w:t>
      </w:r>
      <w:r>
        <w:rPr>
          <w:sz w:val="26"/>
          <w:szCs w:val="26"/>
        </w:rPr>
        <w:t xml:space="preserve"> circumstances that led to the foreign load allegations</w:t>
      </w:r>
      <w:r w:rsidR="00363CC9">
        <w:rPr>
          <w:sz w:val="26"/>
          <w:szCs w:val="26"/>
        </w:rPr>
        <w:t xml:space="preserve"> in this case</w:t>
      </w:r>
      <w:r>
        <w:rPr>
          <w:sz w:val="26"/>
          <w:szCs w:val="26"/>
        </w:rPr>
        <w:t xml:space="preserve">, </w:t>
      </w:r>
      <w:r w:rsidR="000F0313">
        <w:rPr>
          <w:sz w:val="26"/>
          <w:szCs w:val="26"/>
        </w:rPr>
        <w:t xml:space="preserve">see I.D. at 7-8, </w:t>
      </w:r>
      <w:r>
        <w:rPr>
          <w:sz w:val="26"/>
          <w:szCs w:val="26"/>
        </w:rPr>
        <w:t xml:space="preserve">the ALJ determined that </w:t>
      </w:r>
      <w:r w:rsidR="0057006E">
        <w:rPr>
          <w:sz w:val="26"/>
          <w:szCs w:val="26"/>
        </w:rPr>
        <w:t>the record support</w:t>
      </w:r>
      <w:r w:rsidR="00D33E54">
        <w:rPr>
          <w:sz w:val="26"/>
          <w:szCs w:val="26"/>
        </w:rPr>
        <w:t>s</w:t>
      </w:r>
      <w:r w:rsidR="0057006E">
        <w:rPr>
          <w:sz w:val="26"/>
          <w:szCs w:val="26"/>
        </w:rPr>
        <w:t xml:space="preserve"> a finding that there was foreign load </w:t>
      </w:r>
      <w:r w:rsidR="00363CC9">
        <w:rPr>
          <w:sz w:val="26"/>
          <w:szCs w:val="26"/>
        </w:rPr>
        <w:t xml:space="preserve">only </w:t>
      </w:r>
      <w:r w:rsidR="0057006E">
        <w:rPr>
          <w:sz w:val="26"/>
          <w:szCs w:val="26"/>
        </w:rPr>
        <w:t xml:space="preserve">from the time </w:t>
      </w:r>
      <w:r w:rsidR="00B74E9A">
        <w:rPr>
          <w:sz w:val="26"/>
          <w:szCs w:val="26"/>
        </w:rPr>
        <w:t>t</w:t>
      </w:r>
      <w:r w:rsidR="00211169">
        <w:rPr>
          <w:sz w:val="26"/>
          <w:szCs w:val="26"/>
        </w:rPr>
        <w:t>he Tenant</w:t>
      </w:r>
      <w:r w:rsidR="0057006E">
        <w:rPr>
          <w:sz w:val="26"/>
          <w:szCs w:val="26"/>
        </w:rPr>
        <w:t xml:space="preserve"> became the customer of record in October 2015 </w:t>
      </w:r>
      <w:r w:rsidR="00D33E54">
        <w:rPr>
          <w:sz w:val="26"/>
          <w:szCs w:val="26"/>
        </w:rPr>
        <w:t xml:space="preserve">up to </w:t>
      </w:r>
      <w:r w:rsidR="0057006E">
        <w:rPr>
          <w:sz w:val="26"/>
          <w:szCs w:val="26"/>
        </w:rPr>
        <w:t>March 201</w:t>
      </w:r>
      <w:r w:rsidR="00363CC9">
        <w:rPr>
          <w:sz w:val="26"/>
          <w:szCs w:val="26"/>
        </w:rPr>
        <w:t>6</w:t>
      </w:r>
      <w:r w:rsidR="0057006E">
        <w:rPr>
          <w:sz w:val="26"/>
          <w:szCs w:val="26"/>
        </w:rPr>
        <w:t xml:space="preserve">. </w:t>
      </w:r>
      <w:r w:rsidR="000F0313">
        <w:rPr>
          <w:sz w:val="26"/>
          <w:szCs w:val="26"/>
        </w:rPr>
        <w:t xml:space="preserve">  I.D. at 8.</w:t>
      </w:r>
      <w:r w:rsidR="0057006E">
        <w:rPr>
          <w:sz w:val="26"/>
          <w:szCs w:val="26"/>
        </w:rPr>
        <w:t xml:space="preserve"> </w:t>
      </w:r>
      <w:r>
        <w:rPr>
          <w:sz w:val="26"/>
          <w:szCs w:val="26"/>
        </w:rPr>
        <w:t xml:space="preserve"> </w:t>
      </w:r>
      <w:r w:rsidR="0057006E">
        <w:rPr>
          <w:sz w:val="26"/>
          <w:szCs w:val="26"/>
        </w:rPr>
        <w:t xml:space="preserve">The ALJ explained that </w:t>
      </w:r>
      <w:r w:rsidR="00D33E54">
        <w:rPr>
          <w:sz w:val="26"/>
          <w:szCs w:val="26"/>
        </w:rPr>
        <w:t xml:space="preserve">in </w:t>
      </w:r>
      <w:r w:rsidR="0057006E">
        <w:rPr>
          <w:sz w:val="26"/>
          <w:szCs w:val="26"/>
        </w:rPr>
        <w:t xml:space="preserve">leasing only the residential portion of the building to </w:t>
      </w:r>
      <w:r w:rsidR="00B74E9A">
        <w:rPr>
          <w:sz w:val="26"/>
          <w:szCs w:val="26"/>
        </w:rPr>
        <w:t>t</w:t>
      </w:r>
      <w:r w:rsidR="00211169">
        <w:rPr>
          <w:sz w:val="26"/>
          <w:szCs w:val="26"/>
        </w:rPr>
        <w:t>he Tenant</w:t>
      </w:r>
      <w:r w:rsidR="0057006E">
        <w:rPr>
          <w:sz w:val="26"/>
          <w:szCs w:val="26"/>
        </w:rPr>
        <w:t>, the Complainant created a mixed-use property</w:t>
      </w:r>
      <w:r w:rsidR="00D33E54">
        <w:rPr>
          <w:sz w:val="26"/>
          <w:szCs w:val="26"/>
        </w:rPr>
        <w:t>,</w:t>
      </w:r>
      <w:r w:rsidR="0057006E">
        <w:rPr>
          <w:sz w:val="26"/>
          <w:szCs w:val="26"/>
        </w:rPr>
        <w:t xml:space="preserve"> </w:t>
      </w:r>
      <w:r w:rsidR="00036509">
        <w:rPr>
          <w:sz w:val="26"/>
          <w:szCs w:val="26"/>
        </w:rPr>
        <w:t xml:space="preserve">meaning, </w:t>
      </w:r>
      <w:r w:rsidR="00036509" w:rsidRPr="00D33E54">
        <w:rPr>
          <w:sz w:val="26"/>
          <w:szCs w:val="26"/>
        </w:rPr>
        <w:t>a property consisting of a commercial area and</w:t>
      </w:r>
      <w:r w:rsidR="00036509">
        <w:rPr>
          <w:sz w:val="26"/>
          <w:szCs w:val="26"/>
        </w:rPr>
        <w:t xml:space="preserve"> a dwelling or residential area.  </w:t>
      </w:r>
      <w:r w:rsidR="000F0313">
        <w:rPr>
          <w:sz w:val="26"/>
          <w:szCs w:val="26"/>
        </w:rPr>
        <w:t xml:space="preserve">I.D. at 9.  </w:t>
      </w:r>
      <w:r w:rsidR="00036509">
        <w:rPr>
          <w:sz w:val="26"/>
          <w:szCs w:val="26"/>
        </w:rPr>
        <w:t xml:space="preserve">Because </w:t>
      </w:r>
      <w:r w:rsidR="00B74E9A">
        <w:rPr>
          <w:sz w:val="26"/>
          <w:szCs w:val="26"/>
        </w:rPr>
        <w:t>t</w:t>
      </w:r>
      <w:r w:rsidR="00211169">
        <w:rPr>
          <w:sz w:val="26"/>
          <w:szCs w:val="26"/>
        </w:rPr>
        <w:t>he Tenant</w:t>
      </w:r>
      <w:r w:rsidR="006448B1">
        <w:rPr>
          <w:sz w:val="26"/>
          <w:szCs w:val="26"/>
        </w:rPr>
        <w:t xml:space="preserve"> was billed as </w:t>
      </w:r>
      <w:r w:rsidR="00914538">
        <w:rPr>
          <w:sz w:val="26"/>
          <w:szCs w:val="26"/>
        </w:rPr>
        <w:t xml:space="preserve">a </w:t>
      </w:r>
      <w:r w:rsidR="006448B1">
        <w:rPr>
          <w:sz w:val="26"/>
          <w:szCs w:val="26"/>
        </w:rPr>
        <w:t>PGW customer of record based on one meter for the entire building, including portions of the building she was not allowed to use</w:t>
      </w:r>
      <w:r w:rsidR="00036509">
        <w:rPr>
          <w:sz w:val="26"/>
          <w:szCs w:val="26"/>
        </w:rPr>
        <w:t>, t</w:t>
      </w:r>
      <w:r w:rsidR="006448B1">
        <w:rPr>
          <w:sz w:val="26"/>
          <w:szCs w:val="26"/>
        </w:rPr>
        <w:t>he ALJ</w:t>
      </w:r>
      <w:r w:rsidR="009E680E">
        <w:rPr>
          <w:sz w:val="26"/>
          <w:szCs w:val="26"/>
        </w:rPr>
        <w:t xml:space="preserve"> maintained </w:t>
      </w:r>
      <w:r w:rsidR="006448B1">
        <w:rPr>
          <w:sz w:val="26"/>
          <w:szCs w:val="26"/>
        </w:rPr>
        <w:t xml:space="preserve">that pursuant to </w:t>
      </w:r>
      <w:r w:rsidR="006448B1" w:rsidRPr="00FA254C">
        <w:rPr>
          <w:sz w:val="26"/>
          <w:szCs w:val="26"/>
        </w:rPr>
        <w:t>66 Pa.</w:t>
      </w:r>
      <w:r w:rsidR="006448B1">
        <w:rPr>
          <w:sz w:val="26"/>
          <w:szCs w:val="26"/>
        </w:rPr>
        <w:t xml:space="preserve"> </w:t>
      </w:r>
      <w:r w:rsidR="006448B1" w:rsidRPr="00FA254C">
        <w:rPr>
          <w:sz w:val="26"/>
          <w:szCs w:val="26"/>
        </w:rPr>
        <w:t>C.S. § 1529.1</w:t>
      </w:r>
      <w:r w:rsidR="00036509">
        <w:rPr>
          <w:sz w:val="26"/>
          <w:szCs w:val="26"/>
        </w:rPr>
        <w:t xml:space="preserve"> </w:t>
      </w:r>
      <w:r w:rsidR="006448B1">
        <w:rPr>
          <w:sz w:val="26"/>
          <w:szCs w:val="26"/>
        </w:rPr>
        <w:t>there was foreign load and the Complainant</w:t>
      </w:r>
      <w:r w:rsidR="008425AD">
        <w:rPr>
          <w:sz w:val="26"/>
          <w:szCs w:val="26"/>
        </w:rPr>
        <w:t>, as the owner of the property,</w:t>
      </w:r>
      <w:r w:rsidR="006448B1">
        <w:rPr>
          <w:sz w:val="26"/>
          <w:szCs w:val="26"/>
        </w:rPr>
        <w:t xml:space="preserve"> is responsible for the accrued charges</w:t>
      </w:r>
      <w:r w:rsidR="006448B1" w:rsidRPr="000F0313">
        <w:rPr>
          <w:i/>
          <w:sz w:val="26"/>
          <w:szCs w:val="26"/>
        </w:rPr>
        <w:t xml:space="preserve">.  </w:t>
      </w:r>
      <w:r w:rsidR="000F0313" w:rsidRPr="000F0313">
        <w:rPr>
          <w:sz w:val="26"/>
          <w:szCs w:val="26"/>
        </w:rPr>
        <w:t>I.D.</w:t>
      </w:r>
      <w:r w:rsidR="006448B1" w:rsidRPr="000F0313">
        <w:rPr>
          <w:sz w:val="26"/>
          <w:szCs w:val="26"/>
        </w:rPr>
        <w:t xml:space="preserve"> </w:t>
      </w:r>
      <w:r w:rsidR="00A6670C">
        <w:rPr>
          <w:sz w:val="26"/>
          <w:szCs w:val="26"/>
        </w:rPr>
        <w:t>at 9.</w:t>
      </w:r>
    </w:p>
    <w:p w:rsidR="006448B1" w:rsidRDefault="006448B1" w:rsidP="00A6670C">
      <w:pPr>
        <w:widowControl/>
        <w:spacing w:line="360" w:lineRule="auto"/>
        <w:rPr>
          <w:sz w:val="26"/>
          <w:szCs w:val="26"/>
        </w:rPr>
      </w:pPr>
    </w:p>
    <w:p w:rsidR="00DA17D3" w:rsidRDefault="006448B1" w:rsidP="00A6670C">
      <w:pPr>
        <w:widowControl/>
        <w:spacing w:line="360" w:lineRule="auto"/>
        <w:rPr>
          <w:i/>
          <w:sz w:val="26"/>
          <w:szCs w:val="26"/>
        </w:rPr>
      </w:pPr>
      <w:r>
        <w:rPr>
          <w:sz w:val="26"/>
          <w:szCs w:val="26"/>
        </w:rPr>
        <w:tab/>
      </w:r>
      <w:r>
        <w:rPr>
          <w:sz w:val="26"/>
          <w:szCs w:val="26"/>
        </w:rPr>
        <w:tab/>
        <w:t xml:space="preserve">However, the ALJ </w:t>
      </w:r>
      <w:r w:rsidR="004150EB">
        <w:rPr>
          <w:sz w:val="26"/>
          <w:szCs w:val="26"/>
        </w:rPr>
        <w:t>determined</w:t>
      </w:r>
      <w:r>
        <w:rPr>
          <w:sz w:val="26"/>
          <w:szCs w:val="26"/>
        </w:rPr>
        <w:t xml:space="preserve"> that once </w:t>
      </w:r>
      <w:r w:rsidR="00B74E9A">
        <w:rPr>
          <w:sz w:val="26"/>
          <w:szCs w:val="26"/>
        </w:rPr>
        <w:t>t</w:t>
      </w:r>
      <w:r w:rsidR="00211169">
        <w:rPr>
          <w:sz w:val="26"/>
          <w:szCs w:val="26"/>
        </w:rPr>
        <w:t>he Tenant</w:t>
      </w:r>
      <w:r>
        <w:rPr>
          <w:sz w:val="26"/>
          <w:szCs w:val="26"/>
        </w:rPr>
        <w:t xml:space="preserve"> took over the entire building and changed the locks on the property in March 2016, the building </w:t>
      </w:r>
      <w:r w:rsidR="00487DD5">
        <w:rPr>
          <w:sz w:val="26"/>
          <w:szCs w:val="26"/>
        </w:rPr>
        <w:t xml:space="preserve">was </w:t>
      </w:r>
      <w:r>
        <w:rPr>
          <w:sz w:val="26"/>
          <w:szCs w:val="26"/>
        </w:rPr>
        <w:t xml:space="preserve">no longer considered to be separate units and </w:t>
      </w:r>
      <w:r w:rsidR="00213022">
        <w:rPr>
          <w:sz w:val="26"/>
          <w:szCs w:val="26"/>
        </w:rPr>
        <w:t>Section</w:t>
      </w:r>
      <w:r w:rsidRPr="00FA254C">
        <w:rPr>
          <w:sz w:val="26"/>
          <w:szCs w:val="26"/>
        </w:rPr>
        <w:t xml:space="preserve"> 1529</w:t>
      </w:r>
      <w:r w:rsidR="00213022">
        <w:rPr>
          <w:sz w:val="26"/>
          <w:szCs w:val="26"/>
        </w:rPr>
        <w:t xml:space="preserve"> of the Code</w:t>
      </w:r>
      <w:r w:rsidR="008425AD">
        <w:rPr>
          <w:sz w:val="26"/>
          <w:szCs w:val="26"/>
        </w:rPr>
        <w:t xml:space="preserve"> therefore</w:t>
      </w:r>
      <w:r>
        <w:rPr>
          <w:sz w:val="26"/>
          <w:szCs w:val="26"/>
        </w:rPr>
        <w:t xml:space="preserve"> could no</w:t>
      </w:r>
      <w:r w:rsidR="00487DD5">
        <w:rPr>
          <w:sz w:val="26"/>
          <w:szCs w:val="26"/>
        </w:rPr>
        <w:t xml:space="preserve">t </w:t>
      </w:r>
      <w:r>
        <w:rPr>
          <w:sz w:val="26"/>
          <w:szCs w:val="26"/>
        </w:rPr>
        <w:t xml:space="preserve">apply.  </w:t>
      </w:r>
      <w:r w:rsidR="002E5203">
        <w:rPr>
          <w:sz w:val="26"/>
          <w:szCs w:val="26"/>
        </w:rPr>
        <w:t xml:space="preserve">I.D. at 9.  </w:t>
      </w:r>
      <w:r w:rsidR="0077766C">
        <w:rPr>
          <w:sz w:val="26"/>
          <w:szCs w:val="26"/>
        </w:rPr>
        <w:t xml:space="preserve">In March </w:t>
      </w:r>
      <w:r w:rsidR="002E5203">
        <w:rPr>
          <w:sz w:val="26"/>
          <w:szCs w:val="26"/>
        </w:rPr>
        <w:t xml:space="preserve">2016, </w:t>
      </w:r>
      <w:r w:rsidR="00B74E9A">
        <w:rPr>
          <w:sz w:val="26"/>
          <w:szCs w:val="26"/>
        </w:rPr>
        <w:t>t</w:t>
      </w:r>
      <w:r w:rsidR="00211169">
        <w:rPr>
          <w:sz w:val="26"/>
          <w:szCs w:val="26"/>
        </w:rPr>
        <w:t>he Tenant</w:t>
      </w:r>
      <w:r w:rsidR="002E5203">
        <w:rPr>
          <w:sz w:val="26"/>
          <w:szCs w:val="26"/>
        </w:rPr>
        <w:t xml:space="preserve"> took over the </w:t>
      </w:r>
      <w:proofErr w:type="gramStart"/>
      <w:r w:rsidR="002E5203">
        <w:rPr>
          <w:sz w:val="26"/>
          <w:szCs w:val="26"/>
        </w:rPr>
        <w:t xml:space="preserve">building </w:t>
      </w:r>
      <w:r w:rsidR="008425AD">
        <w:rPr>
          <w:sz w:val="26"/>
          <w:szCs w:val="26"/>
        </w:rPr>
        <w:t>;</w:t>
      </w:r>
      <w:proofErr w:type="gramEnd"/>
      <w:r w:rsidR="008425AD">
        <w:rPr>
          <w:sz w:val="26"/>
          <w:szCs w:val="26"/>
        </w:rPr>
        <w:t xml:space="preserve"> thus, </w:t>
      </w:r>
      <w:r>
        <w:rPr>
          <w:sz w:val="26"/>
          <w:szCs w:val="26"/>
        </w:rPr>
        <w:t>the Complainant</w:t>
      </w:r>
      <w:r w:rsidR="00694B7B">
        <w:rPr>
          <w:sz w:val="26"/>
          <w:szCs w:val="26"/>
        </w:rPr>
        <w:t>’</w:t>
      </w:r>
      <w:r>
        <w:rPr>
          <w:sz w:val="26"/>
          <w:szCs w:val="26"/>
        </w:rPr>
        <w:t xml:space="preserve">s family </w:t>
      </w:r>
      <w:r w:rsidR="008425AD">
        <w:rPr>
          <w:sz w:val="26"/>
          <w:szCs w:val="26"/>
        </w:rPr>
        <w:t xml:space="preserve">did not have </w:t>
      </w:r>
      <w:r>
        <w:rPr>
          <w:sz w:val="26"/>
          <w:szCs w:val="26"/>
        </w:rPr>
        <w:t xml:space="preserve">access to the building and </w:t>
      </w:r>
      <w:r w:rsidR="00D20C46">
        <w:rPr>
          <w:sz w:val="26"/>
          <w:szCs w:val="26"/>
        </w:rPr>
        <w:t xml:space="preserve">did not operate its business </w:t>
      </w:r>
      <w:r w:rsidR="002E5203">
        <w:rPr>
          <w:sz w:val="26"/>
          <w:szCs w:val="26"/>
        </w:rPr>
        <w:t xml:space="preserve">in the building </w:t>
      </w:r>
      <w:r>
        <w:rPr>
          <w:sz w:val="26"/>
          <w:szCs w:val="26"/>
        </w:rPr>
        <w:t>at th</w:t>
      </w:r>
      <w:r w:rsidR="00D20C46">
        <w:rPr>
          <w:sz w:val="26"/>
          <w:szCs w:val="26"/>
        </w:rPr>
        <w:t xml:space="preserve">at </w:t>
      </w:r>
      <w:r>
        <w:rPr>
          <w:sz w:val="26"/>
          <w:szCs w:val="26"/>
        </w:rPr>
        <w:t>time</w:t>
      </w:r>
      <w:r w:rsidR="002E5203">
        <w:rPr>
          <w:sz w:val="26"/>
          <w:szCs w:val="26"/>
        </w:rPr>
        <w:t xml:space="preserve">.  I.D. at 9 (citing Tr. at 11). </w:t>
      </w:r>
      <w:r>
        <w:rPr>
          <w:sz w:val="26"/>
          <w:szCs w:val="26"/>
        </w:rPr>
        <w:t xml:space="preserve"> </w:t>
      </w:r>
      <w:r w:rsidR="002E5203">
        <w:rPr>
          <w:sz w:val="26"/>
          <w:szCs w:val="26"/>
        </w:rPr>
        <w:t xml:space="preserve">As </w:t>
      </w:r>
      <w:r w:rsidR="00B74E9A">
        <w:rPr>
          <w:sz w:val="26"/>
          <w:szCs w:val="26"/>
        </w:rPr>
        <w:t>t</w:t>
      </w:r>
      <w:r w:rsidR="00211169">
        <w:rPr>
          <w:sz w:val="26"/>
          <w:szCs w:val="26"/>
        </w:rPr>
        <w:t>he Tenant</w:t>
      </w:r>
      <w:r w:rsidR="002E5203">
        <w:rPr>
          <w:sz w:val="26"/>
          <w:szCs w:val="26"/>
        </w:rPr>
        <w:t xml:space="preserve"> </w:t>
      </w:r>
      <w:r w:rsidR="00D20C46">
        <w:rPr>
          <w:sz w:val="26"/>
          <w:szCs w:val="26"/>
        </w:rPr>
        <w:t xml:space="preserve">was the sole party that </w:t>
      </w:r>
      <w:r w:rsidR="0077766C">
        <w:rPr>
          <w:sz w:val="26"/>
          <w:szCs w:val="26"/>
        </w:rPr>
        <w:t xml:space="preserve">had </w:t>
      </w:r>
      <w:r w:rsidR="00D20C46">
        <w:rPr>
          <w:sz w:val="26"/>
          <w:szCs w:val="26"/>
        </w:rPr>
        <w:t xml:space="preserve">access, </w:t>
      </w:r>
      <w:r w:rsidR="002E5203">
        <w:rPr>
          <w:sz w:val="26"/>
          <w:szCs w:val="26"/>
        </w:rPr>
        <w:t xml:space="preserve">used and controlled the entire service address, </w:t>
      </w:r>
      <w:r w:rsidR="00D20C46">
        <w:rPr>
          <w:sz w:val="26"/>
          <w:szCs w:val="26"/>
        </w:rPr>
        <w:t xml:space="preserve">the ALJ found that </w:t>
      </w:r>
      <w:r>
        <w:rPr>
          <w:sz w:val="26"/>
          <w:szCs w:val="26"/>
        </w:rPr>
        <w:t xml:space="preserve">individual metering was not required </w:t>
      </w:r>
      <w:r w:rsidR="002E5203">
        <w:rPr>
          <w:sz w:val="26"/>
          <w:szCs w:val="26"/>
        </w:rPr>
        <w:t xml:space="preserve">after March </w:t>
      </w:r>
      <w:r w:rsidR="00D20C46">
        <w:rPr>
          <w:sz w:val="26"/>
          <w:szCs w:val="26"/>
        </w:rPr>
        <w:t xml:space="preserve">15, </w:t>
      </w:r>
      <w:r w:rsidR="002E5203">
        <w:rPr>
          <w:sz w:val="26"/>
          <w:szCs w:val="26"/>
        </w:rPr>
        <w:t>2016</w:t>
      </w:r>
      <w:r w:rsidR="00D20C46">
        <w:rPr>
          <w:sz w:val="26"/>
          <w:szCs w:val="26"/>
        </w:rPr>
        <w:t>,</w:t>
      </w:r>
      <w:r w:rsidR="002E5203">
        <w:rPr>
          <w:sz w:val="26"/>
          <w:szCs w:val="26"/>
        </w:rPr>
        <w:t xml:space="preserve"> </w:t>
      </w:r>
      <w:r>
        <w:rPr>
          <w:sz w:val="26"/>
          <w:szCs w:val="26"/>
        </w:rPr>
        <w:t xml:space="preserve">and </w:t>
      </w:r>
      <w:r w:rsidR="00D20C46">
        <w:rPr>
          <w:sz w:val="26"/>
          <w:szCs w:val="26"/>
        </w:rPr>
        <w:t xml:space="preserve">that </w:t>
      </w:r>
      <w:r>
        <w:rPr>
          <w:sz w:val="26"/>
          <w:szCs w:val="26"/>
        </w:rPr>
        <w:t xml:space="preserve">any usage by </w:t>
      </w:r>
      <w:r w:rsidR="00B74E9A">
        <w:rPr>
          <w:sz w:val="26"/>
          <w:szCs w:val="26"/>
        </w:rPr>
        <w:t>t</w:t>
      </w:r>
      <w:r w:rsidR="00211169">
        <w:rPr>
          <w:sz w:val="26"/>
          <w:szCs w:val="26"/>
        </w:rPr>
        <w:t>he Tenant</w:t>
      </w:r>
      <w:r>
        <w:rPr>
          <w:sz w:val="26"/>
          <w:szCs w:val="26"/>
        </w:rPr>
        <w:t xml:space="preserve"> </w:t>
      </w:r>
      <w:r w:rsidR="00D20C46">
        <w:rPr>
          <w:sz w:val="26"/>
          <w:szCs w:val="26"/>
        </w:rPr>
        <w:t xml:space="preserve">after that date </w:t>
      </w:r>
      <w:r w:rsidR="002E5203">
        <w:rPr>
          <w:sz w:val="26"/>
          <w:szCs w:val="26"/>
        </w:rPr>
        <w:t xml:space="preserve">was not </w:t>
      </w:r>
      <w:r w:rsidR="00D20C46">
        <w:rPr>
          <w:sz w:val="26"/>
          <w:szCs w:val="26"/>
        </w:rPr>
        <w:t xml:space="preserve">considered </w:t>
      </w:r>
      <w:r w:rsidR="002E5203">
        <w:rPr>
          <w:sz w:val="26"/>
          <w:szCs w:val="26"/>
        </w:rPr>
        <w:t>foreign load.  I.D.</w:t>
      </w:r>
      <w:r w:rsidR="00A6670C">
        <w:rPr>
          <w:sz w:val="26"/>
          <w:szCs w:val="26"/>
        </w:rPr>
        <w:t xml:space="preserve"> at 9.</w:t>
      </w:r>
    </w:p>
    <w:p w:rsidR="00DA17D3" w:rsidRDefault="00DA17D3" w:rsidP="00A6670C">
      <w:pPr>
        <w:widowControl/>
        <w:spacing w:line="360" w:lineRule="auto"/>
        <w:rPr>
          <w:i/>
          <w:sz w:val="26"/>
          <w:szCs w:val="26"/>
        </w:rPr>
      </w:pPr>
    </w:p>
    <w:p w:rsidR="006448B1" w:rsidRPr="00DA17D3" w:rsidRDefault="00923360" w:rsidP="00A6670C">
      <w:pPr>
        <w:widowControl/>
        <w:spacing w:line="360" w:lineRule="auto"/>
        <w:ind w:firstLine="1440"/>
        <w:rPr>
          <w:i/>
          <w:sz w:val="26"/>
          <w:szCs w:val="26"/>
        </w:rPr>
      </w:pPr>
      <w:r>
        <w:rPr>
          <w:sz w:val="26"/>
          <w:szCs w:val="26"/>
        </w:rPr>
        <w:t>The ALJ</w:t>
      </w:r>
      <w:r w:rsidR="00DA17D3">
        <w:rPr>
          <w:sz w:val="26"/>
          <w:szCs w:val="26"/>
        </w:rPr>
        <w:t xml:space="preserve"> </w:t>
      </w:r>
      <w:r w:rsidR="00D20C46">
        <w:rPr>
          <w:sz w:val="26"/>
          <w:szCs w:val="26"/>
        </w:rPr>
        <w:t xml:space="preserve">further found </w:t>
      </w:r>
      <w:r>
        <w:rPr>
          <w:sz w:val="26"/>
          <w:szCs w:val="26"/>
        </w:rPr>
        <w:t xml:space="preserve">that </w:t>
      </w:r>
      <w:r w:rsidR="00907779">
        <w:rPr>
          <w:sz w:val="26"/>
          <w:szCs w:val="26"/>
        </w:rPr>
        <w:t>the fact that</w:t>
      </w:r>
      <w:r>
        <w:rPr>
          <w:sz w:val="26"/>
          <w:szCs w:val="26"/>
        </w:rPr>
        <w:t xml:space="preserve"> PGW </w:t>
      </w:r>
      <w:r w:rsidR="00D20C46">
        <w:rPr>
          <w:sz w:val="26"/>
          <w:szCs w:val="26"/>
        </w:rPr>
        <w:t xml:space="preserve">discovered </w:t>
      </w:r>
      <w:r>
        <w:rPr>
          <w:sz w:val="26"/>
          <w:szCs w:val="26"/>
        </w:rPr>
        <w:t xml:space="preserve">a range and heater on the property </w:t>
      </w:r>
      <w:r w:rsidR="00907779">
        <w:rPr>
          <w:sz w:val="26"/>
          <w:szCs w:val="26"/>
        </w:rPr>
        <w:t xml:space="preserve">does not </w:t>
      </w:r>
      <w:r w:rsidR="00DE398D">
        <w:rPr>
          <w:sz w:val="26"/>
          <w:szCs w:val="26"/>
        </w:rPr>
        <w:t>make</w:t>
      </w:r>
      <w:r w:rsidR="00907779">
        <w:rPr>
          <w:sz w:val="26"/>
          <w:szCs w:val="26"/>
        </w:rPr>
        <w:t xml:space="preserve"> the property a multi-unit or separate dwelling unit</w:t>
      </w:r>
      <w:r w:rsidR="00DA17D3">
        <w:rPr>
          <w:sz w:val="26"/>
          <w:szCs w:val="26"/>
        </w:rPr>
        <w:t xml:space="preserve"> at the time of their visit in August 2016</w:t>
      </w:r>
      <w:r w:rsidR="00907779">
        <w:rPr>
          <w:sz w:val="26"/>
          <w:szCs w:val="26"/>
        </w:rPr>
        <w:t>.</w:t>
      </w:r>
      <w:r w:rsidR="009E680E">
        <w:rPr>
          <w:sz w:val="26"/>
          <w:szCs w:val="26"/>
        </w:rPr>
        <w:t xml:space="preserve">  </w:t>
      </w:r>
      <w:r w:rsidR="00DE398D">
        <w:rPr>
          <w:sz w:val="26"/>
          <w:szCs w:val="26"/>
        </w:rPr>
        <w:t>Hence</w:t>
      </w:r>
      <w:r w:rsidR="00213022">
        <w:rPr>
          <w:sz w:val="26"/>
          <w:szCs w:val="26"/>
        </w:rPr>
        <w:t>, the</w:t>
      </w:r>
      <w:r w:rsidR="009E680E">
        <w:rPr>
          <w:sz w:val="26"/>
          <w:szCs w:val="26"/>
        </w:rPr>
        <w:t xml:space="preserve"> ALJ</w:t>
      </w:r>
      <w:r w:rsidR="00213022">
        <w:rPr>
          <w:sz w:val="26"/>
          <w:szCs w:val="26"/>
        </w:rPr>
        <w:t xml:space="preserve"> </w:t>
      </w:r>
      <w:r w:rsidR="00D20C46">
        <w:rPr>
          <w:sz w:val="26"/>
          <w:szCs w:val="26"/>
        </w:rPr>
        <w:t xml:space="preserve">ruled that effective </w:t>
      </w:r>
      <w:r w:rsidR="0077766C">
        <w:rPr>
          <w:sz w:val="26"/>
          <w:szCs w:val="26"/>
        </w:rPr>
        <w:t>after</w:t>
      </w:r>
      <w:r w:rsidR="00D20C46">
        <w:rPr>
          <w:sz w:val="26"/>
          <w:szCs w:val="26"/>
        </w:rPr>
        <w:t xml:space="preserve"> March 15, 2016</w:t>
      </w:r>
      <w:r w:rsidR="005D5941">
        <w:rPr>
          <w:sz w:val="26"/>
          <w:szCs w:val="26"/>
        </w:rPr>
        <w:t>,</w:t>
      </w:r>
      <w:r w:rsidR="00D20C46">
        <w:rPr>
          <w:sz w:val="26"/>
          <w:szCs w:val="26"/>
        </w:rPr>
        <w:t xml:space="preserve"> </w:t>
      </w:r>
      <w:r w:rsidR="00E23DB7" w:rsidRPr="00E23DB7">
        <w:rPr>
          <w:sz w:val="26"/>
          <w:szCs w:val="26"/>
        </w:rPr>
        <w:t xml:space="preserve">the Service </w:t>
      </w:r>
      <w:r w:rsidR="00E23DB7">
        <w:rPr>
          <w:sz w:val="26"/>
          <w:szCs w:val="26"/>
        </w:rPr>
        <w:t>A</w:t>
      </w:r>
      <w:r w:rsidR="00E23DB7" w:rsidRPr="00E23DB7">
        <w:rPr>
          <w:sz w:val="26"/>
          <w:szCs w:val="26"/>
        </w:rPr>
        <w:t xml:space="preserve">ddress was </w:t>
      </w:r>
      <w:r w:rsidR="00D20C46">
        <w:rPr>
          <w:sz w:val="26"/>
          <w:szCs w:val="26"/>
        </w:rPr>
        <w:t>considered a</w:t>
      </w:r>
      <w:r w:rsidR="005D5941">
        <w:rPr>
          <w:sz w:val="26"/>
          <w:szCs w:val="26"/>
        </w:rPr>
        <w:t xml:space="preserve"> single unit property</w:t>
      </w:r>
      <w:r w:rsidR="00E23DB7" w:rsidRPr="00E23DB7">
        <w:rPr>
          <w:sz w:val="26"/>
          <w:szCs w:val="26"/>
        </w:rPr>
        <w:t xml:space="preserve">, </w:t>
      </w:r>
      <w:r w:rsidR="00D20C46">
        <w:rPr>
          <w:sz w:val="26"/>
          <w:szCs w:val="26"/>
        </w:rPr>
        <w:t xml:space="preserve">which was </w:t>
      </w:r>
      <w:r w:rsidR="00E23DB7" w:rsidRPr="00E23DB7">
        <w:rPr>
          <w:sz w:val="26"/>
          <w:szCs w:val="26"/>
        </w:rPr>
        <w:t xml:space="preserve">occupied and controlled entirely by </w:t>
      </w:r>
      <w:r w:rsidR="004F42F6">
        <w:rPr>
          <w:sz w:val="26"/>
          <w:szCs w:val="26"/>
        </w:rPr>
        <w:t>t</w:t>
      </w:r>
      <w:r w:rsidR="00211169">
        <w:rPr>
          <w:sz w:val="26"/>
          <w:szCs w:val="26"/>
        </w:rPr>
        <w:t>he Tenant</w:t>
      </w:r>
      <w:r w:rsidR="00D20C46">
        <w:rPr>
          <w:sz w:val="26"/>
          <w:szCs w:val="26"/>
        </w:rPr>
        <w:t xml:space="preserve">.  Since it was no longer </w:t>
      </w:r>
      <w:r w:rsidR="00E23DB7" w:rsidRPr="00E23DB7">
        <w:rPr>
          <w:sz w:val="26"/>
          <w:szCs w:val="26"/>
        </w:rPr>
        <w:t xml:space="preserve">a building </w:t>
      </w:r>
      <w:r w:rsidR="00D20C46">
        <w:rPr>
          <w:sz w:val="26"/>
          <w:szCs w:val="26"/>
        </w:rPr>
        <w:t xml:space="preserve">comprised of </w:t>
      </w:r>
      <w:r w:rsidR="00E23DB7" w:rsidRPr="00E23DB7">
        <w:rPr>
          <w:sz w:val="26"/>
          <w:szCs w:val="26"/>
        </w:rPr>
        <w:t xml:space="preserve">one or </w:t>
      </w:r>
      <w:r w:rsidR="00D20C46">
        <w:rPr>
          <w:sz w:val="26"/>
          <w:szCs w:val="26"/>
        </w:rPr>
        <w:t>m</w:t>
      </w:r>
      <w:r w:rsidR="00E23DB7" w:rsidRPr="00E23DB7">
        <w:rPr>
          <w:sz w:val="26"/>
          <w:szCs w:val="26"/>
        </w:rPr>
        <w:t>ore dwelling units</w:t>
      </w:r>
      <w:r w:rsidR="00D20C46">
        <w:rPr>
          <w:sz w:val="26"/>
          <w:szCs w:val="26"/>
        </w:rPr>
        <w:t xml:space="preserve">, the </w:t>
      </w:r>
      <w:r w:rsidR="005D5941">
        <w:rPr>
          <w:sz w:val="26"/>
          <w:szCs w:val="26"/>
        </w:rPr>
        <w:t xml:space="preserve">ALJ determined that the </w:t>
      </w:r>
      <w:r w:rsidR="00E23DB7" w:rsidRPr="00E23DB7">
        <w:rPr>
          <w:sz w:val="26"/>
          <w:szCs w:val="26"/>
        </w:rPr>
        <w:t xml:space="preserve">foreign load provisions </w:t>
      </w:r>
      <w:r w:rsidR="00DE398D">
        <w:rPr>
          <w:sz w:val="26"/>
          <w:szCs w:val="26"/>
        </w:rPr>
        <w:t>of Section</w:t>
      </w:r>
      <w:r w:rsidR="00DE398D" w:rsidRPr="00FA254C">
        <w:rPr>
          <w:sz w:val="26"/>
          <w:szCs w:val="26"/>
        </w:rPr>
        <w:t xml:space="preserve"> 1529</w:t>
      </w:r>
      <w:r w:rsidR="00DE398D">
        <w:rPr>
          <w:sz w:val="26"/>
          <w:szCs w:val="26"/>
        </w:rPr>
        <w:t xml:space="preserve"> of the Code </w:t>
      </w:r>
      <w:r w:rsidR="00D20C46">
        <w:rPr>
          <w:sz w:val="26"/>
          <w:szCs w:val="26"/>
        </w:rPr>
        <w:t xml:space="preserve">cannot be employed </w:t>
      </w:r>
      <w:r w:rsidR="00E23DB7" w:rsidRPr="00E23DB7">
        <w:rPr>
          <w:sz w:val="26"/>
          <w:szCs w:val="26"/>
        </w:rPr>
        <w:t xml:space="preserve">to hold </w:t>
      </w:r>
      <w:r w:rsidR="00DE398D">
        <w:rPr>
          <w:sz w:val="26"/>
          <w:szCs w:val="26"/>
        </w:rPr>
        <w:t xml:space="preserve">the </w:t>
      </w:r>
      <w:r w:rsidR="00E23DB7" w:rsidRPr="00E23DB7">
        <w:rPr>
          <w:sz w:val="26"/>
          <w:szCs w:val="26"/>
        </w:rPr>
        <w:t xml:space="preserve">Complainant responsible for </w:t>
      </w:r>
      <w:r w:rsidR="005D5941">
        <w:rPr>
          <w:sz w:val="26"/>
          <w:szCs w:val="26"/>
        </w:rPr>
        <w:t xml:space="preserve">gas </w:t>
      </w:r>
      <w:r w:rsidR="00E23DB7" w:rsidRPr="00E23DB7">
        <w:rPr>
          <w:sz w:val="26"/>
          <w:szCs w:val="26"/>
        </w:rPr>
        <w:t xml:space="preserve">usage after March </w:t>
      </w:r>
      <w:r w:rsidR="005D5941">
        <w:rPr>
          <w:sz w:val="26"/>
          <w:szCs w:val="26"/>
        </w:rPr>
        <w:t xml:space="preserve">15, </w:t>
      </w:r>
      <w:r w:rsidR="00E23DB7" w:rsidRPr="00E23DB7">
        <w:rPr>
          <w:sz w:val="26"/>
          <w:szCs w:val="26"/>
        </w:rPr>
        <w:t xml:space="preserve">2016.   </w:t>
      </w:r>
      <w:r w:rsidR="00DA17D3" w:rsidRPr="00DA17D3">
        <w:rPr>
          <w:sz w:val="26"/>
          <w:szCs w:val="26"/>
        </w:rPr>
        <w:t>I</w:t>
      </w:r>
      <w:r w:rsidR="00EA6EAB">
        <w:rPr>
          <w:sz w:val="26"/>
          <w:szCs w:val="26"/>
        </w:rPr>
        <w:t xml:space="preserve">.D. at 9 (citing </w:t>
      </w:r>
      <w:r w:rsidR="00EA6EAB" w:rsidRPr="00EA6EAB">
        <w:rPr>
          <w:i/>
          <w:sz w:val="26"/>
          <w:szCs w:val="26"/>
        </w:rPr>
        <w:t xml:space="preserve">Ed P. </w:t>
      </w:r>
      <w:proofErr w:type="spellStart"/>
      <w:r w:rsidR="00EA6EAB" w:rsidRPr="00EA6EAB">
        <w:rPr>
          <w:i/>
          <w:sz w:val="26"/>
          <w:szCs w:val="26"/>
        </w:rPr>
        <w:t>Drogaris</w:t>
      </w:r>
      <w:proofErr w:type="spellEnd"/>
      <w:r w:rsidR="00EA6EAB" w:rsidRPr="00EA6EAB">
        <w:rPr>
          <w:i/>
          <w:sz w:val="26"/>
          <w:szCs w:val="26"/>
        </w:rPr>
        <w:t xml:space="preserve"> v. UGI Utilities, Inc</w:t>
      </w:r>
      <w:r w:rsidR="00EA6EAB">
        <w:rPr>
          <w:sz w:val="26"/>
          <w:szCs w:val="26"/>
        </w:rPr>
        <w:t>., 2011 Pa. PUC LEXIS 1626 (Pa. PUC 2011) (</w:t>
      </w:r>
      <w:r w:rsidR="00694B7B">
        <w:rPr>
          <w:sz w:val="26"/>
          <w:szCs w:val="26"/>
        </w:rPr>
        <w:t>“</w:t>
      </w:r>
      <w:r w:rsidR="00EA6EAB">
        <w:rPr>
          <w:sz w:val="26"/>
          <w:szCs w:val="26"/>
        </w:rPr>
        <w:t>Foreign load is utility service which is not related to serving a tenant but for which the tenant is being billed.</w:t>
      </w:r>
      <w:r w:rsidR="00694B7B">
        <w:rPr>
          <w:sz w:val="26"/>
          <w:szCs w:val="26"/>
        </w:rPr>
        <w:t>”</w:t>
      </w:r>
      <w:r w:rsidR="00EA6EAB">
        <w:rPr>
          <w:sz w:val="26"/>
          <w:szCs w:val="26"/>
        </w:rPr>
        <w:t xml:space="preserve"> (citations omitted)).</w:t>
      </w:r>
    </w:p>
    <w:p w:rsidR="00213022" w:rsidRDefault="00213022" w:rsidP="00A6670C">
      <w:pPr>
        <w:widowControl/>
        <w:spacing w:line="360" w:lineRule="auto"/>
        <w:rPr>
          <w:sz w:val="26"/>
          <w:szCs w:val="26"/>
        </w:rPr>
      </w:pPr>
    </w:p>
    <w:p w:rsidR="00966D15" w:rsidRDefault="002C4894" w:rsidP="00A6670C">
      <w:pPr>
        <w:pStyle w:val="ParaTab1"/>
        <w:tabs>
          <w:tab w:val="clear" w:pos="-720"/>
          <w:tab w:val="left" w:pos="0"/>
        </w:tabs>
        <w:suppressAutoHyphens w:val="0"/>
        <w:spacing w:line="360" w:lineRule="auto"/>
        <w:ind w:firstLine="0"/>
        <w:rPr>
          <w:sz w:val="26"/>
          <w:szCs w:val="26"/>
        </w:rPr>
      </w:pPr>
      <w:r>
        <w:rPr>
          <w:sz w:val="26"/>
          <w:szCs w:val="26"/>
        </w:rPr>
        <w:tab/>
      </w:r>
      <w:r>
        <w:rPr>
          <w:sz w:val="26"/>
          <w:szCs w:val="26"/>
        </w:rPr>
        <w:tab/>
      </w:r>
      <w:proofErr w:type="gramStart"/>
      <w:r>
        <w:rPr>
          <w:sz w:val="26"/>
          <w:szCs w:val="26"/>
        </w:rPr>
        <w:t>In light of</w:t>
      </w:r>
      <w:proofErr w:type="gramEnd"/>
      <w:r>
        <w:rPr>
          <w:sz w:val="26"/>
          <w:szCs w:val="26"/>
        </w:rPr>
        <w:t xml:space="preserve"> the above, the ALJ</w:t>
      </w:r>
      <w:r w:rsidR="00827235">
        <w:rPr>
          <w:sz w:val="26"/>
          <w:szCs w:val="26"/>
        </w:rPr>
        <w:t xml:space="preserve"> concluded </w:t>
      </w:r>
      <w:r w:rsidR="008A7BE9">
        <w:rPr>
          <w:sz w:val="26"/>
          <w:szCs w:val="26"/>
        </w:rPr>
        <w:t xml:space="preserve">that while the Complainant is responsible for the foreign load charges for the period </w:t>
      </w:r>
      <w:r w:rsidR="005D5941">
        <w:rPr>
          <w:sz w:val="26"/>
          <w:szCs w:val="26"/>
        </w:rPr>
        <w:t xml:space="preserve">from </w:t>
      </w:r>
      <w:r w:rsidR="008A7BE9">
        <w:rPr>
          <w:sz w:val="26"/>
          <w:szCs w:val="26"/>
        </w:rPr>
        <w:t>October 2015 through March</w:t>
      </w:r>
      <w:r w:rsidR="005D5941">
        <w:rPr>
          <w:sz w:val="26"/>
          <w:szCs w:val="26"/>
        </w:rPr>
        <w:t> </w:t>
      </w:r>
      <w:r w:rsidR="008A7BE9">
        <w:rPr>
          <w:sz w:val="26"/>
          <w:szCs w:val="26"/>
        </w:rPr>
        <w:t xml:space="preserve">15, 2016, when </w:t>
      </w:r>
      <w:r w:rsidR="00B74E9A">
        <w:rPr>
          <w:sz w:val="26"/>
          <w:szCs w:val="26"/>
        </w:rPr>
        <w:t>t</w:t>
      </w:r>
      <w:r w:rsidR="00211169">
        <w:rPr>
          <w:sz w:val="26"/>
          <w:szCs w:val="26"/>
        </w:rPr>
        <w:t>he Tenant</w:t>
      </w:r>
      <w:r w:rsidR="008A7BE9">
        <w:rPr>
          <w:sz w:val="26"/>
          <w:szCs w:val="26"/>
        </w:rPr>
        <w:t xml:space="preserve"> occupied only part of the building, </w:t>
      </w:r>
      <w:r w:rsidR="00827235">
        <w:rPr>
          <w:sz w:val="26"/>
          <w:szCs w:val="26"/>
        </w:rPr>
        <w:t>the Complainant</w:t>
      </w:r>
      <w:r w:rsidR="008A7BE9">
        <w:rPr>
          <w:sz w:val="26"/>
          <w:szCs w:val="26"/>
        </w:rPr>
        <w:t xml:space="preserve"> is not responsible for the foreign load charges after March 2016 when </w:t>
      </w:r>
      <w:r w:rsidR="00B74E9A">
        <w:rPr>
          <w:sz w:val="26"/>
          <w:szCs w:val="26"/>
        </w:rPr>
        <w:t>t</w:t>
      </w:r>
      <w:r w:rsidR="00211169">
        <w:rPr>
          <w:sz w:val="26"/>
          <w:szCs w:val="26"/>
        </w:rPr>
        <w:t>he Tenant</w:t>
      </w:r>
      <w:r w:rsidR="008A7BE9">
        <w:rPr>
          <w:sz w:val="26"/>
          <w:szCs w:val="26"/>
        </w:rPr>
        <w:t xml:space="preserve"> took full control of the property</w:t>
      </w:r>
      <w:r w:rsidR="00850C55">
        <w:rPr>
          <w:rFonts w:ascii="Times New Roman" w:hAnsi="Times New Roman" w:cs="Times New Roman"/>
          <w:spacing w:val="-3"/>
          <w:sz w:val="26"/>
          <w:szCs w:val="26"/>
        </w:rPr>
        <w:t xml:space="preserve">.  </w:t>
      </w:r>
      <w:r w:rsidR="00B1700B" w:rsidRPr="00B1700B">
        <w:rPr>
          <w:sz w:val="26"/>
          <w:szCs w:val="26"/>
        </w:rPr>
        <w:t>I.D.</w:t>
      </w:r>
      <w:r w:rsidR="008A7BE9">
        <w:rPr>
          <w:sz w:val="26"/>
          <w:szCs w:val="26"/>
        </w:rPr>
        <w:t xml:space="preserve"> </w:t>
      </w:r>
      <w:r w:rsidR="00850C55">
        <w:rPr>
          <w:sz w:val="26"/>
          <w:szCs w:val="26"/>
        </w:rPr>
        <w:t xml:space="preserve">at </w:t>
      </w:r>
      <w:r w:rsidR="008A7BE9">
        <w:rPr>
          <w:sz w:val="26"/>
          <w:szCs w:val="26"/>
        </w:rPr>
        <w:t>10</w:t>
      </w:r>
      <w:r w:rsidR="00850C55">
        <w:rPr>
          <w:sz w:val="26"/>
          <w:szCs w:val="26"/>
        </w:rPr>
        <w:t>.</w:t>
      </w:r>
    </w:p>
    <w:p w:rsidR="00966D15" w:rsidRDefault="00966D15" w:rsidP="00A6670C">
      <w:pPr>
        <w:widowControl/>
        <w:spacing w:line="360" w:lineRule="auto"/>
        <w:ind w:firstLine="1440"/>
        <w:rPr>
          <w:sz w:val="26"/>
          <w:szCs w:val="26"/>
        </w:rPr>
      </w:pPr>
    </w:p>
    <w:p w:rsidR="00ED60FB" w:rsidRPr="00CF63A2" w:rsidRDefault="00ED60FB" w:rsidP="00A6670C">
      <w:pPr>
        <w:pStyle w:val="ListParagraph"/>
        <w:keepNext/>
        <w:keepLines/>
        <w:widowControl/>
        <w:numPr>
          <w:ilvl w:val="0"/>
          <w:numId w:val="10"/>
        </w:numPr>
        <w:spacing w:line="360" w:lineRule="auto"/>
        <w:contextualSpacing w:val="0"/>
        <w:rPr>
          <w:rFonts w:eastAsia="Calibri"/>
          <w:b/>
          <w:sz w:val="26"/>
          <w:szCs w:val="26"/>
        </w:rPr>
      </w:pPr>
      <w:proofErr w:type="gramStart"/>
      <w:r w:rsidRPr="00CF63A2">
        <w:rPr>
          <w:rFonts w:eastAsia="Calibri"/>
          <w:b/>
          <w:sz w:val="26"/>
          <w:szCs w:val="26"/>
        </w:rPr>
        <w:t>Exceptions</w:t>
      </w:r>
      <w:r w:rsidR="00CF63A2">
        <w:rPr>
          <w:rFonts w:eastAsia="Calibri"/>
          <w:b/>
          <w:sz w:val="26"/>
          <w:szCs w:val="26"/>
        </w:rPr>
        <w:t>,</w:t>
      </w:r>
      <w:proofErr w:type="gramEnd"/>
      <w:r w:rsidRPr="00CF63A2">
        <w:rPr>
          <w:rFonts w:eastAsia="Calibri"/>
          <w:b/>
          <w:sz w:val="26"/>
          <w:szCs w:val="26"/>
        </w:rPr>
        <w:t xml:space="preserve"> Replies</w:t>
      </w:r>
      <w:r w:rsidR="00CF63A2">
        <w:rPr>
          <w:rFonts w:eastAsia="Calibri"/>
          <w:b/>
          <w:sz w:val="26"/>
          <w:szCs w:val="26"/>
        </w:rPr>
        <w:t xml:space="preserve"> to Exceptions</w:t>
      </w:r>
      <w:r w:rsidR="007C5EDB" w:rsidRPr="00CF63A2">
        <w:rPr>
          <w:rFonts w:eastAsia="Calibri"/>
          <w:b/>
          <w:sz w:val="26"/>
          <w:szCs w:val="26"/>
        </w:rPr>
        <w:t xml:space="preserve"> </w:t>
      </w:r>
      <w:r w:rsidR="00083ADC" w:rsidRPr="00CF63A2">
        <w:rPr>
          <w:rFonts w:eastAsia="Calibri"/>
          <w:b/>
          <w:sz w:val="26"/>
          <w:szCs w:val="26"/>
        </w:rPr>
        <w:t>and Disposition</w:t>
      </w:r>
      <w:r w:rsidR="005878A0">
        <w:rPr>
          <w:rFonts w:eastAsia="Calibri"/>
          <w:b/>
          <w:sz w:val="26"/>
          <w:szCs w:val="26"/>
        </w:rPr>
        <w:t>s</w:t>
      </w:r>
      <w:r w:rsidR="00CF63A2">
        <w:rPr>
          <w:rFonts w:eastAsia="Calibri"/>
          <w:b/>
          <w:sz w:val="26"/>
          <w:szCs w:val="26"/>
        </w:rPr>
        <w:t xml:space="preserve"> </w:t>
      </w:r>
    </w:p>
    <w:p w:rsidR="00DD77A4" w:rsidRDefault="00DD77A4" w:rsidP="00A6670C">
      <w:pPr>
        <w:keepNext/>
        <w:keepLines/>
        <w:widowControl/>
        <w:spacing w:line="360" w:lineRule="auto"/>
        <w:ind w:firstLine="1440"/>
        <w:rPr>
          <w:sz w:val="26"/>
          <w:szCs w:val="26"/>
        </w:rPr>
      </w:pPr>
    </w:p>
    <w:p w:rsidR="00097907" w:rsidRDefault="00097907" w:rsidP="00A6670C">
      <w:pPr>
        <w:widowControl/>
        <w:spacing w:line="360" w:lineRule="auto"/>
        <w:ind w:firstLine="1440"/>
        <w:contextualSpacing/>
        <w:rPr>
          <w:sz w:val="26"/>
          <w:szCs w:val="26"/>
        </w:rPr>
      </w:pPr>
      <w:r w:rsidRPr="00CA43A5">
        <w:rPr>
          <w:sz w:val="26"/>
          <w:szCs w:val="26"/>
        </w:rPr>
        <w:t xml:space="preserve">Based upon </w:t>
      </w:r>
      <w:r>
        <w:rPr>
          <w:sz w:val="26"/>
          <w:szCs w:val="26"/>
        </w:rPr>
        <w:t>our review of the record and the applicable law, we find the Complainant</w:t>
      </w:r>
      <w:r w:rsidR="00694B7B">
        <w:rPr>
          <w:sz w:val="26"/>
          <w:szCs w:val="26"/>
        </w:rPr>
        <w:t>’</w:t>
      </w:r>
      <w:r>
        <w:rPr>
          <w:sz w:val="26"/>
          <w:szCs w:val="26"/>
        </w:rPr>
        <w:t>s Exceptions overall lack merit.  Each of the issues raised by the Complainant in her Exceptions, as well as PGW</w:t>
      </w:r>
      <w:r w:rsidR="00694B7B">
        <w:rPr>
          <w:sz w:val="26"/>
          <w:szCs w:val="26"/>
        </w:rPr>
        <w:t>’</w:t>
      </w:r>
      <w:r>
        <w:rPr>
          <w:sz w:val="26"/>
          <w:szCs w:val="26"/>
        </w:rPr>
        <w:t xml:space="preserve">s Reply thereto, are discussed at length below, followed by our specific analysis and reasons for denial.  </w:t>
      </w:r>
    </w:p>
    <w:p w:rsidR="00097907" w:rsidRDefault="00097907" w:rsidP="00A6670C">
      <w:pPr>
        <w:widowControl/>
        <w:spacing w:line="360" w:lineRule="auto"/>
        <w:ind w:firstLine="1440"/>
        <w:contextualSpacing/>
        <w:rPr>
          <w:sz w:val="26"/>
          <w:szCs w:val="26"/>
        </w:rPr>
      </w:pPr>
    </w:p>
    <w:p w:rsidR="005D5941" w:rsidRDefault="00160EC5" w:rsidP="00A6670C">
      <w:pPr>
        <w:widowControl/>
        <w:spacing w:line="360" w:lineRule="auto"/>
        <w:ind w:firstLine="1440"/>
        <w:rPr>
          <w:sz w:val="26"/>
          <w:szCs w:val="26"/>
        </w:rPr>
      </w:pPr>
      <w:r>
        <w:rPr>
          <w:sz w:val="26"/>
          <w:szCs w:val="26"/>
        </w:rPr>
        <w:t>The Complainant</w:t>
      </w:r>
      <w:r w:rsidR="00694B7B">
        <w:rPr>
          <w:sz w:val="26"/>
          <w:szCs w:val="26"/>
        </w:rPr>
        <w:t>’</w:t>
      </w:r>
      <w:r>
        <w:rPr>
          <w:sz w:val="26"/>
          <w:szCs w:val="26"/>
        </w:rPr>
        <w:t>s</w:t>
      </w:r>
      <w:r w:rsidR="00DD77A4">
        <w:rPr>
          <w:sz w:val="26"/>
          <w:szCs w:val="26"/>
        </w:rPr>
        <w:t xml:space="preserve"> Excep</w:t>
      </w:r>
      <w:r>
        <w:rPr>
          <w:sz w:val="26"/>
          <w:szCs w:val="26"/>
        </w:rPr>
        <w:t xml:space="preserve">tions, in relevant part, </w:t>
      </w:r>
      <w:r w:rsidR="0071738F">
        <w:rPr>
          <w:sz w:val="26"/>
          <w:szCs w:val="26"/>
        </w:rPr>
        <w:t>raise</w:t>
      </w:r>
      <w:r>
        <w:rPr>
          <w:sz w:val="26"/>
          <w:szCs w:val="26"/>
        </w:rPr>
        <w:t xml:space="preserve"> </w:t>
      </w:r>
      <w:r w:rsidR="0071738F">
        <w:rPr>
          <w:sz w:val="26"/>
          <w:szCs w:val="26"/>
        </w:rPr>
        <w:t>five</w:t>
      </w:r>
      <w:r w:rsidR="00DD77A4">
        <w:rPr>
          <w:sz w:val="26"/>
          <w:szCs w:val="26"/>
        </w:rPr>
        <w:t xml:space="preserve"> </w:t>
      </w:r>
      <w:r>
        <w:rPr>
          <w:sz w:val="26"/>
          <w:szCs w:val="26"/>
        </w:rPr>
        <w:t>main</w:t>
      </w:r>
      <w:r w:rsidR="00DD77A4">
        <w:rPr>
          <w:sz w:val="26"/>
          <w:szCs w:val="26"/>
        </w:rPr>
        <w:t xml:space="preserve"> </w:t>
      </w:r>
      <w:r>
        <w:rPr>
          <w:sz w:val="26"/>
          <w:szCs w:val="26"/>
        </w:rPr>
        <w:t>issues</w:t>
      </w:r>
      <w:r w:rsidR="005D5941">
        <w:rPr>
          <w:sz w:val="26"/>
          <w:szCs w:val="26"/>
        </w:rPr>
        <w:t xml:space="preserve"> as follows:</w:t>
      </w:r>
    </w:p>
    <w:p w:rsidR="005D5941" w:rsidRDefault="005D5941" w:rsidP="00A6670C">
      <w:pPr>
        <w:widowControl/>
        <w:spacing w:line="360" w:lineRule="auto"/>
        <w:ind w:firstLine="1440"/>
        <w:rPr>
          <w:sz w:val="26"/>
          <w:szCs w:val="26"/>
        </w:rPr>
      </w:pPr>
    </w:p>
    <w:p w:rsidR="005D5941" w:rsidRDefault="00DD77A4" w:rsidP="005D5941">
      <w:pPr>
        <w:widowControl/>
        <w:spacing w:line="360" w:lineRule="auto"/>
        <w:ind w:left="720" w:hanging="720"/>
        <w:rPr>
          <w:sz w:val="26"/>
          <w:szCs w:val="26"/>
        </w:rPr>
      </w:pPr>
      <w:r>
        <w:rPr>
          <w:sz w:val="26"/>
          <w:szCs w:val="26"/>
        </w:rPr>
        <w:t>(1)</w:t>
      </w:r>
      <w:r w:rsidR="005D5941">
        <w:rPr>
          <w:sz w:val="26"/>
          <w:szCs w:val="26"/>
        </w:rPr>
        <w:tab/>
        <w:t>She</w:t>
      </w:r>
      <w:r>
        <w:rPr>
          <w:sz w:val="26"/>
          <w:szCs w:val="26"/>
        </w:rPr>
        <w:t xml:space="preserve"> </w:t>
      </w:r>
      <w:r w:rsidR="008F09B2">
        <w:rPr>
          <w:sz w:val="26"/>
          <w:szCs w:val="26"/>
        </w:rPr>
        <w:t>asserts</w:t>
      </w:r>
      <w:r>
        <w:rPr>
          <w:sz w:val="26"/>
          <w:szCs w:val="26"/>
        </w:rPr>
        <w:t xml:space="preserve"> that PGW </w:t>
      </w:r>
      <w:r w:rsidR="008F09B2">
        <w:rPr>
          <w:sz w:val="26"/>
          <w:szCs w:val="26"/>
        </w:rPr>
        <w:t xml:space="preserve">was wrong to allow </w:t>
      </w:r>
      <w:r w:rsidR="00425200">
        <w:rPr>
          <w:sz w:val="26"/>
          <w:szCs w:val="26"/>
        </w:rPr>
        <w:t>t</w:t>
      </w:r>
      <w:r w:rsidR="00211169">
        <w:rPr>
          <w:sz w:val="26"/>
          <w:szCs w:val="26"/>
        </w:rPr>
        <w:t>he Tenant</w:t>
      </w:r>
      <w:r>
        <w:rPr>
          <w:sz w:val="26"/>
          <w:szCs w:val="26"/>
        </w:rPr>
        <w:t xml:space="preserve"> to become the customer of record on the account </w:t>
      </w:r>
      <w:r w:rsidR="008F09B2">
        <w:rPr>
          <w:sz w:val="26"/>
          <w:szCs w:val="26"/>
        </w:rPr>
        <w:t xml:space="preserve">because no valid </w:t>
      </w:r>
      <w:r w:rsidR="00975412">
        <w:rPr>
          <w:sz w:val="26"/>
          <w:szCs w:val="26"/>
        </w:rPr>
        <w:t xml:space="preserve">written </w:t>
      </w:r>
      <w:r w:rsidR="008F09B2">
        <w:rPr>
          <w:sz w:val="26"/>
          <w:szCs w:val="26"/>
        </w:rPr>
        <w:t>lease existed</w:t>
      </w:r>
      <w:r w:rsidR="00160EC5">
        <w:rPr>
          <w:sz w:val="26"/>
          <w:szCs w:val="26"/>
        </w:rPr>
        <w:t xml:space="preserve"> between her, as the property o</w:t>
      </w:r>
      <w:r w:rsidR="00DB4150">
        <w:rPr>
          <w:sz w:val="26"/>
          <w:szCs w:val="26"/>
        </w:rPr>
        <w:t>w</w:t>
      </w:r>
      <w:r w:rsidR="00160EC5">
        <w:rPr>
          <w:sz w:val="26"/>
          <w:szCs w:val="26"/>
        </w:rPr>
        <w:t xml:space="preserve">ner, and </w:t>
      </w:r>
      <w:r w:rsidR="00B74E9A">
        <w:rPr>
          <w:sz w:val="26"/>
          <w:szCs w:val="26"/>
        </w:rPr>
        <w:t>t</w:t>
      </w:r>
      <w:r w:rsidR="00211169">
        <w:rPr>
          <w:sz w:val="26"/>
          <w:szCs w:val="26"/>
        </w:rPr>
        <w:t>he Tenant</w:t>
      </w:r>
      <w:r w:rsidR="00036509">
        <w:rPr>
          <w:sz w:val="26"/>
          <w:szCs w:val="26"/>
        </w:rPr>
        <w:t>,</w:t>
      </w:r>
      <w:r w:rsidR="008F09B2">
        <w:rPr>
          <w:sz w:val="26"/>
          <w:szCs w:val="26"/>
        </w:rPr>
        <w:t xml:space="preserve"> and PGW did not obtain </w:t>
      </w:r>
      <w:r w:rsidR="005D5941">
        <w:rPr>
          <w:sz w:val="26"/>
          <w:szCs w:val="26"/>
        </w:rPr>
        <w:t>permission from</w:t>
      </w:r>
      <w:r w:rsidR="00160EC5">
        <w:rPr>
          <w:sz w:val="26"/>
          <w:szCs w:val="26"/>
        </w:rPr>
        <w:t xml:space="preserve"> </w:t>
      </w:r>
      <w:r w:rsidR="005D5941">
        <w:rPr>
          <w:sz w:val="26"/>
          <w:szCs w:val="26"/>
        </w:rPr>
        <w:t xml:space="preserve">her or </w:t>
      </w:r>
      <w:r w:rsidR="00160EC5">
        <w:rPr>
          <w:sz w:val="26"/>
          <w:szCs w:val="26"/>
        </w:rPr>
        <w:t>inform her of the change</w:t>
      </w:r>
      <w:r w:rsidR="0094235C">
        <w:rPr>
          <w:sz w:val="26"/>
          <w:szCs w:val="26"/>
        </w:rPr>
        <w:t xml:space="preserve"> on the account</w:t>
      </w:r>
      <w:r w:rsidR="005D5941">
        <w:rPr>
          <w:sz w:val="26"/>
          <w:szCs w:val="26"/>
        </w:rPr>
        <w:t>;</w:t>
      </w:r>
    </w:p>
    <w:p w:rsidR="005D5941" w:rsidRDefault="005D5941" w:rsidP="005D5941">
      <w:pPr>
        <w:widowControl/>
        <w:spacing w:line="360" w:lineRule="auto"/>
        <w:ind w:left="720" w:hanging="720"/>
        <w:rPr>
          <w:sz w:val="26"/>
          <w:szCs w:val="26"/>
        </w:rPr>
      </w:pPr>
    </w:p>
    <w:p w:rsidR="005D5941" w:rsidRDefault="00DD77A4" w:rsidP="005D5941">
      <w:pPr>
        <w:widowControl/>
        <w:spacing w:line="360" w:lineRule="auto"/>
        <w:ind w:left="720" w:hanging="720"/>
        <w:rPr>
          <w:sz w:val="26"/>
          <w:szCs w:val="26"/>
        </w:rPr>
      </w:pPr>
      <w:r>
        <w:rPr>
          <w:sz w:val="26"/>
          <w:szCs w:val="26"/>
        </w:rPr>
        <w:t>(2)</w:t>
      </w:r>
      <w:r w:rsidR="005D5941">
        <w:rPr>
          <w:sz w:val="26"/>
          <w:szCs w:val="26"/>
        </w:rPr>
        <w:tab/>
        <w:t>S</w:t>
      </w:r>
      <w:r>
        <w:rPr>
          <w:sz w:val="26"/>
          <w:szCs w:val="26"/>
        </w:rPr>
        <w:t>he disputes the ALJ</w:t>
      </w:r>
      <w:r w:rsidR="00694B7B">
        <w:rPr>
          <w:sz w:val="26"/>
          <w:szCs w:val="26"/>
        </w:rPr>
        <w:t>’</w:t>
      </w:r>
      <w:r>
        <w:rPr>
          <w:sz w:val="26"/>
          <w:szCs w:val="26"/>
        </w:rPr>
        <w:t xml:space="preserve">s finding of a foreign load at the </w:t>
      </w:r>
      <w:r w:rsidR="00016B6D">
        <w:rPr>
          <w:sz w:val="26"/>
          <w:szCs w:val="26"/>
        </w:rPr>
        <w:t>S</w:t>
      </w:r>
      <w:r>
        <w:rPr>
          <w:sz w:val="26"/>
          <w:szCs w:val="26"/>
        </w:rPr>
        <w:t xml:space="preserve">ervice </w:t>
      </w:r>
      <w:r w:rsidR="00016B6D">
        <w:rPr>
          <w:sz w:val="26"/>
          <w:szCs w:val="26"/>
        </w:rPr>
        <w:t>A</w:t>
      </w:r>
      <w:r>
        <w:rPr>
          <w:sz w:val="26"/>
          <w:szCs w:val="26"/>
        </w:rPr>
        <w:t>ddress and disputes the ALJ</w:t>
      </w:r>
      <w:r w:rsidR="00694B7B">
        <w:rPr>
          <w:sz w:val="26"/>
          <w:szCs w:val="26"/>
        </w:rPr>
        <w:t>’</w:t>
      </w:r>
      <w:r>
        <w:rPr>
          <w:sz w:val="26"/>
          <w:szCs w:val="26"/>
        </w:rPr>
        <w:t>s finding that PGW</w:t>
      </w:r>
      <w:r w:rsidR="00694B7B">
        <w:rPr>
          <w:sz w:val="26"/>
          <w:szCs w:val="26"/>
        </w:rPr>
        <w:t>’</w:t>
      </w:r>
      <w:r>
        <w:rPr>
          <w:sz w:val="26"/>
          <w:szCs w:val="26"/>
        </w:rPr>
        <w:t xml:space="preserve">s correctly transferred the financial responsibility for the account from </w:t>
      </w:r>
      <w:r w:rsidR="00425200">
        <w:rPr>
          <w:sz w:val="26"/>
          <w:szCs w:val="26"/>
        </w:rPr>
        <w:t>t</w:t>
      </w:r>
      <w:r w:rsidR="00211169">
        <w:rPr>
          <w:sz w:val="26"/>
          <w:szCs w:val="26"/>
        </w:rPr>
        <w:t>he Tenant</w:t>
      </w:r>
      <w:r>
        <w:rPr>
          <w:sz w:val="26"/>
          <w:szCs w:val="26"/>
        </w:rPr>
        <w:t xml:space="preserve"> to her (for the period of October 2015 through March 15, 2016); </w:t>
      </w:r>
    </w:p>
    <w:p w:rsidR="005D5941" w:rsidRDefault="005D5941" w:rsidP="005D5941">
      <w:pPr>
        <w:widowControl/>
        <w:spacing w:line="360" w:lineRule="auto"/>
        <w:ind w:left="720" w:hanging="720"/>
        <w:rPr>
          <w:sz w:val="26"/>
          <w:szCs w:val="26"/>
        </w:rPr>
      </w:pPr>
    </w:p>
    <w:p w:rsidR="005D5941" w:rsidRDefault="00DD77A4" w:rsidP="005D5941">
      <w:pPr>
        <w:widowControl/>
        <w:spacing w:line="360" w:lineRule="auto"/>
        <w:ind w:left="720" w:hanging="720"/>
        <w:rPr>
          <w:sz w:val="26"/>
          <w:szCs w:val="26"/>
        </w:rPr>
      </w:pPr>
      <w:r>
        <w:rPr>
          <w:sz w:val="26"/>
          <w:szCs w:val="26"/>
        </w:rPr>
        <w:t>(3)</w:t>
      </w:r>
      <w:r w:rsidR="005D5941">
        <w:rPr>
          <w:sz w:val="26"/>
          <w:szCs w:val="26"/>
        </w:rPr>
        <w:tab/>
        <w:t>S</w:t>
      </w:r>
      <w:r w:rsidR="0071738F">
        <w:rPr>
          <w:sz w:val="26"/>
          <w:szCs w:val="26"/>
        </w:rPr>
        <w:t>he claims that PGW never warned her</w:t>
      </w:r>
      <w:r w:rsidR="00820442">
        <w:rPr>
          <w:sz w:val="26"/>
          <w:szCs w:val="26"/>
        </w:rPr>
        <w:t>, as a landlord,</w:t>
      </w:r>
      <w:r w:rsidR="0071738F">
        <w:rPr>
          <w:sz w:val="26"/>
          <w:szCs w:val="26"/>
        </w:rPr>
        <w:t xml:space="preserve"> that she could be responsible </w:t>
      </w:r>
      <w:r w:rsidR="00B74E9A">
        <w:rPr>
          <w:sz w:val="26"/>
          <w:szCs w:val="26"/>
        </w:rPr>
        <w:t>for the account balance if the T</w:t>
      </w:r>
      <w:r w:rsidR="0071738F">
        <w:rPr>
          <w:sz w:val="26"/>
          <w:szCs w:val="26"/>
        </w:rPr>
        <w:t xml:space="preserve">enant did not pay, and that she never received a notice or a bill informing her that </w:t>
      </w:r>
      <w:r w:rsidR="00425200">
        <w:rPr>
          <w:sz w:val="26"/>
          <w:szCs w:val="26"/>
        </w:rPr>
        <w:t>t</w:t>
      </w:r>
      <w:r w:rsidR="00211169">
        <w:rPr>
          <w:sz w:val="26"/>
          <w:szCs w:val="26"/>
        </w:rPr>
        <w:t>he Tenant</w:t>
      </w:r>
      <w:r w:rsidR="0071738F">
        <w:rPr>
          <w:sz w:val="26"/>
          <w:szCs w:val="26"/>
        </w:rPr>
        <w:t xml:space="preserve"> had an outstanding balance owed until August 2016; </w:t>
      </w:r>
    </w:p>
    <w:p w:rsidR="005D5941" w:rsidRDefault="005D5941" w:rsidP="005D5941">
      <w:pPr>
        <w:widowControl/>
        <w:spacing w:line="360" w:lineRule="auto"/>
        <w:ind w:left="720" w:hanging="720"/>
        <w:rPr>
          <w:sz w:val="26"/>
          <w:szCs w:val="26"/>
        </w:rPr>
      </w:pPr>
    </w:p>
    <w:p w:rsidR="005D5941" w:rsidRDefault="0071738F" w:rsidP="005D5941">
      <w:pPr>
        <w:widowControl/>
        <w:spacing w:line="360" w:lineRule="auto"/>
        <w:ind w:left="720" w:hanging="720"/>
        <w:rPr>
          <w:color w:val="212121"/>
          <w:sz w:val="26"/>
          <w:szCs w:val="26"/>
        </w:rPr>
      </w:pPr>
      <w:r>
        <w:rPr>
          <w:sz w:val="26"/>
          <w:szCs w:val="26"/>
        </w:rPr>
        <w:t>(4)</w:t>
      </w:r>
      <w:r w:rsidR="005D5941">
        <w:rPr>
          <w:sz w:val="26"/>
          <w:szCs w:val="26"/>
        </w:rPr>
        <w:tab/>
        <w:t>S</w:t>
      </w:r>
      <w:r w:rsidR="008F09B2">
        <w:rPr>
          <w:sz w:val="26"/>
          <w:szCs w:val="26"/>
        </w:rPr>
        <w:t xml:space="preserve">he asserts that PGW </w:t>
      </w:r>
      <w:r>
        <w:rPr>
          <w:sz w:val="26"/>
          <w:szCs w:val="26"/>
        </w:rPr>
        <w:t>is prevent</w:t>
      </w:r>
      <w:r w:rsidR="00F74841">
        <w:rPr>
          <w:sz w:val="26"/>
          <w:szCs w:val="26"/>
        </w:rPr>
        <w:t>ed</w:t>
      </w:r>
      <w:r>
        <w:rPr>
          <w:sz w:val="26"/>
          <w:szCs w:val="26"/>
        </w:rPr>
        <w:t xml:space="preserve"> from holding h</w:t>
      </w:r>
      <w:r w:rsidR="008F09B2">
        <w:rPr>
          <w:sz w:val="26"/>
          <w:szCs w:val="26"/>
        </w:rPr>
        <w:t xml:space="preserve">er responsible for the account </w:t>
      </w:r>
      <w:r w:rsidR="00DB4150">
        <w:rPr>
          <w:sz w:val="26"/>
          <w:szCs w:val="26"/>
        </w:rPr>
        <w:t xml:space="preserve">and placing a lien against her property </w:t>
      </w:r>
      <w:r w:rsidR="00F74841">
        <w:rPr>
          <w:sz w:val="26"/>
          <w:szCs w:val="26"/>
        </w:rPr>
        <w:t xml:space="preserve">because she is a participant </w:t>
      </w:r>
      <w:r w:rsidR="008F09B2">
        <w:rPr>
          <w:sz w:val="26"/>
          <w:szCs w:val="26"/>
        </w:rPr>
        <w:t>in PGW</w:t>
      </w:r>
      <w:r w:rsidR="00694B7B">
        <w:rPr>
          <w:sz w:val="26"/>
          <w:szCs w:val="26"/>
        </w:rPr>
        <w:t>’</w:t>
      </w:r>
      <w:r w:rsidR="008F09B2">
        <w:rPr>
          <w:sz w:val="26"/>
          <w:szCs w:val="26"/>
        </w:rPr>
        <w:t xml:space="preserve">s </w:t>
      </w:r>
      <w:r w:rsidR="008F09B2">
        <w:rPr>
          <w:color w:val="212121"/>
          <w:sz w:val="26"/>
          <w:szCs w:val="26"/>
        </w:rPr>
        <w:t xml:space="preserve">Landlord Cooperation Program and </w:t>
      </w:r>
      <w:r w:rsidR="00DB4150">
        <w:rPr>
          <w:color w:val="212121"/>
          <w:sz w:val="26"/>
          <w:szCs w:val="26"/>
        </w:rPr>
        <w:t xml:space="preserve">that a </w:t>
      </w:r>
      <w:r w:rsidR="008F09B2">
        <w:rPr>
          <w:color w:val="212121"/>
          <w:sz w:val="26"/>
          <w:szCs w:val="26"/>
        </w:rPr>
        <w:t xml:space="preserve">lien against </w:t>
      </w:r>
      <w:proofErr w:type="gramStart"/>
      <w:r w:rsidR="008F09B2">
        <w:rPr>
          <w:color w:val="212121"/>
          <w:sz w:val="26"/>
          <w:szCs w:val="26"/>
        </w:rPr>
        <w:t>the her</w:t>
      </w:r>
      <w:proofErr w:type="gramEnd"/>
      <w:r w:rsidR="008F09B2">
        <w:rPr>
          <w:color w:val="212121"/>
          <w:sz w:val="26"/>
          <w:szCs w:val="26"/>
        </w:rPr>
        <w:t xml:space="preserve"> property would be unjustified</w:t>
      </w:r>
      <w:r w:rsidR="00DB4150">
        <w:rPr>
          <w:color w:val="212121"/>
          <w:sz w:val="26"/>
          <w:szCs w:val="26"/>
        </w:rPr>
        <w:t>; and</w:t>
      </w:r>
    </w:p>
    <w:p w:rsidR="005D5941" w:rsidRDefault="005D5941" w:rsidP="005D5941">
      <w:pPr>
        <w:widowControl/>
        <w:spacing w:line="360" w:lineRule="auto"/>
        <w:ind w:left="720" w:hanging="720"/>
        <w:rPr>
          <w:color w:val="212121"/>
          <w:sz w:val="26"/>
          <w:szCs w:val="26"/>
        </w:rPr>
      </w:pPr>
    </w:p>
    <w:p w:rsidR="008F09B2" w:rsidRDefault="00D737B5" w:rsidP="005D5941">
      <w:pPr>
        <w:widowControl/>
        <w:spacing w:line="360" w:lineRule="auto"/>
        <w:ind w:left="720" w:hanging="720"/>
        <w:rPr>
          <w:color w:val="212121"/>
          <w:sz w:val="26"/>
          <w:szCs w:val="26"/>
        </w:rPr>
      </w:pPr>
      <w:r>
        <w:rPr>
          <w:color w:val="212121"/>
          <w:sz w:val="26"/>
          <w:szCs w:val="26"/>
        </w:rPr>
        <w:t>(5</w:t>
      </w:r>
      <w:r w:rsidR="008F09B2">
        <w:rPr>
          <w:color w:val="212121"/>
          <w:sz w:val="26"/>
          <w:szCs w:val="26"/>
        </w:rPr>
        <w:t>)</w:t>
      </w:r>
      <w:r w:rsidR="005D5941">
        <w:rPr>
          <w:color w:val="212121"/>
          <w:sz w:val="26"/>
          <w:szCs w:val="26"/>
        </w:rPr>
        <w:tab/>
        <w:t>S</w:t>
      </w:r>
      <w:r w:rsidR="008F09B2">
        <w:rPr>
          <w:color w:val="212121"/>
          <w:sz w:val="26"/>
          <w:szCs w:val="26"/>
        </w:rPr>
        <w:t xml:space="preserve">he claims that PGW has refused to explain to her how </w:t>
      </w:r>
      <w:r w:rsidR="00DB4150">
        <w:rPr>
          <w:color w:val="212121"/>
          <w:sz w:val="26"/>
          <w:szCs w:val="26"/>
        </w:rPr>
        <w:t xml:space="preserve">it </w:t>
      </w:r>
      <w:r w:rsidR="008F09B2">
        <w:rPr>
          <w:color w:val="212121"/>
          <w:sz w:val="26"/>
          <w:szCs w:val="26"/>
        </w:rPr>
        <w:t xml:space="preserve">determined the bill for the </w:t>
      </w:r>
      <w:r w:rsidR="00DB4150">
        <w:rPr>
          <w:color w:val="212121"/>
          <w:sz w:val="26"/>
          <w:szCs w:val="26"/>
        </w:rPr>
        <w:t xml:space="preserve">foreign load </w:t>
      </w:r>
      <w:r w:rsidR="008F09B2">
        <w:rPr>
          <w:color w:val="212121"/>
          <w:sz w:val="26"/>
          <w:szCs w:val="26"/>
        </w:rPr>
        <w:t>account.</w:t>
      </w:r>
    </w:p>
    <w:p w:rsidR="005D5941" w:rsidRDefault="005D5941" w:rsidP="00A6670C">
      <w:pPr>
        <w:widowControl/>
        <w:spacing w:line="360" w:lineRule="auto"/>
        <w:ind w:firstLine="1440"/>
        <w:rPr>
          <w:rFonts w:eastAsia="Calibri"/>
          <w:sz w:val="26"/>
          <w:szCs w:val="26"/>
        </w:rPr>
      </w:pPr>
    </w:p>
    <w:p w:rsidR="00466E85" w:rsidRDefault="00466E85" w:rsidP="00A6670C">
      <w:pPr>
        <w:widowControl/>
        <w:spacing w:line="360" w:lineRule="auto"/>
        <w:ind w:firstLine="1440"/>
        <w:rPr>
          <w:rFonts w:eastAsia="Calibri"/>
          <w:sz w:val="26"/>
          <w:szCs w:val="26"/>
        </w:rPr>
      </w:pPr>
      <w:r>
        <w:rPr>
          <w:rFonts w:eastAsia="Calibri"/>
          <w:sz w:val="26"/>
          <w:szCs w:val="26"/>
        </w:rPr>
        <w:t>In its Replies to Exceptions, PGW generally avers that the Complainant</w:t>
      </w:r>
      <w:r w:rsidR="00694B7B">
        <w:rPr>
          <w:rFonts w:eastAsia="Calibri"/>
          <w:sz w:val="26"/>
          <w:szCs w:val="26"/>
        </w:rPr>
        <w:t>’</w:t>
      </w:r>
      <w:r>
        <w:rPr>
          <w:rFonts w:eastAsia="Calibri"/>
          <w:sz w:val="26"/>
          <w:szCs w:val="26"/>
        </w:rPr>
        <w:t xml:space="preserve">s Exceptions are a recitation of the arguments that the Complainant </w:t>
      </w:r>
      <w:r w:rsidR="00DB4150">
        <w:rPr>
          <w:rFonts w:eastAsia="Calibri"/>
          <w:sz w:val="26"/>
          <w:szCs w:val="26"/>
        </w:rPr>
        <w:t xml:space="preserve">made </w:t>
      </w:r>
      <w:r>
        <w:rPr>
          <w:rFonts w:eastAsia="Calibri"/>
          <w:sz w:val="26"/>
          <w:szCs w:val="26"/>
        </w:rPr>
        <w:t xml:space="preserve">at the evidentiary hearing on </w:t>
      </w:r>
      <w:proofErr w:type="gramStart"/>
      <w:r w:rsidR="005878A0">
        <w:rPr>
          <w:rFonts w:eastAsia="Calibri"/>
          <w:sz w:val="26"/>
          <w:szCs w:val="26"/>
        </w:rPr>
        <w:t>May 9, 2017, and</w:t>
      </w:r>
      <w:proofErr w:type="gramEnd"/>
      <w:r>
        <w:rPr>
          <w:rFonts w:eastAsia="Calibri"/>
          <w:sz w:val="26"/>
          <w:szCs w:val="26"/>
        </w:rPr>
        <w:t xml:space="preserve"> fail to address any error of fact or law contained in the ALJ</w:t>
      </w:r>
      <w:r w:rsidR="00694B7B">
        <w:rPr>
          <w:rFonts w:eastAsia="Calibri"/>
          <w:sz w:val="26"/>
          <w:szCs w:val="26"/>
        </w:rPr>
        <w:t>’</w:t>
      </w:r>
      <w:r>
        <w:rPr>
          <w:rFonts w:eastAsia="Calibri"/>
          <w:sz w:val="26"/>
          <w:szCs w:val="26"/>
        </w:rPr>
        <w:t>s Initial Decision. R. Exc. at 2.  PGW</w:t>
      </w:r>
      <w:r w:rsidR="00694B7B">
        <w:rPr>
          <w:rFonts w:eastAsia="Calibri"/>
          <w:sz w:val="26"/>
          <w:szCs w:val="26"/>
        </w:rPr>
        <w:t>’</w:t>
      </w:r>
      <w:r>
        <w:rPr>
          <w:rFonts w:eastAsia="Calibri"/>
          <w:sz w:val="26"/>
          <w:szCs w:val="26"/>
        </w:rPr>
        <w:t>s Replies</w:t>
      </w:r>
      <w:r w:rsidR="0033369D">
        <w:rPr>
          <w:rFonts w:eastAsia="Calibri"/>
          <w:sz w:val="26"/>
          <w:szCs w:val="26"/>
        </w:rPr>
        <w:t xml:space="preserve"> specifically address</w:t>
      </w:r>
      <w:r>
        <w:rPr>
          <w:rFonts w:eastAsia="Calibri"/>
          <w:sz w:val="26"/>
          <w:szCs w:val="26"/>
        </w:rPr>
        <w:t xml:space="preserve"> the Complainant</w:t>
      </w:r>
      <w:r w:rsidR="00694B7B">
        <w:rPr>
          <w:rFonts w:eastAsia="Calibri"/>
          <w:sz w:val="26"/>
          <w:szCs w:val="26"/>
        </w:rPr>
        <w:t>’</w:t>
      </w:r>
      <w:r>
        <w:rPr>
          <w:rFonts w:eastAsia="Calibri"/>
          <w:sz w:val="26"/>
          <w:szCs w:val="26"/>
        </w:rPr>
        <w:t xml:space="preserve">s arguments </w:t>
      </w:r>
      <w:r w:rsidR="0033369D">
        <w:rPr>
          <w:rFonts w:eastAsia="Calibri"/>
          <w:sz w:val="26"/>
          <w:szCs w:val="26"/>
        </w:rPr>
        <w:t>regarding the foreign load issue</w:t>
      </w:r>
      <w:r w:rsidR="00425200">
        <w:rPr>
          <w:rFonts w:eastAsia="Calibri"/>
          <w:sz w:val="26"/>
          <w:szCs w:val="26"/>
        </w:rPr>
        <w:t>, as discussed more fully below</w:t>
      </w:r>
      <w:r>
        <w:rPr>
          <w:rFonts w:eastAsia="Calibri"/>
          <w:sz w:val="26"/>
          <w:szCs w:val="26"/>
        </w:rPr>
        <w:t xml:space="preserve">. </w:t>
      </w:r>
    </w:p>
    <w:p w:rsidR="00466E85" w:rsidRDefault="00466E85" w:rsidP="00A6670C">
      <w:pPr>
        <w:widowControl/>
        <w:spacing w:line="360" w:lineRule="auto"/>
        <w:ind w:firstLine="1440"/>
        <w:rPr>
          <w:color w:val="212121"/>
          <w:sz w:val="26"/>
          <w:szCs w:val="26"/>
        </w:rPr>
      </w:pPr>
    </w:p>
    <w:p w:rsidR="009E0E10" w:rsidRPr="009E0E10" w:rsidRDefault="009E0E10" w:rsidP="00DB4150">
      <w:pPr>
        <w:pStyle w:val="ListParagraph"/>
        <w:keepNext/>
        <w:keepLines/>
        <w:widowControl/>
        <w:numPr>
          <w:ilvl w:val="0"/>
          <w:numId w:val="13"/>
        </w:numPr>
        <w:spacing w:line="360" w:lineRule="auto"/>
        <w:rPr>
          <w:b/>
          <w:color w:val="212121"/>
          <w:sz w:val="26"/>
          <w:szCs w:val="26"/>
        </w:rPr>
      </w:pPr>
      <w:r w:rsidRPr="009E0E10">
        <w:rPr>
          <w:b/>
          <w:color w:val="212121"/>
          <w:sz w:val="26"/>
          <w:szCs w:val="26"/>
        </w:rPr>
        <w:t>Customer of Record</w:t>
      </w:r>
    </w:p>
    <w:p w:rsidR="009E0E10" w:rsidRDefault="009E0E10" w:rsidP="00DB4150">
      <w:pPr>
        <w:keepNext/>
        <w:keepLines/>
        <w:widowControl/>
        <w:spacing w:line="360" w:lineRule="auto"/>
        <w:ind w:firstLine="1440"/>
        <w:rPr>
          <w:color w:val="212121"/>
          <w:sz w:val="26"/>
          <w:szCs w:val="26"/>
        </w:rPr>
      </w:pPr>
    </w:p>
    <w:p w:rsidR="00237E60" w:rsidRDefault="00DB4150" w:rsidP="00A6670C">
      <w:pPr>
        <w:widowControl/>
        <w:spacing w:line="360" w:lineRule="auto"/>
        <w:ind w:firstLine="1440"/>
        <w:rPr>
          <w:color w:val="212121"/>
          <w:sz w:val="26"/>
          <w:szCs w:val="26"/>
        </w:rPr>
      </w:pPr>
      <w:r>
        <w:rPr>
          <w:color w:val="212121"/>
          <w:sz w:val="26"/>
          <w:szCs w:val="26"/>
        </w:rPr>
        <w:t xml:space="preserve">With regard to the </w:t>
      </w:r>
      <w:r w:rsidR="005A6837">
        <w:rPr>
          <w:color w:val="212121"/>
          <w:sz w:val="26"/>
          <w:szCs w:val="26"/>
        </w:rPr>
        <w:t>Complainant</w:t>
      </w:r>
      <w:r w:rsidR="00694B7B">
        <w:rPr>
          <w:color w:val="212121"/>
          <w:sz w:val="26"/>
          <w:szCs w:val="26"/>
        </w:rPr>
        <w:t>’</w:t>
      </w:r>
      <w:r w:rsidR="005A6837">
        <w:rPr>
          <w:color w:val="212121"/>
          <w:sz w:val="26"/>
          <w:szCs w:val="26"/>
        </w:rPr>
        <w:t>s first</w:t>
      </w:r>
      <w:r w:rsidR="0033369D">
        <w:rPr>
          <w:color w:val="212121"/>
          <w:sz w:val="26"/>
          <w:szCs w:val="26"/>
        </w:rPr>
        <w:t xml:space="preserve"> issue</w:t>
      </w:r>
      <w:r w:rsidR="00783BC1">
        <w:rPr>
          <w:color w:val="212121"/>
          <w:sz w:val="26"/>
          <w:szCs w:val="26"/>
        </w:rPr>
        <w:t xml:space="preserve"> </w:t>
      </w:r>
      <w:r>
        <w:rPr>
          <w:color w:val="212121"/>
          <w:sz w:val="26"/>
          <w:szCs w:val="26"/>
        </w:rPr>
        <w:t xml:space="preserve">concerning </w:t>
      </w:r>
      <w:r w:rsidR="00783BC1">
        <w:rPr>
          <w:color w:val="212121"/>
          <w:sz w:val="26"/>
          <w:szCs w:val="26"/>
        </w:rPr>
        <w:t>the customer of record on the account</w:t>
      </w:r>
      <w:r w:rsidR="0033369D">
        <w:rPr>
          <w:color w:val="212121"/>
          <w:sz w:val="26"/>
          <w:szCs w:val="26"/>
        </w:rPr>
        <w:t>, t</w:t>
      </w:r>
      <w:r w:rsidR="00083ADC">
        <w:rPr>
          <w:color w:val="212121"/>
          <w:sz w:val="26"/>
          <w:szCs w:val="26"/>
        </w:rPr>
        <w:t xml:space="preserve">he Complainant </w:t>
      </w:r>
      <w:r w:rsidR="00AF57E4">
        <w:rPr>
          <w:color w:val="212121"/>
          <w:sz w:val="26"/>
          <w:szCs w:val="26"/>
        </w:rPr>
        <w:t>asserts</w:t>
      </w:r>
      <w:r w:rsidR="00083ADC">
        <w:rPr>
          <w:color w:val="212121"/>
          <w:sz w:val="26"/>
          <w:szCs w:val="26"/>
        </w:rPr>
        <w:t xml:space="preserve"> that</w:t>
      </w:r>
      <w:r w:rsidR="00DB26FC">
        <w:rPr>
          <w:color w:val="212121"/>
          <w:sz w:val="26"/>
          <w:szCs w:val="26"/>
        </w:rPr>
        <w:t xml:space="preserve"> PGW </w:t>
      </w:r>
      <w:r w:rsidR="00237E60">
        <w:rPr>
          <w:color w:val="212121"/>
          <w:sz w:val="26"/>
          <w:szCs w:val="26"/>
        </w:rPr>
        <w:t>did not use due diligence in its business practice</w:t>
      </w:r>
      <w:r w:rsidR="00EF0D0B">
        <w:rPr>
          <w:color w:val="212121"/>
          <w:sz w:val="26"/>
          <w:szCs w:val="26"/>
        </w:rPr>
        <w:t xml:space="preserve"> because </w:t>
      </w:r>
      <w:r w:rsidR="00237E60">
        <w:rPr>
          <w:color w:val="212121"/>
          <w:sz w:val="26"/>
          <w:szCs w:val="26"/>
        </w:rPr>
        <w:t xml:space="preserve">(1) PGW </w:t>
      </w:r>
      <w:r w:rsidR="00DB26FC">
        <w:rPr>
          <w:color w:val="212121"/>
          <w:sz w:val="26"/>
          <w:szCs w:val="26"/>
        </w:rPr>
        <w:t xml:space="preserve">wrongfully </w:t>
      </w:r>
      <w:r>
        <w:rPr>
          <w:color w:val="212121"/>
          <w:sz w:val="26"/>
          <w:szCs w:val="26"/>
        </w:rPr>
        <w:t xml:space="preserve">transferred </w:t>
      </w:r>
      <w:r w:rsidR="00DB26FC">
        <w:rPr>
          <w:color w:val="212121"/>
          <w:sz w:val="26"/>
          <w:szCs w:val="26"/>
        </w:rPr>
        <w:t xml:space="preserve">the customer of record for the account at the </w:t>
      </w:r>
      <w:r w:rsidR="00016B6D">
        <w:rPr>
          <w:color w:val="212121"/>
          <w:sz w:val="26"/>
          <w:szCs w:val="26"/>
        </w:rPr>
        <w:t>S</w:t>
      </w:r>
      <w:r w:rsidR="00DB26FC">
        <w:rPr>
          <w:color w:val="212121"/>
          <w:sz w:val="26"/>
          <w:szCs w:val="26"/>
        </w:rPr>
        <w:t xml:space="preserve">ervice </w:t>
      </w:r>
      <w:r w:rsidR="00016B6D">
        <w:rPr>
          <w:color w:val="212121"/>
          <w:sz w:val="26"/>
          <w:szCs w:val="26"/>
        </w:rPr>
        <w:t>A</w:t>
      </w:r>
      <w:r w:rsidR="00DB26FC">
        <w:rPr>
          <w:color w:val="212121"/>
          <w:sz w:val="26"/>
          <w:szCs w:val="26"/>
        </w:rPr>
        <w:t xml:space="preserve">ddress </w:t>
      </w:r>
      <w:r w:rsidR="00EF0D0B">
        <w:rPr>
          <w:color w:val="212121"/>
          <w:sz w:val="26"/>
          <w:szCs w:val="26"/>
        </w:rPr>
        <w:t xml:space="preserve">to </w:t>
      </w:r>
      <w:r w:rsidR="00237E60">
        <w:rPr>
          <w:color w:val="212121"/>
          <w:sz w:val="26"/>
          <w:szCs w:val="26"/>
        </w:rPr>
        <w:t xml:space="preserve">the Tenant </w:t>
      </w:r>
      <w:r w:rsidR="00DB26FC">
        <w:rPr>
          <w:color w:val="212121"/>
          <w:sz w:val="26"/>
          <w:szCs w:val="26"/>
        </w:rPr>
        <w:t xml:space="preserve">because </w:t>
      </w:r>
      <w:r w:rsidR="00425200">
        <w:rPr>
          <w:color w:val="212121"/>
          <w:sz w:val="26"/>
          <w:szCs w:val="26"/>
        </w:rPr>
        <w:t>t</w:t>
      </w:r>
      <w:r w:rsidR="00211169">
        <w:rPr>
          <w:color w:val="212121"/>
          <w:sz w:val="26"/>
          <w:szCs w:val="26"/>
        </w:rPr>
        <w:t>he Tenant</w:t>
      </w:r>
      <w:r w:rsidR="00DB26FC">
        <w:rPr>
          <w:color w:val="212121"/>
          <w:sz w:val="26"/>
          <w:szCs w:val="26"/>
        </w:rPr>
        <w:t xml:space="preserve"> </w:t>
      </w:r>
      <w:r w:rsidR="00425200">
        <w:rPr>
          <w:color w:val="212121"/>
          <w:sz w:val="26"/>
          <w:szCs w:val="26"/>
        </w:rPr>
        <w:t xml:space="preserve">was not a legal tenant </w:t>
      </w:r>
      <w:r w:rsidR="00EF0D0B">
        <w:rPr>
          <w:color w:val="212121"/>
          <w:sz w:val="26"/>
          <w:szCs w:val="26"/>
        </w:rPr>
        <w:t xml:space="preserve">and there was no valid written lease agreement </w:t>
      </w:r>
      <w:r w:rsidR="00237E60">
        <w:rPr>
          <w:color w:val="212121"/>
          <w:sz w:val="26"/>
          <w:szCs w:val="26"/>
        </w:rPr>
        <w:t xml:space="preserve">because the Tenant </w:t>
      </w:r>
      <w:r>
        <w:rPr>
          <w:color w:val="212121"/>
          <w:sz w:val="26"/>
          <w:szCs w:val="26"/>
        </w:rPr>
        <w:t xml:space="preserve">never </w:t>
      </w:r>
      <w:r w:rsidR="00DB26FC">
        <w:rPr>
          <w:color w:val="212121"/>
          <w:sz w:val="26"/>
          <w:szCs w:val="26"/>
        </w:rPr>
        <w:t>sign</w:t>
      </w:r>
      <w:r>
        <w:rPr>
          <w:color w:val="212121"/>
          <w:sz w:val="26"/>
          <w:szCs w:val="26"/>
        </w:rPr>
        <w:t>ed</w:t>
      </w:r>
      <w:r w:rsidR="00DB26FC">
        <w:rPr>
          <w:color w:val="212121"/>
          <w:sz w:val="26"/>
          <w:szCs w:val="26"/>
        </w:rPr>
        <w:t xml:space="preserve"> </w:t>
      </w:r>
      <w:r w:rsidR="00EF0D0B">
        <w:rPr>
          <w:color w:val="212121"/>
          <w:sz w:val="26"/>
          <w:szCs w:val="26"/>
        </w:rPr>
        <w:t>a</w:t>
      </w:r>
      <w:r w:rsidR="00933BF5">
        <w:rPr>
          <w:color w:val="212121"/>
          <w:sz w:val="26"/>
          <w:szCs w:val="26"/>
        </w:rPr>
        <w:t xml:space="preserve"> </w:t>
      </w:r>
      <w:r w:rsidR="00DB26FC">
        <w:rPr>
          <w:color w:val="212121"/>
          <w:sz w:val="26"/>
          <w:szCs w:val="26"/>
        </w:rPr>
        <w:t>lease</w:t>
      </w:r>
      <w:r w:rsidR="00EF0D0B">
        <w:rPr>
          <w:color w:val="212121"/>
          <w:sz w:val="26"/>
          <w:szCs w:val="26"/>
        </w:rPr>
        <w:t xml:space="preserve">, </w:t>
      </w:r>
      <w:r w:rsidR="00237E60">
        <w:rPr>
          <w:color w:val="212121"/>
          <w:sz w:val="26"/>
          <w:szCs w:val="26"/>
        </w:rPr>
        <w:t xml:space="preserve">and (2) </w:t>
      </w:r>
      <w:r w:rsidR="00083ADC">
        <w:rPr>
          <w:color w:val="212121"/>
          <w:sz w:val="26"/>
          <w:szCs w:val="26"/>
        </w:rPr>
        <w:t xml:space="preserve">PGW </w:t>
      </w:r>
      <w:r w:rsidR="00425200">
        <w:rPr>
          <w:color w:val="212121"/>
          <w:sz w:val="26"/>
          <w:szCs w:val="26"/>
        </w:rPr>
        <w:t>failed to inform her</w:t>
      </w:r>
      <w:r>
        <w:rPr>
          <w:color w:val="212121"/>
          <w:sz w:val="26"/>
          <w:szCs w:val="26"/>
        </w:rPr>
        <w:t>, as the property owner,</w:t>
      </w:r>
      <w:r w:rsidR="00425200">
        <w:rPr>
          <w:color w:val="212121"/>
          <w:sz w:val="26"/>
          <w:szCs w:val="26"/>
        </w:rPr>
        <w:t xml:space="preserve"> or seek her permission</w:t>
      </w:r>
      <w:r>
        <w:rPr>
          <w:color w:val="212121"/>
          <w:sz w:val="26"/>
          <w:szCs w:val="26"/>
        </w:rPr>
        <w:t xml:space="preserve"> to </w:t>
      </w:r>
      <w:r w:rsidR="00E42882">
        <w:rPr>
          <w:color w:val="212121"/>
          <w:sz w:val="26"/>
          <w:szCs w:val="26"/>
        </w:rPr>
        <w:t>place the account in the Tenant’s name</w:t>
      </w:r>
      <w:r w:rsidR="00425200">
        <w:rPr>
          <w:color w:val="212121"/>
          <w:sz w:val="26"/>
          <w:szCs w:val="26"/>
        </w:rPr>
        <w:t>.</w:t>
      </w:r>
      <w:r w:rsidR="00083ADC">
        <w:rPr>
          <w:color w:val="212121"/>
          <w:sz w:val="26"/>
          <w:szCs w:val="26"/>
        </w:rPr>
        <w:t xml:space="preserve"> </w:t>
      </w:r>
      <w:r w:rsidR="00425200">
        <w:rPr>
          <w:color w:val="212121"/>
          <w:sz w:val="26"/>
          <w:szCs w:val="26"/>
        </w:rPr>
        <w:t xml:space="preserve"> </w:t>
      </w:r>
      <w:r w:rsidR="00682161">
        <w:rPr>
          <w:color w:val="212121"/>
          <w:sz w:val="26"/>
          <w:szCs w:val="26"/>
        </w:rPr>
        <w:t>She question</w:t>
      </w:r>
      <w:r w:rsidR="0085605E">
        <w:rPr>
          <w:color w:val="212121"/>
          <w:sz w:val="26"/>
          <w:szCs w:val="26"/>
        </w:rPr>
        <w:t>s</w:t>
      </w:r>
      <w:r>
        <w:rPr>
          <w:color w:val="212121"/>
          <w:sz w:val="26"/>
          <w:szCs w:val="26"/>
        </w:rPr>
        <w:t xml:space="preserve"> what gives P</w:t>
      </w:r>
      <w:r w:rsidR="00EB1D63">
        <w:rPr>
          <w:color w:val="212121"/>
          <w:sz w:val="26"/>
          <w:szCs w:val="26"/>
        </w:rPr>
        <w:t>GW</w:t>
      </w:r>
      <w:r>
        <w:rPr>
          <w:color w:val="212121"/>
          <w:sz w:val="26"/>
          <w:szCs w:val="26"/>
        </w:rPr>
        <w:t xml:space="preserve"> the</w:t>
      </w:r>
      <w:r w:rsidR="00083ADC">
        <w:rPr>
          <w:color w:val="212121"/>
          <w:sz w:val="26"/>
          <w:szCs w:val="26"/>
        </w:rPr>
        <w:t xml:space="preserve"> right to change </w:t>
      </w:r>
      <w:r>
        <w:rPr>
          <w:color w:val="212121"/>
          <w:sz w:val="26"/>
          <w:szCs w:val="26"/>
        </w:rPr>
        <w:t xml:space="preserve">the status of her account </w:t>
      </w:r>
      <w:r w:rsidR="00237E60">
        <w:rPr>
          <w:color w:val="212121"/>
          <w:sz w:val="26"/>
          <w:szCs w:val="26"/>
        </w:rPr>
        <w:t>without her permission and or</w:t>
      </w:r>
      <w:r w:rsidR="00083ADC">
        <w:rPr>
          <w:color w:val="212121"/>
          <w:sz w:val="26"/>
          <w:szCs w:val="26"/>
        </w:rPr>
        <w:t xml:space="preserve"> </w:t>
      </w:r>
      <w:r w:rsidR="00237E60">
        <w:rPr>
          <w:color w:val="212121"/>
          <w:sz w:val="26"/>
          <w:szCs w:val="26"/>
        </w:rPr>
        <w:t xml:space="preserve">the execution of </w:t>
      </w:r>
      <w:r w:rsidR="00083ADC">
        <w:rPr>
          <w:color w:val="212121"/>
          <w:sz w:val="26"/>
          <w:szCs w:val="26"/>
        </w:rPr>
        <w:t>a legal lease</w:t>
      </w:r>
      <w:r w:rsidR="00237E60">
        <w:rPr>
          <w:color w:val="212121"/>
          <w:sz w:val="26"/>
          <w:szCs w:val="26"/>
        </w:rPr>
        <w:t>.</w:t>
      </w:r>
      <w:r w:rsidR="00083ADC">
        <w:rPr>
          <w:color w:val="212121"/>
          <w:sz w:val="26"/>
          <w:szCs w:val="26"/>
        </w:rPr>
        <w:t xml:space="preserve">  Exc. at 1</w:t>
      </w:r>
      <w:r w:rsidR="00237E60">
        <w:rPr>
          <w:color w:val="212121"/>
          <w:sz w:val="26"/>
          <w:szCs w:val="26"/>
        </w:rPr>
        <w:t>-2</w:t>
      </w:r>
      <w:r w:rsidR="00083ADC">
        <w:rPr>
          <w:color w:val="212121"/>
          <w:sz w:val="26"/>
          <w:szCs w:val="26"/>
        </w:rPr>
        <w:t xml:space="preserve">.  </w:t>
      </w:r>
      <w:r w:rsidR="00237E60">
        <w:rPr>
          <w:color w:val="212121"/>
          <w:sz w:val="26"/>
          <w:szCs w:val="26"/>
        </w:rPr>
        <w:t xml:space="preserve">The Complainant contends that by making the Tenant the customer of record without the </w:t>
      </w:r>
      <w:r w:rsidR="00EF0D0B">
        <w:rPr>
          <w:color w:val="212121"/>
          <w:sz w:val="26"/>
          <w:szCs w:val="26"/>
        </w:rPr>
        <w:t xml:space="preserve">Complainant’s </w:t>
      </w:r>
      <w:r w:rsidR="00237E60">
        <w:rPr>
          <w:color w:val="212121"/>
          <w:sz w:val="26"/>
          <w:szCs w:val="26"/>
        </w:rPr>
        <w:t xml:space="preserve">permission and without a valid written lease agreement, PGW must hold the Tenant, </w:t>
      </w:r>
      <w:r w:rsidR="00EF0D0B">
        <w:rPr>
          <w:color w:val="212121"/>
          <w:sz w:val="26"/>
          <w:szCs w:val="26"/>
        </w:rPr>
        <w:t xml:space="preserve">and not her, </w:t>
      </w:r>
      <w:r w:rsidR="00237E60">
        <w:rPr>
          <w:color w:val="212121"/>
          <w:sz w:val="26"/>
          <w:szCs w:val="26"/>
        </w:rPr>
        <w:t>responsible for the outstanding amounts owed on the account.  Exc. at 1.</w:t>
      </w:r>
    </w:p>
    <w:p w:rsidR="00237E60" w:rsidRDefault="00237E60" w:rsidP="00A6670C">
      <w:pPr>
        <w:widowControl/>
        <w:spacing w:line="360" w:lineRule="auto"/>
        <w:ind w:firstLine="1440"/>
        <w:rPr>
          <w:color w:val="212121"/>
          <w:sz w:val="26"/>
          <w:szCs w:val="26"/>
        </w:rPr>
      </w:pPr>
    </w:p>
    <w:p w:rsidR="005A6837" w:rsidRDefault="00285C52" w:rsidP="00A6670C">
      <w:pPr>
        <w:widowControl/>
        <w:spacing w:line="360" w:lineRule="auto"/>
        <w:ind w:firstLine="1440"/>
        <w:rPr>
          <w:color w:val="212121"/>
          <w:sz w:val="26"/>
          <w:szCs w:val="26"/>
        </w:rPr>
      </w:pPr>
      <w:r>
        <w:rPr>
          <w:color w:val="212121"/>
          <w:sz w:val="26"/>
          <w:szCs w:val="26"/>
        </w:rPr>
        <w:t>T</w:t>
      </w:r>
      <w:r w:rsidR="005A6837">
        <w:rPr>
          <w:color w:val="212121"/>
          <w:sz w:val="26"/>
          <w:szCs w:val="26"/>
        </w:rPr>
        <w:t xml:space="preserve">he Initial Decision </w:t>
      </w:r>
      <w:r>
        <w:rPr>
          <w:color w:val="212121"/>
          <w:sz w:val="26"/>
          <w:szCs w:val="26"/>
        </w:rPr>
        <w:t>and</w:t>
      </w:r>
      <w:r w:rsidR="00783BC1">
        <w:rPr>
          <w:color w:val="212121"/>
          <w:sz w:val="26"/>
          <w:szCs w:val="26"/>
        </w:rPr>
        <w:t xml:space="preserve"> </w:t>
      </w:r>
      <w:r w:rsidR="005A6837">
        <w:rPr>
          <w:color w:val="212121"/>
          <w:sz w:val="26"/>
          <w:szCs w:val="26"/>
        </w:rPr>
        <w:t>PGW</w:t>
      </w:r>
      <w:r w:rsidR="00694B7B">
        <w:rPr>
          <w:color w:val="212121"/>
          <w:sz w:val="26"/>
          <w:szCs w:val="26"/>
        </w:rPr>
        <w:t>’</w:t>
      </w:r>
      <w:r w:rsidR="005A6837">
        <w:rPr>
          <w:color w:val="212121"/>
          <w:sz w:val="26"/>
          <w:szCs w:val="26"/>
        </w:rPr>
        <w:t>s Replie</w:t>
      </w:r>
      <w:r w:rsidR="00783BC1">
        <w:rPr>
          <w:color w:val="212121"/>
          <w:sz w:val="26"/>
          <w:szCs w:val="26"/>
        </w:rPr>
        <w:t>s</w:t>
      </w:r>
      <w:r w:rsidR="00425200">
        <w:rPr>
          <w:color w:val="212121"/>
          <w:sz w:val="26"/>
          <w:szCs w:val="26"/>
        </w:rPr>
        <w:t xml:space="preserve"> </w:t>
      </w:r>
      <w:r>
        <w:rPr>
          <w:color w:val="212121"/>
          <w:sz w:val="26"/>
          <w:szCs w:val="26"/>
        </w:rPr>
        <w:t xml:space="preserve">did not </w:t>
      </w:r>
      <w:r w:rsidR="00425200">
        <w:rPr>
          <w:color w:val="212121"/>
          <w:sz w:val="26"/>
          <w:szCs w:val="26"/>
        </w:rPr>
        <w:t>address th</w:t>
      </w:r>
      <w:r w:rsidR="002C1CAB">
        <w:rPr>
          <w:color w:val="212121"/>
          <w:sz w:val="26"/>
          <w:szCs w:val="26"/>
        </w:rPr>
        <w:t>ese</w:t>
      </w:r>
      <w:r w:rsidR="005A6837">
        <w:rPr>
          <w:color w:val="212121"/>
          <w:sz w:val="26"/>
          <w:szCs w:val="26"/>
        </w:rPr>
        <w:t xml:space="preserve"> issue</w:t>
      </w:r>
      <w:r w:rsidR="002C1CAB">
        <w:rPr>
          <w:color w:val="212121"/>
          <w:sz w:val="26"/>
          <w:szCs w:val="26"/>
        </w:rPr>
        <w:t>s</w:t>
      </w:r>
      <w:r>
        <w:rPr>
          <w:color w:val="212121"/>
          <w:sz w:val="26"/>
          <w:szCs w:val="26"/>
        </w:rPr>
        <w:t>.  H</w:t>
      </w:r>
      <w:r w:rsidR="005A6837">
        <w:rPr>
          <w:color w:val="212121"/>
          <w:sz w:val="26"/>
          <w:szCs w:val="26"/>
        </w:rPr>
        <w:t xml:space="preserve">owever, </w:t>
      </w:r>
      <w:r w:rsidR="00425200">
        <w:rPr>
          <w:color w:val="212121"/>
          <w:sz w:val="26"/>
          <w:szCs w:val="26"/>
        </w:rPr>
        <w:t xml:space="preserve">we note that </w:t>
      </w:r>
      <w:r w:rsidR="005A6837">
        <w:rPr>
          <w:color w:val="212121"/>
          <w:sz w:val="26"/>
          <w:szCs w:val="26"/>
        </w:rPr>
        <w:t>the Complainant did</w:t>
      </w:r>
      <w:r w:rsidR="002C1CAB">
        <w:rPr>
          <w:color w:val="212121"/>
          <w:sz w:val="26"/>
          <w:szCs w:val="26"/>
        </w:rPr>
        <w:t xml:space="preserve"> raise these</w:t>
      </w:r>
      <w:r w:rsidR="005A6837">
        <w:rPr>
          <w:color w:val="212121"/>
          <w:sz w:val="26"/>
          <w:szCs w:val="26"/>
        </w:rPr>
        <w:t xml:space="preserve"> iss</w:t>
      </w:r>
      <w:r w:rsidR="002C1CAB">
        <w:rPr>
          <w:color w:val="212121"/>
          <w:sz w:val="26"/>
          <w:szCs w:val="26"/>
        </w:rPr>
        <w:t>ues</w:t>
      </w:r>
      <w:r w:rsidR="005A6837">
        <w:rPr>
          <w:color w:val="212121"/>
          <w:sz w:val="26"/>
          <w:szCs w:val="26"/>
        </w:rPr>
        <w:t xml:space="preserve"> in her Complainant</w:t>
      </w:r>
      <w:r w:rsidR="005A6837" w:rsidRPr="00C76C25">
        <w:rPr>
          <w:color w:val="212121"/>
          <w:sz w:val="26"/>
          <w:szCs w:val="26"/>
        </w:rPr>
        <w:t>.</w:t>
      </w:r>
      <w:r w:rsidR="005A6837">
        <w:rPr>
          <w:color w:val="212121"/>
          <w:sz w:val="26"/>
          <w:szCs w:val="26"/>
        </w:rPr>
        <w:t xml:space="preserve">  </w:t>
      </w:r>
      <w:r w:rsidR="00783BC1" w:rsidRPr="00783BC1">
        <w:rPr>
          <w:i/>
          <w:color w:val="212121"/>
          <w:sz w:val="26"/>
          <w:szCs w:val="26"/>
        </w:rPr>
        <w:t>See</w:t>
      </w:r>
      <w:r w:rsidR="00C76C25">
        <w:rPr>
          <w:color w:val="212121"/>
          <w:sz w:val="26"/>
          <w:szCs w:val="26"/>
        </w:rPr>
        <w:t xml:space="preserve"> Complaint ¶ 5.</w:t>
      </w:r>
    </w:p>
    <w:p w:rsidR="00285C52" w:rsidRDefault="00285C52" w:rsidP="00A6670C">
      <w:pPr>
        <w:widowControl/>
        <w:spacing w:line="360" w:lineRule="auto"/>
        <w:ind w:firstLine="1440"/>
        <w:rPr>
          <w:color w:val="212121"/>
          <w:sz w:val="26"/>
          <w:szCs w:val="26"/>
        </w:rPr>
      </w:pPr>
    </w:p>
    <w:p w:rsidR="00C70B2D" w:rsidRDefault="000C70D9" w:rsidP="00A6670C">
      <w:pPr>
        <w:widowControl/>
        <w:spacing w:line="360" w:lineRule="auto"/>
        <w:ind w:firstLine="1440"/>
        <w:rPr>
          <w:color w:val="212121"/>
          <w:sz w:val="26"/>
          <w:szCs w:val="26"/>
        </w:rPr>
      </w:pPr>
      <w:r>
        <w:rPr>
          <w:color w:val="212121"/>
          <w:sz w:val="26"/>
          <w:szCs w:val="26"/>
        </w:rPr>
        <w:t>In our view, t</w:t>
      </w:r>
      <w:r w:rsidR="00C70B2D">
        <w:rPr>
          <w:color w:val="212121"/>
          <w:sz w:val="26"/>
          <w:szCs w:val="26"/>
        </w:rPr>
        <w:t>he question to be answered in addressing the</w:t>
      </w:r>
      <w:r w:rsidR="002C1CAB">
        <w:rPr>
          <w:color w:val="212121"/>
          <w:sz w:val="26"/>
          <w:szCs w:val="26"/>
        </w:rPr>
        <w:t xml:space="preserve"> Complainant</w:t>
      </w:r>
      <w:r w:rsidR="00694B7B">
        <w:rPr>
          <w:color w:val="212121"/>
          <w:sz w:val="26"/>
          <w:szCs w:val="26"/>
        </w:rPr>
        <w:t>’</w:t>
      </w:r>
      <w:r w:rsidR="002C1CAB">
        <w:rPr>
          <w:color w:val="212121"/>
          <w:sz w:val="26"/>
          <w:szCs w:val="26"/>
        </w:rPr>
        <w:t>s Exceptions on the</w:t>
      </w:r>
      <w:r w:rsidR="00C70B2D">
        <w:rPr>
          <w:color w:val="212121"/>
          <w:sz w:val="26"/>
          <w:szCs w:val="26"/>
        </w:rPr>
        <w:t>s</w:t>
      </w:r>
      <w:r w:rsidR="002C1CAB">
        <w:rPr>
          <w:color w:val="212121"/>
          <w:sz w:val="26"/>
          <w:szCs w:val="26"/>
        </w:rPr>
        <w:t>e</w:t>
      </w:r>
      <w:r w:rsidR="00C70B2D">
        <w:rPr>
          <w:color w:val="212121"/>
          <w:sz w:val="26"/>
          <w:szCs w:val="26"/>
        </w:rPr>
        <w:t xml:space="preserve"> issue</w:t>
      </w:r>
      <w:r w:rsidR="002C1CAB">
        <w:rPr>
          <w:color w:val="212121"/>
          <w:sz w:val="26"/>
          <w:szCs w:val="26"/>
        </w:rPr>
        <w:t>s</w:t>
      </w:r>
      <w:r w:rsidR="00C70B2D">
        <w:rPr>
          <w:color w:val="212121"/>
          <w:sz w:val="26"/>
          <w:szCs w:val="26"/>
        </w:rPr>
        <w:t xml:space="preserve"> is whether PGW </w:t>
      </w:r>
      <w:r w:rsidR="00EF0D0B">
        <w:rPr>
          <w:color w:val="212121"/>
          <w:sz w:val="26"/>
          <w:szCs w:val="26"/>
        </w:rPr>
        <w:t xml:space="preserve">in any way </w:t>
      </w:r>
      <w:r w:rsidR="00C70B2D">
        <w:rPr>
          <w:color w:val="212121"/>
          <w:sz w:val="26"/>
          <w:szCs w:val="26"/>
        </w:rPr>
        <w:t xml:space="preserve">violated the Code, </w:t>
      </w:r>
      <w:r w:rsidR="00EF0D0B">
        <w:rPr>
          <w:color w:val="212121"/>
          <w:sz w:val="26"/>
          <w:szCs w:val="26"/>
        </w:rPr>
        <w:t xml:space="preserve">our Regulations, a Commission Order or its </w:t>
      </w:r>
      <w:r w:rsidR="00C70B2D">
        <w:rPr>
          <w:color w:val="212121"/>
          <w:sz w:val="26"/>
          <w:szCs w:val="26"/>
        </w:rPr>
        <w:t xml:space="preserve">Tariff when it accepted </w:t>
      </w:r>
      <w:r w:rsidR="00C24BDE">
        <w:rPr>
          <w:color w:val="212121"/>
          <w:sz w:val="26"/>
          <w:szCs w:val="26"/>
        </w:rPr>
        <w:t>t</w:t>
      </w:r>
      <w:r w:rsidR="00211169">
        <w:rPr>
          <w:color w:val="212121"/>
          <w:sz w:val="26"/>
          <w:szCs w:val="26"/>
        </w:rPr>
        <w:t>he Tenant</w:t>
      </w:r>
      <w:r w:rsidR="00694B7B">
        <w:rPr>
          <w:color w:val="212121"/>
          <w:sz w:val="26"/>
          <w:szCs w:val="26"/>
        </w:rPr>
        <w:t>’</w:t>
      </w:r>
      <w:r w:rsidR="00C70B2D">
        <w:rPr>
          <w:color w:val="212121"/>
          <w:sz w:val="26"/>
          <w:szCs w:val="26"/>
        </w:rPr>
        <w:t xml:space="preserve">s application for gas service for the account </w:t>
      </w:r>
      <w:r w:rsidR="00C24BDE">
        <w:rPr>
          <w:color w:val="212121"/>
          <w:sz w:val="26"/>
          <w:szCs w:val="26"/>
        </w:rPr>
        <w:t>at the Service Address</w:t>
      </w:r>
      <w:r w:rsidR="000C4BEC">
        <w:rPr>
          <w:color w:val="212121"/>
          <w:sz w:val="26"/>
          <w:szCs w:val="26"/>
        </w:rPr>
        <w:t xml:space="preserve"> in October 2015</w:t>
      </w:r>
      <w:r w:rsidR="00C70B2D">
        <w:rPr>
          <w:color w:val="212121"/>
          <w:sz w:val="26"/>
          <w:szCs w:val="26"/>
        </w:rPr>
        <w:t>.</w:t>
      </w:r>
    </w:p>
    <w:p w:rsidR="005A6837" w:rsidRDefault="005A6837" w:rsidP="00A6670C">
      <w:pPr>
        <w:widowControl/>
        <w:spacing w:line="360" w:lineRule="auto"/>
        <w:ind w:firstLine="1440"/>
        <w:rPr>
          <w:rFonts w:eastAsia="Calibri"/>
          <w:sz w:val="26"/>
          <w:szCs w:val="26"/>
        </w:rPr>
      </w:pPr>
    </w:p>
    <w:p w:rsidR="00933BF5" w:rsidRDefault="005B4076" w:rsidP="00A6670C">
      <w:pPr>
        <w:widowControl/>
        <w:spacing w:line="360" w:lineRule="auto"/>
        <w:ind w:firstLine="1440"/>
        <w:rPr>
          <w:sz w:val="26"/>
          <w:szCs w:val="26"/>
        </w:rPr>
      </w:pPr>
      <w:r>
        <w:rPr>
          <w:sz w:val="26"/>
          <w:szCs w:val="26"/>
        </w:rPr>
        <w:t xml:space="preserve">Pursuant to Section 1501 of the Code, PGW </w:t>
      </w:r>
      <w:r w:rsidRPr="00131C9F">
        <w:rPr>
          <w:sz w:val="26"/>
          <w:szCs w:val="26"/>
        </w:rPr>
        <w:t xml:space="preserve">has a duty to </w:t>
      </w:r>
      <w:r>
        <w:rPr>
          <w:sz w:val="26"/>
          <w:szCs w:val="26"/>
        </w:rPr>
        <w:t xml:space="preserve">furnish and </w:t>
      </w:r>
      <w:r w:rsidRPr="00131C9F">
        <w:rPr>
          <w:sz w:val="26"/>
          <w:szCs w:val="26"/>
        </w:rPr>
        <w:t>maintain safe, adequate and reasonable service</w:t>
      </w:r>
      <w:r>
        <w:rPr>
          <w:sz w:val="26"/>
          <w:szCs w:val="26"/>
        </w:rPr>
        <w:t xml:space="preserve"> to its customers</w:t>
      </w:r>
      <w:r w:rsidRPr="00131C9F">
        <w:rPr>
          <w:sz w:val="26"/>
          <w:szCs w:val="26"/>
        </w:rPr>
        <w:t>.  66 Pa. C.S. § 1501.</w:t>
      </w:r>
      <w:r w:rsidRPr="005B4076">
        <w:rPr>
          <w:color w:val="212121"/>
          <w:sz w:val="26"/>
          <w:szCs w:val="26"/>
        </w:rPr>
        <w:t xml:space="preserve"> </w:t>
      </w:r>
      <w:r>
        <w:rPr>
          <w:color w:val="212121"/>
          <w:sz w:val="26"/>
          <w:szCs w:val="26"/>
        </w:rPr>
        <w:t xml:space="preserve"> The term “service” is defined under Section 102 of the Code, in relevant part, as follows</w:t>
      </w:r>
      <w:r w:rsidR="005878A0">
        <w:rPr>
          <w:color w:val="212121"/>
          <w:sz w:val="26"/>
          <w:szCs w:val="26"/>
        </w:rPr>
        <w:t>: “</w:t>
      </w:r>
      <w:r w:rsidRPr="00CC3239">
        <w:rPr>
          <w:color w:val="212121"/>
          <w:sz w:val="26"/>
          <w:szCs w:val="26"/>
        </w:rPr>
        <w:t xml:space="preserve">Used in its broadest and most inclusive sense, includes </w:t>
      </w:r>
      <w:proofErr w:type="gramStart"/>
      <w:r w:rsidRPr="00CC3239">
        <w:rPr>
          <w:color w:val="212121"/>
          <w:sz w:val="26"/>
          <w:szCs w:val="26"/>
        </w:rPr>
        <w:t>any and all</w:t>
      </w:r>
      <w:proofErr w:type="gramEnd"/>
      <w:r w:rsidRPr="00CC3239">
        <w:rPr>
          <w:color w:val="212121"/>
          <w:sz w:val="26"/>
          <w:szCs w:val="26"/>
        </w:rPr>
        <w:t xml:space="preserve"> ac</w:t>
      </w:r>
      <w:r>
        <w:rPr>
          <w:color w:val="212121"/>
          <w:sz w:val="26"/>
          <w:szCs w:val="26"/>
        </w:rPr>
        <w:t>ts done, rendered, or performed</w:t>
      </w:r>
      <w:r w:rsidR="00EF0D0B">
        <w:rPr>
          <w:color w:val="212121"/>
          <w:sz w:val="26"/>
          <w:szCs w:val="26"/>
        </w:rPr>
        <w:t xml:space="preserve"> . . . b</w:t>
      </w:r>
      <w:r>
        <w:rPr>
          <w:color w:val="212121"/>
          <w:sz w:val="26"/>
          <w:szCs w:val="26"/>
        </w:rPr>
        <w:t>y public utilities</w:t>
      </w:r>
      <w:r w:rsidR="00EF0D0B">
        <w:rPr>
          <w:color w:val="212121"/>
          <w:sz w:val="26"/>
          <w:szCs w:val="26"/>
        </w:rPr>
        <w:t xml:space="preserve"> . . . </w:t>
      </w:r>
      <w:r w:rsidRPr="00CC3239">
        <w:rPr>
          <w:color w:val="212121"/>
          <w:sz w:val="26"/>
          <w:szCs w:val="26"/>
        </w:rPr>
        <w:t>in the performance of their duties under this part to their patrons</w:t>
      </w:r>
      <w:r w:rsidR="00EF0D0B">
        <w:rPr>
          <w:color w:val="212121"/>
          <w:sz w:val="26"/>
          <w:szCs w:val="26"/>
        </w:rPr>
        <w:t xml:space="preserve"> . . .</w:t>
      </w:r>
      <w:r>
        <w:rPr>
          <w:color w:val="212121"/>
          <w:sz w:val="26"/>
          <w:szCs w:val="26"/>
        </w:rPr>
        <w:t xml:space="preserve">”  </w:t>
      </w:r>
      <w:r w:rsidRPr="00CC3239">
        <w:rPr>
          <w:color w:val="212121"/>
          <w:sz w:val="26"/>
          <w:szCs w:val="26"/>
        </w:rPr>
        <w:t>66 Pa. C.S.</w:t>
      </w:r>
      <w:r>
        <w:rPr>
          <w:sz w:val="26"/>
          <w:szCs w:val="26"/>
        </w:rPr>
        <w:t>§ 102.  Thus, PGW</w:t>
      </w:r>
      <w:r w:rsidR="00694B7B">
        <w:rPr>
          <w:sz w:val="26"/>
          <w:szCs w:val="26"/>
        </w:rPr>
        <w:t>’</w:t>
      </w:r>
      <w:r>
        <w:rPr>
          <w:sz w:val="26"/>
          <w:szCs w:val="26"/>
        </w:rPr>
        <w:t xml:space="preserve">s review and acceptance of an application for service to become the customer of record on an account constitutes “service” on the part of PGW to its </w:t>
      </w:r>
      <w:r w:rsidR="001B2A79">
        <w:rPr>
          <w:sz w:val="26"/>
          <w:szCs w:val="26"/>
        </w:rPr>
        <w:t>customers.</w:t>
      </w:r>
    </w:p>
    <w:p w:rsidR="00933BF5" w:rsidRDefault="00933BF5" w:rsidP="00A6670C">
      <w:pPr>
        <w:widowControl/>
        <w:spacing w:line="360" w:lineRule="auto"/>
        <w:ind w:firstLine="1440"/>
        <w:rPr>
          <w:sz w:val="26"/>
          <w:szCs w:val="26"/>
        </w:rPr>
      </w:pPr>
    </w:p>
    <w:p w:rsidR="00C30CF2" w:rsidRPr="00933BF5" w:rsidRDefault="00C30CF2" w:rsidP="00A6670C">
      <w:pPr>
        <w:widowControl/>
        <w:spacing w:line="360" w:lineRule="auto"/>
        <w:ind w:firstLine="1440"/>
        <w:rPr>
          <w:sz w:val="26"/>
          <w:szCs w:val="26"/>
        </w:rPr>
      </w:pPr>
      <w:r w:rsidRPr="00C30CF2">
        <w:rPr>
          <w:color w:val="000000"/>
          <w:sz w:val="26"/>
          <w:szCs w:val="26"/>
        </w:rPr>
        <w:t xml:space="preserve">Section 1403 of the Code, </w:t>
      </w:r>
      <w:r w:rsidRPr="00933BF5">
        <w:rPr>
          <w:sz w:val="26"/>
          <w:szCs w:val="26"/>
        </w:rPr>
        <w:t xml:space="preserve">66 Pa. C.S. § 1403, </w:t>
      </w:r>
      <w:r w:rsidRPr="00C30CF2">
        <w:rPr>
          <w:color w:val="000000"/>
          <w:sz w:val="26"/>
          <w:szCs w:val="26"/>
        </w:rPr>
        <w:t>define</w:t>
      </w:r>
      <w:r>
        <w:rPr>
          <w:color w:val="000000"/>
          <w:sz w:val="26"/>
          <w:szCs w:val="26"/>
        </w:rPr>
        <w:t>s</w:t>
      </w:r>
      <w:r w:rsidRPr="00C30CF2">
        <w:rPr>
          <w:color w:val="000000"/>
          <w:sz w:val="26"/>
          <w:szCs w:val="26"/>
        </w:rPr>
        <w:t xml:space="preserve"> an “applicant” in pertinent part as a “natural person</w:t>
      </w:r>
      <w:r w:rsidR="000E6481">
        <w:rPr>
          <w:color w:val="000000"/>
          <w:sz w:val="26"/>
          <w:szCs w:val="26"/>
        </w:rPr>
        <w:t xml:space="preserve"> . . . </w:t>
      </w:r>
      <w:r w:rsidRPr="00C30CF2">
        <w:rPr>
          <w:color w:val="000000"/>
          <w:sz w:val="26"/>
          <w:szCs w:val="26"/>
        </w:rPr>
        <w:t>not currently receiving service who applies for residential service provided by a public utility or any adult occupant whose name appears on the mortgage, deed or lease of the property for which the residential utility service is requested.”</w:t>
      </w:r>
      <w:bookmarkStart w:id="6" w:name="co_footnoteReference_FN_F0077_2041294643"/>
      <w:bookmarkEnd w:id="6"/>
      <w:r>
        <w:rPr>
          <w:rStyle w:val="FootnoteReference"/>
          <w:color w:val="000000"/>
          <w:sz w:val="26"/>
          <w:szCs w:val="26"/>
        </w:rPr>
        <w:footnoteReference w:id="9"/>
      </w:r>
      <w:r w:rsidR="00016B6D">
        <w:rPr>
          <w:color w:val="000000"/>
          <w:sz w:val="26"/>
          <w:szCs w:val="26"/>
        </w:rPr>
        <w:t xml:space="preserve">  </w:t>
      </w:r>
      <w:r w:rsidRPr="00C30CF2">
        <w:rPr>
          <w:color w:val="000000"/>
          <w:sz w:val="26"/>
          <w:szCs w:val="26"/>
        </w:rPr>
        <w:t xml:space="preserve">Although the Code contemplates situations in which an occupant whose name appears on a lease or deed may be authorized to apply for service, it does not mandate the production of the actual deed or lease. </w:t>
      </w:r>
      <w:r w:rsidR="00923471">
        <w:rPr>
          <w:color w:val="000000"/>
          <w:sz w:val="26"/>
          <w:szCs w:val="26"/>
        </w:rPr>
        <w:t xml:space="preserve"> </w:t>
      </w:r>
      <w:r w:rsidRPr="00C30CF2">
        <w:rPr>
          <w:color w:val="000000"/>
          <w:sz w:val="26"/>
          <w:szCs w:val="26"/>
        </w:rPr>
        <w:t xml:space="preserve">Moreover, Section 56.32(c) of our Regulations, </w:t>
      </w:r>
      <w:r w:rsidRPr="00933BF5">
        <w:rPr>
          <w:sz w:val="26"/>
          <w:szCs w:val="26"/>
        </w:rPr>
        <w:t xml:space="preserve">52 Pa. Code § 56.32(c), </w:t>
      </w:r>
      <w:r w:rsidR="00AC5B22">
        <w:rPr>
          <w:sz w:val="26"/>
          <w:szCs w:val="26"/>
        </w:rPr>
        <w:t xml:space="preserve">in relevant part, </w:t>
      </w:r>
      <w:r w:rsidRPr="00C30CF2">
        <w:rPr>
          <w:color w:val="000000"/>
          <w:sz w:val="26"/>
          <w:szCs w:val="26"/>
        </w:rPr>
        <w:t>provides guidance on the types of identification that a utility could request prior to providing service:</w:t>
      </w:r>
    </w:p>
    <w:p w:rsidR="00933BF5" w:rsidRDefault="00933BF5" w:rsidP="00A6670C">
      <w:pPr>
        <w:widowControl/>
        <w:ind w:left="1440" w:right="1440"/>
        <w:rPr>
          <w:sz w:val="26"/>
          <w:szCs w:val="26"/>
        </w:rPr>
      </w:pPr>
    </w:p>
    <w:p w:rsidR="00C30CF2" w:rsidRDefault="00933BF5" w:rsidP="00A6670C">
      <w:pPr>
        <w:widowControl/>
        <w:ind w:left="1440" w:right="1440"/>
        <w:rPr>
          <w:sz w:val="26"/>
          <w:szCs w:val="26"/>
        </w:rPr>
      </w:pPr>
      <w:r w:rsidRPr="00933BF5">
        <w:rPr>
          <w:sz w:val="26"/>
          <w:szCs w:val="26"/>
        </w:rPr>
        <w:t xml:space="preserve">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w:t>
      </w:r>
      <w:r>
        <w:rPr>
          <w:sz w:val="26"/>
          <w:szCs w:val="26"/>
        </w:rPr>
        <w:t xml:space="preserve"> </w:t>
      </w:r>
      <w:r w:rsidRPr="00933BF5">
        <w:rPr>
          <w:sz w:val="26"/>
          <w:szCs w:val="26"/>
        </w:rPr>
        <w:t xml:space="preserve">If one government issued photo identification is not available, the public utility may require the applicant to present two alternative forms of identification, </w:t>
      </w:r>
      <w:proofErr w:type="gramStart"/>
      <w:r w:rsidRPr="00933BF5">
        <w:rPr>
          <w:sz w:val="26"/>
          <w:szCs w:val="26"/>
        </w:rPr>
        <w:t>as long as</w:t>
      </w:r>
      <w:proofErr w:type="gramEnd"/>
      <w:r w:rsidRPr="00933BF5">
        <w:rPr>
          <w:sz w:val="26"/>
          <w:szCs w:val="26"/>
        </w:rPr>
        <w:t xml:space="preserve"> one of the identifications includes a photo of the individual. In lieu of requiring identification, the public utility may ask, but may not require, the individual to provide the individual</w:t>
      </w:r>
      <w:r w:rsidR="00694B7B">
        <w:rPr>
          <w:sz w:val="26"/>
          <w:szCs w:val="26"/>
        </w:rPr>
        <w:t>’</w:t>
      </w:r>
      <w:r w:rsidRPr="00933BF5">
        <w:rPr>
          <w:sz w:val="26"/>
          <w:szCs w:val="26"/>
        </w:rPr>
        <w:t>s Social Security Number.</w:t>
      </w:r>
      <w:r w:rsidR="00B04EB1">
        <w:rPr>
          <w:sz w:val="26"/>
          <w:szCs w:val="26"/>
        </w:rPr>
        <w:t xml:space="preserve">  </w:t>
      </w:r>
      <w:r w:rsidR="00B04EB1" w:rsidRPr="0060705B">
        <w:rPr>
          <w:sz w:val="26"/>
          <w:szCs w:val="26"/>
        </w:rPr>
        <w:t>Public utilities shall take all appropriate actions needed to ensure the privacy and confidentiality of identification information provided by</w:t>
      </w:r>
      <w:r w:rsidR="00B04EB1">
        <w:rPr>
          <w:sz w:val="26"/>
          <w:szCs w:val="26"/>
        </w:rPr>
        <w:t xml:space="preserve"> their applicants and customers.</w:t>
      </w:r>
    </w:p>
    <w:p w:rsidR="000E6481" w:rsidRPr="00933BF5" w:rsidRDefault="000E6481" w:rsidP="00A6670C">
      <w:pPr>
        <w:widowControl/>
        <w:ind w:left="1440" w:right="1440"/>
        <w:rPr>
          <w:sz w:val="26"/>
          <w:szCs w:val="26"/>
        </w:rPr>
      </w:pPr>
    </w:p>
    <w:p w:rsidR="005B4076" w:rsidRPr="00CC3239" w:rsidRDefault="005B4076" w:rsidP="00A6670C">
      <w:pPr>
        <w:widowControl/>
        <w:spacing w:line="360" w:lineRule="auto"/>
        <w:ind w:firstLine="1440"/>
        <w:rPr>
          <w:color w:val="212121"/>
          <w:sz w:val="26"/>
          <w:szCs w:val="26"/>
        </w:rPr>
      </w:pPr>
    </w:p>
    <w:p w:rsidR="007901F4" w:rsidRDefault="00B04EB1" w:rsidP="00A6670C">
      <w:pPr>
        <w:widowControl/>
        <w:spacing w:line="360" w:lineRule="auto"/>
        <w:ind w:firstLine="1440"/>
        <w:rPr>
          <w:sz w:val="26"/>
          <w:szCs w:val="26"/>
        </w:rPr>
      </w:pPr>
      <w:r>
        <w:rPr>
          <w:sz w:val="26"/>
          <w:szCs w:val="26"/>
        </w:rPr>
        <w:t xml:space="preserve">Based on the foregoing, </w:t>
      </w:r>
      <w:r w:rsidRPr="008D70DC">
        <w:rPr>
          <w:sz w:val="26"/>
          <w:szCs w:val="26"/>
        </w:rPr>
        <w:t xml:space="preserve">while </w:t>
      </w:r>
      <w:r>
        <w:rPr>
          <w:sz w:val="26"/>
          <w:szCs w:val="26"/>
        </w:rPr>
        <w:t xml:space="preserve">a utility may request to </w:t>
      </w:r>
      <w:r w:rsidRPr="008D70DC">
        <w:rPr>
          <w:sz w:val="26"/>
          <w:szCs w:val="26"/>
        </w:rPr>
        <w:t>obtain a</w:t>
      </w:r>
      <w:r>
        <w:rPr>
          <w:sz w:val="26"/>
          <w:szCs w:val="26"/>
        </w:rPr>
        <w:t xml:space="preserve"> copy of an applicant</w:t>
      </w:r>
      <w:r w:rsidR="00694B7B">
        <w:rPr>
          <w:sz w:val="26"/>
          <w:szCs w:val="26"/>
        </w:rPr>
        <w:t>’</w:t>
      </w:r>
      <w:r>
        <w:rPr>
          <w:sz w:val="26"/>
          <w:szCs w:val="26"/>
        </w:rPr>
        <w:t>s</w:t>
      </w:r>
      <w:r w:rsidRPr="008D70DC">
        <w:rPr>
          <w:sz w:val="26"/>
          <w:szCs w:val="26"/>
        </w:rPr>
        <w:t xml:space="preserve"> lease, nothing in the Code or </w:t>
      </w:r>
      <w:r w:rsidR="000E6481">
        <w:rPr>
          <w:sz w:val="26"/>
          <w:szCs w:val="26"/>
        </w:rPr>
        <w:t xml:space="preserve">our </w:t>
      </w:r>
      <w:r w:rsidRPr="008D70DC">
        <w:rPr>
          <w:sz w:val="26"/>
          <w:szCs w:val="26"/>
        </w:rPr>
        <w:t xml:space="preserve">Regulations require a utility to obtain a copy of a lease or deed from an applicant as a prerequisite for establishing service.  </w:t>
      </w:r>
      <w:r w:rsidRPr="008D70DC">
        <w:rPr>
          <w:i/>
          <w:sz w:val="26"/>
          <w:szCs w:val="26"/>
        </w:rPr>
        <w:t>See Darius Chavis v. PECO Energy Company</w:t>
      </w:r>
      <w:r w:rsidRPr="008D70DC">
        <w:rPr>
          <w:sz w:val="26"/>
          <w:szCs w:val="26"/>
        </w:rPr>
        <w:t>, Docket No. F-2015-2477249 (Order entered March 16, 2017) (</w:t>
      </w:r>
      <w:r w:rsidRPr="008D70DC">
        <w:rPr>
          <w:i/>
          <w:sz w:val="26"/>
          <w:szCs w:val="26"/>
        </w:rPr>
        <w:t>Chavis</w:t>
      </w:r>
      <w:r w:rsidRPr="008D70DC">
        <w:rPr>
          <w:sz w:val="26"/>
          <w:szCs w:val="26"/>
        </w:rPr>
        <w:t>).</w:t>
      </w:r>
    </w:p>
    <w:p w:rsidR="007901F4" w:rsidRDefault="007901F4" w:rsidP="00A6670C">
      <w:pPr>
        <w:widowControl/>
        <w:spacing w:line="360" w:lineRule="auto"/>
        <w:ind w:firstLine="1440"/>
        <w:rPr>
          <w:sz w:val="26"/>
          <w:szCs w:val="26"/>
        </w:rPr>
      </w:pPr>
    </w:p>
    <w:p w:rsidR="007901F4" w:rsidRDefault="00102EED" w:rsidP="00A6670C">
      <w:pPr>
        <w:widowControl/>
        <w:spacing w:line="360" w:lineRule="auto"/>
        <w:ind w:firstLine="1440"/>
        <w:rPr>
          <w:iCs/>
          <w:sz w:val="26"/>
          <w:szCs w:val="26"/>
        </w:rPr>
      </w:pPr>
      <w:r>
        <w:rPr>
          <w:sz w:val="26"/>
          <w:szCs w:val="26"/>
        </w:rPr>
        <w:t xml:space="preserve">Moreover, nothing in the Code or </w:t>
      </w:r>
      <w:r w:rsidR="000E6481">
        <w:rPr>
          <w:sz w:val="26"/>
          <w:szCs w:val="26"/>
        </w:rPr>
        <w:t>our</w:t>
      </w:r>
      <w:r>
        <w:rPr>
          <w:sz w:val="26"/>
          <w:szCs w:val="26"/>
        </w:rPr>
        <w:t xml:space="preserve"> Regulations require</w:t>
      </w:r>
      <w:r w:rsidR="000E6481">
        <w:rPr>
          <w:sz w:val="26"/>
          <w:szCs w:val="26"/>
        </w:rPr>
        <w:t>s</w:t>
      </w:r>
      <w:r>
        <w:rPr>
          <w:sz w:val="26"/>
          <w:szCs w:val="26"/>
        </w:rPr>
        <w:t xml:space="preserve"> a utility to separately notify or obtain the permission of the landlord before accepting a tenant-applicant</w:t>
      </w:r>
      <w:r w:rsidR="00694B7B">
        <w:rPr>
          <w:sz w:val="26"/>
          <w:szCs w:val="26"/>
        </w:rPr>
        <w:t>’</w:t>
      </w:r>
      <w:r>
        <w:rPr>
          <w:sz w:val="26"/>
          <w:szCs w:val="26"/>
        </w:rPr>
        <w:t>s service application once the applicant</w:t>
      </w:r>
      <w:r w:rsidR="00694B7B">
        <w:rPr>
          <w:sz w:val="26"/>
          <w:szCs w:val="26"/>
        </w:rPr>
        <w:t>’</w:t>
      </w:r>
      <w:r>
        <w:rPr>
          <w:sz w:val="26"/>
          <w:szCs w:val="26"/>
        </w:rPr>
        <w:t xml:space="preserve">s identity is verified.  </w:t>
      </w:r>
      <w:r w:rsidR="007D48B3" w:rsidRPr="007D48B3">
        <w:rPr>
          <w:i/>
          <w:sz w:val="26"/>
          <w:szCs w:val="26"/>
        </w:rPr>
        <w:t>See</w:t>
      </w:r>
      <w:r w:rsidR="007D48B3">
        <w:rPr>
          <w:sz w:val="26"/>
          <w:szCs w:val="26"/>
        </w:rPr>
        <w:t xml:space="preserve"> </w:t>
      </w:r>
      <w:r w:rsidR="007D48B3" w:rsidRPr="00933BF5">
        <w:rPr>
          <w:sz w:val="26"/>
          <w:szCs w:val="26"/>
        </w:rPr>
        <w:t>52 Pa. Code §</w:t>
      </w:r>
      <w:r w:rsidR="000E6481">
        <w:rPr>
          <w:sz w:val="26"/>
          <w:szCs w:val="26"/>
        </w:rPr>
        <w:t> </w:t>
      </w:r>
      <w:r w:rsidR="007D48B3" w:rsidRPr="00933BF5">
        <w:rPr>
          <w:sz w:val="26"/>
          <w:szCs w:val="26"/>
        </w:rPr>
        <w:t>56.32(c)</w:t>
      </w:r>
      <w:r w:rsidR="007D48B3">
        <w:rPr>
          <w:sz w:val="26"/>
          <w:szCs w:val="26"/>
        </w:rPr>
        <w:t>.</w:t>
      </w:r>
    </w:p>
    <w:p w:rsidR="007901F4" w:rsidRDefault="007901F4" w:rsidP="00A6670C">
      <w:pPr>
        <w:widowControl/>
        <w:spacing w:line="360" w:lineRule="auto"/>
        <w:ind w:firstLine="1440"/>
        <w:rPr>
          <w:iCs/>
          <w:sz w:val="26"/>
          <w:szCs w:val="26"/>
        </w:rPr>
      </w:pPr>
    </w:p>
    <w:p w:rsidR="000C4BEC" w:rsidRDefault="000C4BEC" w:rsidP="00A6670C">
      <w:pPr>
        <w:widowControl/>
        <w:spacing w:line="360" w:lineRule="auto"/>
        <w:ind w:firstLine="1440"/>
        <w:rPr>
          <w:sz w:val="26"/>
          <w:szCs w:val="26"/>
        </w:rPr>
      </w:pPr>
      <w:r>
        <w:rPr>
          <w:iCs/>
          <w:sz w:val="26"/>
          <w:szCs w:val="26"/>
        </w:rPr>
        <w:t>Indeed, we acknowledge that Section 56.32(c) requires p</w:t>
      </w:r>
      <w:r>
        <w:rPr>
          <w:sz w:val="26"/>
          <w:szCs w:val="26"/>
        </w:rPr>
        <w:t>ublic utilities to “</w:t>
      </w:r>
      <w:r w:rsidRPr="0060705B">
        <w:rPr>
          <w:sz w:val="26"/>
          <w:szCs w:val="26"/>
        </w:rPr>
        <w:t>take all appropriate actions needed to ensure the privacy and confidentiality of identification information provided by</w:t>
      </w:r>
      <w:r>
        <w:rPr>
          <w:sz w:val="26"/>
          <w:szCs w:val="26"/>
        </w:rPr>
        <w:t xml:space="preserve"> their applicants and customers.”  </w:t>
      </w:r>
      <w:r w:rsidRPr="00933BF5">
        <w:rPr>
          <w:sz w:val="26"/>
          <w:szCs w:val="26"/>
        </w:rPr>
        <w:t>52 Pa. Code §</w:t>
      </w:r>
      <w:r w:rsidR="000E6481">
        <w:rPr>
          <w:sz w:val="26"/>
          <w:szCs w:val="26"/>
        </w:rPr>
        <w:t> </w:t>
      </w:r>
      <w:r w:rsidRPr="00933BF5">
        <w:rPr>
          <w:sz w:val="26"/>
          <w:szCs w:val="26"/>
        </w:rPr>
        <w:t>56.32(c)</w:t>
      </w:r>
      <w:r>
        <w:rPr>
          <w:sz w:val="26"/>
          <w:szCs w:val="26"/>
        </w:rPr>
        <w:t>.  Thus, any implication that a utility has a duty to separately notify and seek the permission of a landlord before accepting a tenant-applicant</w:t>
      </w:r>
      <w:r w:rsidR="00694B7B">
        <w:rPr>
          <w:sz w:val="26"/>
          <w:szCs w:val="26"/>
        </w:rPr>
        <w:t>’</w:t>
      </w:r>
      <w:r>
        <w:rPr>
          <w:sz w:val="26"/>
          <w:szCs w:val="26"/>
        </w:rPr>
        <w:t>s service application would run afoul of a utility</w:t>
      </w:r>
      <w:r w:rsidR="00694B7B">
        <w:rPr>
          <w:sz w:val="26"/>
          <w:szCs w:val="26"/>
        </w:rPr>
        <w:t>’</w:t>
      </w:r>
      <w:r>
        <w:rPr>
          <w:sz w:val="26"/>
          <w:szCs w:val="26"/>
        </w:rPr>
        <w:t>s duty to safeguard an applicant</w:t>
      </w:r>
      <w:r w:rsidR="00694B7B">
        <w:rPr>
          <w:sz w:val="26"/>
          <w:szCs w:val="26"/>
        </w:rPr>
        <w:t>’</w:t>
      </w:r>
      <w:r>
        <w:rPr>
          <w:sz w:val="26"/>
          <w:szCs w:val="26"/>
        </w:rPr>
        <w:t>s identification information.</w:t>
      </w:r>
    </w:p>
    <w:p w:rsidR="000C4BEC" w:rsidRDefault="000C4BEC" w:rsidP="00A6670C">
      <w:pPr>
        <w:widowControl/>
        <w:spacing w:line="360" w:lineRule="auto"/>
        <w:ind w:firstLine="1440"/>
        <w:rPr>
          <w:sz w:val="26"/>
          <w:szCs w:val="26"/>
        </w:rPr>
      </w:pPr>
    </w:p>
    <w:p w:rsidR="00E42882" w:rsidRDefault="00102EED" w:rsidP="00A6670C">
      <w:pPr>
        <w:widowControl/>
        <w:spacing w:line="360" w:lineRule="auto"/>
        <w:ind w:firstLine="1440"/>
        <w:rPr>
          <w:sz w:val="26"/>
          <w:szCs w:val="26"/>
        </w:rPr>
      </w:pPr>
      <w:r>
        <w:rPr>
          <w:sz w:val="26"/>
          <w:szCs w:val="26"/>
        </w:rPr>
        <w:t>The applicable Rules of PGW</w:t>
      </w:r>
      <w:r w:rsidR="00694B7B">
        <w:rPr>
          <w:sz w:val="26"/>
          <w:szCs w:val="26"/>
        </w:rPr>
        <w:t>’</w:t>
      </w:r>
      <w:r>
        <w:rPr>
          <w:sz w:val="26"/>
          <w:szCs w:val="26"/>
        </w:rPr>
        <w:t>s</w:t>
      </w:r>
      <w:r w:rsidRPr="008D70DC">
        <w:rPr>
          <w:sz w:val="26"/>
          <w:szCs w:val="26"/>
        </w:rPr>
        <w:t xml:space="preserve"> Tariff</w:t>
      </w:r>
      <w:r w:rsidR="00CB5FDE">
        <w:rPr>
          <w:rStyle w:val="FootnoteReference"/>
          <w:sz w:val="26"/>
          <w:szCs w:val="26"/>
        </w:rPr>
        <w:footnoteReference w:id="10"/>
      </w:r>
      <w:r>
        <w:rPr>
          <w:sz w:val="26"/>
          <w:szCs w:val="26"/>
        </w:rPr>
        <w:t xml:space="preserve"> appear consistent with the Code and the Commission</w:t>
      </w:r>
      <w:r w:rsidR="00694B7B">
        <w:rPr>
          <w:sz w:val="26"/>
          <w:szCs w:val="26"/>
        </w:rPr>
        <w:t>’</w:t>
      </w:r>
      <w:r>
        <w:rPr>
          <w:sz w:val="26"/>
          <w:szCs w:val="26"/>
        </w:rPr>
        <w:t>s Regulations in this regard,</w:t>
      </w:r>
      <w:r w:rsidRPr="00764A39">
        <w:rPr>
          <w:sz w:val="26"/>
          <w:szCs w:val="26"/>
        </w:rPr>
        <w:t xml:space="preserve"> </w:t>
      </w:r>
      <w:r>
        <w:rPr>
          <w:sz w:val="26"/>
          <w:szCs w:val="26"/>
        </w:rPr>
        <w:t xml:space="preserve">in that the Tariff </w:t>
      </w:r>
      <w:r w:rsidR="000C4BEC">
        <w:rPr>
          <w:sz w:val="26"/>
          <w:szCs w:val="26"/>
        </w:rPr>
        <w:t>permits</w:t>
      </w:r>
      <w:r w:rsidR="007901F4">
        <w:rPr>
          <w:sz w:val="26"/>
          <w:szCs w:val="26"/>
        </w:rPr>
        <w:t>,</w:t>
      </w:r>
      <w:r w:rsidR="000C4BEC">
        <w:rPr>
          <w:sz w:val="26"/>
          <w:szCs w:val="26"/>
        </w:rPr>
        <w:t xml:space="preserve"> but does not require</w:t>
      </w:r>
      <w:r w:rsidR="007901F4">
        <w:rPr>
          <w:sz w:val="26"/>
          <w:szCs w:val="26"/>
        </w:rPr>
        <w:t>,</w:t>
      </w:r>
      <w:r w:rsidR="000C4BEC">
        <w:rPr>
          <w:sz w:val="26"/>
          <w:szCs w:val="26"/>
        </w:rPr>
        <w:t xml:space="preserve"> PGW to obtain a lease.  The Tariff </w:t>
      </w:r>
      <w:r>
        <w:rPr>
          <w:sz w:val="26"/>
          <w:szCs w:val="26"/>
        </w:rPr>
        <w:t xml:space="preserve">requires PGW </w:t>
      </w:r>
      <w:r w:rsidR="000C4BEC">
        <w:rPr>
          <w:sz w:val="26"/>
          <w:szCs w:val="26"/>
        </w:rPr>
        <w:t xml:space="preserve">only </w:t>
      </w:r>
      <w:r>
        <w:rPr>
          <w:sz w:val="26"/>
          <w:szCs w:val="26"/>
        </w:rPr>
        <w:t>to obtain a tenant-applicant</w:t>
      </w:r>
      <w:r w:rsidR="00694B7B">
        <w:rPr>
          <w:sz w:val="26"/>
          <w:szCs w:val="26"/>
        </w:rPr>
        <w:t>’</w:t>
      </w:r>
      <w:r>
        <w:rPr>
          <w:sz w:val="26"/>
          <w:szCs w:val="26"/>
        </w:rPr>
        <w:t xml:space="preserve">s name, the names of all occupants who appear on a lease, the names of all </w:t>
      </w:r>
    </w:p>
    <w:p w:rsidR="00102EED" w:rsidRDefault="00102EED" w:rsidP="00E42882">
      <w:pPr>
        <w:widowControl/>
        <w:spacing w:line="360" w:lineRule="auto"/>
        <w:rPr>
          <w:sz w:val="26"/>
          <w:szCs w:val="26"/>
        </w:rPr>
      </w:pPr>
      <w:r>
        <w:rPr>
          <w:sz w:val="26"/>
          <w:szCs w:val="26"/>
        </w:rPr>
        <w:t>occupants who are tenants pursuant to an oral lease,</w:t>
      </w:r>
      <w:r w:rsidR="000C4BEC">
        <w:rPr>
          <w:rStyle w:val="FootnoteReference"/>
          <w:sz w:val="26"/>
          <w:szCs w:val="26"/>
        </w:rPr>
        <w:footnoteReference w:id="11"/>
      </w:r>
      <w:r>
        <w:rPr>
          <w:sz w:val="26"/>
          <w:szCs w:val="26"/>
        </w:rPr>
        <w:t xml:space="preserve"> </w:t>
      </w:r>
      <w:r w:rsidR="000C4BEC">
        <w:rPr>
          <w:sz w:val="26"/>
          <w:szCs w:val="26"/>
        </w:rPr>
        <w:t>the applicant</w:t>
      </w:r>
      <w:r w:rsidR="00694B7B">
        <w:rPr>
          <w:sz w:val="26"/>
          <w:szCs w:val="26"/>
        </w:rPr>
        <w:t>’</w:t>
      </w:r>
      <w:r w:rsidR="000C4BEC">
        <w:rPr>
          <w:sz w:val="26"/>
          <w:szCs w:val="26"/>
        </w:rPr>
        <w:t>s identification,</w:t>
      </w:r>
      <w:r w:rsidR="000C4BEC">
        <w:rPr>
          <w:rStyle w:val="FootnoteReference"/>
          <w:sz w:val="26"/>
          <w:szCs w:val="26"/>
        </w:rPr>
        <w:footnoteReference w:id="12"/>
      </w:r>
      <w:r w:rsidR="000C4BEC">
        <w:rPr>
          <w:sz w:val="26"/>
          <w:szCs w:val="26"/>
        </w:rPr>
        <w:t xml:space="preserve"> </w:t>
      </w:r>
      <w:r>
        <w:rPr>
          <w:sz w:val="26"/>
          <w:szCs w:val="26"/>
        </w:rPr>
        <w:t>as well as the name and mailing add</w:t>
      </w:r>
      <w:r w:rsidR="000C4BEC">
        <w:rPr>
          <w:sz w:val="26"/>
          <w:szCs w:val="26"/>
        </w:rPr>
        <w:t>ress of the landlord.</w:t>
      </w:r>
      <w:r w:rsidR="000C4BEC">
        <w:rPr>
          <w:rStyle w:val="FootnoteReference"/>
          <w:sz w:val="26"/>
          <w:szCs w:val="26"/>
        </w:rPr>
        <w:footnoteReference w:id="13"/>
      </w:r>
      <w:r>
        <w:rPr>
          <w:sz w:val="26"/>
          <w:szCs w:val="26"/>
        </w:rPr>
        <w:t xml:space="preserve"> </w:t>
      </w:r>
      <w:r w:rsidR="000E6481">
        <w:rPr>
          <w:sz w:val="26"/>
          <w:szCs w:val="26"/>
        </w:rPr>
        <w:t xml:space="preserve"> </w:t>
      </w:r>
      <w:r w:rsidR="000C4BEC" w:rsidRPr="008D70DC">
        <w:rPr>
          <w:i/>
          <w:sz w:val="26"/>
          <w:szCs w:val="26"/>
        </w:rPr>
        <w:t>See</w:t>
      </w:r>
      <w:r w:rsidR="000C4BEC" w:rsidRPr="008D70DC">
        <w:rPr>
          <w:sz w:val="26"/>
          <w:szCs w:val="26"/>
        </w:rPr>
        <w:t xml:space="preserve"> Philadelphia Gas </w:t>
      </w:r>
      <w:r w:rsidR="00F67C08">
        <w:rPr>
          <w:sz w:val="26"/>
          <w:szCs w:val="26"/>
        </w:rPr>
        <w:t>Works</w:t>
      </w:r>
      <w:r w:rsidR="00F67C08" w:rsidRPr="008D70DC">
        <w:rPr>
          <w:sz w:val="26"/>
          <w:szCs w:val="26"/>
        </w:rPr>
        <w:t xml:space="preserve"> </w:t>
      </w:r>
      <w:r w:rsidR="000C4BEC" w:rsidRPr="008D70DC">
        <w:rPr>
          <w:sz w:val="26"/>
          <w:szCs w:val="26"/>
        </w:rPr>
        <w:t>Gas Se</w:t>
      </w:r>
      <w:r w:rsidR="000C4BEC">
        <w:rPr>
          <w:sz w:val="26"/>
          <w:szCs w:val="26"/>
        </w:rPr>
        <w:t xml:space="preserve">rvice Tariff – Pa P.U.C. No. 2, </w:t>
      </w:r>
      <w:r w:rsidR="000C4BEC" w:rsidRPr="008D70DC">
        <w:rPr>
          <w:sz w:val="26"/>
          <w:szCs w:val="26"/>
        </w:rPr>
        <w:t>Rule 2.1B.1</w:t>
      </w:r>
      <w:r w:rsidR="000E6481">
        <w:rPr>
          <w:sz w:val="26"/>
          <w:szCs w:val="26"/>
        </w:rPr>
        <w:t xml:space="preserve"> and Rule 2.</w:t>
      </w:r>
      <w:proofErr w:type="gramStart"/>
      <w:r w:rsidR="000E6481">
        <w:rPr>
          <w:sz w:val="26"/>
          <w:szCs w:val="26"/>
        </w:rPr>
        <w:t>1.B.</w:t>
      </w:r>
      <w:proofErr w:type="gramEnd"/>
      <w:r w:rsidR="000E6481">
        <w:rPr>
          <w:sz w:val="26"/>
          <w:szCs w:val="26"/>
        </w:rPr>
        <w:t>2.</w:t>
      </w:r>
    </w:p>
    <w:p w:rsidR="000C4BEC" w:rsidRDefault="000C4BEC" w:rsidP="00A6670C">
      <w:pPr>
        <w:widowControl/>
        <w:spacing w:line="360" w:lineRule="auto"/>
        <w:ind w:firstLine="1440"/>
        <w:rPr>
          <w:sz w:val="26"/>
          <w:szCs w:val="26"/>
        </w:rPr>
      </w:pPr>
    </w:p>
    <w:p w:rsidR="00C17FBD" w:rsidRDefault="00E075D7" w:rsidP="00A6670C">
      <w:pPr>
        <w:widowControl/>
        <w:spacing w:line="360" w:lineRule="auto"/>
        <w:ind w:firstLine="1440"/>
        <w:rPr>
          <w:sz w:val="26"/>
          <w:szCs w:val="26"/>
        </w:rPr>
      </w:pPr>
      <w:r>
        <w:rPr>
          <w:sz w:val="26"/>
          <w:szCs w:val="26"/>
        </w:rPr>
        <w:t>Notably,</w:t>
      </w:r>
      <w:r w:rsidR="00D3762A">
        <w:rPr>
          <w:sz w:val="26"/>
          <w:szCs w:val="26"/>
        </w:rPr>
        <w:t xml:space="preserve"> t</w:t>
      </w:r>
      <w:r w:rsidR="00D46A67">
        <w:rPr>
          <w:sz w:val="26"/>
          <w:szCs w:val="26"/>
        </w:rPr>
        <w:t>he record in this proceeding</w:t>
      </w:r>
      <w:r w:rsidR="00764A39" w:rsidRPr="008D70DC">
        <w:rPr>
          <w:sz w:val="26"/>
          <w:szCs w:val="26"/>
        </w:rPr>
        <w:t xml:space="preserve"> lacks</w:t>
      </w:r>
      <w:r w:rsidR="00DB6044">
        <w:rPr>
          <w:sz w:val="26"/>
          <w:szCs w:val="26"/>
        </w:rPr>
        <w:t xml:space="preserve"> any</w:t>
      </w:r>
      <w:r w:rsidR="00764A39" w:rsidRPr="008D70DC">
        <w:rPr>
          <w:sz w:val="26"/>
          <w:szCs w:val="26"/>
        </w:rPr>
        <w:t xml:space="preserve"> development on the practices PGW </w:t>
      </w:r>
      <w:r w:rsidR="00B73AA8">
        <w:rPr>
          <w:sz w:val="26"/>
          <w:szCs w:val="26"/>
        </w:rPr>
        <w:t xml:space="preserve">typically </w:t>
      </w:r>
      <w:r w:rsidR="00764A39" w:rsidRPr="008D70DC">
        <w:rPr>
          <w:sz w:val="26"/>
          <w:szCs w:val="26"/>
        </w:rPr>
        <w:t>follow</w:t>
      </w:r>
      <w:r w:rsidR="00555742">
        <w:rPr>
          <w:sz w:val="26"/>
          <w:szCs w:val="26"/>
        </w:rPr>
        <w:t>s</w:t>
      </w:r>
      <w:r w:rsidR="00764A39" w:rsidRPr="008D70DC">
        <w:rPr>
          <w:sz w:val="26"/>
          <w:szCs w:val="26"/>
        </w:rPr>
        <w:t xml:space="preserve"> when verifying </w:t>
      </w:r>
      <w:r w:rsidR="00D46A67">
        <w:rPr>
          <w:sz w:val="26"/>
          <w:szCs w:val="26"/>
        </w:rPr>
        <w:t>an a</w:t>
      </w:r>
      <w:r w:rsidR="00555742">
        <w:rPr>
          <w:sz w:val="26"/>
          <w:szCs w:val="26"/>
        </w:rPr>
        <w:t>pplicant</w:t>
      </w:r>
      <w:r w:rsidR="00694B7B">
        <w:rPr>
          <w:sz w:val="26"/>
          <w:szCs w:val="26"/>
        </w:rPr>
        <w:t>’</w:t>
      </w:r>
      <w:r w:rsidR="00555742">
        <w:rPr>
          <w:sz w:val="26"/>
          <w:szCs w:val="26"/>
        </w:rPr>
        <w:t xml:space="preserve">s </w:t>
      </w:r>
      <w:r w:rsidR="00764A39" w:rsidRPr="008D70DC">
        <w:rPr>
          <w:sz w:val="26"/>
          <w:szCs w:val="26"/>
        </w:rPr>
        <w:t xml:space="preserve">identity for establishing service </w:t>
      </w:r>
      <w:r w:rsidR="00016B6D">
        <w:rPr>
          <w:sz w:val="26"/>
          <w:szCs w:val="26"/>
        </w:rPr>
        <w:t>at leased</w:t>
      </w:r>
      <w:r w:rsidR="00B73AA8">
        <w:rPr>
          <w:sz w:val="26"/>
          <w:szCs w:val="26"/>
        </w:rPr>
        <w:t xml:space="preserve"> premise</w:t>
      </w:r>
      <w:r w:rsidR="00016B6D">
        <w:rPr>
          <w:sz w:val="26"/>
          <w:szCs w:val="26"/>
        </w:rPr>
        <w:t>s</w:t>
      </w:r>
      <w:r w:rsidR="00B73AA8">
        <w:rPr>
          <w:sz w:val="26"/>
          <w:szCs w:val="26"/>
        </w:rPr>
        <w:t xml:space="preserve">.  </w:t>
      </w:r>
      <w:r w:rsidR="000E6481">
        <w:rPr>
          <w:sz w:val="26"/>
          <w:szCs w:val="26"/>
        </w:rPr>
        <w:t xml:space="preserve">Thus, </w:t>
      </w:r>
      <w:r w:rsidR="00B73AA8">
        <w:rPr>
          <w:sz w:val="26"/>
          <w:szCs w:val="26"/>
        </w:rPr>
        <w:t xml:space="preserve">the record is silent </w:t>
      </w:r>
      <w:r>
        <w:rPr>
          <w:sz w:val="26"/>
          <w:szCs w:val="26"/>
        </w:rPr>
        <w:t>as to</w:t>
      </w:r>
      <w:r w:rsidR="00B73AA8">
        <w:rPr>
          <w:sz w:val="26"/>
          <w:szCs w:val="26"/>
        </w:rPr>
        <w:t xml:space="preserve"> whether PGW requested</w:t>
      </w:r>
      <w:r w:rsidR="00764A39" w:rsidRPr="008D70DC">
        <w:rPr>
          <w:sz w:val="26"/>
          <w:szCs w:val="26"/>
        </w:rPr>
        <w:t xml:space="preserve"> to </w:t>
      </w:r>
      <w:r>
        <w:rPr>
          <w:sz w:val="26"/>
          <w:szCs w:val="26"/>
        </w:rPr>
        <w:t xml:space="preserve">review </w:t>
      </w:r>
      <w:r w:rsidR="00764A39" w:rsidRPr="008D70DC">
        <w:rPr>
          <w:sz w:val="26"/>
          <w:szCs w:val="26"/>
        </w:rPr>
        <w:t xml:space="preserve">a lease when accepting </w:t>
      </w:r>
      <w:r w:rsidR="00B73AA8">
        <w:rPr>
          <w:sz w:val="26"/>
          <w:szCs w:val="26"/>
        </w:rPr>
        <w:t>t</w:t>
      </w:r>
      <w:r w:rsidR="00211169">
        <w:rPr>
          <w:sz w:val="26"/>
          <w:szCs w:val="26"/>
        </w:rPr>
        <w:t>he Tenant</w:t>
      </w:r>
      <w:r w:rsidR="00694B7B">
        <w:rPr>
          <w:sz w:val="26"/>
          <w:szCs w:val="26"/>
        </w:rPr>
        <w:t>’</w:t>
      </w:r>
      <w:r w:rsidR="007901F4">
        <w:rPr>
          <w:sz w:val="26"/>
          <w:szCs w:val="26"/>
        </w:rPr>
        <w:t>s application.</w:t>
      </w:r>
      <w:r w:rsidR="00C749F0">
        <w:rPr>
          <w:rStyle w:val="FootnoteReference"/>
          <w:sz w:val="26"/>
          <w:szCs w:val="26"/>
        </w:rPr>
        <w:footnoteReference w:id="14"/>
      </w:r>
    </w:p>
    <w:p w:rsidR="00D3762A" w:rsidRDefault="00D3762A" w:rsidP="00A6670C">
      <w:pPr>
        <w:widowControl/>
        <w:spacing w:line="360" w:lineRule="auto"/>
        <w:ind w:firstLine="1440"/>
        <w:rPr>
          <w:sz w:val="26"/>
          <w:szCs w:val="26"/>
        </w:rPr>
      </w:pPr>
    </w:p>
    <w:p w:rsidR="00D3762A" w:rsidRPr="00B73AA8" w:rsidRDefault="00D341DA" w:rsidP="00A6670C">
      <w:pPr>
        <w:widowControl/>
        <w:spacing w:line="360" w:lineRule="auto"/>
        <w:ind w:firstLine="1440"/>
        <w:rPr>
          <w:sz w:val="26"/>
          <w:szCs w:val="26"/>
        </w:rPr>
      </w:pPr>
      <w:r>
        <w:rPr>
          <w:sz w:val="26"/>
          <w:szCs w:val="26"/>
        </w:rPr>
        <w:t>While there is a question as to why PGW would permit the Tenant to establish service in her name under a commercial rate, there is no evidence in the record to support a finding of unreasonable service on behalf of PGW for its having accepted the Tenant</w:t>
      </w:r>
      <w:r w:rsidR="00694B7B">
        <w:rPr>
          <w:sz w:val="26"/>
          <w:szCs w:val="26"/>
        </w:rPr>
        <w:t>’</w:t>
      </w:r>
      <w:r>
        <w:rPr>
          <w:sz w:val="26"/>
          <w:szCs w:val="26"/>
        </w:rPr>
        <w:t>s service application and placing the account for the Service Address in the Tenant</w:t>
      </w:r>
      <w:r w:rsidR="00694B7B">
        <w:rPr>
          <w:sz w:val="26"/>
          <w:szCs w:val="26"/>
        </w:rPr>
        <w:t>’</w:t>
      </w:r>
      <w:r>
        <w:rPr>
          <w:sz w:val="26"/>
          <w:szCs w:val="26"/>
        </w:rPr>
        <w:t xml:space="preserve">s name in October 2015.  In other words, the Complainant did not carry her burden of proof on these claims.  </w:t>
      </w:r>
      <w:r w:rsidR="00D3762A" w:rsidRPr="008D70DC">
        <w:rPr>
          <w:sz w:val="26"/>
          <w:szCs w:val="26"/>
        </w:rPr>
        <w:t xml:space="preserve">PGW was not required to obtain and review a copy of a lease agreement before accepting </w:t>
      </w:r>
      <w:r w:rsidR="00D3762A">
        <w:rPr>
          <w:sz w:val="26"/>
          <w:szCs w:val="26"/>
        </w:rPr>
        <w:t>the Tenant</w:t>
      </w:r>
      <w:r w:rsidR="00694B7B">
        <w:rPr>
          <w:sz w:val="26"/>
          <w:szCs w:val="26"/>
        </w:rPr>
        <w:t>’</w:t>
      </w:r>
      <w:r w:rsidR="00D3762A" w:rsidRPr="008D70DC">
        <w:rPr>
          <w:sz w:val="26"/>
          <w:szCs w:val="26"/>
        </w:rPr>
        <w:t xml:space="preserve">s application for service. </w:t>
      </w:r>
      <w:r w:rsidR="00D3762A">
        <w:rPr>
          <w:sz w:val="26"/>
          <w:szCs w:val="26"/>
        </w:rPr>
        <w:t xml:space="preserve"> PGW </w:t>
      </w:r>
      <w:r w:rsidR="00B04EB1">
        <w:rPr>
          <w:sz w:val="26"/>
          <w:szCs w:val="26"/>
        </w:rPr>
        <w:t xml:space="preserve">also was not </w:t>
      </w:r>
      <w:r w:rsidR="00D3762A">
        <w:rPr>
          <w:sz w:val="26"/>
          <w:szCs w:val="26"/>
        </w:rPr>
        <w:t>required to separately notify or obtain the permission of the landlord before accepting the Tenant</w:t>
      </w:r>
      <w:r w:rsidR="00694B7B">
        <w:rPr>
          <w:sz w:val="26"/>
          <w:szCs w:val="26"/>
        </w:rPr>
        <w:t>’</w:t>
      </w:r>
      <w:r w:rsidR="00D3762A">
        <w:rPr>
          <w:sz w:val="26"/>
          <w:szCs w:val="26"/>
        </w:rPr>
        <w:t xml:space="preserve">s service application.  </w:t>
      </w:r>
      <w:r>
        <w:rPr>
          <w:sz w:val="26"/>
          <w:szCs w:val="26"/>
        </w:rPr>
        <w:t>Therefore</w:t>
      </w:r>
      <w:r w:rsidR="00D3762A">
        <w:rPr>
          <w:sz w:val="26"/>
          <w:szCs w:val="26"/>
        </w:rPr>
        <w:t>, we are compelled to deny the Complainant</w:t>
      </w:r>
      <w:r w:rsidR="00694B7B">
        <w:rPr>
          <w:sz w:val="26"/>
          <w:szCs w:val="26"/>
        </w:rPr>
        <w:t>’</w:t>
      </w:r>
      <w:r w:rsidR="00102EED">
        <w:rPr>
          <w:sz w:val="26"/>
          <w:szCs w:val="26"/>
        </w:rPr>
        <w:t>s Exceptions</w:t>
      </w:r>
      <w:r w:rsidR="00E42882">
        <w:rPr>
          <w:sz w:val="26"/>
          <w:szCs w:val="26"/>
        </w:rPr>
        <w:t xml:space="preserve"> on this matter.</w:t>
      </w:r>
    </w:p>
    <w:p w:rsidR="007C3FA2" w:rsidRPr="00340799" w:rsidRDefault="007C3FA2" w:rsidP="00A6670C">
      <w:pPr>
        <w:widowControl/>
        <w:spacing w:line="360" w:lineRule="auto"/>
        <w:rPr>
          <w:color w:val="000000"/>
          <w:sz w:val="26"/>
          <w:szCs w:val="26"/>
        </w:rPr>
      </w:pPr>
    </w:p>
    <w:p w:rsidR="009E0E10" w:rsidRPr="009E0E10" w:rsidRDefault="009E0E10" w:rsidP="00A6670C">
      <w:pPr>
        <w:pStyle w:val="ListParagraph"/>
        <w:keepNext/>
        <w:keepLines/>
        <w:widowControl/>
        <w:numPr>
          <w:ilvl w:val="0"/>
          <w:numId w:val="13"/>
        </w:numPr>
        <w:spacing w:line="360" w:lineRule="auto"/>
        <w:rPr>
          <w:b/>
          <w:color w:val="212121"/>
          <w:sz w:val="26"/>
          <w:szCs w:val="26"/>
        </w:rPr>
      </w:pPr>
      <w:r w:rsidRPr="009E0E10">
        <w:rPr>
          <w:b/>
          <w:color w:val="212121"/>
          <w:sz w:val="26"/>
          <w:szCs w:val="26"/>
        </w:rPr>
        <w:t>Foreign Load</w:t>
      </w:r>
    </w:p>
    <w:p w:rsidR="009E0E10" w:rsidRDefault="009E0E10" w:rsidP="00A6670C">
      <w:pPr>
        <w:keepNext/>
        <w:keepLines/>
        <w:widowControl/>
        <w:spacing w:line="360" w:lineRule="auto"/>
        <w:ind w:firstLine="1440"/>
        <w:rPr>
          <w:color w:val="212121"/>
          <w:sz w:val="26"/>
          <w:szCs w:val="26"/>
        </w:rPr>
      </w:pPr>
    </w:p>
    <w:p w:rsidR="00733C74" w:rsidRDefault="00DB2CBB" w:rsidP="00A6670C">
      <w:pPr>
        <w:widowControl/>
        <w:spacing w:line="360" w:lineRule="auto"/>
        <w:ind w:firstLine="1440"/>
        <w:rPr>
          <w:color w:val="212121"/>
          <w:sz w:val="26"/>
          <w:szCs w:val="26"/>
        </w:rPr>
      </w:pPr>
      <w:r>
        <w:rPr>
          <w:color w:val="212121"/>
          <w:sz w:val="26"/>
          <w:szCs w:val="26"/>
        </w:rPr>
        <w:t xml:space="preserve">First, </w:t>
      </w:r>
      <w:r w:rsidR="0069674A">
        <w:rPr>
          <w:color w:val="212121"/>
          <w:sz w:val="26"/>
          <w:szCs w:val="26"/>
        </w:rPr>
        <w:t>in her Exceptions</w:t>
      </w:r>
      <w:r w:rsidR="00733C74">
        <w:rPr>
          <w:color w:val="212121"/>
          <w:sz w:val="26"/>
          <w:szCs w:val="26"/>
        </w:rPr>
        <w:t xml:space="preserve"> concerning foreign load</w:t>
      </w:r>
      <w:r w:rsidR="0069674A">
        <w:rPr>
          <w:color w:val="212121"/>
          <w:sz w:val="26"/>
          <w:szCs w:val="26"/>
        </w:rPr>
        <w:t xml:space="preserve">, </w:t>
      </w:r>
      <w:r>
        <w:rPr>
          <w:color w:val="212121"/>
          <w:sz w:val="26"/>
          <w:szCs w:val="26"/>
        </w:rPr>
        <w:t>t</w:t>
      </w:r>
      <w:r w:rsidR="00083ADC">
        <w:rPr>
          <w:color w:val="212121"/>
          <w:sz w:val="26"/>
          <w:szCs w:val="26"/>
        </w:rPr>
        <w:t xml:space="preserve">he Complainant states that </w:t>
      </w:r>
      <w:r w:rsidR="00DB26FC">
        <w:rPr>
          <w:color w:val="212121"/>
          <w:sz w:val="26"/>
          <w:szCs w:val="26"/>
        </w:rPr>
        <w:t xml:space="preserve">PGW never informed </w:t>
      </w:r>
      <w:r w:rsidR="00682161">
        <w:rPr>
          <w:color w:val="212121"/>
          <w:sz w:val="26"/>
          <w:szCs w:val="26"/>
        </w:rPr>
        <w:t>her</w:t>
      </w:r>
      <w:r w:rsidR="00DB26FC">
        <w:rPr>
          <w:color w:val="212121"/>
          <w:sz w:val="26"/>
          <w:szCs w:val="26"/>
        </w:rPr>
        <w:t xml:space="preserve"> of its inspection of the property </w:t>
      </w:r>
      <w:r w:rsidR="00EE6269">
        <w:rPr>
          <w:color w:val="212121"/>
          <w:sz w:val="26"/>
          <w:szCs w:val="26"/>
        </w:rPr>
        <w:t>for foreign load</w:t>
      </w:r>
      <w:r w:rsidR="00733C74">
        <w:rPr>
          <w:color w:val="212121"/>
          <w:sz w:val="26"/>
          <w:szCs w:val="26"/>
        </w:rPr>
        <w:t xml:space="preserve"> and questions whether this is legal.</w:t>
      </w:r>
      <w:r w:rsidR="00682161">
        <w:rPr>
          <w:color w:val="212121"/>
          <w:sz w:val="26"/>
          <w:szCs w:val="26"/>
        </w:rPr>
        <w:t xml:space="preserve">  Exc. at 1-2.  </w:t>
      </w:r>
    </w:p>
    <w:p w:rsidR="00733C74" w:rsidRDefault="00733C74" w:rsidP="00A6670C">
      <w:pPr>
        <w:widowControl/>
        <w:spacing w:line="360" w:lineRule="auto"/>
        <w:ind w:firstLine="1440"/>
        <w:rPr>
          <w:color w:val="212121"/>
          <w:sz w:val="26"/>
          <w:szCs w:val="26"/>
        </w:rPr>
      </w:pPr>
    </w:p>
    <w:p w:rsidR="00010063" w:rsidRDefault="00010063" w:rsidP="00A6670C">
      <w:pPr>
        <w:widowControl/>
        <w:spacing w:line="360" w:lineRule="auto"/>
        <w:ind w:firstLine="1440"/>
        <w:rPr>
          <w:sz w:val="26"/>
          <w:szCs w:val="26"/>
        </w:rPr>
      </w:pPr>
      <w:r w:rsidRPr="00E06402">
        <w:rPr>
          <w:sz w:val="26"/>
          <w:szCs w:val="26"/>
        </w:rPr>
        <w:t>Upon review, we find no violation when PGW performed the inspection</w:t>
      </w:r>
      <w:r>
        <w:rPr>
          <w:sz w:val="26"/>
          <w:szCs w:val="26"/>
        </w:rPr>
        <w:t xml:space="preserve"> in August 2016,</w:t>
      </w:r>
      <w:r w:rsidRPr="00E06402">
        <w:rPr>
          <w:sz w:val="26"/>
          <w:szCs w:val="26"/>
        </w:rPr>
        <w:t xml:space="preserve"> </w:t>
      </w:r>
      <w:r>
        <w:rPr>
          <w:sz w:val="26"/>
          <w:szCs w:val="26"/>
        </w:rPr>
        <w:t>without prior notice to the Complainant</w:t>
      </w:r>
      <w:r w:rsidRPr="00E06402">
        <w:rPr>
          <w:sz w:val="26"/>
          <w:szCs w:val="26"/>
        </w:rPr>
        <w:t xml:space="preserve">.  </w:t>
      </w:r>
      <w:r w:rsidR="0060705B">
        <w:rPr>
          <w:sz w:val="26"/>
          <w:szCs w:val="26"/>
        </w:rPr>
        <w:t xml:space="preserve">As noted above, </w:t>
      </w:r>
      <w:r w:rsidR="005B3718">
        <w:rPr>
          <w:sz w:val="26"/>
          <w:szCs w:val="26"/>
        </w:rPr>
        <w:t>under Section 1529.1</w:t>
      </w:r>
      <w:r w:rsidR="00733C74">
        <w:rPr>
          <w:sz w:val="26"/>
          <w:szCs w:val="26"/>
        </w:rPr>
        <w:t xml:space="preserve"> of the Code</w:t>
      </w:r>
      <w:r w:rsidR="005B3718">
        <w:rPr>
          <w:sz w:val="26"/>
          <w:szCs w:val="26"/>
        </w:rPr>
        <w:t xml:space="preserve">, </w:t>
      </w:r>
      <w:r w:rsidR="0060705B">
        <w:rPr>
          <w:sz w:val="26"/>
          <w:szCs w:val="26"/>
        </w:rPr>
        <w:t>a</w:t>
      </w:r>
      <w:r w:rsidRPr="00AF0EEA">
        <w:rPr>
          <w:color w:val="212121"/>
          <w:sz w:val="26"/>
          <w:szCs w:val="26"/>
        </w:rPr>
        <w:t xml:space="preserve"> utility has an affirmative duty to investigate a foreign load complaint. </w:t>
      </w:r>
      <w:r>
        <w:rPr>
          <w:color w:val="212121"/>
          <w:sz w:val="26"/>
          <w:szCs w:val="26"/>
        </w:rPr>
        <w:t xml:space="preserve"> </w:t>
      </w:r>
      <w:r w:rsidRPr="00AF0EEA">
        <w:rPr>
          <w:color w:val="212121"/>
          <w:sz w:val="26"/>
          <w:szCs w:val="26"/>
        </w:rPr>
        <w:t xml:space="preserve">If, after investigation, the utility suspects a foreign load situation, the utility is required to transfer the account to the name of the </w:t>
      </w:r>
      <w:r w:rsidR="00733C74">
        <w:rPr>
          <w:color w:val="212121"/>
          <w:sz w:val="26"/>
          <w:szCs w:val="26"/>
        </w:rPr>
        <w:t xml:space="preserve">property </w:t>
      </w:r>
      <w:r w:rsidRPr="00AF0EEA">
        <w:rPr>
          <w:color w:val="212121"/>
          <w:sz w:val="26"/>
          <w:szCs w:val="26"/>
        </w:rPr>
        <w:t xml:space="preserve">owner. </w:t>
      </w:r>
      <w:r w:rsidR="00CE5A8E">
        <w:rPr>
          <w:color w:val="212121"/>
          <w:sz w:val="26"/>
          <w:szCs w:val="26"/>
        </w:rPr>
        <w:t>66 Pa. C.S. 1529.1(b),</w:t>
      </w:r>
      <w:r w:rsidR="00733C74">
        <w:rPr>
          <w:color w:val="212121"/>
          <w:sz w:val="26"/>
          <w:szCs w:val="26"/>
        </w:rPr>
        <w:t> </w:t>
      </w:r>
      <w:r w:rsidR="00CE5A8E">
        <w:rPr>
          <w:color w:val="212121"/>
          <w:sz w:val="26"/>
          <w:szCs w:val="26"/>
        </w:rPr>
        <w:t>(c).</w:t>
      </w:r>
      <w:r w:rsidR="00733C74">
        <w:rPr>
          <w:color w:val="212121"/>
          <w:sz w:val="26"/>
          <w:szCs w:val="26"/>
        </w:rPr>
        <w:t xml:space="preserve">  T</w:t>
      </w:r>
      <w:r>
        <w:rPr>
          <w:iCs/>
          <w:color w:val="212121"/>
          <w:sz w:val="26"/>
          <w:szCs w:val="26"/>
        </w:rPr>
        <w:t>he record show</w:t>
      </w:r>
      <w:r w:rsidR="0060705B">
        <w:rPr>
          <w:iCs/>
          <w:color w:val="212121"/>
          <w:sz w:val="26"/>
          <w:szCs w:val="26"/>
        </w:rPr>
        <w:t>s</w:t>
      </w:r>
      <w:r>
        <w:rPr>
          <w:iCs/>
          <w:color w:val="212121"/>
          <w:sz w:val="26"/>
          <w:szCs w:val="26"/>
        </w:rPr>
        <w:t xml:space="preserve"> that PGW responded </w:t>
      </w:r>
      <w:r w:rsidR="005B3718">
        <w:rPr>
          <w:iCs/>
          <w:color w:val="212121"/>
          <w:sz w:val="26"/>
          <w:szCs w:val="26"/>
        </w:rPr>
        <w:t>with</w:t>
      </w:r>
      <w:r w:rsidR="00CA23E4">
        <w:rPr>
          <w:iCs/>
          <w:color w:val="212121"/>
          <w:sz w:val="26"/>
          <w:szCs w:val="26"/>
        </w:rPr>
        <w:t>in</w:t>
      </w:r>
      <w:r w:rsidR="005B3718">
        <w:rPr>
          <w:iCs/>
          <w:color w:val="212121"/>
          <w:sz w:val="26"/>
          <w:szCs w:val="26"/>
        </w:rPr>
        <w:t xml:space="preserve"> a reasonable time </w:t>
      </w:r>
      <w:r>
        <w:rPr>
          <w:iCs/>
          <w:color w:val="212121"/>
          <w:sz w:val="26"/>
          <w:szCs w:val="26"/>
        </w:rPr>
        <w:t xml:space="preserve">to </w:t>
      </w:r>
      <w:r w:rsidR="005B3718">
        <w:rPr>
          <w:sz w:val="26"/>
          <w:szCs w:val="26"/>
        </w:rPr>
        <w:t>t</w:t>
      </w:r>
      <w:r w:rsidR="00211169">
        <w:rPr>
          <w:sz w:val="26"/>
          <w:szCs w:val="26"/>
        </w:rPr>
        <w:t>he Tenant</w:t>
      </w:r>
      <w:r w:rsidR="00694B7B">
        <w:rPr>
          <w:sz w:val="26"/>
          <w:szCs w:val="26"/>
        </w:rPr>
        <w:t>’</w:t>
      </w:r>
      <w:r>
        <w:rPr>
          <w:sz w:val="26"/>
          <w:szCs w:val="26"/>
        </w:rPr>
        <w:t xml:space="preserve">s foreign load complaint.  </w:t>
      </w:r>
      <w:r w:rsidR="0060705B">
        <w:rPr>
          <w:sz w:val="26"/>
          <w:szCs w:val="26"/>
        </w:rPr>
        <w:t xml:space="preserve">Tr. at 42.  </w:t>
      </w:r>
      <w:r w:rsidR="00211169">
        <w:rPr>
          <w:sz w:val="26"/>
          <w:szCs w:val="26"/>
        </w:rPr>
        <w:t>The Tenant</w:t>
      </w:r>
      <w:r w:rsidR="007901F4">
        <w:rPr>
          <w:sz w:val="26"/>
          <w:szCs w:val="26"/>
        </w:rPr>
        <w:t xml:space="preserve">, </w:t>
      </w:r>
      <w:r>
        <w:rPr>
          <w:sz w:val="26"/>
          <w:szCs w:val="26"/>
        </w:rPr>
        <w:t>not the Complainant</w:t>
      </w:r>
      <w:r w:rsidR="007901F4">
        <w:rPr>
          <w:sz w:val="26"/>
          <w:szCs w:val="26"/>
        </w:rPr>
        <w:t>, was the customer-of-record on the account</w:t>
      </w:r>
      <w:r w:rsidR="00733C74">
        <w:rPr>
          <w:sz w:val="26"/>
          <w:szCs w:val="26"/>
        </w:rPr>
        <w:t xml:space="preserve"> so </w:t>
      </w:r>
      <w:r>
        <w:rPr>
          <w:sz w:val="26"/>
          <w:szCs w:val="26"/>
        </w:rPr>
        <w:t>PGW had no obligation to giv</w:t>
      </w:r>
      <w:r w:rsidR="0060705B">
        <w:rPr>
          <w:sz w:val="26"/>
          <w:szCs w:val="26"/>
        </w:rPr>
        <w:t xml:space="preserve">e </w:t>
      </w:r>
      <w:r w:rsidR="00611F66">
        <w:rPr>
          <w:sz w:val="26"/>
          <w:szCs w:val="26"/>
        </w:rPr>
        <w:t xml:space="preserve">prior </w:t>
      </w:r>
      <w:r w:rsidR="0060705B">
        <w:rPr>
          <w:sz w:val="26"/>
          <w:szCs w:val="26"/>
        </w:rPr>
        <w:t>notice to the landlord of its field visit</w:t>
      </w:r>
      <w:r w:rsidR="00345071">
        <w:rPr>
          <w:sz w:val="26"/>
          <w:szCs w:val="26"/>
        </w:rPr>
        <w:t xml:space="preserve"> </w:t>
      </w:r>
      <w:r w:rsidR="00611F66">
        <w:rPr>
          <w:sz w:val="26"/>
          <w:szCs w:val="26"/>
        </w:rPr>
        <w:t>to inspect the</w:t>
      </w:r>
      <w:r w:rsidR="0060705B">
        <w:rPr>
          <w:sz w:val="26"/>
          <w:szCs w:val="26"/>
        </w:rPr>
        <w:t xml:space="preserve"> foreign load </w:t>
      </w:r>
      <w:r>
        <w:rPr>
          <w:sz w:val="26"/>
          <w:szCs w:val="26"/>
        </w:rPr>
        <w:t xml:space="preserve">in response to </w:t>
      </w:r>
      <w:r w:rsidR="005B3718">
        <w:rPr>
          <w:sz w:val="26"/>
          <w:szCs w:val="26"/>
        </w:rPr>
        <w:t>t</w:t>
      </w:r>
      <w:r w:rsidR="00211169">
        <w:rPr>
          <w:sz w:val="26"/>
          <w:szCs w:val="26"/>
        </w:rPr>
        <w:t>he Tenant</w:t>
      </w:r>
      <w:r w:rsidR="00694B7B">
        <w:rPr>
          <w:sz w:val="26"/>
          <w:szCs w:val="26"/>
        </w:rPr>
        <w:t>’</w:t>
      </w:r>
      <w:r>
        <w:rPr>
          <w:sz w:val="26"/>
          <w:szCs w:val="26"/>
        </w:rPr>
        <w:t xml:space="preserve">s complaint.  </w:t>
      </w:r>
      <w:r w:rsidR="00CE5A8E" w:rsidRPr="00CE5A8E">
        <w:rPr>
          <w:i/>
          <w:sz w:val="26"/>
          <w:szCs w:val="26"/>
        </w:rPr>
        <w:t xml:space="preserve">See </w:t>
      </w:r>
      <w:r w:rsidR="00CE5A8E" w:rsidRPr="00AF0EEA">
        <w:rPr>
          <w:i/>
          <w:iCs/>
          <w:sz w:val="26"/>
          <w:szCs w:val="26"/>
        </w:rPr>
        <w:t>Franckowiak v. PPL Electric Utilities Corp.,</w:t>
      </w:r>
      <w:r w:rsidR="00CE5A8E" w:rsidRPr="00AF0EEA">
        <w:rPr>
          <w:sz w:val="26"/>
          <w:szCs w:val="26"/>
        </w:rPr>
        <w:t xml:space="preserve"> Docket No. C</w:t>
      </w:r>
      <w:r w:rsidR="00CE5A8E" w:rsidRPr="0060705B">
        <w:rPr>
          <w:sz w:val="26"/>
          <w:szCs w:val="26"/>
        </w:rPr>
        <w:t>- 20054687, 101 Pa. P.U</w:t>
      </w:r>
      <w:r w:rsidR="00CE5A8E" w:rsidRPr="00AF0EEA">
        <w:rPr>
          <w:sz w:val="26"/>
          <w:szCs w:val="26"/>
        </w:rPr>
        <w:t>.C. 630 (Order entered July 3, 2006) (</w:t>
      </w:r>
      <w:r w:rsidR="00CE5A8E" w:rsidRPr="00AF0EEA">
        <w:rPr>
          <w:i/>
          <w:iCs/>
          <w:sz w:val="26"/>
          <w:szCs w:val="26"/>
        </w:rPr>
        <w:t>Franckowiak</w:t>
      </w:r>
      <w:r w:rsidR="00CE5A8E">
        <w:rPr>
          <w:sz w:val="26"/>
          <w:szCs w:val="26"/>
        </w:rPr>
        <w:t>) (</w:t>
      </w:r>
      <w:r w:rsidR="00CE5A8E" w:rsidRPr="00AF0EEA">
        <w:rPr>
          <w:sz w:val="26"/>
          <w:szCs w:val="26"/>
        </w:rPr>
        <w:t xml:space="preserve">utility is not required to </w:t>
      </w:r>
      <w:r w:rsidR="00CE5A8E">
        <w:rPr>
          <w:sz w:val="26"/>
          <w:szCs w:val="26"/>
        </w:rPr>
        <w:t>cooperate (or coordinate) with the landlord in carrying out its obligations under Section</w:t>
      </w:r>
      <w:r w:rsidR="00EF388A">
        <w:rPr>
          <w:sz w:val="26"/>
          <w:szCs w:val="26"/>
        </w:rPr>
        <w:t> </w:t>
      </w:r>
      <w:r w:rsidR="00CE5A8E">
        <w:rPr>
          <w:sz w:val="26"/>
          <w:szCs w:val="26"/>
        </w:rPr>
        <w:t xml:space="preserve">1529.1, noting that </w:t>
      </w:r>
      <w:r w:rsidR="00CE5A8E" w:rsidRPr="00AF0EEA">
        <w:rPr>
          <w:sz w:val="26"/>
          <w:szCs w:val="26"/>
        </w:rPr>
        <w:t xml:space="preserve">such a requirement </w:t>
      </w:r>
      <w:r w:rsidR="00CE5A8E">
        <w:rPr>
          <w:sz w:val="26"/>
          <w:szCs w:val="26"/>
        </w:rPr>
        <w:t xml:space="preserve">could </w:t>
      </w:r>
      <w:r w:rsidR="00CE5A8E" w:rsidRPr="00AF0EEA">
        <w:rPr>
          <w:bCs/>
          <w:sz w:val="26"/>
          <w:szCs w:val="26"/>
        </w:rPr>
        <w:t>encourage</w:t>
      </w:r>
      <w:r w:rsidR="00CE5A8E" w:rsidRPr="00AF0EEA">
        <w:rPr>
          <w:sz w:val="26"/>
          <w:szCs w:val="26"/>
        </w:rPr>
        <w:t xml:space="preserve"> dilatory behavior </w:t>
      </w:r>
      <w:r w:rsidR="00CE5A8E">
        <w:rPr>
          <w:sz w:val="26"/>
          <w:szCs w:val="26"/>
        </w:rPr>
        <w:t xml:space="preserve">on behalf of the </w:t>
      </w:r>
      <w:r w:rsidR="00CE5A8E" w:rsidRPr="00AF0EEA">
        <w:rPr>
          <w:bCs/>
          <w:sz w:val="26"/>
          <w:szCs w:val="26"/>
        </w:rPr>
        <w:t>landlord</w:t>
      </w:r>
      <w:r w:rsidR="00CE5A8E" w:rsidRPr="00AF0EEA">
        <w:rPr>
          <w:sz w:val="26"/>
          <w:szCs w:val="26"/>
        </w:rPr>
        <w:t xml:space="preserve"> </w:t>
      </w:r>
      <w:r w:rsidR="00CE5A8E">
        <w:rPr>
          <w:sz w:val="26"/>
          <w:szCs w:val="26"/>
        </w:rPr>
        <w:t>to the frustration of the lessees)</w:t>
      </w:r>
      <w:r w:rsidR="00CE5A8E" w:rsidRPr="00AF0EEA">
        <w:rPr>
          <w:color w:val="212121"/>
          <w:sz w:val="26"/>
          <w:szCs w:val="26"/>
        </w:rPr>
        <w:t xml:space="preserve">. </w:t>
      </w:r>
      <w:r w:rsidR="00CE5A8E">
        <w:rPr>
          <w:color w:val="212121"/>
          <w:sz w:val="26"/>
          <w:szCs w:val="26"/>
        </w:rPr>
        <w:t xml:space="preserve"> </w:t>
      </w:r>
      <w:r>
        <w:rPr>
          <w:sz w:val="26"/>
          <w:szCs w:val="26"/>
        </w:rPr>
        <w:t>Thus, we de</w:t>
      </w:r>
      <w:r w:rsidR="005B3718">
        <w:rPr>
          <w:sz w:val="26"/>
          <w:szCs w:val="26"/>
        </w:rPr>
        <w:t>ny the Complainant</w:t>
      </w:r>
      <w:r w:rsidR="00694B7B">
        <w:rPr>
          <w:sz w:val="26"/>
          <w:szCs w:val="26"/>
        </w:rPr>
        <w:t>’</w:t>
      </w:r>
      <w:r w:rsidR="005B3718">
        <w:rPr>
          <w:sz w:val="26"/>
          <w:szCs w:val="26"/>
        </w:rPr>
        <w:t>s Exceptions</w:t>
      </w:r>
      <w:r w:rsidR="00733C74">
        <w:rPr>
          <w:sz w:val="26"/>
          <w:szCs w:val="26"/>
        </w:rPr>
        <w:t xml:space="preserve"> on this matter</w:t>
      </w:r>
      <w:r w:rsidR="005B3718">
        <w:rPr>
          <w:sz w:val="26"/>
          <w:szCs w:val="26"/>
        </w:rPr>
        <w:t>.</w:t>
      </w:r>
    </w:p>
    <w:p w:rsidR="00010063" w:rsidRDefault="00010063" w:rsidP="00A6670C">
      <w:pPr>
        <w:widowControl/>
        <w:spacing w:line="360" w:lineRule="auto"/>
        <w:ind w:firstLine="1440"/>
        <w:rPr>
          <w:color w:val="212121"/>
          <w:sz w:val="26"/>
          <w:szCs w:val="26"/>
        </w:rPr>
      </w:pPr>
    </w:p>
    <w:p w:rsidR="00660781" w:rsidRDefault="00733C74" w:rsidP="00A6670C">
      <w:pPr>
        <w:widowControl/>
        <w:spacing w:line="360" w:lineRule="auto"/>
        <w:ind w:firstLine="1440"/>
        <w:rPr>
          <w:color w:val="212121"/>
          <w:sz w:val="26"/>
          <w:szCs w:val="26"/>
        </w:rPr>
      </w:pPr>
      <w:r>
        <w:rPr>
          <w:color w:val="212121"/>
          <w:sz w:val="26"/>
          <w:szCs w:val="26"/>
        </w:rPr>
        <w:t>Next,</w:t>
      </w:r>
      <w:r w:rsidR="0069674A">
        <w:rPr>
          <w:color w:val="212121"/>
          <w:sz w:val="26"/>
          <w:szCs w:val="26"/>
        </w:rPr>
        <w:t xml:space="preserve"> </w:t>
      </w:r>
      <w:r w:rsidR="00010063">
        <w:rPr>
          <w:color w:val="212121"/>
          <w:sz w:val="26"/>
          <w:szCs w:val="26"/>
        </w:rPr>
        <w:t>the Complainant asserts</w:t>
      </w:r>
      <w:r w:rsidR="00682161">
        <w:rPr>
          <w:color w:val="212121"/>
          <w:sz w:val="26"/>
          <w:szCs w:val="26"/>
        </w:rPr>
        <w:t xml:space="preserve"> </w:t>
      </w:r>
      <w:r>
        <w:rPr>
          <w:color w:val="212121"/>
          <w:sz w:val="26"/>
          <w:szCs w:val="26"/>
        </w:rPr>
        <w:t xml:space="preserve">in her Exceptions </w:t>
      </w:r>
      <w:r w:rsidR="00682161">
        <w:rPr>
          <w:color w:val="212121"/>
          <w:sz w:val="26"/>
          <w:szCs w:val="26"/>
        </w:rPr>
        <w:t>that she</w:t>
      </w:r>
      <w:r w:rsidR="008305F0">
        <w:rPr>
          <w:color w:val="212121"/>
          <w:sz w:val="26"/>
          <w:szCs w:val="26"/>
        </w:rPr>
        <w:t xml:space="preserve"> </w:t>
      </w:r>
      <w:r w:rsidR="005C4894">
        <w:rPr>
          <w:color w:val="212121"/>
          <w:sz w:val="26"/>
          <w:szCs w:val="26"/>
        </w:rPr>
        <w:t>made the choice</w:t>
      </w:r>
      <w:r w:rsidR="008305F0">
        <w:rPr>
          <w:color w:val="212121"/>
          <w:sz w:val="26"/>
          <w:szCs w:val="26"/>
        </w:rPr>
        <w:t xml:space="preserve"> to be billed commercial gas rates </w:t>
      </w:r>
      <w:r w:rsidR="00682161">
        <w:rPr>
          <w:color w:val="212121"/>
          <w:sz w:val="26"/>
          <w:szCs w:val="26"/>
        </w:rPr>
        <w:t xml:space="preserve">for the property </w:t>
      </w:r>
      <w:r w:rsidR="00C73C6D">
        <w:rPr>
          <w:color w:val="212121"/>
          <w:sz w:val="26"/>
          <w:szCs w:val="26"/>
        </w:rPr>
        <w:t xml:space="preserve">ever </w:t>
      </w:r>
      <w:r w:rsidR="008305F0">
        <w:rPr>
          <w:color w:val="212121"/>
          <w:sz w:val="26"/>
          <w:szCs w:val="26"/>
        </w:rPr>
        <w:t xml:space="preserve">since she became the property owner and </w:t>
      </w:r>
      <w:r w:rsidR="002647A5">
        <w:rPr>
          <w:color w:val="212121"/>
          <w:sz w:val="26"/>
          <w:szCs w:val="26"/>
        </w:rPr>
        <w:t xml:space="preserve">that </w:t>
      </w:r>
      <w:r w:rsidR="008305F0">
        <w:rPr>
          <w:color w:val="212121"/>
          <w:sz w:val="26"/>
          <w:szCs w:val="26"/>
        </w:rPr>
        <w:t>she rented</w:t>
      </w:r>
      <w:r w:rsidR="00DB26FC">
        <w:rPr>
          <w:color w:val="212121"/>
          <w:sz w:val="26"/>
          <w:szCs w:val="26"/>
        </w:rPr>
        <w:t xml:space="preserve"> the entire unit as a commercial property</w:t>
      </w:r>
      <w:r w:rsidR="00C73C6D">
        <w:rPr>
          <w:color w:val="212121"/>
          <w:sz w:val="26"/>
          <w:szCs w:val="26"/>
        </w:rPr>
        <w:t>,</w:t>
      </w:r>
      <w:r w:rsidR="008305F0">
        <w:rPr>
          <w:color w:val="212121"/>
          <w:sz w:val="26"/>
          <w:szCs w:val="26"/>
        </w:rPr>
        <w:t xml:space="preserve"> with living quarters as part of the unit</w:t>
      </w:r>
      <w:r>
        <w:rPr>
          <w:color w:val="212121"/>
          <w:sz w:val="26"/>
          <w:szCs w:val="26"/>
        </w:rPr>
        <w:t xml:space="preserve">.  For these reasons, </w:t>
      </w:r>
      <w:r w:rsidR="00540823">
        <w:rPr>
          <w:color w:val="212121"/>
          <w:sz w:val="26"/>
          <w:szCs w:val="26"/>
        </w:rPr>
        <w:t>she argues</w:t>
      </w:r>
      <w:r w:rsidR="008305F0">
        <w:rPr>
          <w:color w:val="212121"/>
          <w:sz w:val="26"/>
          <w:szCs w:val="26"/>
        </w:rPr>
        <w:t xml:space="preserve"> </w:t>
      </w:r>
      <w:r>
        <w:rPr>
          <w:color w:val="212121"/>
          <w:sz w:val="26"/>
          <w:szCs w:val="26"/>
        </w:rPr>
        <w:t xml:space="preserve">that </w:t>
      </w:r>
      <w:r w:rsidR="00C73C6D">
        <w:rPr>
          <w:color w:val="212121"/>
          <w:sz w:val="26"/>
          <w:szCs w:val="26"/>
        </w:rPr>
        <w:t>the</w:t>
      </w:r>
      <w:r w:rsidR="00DB26FC">
        <w:rPr>
          <w:color w:val="212121"/>
          <w:sz w:val="26"/>
          <w:szCs w:val="26"/>
        </w:rPr>
        <w:t xml:space="preserve"> foreign load</w:t>
      </w:r>
      <w:r w:rsidR="00C73C6D">
        <w:rPr>
          <w:color w:val="212121"/>
          <w:sz w:val="26"/>
          <w:szCs w:val="26"/>
        </w:rPr>
        <w:t xml:space="preserve"> rules do not apply</w:t>
      </w:r>
      <w:r w:rsidR="00540823">
        <w:rPr>
          <w:color w:val="212121"/>
          <w:sz w:val="26"/>
          <w:szCs w:val="26"/>
        </w:rPr>
        <w:t xml:space="preserve"> to her circumstances</w:t>
      </w:r>
      <w:r w:rsidR="00682161">
        <w:rPr>
          <w:color w:val="212121"/>
          <w:sz w:val="26"/>
          <w:szCs w:val="26"/>
        </w:rPr>
        <w:t xml:space="preserve">.  Exc. at 1, 2. </w:t>
      </w:r>
      <w:r w:rsidR="00DB26FC">
        <w:rPr>
          <w:color w:val="212121"/>
          <w:sz w:val="26"/>
          <w:szCs w:val="26"/>
        </w:rPr>
        <w:t xml:space="preserve"> </w:t>
      </w:r>
      <w:r w:rsidR="00CE5A8E">
        <w:rPr>
          <w:color w:val="212121"/>
          <w:sz w:val="26"/>
          <w:szCs w:val="26"/>
        </w:rPr>
        <w:t>Moreover, she argues that the Commission</w:t>
      </w:r>
      <w:r w:rsidR="00694B7B">
        <w:rPr>
          <w:color w:val="212121"/>
          <w:sz w:val="26"/>
          <w:szCs w:val="26"/>
        </w:rPr>
        <w:t>’</w:t>
      </w:r>
      <w:r w:rsidR="00CE5A8E">
        <w:rPr>
          <w:color w:val="212121"/>
          <w:sz w:val="26"/>
          <w:szCs w:val="26"/>
        </w:rPr>
        <w:t xml:space="preserve">s foreign load rules do not apply because as the landlord, </w:t>
      </w:r>
      <w:r>
        <w:rPr>
          <w:color w:val="212121"/>
          <w:sz w:val="26"/>
          <w:szCs w:val="26"/>
        </w:rPr>
        <w:t xml:space="preserve">she </w:t>
      </w:r>
      <w:r w:rsidR="00CE5A8E">
        <w:rPr>
          <w:color w:val="212121"/>
          <w:sz w:val="26"/>
          <w:szCs w:val="26"/>
        </w:rPr>
        <w:t>did not receive rent from the Tenant and no one other than the Tenant occupied the building.  Exc. at 2-3.</w:t>
      </w:r>
    </w:p>
    <w:p w:rsidR="00FD0EDF" w:rsidRDefault="00FD0EDF" w:rsidP="00A6670C">
      <w:pPr>
        <w:widowControl/>
        <w:spacing w:line="360" w:lineRule="auto"/>
        <w:ind w:firstLine="1440"/>
        <w:rPr>
          <w:color w:val="212121"/>
          <w:sz w:val="26"/>
          <w:szCs w:val="26"/>
        </w:rPr>
      </w:pPr>
    </w:p>
    <w:p w:rsidR="00B00BDA" w:rsidRDefault="005D160A" w:rsidP="00A6670C">
      <w:pPr>
        <w:widowControl/>
        <w:spacing w:line="360" w:lineRule="auto"/>
        <w:ind w:firstLine="1440"/>
        <w:rPr>
          <w:rFonts w:eastAsia="Calibri"/>
          <w:sz w:val="26"/>
          <w:szCs w:val="26"/>
        </w:rPr>
      </w:pPr>
      <w:r>
        <w:rPr>
          <w:rFonts w:eastAsia="Calibri"/>
          <w:sz w:val="26"/>
          <w:szCs w:val="26"/>
        </w:rPr>
        <w:t>In its Replies, PGW states that the Complainant</w:t>
      </w:r>
      <w:r w:rsidR="00694B7B">
        <w:rPr>
          <w:rFonts w:eastAsia="Calibri"/>
          <w:sz w:val="26"/>
          <w:szCs w:val="26"/>
        </w:rPr>
        <w:t>’</w:t>
      </w:r>
      <w:r>
        <w:rPr>
          <w:rFonts w:eastAsia="Calibri"/>
          <w:sz w:val="26"/>
          <w:szCs w:val="26"/>
        </w:rPr>
        <w:t>s own testimony and exhibits at the hearing support the ALJ</w:t>
      </w:r>
      <w:r w:rsidR="00694B7B">
        <w:rPr>
          <w:rFonts w:eastAsia="Calibri"/>
          <w:sz w:val="26"/>
          <w:szCs w:val="26"/>
        </w:rPr>
        <w:t>’</w:t>
      </w:r>
      <w:r>
        <w:rPr>
          <w:rFonts w:eastAsia="Calibri"/>
          <w:sz w:val="26"/>
          <w:szCs w:val="26"/>
        </w:rPr>
        <w:t xml:space="preserve">s finding that there was a foreign load at the </w:t>
      </w:r>
      <w:r w:rsidR="008018AC">
        <w:rPr>
          <w:rFonts w:eastAsia="Calibri"/>
          <w:sz w:val="26"/>
          <w:szCs w:val="26"/>
        </w:rPr>
        <w:t>S</w:t>
      </w:r>
      <w:r>
        <w:rPr>
          <w:rFonts w:eastAsia="Calibri"/>
          <w:sz w:val="26"/>
          <w:szCs w:val="26"/>
        </w:rPr>
        <w:t xml:space="preserve">ervice </w:t>
      </w:r>
      <w:r w:rsidR="008018AC">
        <w:rPr>
          <w:rFonts w:eastAsia="Calibri"/>
          <w:sz w:val="26"/>
          <w:szCs w:val="26"/>
        </w:rPr>
        <w:t>A</w:t>
      </w:r>
      <w:r>
        <w:rPr>
          <w:rFonts w:eastAsia="Calibri"/>
          <w:sz w:val="26"/>
          <w:szCs w:val="26"/>
        </w:rPr>
        <w:t>ddress.  R. Exc. at 2.  PGW specifically revisits the testimony of the Complainant at the hearing</w:t>
      </w:r>
      <w:r w:rsidR="00540823">
        <w:rPr>
          <w:rFonts w:eastAsia="Calibri"/>
          <w:sz w:val="26"/>
          <w:szCs w:val="26"/>
        </w:rPr>
        <w:t>,</w:t>
      </w:r>
      <w:r>
        <w:rPr>
          <w:rFonts w:eastAsia="Calibri"/>
          <w:sz w:val="26"/>
          <w:szCs w:val="26"/>
        </w:rPr>
        <w:t xml:space="preserve"> in which the Complainant admitted that she and her daughter leased a portion of the </w:t>
      </w:r>
      <w:r w:rsidR="008018AC">
        <w:rPr>
          <w:rFonts w:eastAsia="Calibri"/>
          <w:sz w:val="26"/>
          <w:szCs w:val="26"/>
        </w:rPr>
        <w:t>S</w:t>
      </w:r>
      <w:r>
        <w:rPr>
          <w:rFonts w:eastAsia="Calibri"/>
          <w:sz w:val="26"/>
          <w:szCs w:val="26"/>
        </w:rPr>
        <w:t xml:space="preserve">ervice </w:t>
      </w:r>
      <w:r w:rsidR="008018AC">
        <w:rPr>
          <w:rFonts w:eastAsia="Calibri"/>
          <w:sz w:val="26"/>
          <w:szCs w:val="26"/>
        </w:rPr>
        <w:t>A</w:t>
      </w:r>
      <w:r>
        <w:rPr>
          <w:rFonts w:eastAsia="Calibri"/>
          <w:sz w:val="26"/>
          <w:szCs w:val="26"/>
        </w:rPr>
        <w:t xml:space="preserve">ddress to </w:t>
      </w:r>
      <w:r w:rsidR="00540823">
        <w:rPr>
          <w:rFonts w:eastAsia="Calibri"/>
          <w:sz w:val="26"/>
          <w:szCs w:val="26"/>
        </w:rPr>
        <w:t>t</w:t>
      </w:r>
      <w:r w:rsidR="00211169">
        <w:rPr>
          <w:rFonts w:eastAsia="Calibri"/>
          <w:sz w:val="26"/>
          <w:szCs w:val="26"/>
        </w:rPr>
        <w:t>he Tenant</w:t>
      </w:r>
      <w:r>
        <w:rPr>
          <w:rFonts w:eastAsia="Calibri"/>
          <w:sz w:val="26"/>
          <w:szCs w:val="26"/>
        </w:rPr>
        <w:t xml:space="preserve">.  R. Exc. at 3 (citing Tr. at 22).  PGW </w:t>
      </w:r>
      <w:r w:rsidR="00EA16AD">
        <w:rPr>
          <w:rFonts w:eastAsia="Calibri"/>
          <w:sz w:val="26"/>
          <w:szCs w:val="26"/>
        </w:rPr>
        <w:t xml:space="preserve">emphasizes </w:t>
      </w:r>
      <w:r>
        <w:rPr>
          <w:rFonts w:eastAsia="Calibri"/>
          <w:sz w:val="26"/>
          <w:szCs w:val="26"/>
        </w:rPr>
        <w:t>that the lease agreement was signed by both the Complainant and her daughter</w:t>
      </w:r>
      <w:r w:rsidR="00540823">
        <w:rPr>
          <w:rFonts w:eastAsia="Calibri"/>
          <w:sz w:val="26"/>
          <w:szCs w:val="26"/>
        </w:rPr>
        <w:t xml:space="preserve">, and that the lease agreement </w:t>
      </w:r>
      <w:r>
        <w:rPr>
          <w:rFonts w:eastAsia="Calibri"/>
          <w:sz w:val="26"/>
          <w:szCs w:val="26"/>
        </w:rPr>
        <w:t xml:space="preserve">stated that </w:t>
      </w:r>
      <w:r w:rsidR="00540823">
        <w:rPr>
          <w:rFonts w:eastAsia="Calibri"/>
          <w:sz w:val="26"/>
          <w:szCs w:val="26"/>
        </w:rPr>
        <w:t>t</w:t>
      </w:r>
      <w:r w:rsidR="00211169">
        <w:rPr>
          <w:rFonts w:eastAsia="Calibri"/>
          <w:sz w:val="26"/>
          <w:szCs w:val="26"/>
        </w:rPr>
        <w:t>he Tenant</w:t>
      </w:r>
      <w:r>
        <w:rPr>
          <w:rFonts w:eastAsia="Calibri"/>
          <w:sz w:val="26"/>
          <w:szCs w:val="26"/>
        </w:rPr>
        <w:t xml:space="preserve"> was to occupy</w:t>
      </w:r>
      <w:r w:rsidR="00B00BDA">
        <w:rPr>
          <w:rFonts w:eastAsia="Calibri"/>
          <w:sz w:val="26"/>
          <w:szCs w:val="26"/>
        </w:rPr>
        <w:t>:</w:t>
      </w:r>
    </w:p>
    <w:p w:rsidR="00B00BDA" w:rsidRDefault="00B00BDA" w:rsidP="00A6670C">
      <w:pPr>
        <w:widowControl/>
        <w:spacing w:line="360" w:lineRule="auto"/>
        <w:ind w:firstLine="1440"/>
        <w:rPr>
          <w:rFonts w:eastAsia="Calibri"/>
          <w:sz w:val="26"/>
          <w:szCs w:val="26"/>
        </w:rPr>
      </w:pPr>
    </w:p>
    <w:p w:rsidR="00B00BDA" w:rsidRDefault="00B00BDA" w:rsidP="00A6670C">
      <w:pPr>
        <w:widowControl/>
        <w:ind w:left="1440" w:right="1440"/>
        <w:rPr>
          <w:rFonts w:eastAsia="Calibri"/>
          <w:sz w:val="26"/>
          <w:szCs w:val="26"/>
        </w:rPr>
      </w:pPr>
      <w:r>
        <w:rPr>
          <w:rFonts w:eastAsia="Calibri"/>
          <w:sz w:val="26"/>
          <w:szCs w:val="26"/>
        </w:rPr>
        <w:t>[A]</w:t>
      </w:r>
      <w:r w:rsidR="005D160A">
        <w:rPr>
          <w:rFonts w:eastAsia="Calibri"/>
          <w:sz w:val="26"/>
          <w:szCs w:val="26"/>
        </w:rPr>
        <w:t xml:space="preserve"> [</w:t>
      </w:r>
      <w:r w:rsidR="005D160A" w:rsidRPr="00EA16AD">
        <w:rPr>
          <w:rFonts w:eastAsia="Calibri"/>
          <w:i/>
          <w:sz w:val="26"/>
          <w:szCs w:val="26"/>
        </w:rPr>
        <w:t>sic</w:t>
      </w:r>
      <w:r w:rsidR="005D160A">
        <w:rPr>
          <w:rFonts w:eastAsia="Calibri"/>
          <w:sz w:val="26"/>
          <w:szCs w:val="26"/>
        </w:rPr>
        <w:t>] apartment with 1 bedrooms and 1 bathrooms, located at 257 south 60</w:t>
      </w:r>
      <w:r w:rsidR="005D160A" w:rsidRPr="003F222B">
        <w:rPr>
          <w:rFonts w:eastAsia="Calibri"/>
          <w:sz w:val="26"/>
          <w:szCs w:val="26"/>
          <w:vertAlign w:val="superscript"/>
        </w:rPr>
        <w:t>th</w:t>
      </w:r>
      <w:r w:rsidR="005D160A">
        <w:rPr>
          <w:rFonts w:eastAsia="Calibri"/>
          <w:sz w:val="26"/>
          <w:szCs w:val="26"/>
        </w:rPr>
        <w:t xml:space="preserve"> Street, Philadelphia, Pennsylvania 19139 (the “Property”).  No other portion of the building wherein the Property is located is included unless expressly pr</w:t>
      </w:r>
      <w:r>
        <w:rPr>
          <w:rFonts w:eastAsia="Calibri"/>
          <w:sz w:val="26"/>
          <w:szCs w:val="26"/>
        </w:rPr>
        <w:t>ovided for in this Agreement.</w:t>
      </w:r>
    </w:p>
    <w:p w:rsidR="00EA16AD" w:rsidRDefault="00EA16AD" w:rsidP="00A6670C">
      <w:pPr>
        <w:widowControl/>
        <w:ind w:left="1440" w:right="1440"/>
        <w:rPr>
          <w:rFonts w:eastAsia="Calibri"/>
          <w:sz w:val="26"/>
          <w:szCs w:val="26"/>
        </w:rPr>
      </w:pPr>
    </w:p>
    <w:p w:rsidR="00B00BDA" w:rsidRDefault="00B00BDA" w:rsidP="00A6670C">
      <w:pPr>
        <w:widowControl/>
        <w:spacing w:line="360" w:lineRule="auto"/>
        <w:ind w:left="1440" w:right="1440"/>
        <w:rPr>
          <w:rFonts w:eastAsia="Calibri"/>
          <w:sz w:val="26"/>
          <w:szCs w:val="26"/>
        </w:rPr>
      </w:pPr>
    </w:p>
    <w:p w:rsidR="00540823" w:rsidRDefault="005D160A" w:rsidP="00A6670C">
      <w:pPr>
        <w:widowControl/>
        <w:spacing w:line="360" w:lineRule="auto"/>
        <w:rPr>
          <w:rFonts w:eastAsia="Calibri"/>
          <w:sz w:val="26"/>
          <w:szCs w:val="26"/>
        </w:rPr>
      </w:pPr>
      <w:r>
        <w:rPr>
          <w:rFonts w:eastAsia="Calibri"/>
          <w:sz w:val="26"/>
          <w:szCs w:val="26"/>
        </w:rPr>
        <w:t>R. Exc. at 3 (citing Complainant</w:t>
      </w:r>
      <w:r w:rsidR="00694B7B">
        <w:rPr>
          <w:rFonts w:eastAsia="Calibri"/>
          <w:sz w:val="26"/>
          <w:szCs w:val="26"/>
        </w:rPr>
        <w:t>’</w:t>
      </w:r>
      <w:r>
        <w:rPr>
          <w:rFonts w:eastAsia="Calibri"/>
          <w:sz w:val="26"/>
          <w:szCs w:val="26"/>
        </w:rPr>
        <w:t xml:space="preserve">s Exhibit 4).  </w:t>
      </w:r>
      <w:r w:rsidR="00540823">
        <w:rPr>
          <w:rFonts w:eastAsia="Calibri"/>
          <w:sz w:val="26"/>
          <w:szCs w:val="26"/>
        </w:rPr>
        <w:t xml:space="preserve">Thus, </w:t>
      </w:r>
      <w:r>
        <w:rPr>
          <w:rFonts w:eastAsia="Calibri"/>
          <w:sz w:val="26"/>
          <w:szCs w:val="26"/>
        </w:rPr>
        <w:t>PGW assert</w:t>
      </w:r>
      <w:r w:rsidR="00540823">
        <w:rPr>
          <w:rFonts w:eastAsia="Calibri"/>
          <w:sz w:val="26"/>
          <w:szCs w:val="26"/>
        </w:rPr>
        <w:t>s that the lease agreement made</w:t>
      </w:r>
      <w:r w:rsidR="00F600AA">
        <w:rPr>
          <w:rFonts w:eastAsia="Calibri"/>
          <w:sz w:val="26"/>
          <w:szCs w:val="26"/>
        </w:rPr>
        <w:t xml:space="preserve"> it clear that the</w:t>
      </w:r>
      <w:r w:rsidR="00540823">
        <w:rPr>
          <w:rFonts w:eastAsia="Calibri"/>
          <w:sz w:val="26"/>
          <w:szCs w:val="26"/>
        </w:rPr>
        <w:t xml:space="preserve"> leased premises wa</w:t>
      </w:r>
      <w:r>
        <w:rPr>
          <w:rFonts w:eastAsia="Calibri"/>
          <w:sz w:val="26"/>
          <w:szCs w:val="26"/>
        </w:rPr>
        <w:t>s merely a portion of t</w:t>
      </w:r>
      <w:r w:rsidR="00540823">
        <w:rPr>
          <w:rFonts w:eastAsia="Calibri"/>
          <w:sz w:val="26"/>
          <w:szCs w:val="26"/>
        </w:rPr>
        <w:t>he entire building and it wa</w:t>
      </w:r>
      <w:r>
        <w:rPr>
          <w:rFonts w:eastAsia="Calibri"/>
          <w:sz w:val="26"/>
          <w:szCs w:val="26"/>
        </w:rPr>
        <w:t xml:space="preserve">s the only part </w:t>
      </w:r>
      <w:r w:rsidR="00EA16AD">
        <w:rPr>
          <w:rFonts w:eastAsia="Calibri"/>
          <w:sz w:val="26"/>
          <w:szCs w:val="26"/>
        </w:rPr>
        <w:t xml:space="preserve">to which the </w:t>
      </w:r>
      <w:r w:rsidR="00211169">
        <w:rPr>
          <w:rFonts w:eastAsia="Calibri"/>
          <w:sz w:val="26"/>
          <w:szCs w:val="26"/>
        </w:rPr>
        <w:t>Tenant</w:t>
      </w:r>
      <w:r>
        <w:rPr>
          <w:rFonts w:eastAsia="Calibri"/>
          <w:sz w:val="26"/>
          <w:szCs w:val="26"/>
        </w:rPr>
        <w:t xml:space="preserve"> had access</w:t>
      </w:r>
      <w:r w:rsidR="00EA16AD">
        <w:rPr>
          <w:rFonts w:eastAsia="Calibri"/>
          <w:sz w:val="26"/>
          <w:szCs w:val="26"/>
        </w:rPr>
        <w:t>.</w:t>
      </w:r>
      <w:r>
        <w:rPr>
          <w:rFonts w:eastAsia="Calibri"/>
          <w:sz w:val="26"/>
          <w:szCs w:val="26"/>
        </w:rPr>
        <w:t xml:space="preserve">  R. Exc. at 3.</w:t>
      </w:r>
    </w:p>
    <w:p w:rsidR="00540823" w:rsidRDefault="00540823" w:rsidP="00A6670C">
      <w:pPr>
        <w:widowControl/>
        <w:spacing w:line="360" w:lineRule="auto"/>
        <w:ind w:firstLine="1440"/>
        <w:rPr>
          <w:rFonts w:eastAsia="Calibri"/>
          <w:sz w:val="26"/>
          <w:szCs w:val="26"/>
        </w:rPr>
      </w:pPr>
    </w:p>
    <w:p w:rsidR="005D160A" w:rsidRDefault="005D160A" w:rsidP="00A6670C">
      <w:pPr>
        <w:widowControl/>
        <w:spacing w:line="360" w:lineRule="auto"/>
        <w:ind w:firstLine="1440"/>
        <w:rPr>
          <w:rFonts w:eastAsia="Calibri"/>
          <w:sz w:val="26"/>
          <w:szCs w:val="26"/>
        </w:rPr>
      </w:pPr>
      <w:r>
        <w:rPr>
          <w:rFonts w:eastAsia="Calibri"/>
          <w:sz w:val="26"/>
          <w:szCs w:val="26"/>
        </w:rPr>
        <w:t xml:space="preserve">Additionally, PGW highlights </w:t>
      </w:r>
      <w:r w:rsidR="00F75581">
        <w:rPr>
          <w:rFonts w:eastAsia="Calibri"/>
          <w:sz w:val="26"/>
          <w:szCs w:val="26"/>
        </w:rPr>
        <w:t>p</w:t>
      </w:r>
      <w:r>
        <w:rPr>
          <w:rFonts w:eastAsia="Calibri"/>
          <w:sz w:val="26"/>
          <w:szCs w:val="26"/>
        </w:rPr>
        <w:t xml:space="preserve">aragraph </w:t>
      </w:r>
      <w:r w:rsidR="00F75581">
        <w:rPr>
          <w:rFonts w:eastAsia="Calibri"/>
          <w:sz w:val="26"/>
          <w:szCs w:val="26"/>
        </w:rPr>
        <w:t xml:space="preserve">No. </w:t>
      </w:r>
      <w:r>
        <w:rPr>
          <w:rFonts w:eastAsia="Calibri"/>
          <w:sz w:val="26"/>
          <w:szCs w:val="26"/>
        </w:rPr>
        <w:t>3 of the lease agreement, which named the Complainant</w:t>
      </w:r>
      <w:r w:rsidR="00694B7B">
        <w:rPr>
          <w:rFonts w:eastAsia="Calibri"/>
          <w:sz w:val="26"/>
          <w:szCs w:val="26"/>
        </w:rPr>
        <w:t>’</w:t>
      </w:r>
      <w:r>
        <w:rPr>
          <w:rFonts w:eastAsia="Calibri"/>
          <w:sz w:val="26"/>
          <w:szCs w:val="26"/>
        </w:rPr>
        <w:t>s daughter</w:t>
      </w:r>
      <w:r w:rsidR="00694B7B">
        <w:rPr>
          <w:rFonts w:eastAsia="Calibri"/>
          <w:sz w:val="26"/>
          <w:szCs w:val="26"/>
        </w:rPr>
        <w:t>’</w:t>
      </w:r>
      <w:r>
        <w:rPr>
          <w:rFonts w:eastAsia="Calibri"/>
          <w:sz w:val="26"/>
          <w:szCs w:val="26"/>
        </w:rPr>
        <w:t>s business, AOK Business Services, a</w:t>
      </w:r>
      <w:r w:rsidR="00A300C9">
        <w:rPr>
          <w:rFonts w:eastAsia="Calibri"/>
          <w:sz w:val="26"/>
          <w:szCs w:val="26"/>
        </w:rPr>
        <w:t>s the property manager and listed</w:t>
      </w:r>
      <w:r>
        <w:rPr>
          <w:rFonts w:eastAsia="Calibri"/>
          <w:sz w:val="26"/>
          <w:szCs w:val="26"/>
        </w:rPr>
        <w:t xml:space="preserve"> the business address for AOK Business Services as the same address</w:t>
      </w:r>
      <w:r w:rsidR="00A300C9">
        <w:rPr>
          <w:rFonts w:eastAsia="Calibri"/>
          <w:sz w:val="26"/>
          <w:szCs w:val="26"/>
        </w:rPr>
        <w:t xml:space="preserve"> as the leased premises</w:t>
      </w:r>
      <w:r>
        <w:rPr>
          <w:rFonts w:eastAsia="Calibri"/>
          <w:sz w:val="26"/>
          <w:szCs w:val="26"/>
        </w:rPr>
        <w:t>, 257 South 60</w:t>
      </w:r>
      <w:r w:rsidRPr="009C0940">
        <w:rPr>
          <w:rFonts w:eastAsia="Calibri"/>
          <w:sz w:val="26"/>
          <w:szCs w:val="26"/>
          <w:vertAlign w:val="superscript"/>
        </w:rPr>
        <w:t>th</w:t>
      </w:r>
      <w:r>
        <w:rPr>
          <w:rFonts w:eastAsia="Calibri"/>
          <w:sz w:val="26"/>
          <w:szCs w:val="26"/>
        </w:rPr>
        <w:t xml:space="preserve"> Street.  R. Exc. at 3 (citing Complainant</w:t>
      </w:r>
      <w:r w:rsidR="00694B7B">
        <w:rPr>
          <w:rFonts w:eastAsia="Calibri"/>
          <w:sz w:val="26"/>
          <w:szCs w:val="26"/>
        </w:rPr>
        <w:t>’</w:t>
      </w:r>
      <w:r>
        <w:rPr>
          <w:rFonts w:eastAsia="Calibri"/>
          <w:sz w:val="26"/>
          <w:szCs w:val="26"/>
        </w:rPr>
        <w:t xml:space="preserve">s Exhibit 4).  PGW </w:t>
      </w:r>
      <w:r w:rsidR="00A300C9">
        <w:rPr>
          <w:rFonts w:eastAsia="Calibri"/>
          <w:sz w:val="26"/>
          <w:szCs w:val="26"/>
        </w:rPr>
        <w:t xml:space="preserve">also </w:t>
      </w:r>
      <w:r>
        <w:rPr>
          <w:rFonts w:eastAsia="Calibri"/>
          <w:sz w:val="26"/>
          <w:szCs w:val="26"/>
        </w:rPr>
        <w:t xml:space="preserve">highlights </w:t>
      </w:r>
      <w:r w:rsidR="00F75581">
        <w:rPr>
          <w:rFonts w:eastAsia="Calibri"/>
          <w:sz w:val="26"/>
          <w:szCs w:val="26"/>
        </w:rPr>
        <w:t>p</w:t>
      </w:r>
      <w:r>
        <w:rPr>
          <w:rFonts w:eastAsia="Calibri"/>
          <w:sz w:val="26"/>
          <w:szCs w:val="26"/>
        </w:rPr>
        <w:t xml:space="preserve">aragraph </w:t>
      </w:r>
      <w:r w:rsidR="00F75581">
        <w:rPr>
          <w:rFonts w:eastAsia="Calibri"/>
          <w:sz w:val="26"/>
          <w:szCs w:val="26"/>
        </w:rPr>
        <w:t>No. 2</w:t>
      </w:r>
      <w:r>
        <w:rPr>
          <w:rFonts w:eastAsia="Calibri"/>
          <w:sz w:val="26"/>
          <w:szCs w:val="26"/>
        </w:rPr>
        <w:t>1 of t</w:t>
      </w:r>
      <w:r w:rsidR="00A300C9">
        <w:rPr>
          <w:rFonts w:eastAsia="Calibri"/>
          <w:sz w:val="26"/>
          <w:szCs w:val="26"/>
        </w:rPr>
        <w:t>he lease agreement, which state</w:t>
      </w:r>
      <w:r w:rsidR="00F75581">
        <w:rPr>
          <w:rFonts w:eastAsia="Calibri"/>
          <w:sz w:val="26"/>
          <w:szCs w:val="26"/>
        </w:rPr>
        <w:t>s</w:t>
      </w:r>
      <w:r w:rsidR="00A300C9">
        <w:rPr>
          <w:rFonts w:eastAsia="Calibri"/>
          <w:sz w:val="26"/>
          <w:szCs w:val="26"/>
        </w:rPr>
        <w:t xml:space="preserve"> that the </w:t>
      </w:r>
      <w:r w:rsidR="00B74E9A">
        <w:rPr>
          <w:rFonts w:eastAsia="Calibri"/>
          <w:sz w:val="26"/>
          <w:szCs w:val="26"/>
        </w:rPr>
        <w:t>T</w:t>
      </w:r>
      <w:r w:rsidR="00A300C9">
        <w:rPr>
          <w:rFonts w:eastAsia="Calibri"/>
          <w:sz w:val="26"/>
          <w:szCs w:val="26"/>
        </w:rPr>
        <w:t>enant wa</w:t>
      </w:r>
      <w:r>
        <w:rPr>
          <w:rFonts w:eastAsia="Calibri"/>
          <w:sz w:val="26"/>
          <w:szCs w:val="26"/>
        </w:rPr>
        <w:t>s to pay for all the utilities, including gas.  R. Exc. at 3 (citing Complainant</w:t>
      </w:r>
      <w:r w:rsidR="00694B7B">
        <w:rPr>
          <w:rFonts w:eastAsia="Calibri"/>
          <w:sz w:val="26"/>
          <w:szCs w:val="26"/>
        </w:rPr>
        <w:t>’</w:t>
      </w:r>
      <w:r>
        <w:rPr>
          <w:rFonts w:eastAsia="Calibri"/>
          <w:sz w:val="26"/>
          <w:szCs w:val="26"/>
        </w:rPr>
        <w:t xml:space="preserve">s Exhibit 4).  </w:t>
      </w:r>
      <w:r w:rsidR="00F75581">
        <w:rPr>
          <w:rFonts w:eastAsia="Calibri"/>
          <w:sz w:val="26"/>
          <w:szCs w:val="26"/>
        </w:rPr>
        <w:t xml:space="preserve">According to </w:t>
      </w:r>
      <w:r w:rsidR="00E164DE">
        <w:rPr>
          <w:rFonts w:eastAsia="Calibri"/>
          <w:sz w:val="26"/>
          <w:szCs w:val="26"/>
        </w:rPr>
        <w:t>PGW</w:t>
      </w:r>
      <w:r w:rsidR="00F75581">
        <w:rPr>
          <w:rFonts w:eastAsia="Calibri"/>
          <w:sz w:val="26"/>
          <w:szCs w:val="26"/>
        </w:rPr>
        <w:t xml:space="preserve">, </w:t>
      </w:r>
      <w:r w:rsidR="00E164DE">
        <w:rPr>
          <w:rFonts w:eastAsia="Calibri"/>
          <w:sz w:val="26"/>
          <w:szCs w:val="26"/>
        </w:rPr>
        <w:t xml:space="preserve">none of the documents presented by the Complainant </w:t>
      </w:r>
      <w:r w:rsidR="00A300C9">
        <w:rPr>
          <w:rFonts w:eastAsia="Calibri"/>
          <w:sz w:val="26"/>
          <w:szCs w:val="26"/>
        </w:rPr>
        <w:t xml:space="preserve">at the hearing </w:t>
      </w:r>
      <w:r w:rsidR="00E164DE">
        <w:rPr>
          <w:rFonts w:eastAsia="Calibri"/>
          <w:sz w:val="26"/>
          <w:szCs w:val="26"/>
        </w:rPr>
        <w:t>contradict the arrangement made in the lease agreement.  R.</w:t>
      </w:r>
      <w:r w:rsidR="00F75581">
        <w:rPr>
          <w:rFonts w:eastAsia="Calibri"/>
          <w:sz w:val="26"/>
          <w:szCs w:val="26"/>
        </w:rPr>
        <w:t> </w:t>
      </w:r>
      <w:r w:rsidR="00E164DE">
        <w:rPr>
          <w:rFonts w:eastAsia="Calibri"/>
          <w:sz w:val="26"/>
          <w:szCs w:val="26"/>
        </w:rPr>
        <w:t xml:space="preserve">Exc. at 3.  </w:t>
      </w:r>
      <w:r w:rsidR="0049250C">
        <w:rPr>
          <w:rFonts w:eastAsia="Calibri"/>
          <w:sz w:val="26"/>
          <w:szCs w:val="26"/>
        </w:rPr>
        <w:t xml:space="preserve">PGW </w:t>
      </w:r>
      <w:r w:rsidR="000E3874">
        <w:rPr>
          <w:rFonts w:eastAsia="Calibri"/>
          <w:sz w:val="26"/>
          <w:szCs w:val="26"/>
        </w:rPr>
        <w:t xml:space="preserve">further </w:t>
      </w:r>
      <w:r w:rsidR="0049250C">
        <w:rPr>
          <w:rFonts w:eastAsia="Calibri"/>
          <w:sz w:val="26"/>
          <w:szCs w:val="26"/>
        </w:rPr>
        <w:t>asserts that</w:t>
      </w:r>
      <w:r w:rsidR="00A300C9">
        <w:rPr>
          <w:rFonts w:eastAsia="Calibri"/>
          <w:sz w:val="26"/>
          <w:szCs w:val="26"/>
        </w:rPr>
        <w:t xml:space="preserve"> </w:t>
      </w:r>
      <w:r w:rsidR="0049250C">
        <w:rPr>
          <w:rFonts w:eastAsia="Calibri"/>
          <w:sz w:val="26"/>
          <w:szCs w:val="26"/>
        </w:rPr>
        <w:t>subsequent exhibit</w:t>
      </w:r>
      <w:r w:rsidR="00A300C9">
        <w:rPr>
          <w:rFonts w:eastAsia="Calibri"/>
          <w:sz w:val="26"/>
          <w:szCs w:val="26"/>
        </w:rPr>
        <w:t>s</w:t>
      </w:r>
      <w:r w:rsidR="0049250C">
        <w:rPr>
          <w:rFonts w:eastAsia="Calibri"/>
          <w:sz w:val="26"/>
          <w:szCs w:val="26"/>
        </w:rPr>
        <w:t xml:space="preserve"> </w:t>
      </w:r>
      <w:r w:rsidR="00A300C9">
        <w:rPr>
          <w:rFonts w:eastAsia="Calibri"/>
          <w:sz w:val="26"/>
          <w:szCs w:val="26"/>
        </w:rPr>
        <w:t xml:space="preserve">introduced at the hearing </w:t>
      </w:r>
      <w:r w:rsidR="0049250C">
        <w:rPr>
          <w:rFonts w:eastAsia="Calibri"/>
          <w:sz w:val="26"/>
          <w:szCs w:val="26"/>
        </w:rPr>
        <w:t>show</w:t>
      </w:r>
      <w:r w:rsidR="00A300C9">
        <w:rPr>
          <w:rFonts w:eastAsia="Calibri"/>
          <w:sz w:val="26"/>
          <w:szCs w:val="26"/>
        </w:rPr>
        <w:t>ed</w:t>
      </w:r>
      <w:r w:rsidR="00B74E9A">
        <w:rPr>
          <w:rFonts w:eastAsia="Calibri"/>
          <w:sz w:val="26"/>
          <w:szCs w:val="26"/>
        </w:rPr>
        <w:t xml:space="preserve"> that the T</w:t>
      </w:r>
      <w:r w:rsidR="0049250C">
        <w:rPr>
          <w:rFonts w:eastAsia="Calibri"/>
          <w:sz w:val="26"/>
          <w:szCs w:val="26"/>
        </w:rPr>
        <w:t xml:space="preserve">enant complied with putting the gas service in her name, that AOK Business Services was operating out of the </w:t>
      </w:r>
      <w:r w:rsidR="008018AC">
        <w:rPr>
          <w:rFonts w:eastAsia="Calibri"/>
          <w:sz w:val="26"/>
          <w:szCs w:val="26"/>
        </w:rPr>
        <w:t>S</w:t>
      </w:r>
      <w:r w:rsidR="0049250C">
        <w:rPr>
          <w:rFonts w:eastAsia="Calibri"/>
          <w:sz w:val="26"/>
          <w:szCs w:val="26"/>
        </w:rPr>
        <w:t xml:space="preserve">ervice </w:t>
      </w:r>
      <w:r w:rsidR="008018AC">
        <w:rPr>
          <w:rFonts w:eastAsia="Calibri"/>
          <w:sz w:val="26"/>
          <w:szCs w:val="26"/>
        </w:rPr>
        <w:t>A</w:t>
      </w:r>
      <w:r w:rsidR="0049250C">
        <w:rPr>
          <w:rFonts w:eastAsia="Calibri"/>
          <w:sz w:val="26"/>
          <w:szCs w:val="26"/>
        </w:rPr>
        <w:t xml:space="preserve">ddress, and that the office portion of the building was “unavailable” to the </w:t>
      </w:r>
      <w:r w:rsidR="00B74E9A">
        <w:rPr>
          <w:rFonts w:eastAsia="Calibri"/>
          <w:sz w:val="26"/>
          <w:szCs w:val="26"/>
        </w:rPr>
        <w:t>T</w:t>
      </w:r>
      <w:r w:rsidR="0049250C">
        <w:rPr>
          <w:rFonts w:eastAsia="Calibri"/>
          <w:sz w:val="26"/>
          <w:szCs w:val="26"/>
        </w:rPr>
        <w:t>enant.  R. Exc. at 3 (citing Complainant</w:t>
      </w:r>
      <w:r w:rsidR="00694B7B">
        <w:rPr>
          <w:rFonts w:eastAsia="Calibri"/>
          <w:sz w:val="26"/>
          <w:szCs w:val="26"/>
        </w:rPr>
        <w:t>’</w:t>
      </w:r>
      <w:r w:rsidR="0049250C">
        <w:rPr>
          <w:rFonts w:eastAsia="Calibri"/>
          <w:sz w:val="26"/>
          <w:szCs w:val="26"/>
        </w:rPr>
        <w:t>s Exhibit</w:t>
      </w:r>
      <w:r w:rsidR="00F75581">
        <w:rPr>
          <w:rFonts w:eastAsia="Calibri"/>
          <w:sz w:val="26"/>
          <w:szCs w:val="26"/>
        </w:rPr>
        <w:t> </w:t>
      </w:r>
      <w:r w:rsidR="0049250C">
        <w:rPr>
          <w:rFonts w:eastAsia="Calibri"/>
          <w:sz w:val="26"/>
          <w:szCs w:val="26"/>
        </w:rPr>
        <w:t>5).</w:t>
      </w:r>
    </w:p>
    <w:p w:rsidR="005D160A" w:rsidRDefault="005D160A" w:rsidP="00A6670C">
      <w:pPr>
        <w:widowControl/>
        <w:spacing w:line="360" w:lineRule="auto"/>
        <w:ind w:firstLine="1440"/>
        <w:rPr>
          <w:sz w:val="26"/>
          <w:szCs w:val="26"/>
        </w:rPr>
      </w:pPr>
    </w:p>
    <w:p w:rsidR="00660781" w:rsidRDefault="000E3874" w:rsidP="00A6670C">
      <w:pPr>
        <w:widowControl/>
        <w:spacing w:line="360" w:lineRule="auto"/>
        <w:ind w:firstLine="1440"/>
        <w:rPr>
          <w:sz w:val="26"/>
          <w:szCs w:val="26"/>
        </w:rPr>
      </w:pPr>
      <w:r>
        <w:rPr>
          <w:sz w:val="26"/>
          <w:szCs w:val="26"/>
        </w:rPr>
        <w:t>Upon review, w</w:t>
      </w:r>
      <w:r w:rsidR="00660781">
        <w:rPr>
          <w:sz w:val="26"/>
          <w:szCs w:val="26"/>
        </w:rPr>
        <w:t xml:space="preserve">e </w:t>
      </w:r>
      <w:r>
        <w:rPr>
          <w:sz w:val="26"/>
          <w:szCs w:val="26"/>
        </w:rPr>
        <w:t xml:space="preserve">are compelled to </w:t>
      </w:r>
      <w:r w:rsidR="00660781">
        <w:rPr>
          <w:sz w:val="26"/>
          <w:szCs w:val="26"/>
        </w:rPr>
        <w:t>deny the Complainant</w:t>
      </w:r>
      <w:r w:rsidR="00694B7B">
        <w:rPr>
          <w:sz w:val="26"/>
          <w:szCs w:val="26"/>
        </w:rPr>
        <w:t>’</w:t>
      </w:r>
      <w:r w:rsidR="00660781">
        <w:rPr>
          <w:sz w:val="26"/>
          <w:szCs w:val="26"/>
        </w:rPr>
        <w:t>s Exceptions.</w:t>
      </w:r>
      <w:r>
        <w:rPr>
          <w:sz w:val="26"/>
          <w:szCs w:val="26"/>
        </w:rPr>
        <w:t xml:space="preserve"> </w:t>
      </w:r>
      <w:r w:rsidR="00F75581">
        <w:rPr>
          <w:sz w:val="26"/>
          <w:szCs w:val="26"/>
        </w:rPr>
        <w:t xml:space="preserve">is It </w:t>
      </w:r>
      <w:proofErr w:type="gramStart"/>
      <w:r w:rsidR="00F75581">
        <w:rPr>
          <w:sz w:val="26"/>
          <w:szCs w:val="26"/>
        </w:rPr>
        <w:t>is</w:t>
      </w:r>
      <w:proofErr w:type="gramEnd"/>
      <w:r w:rsidR="00F75581">
        <w:rPr>
          <w:sz w:val="26"/>
          <w:szCs w:val="26"/>
        </w:rPr>
        <w:t xml:space="preserve"> of no consequence to our decision </w:t>
      </w:r>
      <w:r w:rsidR="00FB486D">
        <w:rPr>
          <w:sz w:val="26"/>
          <w:szCs w:val="26"/>
        </w:rPr>
        <w:t xml:space="preserve">that </w:t>
      </w:r>
      <w:r w:rsidR="00EF3918">
        <w:rPr>
          <w:sz w:val="26"/>
          <w:szCs w:val="26"/>
        </w:rPr>
        <w:t xml:space="preserve">the Complainant </w:t>
      </w:r>
      <w:r w:rsidR="00704C1A">
        <w:rPr>
          <w:sz w:val="26"/>
          <w:szCs w:val="26"/>
        </w:rPr>
        <w:t>elected to pay a commercial rate</w:t>
      </w:r>
      <w:r w:rsidR="00EF3918">
        <w:rPr>
          <w:sz w:val="26"/>
          <w:szCs w:val="26"/>
        </w:rPr>
        <w:t xml:space="preserve"> for the building</w:t>
      </w:r>
      <w:r w:rsidR="00CE5A8E">
        <w:rPr>
          <w:sz w:val="26"/>
          <w:szCs w:val="26"/>
        </w:rPr>
        <w:t xml:space="preserve"> for both the residential and commercial areas,</w:t>
      </w:r>
      <w:r w:rsidR="00EF3918">
        <w:rPr>
          <w:sz w:val="26"/>
          <w:szCs w:val="26"/>
        </w:rPr>
        <w:t xml:space="preserve"> </w:t>
      </w:r>
      <w:r w:rsidR="00704C1A">
        <w:rPr>
          <w:sz w:val="26"/>
          <w:szCs w:val="26"/>
        </w:rPr>
        <w:t>before renting it out</w:t>
      </w:r>
      <w:r w:rsidR="00FB486D">
        <w:rPr>
          <w:sz w:val="26"/>
          <w:szCs w:val="26"/>
        </w:rPr>
        <w:t>.</w:t>
      </w:r>
      <w:r w:rsidR="00B264F5">
        <w:rPr>
          <w:sz w:val="26"/>
          <w:szCs w:val="26"/>
        </w:rPr>
        <w:t xml:space="preserve"> </w:t>
      </w:r>
      <w:r w:rsidR="00704C1A">
        <w:rPr>
          <w:sz w:val="26"/>
          <w:szCs w:val="26"/>
        </w:rPr>
        <w:t xml:space="preserve"> </w:t>
      </w:r>
      <w:r w:rsidR="00EF3918">
        <w:rPr>
          <w:sz w:val="26"/>
          <w:szCs w:val="26"/>
        </w:rPr>
        <w:t>T</w:t>
      </w:r>
      <w:r w:rsidR="00660781">
        <w:rPr>
          <w:sz w:val="26"/>
          <w:szCs w:val="26"/>
        </w:rPr>
        <w:t xml:space="preserve">he </w:t>
      </w:r>
      <w:r w:rsidR="00660781">
        <w:rPr>
          <w:rFonts w:eastAsia="Calibri"/>
          <w:sz w:val="26"/>
          <w:szCs w:val="26"/>
        </w:rPr>
        <w:t>Complainant</w:t>
      </w:r>
      <w:r w:rsidR="00694B7B">
        <w:rPr>
          <w:rFonts w:eastAsia="Calibri"/>
          <w:sz w:val="26"/>
          <w:szCs w:val="26"/>
        </w:rPr>
        <w:t>’</w:t>
      </w:r>
      <w:r w:rsidR="00660781">
        <w:rPr>
          <w:rFonts w:eastAsia="Calibri"/>
          <w:sz w:val="26"/>
          <w:szCs w:val="26"/>
        </w:rPr>
        <w:t>s own testimony and exhibits at the hearing</w:t>
      </w:r>
      <w:r w:rsidR="00704C1A">
        <w:rPr>
          <w:rFonts w:eastAsia="Calibri"/>
          <w:sz w:val="26"/>
          <w:szCs w:val="26"/>
        </w:rPr>
        <w:t xml:space="preserve"> </w:t>
      </w:r>
      <w:r w:rsidR="00660781">
        <w:rPr>
          <w:rFonts w:eastAsia="Calibri"/>
          <w:sz w:val="26"/>
          <w:szCs w:val="26"/>
        </w:rPr>
        <w:t xml:space="preserve">show that </w:t>
      </w:r>
      <w:r w:rsidR="00FB486D">
        <w:rPr>
          <w:rFonts w:eastAsia="Calibri"/>
          <w:sz w:val="26"/>
          <w:szCs w:val="26"/>
        </w:rPr>
        <w:t xml:space="preserve">she, </w:t>
      </w:r>
      <w:r w:rsidR="00400C54">
        <w:rPr>
          <w:rFonts w:eastAsia="Calibri"/>
          <w:sz w:val="26"/>
          <w:szCs w:val="26"/>
        </w:rPr>
        <w:t>as the property owner,</w:t>
      </w:r>
      <w:r w:rsidR="00660781">
        <w:rPr>
          <w:rFonts w:eastAsia="Calibri"/>
          <w:sz w:val="26"/>
          <w:szCs w:val="26"/>
        </w:rPr>
        <w:t xml:space="preserve"> </w:t>
      </w:r>
      <w:r w:rsidR="00400C54">
        <w:rPr>
          <w:rFonts w:eastAsia="Calibri"/>
          <w:sz w:val="26"/>
          <w:szCs w:val="26"/>
        </w:rPr>
        <w:t>created a mixed</w:t>
      </w:r>
      <w:r w:rsidR="008E4B34">
        <w:rPr>
          <w:rFonts w:eastAsia="Calibri"/>
          <w:sz w:val="26"/>
          <w:szCs w:val="26"/>
        </w:rPr>
        <w:t>-</w:t>
      </w:r>
      <w:r w:rsidR="00400C54">
        <w:rPr>
          <w:rFonts w:eastAsia="Calibri"/>
          <w:sz w:val="26"/>
          <w:szCs w:val="26"/>
        </w:rPr>
        <w:t xml:space="preserve">use building </w:t>
      </w:r>
      <w:r w:rsidR="00704C1A">
        <w:rPr>
          <w:rFonts w:eastAsia="Calibri"/>
          <w:sz w:val="26"/>
          <w:szCs w:val="26"/>
        </w:rPr>
        <w:t xml:space="preserve">by signing the lease </w:t>
      </w:r>
      <w:r w:rsidR="00CA23E4">
        <w:rPr>
          <w:rFonts w:eastAsia="Calibri"/>
          <w:sz w:val="26"/>
          <w:szCs w:val="26"/>
        </w:rPr>
        <w:t xml:space="preserve">that </w:t>
      </w:r>
      <w:r w:rsidR="00704C1A">
        <w:rPr>
          <w:rFonts w:eastAsia="Calibri"/>
          <w:sz w:val="26"/>
          <w:szCs w:val="26"/>
        </w:rPr>
        <w:t>grant</w:t>
      </w:r>
      <w:r w:rsidR="00CA23E4">
        <w:rPr>
          <w:rFonts w:eastAsia="Calibri"/>
          <w:sz w:val="26"/>
          <w:szCs w:val="26"/>
        </w:rPr>
        <w:t>ed</w:t>
      </w:r>
      <w:r w:rsidR="00660781">
        <w:rPr>
          <w:rFonts w:eastAsia="Calibri"/>
          <w:sz w:val="26"/>
          <w:szCs w:val="26"/>
        </w:rPr>
        <w:t xml:space="preserve"> </w:t>
      </w:r>
      <w:r>
        <w:rPr>
          <w:rFonts w:eastAsia="Calibri"/>
          <w:sz w:val="26"/>
          <w:szCs w:val="26"/>
        </w:rPr>
        <w:t>t</w:t>
      </w:r>
      <w:r w:rsidR="00211169">
        <w:rPr>
          <w:rFonts w:eastAsia="Calibri"/>
          <w:sz w:val="26"/>
          <w:szCs w:val="26"/>
        </w:rPr>
        <w:t>he Tenant</w:t>
      </w:r>
      <w:r w:rsidR="00660781">
        <w:rPr>
          <w:rFonts w:eastAsia="Calibri"/>
          <w:sz w:val="26"/>
          <w:szCs w:val="26"/>
        </w:rPr>
        <w:t xml:space="preserve"> </w:t>
      </w:r>
      <w:r w:rsidR="00BF0CEC">
        <w:rPr>
          <w:rFonts w:eastAsia="Calibri"/>
          <w:sz w:val="26"/>
          <w:szCs w:val="26"/>
        </w:rPr>
        <w:t xml:space="preserve">restricted </w:t>
      </w:r>
      <w:r w:rsidR="00660781">
        <w:rPr>
          <w:rFonts w:eastAsia="Calibri"/>
          <w:sz w:val="26"/>
          <w:szCs w:val="26"/>
        </w:rPr>
        <w:t>residential</w:t>
      </w:r>
      <w:r w:rsidR="00BF0CEC">
        <w:rPr>
          <w:rFonts w:eastAsia="Calibri"/>
          <w:sz w:val="26"/>
          <w:szCs w:val="26"/>
        </w:rPr>
        <w:t xml:space="preserve"> access to </w:t>
      </w:r>
      <w:r w:rsidR="00660781">
        <w:rPr>
          <w:rFonts w:eastAsia="Calibri"/>
          <w:sz w:val="26"/>
          <w:szCs w:val="26"/>
        </w:rPr>
        <w:t xml:space="preserve">a portion of the building while </w:t>
      </w:r>
      <w:r w:rsidR="00CA23E4">
        <w:rPr>
          <w:rFonts w:eastAsia="Calibri"/>
          <w:sz w:val="26"/>
          <w:szCs w:val="26"/>
        </w:rPr>
        <w:t xml:space="preserve">also </w:t>
      </w:r>
      <w:r w:rsidR="00704C1A">
        <w:rPr>
          <w:rFonts w:eastAsia="Calibri"/>
          <w:sz w:val="26"/>
          <w:szCs w:val="26"/>
        </w:rPr>
        <w:t xml:space="preserve">granting </w:t>
      </w:r>
      <w:r w:rsidR="00660781">
        <w:rPr>
          <w:rFonts w:eastAsia="Calibri"/>
          <w:sz w:val="26"/>
          <w:szCs w:val="26"/>
        </w:rPr>
        <w:t xml:space="preserve">the </w:t>
      </w:r>
      <w:r w:rsidR="005D160A">
        <w:rPr>
          <w:rFonts w:eastAsia="Calibri"/>
          <w:sz w:val="26"/>
          <w:szCs w:val="26"/>
        </w:rPr>
        <w:t>property manager</w:t>
      </w:r>
      <w:r w:rsidR="00704C1A">
        <w:rPr>
          <w:rFonts w:eastAsia="Calibri"/>
          <w:sz w:val="26"/>
          <w:szCs w:val="26"/>
        </w:rPr>
        <w:t xml:space="preserve"> </w:t>
      </w:r>
      <w:r w:rsidR="00BF0CEC">
        <w:rPr>
          <w:rFonts w:eastAsia="Calibri"/>
          <w:sz w:val="26"/>
          <w:szCs w:val="26"/>
        </w:rPr>
        <w:t>access</w:t>
      </w:r>
      <w:r w:rsidR="00660781">
        <w:rPr>
          <w:rFonts w:eastAsia="Calibri"/>
          <w:sz w:val="26"/>
          <w:szCs w:val="26"/>
        </w:rPr>
        <w:t xml:space="preserve"> to the remainder of the building</w:t>
      </w:r>
      <w:r w:rsidR="005D160A">
        <w:rPr>
          <w:rFonts w:eastAsia="Calibri"/>
          <w:sz w:val="26"/>
          <w:szCs w:val="26"/>
        </w:rPr>
        <w:t xml:space="preserve"> to run a separate </w:t>
      </w:r>
      <w:r w:rsidR="00BF0CEC">
        <w:rPr>
          <w:rFonts w:eastAsia="Calibri"/>
          <w:sz w:val="26"/>
          <w:szCs w:val="26"/>
        </w:rPr>
        <w:t xml:space="preserve">commercial </w:t>
      </w:r>
      <w:r w:rsidR="005D160A">
        <w:rPr>
          <w:rFonts w:eastAsia="Calibri"/>
          <w:sz w:val="26"/>
          <w:szCs w:val="26"/>
        </w:rPr>
        <w:t>business</w:t>
      </w:r>
      <w:r w:rsidR="00DE41A7">
        <w:rPr>
          <w:rFonts w:eastAsia="Calibri"/>
          <w:sz w:val="26"/>
          <w:szCs w:val="26"/>
        </w:rPr>
        <w:t xml:space="preserve"> (AOK Business)</w:t>
      </w:r>
      <w:r w:rsidR="00660781">
        <w:rPr>
          <w:rFonts w:eastAsia="Calibri"/>
          <w:sz w:val="26"/>
          <w:szCs w:val="26"/>
        </w:rPr>
        <w:t xml:space="preserve">.  </w:t>
      </w:r>
      <w:r w:rsidR="00B264F5">
        <w:rPr>
          <w:rFonts w:eastAsia="Calibri"/>
          <w:sz w:val="26"/>
          <w:szCs w:val="26"/>
        </w:rPr>
        <w:t xml:space="preserve">Such circumstances squarely fit the description of a mixed-use </w:t>
      </w:r>
      <w:r w:rsidR="00B264F5" w:rsidRPr="00687B34">
        <w:rPr>
          <w:sz w:val="26"/>
          <w:szCs w:val="26"/>
        </w:rPr>
        <w:t>residential</w:t>
      </w:r>
      <w:r w:rsidR="00B264F5">
        <w:rPr>
          <w:sz w:val="26"/>
          <w:szCs w:val="26"/>
        </w:rPr>
        <w:t>/commercial</w:t>
      </w:r>
      <w:r w:rsidR="00B264F5" w:rsidRPr="00687B34">
        <w:rPr>
          <w:sz w:val="26"/>
          <w:szCs w:val="26"/>
        </w:rPr>
        <w:t xml:space="preserve"> building contain</w:t>
      </w:r>
      <w:r w:rsidR="00B264F5">
        <w:rPr>
          <w:sz w:val="26"/>
          <w:szCs w:val="26"/>
        </w:rPr>
        <w:t>ing one</w:t>
      </w:r>
      <w:r w:rsidR="00B264F5" w:rsidRPr="00687B34">
        <w:rPr>
          <w:sz w:val="26"/>
          <w:szCs w:val="26"/>
        </w:rPr>
        <w:t xml:space="preserve"> </w:t>
      </w:r>
      <w:r w:rsidR="00B264F5">
        <w:rPr>
          <w:sz w:val="26"/>
          <w:szCs w:val="26"/>
        </w:rPr>
        <w:t xml:space="preserve">residential </w:t>
      </w:r>
      <w:r w:rsidR="00B264F5" w:rsidRPr="00687B34">
        <w:rPr>
          <w:sz w:val="26"/>
          <w:szCs w:val="26"/>
        </w:rPr>
        <w:t>dwelling unit</w:t>
      </w:r>
      <w:r w:rsidR="00B264F5">
        <w:rPr>
          <w:sz w:val="26"/>
          <w:szCs w:val="26"/>
        </w:rPr>
        <w:t xml:space="preserve"> </w:t>
      </w:r>
      <w:r w:rsidR="00B264F5" w:rsidRPr="00687B34">
        <w:rPr>
          <w:sz w:val="26"/>
          <w:szCs w:val="26"/>
        </w:rPr>
        <w:t>not</w:t>
      </w:r>
      <w:r w:rsidR="00B264F5">
        <w:rPr>
          <w:sz w:val="26"/>
          <w:szCs w:val="26"/>
        </w:rPr>
        <w:t xml:space="preserve"> individually metered from the commercial unit, </w:t>
      </w:r>
      <w:r w:rsidR="00EE6BD9">
        <w:rPr>
          <w:sz w:val="26"/>
          <w:szCs w:val="26"/>
        </w:rPr>
        <w:t>requiring the application of</w:t>
      </w:r>
      <w:r w:rsidR="00B264F5">
        <w:rPr>
          <w:sz w:val="26"/>
          <w:szCs w:val="26"/>
        </w:rPr>
        <w:t xml:space="preserve"> the foreign load rules</w:t>
      </w:r>
      <w:r w:rsidR="00EE6BD9">
        <w:rPr>
          <w:sz w:val="26"/>
          <w:szCs w:val="26"/>
        </w:rPr>
        <w:t xml:space="preserve"> pursuant to Code Section 1529.1</w:t>
      </w:r>
      <w:r w:rsidR="00B264F5">
        <w:rPr>
          <w:sz w:val="26"/>
          <w:szCs w:val="26"/>
        </w:rPr>
        <w:t xml:space="preserve"> and </w:t>
      </w:r>
      <w:r w:rsidR="00FB486D">
        <w:rPr>
          <w:sz w:val="26"/>
          <w:szCs w:val="26"/>
        </w:rPr>
        <w:t xml:space="preserve">the associated </w:t>
      </w:r>
      <w:r w:rsidR="00B264F5">
        <w:rPr>
          <w:sz w:val="26"/>
          <w:szCs w:val="26"/>
        </w:rPr>
        <w:t>Commission</w:t>
      </w:r>
      <w:r w:rsidR="00FB486D">
        <w:rPr>
          <w:sz w:val="26"/>
          <w:szCs w:val="26"/>
        </w:rPr>
        <w:t xml:space="preserve"> Orders cited, </w:t>
      </w:r>
      <w:r w:rsidR="00FB486D">
        <w:rPr>
          <w:i/>
          <w:sz w:val="26"/>
          <w:szCs w:val="26"/>
        </w:rPr>
        <w:t>supra</w:t>
      </w:r>
      <w:r w:rsidR="00FB486D">
        <w:rPr>
          <w:sz w:val="26"/>
          <w:szCs w:val="26"/>
        </w:rPr>
        <w:t>.</w:t>
      </w:r>
    </w:p>
    <w:p w:rsidR="00DC43DC" w:rsidRDefault="00DC43DC" w:rsidP="00A6670C">
      <w:pPr>
        <w:widowControl/>
        <w:spacing w:line="360" w:lineRule="auto"/>
        <w:ind w:firstLine="1440"/>
        <w:rPr>
          <w:sz w:val="26"/>
          <w:szCs w:val="26"/>
        </w:rPr>
      </w:pPr>
    </w:p>
    <w:p w:rsidR="00FD0EDF" w:rsidRDefault="00DE41A7" w:rsidP="00A6670C">
      <w:pPr>
        <w:widowControl/>
        <w:spacing w:line="360" w:lineRule="auto"/>
        <w:ind w:firstLine="1440"/>
        <w:rPr>
          <w:sz w:val="26"/>
          <w:szCs w:val="26"/>
        </w:rPr>
      </w:pPr>
      <w:r>
        <w:rPr>
          <w:rFonts w:eastAsia="Calibri"/>
          <w:sz w:val="26"/>
          <w:szCs w:val="26"/>
        </w:rPr>
        <w:t>As for the Complainant</w:t>
      </w:r>
      <w:r w:rsidR="00694B7B">
        <w:rPr>
          <w:rFonts w:eastAsia="Calibri"/>
          <w:sz w:val="26"/>
          <w:szCs w:val="26"/>
        </w:rPr>
        <w:t>’</w:t>
      </w:r>
      <w:r>
        <w:rPr>
          <w:rFonts w:eastAsia="Calibri"/>
          <w:sz w:val="26"/>
          <w:szCs w:val="26"/>
        </w:rPr>
        <w:t xml:space="preserve">s claims that </w:t>
      </w:r>
      <w:r w:rsidR="00F53B64">
        <w:rPr>
          <w:rFonts w:eastAsia="Calibri"/>
          <w:sz w:val="26"/>
          <w:szCs w:val="26"/>
        </w:rPr>
        <w:t>t</w:t>
      </w:r>
      <w:r w:rsidR="00211169">
        <w:rPr>
          <w:rFonts w:eastAsia="Calibri"/>
          <w:sz w:val="26"/>
          <w:szCs w:val="26"/>
        </w:rPr>
        <w:t>he Tenant</w:t>
      </w:r>
      <w:r>
        <w:rPr>
          <w:rFonts w:eastAsia="Calibri"/>
          <w:sz w:val="26"/>
          <w:szCs w:val="26"/>
        </w:rPr>
        <w:t xml:space="preserve"> was not a l</w:t>
      </w:r>
      <w:r w:rsidR="004F42F6">
        <w:rPr>
          <w:rFonts w:eastAsia="Calibri"/>
          <w:sz w:val="26"/>
          <w:szCs w:val="26"/>
        </w:rPr>
        <w:t>awful</w:t>
      </w:r>
      <w:r>
        <w:rPr>
          <w:rFonts w:eastAsia="Calibri"/>
          <w:sz w:val="26"/>
          <w:szCs w:val="26"/>
        </w:rPr>
        <w:t xml:space="preserve"> tenant and never paid her rent, such </w:t>
      </w:r>
      <w:r w:rsidR="00C72A9C">
        <w:rPr>
          <w:rFonts w:eastAsia="Calibri"/>
          <w:sz w:val="26"/>
          <w:szCs w:val="26"/>
        </w:rPr>
        <w:t xml:space="preserve">claims, again, </w:t>
      </w:r>
      <w:r>
        <w:rPr>
          <w:rFonts w:eastAsia="Calibri"/>
          <w:sz w:val="26"/>
          <w:szCs w:val="26"/>
        </w:rPr>
        <w:t xml:space="preserve">are of no consequence to our decision here.  Rather, such </w:t>
      </w:r>
      <w:r w:rsidR="00293416">
        <w:rPr>
          <w:rFonts w:eastAsia="Calibri"/>
          <w:sz w:val="26"/>
          <w:szCs w:val="26"/>
        </w:rPr>
        <w:t>matters</w:t>
      </w:r>
      <w:r w:rsidR="0034190B">
        <w:rPr>
          <w:rFonts w:eastAsia="Calibri"/>
          <w:sz w:val="26"/>
          <w:szCs w:val="26"/>
        </w:rPr>
        <w:t xml:space="preserve"> involve the</w:t>
      </w:r>
      <w:r w:rsidR="00293416">
        <w:rPr>
          <w:rFonts w:eastAsia="Calibri"/>
          <w:sz w:val="26"/>
          <w:szCs w:val="26"/>
        </w:rPr>
        <w:t xml:space="preserve"> </w:t>
      </w:r>
      <w:r>
        <w:rPr>
          <w:rFonts w:eastAsia="Calibri"/>
          <w:sz w:val="26"/>
          <w:szCs w:val="26"/>
        </w:rPr>
        <w:t>private dispute between a landlord and tenant involving questions of</w:t>
      </w:r>
      <w:r w:rsidR="00293416">
        <w:rPr>
          <w:rFonts w:eastAsia="Calibri"/>
          <w:sz w:val="26"/>
          <w:szCs w:val="26"/>
        </w:rPr>
        <w:t xml:space="preserve"> </w:t>
      </w:r>
      <w:r w:rsidR="004F42F6">
        <w:rPr>
          <w:rFonts w:eastAsia="Calibri"/>
          <w:sz w:val="26"/>
          <w:szCs w:val="26"/>
        </w:rPr>
        <w:t>real property and contract law</w:t>
      </w:r>
      <w:r>
        <w:rPr>
          <w:rFonts w:eastAsia="Calibri"/>
          <w:sz w:val="26"/>
          <w:szCs w:val="26"/>
        </w:rPr>
        <w:t xml:space="preserve">.  </w:t>
      </w:r>
      <w:r w:rsidR="00C83A28">
        <w:rPr>
          <w:rFonts w:eastAsia="Calibri"/>
          <w:sz w:val="26"/>
          <w:szCs w:val="26"/>
        </w:rPr>
        <w:t xml:space="preserve">Consequently, </w:t>
      </w:r>
      <w:r w:rsidR="008A1873">
        <w:rPr>
          <w:rFonts w:eastAsia="Calibri"/>
          <w:sz w:val="26"/>
          <w:szCs w:val="26"/>
        </w:rPr>
        <w:t>whether the Tenant was initially a</w:t>
      </w:r>
      <w:r w:rsidR="00F53B64">
        <w:rPr>
          <w:rFonts w:eastAsia="Calibri"/>
          <w:sz w:val="26"/>
          <w:szCs w:val="26"/>
        </w:rPr>
        <w:t xml:space="preserve"> l</w:t>
      </w:r>
      <w:r w:rsidR="001767E8">
        <w:rPr>
          <w:rFonts w:eastAsia="Calibri"/>
          <w:sz w:val="26"/>
          <w:szCs w:val="26"/>
        </w:rPr>
        <w:t>awful</w:t>
      </w:r>
      <w:r w:rsidR="00F53B64">
        <w:rPr>
          <w:rFonts w:eastAsia="Calibri"/>
          <w:sz w:val="26"/>
          <w:szCs w:val="26"/>
        </w:rPr>
        <w:t xml:space="preserve"> tenant</w:t>
      </w:r>
      <w:r w:rsidR="008A1873">
        <w:rPr>
          <w:rFonts w:eastAsia="Calibri"/>
          <w:sz w:val="26"/>
          <w:szCs w:val="26"/>
        </w:rPr>
        <w:t xml:space="preserve">, or </w:t>
      </w:r>
      <w:r w:rsidR="00CF5494">
        <w:rPr>
          <w:rFonts w:eastAsia="Calibri"/>
          <w:sz w:val="26"/>
          <w:szCs w:val="26"/>
        </w:rPr>
        <w:t xml:space="preserve">whether the Tenant </w:t>
      </w:r>
      <w:r w:rsidR="008A1873">
        <w:rPr>
          <w:rFonts w:eastAsia="Calibri"/>
          <w:sz w:val="26"/>
          <w:szCs w:val="26"/>
        </w:rPr>
        <w:t>somewhere along the way stopped being a lawful tenant,</w:t>
      </w:r>
      <w:r w:rsidR="00F53B64">
        <w:rPr>
          <w:rFonts w:eastAsia="Calibri"/>
          <w:sz w:val="26"/>
          <w:szCs w:val="26"/>
        </w:rPr>
        <w:t xml:space="preserve"> is a private </w:t>
      </w:r>
      <w:r>
        <w:rPr>
          <w:rFonts w:eastAsia="Calibri"/>
          <w:sz w:val="26"/>
          <w:szCs w:val="26"/>
        </w:rPr>
        <w:t>matter outside the subject matter jurisdiction of thi</w:t>
      </w:r>
      <w:r w:rsidR="008018AC">
        <w:rPr>
          <w:rFonts w:eastAsia="Calibri"/>
          <w:sz w:val="26"/>
          <w:szCs w:val="26"/>
        </w:rPr>
        <w:t>s Co</w:t>
      </w:r>
      <w:r>
        <w:rPr>
          <w:rFonts w:eastAsia="Calibri"/>
          <w:sz w:val="26"/>
          <w:szCs w:val="26"/>
        </w:rPr>
        <w:t>mmission</w:t>
      </w:r>
      <w:r w:rsidR="008A1873">
        <w:rPr>
          <w:rFonts w:eastAsia="Calibri"/>
          <w:sz w:val="26"/>
          <w:szCs w:val="26"/>
        </w:rPr>
        <w:t>,</w:t>
      </w:r>
      <w:r>
        <w:rPr>
          <w:rFonts w:eastAsia="Calibri"/>
          <w:sz w:val="26"/>
          <w:szCs w:val="26"/>
        </w:rPr>
        <w:t xml:space="preserve"> </w:t>
      </w:r>
      <w:r w:rsidR="00FB486D">
        <w:rPr>
          <w:rFonts w:eastAsia="Calibri"/>
          <w:sz w:val="26"/>
          <w:szCs w:val="26"/>
        </w:rPr>
        <w:t xml:space="preserve">and </w:t>
      </w:r>
      <w:r w:rsidR="001767E8">
        <w:rPr>
          <w:rFonts w:eastAsia="Calibri"/>
          <w:sz w:val="26"/>
          <w:szCs w:val="26"/>
        </w:rPr>
        <w:t xml:space="preserve">which </w:t>
      </w:r>
      <w:r w:rsidR="00F0520F">
        <w:rPr>
          <w:rFonts w:eastAsia="Calibri"/>
          <w:sz w:val="26"/>
          <w:szCs w:val="26"/>
        </w:rPr>
        <w:t xml:space="preserve">can </w:t>
      </w:r>
      <w:r w:rsidR="001767E8">
        <w:rPr>
          <w:rFonts w:eastAsia="Calibri"/>
          <w:sz w:val="26"/>
          <w:szCs w:val="26"/>
        </w:rPr>
        <w:t>only be</w:t>
      </w:r>
      <w:r>
        <w:rPr>
          <w:rFonts w:eastAsia="Calibri"/>
          <w:sz w:val="26"/>
          <w:szCs w:val="26"/>
        </w:rPr>
        <w:t xml:space="preserve"> addressed by a court of competent jurisdiction.</w:t>
      </w:r>
      <w:r w:rsidR="00F63EDC" w:rsidRPr="00F63EDC">
        <w:rPr>
          <w:rStyle w:val="FootnoteReference"/>
          <w:sz w:val="26"/>
          <w:szCs w:val="26"/>
        </w:rPr>
        <w:footnoteReference w:id="15"/>
      </w:r>
    </w:p>
    <w:p w:rsidR="00CE5A8E" w:rsidRDefault="00CE5A8E" w:rsidP="00A6670C">
      <w:pPr>
        <w:widowControl/>
        <w:spacing w:line="360" w:lineRule="auto"/>
        <w:ind w:firstLine="1440"/>
        <w:rPr>
          <w:sz w:val="26"/>
          <w:szCs w:val="26"/>
        </w:rPr>
      </w:pPr>
    </w:p>
    <w:p w:rsidR="002647A5" w:rsidRDefault="00FB486D" w:rsidP="00A6670C">
      <w:pPr>
        <w:widowControl/>
        <w:spacing w:line="360" w:lineRule="auto"/>
        <w:ind w:firstLine="1440"/>
        <w:rPr>
          <w:color w:val="212121"/>
          <w:sz w:val="26"/>
          <w:szCs w:val="26"/>
        </w:rPr>
      </w:pPr>
      <w:r>
        <w:rPr>
          <w:color w:val="212121"/>
          <w:sz w:val="26"/>
          <w:szCs w:val="26"/>
        </w:rPr>
        <w:t>T</w:t>
      </w:r>
      <w:r w:rsidR="0069674A">
        <w:rPr>
          <w:color w:val="212121"/>
          <w:sz w:val="26"/>
          <w:szCs w:val="26"/>
        </w:rPr>
        <w:t>he Complainant</w:t>
      </w:r>
      <w:r w:rsidR="00682161">
        <w:rPr>
          <w:color w:val="212121"/>
          <w:sz w:val="26"/>
          <w:szCs w:val="26"/>
        </w:rPr>
        <w:t xml:space="preserve"> </w:t>
      </w:r>
      <w:r>
        <w:rPr>
          <w:color w:val="212121"/>
          <w:sz w:val="26"/>
          <w:szCs w:val="26"/>
        </w:rPr>
        <w:t xml:space="preserve">next </w:t>
      </w:r>
      <w:r w:rsidR="00316B06">
        <w:rPr>
          <w:color w:val="212121"/>
          <w:sz w:val="26"/>
          <w:szCs w:val="26"/>
        </w:rPr>
        <w:t>argues</w:t>
      </w:r>
      <w:r w:rsidR="008A6A4C">
        <w:rPr>
          <w:color w:val="212121"/>
          <w:sz w:val="26"/>
          <w:szCs w:val="26"/>
        </w:rPr>
        <w:t xml:space="preserve"> </w:t>
      </w:r>
      <w:r w:rsidR="00DB26FC">
        <w:rPr>
          <w:color w:val="212121"/>
          <w:sz w:val="26"/>
          <w:szCs w:val="26"/>
        </w:rPr>
        <w:t xml:space="preserve">that because </w:t>
      </w:r>
      <w:r w:rsidR="009A4CF1">
        <w:rPr>
          <w:color w:val="212121"/>
          <w:sz w:val="26"/>
          <w:szCs w:val="26"/>
        </w:rPr>
        <w:t>t</w:t>
      </w:r>
      <w:r w:rsidR="00211169">
        <w:rPr>
          <w:color w:val="212121"/>
          <w:sz w:val="26"/>
          <w:szCs w:val="26"/>
        </w:rPr>
        <w:t>he Tenant</w:t>
      </w:r>
      <w:r w:rsidR="00DB26FC">
        <w:rPr>
          <w:color w:val="212121"/>
          <w:sz w:val="26"/>
          <w:szCs w:val="26"/>
        </w:rPr>
        <w:t xml:space="preserve"> was the sole occupant </w:t>
      </w:r>
      <w:r w:rsidR="00682161">
        <w:rPr>
          <w:color w:val="212121"/>
          <w:sz w:val="26"/>
          <w:szCs w:val="26"/>
        </w:rPr>
        <w:t xml:space="preserve">of the building </w:t>
      </w:r>
      <w:r w:rsidR="007C5EDB">
        <w:rPr>
          <w:color w:val="212121"/>
          <w:sz w:val="26"/>
          <w:szCs w:val="26"/>
        </w:rPr>
        <w:t>and</w:t>
      </w:r>
      <w:r w:rsidR="008305F0">
        <w:rPr>
          <w:color w:val="212121"/>
          <w:sz w:val="26"/>
          <w:szCs w:val="26"/>
        </w:rPr>
        <w:t xml:space="preserve"> unlawfully</w:t>
      </w:r>
      <w:r w:rsidR="000E2782">
        <w:rPr>
          <w:color w:val="212121"/>
          <w:sz w:val="26"/>
          <w:szCs w:val="26"/>
        </w:rPr>
        <w:t xml:space="preserve"> took control of</w:t>
      </w:r>
      <w:r w:rsidR="008305F0">
        <w:rPr>
          <w:color w:val="212121"/>
          <w:sz w:val="26"/>
          <w:szCs w:val="26"/>
        </w:rPr>
        <w:t xml:space="preserve"> and occupied the entire</w:t>
      </w:r>
      <w:r w:rsidR="000E2782">
        <w:rPr>
          <w:color w:val="212121"/>
          <w:sz w:val="26"/>
          <w:szCs w:val="26"/>
        </w:rPr>
        <w:t xml:space="preserve"> building</w:t>
      </w:r>
      <w:r w:rsidR="00316B06">
        <w:rPr>
          <w:color w:val="212121"/>
          <w:sz w:val="26"/>
          <w:szCs w:val="26"/>
        </w:rPr>
        <w:t xml:space="preserve"> in March 2016</w:t>
      </w:r>
      <w:r w:rsidR="00DB26FC">
        <w:rPr>
          <w:color w:val="212121"/>
          <w:sz w:val="26"/>
          <w:szCs w:val="26"/>
        </w:rPr>
        <w:t>,</w:t>
      </w:r>
      <w:r w:rsidR="000E2782">
        <w:rPr>
          <w:color w:val="212121"/>
          <w:sz w:val="26"/>
          <w:szCs w:val="26"/>
        </w:rPr>
        <w:t xml:space="preserve"> </w:t>
      </w:r>
      <w:r w:rsidR="00D95AE9">
        <w:rPr>
          <w:color w:val="212121"/>
          <w:sz w:val="26"/>
          <w:szCs w:val="26"/>
        </w:rPr>
        <w:t>t</w:t>
      </w:r>
      <w:r w:rsidR="00211169">
        <w:rPr>
          <w:color w:val="212121"/>
          <w:sz w:val="26"/>
          <w:szCs w:val="26"/>
        </w:rPr>
        <w:t>he Tenant</w:t>
      </w:r>
      <w:r w:rsidR="000E2782">
        <w:rPr>
          <w:color w:val="212121"/>
          <w:sz w:val="26"/>
          <w:szCs w:val="26"/>
        </w:rPr>
        <w:t xml:space="preserve"> sho</w:t>
      </w:r>
      <w:r w:rsidR="00EF3918">
        <w:rPr>
          <w:color w:val="212121"/>
          <w:sz w:val="26"/>
          <w:szCs w:val="26"/>
        </w:rPr>
        <w:t xml:space="preserve">uld be held responsible for the </w:t>
      </w:r>
      <w:r w:rsidR="00D95AE9">
        <w:rPr>
          <w:color w:val="212121"/>
          <w:sz w:val="26"/>
          <w:szCs w:val="26"/>
        </w:rPr>
        <w:t xml:space="preserve">entire </w:t>
      </w:r>
      <w:r w:rsidR="000E2782">
        <w:rPr>
          <w:color w:val="212121"/>
          <w:sz w:val="26"/>
          <w:szCs w:val="26"/>
        </w:rPr>
        <w:t>arrearage</w:t>
      </w:r>
      <w:r w:rsidR="00316B06">
        <w:rPr>
          <w:color w:val="212121"/>
          <w:sz w:val="26"/>
          <w:szCs w:val="26"/>
        </w:rPr>
        <w:t xml:space="preserve"> on the account</w:t>
      </w:r>
      <w:r w:rsidR="008A6A4C">
        <w:rPr>
          <w:color w:val="212121"/>
          <w:sz w:val="26"/>
          <w:szCs w:val="26"/>
        </w:rPr>
        <w:t xml:space="preserve">.  </w:t>
      </w:r>
      <w:r w:rsidR="00682161">
        <w:rPr>
          <w:color w:val="212121"/>
          <w:sz w:val="26"/>
          <w:szCs w:val="26"/>
        </w:rPr>
        <w:t>Exc. at</w:t>
      </w:r>
      <w:r>
        <w:rPr>
          <w:color w:val="212121"/>
          <w:sz w:val="26"/>
          <w:szCs w:val="26"/>
        </w:rPr>
        <w:t> </w:t>
      </w:r>
      <w:r w:rsidR="00682161">
        <w:rPr>
          <w:color w:val="212121"/>
          <w:sz w:val="26"/>
          <w:szCs w:val="26"/>
        </w:rPr>
        <w:t xml:space="preserve">2. </w:t>
      </w:r>
      <w:r w:rsidR="008305F0">
        <w:rPr>
          <w:color w:val="212121"/>
          <w:sz w:val="26"/>
          <w:szCs w:val="26"/>
        </w:rPr>
        <w:t xml:space="preserve"> </w:t>
      </w:r>
      <w:r w:rsidR="00245C30">
        <w:rPr>
          <w:color w:val="212121"/>
          <w:sz w:val="26"/>
          <w:szCs w:val="26"/>
        </w:rPr>
        <w:t xml:space="preserve">She proposes that PGW transfer the </w:t>
      </w:r>
      <w:r w:rsidR="00466E85">
        <w:rPr>
          <w:color w:val="212121"/>
          <w:sz w:val="26"/>
          <w:szCs w:val="26"/>
        </w:rPr>
        <w:t xml:space="preserve">outstanding </w:t>
      </w:r>
      <w:r w:rsidR="00245C30">
        <w:rPr>
          <w:color w:val="212121"/>
          <w:sz w:val="26"/>
          <w:szCs w:val="26"/>
        </w:rPr>
        <w:t xml:space="preserve">debt to </w:t>
      </w:r>
      <w:r w:rsidR="00D95AE9">
        <w:rPr>
          <w:color w:val="212121"/>
          <w:sz w:val="26"/>
          <w:szCs w:val="26"/>
        </w:rPr>
        <w:t>t</w:t>
      </w:r>
      <w:r w:rsidR="00211169">
        <w:rPr>
          <w:color w:val="212121"/>
          <w:sz w:val="26"/>
          <w:szCs w:val="26"/>
        </w:rPr>
        <w:t>he Tenant</w:t>
      </w:r>
      <w:r w:rsidR="00694B7B">
        <w:rPr>
          <w:color w:val="212121"/>
          <w:sz w:val="26"/>
          <w:szCs w:val="26"/>
        </w:rPr>
        <w:t>’</w:t>
      </w:r>
      <w:r w:rsidR="00245C30">
        <w:rPr>
          <w:color w:val="212121"/>
          <w:sz w:val="26"/>
          <w:szCs w:val="26"/>
        </w:rPr>
        <w:t>s new residence.  Exc. at 2.</w:t>
      </w:r>
    </w:p>
    <w:p w:rsidR="002647A5" w:rsidRDefault="002647A5" w:rsidP="00A6670C">
      <w:pPr>
        <w:widowControl/>
        <w:spacing w:line="360" w:lineRule="auto"/>
        <w:ind w:firstLine="1440"/>
        <w:rPr>
          <w:color w:val="212121"/>
          <w:sz w:val="26"/>
          <w:szCs w:val="26"/>
        </w:rPr>
      </w:pPr>
    </w:p>
    <w:p w:rsidR="00340799" w:rsidRDefault="00D95AE9" w:rsidP="00A6670C">
      <w:pPr>
        <w:widowControl/>
        <w:spacing w:line="360" w:lineRule="auto"/>
        <w:ind w:firstLine="1440"/>
        <w:rPr>
          <w:sz w:val="26"/>
          <w:szCs w:val="26"/>
        </w:rPr>
      </w:pPr>
      <w:proofErr w:type="gramStart"/>
      <w:r>
        <w:rPr>
          <w:sz w:val="26"/>
          <w:szCs w:val="26"/>
        </w:rPr>
        <w:t>With regard to</w:t>
      </w:r>
      <w:proofErr w:type="gramEnd"/>
      <w:r>
        <w:rPr>
          <w:sz w:val="26"/>
          <w:szCs w:val="26"/>
        </w:rPr>
        <w:t xml:space="preserve"> th</w:t>
      </w:r>
      <w:r w:rsidR="00C72A9C">
        <w:rPr>
          <w:sz w:val="26"/>
          <w:szCs w:val="26"/>
        </w:rPr>
        <w:t>is issue</w:t>
      </w:r>
      <w:r>
        <w:rPr>
          <w:sz w:val="26"/>
          <w:szCs w:val="26"/>
        </w:rPr>
        <w:t xml:space="preserve">, we note that the </w:t>
      </w:r>
      <w:r w:rsidR="00340799">
        <w:rPr>
          <w:sz w:val="26"/>
          <w:szCs w:val="26"/>
        </w:rPr>
        <w:t>ALJ</w:t>
      </w:r>
      <w:r w:rsidR="00694B7B">
        <w:rPr>
          <w:sz w:val="26"/>
          <w:szCs w:val="26"/>
        </w:rPr>
        <w:t>’</w:t>
      </w:r>
      <w:r w:rsidR="008A6A4C">
        <w:rPr>
          <w:sz w:val="26"/>
          <w:szCs w:val="26"/>
        </w:rPr>
        <w:t xml:space="preserve">s Initial Decision found </w:t>
      </w:r>
      <w:r w:rsidR="00340799">
        <w:rPr>
          <w:sz w:val="26"/>
          <w:szCs w:val="26"/>
        </w:rPr>
        <w:t xml:space="preserve">that from the minute </w:t>
      </w:r>
      <w:r>
        <w:rPr>
          <w:sz w:val="26"/>
          <w:szCs w:val="26"/>
        </w:rPr>
        <w:t>t</w:t>
      </w:r>
      <w:r w:rsidR="00211169">
        <w:rPr>
          <w:sz w:val="26"/>
          <w:szCs w:val="26"/>
        </w:rPr>
        <w:t>he Tenant</w:t>
      </w:r>
      <w:r w:rsidR="00340799" w:rsidRPr="000D62EB">
        <w:rPr>
          <w:sz w:val="26"/>
          <w:szCs w:val="26"/>
        </w:rPr>
        <w:t xml:space="preserve"> took over the entire property and changed the locks </w:t>
      </w:r>
      <w:r w:rsidR="00FB486D">
        <w:rPr>
          <w:sz w:val="26"/>
          <w:szCs w:val="26"/>
        </w:rPr>
        <w:t>on March 15,</w:t>
      </w:r>
      <w:r w:rsidR="00340799" w:rsidRPr="000D62EB">
        <w:rPr>
          <w:sz w:val="26"/>
          <w:szCs w:val="26"/>
        </w:rPr>
        <w:t xml:space="preserve"> 2016, there ceased to be </w:t>
      </w:r>
      <w:r>
        <w:rPr>
          <w:sz w:val="26"/>
          <w:szCs w:val="26"/>
        </w:rPr>
        <w:t xml:space="preserve">a </w:t>
      </w:r>
      <w:r w:rsidR="00340799" w:rsidRPr="000D62EB">
        <w:rPr>
          <w:sz w:val="26"/>
          <w:szCs w:val="26"/>
        </w:rPr>
        <w:t xml:space="preserve">separate </w:t>
      </w:r>
      <w:r>
        <w:rPr>
          <w:sz w:val="26"/>
          <w:szCs w:val="26"/>
        </w:rPr>
        <w:t xml:space="preserve">residential dwelling </w:t>
      </w:r>
      <w:r w:rsidR="00340799" w:rsidRPr="000D62EB">
        <w:rPr>
          <w:sz w:val="26"/>
          <w:szCs w:val="26"/>
        </w:rPr>
        <w:t>unit</w:t>
      </w:r>
      <w:r>
        <w:rPr>
          <w:sz w:val="26"/>
          <w:szCs w:val="26"/>
        </w:rPr>
        <w:t xml:space="preserve"> from the commercial unit</w:t>
      </w:r>
      <w:r w:rsidR="00FB486D">
        <w:rPr>
          <w:sz w:val="26"/>
          <w:szCs w:val="26"/>
        </w:rPr>
        <w:t xml:space="preserve">; </w:t>
      </w:r>
      <w:r>
        <w:rPr>
          <w:sz w:val="26"/>
          <w:szCs w:val="26"/>
        </w:rPr>
        <w:t>therefore</w:t>
      </w:r>
      <w:r w:rsidR="00FB486D">
        <w:rPr>
          <w:sz w:val="26"/>
          <w:szCs w:val="26"/>
        </w:rPr>
        <w:t>,</w:t>
      </w:r>
      <w:r>
        <w:rPr>
          <w:sz w:val="26"/>
          <w:szCs w:val="26"/>
        </w:rPr>
        <w:t xml:space="preserve"> Section </w:t>
      </w:r>
      <w:r w:rsidR="00340799" w:rsidRPr="00FA254C">
        <w:rPr>
          <w:sz w:val="26"/>
          <w:szCs w:val="26"/>
        </w:rPr>
        <w:t>1529.1</w:t>
      </w:r>
      <w:r w:rsidR="00340799">
        <w:rPr>
          <w:sz w:val="26"/>
          <w:szCs w:val="26"/>
        </w:rPr>
        <w:t xml:space="preserve"> </w:t>
      </w:r>
      <w:r w:rsidR="00FB486D">
        <w:rPr>
          <w:sz w:val="26"/>
          <w:szCs w:val="26"/>
        </w:rPr>
        <w:t xml:space="preserve">of the Code </w:t>
      </w:r>
      <w:r w:rsidR="00340799">
        <w:rPr>
          <w:sz w:val="26"/>
          <w:szCs w:val="26"/>
        </w:rPr>
        <w:t>no longer</w:t>
      </w:r>
      <w:r w:rsidR="00340799" w:rsidRPr="000D62EB">
        <w:rPr>
          <w:sz w:val="26"/>
          <w:szCs w:val="26"/>
        </w:rPr>
        <w:t xml:space="preserve"> </w:t>
      </w:r>
      <w:r w:rsidR="00FB486D">
        <w:rPr>
          <w:sz w:val="26"/>
          <w:szCs w:val="26"/>
        </w:rPr>
        <w:t xml:space="preserve">was </w:t>
      </w:r>
      <w:r w:rsidR="00340799" w:rsidRPr="000D62EB">
        <w:rPr>
          <w:sz w:val="26"/>
          <w:szCs w:val="26"/>
        </w:rPr>
        <w:t xml:space="preserve">applicable.  </w:t>
      </w:r>
      <w:r w:rsidR="008A6A4C">
        <w:rPr>
          <w:sz w:val="26"/>
          <w:szCs w:val="26"/>
        </w:rPr>
        <w:t xml:space="preserve">I.D. at 9 </w:t>
      </w:r>
      <w:r w:rsidR="00340799">
        <w:rPr>
          <w:sz w:val="26"/>
          <w:szCs w:val="26"/>
        </w:rPr>
        <w:t xml:space="preserve">(citing </w:t>
      </w:r>
      <w:r w:rsidR="00340799" w:rsidRPr="000D62EB">
        <w:rPr>
          <w:sz w:val="26"/>
          <w:szCs w:val="26"/>
        </w:rPr>
        <w:t>Tr</w:t>
      </w:r>
      <w:r w:rsidR="00340799">
        <w:rPr>
          <w:sz w:val="26"/>
          <w:szCs w:val="26"/>
        </w:rPr>
        <w:t>. at</w:t>
      </w:r>
      <w:r w:rsidR="00FB486D">
        <w:rPr>
          <w:sz w:val="26"/>
          <w:szCs w:val="26"/>
        </w:rPr>
        <w:t> </w:t>
      </w:r>
      <w:r w:rsidR="00340799" w:rsidRPr="000D62EB">
        <w:rPr>
          <w:sz w:val="26"/>
          <w:szCs w:val="26"/>
        </w:rPr>
        <w:t xml:space="preserve">11).  </w:t>
      </w:r>
      <w:r w:rsidR="004F42F6">
        <w:rPr>
          <w:sz w:val="26"/>
          <w:szCs w:val="26"/>
        </w:rPr>
        <w:t xml:space="preserve">The ALJ stated that the fact that PGW found a range and heater on the property does not make the property a multi-unit or separate dwelling unit at the time </w:t>
      </w:r>
      <w:r w:rsidR="00611F66">
        <w:rPr>
          <w:sz w:val="26"/>
          <w:szCs w:val="26"/>
        </w:rPr>
        <w:t xml:space="preserve">of its field visit in August </w:t>
      </w:r>
      <w:r w:rsidR="004F42F6">
        <w:rPr>
          <w:sz w:val="26"/>
          <w:szCs w:val="26"/>
        </w:rPr>
        <w:t xml:space="preserve">2016.  </w:t>
      </w:r>
      <w:r w:rsidR="007901F4">
        <w:rPr>
          <w:sz w:val="26"/>
          <w:szCs w:val="26"/>
        </w:rPr>
        <w:t xml:space="preserve"> T</w:t>
      </w:r>
      <w:r w:rsidR="00340799">
        <w:rPr>
          <w:sz w:val="26"/>
          <w:szCs w:val="26"/>
        </w:rPr>
        <w:t xml:space="preserve">he ALJ concluded that because </w:t>
      </w:r>
      <w:r>
        <w:rPr>
          <w:sz w:val="26"/>
          <w:szCs w:val="26"/>
        </w:rPr>
        <w:t>t</w:t>
      </w:r>
      <w:r w:rsidR="00211169">
        <w:rPr>
          <w:sz w:val="26"/>
          <w:szCs w:val="26"/>
        </w:rPr>
        <w:t>he Tenant</w:t>
      </w:r>
      <w:r w:rsidR="00340799" w:rsidRPr="000D62EB">
        <w:rPr>
          <w:sz w:val="26"/>
          <w:szCs w:val="26"/>
        </w:rPr>
        <w:t xml:space="preserve"> </w:t>
      </w:r>
      <w:r w:rsidR="00016B09">
        <w:rPr>
          <w:sz w:val="26"/>
          <w:szCs w:val="26"/>
        </w:rPr>
        <w:t xml:space="preserve">had </w:t>
      </w:r>
      <w:r w:rsidR="00340799" w:rsidRPr="000D62EB">
        <w:rPr>
          <w:sz w:val="26"/>
          <w:szCs w:val="26"/>
        </w:rPr>
        <w:t>access, used</w:t>
      </w:r>
      <w:r w:rsidR="00340799">
        <w:rPr>
          <w:sz w:val="26"/>
          <w:szCs w:val="26"/>
        </w:rPr>
        <w:t>,</w:t>
      </w:r>
      <w:r w:rsidR="00340799" w:rsidRPr="000D62EB">
        <w:rPr>
          <w:sz w:val="26"/>
          <w:szCs w:val="26"/>
        </w:rPr>
        <w:t xml:space="preserve"> and controlled the entire </w:t>
      </w:r>
      <w:r w:rsidR="00340799">
        <w:rPr>
          <w:sz w:val="26"/>
          <w:szCs w:val="26"/>
        </w:rPr>
        <w:t>building</w:t>
      </w:r>
      <w:r w:rsidR="007901F4">
        <w:rPr>
          <w:sz w:val="26"/>
          <w:szCs w:val="26"/>
        </w:rPr>
        <w:t xml:space="preserve"> beginning in March 2016</w:t>
      </w:r>
      <w:r w:rsidR="00340799" w:rsidRPr="000D62EB">
        <w:rPr>
          <w:sz w:val="26"/>
          <w:szCs w:val="26"/>
        </w:rPr>
        <w:t xml:space="preserve">, individual metering </w:t>
      </w:r>
      <w:r w:rsidR="00611F66">
        <w:rPr>
          <w:sz w:val="26"/>
          <w:szCs w:val="26"/>
        </w:rPr>
        <w:t xml:space="preserve">was not required after March </w:t>
      </w:r>
      <w:r w:rsidR="00016B09">
        <w:rPr>
          <w:sz w:val="26"/>
          <w:szCs w:val="26"/>
        </w:rPr>
        <w:t xml:space="preserve">15, </w:t>
      </w:r>
      <w:r w:rsidR="00340799" w:rsidRPr="000D62EB">
        <w:rPr>
          <w:sz w:val="26"/>
          <w:szCs w:val="26"/>
        </w:rPr>
        <w:t>2016</w:t>
      </w:r>
      <w:r w:rsidR="004F42F6">
        <w:rPr>
          <w:sz w:val="26"/>
          <w:szCs w:val="26"/>
        </w:rPr>
        <w:t>,</w:t>
      </w:r>
      <w:r w:rsidR="00340799" w:rsidRPr="000D62EB">
        <w:rPr>
          <w:sz w:val="26"/>
          <w:szCs w:val="26"/>
        </w:rPr>
        <w:t xml:space="preserve"> and any usage by </w:t>
      </w:r>
      <w:r>
        <w:rPr>
          <w:sz w:val="26"/>
          <w:szCs w:val="26"/>
        </w:rPr>
        <w:t>t</w:t>
      </w:r>
      <w:r w:rsidR="00211169">
        <w:rPr>
          <w:sz w:val="26"/>
          <w:szCs w:val="26"/>
        </w:rPr>
        <w:t>he Tenant</w:t>
      </w:r>
      <w:r w:rsidR="00340799" w:rsidRPr="000D62EB">
        <w:rPr>
          <w:sz w:val="26"/>
          <w:szCs w:val="26"/>
        </w:rPr>
        <w:t xml:space="preserve"> thereafter was no</w:t>
      </w:r>
      <w:r w:rsidR="00340799">
        <w:rPr>
          <w:sz w:val="26"/>
          <w:szCs w:val="26"/>
        </w:rPr>
        <w:t xml:space="preserve"> longer considered </w:t>
      </w:r>
      <w:r w:rsidR="00340799" w:rsidRPr="000D62EB">
        <w:rPr>
          <w:sz w:val="26"/>
          <w:szCs w:val="26"/>
        </w:rPr>
        <w:t xml:space="preserve">foreign load.  </w:t>
      </w:r>
      <w:r>
        <w:rPr>
          <w:sz w:val="26"/>
          <w:szCs w:val="26"/>
        </w:rPr>
        <w:t>I.D. at 9.</w:t>
      </w:r>
      <w:r w:rsidR="00340799">
        <w:rPr>
          <w:sz w:val="26"/>
          <w:szCs w:val="26"/>
        </w:rPr>
        <w:t xml:space="preserve"> </w:t>
      </w:r>
      <w:r w:rsidR="008A6A4C">
        <w:rPr>
          <w:sz w:val="26"/>
          <w:szCs w:val="26"/>
        </w:rPr>
        <w:t xml:space="preserve"> Accordingly, </w:t>
      </w:r>
      <w:r w:rsidR="009C04D1">
        <w:rPr>
          <w:sz w:val="26"/>
          <w:szCs w:val="26"/>
        </w:rPr>
        <w:t xml:space="preserve">the ALJ concluded that </w:t>
      </w:r>
      <w:r w:rsidR="00016B09">
        <w:rPr>
          <w:sz w:val="26"/>
          <w:szCs w:val="26"/>
        </w:rPr>
        <w:t>during the time t</w:t>
      </w:r>
      <w:r w:rsidR="00016B09" w:rsidRPr="00B5051A">
        <w:rPr>
          <w:sz w:val="26"/>
          <w:szCs w:val="26"/>
        </w:rPr>
        <w:t xml:space="preserve">he Tenant occupied only part of the building, </w:t>
      </w:r>
      <w:r w:rsidR="00016B09">
        <w:rPr>
          <w:sz w:val="26"/>
          <w:szCs w:val="26"/>
        </w:rPr>
        <w:t xml:space="preserve">from October 2015 </w:t>
      </w:r>
      <w:r w:rsidR="00016B09" w:rsidRPr="00B5051A">
        <w:rPr>
          <w:sz w:val="26"/>
          <w:szCs w:val="26"/>
        </w:rPr>
        <w:t>through March 15, 2016,</w:t>
      </w:r>
      <w:r w:rsidR="00016B09">
        <w:rPr>
          <w:sz w:val="26"/>
          <w:szCs w:val="26"/>
        </w:rPr>
        <w:t xml:space="preserve"> </w:t>
      </w:r>
      <w:r w:rsidR="009C04D1">
        <w:rPr>
          <w:sz w:val="26"/>
          <w:szCs w:val="26"/>
        </w:rPr>
        <w:t>the Complainant is responsible for the foreign load charges</w:t>
      </w:r>
      <w:r w:rsidR="00016B09">
        <w:rPr>
          <w:sz w:val="26"/>
          <w:szCs w:val="26"/>
        </w:rPr>
        <w:t xml:space="preserve">; however, </w:t>
      </w:r>
      <w:r w:rsidR="009C04D1" w:rsidRPr="00B5051A">
        <w:rPr>
          <w:sz w:val="26"/>
          <w:szCs w:val="26"/>
        </w:rPr>
        <w:t xml:space="preserve">the Complainant is not responsible for </w:t>
      </w:r>
      <w:r w:rsidR="00016B09">
        <w:rPr>
          <w:sz w:val="26"/>
          <w:szCs w:val="26"/>
        </w:rPr>
        <w:t xml:space="preserve">any </w:t>
      </w:r>
      <w:r w:rsidR="009C04D1" w:rsidRPr="00B5051A">
        <w:rPr>
          <w:sz w:val="26"/>
          <w:szCs w:val="26"/>
        </w:rPr>
        <w:t xml:space="preserve">foreign load charges after March </w:t>
      </w:r>
      <w:r w:rsidR="007901F4">
        <w:rPr>
          <w:sz w:val="26"/>
          <w:szCs w:val="26"/>
        </w:rPr>
        <w:t xml:space="preserve">15, </w:t>
      </w:r>
      <w:r w:rsidR="009C04D1" w:rsidRPr="00B5051A">
        <w:rPr>
          <w:sz w:val="26"/>
          <w:szCs w:val="26"/>
        </w:rPr>
        <w:t>2016</w:t>
      </w:r>
      <w:r w:rsidR="00016B09">
        <w:rPr>
          <w:sz w:val="26"/>
          <w:szCs w:val="26"/>
        </w:rPr>
        <w:t>, because they did not exist</w:t>
      </w:r>
      <w:r w:rsidR="009C04D1" w:rsidRPr="00B5051A">
        <w:rPr>
          <w:sz w:val="26"/>
          <w:szCs w:val="26"/>
        </w:rPr>
        <w:t>.</w:t>
      </w:r>
    </w:p>
    <w:p w:rsidR="00445B6C" w:rsidRDefault="00445B6C" w:rsidP="00A6670C">
      <w:pPr>
        <w:widowControl/>
        <w:spacing w:line="360" w:lineRule="auto"/>
        <w:ind w:firstLine="1440"/>
        <w:rPr>
          <w:sz w:val="26"/>
          <w:szCs w:val="26"/>
        </w:rPr>
      </w:pPr>
    </w:p>
    <w:p w:rsidR="00445B6C" w:rsidRDefault="007901F4" w:rsidP="00A6670C">
      <w:pPr>
        <w:widowControl/>
        <w:spacing w:line="360" w:lineRule="auto"/>
        <w:ind w:firstLine="1440"/>
        <w:contextualSpacing/>
        <w:rPr>
          <w:sz w:val="26"/>
          <w:szCs w:val="26"/>
        </w:rPr>
      </w:pPr>
      <w:r>
        <w:rPr>
          <w:sz w:val="26"/>
          <w:szCs w:val="26"/>
        </w:rPr>
        <w:t>T</w:t>
      </w:r>
      <w:r w:rsidR="00445B6C">
        <w:rPr>
          <w:sz w:val="26"/>
          <w:szCs w:val="26"/>
        </w:rPr>
        <w:t>he ALJ cited to the Commission</w:t>
      </w:r>
      <w:r w:rsidR="00694B7B">
        <w:rPr>
          <w:sz w:val="26"/>
          <w:szCs w:val="26"/>
        </w:rPr>
        <w:t>’</w:t>
      </w:r>
      <w:r w:rsidR="00445B6C">
        <w:rPr>
          <w:sz w:val="26"/>
          <w:szCs w:val="26"/>
        </w:rPr>
        <w:t xml:space="preserve">s decision in </w:t>
      </w:r>
      <w:proofErr w:type="spellStart"/>
      <w:r w:rsidR="00445B6C" w:rsidRPr="00907779">
        <w:rPr>
          <w:i/>
          <w:sz w:val="26"/>
          <w:szCs w:val="26"/>
        </w:rPr>
        <w:t>Drogaris</w:t>
      </w:r>
      <w:proofErr w:type="spellEnd"/>
      <w:r w:rsidR="00445B6C">
        <w:rPr>
          <w:sz w:val="26"/>
          <w:szCs w:val="26"/>
        </w:rPr>
        <w:t xml:space="preserve"> to support her conclusion that a foreign load did not exist in August 2016 since the Tenant had control of the entire build</w:t>
      </w:r>
      <w:r w:rsidR="00016B09">
        <w:rPr>
          <w:sz w:val="26"/>
          <w:szCs w:val="26"/>
        </w:rPr>
        <w:t>ing at that time.  The ALJ cited</w:t>
      </w:r>
      <w:r w:rsidR="00445B6C">
        <w:rPr>
          <w:sz w:val="26"/>
          <w:szCs w:val="26"/>
        </w:rPr>
        <w:t xml:space="preserve"> to the following quote</w:t>
      </w:r>
      <w:proofErr w:type="gramStart"/>
      <w:r w:rsidR="00445B6C">
        <w:rPr>
          <w:sz w:val="26"/>
          <w:szCs w:val="26"/>
        </w:rPr>
        <w:t>:  “</w:t>
      </w:r>
      <w:proofErr w:type="gramEnd"/>
      <w:r w:rsidR="00445B6C">
        <w:rPr>
          <w:sz w:val="26"/>
          <w:szCs w:val="26"/>
        </w:rPr>
        <w:t xml:space="preserve">Foreign load is utility service which is not related to serving a tenant but for which the tenant is being billed.”  </w:t>
      </w:r>
      <w:proofErr w:type="spellStart"/>
      <w:r w:rsidR="00445B6C" w:rsidRPr="00907779">
        <w:rPr>
          <w:i/>
          <w:sz w:val="26"/>
          <w:szCs w:val="26"/>
        </w:rPr>
        <w:t>Drogaris</w:t>
      </w:r>
      <w:proofErr w:type="spellEnd"/>
      <w:r w:rsidR="00445B6C" w:rsidRPr="0013448D">
        <w:rPr>
          <w:sz w:val="26"/>
          <w:szCs w:val="26"/>
        </w:rPr>
        <w:t>.</w:t>
      </w:r>
      <w:r w:rsidR="00445B6C">
        <w:rPr>
          <w:sz w:val="26"/>
          <w:szCs w:val="26"/>
        </w:rPr>
        <w:t xml:space="preserve">  However, we believe</w:t>
      </w:r>
      <w:r w:rsidR="00445B6C" w:rsidRPr="00800E60">
        <w:rPr>
          <w:sz w:val="26"/>
          <w:szCs w:val="26"/>
        </w:rPr>
        <w:t xml:space="preserve"> </w:t>
      </w:r>
      <w:r w:rsidR="00445B6C">
        <w:rPr>
          <w:sz w:val="26"/>
          <w:szCs w:val="26"/>
        </w:rPr>
        <w:t xml:space="preserve">reliance on </w:t>
      </w:r>
      <w:proofErr w:type="spellStart"/>
      <w:r w:rsidR="00445B6C" w:rsidRPr="00800E60">
        <w:rPr>
          <w:i/>
          <w:sz w:val="26"/>
          <w:szCs w:val="26"/>
        </w:rPr>
        <w:t>Drogaris</w:t>
      </w:r>
      <w:proofErr w:type="spellEnd"/>
      <w:r w:rsidR="00445B6C" w:rsidRPr="00800E60">
        <w:rPr>
          <w:sz w:val="26"/>
          <w:szCs w:val="26"/>
        </w:rPr>
        <w:t xml:space="preserve"> </w:t>
      </w:r>
      <w:r w:rsidR="00445B6C">
        <w:rPr>
          <w:sz w:val="26"/>
          <w:szCs w:val="26"/>
        </w:rPr>
        <w:t>is misplaced in this case, as the record before us is clearly distinguishable, as discussed below.</w:t>
      </w:r>
    </w:p>
    <w:p w:rsidR="00445B6C" w:rsidRDefault="00445B6C" w:rsidP="00A6670C">
      <w:pPr>
        <w:widowControl/>
        <w:spacing w:line="360" w:lineRule="auto"/>
        <w:ind w:firstLine="1440"/>
        <w:contextualSpacing/>
        <w:rPr>
          <w:sz w:val="26"/>
          <w:szCs w:val="26"/>
        </w:rPr>
      </w:pPr>
    </w:p>
    <w:p w:rsidR="00445B6C" w:rsidRPr="0041543C" w:rsidRDefault="00445B6C" w:rsidP="00A6670C">
      <w:pPr>
        <w:widowControl/>
        <w:spacing w:line="360" w:lineRule="auto"/>
        <w:ind w:firstLine="1440"/>
        <w:contextualSpacing/>
        <w:rPr>
          <w:sz w:val="26"/>
          <w:szCs w:val="26"/>
        </w:rPr>
      </w:pPr>
      <w:r>
        <w:rPr>
          <w:sz w:val="26"/>
          <w:szCs w:val="26"/>
        </w:rPr>
        <w:t xml:space="preserve">In </w:t>
      </w:r>
      <w:proofErr w:type="spellStart"/>
      <w:r w:rsidRPr="00C15B9A">
        <w:rPr>
          <w:i/>
          <w:sz w:val="26"/>
          <w:szCs w:val="26"/>
        </w:rPr>
        <w:t>Drograis</w:t>
      </w:r>
      <w:proofErr w:type="spellEnd"/>
      <w:r>
        <w:rPr>
          <w:sz w:val="26"/>
          <w:szCs w:val="26"/>
        </w:rPr>
        <w:t>, the commercial tenant constructed an apartment in the building, and asked the utility whether the apartment</w:t>
      </w:r>
      <w:r w:rsidR="00694B7B">
        <w:rPr>
          <w:sz w:val="26"/>
          <w:szCs w:val="26"/>
        </w:rPr>
        <w:t>’</w:t>
      </w:r>
      <w:r>
        <w:rPr>
          <w:sz w:val="26"/>
          <w:szCs w:val="26"/>
        </w:rPr>
        <w:t xml:space="preserve">s existence constituted a mixed-use property qualifying it for a lower rate class for utility services.  The utility inspected the premises and determined that the existence of the residential </w:t>
      </w:r>
      <w:r w:rsidRPr="00043B16">
        <w:rPr>
          <w:sz w:val="26"/>
          <w:szCs w:val="26"/>
        </w:rPr>
        <w:t xml:space="preserve">apartment supported a finding of foreign load and transferred the account from the commercial tenant to the landlord.  The landlord filed a complaint with the Commission.  The record indicated that the only tenant in the building was the single commercial tenant.  The ALJ sustained the complaint and ordered the utility to place the account back in the name of the commercial tenant.  In </w:t>
      </w:r>
      <w:proofErr w:type="spellStart"/>
      <w:r w:rsidRPr="00043B16">
        <w:rPr>
          <w:i/>
          <w:sz w:val="26"/>
          <w:szCs w:val="26"/>
        </w:rPr>
        <w:t>Drograis</w:t>
      </w:r>
      <w:proofErr w:type="spellEnd"/>
      <w:r w:rsidRPr="00043B16">
        <w:rPr>
          <w:sz w:val="26"/>
          <w:szCs w:val="26"/>
        </w:rPr>
        <w:t>, the ALJ stated:</w:t>
      </w:r>
      <w:r w:rsidRPr="00043B16">
        <w:rPr>
          <w:rFonts w:eastAsia="Arial"/>
          <w:color w:val="000000"/>
          <w:sz w:val="26"/>
          <w:szCs w:val="26"/>
        </w:rPr>
        <w:t xml:space="preserve"> “Most importantly, there is no evidence of record to suppor</w:t>
      </w:r>
      <w:r>
        <w:rPr>
          <w:rFonts w:eastAsia="Arial"/>
          <w:color w:val="000000"/>
          <w:sz w:val="26"/>
          <w:szCs w:val="26"/>
        </w:rPr>
        <w:t xml:space="preserve">t a finding that the apartment is </w:t>
      </w:r>
      <w:r w:rsidR="00694B7B">
        <w:rPr>
          <w:rFonts w:eastAsia="Arial"/>
          <w:color w:val="000000"/>
          <w:sz w:val="26"/>
          <w:szCs w:val="26"/>
        </w:rPr>
        <w:t>‘</w:t>
      </w:r>
      <w:r>
        <w:rPr>
          <w:rFonts w:eastAsia="Arial"/>
          <w:color w:val="000000"/>
          <w:sz w:val="26"/>
          <w:szCs w:val="26"/>
        </w:rPr>
        <w:t>used for rental purposes,</w:t>
      </w:r>
      <w:r w:rsidR="00694B7B">
        <w:rPr>
          <w:rFonts w:eastAsia="Arial"/>
          <w:color w:val="000000"/>
          <w:sz w:val="26"/>
          <w:szCs w:val="26"/>
        </w:rPr>
        <w:t>’</w:t>
      </w:r>
      <w:r w:rsidRPr="00043B16">
        <w:rPr>
          <w:rFonts w:eastAsia="Arial"/>
          <w:color w:val="000000"/>
          <w:sz w:val="26"/>
          <w:szCs w:val="26"/>
        </w:rPr>
        <w:t xml:space="preserve"> as required by the statute.</w:t>
      </w:r>
      <w:r>
        <w:rPr>
          <w:rFonts w:eastAsia="Arial"/>
          <w:color w:val="000000"/>
          <w:sz w:val="26"/>
          <w:szCs w:val="26"/>
        </w:rPr>
        <w:t xml:space="preserve">  </w:t>
      </w:r>
      <w:r w:rsidRPr="00043B16">
        <w:rPr>
          <w:rFonts w:eastAsia="Arial"/>
          <w:color w:val="000000"/>
          <w:sz w:val="26"/>
          <w:szCs w:val="26"/>
        </w:rPr>
        <w:t xml:space="preserve">Rather, there is testimony that the unit may be used by the employees of the </w:t>
      </w:r>
      <w:r>
        <w:rPr>
          <w:rFonts w:eastAsia="Arial"/>
          <w:color w:val="000000"/>
          <w:sz w:val="26"/>
          <w:szCs w:val="26"/>
        </w:rPr>
        <w:t xml:space="preserve">[commercial] </w:t>
      </w:r>
      <w:r w:rsidRPr="00043B16">
        <w:rPr>
          <w:rFonts w:eastAsia="Arial"/>
          <w:color w:val="000000"/>
          <w:sz w:val="26"/>
          <w:szCs w:val="26"/>
        </w:rPr>
        <w:t xml:space="preserve">lessee.”  The ALJ also stated that: </w:t>
      </w:r>
      <w:r w:rsidRPr="00043B16">
        <w:rPr>
          <w:sz w:val="26"/>
          <w:szCs w:val="26"/>
        </w:rPr>
        <w:t>“</w:t>
      </w:r>
      <w:r>
        <w:rPr>
          <w:sz w:val="26"/>
          <w:szCs w:val="26"/>
        </w:rPr>
        <w:t>[A]</w:t>
      </w:r>
      <w:r w:rsidRPr="00043B16">
        <w:rPr>
          <w:rFonts w:eastAsia="Arial"/>
          <w:color w:val="000000"/>
          <w:sz w:val="26"/>
          <w:szCs w:val="26"/>
        </w:rPr>
        <w:t xml:space="preserve"> key component is missing from the factual scenario necessary to support a finding of foreign load:  there is no evidence that the residential unit is a rental unit.”</w:t>
      </w:r>
    </w:p>
    <w:p w:rsidR="00445B6C" w:rsidRDefault="00445B6C" w:rsidP="00A6670C">
      <w:pPr>
        <w:widowControl/>
        <w:spacing w:line="360" w:lineRule="auto"/>
        <w:ind w:firstLine="1440"/>
        <w:contextualSpacing/>
        <w:rPr>
          <w:rFonts w:eastAsia="Arial"/>
          <w:color w:val="000000"/>
          <w:sz w:val="26"/>
          <w:szCs w:val="26"/>
        </w:rPr>
      </w:pPr>
    </w:p>
    <w:p w:rsidR="00445B6C" w:rsidRDefault="00445B6C" w:rsidP="00A6670C">
      <w:pPr>
        <w:widowControl/>
        <w:spacing w:line="360" w:lineRule="auto"/>
        <w:ind w:firstLine="1440"/>
        <w:contextualSpacing/>
        <w:rPr>
          <w:rFonts w:eastAsia="Arial"/>
          <w:color w:val="000000"/>
          <w:sz w:val="26"/>
          <w:szCs w:val="26"/>
        </w:rPr>
      </w:pPr>
      <w:r>
        <w:rPr>
          <w:rFonts w:eastAsia="Arial"/>
          <w:color w:val="000000"/>
          <w:sz w:val="26"/>
          <w:szCs w:val="26"/>
        </w:rPr>
        <w:t xml:space="preserve">Here, in contrast to </w:t>
      </w:r>
      <w:proofErr w:type="spellStart"/>
      <w:r w:rsidRPr="0013448D">
        <w:rPr>
          <w:rFonts w:eastAsia="Arial"/>
          <w:i/>
          <w:color w:val="000000"/>
          <w:sz w:val="26"/>
          <w:szCs w:val="26"/>
        </w:rPr>
        <w:t>Drogaris</w:t>
      </w:r>
      <w:proofErr w:type="spellEnd"/>
      <w:r>
        <w:rPr>
          <w:rFonts w:eastAsia="Arial"/>
          <w:color w:val="000000"/>
          <w:sz w:val="26"/>
          <w:szCs w:val="26"/>
        </w:rPr>
        <w:t>, the record is clear that the unit in which the Tenant resided was the Tenant</w:t>
      </w:r>
      <w:r w:rsidR="00694B7B">
        <w:rPr>
          <w:rFonts w:eastAsia="Arial"/>
          <w:color w:val="000000"/>
          <w:sz w:val="26"/>
          <w:szCs w:val="26"/>
        </w:rPr>
        <w:t>’</w:t>
      </w:r>
      <w:r>
        <w:rPr>
          <w:rFonts w:eastAsia="Arial"/>
          <w:color w:val="000000"/>
          <w:sz w:val="26"/>
          <w:szCs w:val="26"/>
        </w:rPr>
        <w:t>s residential rental unit.  The record is clear that the property owner and property manager intended for the residential rental unit to be restricted from the remainder of the building and that the remainder of the building was intended solely for commercial use to be occupied by the Complainant</w:t>
      </w:r>
      <w:r w:rsidR="00694B7B">
        <w:rPr>
          <w:rFonts w:eastAsia="Arial"/>
          <w:color w:val="000000"/>
          <w:sz w:val="26"/>
          <w:szCs w:val="26"/>
        </w:rPr>
        <w:t>’</w:t>
      </w:r>
      <w:r>
        <w:rPr>
          <w:rFonts w:eastAsia="Arial"/>
          <w:color w:val="000000"/>
          <w:sz w:val="26"/>
          <w:szCs w:val="26"/>
        </w:rPr>
        <w:t>s daughter</w:t>
      </w:r>
      <w:r w:rsidR="00694B7B">
        <w:rPr>
          <w:rFonts w:eastAsia="Arial"/>
          <w:color w:val="000000"/>
          <w:sz w:val="26"/>
          <w:szCs w:val="26"/>
        </w:rPr>
        <w:t>’</w:t>
      </w:r>
      <w:r>
        <w:rPr>
          <w:rFonts w:eastAsia="Arial"/>
          <w:color w:val="000000"/>
          <w:sz w:val="26"/>
          <w:szCs w:val="26"/>
        </w:rPr>
        <w:t>s separate business (AOK Business).  The</w:t>
      </w:r>
      <w:r>
        <w:rPr>
          <w:rFonts w:eastAsia="Calibri"/>
          <w:sz w:val="26"/>
          <w:szCs w:val="26"/>
        </w:rPr>
        <w:t xml:space="preserve"> circumstances of this case squarely fit the description of a mixed-use </w:t>
      </w:r>
      <w:r w:rsidRPr="00687B34">
        <w:rPr>
          <w:sz w:val="26"/>
          <w:szCs w:val="26"/>
        </w:rPr>
        <w:t>residential</w:t>
      </w:r>
      <w:r>
        <w:rPr>
          <w:sz w:val="26"/>
          <w:szCs w:val="26"/>
        </w:rPr>
        <w:t>/commercial</w:t>
      </w:r>
      <w:r w:rsidRPr="00687B34">
        <w:rPr>
          <w:sz w:val="26"/>
          <w:szCs w:val="26"/>
        </w:rPr>
        <w:t xml:space="preserve"> building contain</w:t>
      </w:r>
      <w:r>
        <w:rPr>
          <w:sz w:val="26"/>
          <w:szCs w:val="26"/>
        </w:rPr>
        <w:t>ing one</w:t>
      </w:r>
      <w:r w:rsidRPr="00687B34">
        <w:rPr>
          <w:sz w:val="26"/>
          <w:szCs w:val="26"/>
        </w:rPr>
        <w:t xml:space="preserve"> </w:t>
      </w:r>
      <w:r>
        <w:rPr>
          <w:sz w:val="26"/>
          <w:szCs w:val="26"/>
        </w:rPr>
        <w:t xml:space="preserve">residential </w:t>
      </w:r>
      <w:r w:rsidRPr="00687B34">
        <w:rPr>
          <w:sz w:val="26"/>
          <w:szCs w:val="26"/>
        </w:rPr>
        <w:t>dwelling unit</w:t>
      </w:r>
      <w:r>
        <w:rPr>
          <w:sz w:val="26"/>
          <w:szCs w:val="26"/>
        </w:rPr>
        <w:t xml:space="preserve"> </w:t>
      </w:r>
      <w:r w:rsidRPr="00687B34">
        <w:rPr>
          <w:sz w:val="26"/>
          <w:szCs w:val="26"/>
        </w:rPr>
        <w:t>not</w:t>
      </w:r>
      <w:r>
        <w:rPr>
          <w:sz w:val="26"/>
          <w:szCs w:val="26"/>
        </w:rPr>
        <w:t xml:space="preserve"> individually metered from the commercial unit, requiring the application of the foreign load rules pursuant to Code Section 1529.1 and the Commission</w:t>
      </w:r>
      <w:r w:rsidR="00694B7B">
        <w:rPr>
          <w:sz w:val="26"/>
          <w:szCs w:val="26"/>
        </w:rPr>
        <w:t>’</w:t>
      </w:r>
      <w:r>
        <w:rPr>
          <w:sz w:val="26"/>
          <w:szCs w:val="26"/>
        </w:rPr>
        <w:t>s Orders.</w:t>
      </w:r>
      <w:r w:rsidRPr="00687B34">
        <w:rPr>
          <w:sz w:val="26"/>
          <w:szCs w:val="26"/>
        </w:rPr>
        <w:t xml:space="preserve">  </w:t>
      </w:r>
      <w:r>
        <w:rPr>
          <w:sz w:val="26"/>
          <w:szCs w:val="26"/>
        </w:rPr>
        <w:t>The matters of dispute that arose and evolved between the Complainant and the Tenant are private in nature to be pursued and resolved through the courts, and we appropriately refrain from deciding any part of them in this Order.</w:t>
      </w:r>
    </w:p>
    <w:p w:rsidR="009C04D1" w:rsidRPr="00B5051A" w:rsidRDefault="009C04D1" w:rsidP="00A6670C">
      <w:pPr>
        <w:widowControl/>
        <w:spacing w:line="360" w:lineRule="auto"/>
        <w:ind w:firstLine="1440"/>
        <w:rPr>
          <w:sz w:val="26"/>
          <w:szCs w:val="26"/>
        </w:rPr>
      </w:pPr>
    </w:p>
    <w:p w:rsidR="00914D03" w:rsidRDefault="00007C8F" w:rsidP="00A6670C">
      <w:pPr>
        <w:widowControl/>
        <w:spacing w:line="360" w:lineRule="auto"/>
        <w:ind w:firstLine="1440"/>
        <w:rPr>
          <w:sz w:val="26"/>
          <w:szCs w:val="26"/>
        </w:rPr>
      </w:pPr>
      <w:r>
        <w:rPr>
          <w:sz w:val="26"/>
          <w:szCs w:val="26"/>
        </w:rPr>
        <w:t>For purposes of an adjudication as to foreign load</w:t>
      </w:r>
      <w:r w:rsidR="00C72A9C">
        <w:rPr>
          <w:sz w:val="26"/>
          <w:szCs w:val="26"/>
        </w:rPr>
        <w:t xml:space="preserve">, </w:t>
      </w:r>
      <w:r>
        <w:rPr>
          <w:sz w:val="26"/>
          <w:szCs w:val="26"/>
        </w:rPr>
        <w:t>t</w:t>
      </w:r>
      <w:r w:rsidR="00FD0EDF">
        <w:rPr>
          <w:sz w:val="26"/>
          <w:szCs w:val="26"/>
        </w:rPr>
        <w:t>he pertinent facts</w:t>
      </w:r>
      <w:r>
        <w:rPr>
          <w:sz w:val="26"/>
          <w:szCs w:val="26"/>
        </w:rPr>
        <w:t xml:space="preserve"> in this case</w:t>
      </w:r>
      <w:r w:rsidR="00FD0EDF">
        <w:rPr>
          <w:sz w:val="26"/>
          <w:szCs w:val="26"/>
        </w:rPr>
        <w:t xml:space="preserve">, as demonstrated in the record, are as follows: </w:t>
      </w:r>
      <w:r w:rsidR="002E71C6" w:rsidRPr="00B5051A">
        <w:rPr>
          <w:sz w:val="26"/>
          <w:szCs w:val="26"/>
        </w:rPr>
        <w:t xml:space="preserve"> </w:t>
      </w:r>
      <w:r>
        <w:rPr>
          <w:sz w:val="26"/>
          <w:szCs w:val="26"/>
        </w:rPr>
        <w:t xml:space="preserve">(1) </w:t>
      </w:r>
      <w:r w:rsidR="00EF3918" w:rsidRPr="00B5051A">
        <w:rPr>
          <w:sz w:val="26"/>
          <w:szCs w:val="26"/>
        </w:rPr>
        <w:t>beginning in October 2015</w:t>
      </w:r>
      <w:r w:rsidR="00C83A28" w:rsidRPr="00B5051A">
        <w:rPr>
          <w:sz w:val="26"/>
          <w:szCs w:val="26"/>
        </w:rPr>
        <w:t>,</w:t>
      </w:r>
      <w:r w:rsidR="008A6A4C" w:rsidRPr="00B5051A">
        <w:rPr>
          <w:sz w:val="26"/>
          <w:szCs w:val="26"/>
        </w:rPr>
        <w:t xml:space="preserve"> </w:t>
      </w:r>
      <w:r>
        <w:rPr>
          <w:rFonts w:eastAsia="Calibri"/>
          <w:sz w:val="26"/>
          <w:szCs w:val="26"/>
        </w:rPr>
        <w:t>the Complainant intended for the Tenant to rent only a restricted portion of the building as a residential unit, while her daughter</w:t>
      </w:r>
      <w:r w:rsidR="00694B7B">
        <w:rPr>
          <w:rFonts w:eastAsia="Calibri"/>
          <w:sz w:val="26"/>
          <w:szCs w:val="26"/>
        </w:rPr>
        <w:t>’</w:t>
      </w:r>
      <w:r>
        <w:rPr>
          <w:rFonts w:eastAsia="Calibri"/>
          <w:sz w:val="26"/>
          <w:szCs w:val="26"/>
        </w:rPr>
        <w:t>s commercial business would operate in the remainder of the building; (2) there was only one gas meter for the entire premises; (3)</w:t>
      </w:r>
      <w:r w:rsidR="00780FB3">
        <w:rPr>
          <w:rFonts w:eastAsia="Calibri"/>
          <w:sz w:val="26"/>
          <w:szCs w:val="26"/>
        </w:rPr>
        <w:t> </w:t>
      </w:r>
      <w:r>
        <w:rPr>
          <w:rFonts w:eastAsia="Calibri"/>
          <w:sz w:val="26"/>
          <w:szCs w:val="26"/>
        </w:rPr>
        <w:t>the Complainant intended for the Tenant to put the gas bill in her name; (4</w:t>
      </w:r>
      <w:r>
        <w:rPr>
          <w:sz w:val="26"/>
          <w:szCs w:val="26"/>
        </w:rPr>
        <w:t xml:space="preserve">) </w:t>
      </w:r>
      <w:r w:rsidR="005A17FF" w:rsidRPr="00B5051A">
        <w:rPr>
          <w:sz w:val="26"/>
          <w:szCs w:val="26"/>
        </w:rPr>
        <w:t xml:space="preserve">the </w:t>
      </w:r>
      <w:r w:rsidR="005A17FF">
        <w:rPr>
          <w:sz w:val="26"/>
          <w:szCs w:val="26"/>
        </w:rPr>
        <w:t>Complainant never reported the foreign load to PGW</w:t>
      </w:r>
      <w:r w:rsidR="00FD0EDF">
        <w:rPr>
          <w:sz w:val="26"/>
          <w:szCs w:val="26"/>
        </w:rPr>
        <w:t xml:space="preserve">; </w:t>
      </w:r>
      <w:r>
        <w:rPr>
          <w:sz w:val="26"/>
          <w:szCs w:val="26"/>
        </w:rPr>
        <w:t xml:space="preserve">(5) </w:t>
      </w:r>
      <w:r>
        <w:rPr>
          <w:rFonts w:eastAsia="Calibri"/>
          <w:sz w:val="26"/>
          <w:szCs w:val="26"/>
        </w:rPr>
        <w:t xml:space="preserve">the Complainant knew the Tenant resided in the premises before PGW found the foreign load; (6) </w:t>
      </w:r>
      <w:r w:rsidR="00C72A9C">
        <w:rPr>
          <w:sz w:val="26"/>
          <w:szCs w:val="26"/>
        </w:rPr>
        <w:t xml:space="preserve">PGW </w:t>
      </w:r>
      <w:r w:rsidR="005A17FF">
        <w:rPr>
          <w:sz w:val="26"/>
          <w:szCs w:val="26"/>
        </w:rPr>
        <w:t>discover</w:t>
      </w:r>
      <w:r w:rsidR="00C72A9C">
        <w:rPr>
          <w:sz w:val="26"/>
          <w:szCs w:val="26"/>
        </w:rPr>
        <w:t>ed the foreign load in</w:t>
      </w:r>
      <w:r w:rsidR="005A17FF">
        <w:rPr>
          <w:sz w:val="26"/>
          <w:szCs w:val="26"/>
        </w:rPr>
        <w:t xml:space="preserve"> </w:t>
      </w:r>
      <w:r w:rsidR="00F63EDC">
        <w:rPr>
          <w:sz w:val="26"/>
          <w:szCs w:val="26"/>
        </w:rPr>
        <w:t>August 2016</w:t>
      </w:r>
      <w:r w:rsidR="001F217E">
        <w:rPr>
          <w:sz w:val="26"/>
          <w:szCs w:val="26"/>
        </w:rPr>
        <w:t xml:space="preserve">, </w:t>
      </w:r>
      <w:r w:rsidR="005A17FF">
        <w:rPr>
          <w:sz w:val="26"/>
          <w:szCs w:val="26"/>
        </w:rPr>
        <w:t xml:space="preserve">when </w:t>
      </w:r>
      <w:r w:rsidR="00780FB3">
        <w:rPr>
          <w:sz w:val="26"/>
          <w:szCs w:val="26"/>
        </w:rPr>
        <w:t>it</w:t>
      </w:r>
      <w:r w:rsidR="005A17FF">
        <w:rPr>
          <w:sz w:val="26"/>
          <w:szCs w:val="26"/>
        </w:rPr>
        <w:t xml:space="preserve"> conducted the field inspection in response to the Tenant</w:t>
      </w:r>
      <w:r w:rsidR="00694B7B">
        <w:rPr>
          <w:sz w:val="26"/>
          <w:szCs w:val="26"/>
        </w:rPr>
        <w:t>’</w:t>
      </w:r>
      <w:r w:rsidR="005A17FF">
        <w:rPr>
          <w:sz w:val="26"/>
          <w:szCs w:val="26"/>
        </w:rPr>
        <w:t>s foreign load compliant</w:t>
      </w:r>
      <w:r w:rsidR="00FD0EDF">
        <w:rPr>
          <w:sz w:val="26"/>
          <w:szCs w:val="26"/>
        </w:rPr>
        <w:t xml:space="preserve">; </w:t>
      </w:r>
      <w:r>
        <w:rPr>
          <w:sz w:val="26"/>
          <w:szCs w:val="26"/>
        </w:rPr>
        <w:t xml:space="preserve">(7) </w:t>
      </w:r>
      <w:r w:rsidR="00B5051A">
        <w:rPr>
          <w:sz w:val="26"/>
          <w:szCs w:val="26"/>
        </w:rPr>
        <w:t xml:space="preserve">the Complainant never fixed the foreign load </w:t>
      </w:r>
      <w:r w:rsidR="00611F66">
        <w:rPr>
          <w:sz w:val="26"/>
          <w:szCs w:val="26"/>
        </w:rPr>
        <w:t>wiring</w:t>
      </w:r>
      <w:r w:rsidR="00B5051A">
        <w:rPr>
          <w:sz w:val="26"/>
          <w:szCs w:val="26"/>
        </w:rPr>
        <w:t xml:space="preserve"> in the building</w:t>
      </w:r>
      <w:r w:rsidR="00611F66">
        <w:rPr>
          <w:sz w:val="26"/>
          <w:szCs w:val="26"/>
        </w:rPr>
        <w:t xml:space="preserve"> while the Tenant resided there</w:t>
      </w:r>
      <w:r w:rsidR="00B5051A">
        <w:rPr>
          <w:sz w:val="26"/>
          <w:szCs w:val="26"/>
        </w:rPr>
        <w:t>.</w:t>
      </w:r>
    </w:p>
    <w:p w:rsidR="00C72A9C" w:rsidRDefault="00C72A9C" w:rsidP="00A6670C">
      <w:pPr>
        <w:widowControl/>
        <w:spacing w:line="360" w:lineRule="auto"/>
        <w:ind w:firstLine="1440"/>
        <w:rPr>
          <w:sz w:val="26"/>
          <w:szCs w:val="26"/>
        </w:rPr>
      </w:pPr>
    </w:p>
    <w:p w:rsidR="00C72A9C" w:rsidRDefault="00C72A9C" w:rsidP="00A6670C">
      <w:pPr>
        <w:widowControl/>
        <w:spacing w:line="360" w:lineRule="auto"/>
        <w:ind w:firstLine="1440"/>
        <w:rPr>
          <w:sz w:val="26"/>
          <w:szCs w:val="26"/>
        </w:rPr>
      </w:pPr>
      <w:r>
        <w:rPr>
          <w:sz w:val="26"/>
          <w:szCs w:val="26"/>
        </w:rPr>
        <w:t>In our opinion</w:t>
      </w:r>
      <w:r w:rsidRPr="001B2A79">
        <w:rPr>
          <w:sz w:val="26"/>
          <w:szCs w:val="26"/>
        </w:rPr>
        <w:t xml:space="preserve">, </w:t>
      </w:r>
      <w:r w:rsidR="00007C8F" w:rsidRPr="001B2A79">
        <w:rPr>
          <w:sz w:val="26"/>
          <w:szCs w:val="26"/>
        </w:rPr>
        <w:t>contrary to the ALJ</w:t>
      </w:r>
      <w:r w:rsidR="00694B7B" w:rsidRPr="001B2A79">
        <w:rPr>
          <w:sz w:val="26"/>
          <w:szCs w:val="26"/>
        </w:rPr>
        <w:t>’</w:t>
      </w:r>
      <w:r w:rsidR="00007C8F" w:rsidRPr="001B2A79">
        <w:rPr>
          <w:sz w:val="26"/>
          <w:szCs w:val="26"/>
        </w:rPr>
        <w:t xml:space="preserve">s Initial Decision, </w:t>
      </w:r>
      <w:r>
        <w:rPr>
          <w:sz w:val="26"/>
          <w:szCs w:val="26"/>
        </w:rPr>
        <w:t xml:space="preserve">PGW was correct to hold the Complainant responsible for the arrearage on the account that accrued during the entire period that the Tenant first became the customer of record on the account, beginning in October </w:t>
      </w:r>
      <w:r w:rsidRPr="00BC0D50">
        <w:rPr>
          <w:sz w:val="26"/>
          <w:szCs w:val="26"/>
        </w:rPr>
        <w:t>2015</w:t>
      </w:r>
      <w:r>
        <w:rPr>
          <w:sz w:val="26"/>
          <w:szCs w:val="26"/>
        </w:rPr>
        <w:t>,</w:t>
      </w:r>
      <w:r w:rsidRPr="00BC0D50">
        <w:rPr>
          <w:sz w:val="26"/>
          <w:szCs w:val="26"/>
        </w:rPr>
        <w:t xml:space="preserve"> through and </w:t>
      </w:r>
      <w:r>
        <w:rPr>
          <w:sz w:val="26"/>
          <w:szCs w:val="26"/>
        </w:rPr>
        <w:t xml:space="preserve">until </w:t>
      </w:r>
      <w:r w:rsidR="00780FB3">
        <w:rPr>
          <w:sz w:val="26"/>
          <w:szCs w:val="26"/>
        </w:rPr>
        <w:t xml:space="preserve">when </w:t>
      </w:r>
      <w:r>
        <w:rPr>
          <w:sz w:val="26"/>
          <w:szCs w:val="26"/>
        </w:rPr>
        <w:t xml:space="preserve">she changed residences in September 2016.  </w:t>
      </w:r>
      <w:r w:rsidR="007901F4">
        <w:rPr>
          <w:sz w:val="26"/>
          <w:szCs w:val="26"/>
        </w:rPr>
        <w:t xml:space="preserve">Additionally, we find that </w:t>
      </w:r>
      <w:r w:rsidR="00445B6C">
        <w:rPr>
          <w:sz w:val="26"/>
          <w:szCs w:val="26"/>
        </w:rPr>
        <w:t>PGW properly conducted the investigation in August 2016.</w:t>
      </w:r>
      <w:r w:rsidR="007901F4">
        <w:rPr>
          <w:sz w:val="26"/>
          <w:szCs w:val="26"/>
        </w:rPr>
        <w:t xml:space="preserve">  We also find that</w:t>
      </w:r>
      <w:r w:rsidR="00445B6C">
        <w:rPr>
          <w:sz w:val="26"/>
          <w:szCs w:val="26"/>
        </w:rPr>
        <w:t xml:space="preserve"> </w:t>
      </w:r>
      <w:r>
        <w:rPr>
          <w:sz w:val="26"/>
          <w:szCs w:val="26"/>
        </w:rPr>
        <w:t>PGW did not err when it promptly transferred the account to the Complainant</w:t>
      </w:r>
      <w:r w:rsidR="00694B7B">
        <w:rPr>
          <w:sz w:val="26"/>
          <w:szCs w:val="26"/>
        </w:rPr>
        <w:t>’</w:t>
      </w:r>
      <w:r>
        <w:rPr>
          <w:sz w:val="26"/>
          <w:szCs w:val="26"/>
        </w:rPr>
        <w:t>s name and began holding the Complainant responsible for the account.</w:t>
      </w:r>
    </w:p>
    <w:p w:rsidR="00B629A6" w:rsidRPr="00E1250E" w:rsidRDefault="00B629A6" w:rsidP="00A6670C">
      <w:pPr>
        <w:widowControl/>
        <w:spacing w:line="360" w:lineRule="auto"/>
        <w:ind w:firstLine="1440"/>
        <w:rPr>
          <w:sz w:val="26"/>
          <w:szCs w:val="26"/>
        </w:rPr>
      </w:pPr>
    </w:p>
    <w:p w:rsidR="00007C8F" w:rsidRPr="00C72A9C" w:rsidRDefault="00007C8F" w:rsidP="00A6670C">
      <w:pPr>
        <w:widowControl/>
        <w:spacing w:line="360" w:lineRule="auto"/>
        <w:ind w:firstLine="1440"/>
        <w:rPr>
          <w:sz w:val="26"/>
          <w:szCs w:val="26"/>
        </w:rPr>
      </w:pPr>
      <w:r>
        <w:rPr>
          <w:sz w:val="26"/>
          <w:szCs w:val="26"/>
        </w:rPr>
        <w:t>Therefore, we affirm</w:t>
      </w:r>
      <w:r w:rsidR="007901F4">
        <w:rPr>
          <w:sz w:val="26"/>
          <w:szCs w:val="26"/>
        </w:rPr>
        <w:t>, in part,</w:t>
      </w:r>
      <w:r>
        <w:rPr>
          <w:sz w:val="26"/>
          <w:szCs w:val="26"/>
        </w:rPr>
        <w:t xml:space="preserve"> the ALJ</w:t>
      </w:r>
      <w:r w:rsidR="00694B7B">
        <w:rPr>
          <w:sz w:val="26"/>
          <w:szCs w:val="26"/>
        </w:rPr>
        <w:t>’</w:t>
      </w:r>
      <w:r>
        <w:rPr>
          <w:sz w:val="26"/>
          <w:szCs w:val="26"/>
        </w:rPr>
        <w:t>s finding that a foreign load existed beginning in October 2015.  However</w:t>
      </w:r>
      <w:r w:rsidRPr="00B5051A">
        <w:rPr>
          <w:sz w:val="26"/>
          <w:szCs w:val="26"/>
        </w:rPr>
        <w:t xml:space="preserve">, we </w:t>
      </w:r>
      <w:r w:rsidR="007901F4">
        <w:rPr>
          <w:sz w:val="26"/>
          <w:szCs w:val="26"/>
        </w:rPr>
        <w:t xml:space="preserve">decline to adopt </w:t>
      </w:r>
      <w:r w:rsidRPr="00B5051A">
        <w:rPr>
          <w:sz w:val="26"/>
          <w:szCs w:val="26"/>
        </w:rPr>
        <w:t>the ALJ</w:t>
      </w:r>
      <w:r w:rsidR="00694B7B">
        <w:rPr>
          <w:sz w:val="26"/>
          <w:szCs w:val="26"/>
        </w:rPr>
        <w:t>’</w:t>
      </w:r>
      <w:r w:rsidRPr="00B5051A">
        <w:rPr>
          <w:sz w:val="26"/>
          <w:szCs w:val="26"/>
        </w:rPr>
        <w:t xml:space="preserve">s determination that the gas usage from October 2015 through March 2016 is foreign load, while usage on the account after March 2016 is not.  </w:t>
      </w:r>
      <w:r>
        <w:rPr>
          <w:sz w:val="26"/>
          <w:szCs w:val="26"/>
        </w:rPr>
        <w:t xml:space="preserve">Accordingly, we </w:t>
      </w:r>
      <w:r w:rsidR="007901F4">
        <w:rPr>
          <w:sz w:val="26"/>
          <w:szCs w:val="26"/>
        </w:rPr>
        <w:t xml:space="preserve">will </w:t>
      </w:r>
      <w:r>
        <w:rPr>
          <w:sz w:val="26"/>
          <w:szCs w:val="26"/>
        </w:rPr>
        <w:t>modify this part of the ALJ</w:t>
      </w:r>
      <w:r w:rsidR="00694B7B">
        <w:rPr>
          <w:sz w:val="26"/>
          <w:szCs w:val="26"/>
        </w:rPr>
        <w:t>’</w:t>
      </w:r>
      <w:r>
        <w:rPr>
          <w:sz w:val="26"/>
          <w:szCs w:val="26"/>
        </w:rPr>
        <w:t>s Initial Decision in finding that PGW was correct to hold the Complainant responsible for the entire arrearage accrued on the account while the Tenant was the customer of record, which included the period October 2015 through September 2016.</w:t>
      </w:r>
    </w:p>
    <w:p w:rsidR="00007C8F" w:rsidRDefault="00007C8F" w:rsidP="00A6670C">
      <w:pPr>
        <w:widowControl/>
        <w:spacing w:line="360" w:lineRule="auto"/>
        <w:ind w:firstLine="1440"/>
        <w:rPr>
          <w:sz w:val="26"/>
          <w:szCs w:val="26"/>
        </w:rPr>
      </w:pPr>
    </w:p>
    <w:p w:rsidR="00007C8F" w:rsidRPr="005435B7" w:rsidRDefault="00007C8F" w:rsidP="00A6670C">
      <w:pPr>
        <w:widowControl/>
        <w:spacing w:line="360" w:lineRule="auto"/>
        <w:ind w:firstLine="1440"/>
        <w:rPr>
          <w:sz w:val="26"/>
          <w:szCs w:val="26"/>
        </w:rPr>
      </w:pPr>
      <w:r>
        <w:rPr>
          <w:sz w:val="26"/>
          <w:szCs w:val="26"/>
        </w:rPr>
        <w:t>We note that our de</w:t>
      </w:r>
      <w:r w:rsidR="005435B7">
        <w:rPr>
          <w:sz w:val="26"/>
          <w:szCs w:val="26"/>
        </w:rPr>
        <w:t xml:space="preserve">cision </w:t>
      </w:r>
      <w:r>
        <w:rPr>
          <w:sz w:val="26"/>
          <w:szCs w:val="26"/>
        </w:rPr>
        <w:t>above</w:t>
      </w:r>
      <w:r w:rsidR="005435B7">
        <w:rPr>
          <w:sz w:val="26"/>
          <w:szCs w:val="26"/>
        </w:rPr>
        <w:t xml:space="preserve"> is rendered carefully </w:t>
      </w:r>
      <w:r w:rsidR="00D87797">
        <w:rPr>
          <w:sz w:val="26"/>
          <w:szCs w:val="26"/>
        </w:rPr>
        <w:t>to avoid</w:t>
      </w:r>
      <w:r w:rsidR="005435B7">
        <w:rPr>
          <w:sz w:val="26"/>
          <w:szCs w:val="26"/>
        </w:rPr>
        <w:t xml:space="preserve"> circumvent</w:t>
      </w:r>
      <w:r w:rsidR="00D87797">
        <w:rPr>
          <w:sz w:val="26"/>
          <w:szCs w:val="26"/>
        </w:rPr>
        <w:t>ing</w:t>
      </w:r>
      <w:r w:rsidR="005435B7">
        <w:rPr>
          <w:sz w:val="26"/>
          <w:szCs w:val="26"/>
        </w:rPr>
        <w:t xml:space="preserve"> our lack of subject matter jurisdiction </w:t>
      </w:r>
      <w:r w:rsidR="00D87797">
        <w:rPr>
          <w:sz w:val="26"/>
          <w:szCs w:val="26"/>
        </w:rPr>
        <w:t>to resolve</w:t>
      </w:r>
      <w:r w:rsidR="005435B7">
        <w:rPr>
          <w:sz w:val="26"/>
          <w:szCs w:val="26"/>
        </w:rPr>
        <w:t xml:space="preserve"> a private dispute between a landlord and tenant under the guise of </w:t>
      </w:r>
      <w:r w:rsidR="00D87797">
        <w:rPr>
          <w:sz w:val="26"/>
          <w:szCs w:val="26"/>
        </w:rPr>
        <w:t xml:space="preserve">adjudicating </w:t>
      </w:r>
      <w:r w:rsidR="005435B7">
        <w:rPr>
          <w:sz w:val="26"/>
          <w:szCs w:val="26"/>
        </w:rPr>
        <w:t xml:space="preserve">a </w:t>
      </w:r>
      <w:r w:rsidR="00D87797">
        <w:rPr>
          <w:sz w:val="26"/>
          <w:szCs w:val="26"/>
        </w:rPr>
        <w:t xml:space="preserve">utility </w:t>
      </w:r>
      <w:r w:rsidR="005435B7">
        <w:rPr>
          <w:sz w:val="26"/>
          <w:szCs w:val="26"/>
        </w:rPr>
        <w:t>billing dispute.  Indeed, i</w:t>
      </w:r>
      <w:r w:rsidR="00B5051A" w:rsidRPr="008D025E">
        <w:rPr>
          <w:sz w:val="26"/>
          <w:szCs w:val="26"/>
        </w:rPr>
        <w:t xml:space="preserve">t is well-settled that the Commission has no </w:t>
      </w:r>
      <w:r w:rsidR="00B5051A">
        <w:rPr>
          <w:sz w:val="26"/>
          <w:szCs w:val="26"/>
        </w:rPr>
        <w:t xml:space="preserve">subject matter </w:t>
      </w:r>
      <w:r w:rsidR="00B5051A" w:rsidRPr="008D025E">
        <w:rPr>
          <w:sz w:val="26"/>
          <w:szCs w:val="26"/>
        </w:rPr>
        <w:t xml:space="preserve">jurisdiction over disputes between landlords and tenants.  </w:t>
      </w:r>
      <w:r w:rsidR="00B5051A" w:rsidRPr="008D025E">
        <w:rPr>
          <w:i/>
          <w:sz w:val="26"/>
          <w:szCs w:val="26"/>
        </w:rPr>
        <w:t>Ace Check Cashing</w:t>
      </w:r>
      <w:r w:rsidR="00B5051A">
        <w:rPr>
          <w:i/>
          <w:sz w:val="26"/>
          <w:szCs w:val="26"/>
        </w:rPr>
        <w:t>; Albright</w:t>
      </w:r>
      <w:r w:rsidR="00E748A0">
        <w:rPr>
          <w:i/>
          <w:sz w:val="26"/>
          <w:szCs w:val="26"/>
        </w:rPr>
        <w:t>; see supra n. 1</w:t>
      </w:r>
      <w:r w:rsidR="00A66931">
        <w:rPr>
          <w:i/>
          <w:sz w:val="26"/>
          <w:szCs w:val="26"/>
        </w:rPr>
        <w:t>4</w:t>
      </w:r>
      <w:r w:rsidR="00B5051A">
        <w:rPr>
          <w:i/>
          <w:sz w:val="26"/>
          <w:szCs w:val="26"/>
        </w:rPr>
        <w:t>.</w:t>
      </w:r>
      <w:r>
        <w:rPr>
          <w:i/>
          <w:sz w:val="26"/>
          <w:szCs w:val="26"/>
        </w:rPr>
        <w:t xml:space="preserve">  </w:t>
      </w:r>
      <w:r>
        <w:rPr>
          <w:sz w:val="26"/>
          <w:szCs w:val="26"/>
        </w:rPr>
        <w:t>If there is truth in the Complainant</w:t>
      </w:r>
      <w:r w:rsidR="00694B7B">
        <w:rPr>
          <w:sz w:val="26"/>
          <w:szCs w:val="26"/>
        </w:rPr>
        <w:t>’</w:t>
      </w:r>
      <w:r>
        <w:rPr>
          <w:sz w:val="26"/>
          <w:szCs w:val="26"/>
        </w:rPr>
        <w:t>s allegations regarding the events that took place in March 2016, we recognize how the Tenant</w:t>
      </w:r>
      <w:r w:rsidR="00694B7B">
        <w:rPr>
          <w:sz w:val="26"/>
          <w:szCs w:val="26"/>
        </w:rPr>
        <w:t>’</w:t>
      </w:r>
      <w:r>
        <w:rPr>
          <w:sz w:val="26"/>
          <w:szCs w:val="26"/>
        </w:rPr>
        <w:t>s actions in changing the locks could have prevented the Complainant from being able to access the building to fix the foreign load situation.  However, whether the Complainant was prevented by the Tenant</w:t>
      </w:r>
      <w:r w:rsidR="00694B7B">
        <w:rPr>
          <w:sz w:val="26"/>
          <w:szCs w:val="26"/>
        </w:rPr>
        <w:t>’</w:t>
      </w:r>
      <w:r>
        <w:rPr>
          <w:sz w:val="26"/>
          <w:szCs w:val="26"/>
        </w:rPr>
        <w:t>s actions in fixing the foreign load situation is not a matter for PGW or the Commission to resolve.  T</w:t>
      </w:r>
      <w:r w:rsidRPr="008D025E">
        <w:rPr>
          <w:sz w:val="26"/>
          <w:szCs w:val="26"/>
        </w:rPr>
        <w:t>he financial responsibility of a foreign load balance as between the landlord and tenant(s), is a private matter that is between the property owner and tenants</w:t>
      </w:r>
      <w:r>
        <w:rPr>
          <w:sz w:val="26"/>
          <w:szCs w:val="26"/>
        </w:rPr>
        <w:t xml:space="preserve"> </w:t>
      </w:r>
      <w:r w:rsidRPr="008D025E">
        <w:rPr>
          <w:sz w:val="26"/>
          <w:szCs w:val="26"/>
        </w:rPr>
        <w:t>appropriate for</w:t>
      </w:r>
      <w:r>
        <w:rPr>
          <w:sz w:val="26"/>
          <w:szCs w:val="26"/>
        </w:rPr>
        <w:t xml:space="preserve"> the courts, not</w:t>
      </w:r>
      <w:r w:rsidRPr="008D025E">
        <w:rPr>
          <w:sz w:val="26"/>
          <w:szCs w:val="26"/>
        </w:rPr>
        <w:t xml:space="preserve"> the Commission</w:t>
      </w:r>
      <w:r>
        <w:rPr>
          <w:sz w:val="26"/>
          <w:szCs w:val="26"/>
        </w:rPr>
        <w:t>,</w:t>
      </w:r>
      <w:r w:rsidRPr="008D025E">
        <w:rPr>
          <w:sz w:val="26"/>
          <w:szCs w:val="26"/>
        </w:rPr>
        <w:t xml:space="preserve"> to resolve.  </w:t>
      </w:r>
      <w:r w:rsidRPr="008D025E">
        <w:rPr>
          <w:i/>
          <w:sz w:val="26"/>
          <w:szCs w:val="26"/>
        </w:rPr>
        <w:t>See</w:t>
      </w:r>
      <w:r w:rsidRPr="008D025E">
        <w:rPr>
          <w:sz w:val="26"/>
          <w:szCs w:val="26"/>
        </w:rPr>
        <w:t xml:space="preserve"> </w:t>
      </w:r>
      <w:r w:rsidRPr="008D025E">
        <w:rPr>
          <w:i/>
          <w:sz w:val="26"/>
          <w:szCs w:val="26"/>
        </w:rPr>
        <w:t>Ace Check Checking; Santos</w:t>
      </w:r>
      <w:r w:rsidRPr="008D025E">
        <w:rPr>
          <w:sz w:val="26"/>
          <w:szCs w:val="26"/>
        </w:rPr>
        <w:t xml:space="preserve">; </w:t>
      </w:r>
      <w:r w:rsidRPr="008D025E">
        <w:rPr>
          <w:i/>
          <w:sz w:val="26"/>
          <w:szCs w:val="26"/>
        </w:rPr>
        <w:t xml:space="preserve">Edmund v. </w:t>
      </w:r>
      <w:proofErr w:type="spellStart"/>
      <w:r w:rsidRPr="008D025E">
        <w:rPr>
          <w:i/>
          <w:sz w:val="26"/>
          <w:szCs w:val="26"/>
        </w:rPr>
        <w:t>Corazzini</w:t>
      </w:r>
      <w:proofErr w:type="spellEnd"/>
      <w:r w:rsidRPr="008D025E">
        <w:rPr>
          <w:i/>
          <w:sz w:val="26"/>
          <w:szCs w:val="26"/>
        </w:rPr>
        <w:t xml:space="preserve"> v. UGI Penn Natural Gas, Inc</w:t>
      </w:r>
      <w:r w:rsidRPr="008D025E">
        <w:rPr>
          <w:sz w:val="26"/>
          <w:szCs w:val="26"/>
        </w:rPr>
        <w:t>., Docket No. F-2009-2101282 (Opinion and Order entered July 16, 2010) (</w:t>
      </w:r>
      <w:proofErr w:type="spellStart"/>
      <w:r w:rsidRPr="008D025E">
        <w:rPr>
          <w:i/>
          <w:sz w:val="26"/>
          <w:szCs w:val="26"/>
        </w:rPr>
        <w:t>Corazzini</w:t>
      </w:r>
      <w:proofErr w:type="spellEnd"/>
      <w:r w:rsidRPr="008D025E">
        <w:rPr>
          <w:sz w:val="26"/>
          <w:szCs w:val="26"/>
        </w:rPr>
        <w:t>).</w:t>
      </w:r>
      <w:r>
        <w:rPr>
          <w:sz w:val="24"/>
          <w:szCs w:val="24"/>
        </w:rPr>
        <w:t xml:space="preserve">  </w:t>
      </w:r>
    </w:p>
    <w:p w:rsidR="007901F4" w:rsidRDefault="007901F4" w:rsidP="00A6670C">
      <w:pPr>
        <w:widowControl/>
        <w:spacing w:line="360" w:lineRule="auto"/>
        <w:ind w:firstLine="1440"/>
        <w:rPr>
          <w:sz w:val="26"/>
          <w:szCs w:val="26"/>
        </w:rPr>
      </w:pPr>
    </w:p>
    <w:p w:rsidR="00F2676D" w:rsidRDefault="007901F4" w:rsidP="00A6670C">
      <w:pPr>
        <w:widowControl/>
        <w:spacing w:line="360" w:lineRule="auto"/>
        <w:ind w:firstLine="1440"/>
        <w:rPr>
          <w:sz w:val="26"/>
          <w:szCs w:val="26"/>
        </w:rPr>
      </w:pPr>
      <w:r>
        <w:rPr>
          <w:sz w:val="26"/>
          <w:szCs w:val="26"/>
        </w:rPr>
        <w:t>Moreover, we acknowledge that the Tenant is not a party to this proceeding,</w:t>
      </w:r>
      <w:r>
        <w:rPr>
          <w:rStyle w:val="FootnoteReference"/>
          <w:sz w:val="26"/>
          <w:szCs w:val="26"/>
        </w:rPr>
        <w:footnoteReference w:id="16"/>
      </w:r>
      <w:r>
        <w:rPr>
          <w:sz w:val="26"/>
          <w:szCs w:val="26"/>
        </w:rPr>
        <w:t xml:space="preserve"> and we lack her testimony, or any evidence for that matter, as to the Tenant</w:t>
      </w:r>
      <w:r w:rsidR="00694B7B">
        <w:rPr>
          <w:sz w:val="26"/>
          <w:szCs w:val="26"/>
        </w:rPr>
        <w:t>’</w:t>
      </w:r>
      <w:r>
        <w:rPr>
          <w:sz w:val="26"/>
          <w:szCs w:val="26"/>
        </w:rPr>
        <w:t>s motivations for changing the locks and whether she even accessed the commercial area of the building after the locks were changed or utilized the entire building for a residential purpose.  We also lack any evidence to substantiate the Complainant</w:t>
      </w:r>
      <w:r w:rsidR="00694B7B">
        <w:rPr>
          <w:sz w:val="26"/>
          <w:szCs w:val="26"/>
        </w:rPr>
        <w:t>’</w:t>
      </w:r>
      <w:r>
        <w:rPr>
          <w:sz w:val="26"/>
          <w:szCs w:val="26"/>
        </w:rPr>
        <w:t>s allegations that her daughter, the owner of AOK Business Services and a friend of the Tenant</w:t>
      </w:r>
      <w:r w:rsidR="00694B7B">
        <w:rPr>
          <w:sz w:val="26"/>
          <w:szCs w:val="26"/>
        </w:rPr>
        <w:t>’</w:t>
      </w:r>
      <w:r>
        <w:rPr>
          <w:sz w:val="26"/>
          <w:szCs w:val="26"/>
        </w:rPr>
        <w:t>s, did not have access to the building after the Tenant changed the locks.</w:t>
      </w:r>
      <w:r>
        <w:rPr>
          <w:rStyle w:val="FootnoteReference"/>
          <w:sz w:val="26"/>
          <w:szCs w:val="26"/>
        </w:rPr>
        <w:footnoteReference w:id="17"/>
      </w:r>
    </w:p>
    <w:p w:rsidR="004D696F" w:rsidRPr="007901F4" w:rsidRDefault="004D696F" w:rsidP="00A6670C">
      <w:pPr>
        <w:widowControl/>
        <w:spacing w:line="360" w:lineRule="auto"/>
        <w:ind w:firstLine="1440"/>
        <w:rPr>
          <w:sz w:val="24"/>
          <w:szCs w:val="24"/>
        </w:rPr>
      </w:pPr>
    </w:p>
    <w:p w:rsidR="00F74841" w:rsidRPr="00B431DE" w:rsidRDefault="007901F4" w:rsidP="00A6670C">
      <w:pPr>
        <w:pStyle w:val="ListParagraph"/>
        <w:keepNext/>
        <w:keepLines/>
        <w:widowControl/>
        <w:numPr>
          <w:ilvl w:val="0"/>
          <w:numId w:val="13"/>
        </w:numPr>
        <w:spacing w:line="360" w:lineRule="auto"/>
        <w:rPr>
          <w:rFonts w:eastAsia="Calibri"/>
          <w:b/>
          <w:sz w:val="26"/>
          <w:szCs w:val="26"/>
        </w:rPr>
      </w:pPr>
      <w:r>
        <w:rPr>
          <w:rFonts w:eastAsia="Calibri"/>
          <w:b/>
          <w:sz w:val="26"/>
          <w:szCs w:val="26"/>
        </w:rPr>
        <w:t xml:space="preserve">Lack of </w:t>
      </w:r>
      <w:r w:rsidR="00F74841" w:rsidRPr="00B431DE">
        <w:rPr>
          <w:rFonts w:eastAsia="Calibri"/>
          <w:b/>
          <w:sz w:val="26"/>
          <w:szCs w:val="26"/>
        </w:rPr>
        <w:t xml:space="preserve">Notice </w:t>
      </w:r>
      <w:r w:rsidR="007829D8" w:rsidRPr="00B431DE">
        <w:rPr>
          <w:rFonts w:eastAsia="Calibri"/>
          <w:b/>
          <w:sz w:val="26"/>
          <w:szCs w:val="26"/>
        </w:rPr>
        <w:t>of L</w:t>
      </w:r>
      <w:r w:rsidR="00820442" w:rsidRPr="00B431DE">
        <w:rPr>
          <w:rFonts w:eastAsia="Calibri"/>
          <w:b/>
          <w:sz w:val="26"/>
          <w:szCs w:val="26"/>
        </w:rPr>
        <w:t>andlord</w:t>
      </w:r>
      <w:r w:rsidR="00694B7B">
        <w:rPr>
          <w:rFonts w:eastAsia="Calibri"/>
          <w:b/>
          <w:sz w:val="26"/>
          <w:szCs w:val="26"/>
        </w:rPr>
        <w:t>’</w:t>
      </w:r>
      <w:r w:rsidR="00820442" w:rsidRPr="00B431DE">
        <w:rPr>
          <w:rFonts w:eastAsia="Calibri"/>
          <w:b/>
          <w:sz w:val="26"/>
          <w:szCs w:val="26"/>
        </w:rPr>
        <w:t>s Obligations</w:t>
      </w:r>
    </w:p>
    <w:p w:rsidR="00F74841" w:rsidRDefault="00F74841" w:rsidP="00A6670C">
      <w:pPr>
        <w:keepNext/>
        <w:keepLines/>
        <w:widowControl/>
        <w:spacing w:line="360" w:lineRule="auto"/>
        <w:rPr>
          <w:rFonts w:eastAsia="Calibri"/>
          <w:b/>
          <w:sz w:val="26"/>
          <w:szCs w:val="26"/>
        </w:rPr>
      </w:pPr>
    </w:p>
    <w:p w:rsidR="00F74841" w:rsidRDefault="00466E85" w:rsidP="00A6670C">
      <w:pPr>
        <w:widowControl/>
        <w:spacing w:line="360" w:lineRule="auto"/>
        <w:ind w:firstLine="1440"/>
        <w:rPr>
          <w:sz w:val="26"/>
          <w:szCs w:val="26"/>
        </w:rPr>
      </w:pPr>
      <w:r>
        <w:rPr>
          <w:sz w:val="26"/>
          <w:szCs w:val="26"/>
        </w:rPr>
        <w:t xml:space="preserve">In </w:t>
      </w:r>
      <w:r w:rsidRPr="001F71D1">
        <w:rPr>
          <w:sz w:val="26"/>
          <w:szCs w:val="26"/>
        </w:rPr>
        <w:t xml:space="preserve">her Exceptions, the Complainant claims that PGW </w:t>
      </w:r>
      <w:r w:rsidR="00CE5A8E">
        <w:rPr>
          <w:sz w:val="26"/>
          <w:szCs w:val="26"/>
        </w:rPr>
        <w:t>failed to warn</w:t>
      </w:r>
      <w:r w:rsidRPr="001F71D1">
        <w:rPr>
          <w:sz w:val="26"/>
          <w:szCs w:val="26"/>
        </w:rPr>
        <w:t xml:space="preserve"> her that she could be responsible for the account balance if the </w:t>
      </w:r>
      <w:r w:rsidR="001F71D1" w:rsidRPr="001F71D1">
        <w:rPr>
          <w:sz w:val="26"/>
          <w:szCs w:val="26"/>
        </w:rPr>
        <w:t>T</w:t>
      </w:r>
      <w:r w:rsidRPr="001F71D1">
        <w:rPr>
          <w:sz w:val="26"/>
          <w:szCs w:val="26"/>
        </w:rPr>
        <w:t xml:space="preserve">enant did not pay, and that she never received a notice or a bill informing her that </w:t>
      </w:r>
      <w:r w:rsidR="001F71D1" w:rsidRPr="001F71D1">
        <w:rPr>
          <w:sz w:val="26"/>
          <w:szCs w:val="26"/>
        </w:rPr>
        <w:t>t</w:t>
      </w:r>
      <w:r w:rsidR="00211169" w:rsidRPr="001F71D1">
        <w:rPr>
          <w:sz w:val="26"/>
          <w:szCs w:val="26"/>
        </w:rPr>
        <w:t>he Tenant</w:t>
      </w:r>
      <w:r w:rsidRPr="001F71D1">
        <w:rPr>
          <w:sz w:val="26"/>
          <w:szCs w:val="26"/>
        </w:rPr>
        <w:t xml:space="preserve"> had an outstanding balance owed until August 2016.  Exc. at 2.  Specifically, she states</w:t>
      </w:r>
      <w:r w:rsidR="001F71D1">
        <w:rPr>
          <w:sz w:val="26"/>
          <w:szCs w:val="26"/>
        </w:rPr>
        <w:t xml:space="preserve"> the following</w:t>
      </w:r>
      <w:r w:rsidRPr="001F71D1">
        <w:rPr>
          <w:sz w:val="26"/>
          <w:szCs w:val="26"/>
        </w:rPr>
        <w:t>: “The Gas Co. never told me</w:t>
      </w:r>
      <w:r w:rsidR="00615A26" w:rsidRPr="001F71D1">
        <w:rPr>
          <w:sz w:val="26"/>
          <w:szCs w:val="26"/>
        </w:rPr>
        <w:t xml:space="preserve"> that I would be responsible for the bill if she did not pay.  I never received a bill or a notice until August 2016.</w:t>
      </w:r>
      <w:r w:rsidR="00AE55BC" w:rsidRPr="001F71D1">
        <w:rPr>
          <w:sz w:val="26"/>
          <w:szCs w:val="26"/>
        </w:rPr>
        <w:t xml:space="preserve"> The Gas Co. did not use due diligence in its business practice.”  Exc. at 2.</w:t>
      </w:r>
    </w:p>
    <w:p w:rsidR="0056249B" w:rsidRDefault="0056249B" w:rsidP="00A6670C">
      <w:pPr>
        <w:widowControl/>
        <w:spacing w:line="360" w:lineRule="auto"/>
        <w:ind w:firstLine="1440"/>
        <w:rPr>
          <w:sz w:val="26"/>
          <w:szCs w:val="26"/>
        </w:rPr>
      </w:pPr>
    </w:p>
    <w:p w:rsidR="001F71D1" w:rsidRDefault="009227DA" w:rsidP="00A6670C">
      <w:pPr>
        <w:widowControl/>
        <w:spacing w:line="360" w:lineRule="auto"/>
        <w:ind w:firstLine="1440"/>
        <w:rPr>
          <w:sz w:val="26"/>
          <w:szCs w:val="26"/>
        </w:rPr>
      </w:pPr>
      <w:r>
        <w:rPr>
          <w:sz w:val="26"/>
          <w:szCs w:val="26"/>
        </w:rPr>
        <w:t>We deny the Complainant</w:t>
      </w:r>
      <w:r w:rsidR="00694B7B">
        <w:rPr>
          <w:sz w:val="26"/>
          <w:szCs w:val="26"/>
        </w:rPr>
        <w:t>’</w:t>
      </w:r>
      <w:r>
        <w:rPr>
          <w:sz w:val="26"/>
          <w:szCs w:val="26"/>
        </w:rPr>
        <w:t>s Exceptions</w:t>
      </w:r>
      <w:r w:rsidR="004D696F">
        <w:rPr>
          <w:sz w:val="26"/>
          <w:szCs w:val="26"/>
        </w:rPr>
        <w:t xml:space="preserve"> on this issue</w:t>
      </w:r>
      <w:r>
        <w:rPr>
          <w:sz w:val="26"/>
          <w:szCs w:val="26"/>
        </w:rPr>
        <w:t>.  First, nothing in the Code or the Commission</w:t>
      </w:r>
      <w:r w:rsidR="00694B7B">
        <w:rPr>
          <w:sz w:val="26"/>
          <w:szCs w:val="26"/>
        </w:rPr>
        <w:t>’</w:t>
      </w:r>
      <w:r>
        <w:rPr>
          <w:sz w:val="26"/>
          <w:szCs w:val="26"/>
        </w:rPr>
        <w:t>s Regulations make a utility responsible for educating property owners as to the property owner</w:t>
      </w:r>
      <w:r w:rsidR="00694B7B">
        <w:rPr>
          <w:sz w:val="26"/>
          <w:szCs w:val="26"/>
        </w:rPr>
        <w:t>’</w:t>
      </w:r>
      <w:r>
        <w:rPr>
          <w:sz w:val="26"/>
          <w:szCs w:val="26"/>
        </w:rPr>
        <w:t xml:space="preserve">s duties and obligations under the law relating to </w:t>
      </w:r>
      <w:r w:rsidR="00A165B9">
        <w:rPr>
          <w:sz w:val="26"/>
          <w:szCs w:val="26"/>
        </w:rPr>
        <w:t>a</w:t>
      </w:r>
      <w:r>
        <w:rPr>
          <w:sz w:val="26"/>
          <w:szCs w:val="26"/>
        </w:rPr>
        <w:t xml:space="preserve"> tenants</w:t>
      </w:r>
      <w:r w:rsidR="00694B7B">
        <w:rPr>
          <w:sz w:val="26"/>
          <w:szCs w:val="26"/>
        </w:rPr>
        <w:t>’</w:t>
      </w:r>
      <w:r>
        <w:rPr>
          <w:sz w:val="26"/>
          <w:szCs w:val="26"/>
        </w:rPr>
        <w:t xml:space="preserve"> rights </w:t>
      </w:r>
      <w:r w:rsidR="00A165B9">
        <w:rPr>
          <w:sz w:val="26"/>
          <w:szCs w:val="26"/>
        </w:rPr>
        <w:t xml:space="preserve">regarding utility service. </w:t>
      </w:r>
      <w:r>
        <w:rPr>
          <w:sz w:val="26"/>
          <w:szCs w:val="26"/>
        </w:rPr>
        <w:t xml:space="preserve"> </w:t>
      </w:r>
      <w:r w:rsidR="002D5106">
        <w:rPr>
          <w:sz w:val="26"/>
          <w:szCs w:val="26"/>
        </w:rPr>
        <w:t>In that regard</w:t>
      </w:r>
      <w:r>
        <w:rPr>
          <w:sz w:val="26"/>
          <w:szCs w:val="26"/>
        </w:rPr>
        <w:t xml:space="preserve">, </w:t>
      </w:r>
      <w:r w:rsidR="002D5106">
        <w:rPr>
          <w:sz w:val="26"/>
          <w:szCs w:val="26"/>
        </w:rPr>
        <w:t xml:space="preserve">we note that </w:t>
      </w:r>
      <w:r w:rsidR="001F71D1">
        <w:rPr>
          <w:sz w:val="26"/>
          <w:szCs w:val="26"/>
        </w:rPr>
        <w:t xml:space="preserve">the Complainant technically had an affirmative duty under Section 1529.1 </w:t>
      </w:r>
      <w:r w:rsidR="001F71D1" w:rsidRPr="00687B34">
        <w:rPr>
          <w:sz w:val="26"/>
          <w:szCs w:val="26"/>
        </w:rPr>
        <w:t xml:space="preserve">to notify </w:t>
      </w:r>
      <w:r w:rsidR="001F71D1">
        <w:rPr>
          <w:sz w:val="26"/>
          <w:szCs w:val="26"/>
        </w:rPr>
        <w:t>PGW</w:t>
      </w:r>
      <w:r w:rsidR="002D5106">
        <w:rPr>
          <w:sz w:val="26"/>
          <w:szCs w:val="26"/>
        </w:rPr>
        <w:t>,</w:t>
      </w:r>
      <w:r w:rsidR="002D5106" w:rsidRPr="002D5106">
        <w:rPr>
          <w:sz w:val="26"/>
          <w:szCs w:val="26"/>
        </w:rPr>
        <w:t xml:space="preserve"> </w:t>
      </w:r>
      <w:r w:rsidR="002D5106">
        <w:rPr>
          <w:sz w:val="26"/>
          <w:szCs w:val="26"/>
        </w:rPr>
        <w:t>starting in October 2015, when the Tenant initially occupied the building,</w:t>
      </w:r>
      <w:r w:rsidR="001F71D1">
        <w:rPr>
          <w:sz w:val="26"/>
          <w:szCs w:val="26"/>
        </w:rPr>
        <w:t xml:space="preserve"> that </w:t>
      </w:r>
      <w:r w:rsidR="002D5106">
        <w:rPr>
          <w:sz w:val="26"/>
          <w:szCs w:val="26"/>
        </w:rPr>
        <w:t>the</w:t>
      </w:r>
      <w:r w:rsidR="001F71D1">
        <w:rPr>
          <w:sz w:val="26"/>
          <w:szCs w:val="26"/>
        </w:rPr>
        <w:t xml:space="preserve"> building</w:t>
      </w:r>
      <w:r w:rsidR="002D5106">
        <w:rPr>
          <w:sz w:val="26"/>
          <w:szCs w:val="26"/>
        </w:rPr>
        <w:t xml:space="preserve"> she owned</w:t>
      </w:r>
      <w:r w:rsidR="001F71D1">
        <w:rPr>
          <w:sz w:val="26"/>
          <w:szCs w:val="26"/>
        </w:rPr>
        <w:t xml:space="preserve"> contained a residential</w:t>
      </w:r>
      <w:r w:rsidR="001F71D1" w:rsidRPr="00687B34">
        <w:rPr>
          <w:sz w:val="26"/>
          <w:szCs w:val="26"/>
        </w:rPr>
        <w:t xml:space="preserve"> dwelling unit</w:t>
      </w:r>
      <w:r w:rsidR="001F71D1">
        <w:rPr>
          <w:sz w:val="26"/>
          <w:szCs w:val="26"/>
        </w:rPr>
        <w:t xml:space="preserve"> that was</w:t>
      </w:r>
      <w:r w:rsidR="001F71D1" w:rsidRPr="00687B34">
        <w:rPr>
          <w:sz w:val="26"/>
          <w:szCs w:val="26"/>
        </w:rPr>
        <w:t xml:space="preserve"> not</w:t>
      </w:r>
      <w:r w:rsidR="001F71D1">
        <w:rPr>
          <w:sz w:val="26"/>
          <w:szCs w:val="26"/>
        </w:rPr>
        <w:t xml:space="preserve"> individually metered from the commercial </w:t>
      </w:r>
      <w:r w:rsidR="002D5106">
        <w:rPr>
          <w:sz w:val="26"/>
          <w:szCs w:val="26"/>
        </w:rPr>
        <w:t>unit</w:t>
      </w:r>
      <w:r w:rsidR="001F71D1">
        <w:rPr>
          <w:sz w:val="26"/>
          <w:szCs w:val="26"/>
        </w:rPr>
        <w:t xml:space="preserve"> of the building.  However, Section 1529.1 does not operate to provide the Commission with enforcement authority over the </w:t>
      </w:r>
      <w:r w:rsidR="00A165B9">
        <w:rPr>
          <w:sz w:val="26"/>
          <w:szCs w:val="26"/>
        </w:rPr>
        <w:t>property owner</w:t>
      </w:r>
      <w:r w:rsidR="001F71D1">
        <w:rPr>
          <w:sz w:val="26"/>
          <w:szCs w:val="26"/>
        </w:rPr>
        <w:t>.  Rather, if the landlord fails to notify the utility of such a situation, the utility has an affirmative duty to investigate a premise upon receiving a foreign load or high bill complaint, which PGW did in this case, and the Commission has regulatory oversight of a utility</w:t>
      </w:r>
      <w:r w:rsidR="00694B7B">
        <w:rPr>
          <w:sz w:val="26"/>
          <w:szCs w:val="26"/>
        </w:rPr>
        <w:t>’</w:t>
      </w:r>
      <w:r w:rsidR="001F71D1">
        <w:rPr>
          <w:sz w:val="26"/>
          <w:szCs w:val="26"/>
        </w:rPr>
        <w:t>s compliance with Section 1529.1.</w:t>
      </w:r>
      <w:r w:rsidR="00EB1D63">
        <w:rPr>
          <w:sz w:val="26"/>
          <w:szCs w:val="26"/>
        </w:rPr>
        <w:t xml:space="preserve"> </w:t>
      </w:r>
    </w:p>
    <w:p w:rsidR="00A165B9" w:rsidRDefault="00A165B9" w:rsidP="00A6670C">
      <w:pPr>
        <w:widowControl/>
        <w:spacing w:line="360" w:lineRule="auto"/>
        <w:ind w:firstLine="1440"/>
        <w:rPr>
          <w:sz w:val="26"/>
          <w:szCs w:val="26"/>
        </w:rPr>
      </w:pPr>
    </w:p>
    <w:p w:rsidR="001F71D1" w:rsidRDefault="00A165B9" w:rsidP="00A6670C">
      <w:pPr>
        <w:widowControl/>
        <w:spacing w:line="360" w:lineRule="auto"/>
        <w:ind w:firstLine="1440"/>
        <w:rPr>
          <w:sz w:val="26"/>
          <w:szCs w:val="26"/>
        </w:rPr>
      </w:pPr>
      <w:r>
        <w:rPr>
          <w:sz w:val="26"/>
          <w:szCs w:val="26"/>
        </w:rPr>
        <w:t xml:space="preserve">Additionally, </w:t>
      </w:r>
      <w:r w:rsidR="005871CB">
        <w:rPr>
          <w:sz w:val="26"/>
          <w:szCs w:val="26"/>
        </w:rPr>
        <w:t>prior to a</w:t>
      </w:r>
      <w:r>
        <w:rPr>
          <w:sz w:val="26"/>
          <w:szCs w:val="26"/>
        </w:rPr>
        <w:t xml:space="preserve"> finding </w:t>
      </w:r>
      <w:r w:rsidR="008018AC">
        <w:rPr>
          <w:sz w:val="26"/>
          <w:szCs w:val="26"/>
        </w:rPr>
        <w:t>of</w:t>
      </w:r>
      <w:r>
        <w:rPr>
          <w:sz w:val="26"/>
          <w:szCs w:val="26"/>
        </w:rPr>
        <w:t xml:space="preserve"> for</w:t>
      </w:r>
      <w:r w:rsidR="005871CB">
        <w:rPr>
          <w:sz w:val="26"/>
          <w:szCs w:val="26"/>
        </w:rPr>
        <w:t xml:space="preserve">eign load on the account, </w:t>
      </w:r>
      <w:r>
        <w:rPr>
          <w:sz w:val="26"/>
          <w:szCs w:val="26"/>
        </w:rPr>
        <w:t xml:space="preserve">PGW </w:t>
      </w:r>
      <w:r w:rsidR="005871CB">
        <w:rPr>
          <w:sz w:val="26"/>
          <w:szCs w:val="26"/>
        </w:rPr>
        <w:t xml:space="preserve">was prohibited from </w:t>
      </w:r>
      <w:r>
        <w:rPr>
          <w:sz w:val="26"/>
          <w:szCs w:val="26"/>
        </w:rPr>
        <w:t>notify</w:t>
      </w:r>
      <w:r w:rsidR="005871CB">
        <w:rPr>
          <w:sz w:val="26"/>
          <w:szCs w:val="26"/>
        </w:rPr>
        <w:t>ing</w:t>
      </w:r>
      <w:r>
        <w:rPr>
          <w:sz w:val="26"/>
          <w:szCs w:val="26"/>
        </w:rPr>
        <w:t xml:space="preserve"> or send</w:t>
      </w:r>
      <w:r w:rsidR="005871CB">
        <w:rPr>
          <w:sz w:val="26"/>
          <w:szCs w:val="26"/>
        </w:rPr>
        <w:t>ing</w:t>
      </w:r>
      <w:r>
        <w:rPr>
          <w:sz w:val="26"/>
          <w:szCs w:val="26"/>
        </w:rPr>
        <w:t xml:space="preserve"> a bill to the Complainant </w:t>
      </w:r>
      <w:r w:rsidR="005871CB">
        <w:rPr>
          <w:sz w:val="26"/>
          <w:szCs w:val="26"/>
        </w:rPr>
        <w:t>regarding the</w:t>
      </w:r>
      <w:r>
        <w:rPr>
          <w:sz w:val="26"/>
          <w:szCs w:val="26"/>
        </w:rPr>
        <w:t xml:space="preserve"> outstanding arreara</w:t>
      </w:r>
      <w:r w:rsidR="005871CB">
        <w:rPr>
          <w:sz w:val="26"/>
          <w:szCs w:val="26"/>
        </w:rPr>
        <w:t>ge on the account</w:t>
      </w:r>
      <w:r w:rsidR="002D5106">
        <w:rPr>
          <w:sz w:val="26"/>
          <w:szCs w:val="26"/>
        </w:rPr>
        <w:t>,</w:t>
      </w:r>
      <w:r w:rsidR="005871CB">
        <w:rPr>
          <w:sz w:val="26"/>
          <w:szCs w:val="26"/>
        </w:rPr>
        <w:t xml:space="preserve"> as</w:t>
      </w:r>
      <w:r w:rsidR="00F67C08">
        <w:rPr>
          <w:sz w:val="26"/>
          <w:szCs w:val="26"/>
        </w:rPr>
        <w:t xml:space="preserve"> to do so</w:t>
      </w:r>
      <w:r w:rsidR="005871CB">
        <w:rPr>
          <w:sz w:val="26"/>
          <w:szCs w:val="26"/>
        </w:rPr>
        <w:t xml:space="preserve"> would have been </w:t>
      </w:r>
      <w:r w:rsidR="00F67C08">
        <w:rPr>
          <w:sz w:val="26"/>
          <w:szCs w:val="26"/>
        </w:rPr>
        <w:t>in</w:t>
      </w:r>
      <w:r w:rsidR="005871CB">
        <w:rPr>
          <w:sz w:val="26"/>
          <w:szCs w:val="26"/>
        </w:rPr>
        <w:t xml:space="preserve"> violation of PGW</w:t>
      </w:r>
      <w:r w:rsidR="00694B7B">
        <w:rPr>
          <w:sz w:val="26"/>
          <w:szCs w:val="26"/>
        </w:rPr>
        <w:t>’</w:t>
      </w:r>
      <w:r w:rsidR="005871CB">
        <w:rPr>
          <w:sz w:val="26"/>
          <w:szCs w:val="26"/>
        </w:rPr>
        <w:t>s obligation to restrict the release of the Tenant</w:t>
      </w:r>
      <w:r w:rsidR="00694B7B">
        <w:rPr>
          <w:sz w:val="26"/>
          <w:szCs w:val="26"/>
        </w:rPr>
        <w:t>’</w:t>
      </w:r>
      <w:r w:rsidR="005871CB">
        <w:rPr>
          <w:sz w:val="26"/>
          <w:szCs w:val="26"/>
        </w:rPr>
        <w:t>s private customer information.</w:t>
      </w:r>
      <w:r>
        <w:rPr>
          <w:sz w:val="26"/>
          <w:szCs w:val="26"/>
        </w:rPr>
        <w:t xml:space="preserve">  </w:t>
      </w:r>
      <w:r w:rsidR="005871CB" w:rsidRPr="005871CB">
        <w:rPr>
          <w:i/>
          <w:sz w:val="26"/>
          <w:szCs w:val="26"/>
        </w:rPr>
        <w:t xml:space="preserve">See </w:t>
      </w:r>
      <w:r w:rsidR="005871CB">
        <w:rPr>
          <w:sz w:val="26"/>
          <w:szCs w:val="26"/>
        </w:rPr>
        <w:t>52 Pa</w:t>
      </w:r>
      <w:r w:rsidR="005871CB" w:rsidRPr="005871CB">
        <w:rPr>
          <w:sz w:val="26"/>
          <w:szCs w:val="26"/>
        </w:rPr>
        <w:t>. Code§§ 56.32(c),</w:t>
      </w:r>
      <w:r w:rsidR="005871CB">
        <w:rPr>
          <w:sz w:val="26"/>
          <w:szCs w:val="26"/>
        </w:rPr>
        <w:t xml:space="preserve"> 62.78.</w:t>
      </w:r>
    </w:p>
    <w:p w:rsidR="00466E85" w:rsidRPr="00F74841" w:rsidRDefault="00466E85" w:rsidP="00A6670C">
      <w:pPr>
        <w:widowControl/>
        <w:spacing w:line="360" w:lineRule="auto"/>
        <w:rPr>
          <w:rFonts w:eastAsia="Calibri"/>
          <w:b/>
          <w:sz w:val="26"/>
          <w:szCs w:val="26"/>
        </w:rPr>
      </w:pPr>
    </w:p>
    <w:p w:rsidR="00F2676D" w:rsidRPr="00F2676D" w:rsidRDefault="00F2676D" w:rsidP="00A6670C">
      <w:pPr>
        <w:pStyle w:val="ListParagraph"/>
        <w:widowControl/>
        <w:numPr>
          <w:ilvl w:val="0"/>
          <w:numId w:val="13"/>
        </w:numPr>
        <w:spacing w:line="360" w:lineRule="auto"/>
        <w:rPr>
          <w:rFonts w:eastAsia="Calibri"/>
          <w:b/>
          <w:sz w:val="26"/>
          <w:szCs w:val="26"/>
        </w:rPr>
      </w:pPr>
      <w:r>
        <w:rPr>
          <w:rFonts w:eastAsia="Calibri"/>
          <w:b/>
          <w:sz w:val="26"/>
          <w:szCs w:val="26"/>
        </w:rPr>
        <w:t>PGW</w:t>
      </w:r>
      <w:r w:rsidR="00694B7B">
        <w:rPr>
          <w:rFonts w:eastAsia="Calibri"/>
          <w:b/>
          <w:sz w:val="26"/>
          <w:szCs w:val="26"/>
        </w:rPr>
        <w:t>’</w:t>
      </w:r>
      <w:r>
        <w:rPr>
          <w:rFonts w:eastAsia="Calibri"/>
          <w:b/>
          <w:sz w:val="26"/>
          <w:szCs w:val="26"/>
        </w:rPr>
        <w:t xml:space="preserve">s </w:t>
      </w:r>
      <w:r w:rsidRPr="00F2676D">
        <w:rPr>
          <w:rFonts w:eastAsia="Calibri"/>
          <w:b/>
          <w:sz w:val="26"/>
          <w:szCs w:val="26"/>
        </w:rPr>
        <w:t>Landlord Cooperation Program and Liens</w:t>
      </w:r>
    </w:p>
    <w:p w:rsidR="00F2676D" w:rsidRDefault="00F2676D" w:rsidP="00A6670C">
      <w:pPr>
        <w:widowControl/>
        <w:spacing w:line="360" w:lineRule="auto"/>
        <w:ind w:firstLine="1440"/>
        <w:rPr>
          <w:color w:val="212121"/>
          <w:sz w:val="26"/>
          <w:szCs w:val="26"/>
        </w:rPr>
      </w:pPr>
    </w:p>
    <w:p w:rsidR="00F2676D" w:rsidRDefault="00A511FA" w:rsidP="00A6670C">
      <w:pPr>
        <w:widowControl/>
        <w:spacing w:line="360" w:lineRule="auto"/>
        <w:ind w:firstLine="1440"/>
        <w:rPr>
          <w:color w:val="212121"/>
          <w:sz w:val="26"/>
          <w:szCs w:val="26"/>
        </w:rPr>
      </w:pPr>
      <w:r>
        <w:rPr>
          <w:color w:val="212121"/>
          <w:sz w:val="26"/>
          <w:szCs w:val="26"/>
        </w:rPr>
        <w:t xml:space="preserve">In her Exceptions, the Complainant claims </w:t>
      </w:r>
      <w:r w:rsidR="00F2676D">
        <w:rPr>
          <w:color w:val="212121"/>
          <w:sz w:val="26"/>
          <w:szCs w:val="26"/>
        </w:rPr>
        <w:t xml:space="preserve">that the Landlord Cooperation Program </w:t>
      </w:r>
      <w:r w:rsidR="002569E0">
        <w:rPr>
          <w:color w:val="212121"/>
          <w:sz w:val="26"/>
          <w:szCs w:val="26"/>
        </w:rPr>
        <w:t xml:space="preserve">(LCP) </w:t>
      </w:r>
      <w:r w:rsidR="00F2676D">
        <w:rPr>
          <w:color w:val="212121"/>
          <w:sz w:val="26"/>
          <w:szCs w:val="26"/>
        </w:rPr>
        <w:t>was to prevent the Complainant from being held responsi</w:t>
      </w:r>
      <w:r>
        <w:rPr>
          <w:color w:val="212121"/>
          <w:sz w:val="26"/>
          <w:szCs w:val="26"/>
        </w:rPr>
        <w:t>ble for th</w:t>
      </w:r>
      <w:r w:rsidR="00B74E9A">
        <w:rPr>
          <w:color w:val="212121"/>
          <w:sz w:val="26"/>
          <w:szCs w:val="26"/>
        </w:rPr>
        <w:t>e T</w:t>
      </w:r>
      <w:r>
        <w:rPr>
          <w:color w:val="212121"/>
          <w:sz w:val="26"/>
          <w:szCs w:val="26"/>
        </w:rPr>
        <w:t>enant</w:t>
      </w:r>
      <w:r w:rsidR="00694B7B">
        <w:rPr>
          <w:color w:val="212121"/>
          <w:sz w:val="26"/>
          <w:szCs w:val="26"/>
        </w:rPr>
        <w:t>’</w:t>
      </w:r>
      <w:r>
        <w:rPr>
          <w:color w:val="212121"/>
          <w:sz w:val="26"/>
          <w:szCs w:val="26"/>
        </w:rPr>
        <w:t>s gas bills</w:t>
      </w:r>
      <w:r w:rsidR="002569E0">
        <w:rPr>
          <w:color w:val="212121"/>
          <w:sz w:val="26"/>
          <w:szCs w:val="26"/>
        </w:rPr>
        <w:t xml:space="preserve">.  The Complainant also states </w:t>
      </w:r>
      <w:r w:rsidR="00F2676D">
        <w:rPr>
          <w:color w:val="212121"/>
          <w:sz w:val="26"/>
          <w:szCs w:val="26"/>
        </w:rPr>
        <w:t>that a lien against the Complainant</w:t>
      </w:r>
      <w:r w:rsidR="00694B7B">
        <w:rPr>
          <w:color w:val="212121"/>
          <w:sz w:val="26"/>
          <w:szCs w:val="26"/>
        </w:rPr>
        <w:t>’</w:t>
      </w:r>
      <w:r w:rsidR="00F2676D">
        <w:rPr>
          <w:color w:val="212121"/>
          <w:sz w:val="26"/>
          <w:szCs w:val="26"/>
        </w:rPr>
        <w:t>s property would be unjustified and that PGW should relieve the Complainant of any lien placed against the property.</w:t>
      </w:r>
      <w:r>
        <w:rPr>
          <w:color w:val="212121"/>
          <w:sz w:val="26"/>
          <w:szCs w:val="26"/>
        </w:rPr>
        <w:t xml:space="preserve">  Exc. at 3.</w:t>
      </w:r>
    </w:p>
    <w:p w:rsidR="00A511FA" w:rsidRDefault="00A511FA" w:rsidP="00A6670C">
      <w:pPr>
        <w:widowControl/>
        <w:spacing w:line="360" w:lineRule="auto"/>
        <w:ind w:firstLine="1440"/>
        <w:rPr>
          <w:color w:val="212121"/>
          <w:sz w:val="26"/>
          <w:szCs w:val="26"/>
        </w:rPr>
      </w:pPr>
    </w:p>
    <w:p w:rsidR="002569E0" w:rsidRDefault="002569E0" w:rsidP="00A6670C">
      <w:pPr>
        <w:widowControl/>
        <w:spacing w:line="360" w:lineRule="auto"/>
        <w:ind w:firstLine="1440"/>
        <w:rPr>
          <w:sz w:val="26"/>
          <w:szCs w:val="26"/>
        </w:rPr>
      </w:pPr>
      <w:r>
        <w:rPr>
          <w:sz w:val="26"/>
          <w:szCs w:val="26"/>
        </w:rPr>
        <w:t>Fi</w:t>
      </w:r>
      <w:r w:rsidR="008018AC">
        <w:rPr>
          <w:sz w:val="26"/>
          <w:szCs w:val="26"/>
        </w:rPr>
        <w:t>r</w:t>
      </w:r>
      <w:r>
        <w:rPr>
          <w:sz w:val="26"/>
          <w:szCs w:val="26"/>
        </w:rPr>
        <w:t>st, the Complainant</w:t>
      </w:r>
      <w:r w:rsidR="00694B7B">
        <w:rPr>
          <w:sz w:val="26"/>
          <w:szCs w:val="26"/>
        </w:rPr>
        <w:t>’</w:t>
      </w:r>
      <w:r>
        <w:rPr>
          <w:sz w:val="26"/>
          <w:szCs w:val="26"/>
        </w:rPr>
        <w:t>s enrollment into PGW</w:t>
      </w:r>
      <w:r w:rsidR="00694B7B">
        <w:rPr>
          <w:sz w:val="26"/>
          <w:szCs w:val="26"/>
        </w:rPr>
        <w:t>’</w:t>
      </w:r>
      <w:r>
        <w:rPr>
          <w:sz w:val="26"/>
          <w:szCs w:val="26"/>
        </w:rPr>
        <w:t>s LCP is of no consequence to our decision here as it does not relieve her from paying the usage charges where there is foreign load.</w:t>
      </w:r>
    </w:p>
    <w:p w:rsidR="002569E0" w:rsidRDefault="002569E0" w:rsidP="00A6670C">
      <w:pPr>
        <w:widowControl/>
        <w:spacing w:line="360" w:lineRule="auto"/>
        <w:ind w:firstLine="1440"/>
        <w:rPr>
          <w:sz w:val="26"/>
          <w:szCs w:val="26"/>
        </w:rPr>
      </w:pPr>
    </w:p>
    <w:p w:rsidR="00A511FA" w:rsidRDefault="002569E0" w:rsidP="00A6670C">
      <w:pPr>
        <w:widowControl/>
        <w:spacing w:line="360" w:lineRule="auto"/>
        <w:ind w:firstLine="1440"/>
        <w:rPr>
          <w:color w:val="212121"/>
          <w:sz w:val="26"/>
          <w:szCs w:val="26"/>
        </w:rPr>
      </w:pPr>
      <w:r>
        <w:rPr>
          <w:sz w:val="26"/>
          <w:szCs w:val="26"/>
        </w:rPr>
        <w:t>Next, w</w:t>
      </w:r>
      <w:r w:rsidR="00A511FA">
        <w:rPr>
          <w:sz w:val="26"/>
          <w:szCs w:val="26"/>
        </w:rPr>
        <w:t>e affirm the ALJ</w:t>
      </w:r>
      <w:r w:rsidR="00694B7B">
        <w:rPr>
          <w:sz w:val="26"/>
          <w:szCs w:val="26"/>
        </w:rPr>
        <w:t>’</w:t>
      </w:r>
      <w:r w:rsidR="00A511FA">
        <w:rPr>
          <w:sz w:val="26"/>
          <w:szCs w:val="26"/>
        </w:rPr>
        <w:t xml:space="preserve">s conclusion in the Initial Decision that the Commission should refrain from addressing </w:t>
      </w:r>
      <w:r w:rsidR="00A511FA" w:rsidRPr="00A511FA">
        <w:rPr>
          <w:sz w:val="26"/>
          <w:szCs w:val="26"/>
        </w:rPr>
        <w:t>the Complainant</w:t>
      </w:r>
      <w:r w:rsidR="00694B7B">
        <w:rPr>
          <w:sz w:val="26"/>
          <w:szCs w:val="26"/>
        </w:rPr>
        <w:t>’</w:t>
      </w:r>
      <w:r w:rsidR="00A511FA" w:rsidRPr="00A511FA">
        <w:rPr>
          <w:sz w:val="26"/>
          <w:szCs w:val="26"/>
        </w:rPr>
        <w:t>s issues</w:t>
      </w:r>
      <w:r w:rsidR="00A511FA">
        <w:rPr>
          <w:sz w:val="26"/>
          <w:szCs w:val="26"/>
        </w:rPr>
        <w:t xml:space="preserve"> regarding PGW</w:t>
      </w:r>
      <w:r w:rsidR="00694B7B">
        <w:rPr>
          <w:sz w:val="26"/>
          <w:szCs w:val="26"/>
        </w:rPr>
        <w:t>’</w:t>
      </w:r>
      <w:r w:rsidR="00A511FA">
        <w:rPr>
          <w:sz w:val="26"/>
          <w:szCs w:val="26"/>
        </w:rPr>
        <w:t>s</w:t>
      </w:r>
      <w:r w:rsidR="00A511FA" w:rsidRPr="00A511FA">
        <w:rPr>
          <w:sz w:val="26"/>
          <w:szCs w:val="26"/>
        </w:rPr>
        <w:t xml:space="preserve"> </w:t>
      </w:r>
      <w:r w:rsidR="00A511FA" w:rsidRPr="00A511FA">
        <w:rPr>
          <w:color w:val="212121"/>
          <w:sz w:val="26"/>
          <w:szCs w:val="26"/>
        </w:rPr>
        <w:t>LCP</w:t>
      </w:r>
      <w:r w:rsidR="00A511FA">
        <w:rPr>
          <w:color w:val="212121"/>
          <w:sz w:val="26"/>
          <w:szCs w:val="26"/>
        </w:rPr>
        <w:t>.  I</w:t>
      </w:r>
      <w:r w:rsidR="00A511FA">
        <w:rPr>
          <w:sz w:val="26"/>
          <w:szCs w:val="26"/>
        </w:rPr>
        <w:t>n our opinion, we would not characterize the</w:t>
      </w:r>
      <w:r w:rsidR="00A511FA" w:rsidRPr="00A511FA">
        <w:rPr>
          <w:sz w:val="26"/>
          <w:szCs w:val="26"/>
        </w:rPr>
        <w:t xml:space="preserve"> issues </w:t>
      </w:r>
      <w:r w:rsidR="00A511FA">
        <w:rPr>
          <w:sz w:val="26"/>
          <w:szCs w:val="26"/>
        </w:rPr>
        <w:t xml:space="preserve">raised by the Complainant </w:t>
      </w:r>
      <w:r w:rsidR="00D170AD">
        <w:rPr>
          <w:sz w:val="26"/>
          <w:szCs w:val="26"/>
        </w:rPr>
        <w:t xml:space="preserve">regarding the LCP </w:t>
      </w:r>
      <w:r w:rsidR="00A511FA">
        <w:rPr>
          <w:color w:val="212121"/>
          <w:sz w:val="26"/>
          <w:szCs w:val="26"/>
        </w:rPr>
        <w:t>as involving</w:t>
      </w:r>
      <w:r w:rsidR="00A511FA" w:rsidRPr="00A511FA">
        <w:rPr>
          <w:color w:val="212121"/>
          <w:sz w:val="26"/>
          <w:szCs w:val="26"/>
        </w:rPr>
        <w:t xml:space="preserve"> </w:t>
      </w:r>
      <w:r w:rsidR="00C37DF6">
        <w:rPr>
          <w:color w:val="212121"/>
          <w:sz w:val="26"/>
          <w:szCs w:val="26"/>
        </w:rPr>
        <w:t xml:space="preserve">any </w:t>
      </w:r>
      <w:r w:rsidR="00A511FA" w:rsidRPr="00A511FA">
        <w:rPr>
          <w:color w:val="212121"/>
          <w:sz w:val="26"/>
          <w:szCs w:val="26"/>
        </w:rPr>
        <w:t>matter</w:t>
      </w:r>
      <w:r w:rsidR="00A511FA">
        <w:rPr>
          <w:color w:val="212121"/>
          <w:sz w:val="26"/>
          <w:szCs w:val="26"/>
        </w:rPr>
        <w:t xml:space="preserve"> related to or otherwise implicating </w:t>
      </w:r>
      <w:r w:rsidR="00A511FA" w:rsidRPr="00A511FA">
        <w:rPr>
          <w:color w:val="212121"/>
          <w:sz w:val="26"/>
          <w:szCs w:val="26"/>
        </w:rPr>
        <w:t>PGW</w:t>
      </w:r>
      <w:r w:rsidR="00694B7B">
        <w:rPr>
          <w:color w:val="212121"/>
          <w:sz w:val="26"/>
          <w:szCs w:val="26"/>
        </w:rPr>
        <w:t>’</w:t>
      </w:r>
      <w:r w:rsidR="00A511FA" w:rsidRPr="00A511FA">
        <w:rPr>
          <w:color w:val="212121"/>
          <w:sz w:val="26"/>
          <w:szCs w:val="26"/>
        </w:rPr>
        <w:t>s public utility service or</w:t>
      </w:r>
      <w:r>
        <w:rPr>
          <w:color w:val="212121"/>
          <w:sz w:val="26"/>
          <w:szCs w:val="26"/>
        </w:rPr>
        <w:t xml:space="preserve"> rates</w:t>
      </w:r>
      <w:r w:rsidR="00DA5423">
        <w:rPr>
          <w:color w:val="212121"/>
          <w:sz w:val="26"/>
          <w:szCs w:val="26"/>
        </w:rPr>
        <w:t xml:space="preserve">.  </w:t>
      </w:r>
      <w:r w:rsidR="00A511FA">
        <w:rPr>
          <w:color w:val="212121"/>
          <w:sz w:val="26"/>
          <w:szCs w:val="26"/>
        </w:rPr>
        <w:t xml:space="preserve">Rather, the issues raised by the Complainant relate solely to </w:t>
      </w:r>
      <w:r>
        <w:rPr>
          <w:color w:val="212121"/>
          <w:sz w:val="26"/>
          <w:szCs w:val="26"/>
        </w:rPr>
        <w:t xml:space="preserve">liens and </w:t>
      </w:r>
      <w:r w:rsidR="00A511FA">
        <w:rPr>
          <w:color w:val="212121"/>
          <w:sz w:val="26"/>
          <w:szCs w:val="26"/>
        </w:rPr>
        <w:t>an alleged breach</w:t>
      </w:r>
      <w:r>
        <w:rPr>
          <w:color w:val="212121"/>
          <w:sz w:val="26"/>
          <w:szCs w:val="26"/>
        </w:rPr>
        <w:t xml:space="preserve"> or potential breach</w:t>
      </w:r>
      <w:r w:rsidR="00A511FA">
        <w:rPr>
          <w:color w:val="212121"/>
          <w:sz w:val="26"/>
          <w:szCs w:val="26"/>
        </w:rPr>
        <w:t xml:space="preserve"> by PGW of its obligations under the LCP.</w:t>
      </w:r>
    </w:p>
    <w:p w:rsidR="00A511FA" w:rsidRDefault="00A511FA" w:rsidP="00A6670C">
      <w:pPr>
        <w:widowControl/>
        <w:spacing w:line="360" w:lineRule="auto"/>
        <w:ind w:firstLine="1440"/>
        <w:rPr>
          <w:color w:val="212121"/>
          <w:sz w:val="26"/>
          <w:szCs w:val="26"/>
        </w:rPr>
      </w:pPr>
    </w:p>
    <w:p w:rsidR="00A511FA" w:rsidRPr="00DA5423" w:rsidRDefault="00A511FA" w:rsidP="00A6670C">
      <w:pPr>
        <w:widowControl/>
        <w:spacing w:line="360" w:lineRule="auto"/>
        <w:ind w:firstLine="1440"/>
        <w:rPr>
          <w:sz w:val="24"/>
          <w:szCs w:val="24"/>
        </w:rPr>
      </w:pPr>
      <w:r w:rsidRPr="00A511FA">
        <w:rPr>
          <w:color w:val="212121"/>
          <w:sz w:val="26"/>
          <w:szCs w:val="26"/>
        </w:rPr>
        <w:t>As indicated in the Commission</w:t>
      </w:r>
      <w:r w:rsidR="00694B7B">
        <w:rPr>
          <w:color w:val="212121"/>
          <w:sz w:val="26"/>
          <w:szCs w:val="26"/>
        </w:rPr>
        <w:t>’</w:t>
      </w:r>
      <w:r w:rsidRPr="00A511FA">
        <w:rPr>
          <w:color w:val="212121"/>
          <w:sz w:val="26"/>
          <w:szCs w:val="26"/>
        </w:rPr>
        <w:t xml:space="preserve">s prior decision, </w:t>
      </w:r>
      <w:r w:rsidRPr="00A511FA">
        <w:rPr>
          <w:i/>
          <w:sz w:val="26"/>
          <w:szCs w:val="26"/>
        </w:rPr>
        <w:t>Fisher v. Philadelphia Gas Works,</w:t>
      </w:r>
      <w:r w:rsidRPr="00A511FA">
        <w:rPr>
          <w:sz w:val="26"/>
          <w:szCs w:val="26"/>
        </w:rPr>
        <w:t xml:space="preserve"> PUC Docket Number F-2010-2215047 (Final Order entered July 31, 2012) (</w:t>
      </w:r>
      <w:r w:rsidRPr="00A511FA">
        <w:rPr>
          <w:i/>
          <w:sz w:val="26"/>
          <w:szCs w:val="26"/>
        </w:rPr>
        <w:t>Fisher</w:t>
      </w:r>
      <w:r w:rsidRPr="00A511FA">
        <w:rPr>
          <w:sz w:val="26"/>
          <w:szCs w:val="26"/>
        </w:rPr>
        <w:t>), PGW</w:t>
      </w:r>
      <w:r w:rsidR="00694B7B">
        <w:rPr>
          <w:sz w:val="26"/>
          <w:szCs w:val="26"/>
        </w:rPr>
        <w:t>’</w:t>
      </w:r>
      <w:r w:rsidRPr="00A511FA">
        <w:rPr>
          <w:sz w:val="26"/>
          <w:szCs w:val="26"/>
        </w:rPr>
        <w:t>s forbearance of its right to file municipal liens for unpaid gas service to licensed landlords, who participate in the LCP and provide PGW with access to their properties, is not an essential part of PGW</w:t>
      </w:r>
      <w:r w:rsidR="00694B7B">
        <w:rPr>
          <w:sz w:val="26"/>
          <w:szCs w:val="26"/>
        </w:rPr>
        <w:t>’</w:t>
      </w:r>
      <w:r w:rsidRPr="00A511FA">
        <w:rPr>
          <w:sz w:val="26"/>
          <w:szCs w:val="26"/>
        </w:rPr>
        <w:t>s public gas service.  It is merely a supplemental service provided to the landlord, incidental to PGW</w:t>
      </w:r>
      <w:r w:rsidR="00694B7B">
        <w:rPr>
          <w:sz w:val="26"/>
          <w:szCs w:val="26"/>
        </w:rPr>
        <w:t>’</w:t>
      </w:r>
      <w:r w:rsidRPr="00A511FA">
        <w:rPr>
          <w:sz w:val="26"/>
          <w:szCs w:val="26"/>
        </w:rPr>
        <w:t xml:space="preserve">s primary gas service provided to the tenant.  Any rights or obligations in connection with the LCP do not arise from the public rights embodied in the Code, but from the terms of the private contract between PGW and the Complainant.  Therefore, any alleged breaches of LCP obligations do not involve a </w:t>
      </w:r>
      <w:r w:rsidR="008018AC">
        <w:rPr>
          <w:sz w:val="26"/>
          <w:szCs w:val="26"/>
        </w:rPr>
        <w:t>L</w:t>
      </w:r>
      <w:r w:rsidRPr="00A511FA">
        <w:rPr>
          <w:sz w:val="26"/>
          <w:szCs w:val="26"/>
        </w:rPr>
        <w:t xml:space="preserve">aw, </w:t>
      </w:r>
      <w:r w:rsidR="008018AC">
        <w:rPr>
          <w:sz w:val="26"/>
          <w:szCs w:val="26"/>
        </w:rPr>
        <w:t>R</w:t>
      </w:r>
      <w:r w:rsidRPr="00A511FA">
        <w:rPr>
          <w:sz w:val="26"/>
          <w:szCs w:val="26"/>
        </w:rPr>
        <w:t xml:space="preserve">egulation or </w:t>
      </w:r>
      <w:r w:rsidR="008018AC">
        <w:rPr>
          <w:sz w:val="26"/>
          <w:szCs w:val="26"/>
        </w:rPr>
        <w:t>O</w:t>
      </w:r>
      <w:r w:rsidRPr="00A511FA">
        <w:rPr>
          <w:sz w:val="26"/>
          <w:szCs w:val="26"/>
        </w:rPr>
        <w:t>rder that the Commission has jurisdiction to administer.  They constitute private disputes which fall beyond the scope of the Commission</w:t>
      </w:r>
      <w:r w:rsidR="00694B7B">
        <w:rPr>
          <w:sz w:val="26"/>
          <w:szCs w:val="26"/>
        </w:rPr>
        <w:t>’</w:t>
      </w:r>
      <w:r w:rsidRPr="00A511FA">
        <w:rPr>
          <w:sz w:val="26"/>
          <w:szCs w:val="26"/>
        </w:rPr>
        <w:t>s jurisdiction.</w:t>
      </w:r>
      <w:r w:rsidR="00FB333A">
        <w:rPr>
          <w:sz w:val="26"/>
          <w:szCs w:val="26"/>
        </w:rPr>
        <w:t xml:space="preserve">  The Complainant’s Exceptions on this matter are, therefore, denied.</w:t>
      </w:r>
    </w:p>
    <w:p w:rsidR="00F2676D" w:rsidRPr="00F2676D" w:rsidRDefault="00F2676D" w:rsidP="00A6670C">
      <w:pPr>
        <w:widowControl/>
        <w:spacing w:line="360" w:lineRule="auto"/>
        <w:ind w:firstLine="1440"/>
        <w:rPr>
          <w:b/>
          <w:color w:val="212121"/>
          <w:sz w:val="26"/>
          <w:szCs w:val="26"/>
        </w:rPr>
      </w:pPr>
    </w:p>
    <w:p w:rsidR="00F2676D" w:rsidRPr="00F2676D" w:rsidRDefault="00245C30" w:rsidP="00A6670C">
      <w:pPr>
        <w:pStyle w:val="ListParagraph"/>
        <w:keepNext/>
        <w:keepLines/>
        <w:widowControl/>
        <w:numPr>
          <w:ilvl w:val="0"/>
          <w:numId w:val="13"/>
        </w:numPr>
        <w:spacing w:line="360" w:lineRule="auto"/>
        <w:rPr>
          <w:rFonts w:eastAsia="Calibri"/>
          <w:b/>
          <w:sz w:val="26"/>
          <w:szCs w:val="26"/>
        </w:rPr>
      </w:pPr>
      <w:r>
        <w:rPr>
          <w:rFonts w:eastAsia="Calibri"/>
          <w:b/>
          <w:sz w:val="26"/>
          <w:szCs w:val="26"/>
        </w:rPr>
        <w:t>Explanation of Amounts on Gas Bill</w:t>
      </w:r>
    </w:p>
    <w:p w:rsidR="00F2676D" w:rsidRDefault="00F2676D" w:rsidP="00A6670C">
      <w:pPr>
        <w:keepNext/>
        <w:keepLines/>
        <w:widowControl/>
        <w:spacing w:line="360" w:lineRule="auto"/>
        <w:rPr>
          <w:color w:val="212121"/>
          <w:sz w:val="26"/>
          <w:szCs w:val="26"/>
        </w:rPr>
      </w:pPr>
    </w:p>
    <w:p w:rsidR="00F2676D" w:rsidRDefault="002602CF" w:rsidP="00A6670C">
      <w:pPr>
        <w:widowControl/>
        <w:spacing w:line="360" w:lineRule="auto"/>
        <w:ind w:firstLine="1440"/>
        <w:rPr>
          <w:color w:val="212121"/>
          <w:sz w:val="26"/>
          <w:szCs w:val="26"/>
        </w:rPr>
      </w:pPr>
      <w:r>
        <w:rPr>
          <w:color w:val="212121"/>
          <w:sz w:val="26"/>
          <w:szCs w:val="26"/>
        </w:rPr>
        <w:t>Finally, in her Exceptions, the Complainant states</w:t>
      </w:r>
      <w:r w:rsidR="008018AC">
        <w:rPr>
          <w:color w:val="212121"/>
          <w:sz w:val="26"/>
          <w:szCs w:val="26"/>
        </w:rPr>
        <w:t>: “</w:t>
      </w:r>
      <w:r>
        <w:rPr>
          <w:color w:val="212121"/>
          <w:sz w:val="26"/>
          <w:szCs w:val="26"/>
        </w:rPr>
        <w:t>The gas company refuses to tell me how they determined my bill.”</w:t>
      </w:r>
      <w:r w:rsidR="008018AC">
        <w:rPr>
          <w:color w:val="212121"/>
          <w:sz w:val="26"/>
          <w:szCs w:val="26"/>
        </w:rPr>
        <w:t xml:space="preserve">  </w:t>
      </w:r>
      <w:r w:rsidR="00A91F33">
        <w:rPr>
          <w:color w:val="212121"/>
          <w:sz w:val="26"/>
          <w:szCs w:val="26"/>
        </w:rPr>
        <w:t xml:space="preserve">We note that </w:t>
      </w:r>
      <w:r w:rsidR="00B74E9A">
        <w:rPr>
          <w:color w:val="212121"/>
          <w:sz w:val="26"/>
          <w:szCs w:val="26"/>
        </w:rPr>
        <w:t>PGW is required to comply with the Commission</w:t>
      </w:r>
      <w:r w:rsidR="00694B7B">
        <w:rPr>
          <w:color w:val="212121"/>
          <w:sz w:val="26"/>
          <w:szCs w:val="26"/>
        </w:rPr>
        <w:t>’</w:t>
      </w:r>
      <w:r w:rsidR="00B74E9A">
        <w:rPr>
          <w:color w:val="212121"/>
          <w:sz w:val="26"/>
          <w:szCs w:val="26"/>
        </w:rPr>
        <w:t xml:space="preserve">s Regulations at 52 Pa. Code § 56.15 </w:t>
      </w:r>
      <w:r w:rsidR="00B74E9A" w:rsidRPr="00540DBF">
        <w:rPr>
          <w:i/>
          <w:color w:val="212121"/>
          <w:sz w:val="26"/>
          <w:szCs w:val="26"/>
        </w:rPr>
        <w:t xml:space="preserve">et </w:t>
      </w:r>
      <w:r w:rsidR="00F67C08">
        <w:rPr>
          <w:i/>
          <w:color w:val="212121"/>
          <w:sz w:val="26"/>
          <w:szCs w:val="26"/>
        </w:rPr>
        <w:t>seq.</w:t>
      </w:r>
      <w:r w:rsidR="00B74E9A">
        <w:rPr>
          <w:color w:val="212121"/>
          <w:sz w:val="26"/>
          <w:szCs w:val="26"/>
        </w:rPr>
        <w:t xml:space="preserve">, relating to the billing information to be provided to its customers. </w:t>
      </w:r>
      <w:r w:rsidR="00540DBF">
        <w:rPr>
          <w:color w:val="212121"/>
          <w:sz w:val="26"/>
          <w:szCs w:val="26"/>
        </w:rPr>
        <w:t xml:space="preserve"> </w:t>
      </w:r>
      <w:r>
        <w:rPr>
          <w:color w:val="212121"/>
          <w:sz w:val="26"/>
          <w:szCs w:val="26"/>
        </w:rPr>
        <w:t xml:space="preserve">Based on our review of the record, </w:t>
      </w:r>
      <w:r w:rsidR="00B74E9A">
        <w:rPr>
          <w:color w:val="212121"/>
          <w:sz w:val="26"/>
          <w:szCs w:val="26"/>
        </w:rPr>
        <w:t xml:space="preserve">however, it appears that </w:t>
      </w:r>
      <w:r>
        <w:rPr>
          <w:color w:val="212121"/>
          <w:sz w:val="26"/>
          <w:szCs w:val="26"/>
        </w:rPr>
        <w:t xml:space="preserve">the first time this claim </w:t>
      </w:r>
      <w:r w:rsidR="00A91F33">
        <w:rPr>
          <w:color w:val="212121"/>
          <w:sz w:val="26"/>
          <w:szCs w:val="26"/>
        </w:rPr>
        <w:t>is</w:t>
      </w:r>
      <w:r>
        <w:rPr>
          <w:color w:val="212121"/>
          <w:sz w:val="26"/>
          <w:szCs w:val="26"/>
        </w:rPr>
        <w:t xml:space="preserve"> raised is in the Complainant</w:t>
      </w:r>
      <w:r w:rsidR="00694B7B">
        <w:rPr>
          <w:color w:val="212121"/>
          <w:sz w:val="26"/>
          <w:szCs w:val="26"/>
        </w:rPr>
        <w:t>’</w:t>
      </w:r>
      <w:r>
        <w:rPr>
          <w:color w:val="212121"/>
          <w:sz w:val="26"/>
          <w:szCs w:val="26"/>
        </w:rPr>
        <w:t xml:space="preserve">s Exceptions.  </w:t>
      </w:r>
      <w:r w:rsidR="00B74E9A">
        <w:rPr>
          <w:color w:val="212121"/>
          <w:sz w:val="26"/>
          <w:szCs w:val="26"/>
        </w:rPr>
        <w:t>PGW</w:t>
      </w:r>
      <w:r w:rsidR="00694B7B">
        <w:rPr>
          <w:color w:val="212121"/>
          <w:sz w:val="26"/>
          <w:szCs w:val="26"/>
        </w:rPr>
        <w:t>’</w:t>
      </w:r>
      <w:r w:rsidR="00B74E9A">
        <w:rPr>
          <w:color w:val="212121"/>
          <w:sz w:val="26"/>
          <w:szCs w:val="26"/>
        </w:rPr>
        <w:t xml:space="preserve">s Replies do not address this claim. </w:t>
      </w:r>
      <w:r>
        <w:rPr>
          <w:color w:val="212121"/>
          <w:sz w:val="26"/>
          <w:szCs w:val="26"/>
        </w:rPr>
        <w:t xml:space="preserve"> We find the appropriate grounds do not exist for our consideration of this claim at this stage of the process. </w:t>
      </w:r>
      <w:r w:rsidR="00B74E9A">
        <w:rPr>
          <w:color w:val="212121"/>
          <w:sz w:val="26"/>
          <w:szCs w:val="26"/>
        </w:rPr>
        <w:t xml:space="preserve"> </w:t>
      </w:r>
      <w:r w:rsidRPr="00E95541">
        <w:rPr>
          <w:sz w:val="26"/>
          <w:szCs w:val="26"/>
        </w:rPr>
        <w:t xml:space="preserve">In the interest of judicial economy, </w:t>
      </w:r>
      <w:r>
        <w:rPr>
          <w:sz w:val="26"/>
          <w:szCs w:val="26"/>
        </w:rPr>
        <w:t xml:space="preserve">we will dismiss </w:t>
      </w:r>
      <w:r w:rsidRPr="00B74E9A">
        <w:rPr>
          <w:i/>
          <w:sz w:val="26"/>
          <w:szCs w:val="26"/>
        </w:rPr>
        <w:t>without prejudice</w:t>
      </w:r>
      <w:r>
        <w:rPr>
          <w:sz w:val="26"/>
          <w:szCs w:val="26"/>
        </w:rPr>
        <w:t xml:space="preserve"> the Complaint </w:t>
      </w:r>
      <w:r w:rsidR="00B74E9A">
        <w:rPr>
          <w:sz w:val="26"/>
          <w:szCs w:val="26"/>
        </w:rPr>
        <w:t xml:space="preserve">as to this </w:t>
      </w:r>
      <w:r w:rsidR="007901F4">
        <w:rPr>
          <w:sz w:val="26"/>
          <w:szCs w:val="26"/>
        </w:rPr>
        <w:t xml:space="preserve">claim.  This means the </w:t>
      </w:r>
      <w:r w:rsidR="00B74E9A">
        <w:rPr>
          <w:sz w:val="26"/>
          <w:szCs w:val="26"/>
        </w:rPr>
        <w:t>Complainant</w:t>
      </w:r>
      <w:r>
        <w:rPr>
          <w:sz w:val="26"/>
          <w:szCs w:val="26"/>
        </w:rPr>
        <w:t xml:space="preserve"> </w:t>
      </w:r>
      <w:r w:rsidR="007901F4">
        <w:rPr>
          <w:sz w:val="26"/>
          <w:szCs w:val="26"/>
        </w:rPr>
        <w:t xml:space="preserve">is permitted </w:t>
      </w:r>
      <w:r>
        <w:rPr>
          <w:sz w:val="26"/>
          <w:szCs w:val="26"/>
        </w:rPr>
        <w:t>to file a separate formal complaint</w:t>
      </w:r>
      <w:r w:rsidR="00B74E9A">
        <w:rPr>
          <w:sz w:val="26"/>
          <w:szCs w:val="26"/>
        </w:rPr>
        <w:t>,</w:t>
      </w:r>
      <w:r>
        <w:rPr>
          <w:sz w:val="26"/>
          <w:szCs w:val="26"/>
        </w:rPr>
        <w:t xml:space="preserve"> </w:t>
      </w:r>
      <w:r w:rsidR="00B74E9A">
        <w:rPr>
          <w:sz w:val="26"/>
          <w:szCs w:val="26"/>
        </w:rPr>
        <w:t xml:space="preserve">to the extent she deems necessary, on the issue of </w:t>
      </w:r>
      <w:r>
        <w:rPr>
          <w:sz w:val="26"/>
          <w:szCs w:val="26"/>
        </w:rPr>
        <w:t>PGW</w:t>
      </w:r>
      <w:r w:rsidR="00540DBF">
        <w:rPr>
          <w:sz w:val="26"/>
          <w:szCs w:val="26"/>
        </w:rPr>
        <w:t xml:space="preserve"> refusing to </w:t>
      </w:r>
      <w:r w:rsidR="00B74E9A">
        <w:rPr>
          <w:sz w:val="26"/>
          <w:szCs w:val="26"/>
        </w:rPr>
        <w:t xml:space="preserve">explain how </w:t>
      </w:r>
      <w:r>
        <w:rPr>
          <w:sz w:val="26"/>
          <w:szCs w:val="26"/>
        </w:rPr>
        <w:t>the bill</w:t>
      </w:r>
      <w:r w:rsidR="00540DBF">
        <w:rPr>
          <w:sz w:val="26"/>
          <w:szCs w:val="26"/>
        </w:rPr>
        <w:t xml:space="preserve"> for the account</w:t>
      </w:r>
      <w:r w:rsidR="00B74E9A">
        <w:rPr>
          <w:sz w:val="26"/>
          <w:szCs w:val="26"/>
        </w:rPr>
        <w:t xml:space="preserve"> was determined</w:t>
      </w:r>
      <w:r>
        <w:rPr>
          <w:sz w:val="26"/>
          <w:szCs w:val="26"/>
        </w:rPr>
        <w:t>.</w:t>
      </w:r>
    </w:p>
    <w:p w:rsidR="00B53CA7" w:rsidRDefault="00B53CA7" w:rsidP="00A6670C">
      <w:pPr>
        <w:widowControl/>
        <w:spacing w:line="360" w:lineRule="auto"/>
        <w:rPr>
          <w:sz w:val="26"/>
          <w:szCs w:val="26"/>
        </w:rPr>
      </w:pPr>
    </w:p>
    <w:p w:rsidR="00ED60FB" w:rsidRPr="00A9787D" w:rsidRDefault="00ED60FB" w:rsidP="00A6670C">
      <w:pPr>
        <w:keepNext/>
        <w:widowControl/>
        <w:spacing w:line="360" w:lineRule="auto"/>
        <w:jc w:val="center"/>
        <w:rPr>
          <w:b/>
          <w:sz w:val="26"/>
          <w:szCs w:val="26"/>
        </w:rPr>
      </w:pPr>
      <w:r w:rsidRPr="00A9787D">
        <w:rPr>
          <w:b/>
          <w:sz w:val="26"/>
          <w:szCs w:val="26"/>
        </w:rPr>
        <w:t>Conclusion</w:t>
      </w:r>
    </w:p>
    <w:p w:rsidR="00ED60FB" w:rsidRPr="00A9787D" w:rsidRDefault="00ED60FB" w:rsidP="00A6670C">
      <w:pPr>
        <w:keepNext/>
        <w:widowControl/>
        <w:ind w:firstLine="1440"/>
        <w:rPr>
          <w:sz w:val="26"/>
          <w:szCs w:val="26"/>
        </w:rPr>
      </w:pPr>
    </w:p>
    <w:p w:rsidR="00ED60FB" w:rsidRPr="00A9787D" w:rsidRDefault="00ED60FB" w:rsidP="00A6670C">
      <w:pPr>
        <w:keepNext/>
        <w:widowControl/>
        <w:spacing w:line="360" w:lineRule="auto"/>
        <w:ind w:firstLine="1440"/>
        <w:rPr>
          <w:sz w:val="26"/>
          <w:szCs w:val="26"/>
        </w:rPr>
      </w:pPr>
      <w:r w:rsidRPr="00A9787D">
        <w:rPr>
          <w:sz w:val="26"/>
          <w:szCs w:val="26"/>
        </w:rPr>
        <w:t xml:space="preserve">Consistent with the foregoing discussion, we shall </w:t>
      </w:r>
      <w:r w:rsidR="00F62471">
        <w:rPr>
          <w:sz w:val="26"/>
          <w:szCs w:val="26"/>
        </w:rPr>
        <w:t>deny</w:t>
      </w:r>
      <w:r w:rsidR="00F61D83">
        <w:rPr>
          <w:sz w:val="26"/>
          <w:szCs w:val="26"/>
        </w:rPr>
        <w:t xml:space="preserve"> </w:t>
      </w:r>
      <w:r w:rsidRPr="00A9787D">
        <w:rPr>
          <w:sz w:val="26"/>
          <w:szCs w:val="26"/>
        </w:rPr>
        <w:t>the Complainant</w:t>
      </w:r>
      <w:r w:rsidR="00694B7B">
        <w:rPr>
          <w:sz w:val="26"/>
          <w:szCs w:val="26"/>
        </w:rPr>
        <w:t>’</w:t>
      </w:r>
      <w:r w:rsidRPr="00A9787D">
        <w:rPr>
          <w:sz w:val="26"/>
          <w:szCs w:val="26"/>
        </w:rPr>
        <w:t xml:space="preserve">s </w:t>
      </w:r>
      <w:r w:rsidR="00F61D83" w:rsidRPr="00A9787D">
        <w:rPr>
          <w:sz w:val="26"/>
          <w:szCs w:val="26"/>
        </w:rPr>
        <w:t xml:space="preserve">Exceptions, </w:t>
      </w:r>
      <w:r w:rsidR="00065C39">
        <w:rPr>
          <w:sz w:val="26"/>
          <w:szCs w:val="26"/>
        </w:rPr>
        <w:t>modify</w:t>
      </w:r>
      <w:r w:rsidR="00676246">
        <w:rPr>
          <w:sz w:val="26"/>
          <w:szCs w:val="26"/>
        </w:rPr>
        <w:t xml:space="preserve"> </w:t>
      </w:r>
      <w:r w:rsidR="00DE77FA">
        <w:rPr>
          <w:sz w:val="26"/>
          <w:szCs w:val="26"/>
        </w:rPr>
        <w:t>th</w:t>
      </w:r>
      <w:r w:rsidR="00644358">
        <w:rPr>
          <w:sz w:val="26"/>
          <w:szCs w:val="26"/>
        </w:rPr>
        <w:t>e Initial Decision of ALJ</w:t>
      </w:r>
      <w:r w:rsidR="00F62471">
        <w:rPr>
          <w:sz w:val="26"/>
          <w:szCs w:val="26"/>
        </w:rPr>
        <w:t xml:space="preserve"> Heep</w:t>
      </w:r>
      <w:r w:rsidR="00065C39">
        <w:rPr>
          <w:sz w:val="26"/>
          <w:szCs w:val="26"/>
        </w:rPr>
        <w:t xml:space="preserve"> and d</w:t>
      </w:r>
      <w:r w:rsidR="00540DBF">
        <w:rPr>
          <w:sz w:val="26"/>
          <w:szCs w:val="26"/>
        </w:rPr>
        <w:t>ismiss</w:t>
      </w:r>
      <w:r w:rsidR="00065C39">
        <w:rPr>
          <w:sz w:val="26"/>
          <w:szCs w:val="26"/>
        </w:rPr>
        <w:t xml:space="preserve"> </w:t>
      </w:r>
      <w:r w:rsidRPr="00A9787D">
        <w:rPr>
          <w:sz w:val="26"/>
          <w:szCs w:val="26"/>
        </w:rPr>
        <w:t xml:space="preserve">the Complaint; </w:t>
      </w:r>
      <w:r w:rsidRPr="00A9787D">
        <w:rPr>
          <w:b/>
          <w:sz w:val="26"/>
          <w:szCs w:val="26"/>
        </w:rPr>
        <w:t>THEREFORE,</w:t>
      </w:r>
    </w:p>
    <w:p w:rsidR="009C6EB0" w:rsidRPr="00A9787D" w:rsidRDefault="009C6EB0" w:rsidP="00A6670C">
      <w:pPr>
        <w:widowControl/>
        <w:spacing w:line="360" w:lineRule="auto"/>
        <w:ind w:left="90"/>
        <w:rPr>
          <w:sz w:val="26"/>
          <w:szCs w:val="26"/>
        </w:rPr>
      </w:pPr>
    </w:p>
    <w:p w:rsidR="00CA43A5" w:rsidRDefault="00CA43A5" w:rsidP="00A6670C">
      <w:pPr>
        <w:keepNext/>
        <w:widowControl/>
        <w:ind w:firstLine="1440"/>
        <w:rPr>
          <w:b/>
          <w:sz w:val="26"/>
          <w:szCs w:val="26"/>
        </w:rPr>
      </w:pPr>
      <w:r w:rsidRPr="00A9787D">
        <w:rPr>
          <w:b/>
          <w:sz w:val="26"/>
          <w:szCs w:val="26"/>
        </w:rPr>
        <w:t>IT IS ORDERED:</w:t>
      </w:r>
    </w:p>
    <w:p w:rsidR="00306602" w:rsidRPr="00A9787D" w:rsidRDefault="00306602" w:rsidP="00A6670C">
      <w:pPr>
        <w:keepNext/>
        <w:widowControl/>
        <w:ind w:firstLine="1440"/>
        <w:rPr>
          <w:b/>
          <w:sz w:val="26"/>
          <w:szCs w:val="26"/>
        </w:rPr>
      </w:pPr>
    </w:p>
    <w:p w:rsidR="00CA43A5" w:rsidRPr="00A9787D" w:rsidRDefault="00CA43A5" w:rsidP="00A6670C">
      <w:pPr>
        <w:keepNext/>
        <w:widowControl/>
        <w:rPr>
          <w:sz w:val="26"/>
          <w:szCs w:val="26"/>
        </w:rPr>
      </w:pPr>
    </w:p>
    <w:p w:rsidR="009155F7" w:rsidRPr="00A9787D" w:rsidRDefault="009155F7" w:rsidP="00A6670C">
      <w:pPr>
        <w:keepNext/>
        <w:widowControl/>
        <w:numPr>
          <w:ilvl w:val="0"/>
          <w:numId w:val="1"/>
        </w:numPr>
        <w:tabs>
          <w:tab w:val="clear" w:pos="2160"/>
          <w:tab w:val="num" w:pos="0"/>
        </w:tabs>
        <w:spacing w:line="360" w:lineRule="auto"/>
        <w:ind w:left="0" w:firstLine="1440"/>
        <w:rPr>
          <w:sz w:val="26"/>
          <w:szCs w:val="26"/>
        </w:rPr>
      </w:pPr>
      <w:r w:rsidRPr="00A9787D">
        <w:rPr>
          <w:sz w:val="26"/>
          <w:szCs w:val="26"/>
        </w:rPr>
        <w:t>That the Exceptions of</w:t>
      </w:r>
      <w:r w:rsidR="00426FA7">
        <w:rPr>
          <w:sz w:val="26"/>
          <w:szCs w:val="26"/>
        </w:rPr>
        <w:t xml:space="preserve"> </w:t>
      </w:r>
      <w:r w:rsidR="003125E3">
        <w:rPr>
          <w:sz w:val="26"/>
          <w:szCs w:val="26"/>
        </w:rPr>
        <w:t>Loretta Ferguson</w:t>
      </w:r>
      <w:r w:rsidR="00B92D7C" w:rsidRPr="00A9787D">
        <w:rPr>
          <w:sz w:val="26"/>
          <w:szCs w:val="26"/>
        </w:rPr>
        <w:t>,</w:t>
      </w:r>
      <w:r w:rsidR="00426FA7">
        <w:rPr>
          <w:sz w:val="26"/>
          <w:szCs w:val="26"/>
        </w:rPr>
        <w:t xml:space="preserve"> filed on </w:t>
      </w:r>
      <w:r w:rsidR="003125E3">
        <w:rPr>
          <w:sz w:val="26"/>
          <w:szCs w:val="26"/>
        </w:rPr>
        <w:t>October 17</w:t>
      </w:r>
      <w:r w:rsidR="00DE77FA">
        <w:rPr>
          <w:sz w:val="26"/>
          <w:szCs w:val="26"/>
        </w:rPr>
        <w:t>, 201</w:t>
      </w:r>
      <w:r w:rsidR="003125E3">
        <w:rPr>
          <w:sz w:val="26"/>
          <w:szCs w:val="26"/>
        </w:rPr>
        <w:t>7</w:t>
      </w:r>
      <w:r w:rsidR="00A13151" w:rsidRPr="00A9787D">
        <w:rPr>
          <w:sz w:val="26"/>
          <w:szCs w:val="26"/>
        </w:rPr>
        <w:t>,</w:t>
      </w:r>
      <w:r w:rsidR="00251918" w:rsidRPr="00A9787D">
        <w:rPr>
          <w:sz w:val="26"/>
          <w:szCs w:val="26"/>
        </w:rPr>
        <w:t xml:space="preserve"> to the Initial Decision of Administ</w:t>
      </w:r>
      <w:r w:rsidR="000A06E0" w:rsidRPr="00A9787D">
        <w:rPr>
          <w:sz w:val="26"/>
          <w:szCs w:val="26"/>
        </w:rPr>
        <w:t>ra</w:t>
      </w:r>
      <w:r w:rsidR="009C6EB0" w:rsidRPr="00A9787D">
        <w:rPr>
          <w:sz w:val="26"/>
          <w:szCs w:val="26"/>
        </w:rPr>
        <w:t>ti</w:t>
      </w:r>
      <w:r w:rsidR="00181696" w:rsidRPr="00A9787D">
        <w:rPr>
          <w:sz w:val="26"/>
          <w:szCs w:val="26"/>
        </w:rPr>
        <w:t>ve Law Judge</w:t>
      </w:r>
      <w:r w:rsidR="003125E3">
        <w:rPr>
          <w:sz w:val="26"/>
          <w:szCs w:val="26"/>
        </w:rPr>
        <w:t xml:space="preserve"> Darlene</w:t>
      </w:r>
      <w:r w:rsidR="00426FA7">
        <w:rPr>
          <w:sz w:val="26"/>
          <w:szCs w:val="26"/>
        </w:rPr>
        <w:t xml:space="preserve"> </w:t>
      </w:r>
      <w:r w:rsidR="003125E3">
        <w:rPr>
          <w:sz w:val="26"/>
          <w:szCs w:val="26"/>
        </w:rPr>
        <w:t>D</w:t>
      </w:r>
      <w:r w:rsidR="00426FA7">
        <w:rPr>
          <w:sz w:val="26"/>
          <w:szCs w:val="26"/>
        </w:rPr>
        <w:t>.</w:t>
      </w:r>
      <w:r w:rsidR="003125E3">
        <w:rPr>
          <w:sz w:val="26"/>
          <w:szCs w:val="26"/>
        </w:rPr>
        <w:t xml:space="preserve"> Heep</w:t>
      </w:r>
      <w:r w:rsidR="00426FA7">
        <w:rPr>
          <w:sz w:val="26"/>
          <w:szCs w:val="26"/>
        </w:rPr>
        <w:t xml:space="preserve">, </w:t>
      </w:r>
      <w:r w:rsidR="00704C1A">
        <w:rPr>
          <w:sz w:val="26"/>
          <w:szCs w:val="26"/>
        </w:rPr>
        <w:t>are</w:t>
      </w:r>
      <w:r w:rsidR="00F61D83">
        <w:rPr>
          <w:sz w:val="26"/>
          <w:szCs w:val="26"/>
        </w:rPr>
        <w:t xml:space="preserve"> </w:t>
      </w:r>
      <w:r w:rsidR="00251918" w:rsidRPr="00A9787D">
        <w:rPr>
          <w:sz w:val="26"/>
          <w:szCs w:val="26"/>
        </w:rPr>
        <w:t>denied</w:t>
      </w:r>
      <w:r w:rsidR="003F51F4" w:rsidRPr="00A9787D">
        <w:rPr>
          <w:sz w:val="26"/>
          <w:szCs w:val="26"/>
        </w:rPr>
        <w:t>,</w:t>
      </w:r>
      <w:r w:rsidR="00F61D83">
        <w:rPr>
          <w:sz w:val="26"/>
          <w:szCs w:val="26"/>
        </w:rPr>
        <w:t xml:space="preserve"> </w:t>
      </w:r>
      <w:r w:rsidR="003F51F4" w:rsidRPr="00A9787D">
        <w:rPr>
          <w:sz w:val="26"/>
          <w:szCs w:val="26"/>
        </w:rPr>
        <w:t xml:space="preserve">consistent with this Opinion </w:t>
      </w:r>
      <w:r w:rsidR="00B80C43" w:rsidRPr="00A9787D">
        <w:rPr>
          <w:sz w:val="26"/>
          <w:szCs w:val="26"/>
        </w:rPr>
        <w:t>and Order</w:t>
      </w:r>
      <w:r w:rsidRPr="00A9787D">
        <w:rPr>
          <w:sz w:val="26"/>
          <w:szCs w:val="26"/>
        </w:rPr>
        <w:t>.</w:t>
      </w:r>
    </w:p>
    <w:p w:rsidR="003F51F4" w:rsidRPr="00A9787D" w:rsidRDefault="003F51F4" w:rsidP="00A6670C">
      <w:pPr>
        <w:widowControl/>
        <w:spacing w:line="360" w:lineRule="auto"/>
        <w:ind w:left="1440"/>
        <w:rPr>
          <w:sz w:val="26"/>
          <w:szCs w:val="26"/>
        </w:rPr>
      </w:pPr>
    </w:p>
    <w:p w:rsidR="00CA43A5" w:rsidRDefault="00CA43A5" w:rsidP="00A6670C">
      <w:pPr>
        <w:widowControl/>
        <w:numPr>
          <w:ilvl w:val="0"/>
          <w:numId w:val="1"/>
        </w:numPr>
        <w:tabs>
          <w:tab w:val="clear" w:pos="2160"/>
          <w:tab w:val="num" w:pos="0"/>
        </w:tabs>
        <w:spacing w:line="360" w:lineRule="auto"/>
        <w:ind w:left="0" w:firstLine="1440"/>
        <w:rPr>
          <w:sz w:val="26"/>
          <w:szCs w:val="26"/>
        </w:rPr>
      </w:pPr>
      <w:r w:rsidRPr="00A9787D">
        <w:rPr>
          <w:sz w:val="26"/>
          <w:szCs w:val="26"/>
        </w:rPr>
        <w:t xml:space="preserve">That the Initial Decision of </w:t>
      </w:r>
      <w:r w:rsidR="009C6EB0" w:rsidRPr="00A9787D">
        <w:rPr>
          <w:sz w:val="26"/>
          <w:szCs w:val="26"/>
        </w:rPr>
        <w:t>Administrati</w:t>
      </w:r>
      <w:r w:rsidR="00181696" w:rsidRPr="00A9787D">
        <w:rPr>
          <w:sz w:val="26"/>
          <w:szCs w:val="26"/>
        </w:rPr>
        <w:t xml:space="preserve">ve Law </w:t>
      </w:r>
      <w:r w:rsidR="0012403F" w:rsidRPr="00A9787D">
        <w:rPr>
          <w:sz w:val="26"/>
          <w:szCs w:val="26"/>
        </w:rPr>
        <w:t xml:space="preserve">Judge </w:t>
      </w:r>
      <w:r w:rsidR="00A237C5">
        <w:rPr>
          <w:sz w:val="26"/>
          <w:szCs w:val="26"/>
        </w:rPr>
        <w:t>Darlene</w:t>
      </w:r>
      <w:r w:rsidR="00780FB3">
        <w:rPr>
          <w:sz w:val="26"/>
          <w:szCs w:val="26"/>
        </w:rPr>
        <w:t> </w:t>
      </w:r>
      <w:r w:rsidR="00A237C5">
        <w:rPr>
          <w:sz w:val="26"/>
          <w:szCs w:val="26"/>
        </w:rPr>
        <w:t>D.</w:t>
      </w:r>
      <w:r w:rsidR="00780FB3">
        <w:rPr>
          <w:sz w:val="26"/>
          <w:szCs w:val="26"/>
        </w:rPr>
        <w:t> </w:t>
      </w:r>
      <w:r w:rsidR="00A237C5">
        <w:rPr>
          <w:sz w:val="26"/>
          <w:szCs w:val="26"/>
        </w:rPr>
        <w:t>Heep</w:t>
      </w:r>
      <w:r w:rsidR="00426FA7">
        <w:rPr>
          <w:sz w:val="26"/>
          <w:szCs w:val="26"/>
        </w:rPr>
        <w:t>, issued October</w:t>
      </w:r>
      <w:r w:rsidR="00A237C5">
        <w:rPr>
          <w:sz w:val="26"/>
          <w:szCs w:val="26"/>
        </w:rPr>
        <w:t xml:space="preserve"> 2</w:t>
      </w:r>
      <w:r w:rsidR="00DE77FA">
        <w:rPr>
          <w:sz w:val="26"/>
          <w:szCs w:val="26"/>
        </w:rPr>
        <w:t>, 201</w:t>
      </w:r>
      <w:r w:rsidR="00A237C5">
        <w:rPr>
          <w:sz w:val="26"/>
          <w:szCs w:val="26"/>
        </w:rPr>
        <w:t>7</w:t>
      </w:r>
      <w:r w:rsidR="00745E99" w:rsidRPr="00A9787D">
        <w:rPr>
          <w:sz w:val="26"/>
          <w:szCs w:val="26"/>
        </w:rPr>
        <w:t>,</w:t>
      </w:r>
      <w:r w:rsidR="00251918" w:rsidRPr="00A9787D">
        <w:rPr>
          <w:sz w:val="26"/>
          <w:szCs w:val="26"/>
        </w:rPr>
        <w:t xml:space="preserve"> </w:t>
      </w:r>
      <w:r w:rsidR="006F590E" w:rsidRPr="00A9787D">
        <w:rPr>
          <w:sz w:val="26"/>
          <w:szCs w:val="26"/>
        </w:rPr>
        <w:t>is</w:t>
      </w:r>
      <w:r w:rsidR="006F590E">
        <w:rPr>
          <w:sz w:val="26"/>
          <w:szCs w:val="26"/>
        </w:rPr>
        <w:t xml:space="preserve"> </w:t>
      </w:r>
      <w:r w:rsidR="00704C1A">
        <w:rPr>
          <w:sz w:val="26"/>
          <w:szCs w:val="26"/>
        </w:rPr>
        <w:t>modified,</w:t>
      </w:r>
      <w:r w:rsidRPr="00A9787D">
        <w:rPr>
          <w:sz w:val="26"/>
          <w:szCs w:val="26"/>
        </w:rPr>
        <w:t xml:space="preserve"> consistent with this Opinion and Order.</w:t>
      </w:r>
    </w:p>
    <w:p w:rsidR="00A237C5" w:rsidRDefault="00A237C5" w:rsidP="00A6670C">
      <w:pPr>
        <w:pStyle w:val="ListParagraph"/>
        <w:widowControl/>
        <w:rPr>
          <w:sz w:val="26"/>
          <w:szCs w:val="26"/>
        </w:rPr>
      </w:pPr>
    </w:p>
    <w:p w:rsidR="008A1977" w:rsidRDefault="00251918" w:rsidP="00A6670C">
      <w:pPr>
        <w:widowControl/>
        <w:numPr>
          <w:ilvl w:val="0"/>
          <w:numId w:val="1"/>
        </w:numPr>
        <w:tabs>
          <w:tab w:val="clear" w:pos="2160"/>
          <w:tab w:val="num" w:pos="0"/>
        </w:tabs>
        <w:spacing w:line="360" w:lineRule="auto"/>
        <w:ind w:left="0" w:firstLine="1440"/>
        <w:rPr>
          <w:sz w:val="26"/>
          <w:szCs w:val="26"/>
        </w:rPr>
      </w:pPr>
      <w:r w:rsidRPr="008A1977">
        <w:rPr>
          <w:sz w:val="26"/>
          <w:szCs w:val="26"/>
        </w:rPr>
        <w:t>That the Formal Co</w:t>
      </w:r>
      <w:r w:rsidR="0012403F" w:rsidRPr="008A1977">
        <w:rPr>
          <w:sz w:val="26"/>
          <w:szCs w:val="26"/>
        </w:rPr>
        <w:t xml:space="preserve">mplaint filed by </w:t>
      </w:r>
      <w:r w:rsidR="00A237C5">
        <w:rPr>
          <w:sz w:val="26"/>
          <w:szCs w:val="26"/>
        </w:rPr>
        <w:t>Loretta Ferguson</w:t>
      </w:r>
      <w:r w:rsidR="00A237C5" w:rsidRPr="008A1977">
        <w:rPr>
          <w:sz w:val="26"/>
          <w:szCs w:val="26"/>
        </w:rPr>
        <w:t xml:space="preserve"> </w:t>
      </w:r>
      <w:r w:rsidR="00426FA7" w:rsidRPr="008A1977">
        <w:rPr>
          <w:sz w:val="26"/>
          <w:szCs w:val="26"/>
        </w:rPr>
        <w:t>on</w:t>
      </w:r>
      <w:r w:rsidR="00A237C5">
        <w:rPr>
          <w:sz w:val="26"/>
          <w:szCs w:val="26"/>
        </w:rPr>
        <w:t xml:space="preserve"> February</w:t>
      </w:r>
      <w:r w:rsidR="00780FB3">
        <w:rPr>
          <w:sz w:val="26"/>
          <w:szCs w:val="26"/>
        </w:rPr>
        <w:t> </w:t>
      </w:r>
      <w:r w:rsidR="00426FA7" w:rsidRPr="008A1977">
        <w:rPr>
          <w:sz w:val="26"/>
          <w:szCs w:val="26"/>
        </w:rPr>
        <w:t>2</w:t>
      </w:r>
      <w:r w:rsidR="00A237C5">
        <w:rPr>
          <w:sz w:val="26"/>
          <w:szCs w:val="26"/>
        </w:rPr>
        <w:t>1</w:t>
      </w:r>
      <w:r w:rsidR="00DE77FA" w:rsidRPr="008A1977">
        <w:rPr>
          <w:sz w:val="26"/>
          <w:szCs w:val="26"/>
        </w:rPr>
        <w:t>, 201</w:t>
      </w:r>
      <w:r w:rsidR="00A237C5">
        <w:rPr>
          <w:sz w:val="26"/>
          <w:szCs w:val="26"/>
        </w:rPr>
        <w:t>7</w:t>
      </w:r>
      <w:r w:rsidR="005C399D" w:rsidRPr="008A1977">
        <w:rPr>
          <w:sz w:val="26"/>
          <w:szCs w:val="26"/>
        </w:rPr>
        <w:t>, against</w:t>
      </w:r>
      <w:r w:rsidR="009C6EB0" w:rsidRPr="008A1977">
        <w:rPr>
          <w:sz w:val="26"/>
          <w:szCs w:val="26"/>
        </w:rPr>
        <w:t xml:space="preserve"> </w:t>
      </w:r>
      <w:r w:rsidR="007901F4">
        <w:rPr>
          <w:sz w:val="26"/>
          <w:szCs w:val="26"/>
        </w:rPr>
        <w:t xml:space="preserve">Philadelphia Gas Works </w:t>
      </w:r>
      <w:r w:rsidR="00020EF6" w:rsidRPr="008A1977">
        <w:rPr>
          <w:sz w:val="26"/>
          <w:szCs w:val="26"/>
        </w:rPr>
        <w:t>is</w:t>
      </w:r>
      <w:r w:rsidR="0031448D">
        <w:rPr>
          <w:sz w:val="26"/>
          <w:szCs w:val="26"/>
        </w:rPr>
        <w:t xml:space="preserve"> dismissed</w:t>
      </w:r>
      <w:r w:rsidR="008A1977" w:rsidRPr="008A1977">
        <w:rPr>
          <w:sz w:val="26"/>
          <w:szCs w:val="26"/>
        </w:rPr>
        <w:t>, consistent with this Opinion and Order.</w:t>
      </w:r>
    </w:p>
    <w:p w:rsidR="008A1977" w:rsidRPr="00285C52" w:rsidRDefault="008A1977" w:rsidP="00A6670C">
      <w:pPr>
        <w:widowControl/>
        <w:rPr>
          <w:sz w:val="26"/>
          <w:szCs w:val="26"/>
        </w:rPr>
      </w:pPr>
    </w:p>
    <w:p w:rsidR="00285C52" w:rsidRDefault="008A1977" w:rsidP="00A6670C">
      <w:pPr>
        <w:widowControl/>
        <w:numPr>
          <w:ilvl w:val="0"/>
          <w:numId w:val="1"/>
        </w:numPr>
        <w:tabs>
          <w:tab w:val="clear" w:pos="2160"/>
        </w:tabs>
        <w:spacing w:line="360" w:lineRule="auto"/>
        <w:ind w:left="0" w:firstLine="1440"/>
        <w:rPr>
          <w:sz w:val="26"/>
          <w:szCs w:val="26"/>
        </w:rPr>
      </w:pPr>
      <w:r w:rsidRPr="008A1977">
        <w:rPr>
          <w:sz w:val="26"/>
          <w:szCs w:val="26"/>
        </w:rPr>
        <w:t xml:space="preserve">That </w:t>
      </w:r>
      <w:r w:rsidR="00285C52">
        <w:rPr>
          <w:sz w:val="26"/>
          <w:szCs w:val="26"/>
        </w:rPr>
        <w:t xml:space="preserve">the Complainant, </w:t>
      </w:r>
      <w:r w:rsidR="00A237C5" w:rsidRPr="00A237C5">
        <w:rPr>
          <w:sz w:val="26"/>
          <w:szCs w:val="26"/>
        </w:rPr>
        <w:t>Loretta M. Ferguson</w:t>
      </w:r>
      <w:r w:rsidR="00285C52">
        <w:rPr>
          <w:sz w:val="26"/>
          <w:szCs w:val="26"/>
        </w:rPr>
        <w:t>,</w:t>
      </w:r>
      <w:r w:rsidR="00A237C5" w:rsidRPr="00A237C5">
        <w:rPr>
          <w:sz w:val="26"/>
          <w:szCs w:val="26"/>
        </w:rPr>
        <w:t xml:space="preserve"> is responsible for</w:t>
      </w:r>
      <w:r w:rsidR="00D63F86">
        <w:rPr>
          <w:sz w:val="26"/>
          <w:szCs w:val="26"/>
        </w:rPr>
        <w:t xml:space="preserve"> </w:t>
      </w:r>
      <w:r w:rsidR="005C4EB8">
        <w:rPr>
          <w:sz w:val="26"/>
          <w:szCs w:val="26"/>
        </w:rPr>
        <w:t xml:space="preserve">the foreign load </w:t>
      </w:r>
      <w:r w:rsidR="00D63F86">
        <w:rPr>
          <w:sz w:val="26"/>
          <w:szCs w:val="26"/>
        </w:rPr>
        <w:t xml:space="preserve">charges accrued </w:t>
      </w:r>
      <w:r w:rsidR="00297F04" w:rsidRPr="00704C1A">
        <w:rPr>
          <w:sz w:val="26"/>
          <w:szCs w:val="26"/>
        </w:rPr>
        <w:t xml:space="preserve">at </w:t>
      </w:r>
      <w:r w:rsidR="00297F04" w:rsidRPr="00704C1A">
        <w:rPr>
          <w:spacing w:val="-3"/>
          <w:sz w:val="26"/>
          <w:szCs w:val="26"/>
        </w:rPr>
        <w:t>257 S. 60th St., Philadelphia, PA</w:t>
      </w:r>
      <w:r w:rsidR="00297F04" w:rsidRPr="00A237C5">
        <w:rPr>
          <w:sz w:val="26"/>
          <w:szCs w:val="26"/>
        </w:rPr>
        <w:t xml:space="preserve"> </w:t>
      </w:r>
      <w:r w:rsidR="00A237C5" w:rsidRPr="00A237C5">
        <w:rPr>
          <w:sz w:val="26"/>
          <w:szCs w:val="26"/>
        </w:rPr>
        <w:t xml:space="preserve">for the period </w:t>
      </w:r>
      <w:proofErr w:type="gramStart"/>
      <w:r w:rsidR="00780FB3">
        <w:rPr>
          <w:sz w:val="26"/>
          <w:szCs w:val="26"/>
        </w:rPr>
        <w:t xml:space="preserve">from </w:t>
      </w:r>
      <w:r w:rsidR="00D63F86">
        <w:rPr>
          <w:sz w:val="26"/>
          <w:szCs w:val="26"/>
        </w:rPr>
        <w:t xml:space="preserve"> </w:t>
      </w:r>
      <w:r w:rsidR="00A237C5" w:rsidRPr="00A237C5">
        <w:rPr>
          <w:sz w:val="26"/>
          <w:szCs w:val="26"/>
        </w:rPr>
        <w:t>October</w:t>
      </w:r>
      <w:proofErr w:type="gramEnd"/>
      <w:r w:rsidR="00694B7B">
        <w:rPr>
          <w:sz w:val="26"/>
          <w:szCs w:val="26"/>
        </w:rPr>
        <w:t xml:space="preserve"> </w:t>
      </w:r>
      <w:r w:rsidR="00704C1A">
        <w:rPr>
          <w:sz w:val="26"/>
          <w:szCs w:val="26"/>
        </w:rPr>
        <w:t xml:space="preserve">2015 through and until </w:t>
      </w:r>
      <w:r w:rsidR="00297F04">
        <w:rPr>
          <w:sz w:val="26"/>
          <w:szCs w:val="26"/>
        </w:rPr>
        <w:t>September 2016</w:t>
      </w:r>
      <w:r w:rsidR="007B23D9" w:rsidRPr="00704C1A">
        <w:rPr>
          <w:sz w:val="26"/>
          <w:szCs w:val="26"/>
        </w:rPr>
        <w:t>.</w:t>
      </w:r>
    </w:p>
    <w:p w:rsidR="00285C52" w:rsidRDefault="00285C52" w:rsidP="00A6670C">
      <w:pPr>
        <w:widowControl/>
        <w:spacing w:line="360" w:lineRule="auto"/>
        <w:ind w:left="1440"/>
        <w:rPr>
          <w:sz w:val="26"/>
          <w:szCs w:val="26"/>
        </w:rPr>
      </w:pPr>
    </w:p>
    <w:p w:rsidR="00285C52" w:rsidRPr="00285C52" w:rsidRDefault="00285C52" w:rsidP="00A6670C">
      <w:pPr>
        <w:widowControl/>
        <w:numPr>
          <w:ilvl w:val="0"/>
          <w:numId w:val="1"/>
        </w:numPr>
        <w:tabs>
          <w:tab w:val="clear" w:pos="2160"/>
        </w:tabs>
        <w:spacing w:line="360" w:lineRule="auto"/>
        <w:ind w:left="0" w:firstLine="1440"/>
        <w:rPr>
          <w:sz w:val="26"/>
          <w:szCs w:val="26"/>
        </w:rPr>
      </w:pPr>
      <w:r w:rsidRPr="00285C52">
        <w:rPr>
          <w:sz w:val="26"/>
          <w:szCs w:val="26"/>
        </w:rPr>
        <w:t xml:space="preserve">That the Complainant, Loretta Ferguson, is permitted by this Opinion and Order to file a separate formal complaint, to the extent she deems appropriate or necessary, </w:t>
      </w:r>
      <w:r>
        <w:rPr>
          <w:sz w:val="26"/>
          <w:szCs w:val="26"/>
        </w:rPr>
        <w:t>regarding her</w:t>
      </w:r>
      <w:r w:rsidRPr="00285C52">
        <w:rPr>
          <w:sz w:val="26"/>
          <w:szCs w:val="26"/>
        </w:rPr>
        <w:t xml:space="preserve"> claim that Philadelphia Gas Works refused to explain the </w:t>
      </w:r>
      <w:r>
        <w:rPr>
          <w:sz w:val="26"/>
          <w:szCs w:val="26"/>
        </w:rPr>
        <w:t xml:space="preserve">charges appearing on the gas </w:t>
      </w:r>
      <w:r w:rsidRPr="00285C52">
        <w:rPr>
          <w:sz w:val="26"/>
          <w:szCs w:val="26"/>
        </w:rPr>
        <w:t>bill for the account in question.</w:t>
      </w:r>
    </w:p>
    <w:p w:rsidR="00540DBF" w:rsidRPr="00704C1A" w:rsidRDefault="00540DBF" w:rsidP="00A6670C">
      <w:pPr>
        <w:widowControl/>
        <w:rPr>
          <w:sz w:val="26"/>
          <w:szCs w:val="26"/>
        </w:rPr>
      </w:pPr>
    </w:p>
    <w:p w:rsidR="007B23D9" w:rsidRPr="007B23D9" w:rsidRDefault="007B23D9" w:rsidP="00A6670C">
      <w:pPr>
        <w:keepNext/>
        <w:keepLines/>
        <w:widowControl/>
        <w:numPr>
          <w:ilvl w:val="0"/>
          <w:numId w:val="1"/>
        </w:numPr>
        <w:tabs>
          <w:tab w:val="clear" w:pos="2160"/>
        </w:tabs>
        <w:spacing w:line="360" w:lineRule="auto"/>
        <w:rPr>
          <w:sz w:val="26"/>
          <w:szCs w:val="26"/>
        </w:rPr>
      </w:pPr>
      <w:r>
        <w:rPr>
          <w:sz w:val="26"/>
          <w:szCs w:val="26"/>
        </w:rPr>
        <w:t xml:space="preserve">That </w:t>
      </w:r>
      <w:r w:rsidRPr="007B23D9">
        <w:rPr>
          <w:sz w:val="26"/>
          <w:szCs w:val="26"/>
        </w:rPr>
        <w:t>the Secretary mark this docket closed.</w:t>
      </w:r>
    </w:p>
    <w:p w:rsidR="00EC6920" w:rsidRDefault="00EC6920" w:rsidP="00A6670C">
      <w:pPr>
        <w:pStyle w:val="ListParagraph"/>
        <w:keepNext/>
        <w:keepLines/>
        <w:widowControl/>
        <w:spacing w:line="360" w:lineRule="auto"/>
        <w:ind w:left="1440"/>
        <w:rPr>
          <w:sz w:val="26"/>
          <w:szCs w:val="26"/>
        </w:rPr>
      </w:pPr>
    </w:p>
    <w:p w:rsidR="00CA43A5" w:rsidRPr="00A9787D" w:rsidRDefault="0054638A" w:rsidP="00A6670C">
      <w:pPr>
        <w:keepNext/>
        <w:keepLines/>
        <w:widowControl/>
        <w:tabs>
          <w:tab w:val="left" w:pos="-720"/>
        </w:tabs>
        <w:ind w:firstLine="5040"/>
        <w:rPr>
          <w:sz w:val="26"/>
          <w:szCs w:val="26"/>
        </w:rPr>
      </w:pPr>
      <w:bookmarkStart w:id="7" w:name="_GoBack"/>
      <w:r w:rsidRPr="009F01BA">
        <w:rPr>
          <w:b/>
          <w:noProof/>
        </w:rPr>
        <w:drawing>
          <wp:anchor distT="0" distB="0" distL="114300" distR="114300" simplePos="0" relativeHeight="251659264" behindDoc="1" locked="0" layoutInCell="1" allowOverlap="1" wp14:anchorId="1AA12659" wp14:editId="3348D3A6">
            <wp:simplePos x="0" y="0"/>
            <wp:positionH relativeFrom="column">
              <wp:posOffset>2893671</wp:posOffset>
            </wp:positionH>
            <wp:positionV relativeFrom="paragraph">
              <wp:posOffset>43429</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CA43A5" w:rsidRPr="00A9787D">
        <w:rPr>
          <w:b/>
          <w:sz w:val="26"/>
          <w:szCs w:val="26"/>
        </w:rPr>
        <w:t>BY THE COMMISSION,</w:t>
      </w:r>
    </w:p>
    <w:p w:rsidR="00CA43A5" w:rsidRPr="00A9787D" w:rsidRDefault="00CA43A5" w:rsidP="00A6670C">
      <w:pPr>
        <w:keepNext/>
        <w:keepLines/>
        <w:widowControl/>
        <w:tabs>
          <w:tab w:val="left" w:pos="-720"/>
        </w:tabs>
        <w:rPr>
          <w:sz w:val="26"/>
          <w:szCs w:val="26"/>
        </w:rPr>
      </w:pPr>
    </w:p>
    <w:p w:rsidR="00EC6920" w:rsidRPr="00A9787D" w:rsidRDefault="00EC6920" w:rsidP="00A6670C">
      <w:pPr>
        <w:keepNext/>
        <w:keepLines/>
        <w:widowControl/>
        <w:tabs>
          <w:tab w:val="left" w:pos="-720"/>
        </w:tabs>
        <w:rPr>
          <w:sz w:val="26"/>
          <w:szCs w:val="26"/>
        </w:rPr>
      </w:pPr>
    </w:p>
    <w:p w:rsidR="00CA43A5" w:rsidRPr="00A9787D" w:rsidRDefault="00CA43A5" w:rsidP="00A6670C">
      <w:pPr>
        <w:keepNext/>
        <w:keepLines/>
        <w:widowControl/>
        <w:tabs>
          <w:tab w:val="left" w:pos="-720"/>
        </w:tabs>
        <w:rPr>
          <w:sz w:val="26"/>
          <w:szCs w:val="26"/>
        </w:rPr>
      </w:pPr>
    </w:p>
    <w:p w:rsidR="008F7A79" w:rsidRPr="00A9787D" w:rsidRDefault="008F7A79" w:rsidP="00A6670C">
      <w:pPr>
        <w:keepNext/>
        <w:keepLines/>
        <w:widowControl/>
        <w:tabs>
          <w:tab w:val="left" w:pos="-720"/>
        </w:tabs>
        <w:rPr>
          <w:sz w:val="26"/>
          <w:szCs w:val="26"/>
        </w:rPr>
      </w:pPr>
    </w:p>
    <w:p w:rsidR="00CA43A5" w:rsidRPr="00A9787D" w:rsidRDefault="00564565" w:rsidP="00A6670C">
      <w:pPr>
        <w:keepNext/>
        <w:keepLines/>
        <w:widowControl/>
        <w:tabs>
          <w:tab w:val="left" w:pos="-720"/>
        </w:tabs>
        <w:ind w:firstLine="5040"/>
        <w:rPr>
          <w:b/>
          <w:sz w:val="26"/>
          <w:szCs w:val="26"/>
        </w:rPr>
      </w:pPr>
      <w:r w:rsidRPr="00A9787D">
        <w:rPr>
          <w:sz w:val="26"/>
          <w:szCs w:val="26"/>
        </w:rPr>
        <w:t>Rosemary Chiavetta</w:t>
      </w:r>
    </w:p>
    <w:p w:rsidR="00CA43A5" w:rsidRPr="00A9787D" w:rsidRDefault="00CA43A5" w:rsidP="00A6670C">
      <w:pPr>
        <w:keepNext/>
        <w:keepLines/>
        <w:widowControl/>
        <w:tabs>
          <w:tab w:val="left" w:pos="-720"/>
        </w:tabs>
        <w:ind w:firstLine="5040"/>
        <w:rPr>
          <w:sz w:val="26"/>
          <w:szCs w:val="26"/>
        </w:rPr>
      </w:pPr>
      <w:r w:rsidRPr="00A9787D">
        <w:rPr>
          <w:sz w:val="26"/>
          <w:szCs w:val="26"/>
        </w:rPr>
        <w:t>Secretary</w:t>
      </w:r>
    </w:p>
    <w:p w:rsidR="00D22C07" w:rsidRPr="00A9787D" w:rsidRDefault="00D22C07" w:rsidP="00A6670C">
      <w:pPr>
        <w:keepNext/>
        <w:keepLines/>
        <w:widowControl/>
        <w:tabs>
          <w:tab w:val="left" w:pos="-720"/>
        </w:tabs>
        <w:ind w:firstLine="5040"/>
        <w:rPr>
          <w:sz w:val="26"/>
          <w:szCs w:val="26"/>
        </w:rPr>
      </w:pPr>
    </w:p>
    <w:p w:rsidR="00CA43A5" w:rsidRPr="00A9787D" w:rsidRDefault="00CA43A5" w:rsidP="00A6670C">
      <w:pPr>
        <w:keepNext/>
        <w:keepLines/>
        <w:widowControl/>
        <w:tabs>
          <w:tab w:val="left" w:pos="-720"/>
        </w:tabs>
        <w:rPr>
          <w:sz w:val="26"/>
          <w:szCs w:val="26"/>
        </w:rPr>
      </w:pPr>
      <w:r w:rsidRPr="00A9787D">
        <w:rPr>
          <w:sz w:val="26"/>
          <w:szCs w:val="26"/>
        </w:rPr>
        <w:t>(SEAL)</w:t>
      </w:r>
    </w:p>
    <w:p w:rsidR="00CA43A5" w:rsidRPr="00A9787D" w:rsidRDefault="00CA43A5" w:rsidP="00A6670C">
      <w:pPr>
        <w:keepNext/>
        <w:keepLines/>
        <w:widowControl/>
        <w:tabs>
          <w:tab w:val="left" w:pos="-720"/>
        </w:tabs>
        <w:rPr>
          <w:sz w:val="26"/>
          <w:szCs w:val="26"/>
        </w:rPr>
      </w:pPr>
    </w:p>
    <w:p w:rsidR="00CA43A5" w:rsidRPr="00A9787D" w:rsidRDefault="00F47DAC" w:rsidP="00A6670C">
      <w:pPr>
        <w:keepNext/>
        <w:keepLines/>
        <w:widowControl/>
        <w:tabs>
          <w:tab w:val="left" w:pos="-720"/>
        </w:tabs>
        <w:rPr>
          <w:sz w:val="26"/>
          <w:szCs w:val="26"/>
        </w:rPr>
      </w:pPr>
      <w:r>
        <w:rPr>
          <w:sz w:val="26"/>
          <w:szCs w:val="26"/>
        </w:rPr>
        <w:t xml:space="preserve">ORDER ADOPTED: </w:t>
      </w:r>
      <w:r w:rsidR="00400E66">
        <w:rPr>
          <w:sz w:val="26"/>
          <w:szCs w:val="26"/>
        </w:rPr>
        <w:t>June 14</w:t>
      </w:r>
      <w:r w:rsidR="007C44C2">
        <w:rPr>
          <w:sz w:val="26"/>
          <w:szCs w:val="26"/>
        </w:rPr>
        <w:t>, 2018</w:t>
      </w:r>
    </w:p>
    <w:p w:rsidR="00EC6920" w:rsidRPr="00A9787D" w:rsidRDefault="00EC6920" w:rsidP="00A6670C">
      <w:pPr>
        <w:keepNext/>
        <w:keepLines/>
        <w:widowControl/>
        <w:tabs>
          <w:tab w:val="left" w:pos="-720"/>
        </w:tabs>
        <w:rPr>
          <w:sz w:val="26"/>
          <w:szCs w:val="26"/>
        </w:rPr>
      </w:pPr>
    </w:p>
    <w:p w:rsidR="00344804" w:rsidRPr="00A9787D" w:rsidRDefault="00CA43A5" w:rsidP="00A6670C">
      <w:pPr>
        <w:keepNext/>
        <w:keepLines/>
        <w:widowControl/>
        <w:tabs>
          <w:tab w:val="left" w:pos="-720"/>
        </w:tabs>
        <w:rPr>
          <w:sz w:val="26"/>
          <w:szCs w:val="26"/>
        </w:rPr>
      </w:pPr>
      <w:r w:rsidRPr="00A9787D">
        <w:rPr>
          <w:sz w:val="26"/>
          <w:szCs w:val="26"/>
        </w:rPr>
        <w:t xml:space="preserve">ORDER ENTERED:  </w:t>
      </w:r>
      <w:r w:rsidR="0054638A">
        <w:rPr>
          <w:sz w:val="26"/>
          <w:szCs w:val="26"/>
        </w:rPr>
        <w:t>June 14, 2018</w:t>
      </w:r>
    </w:p>
    <w:sectPr w:rsidR="00344804" w:rsidRPr="00A9787D"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71C" w:rsidRDefault="006C771C" w:rsidP="00F7174B">
      <w:r>
        <w:separator/>
      </w:r>
    </w:p>
  </w:endnote>
  <w:endnote w:type="continuationSeparator" w:id="0">
    <w:p w:rsidR="006C771C" w:rsidRDefault="006C771C" w:rsidP="00F7174B">
      <w:r>
        <w:continuationSeparator/>
      </w:r>
    </w:p>
  </w:endnote>
  <w:endnote w:type="continuationNotice" w:id="1">
    <w:p w:rsidR="006C771C" w:rsidRDefault="006C7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D20C46" w:rsidRPr="009F1A08" w:rsidRDefault="00D20C46">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226C9">
          <w:rPr>
            <w:noProof/>
            <w:sz w:val="26"/>
            <w:szCs w:val="26"/>
          </w:rPr>
          <w:t>3</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71C" w:rsidRDefault="006C771C" w:rsidP="00F7174B">
      <w:r>
        <w:separator/>
      </w:r>
    </w:p>
  </w:footnote>
  <w:footnote w:type="continuationSeparator" w:id="0">
    <w:p w:rsidR="006C771C" w:rsidRDefault="006C771C" w:rsidP="00F7174B">
      <w:r>
        <w:continuationSeparator/>
      </w:r>
    </w:p>
  </w:footnote>
  <w:footnote w:type="continuationNotice" w:id="1">
    <w:p w:rsidR="006C771C" w:rsidRDefault="006C771C"/>
  </w:footnote>
  <w:footnote w:id="2">
    <w:p w:rsidR="00D20C46" w:rsidRPr="00536C67" w:rsidRDefault="00D20C46" w:rsidP="006D6995">
      <w:pPr>
        <w:pStyle w:val="FootnoteText"/>
        <w:keepNext/>
        <w:keepLines/>
        <w:widowControl/>
        <w:spacing w:after="120"/>
        <w:ind w:firstLine="720"/>
        <w:rPr>
          <w:sz w:val="26"/>
          <w:szCs w:val="26"/>
        </w:rPr>
      </w:pPr>
      <w:r w:rsidRPr="00536C67">
        <w:rPr>
          <w:rStyle w:val="FootnoteReference"/>
          <w:sz w:val="26"/>
          <w:szCs w:val="26"/>
        </w:rPr>
        <w:footnoteRef/>
      </w:r>
      <w:r w:rsidRPr="00536C67">
        <w:rPr>
          <w:sz w:val="26"/>
          <w:szCs w:val="26"/>
        </w:rPr>
        <w:tab/>
      </w:r>
      <w:r>
        <w:rPr>
          <w:sz w:val="26"/>
          <w:szCs w:val="26"/>
        </w:rPr>
        <w:t>On October 12</w:t>
      </w:r>
      <w:r w:rsidRPr="001B7C19">
        <w:rPr>
          <w:sz w:val="26"/>
          <w:szCs w:val="26"/>
        </w:rPr>
        <w:t>, 201</w:t>
      </w:r>
      <w:r>
        <w:rPr>
          <w:sz w:val="26"/>
          <w:szCs w:val="26"/>
        </w:rPr>
        <w:t>7</w:t>
      </w:r>
      <w:r w:rsidRPr="001B7C19">
        <w:rPr>
          <w:sz w:val="26"/>
          <w:szCs w:val="26"/>
        </w:rPr>
        <w:t xml:space="preserve">, </w:t>
      </w:r>
      <w:r>
        <w:rPr>
          <w:sz w:val="26"/>
          <w:szCs w:val="26"/>
        </w:rPr>
        <w:t>a Secretarial Letter was issued serving the Exceptions on the Respondent and assigning a due date for the filing of Replies on November 2</w:t>
      </w:r>
      <w:r w:rsidRPr="001B7C19">
        <w:rPr>
          <w:sz w:val="26"/>
          <w:szCs w:val="26"/>
        </w:rPr>
        <w:t>, 201</w:t>
      </w:r>
      <w:r>
        <w:rPr>
          <w:sz w:val="26"/>
          <w:szCs w:val="26"/>
        </w:rPr>
        <w:t>7.</w:t>
      </w:r>
    </w:p>
  </w:footnote>
  <w:footnote w:id="3">
    <w:p w:rsidR="00D20C46" w:rsidRDefault="00D20C46" w:rsidP="006D6995">
      <w:pPr>
        <w:pStyle w:val="FootnoteText"/>
        <w:keepNext/>
        <w:keepLines/>
        <w:widowControl/>
        <w:spacing w:after="120"/>
        <w:ind w:firstLine="720"/>
      </w:pPr>
      <w:r w:rsidRPr="00635CEA">
        <w:rPr>
          <w:rStyle w:val="FootnoteReference"/>
          <w:sz w:val="26"/>
          <w:szCs w:val="26"/>
        </w:rPr>
        <w:footnoteRef/>
      </w:r>
      <w:r>
        <w:rPr>
          <w:sz w:val="26"/>
          <w:szCs w:val="26"/>
        </w:rPr>
        <w:tab/>
      </w:r>
      <w:r>
        <w:rPr>
          <w:color w:val="212121"/>
          <w:sz w:val="26"/>
          <w:szCs w:val="26"/>
        </w:rPr>
        <w:t xml:space="preserve">52 Pa. Code § 5.533(b) </w:t>
      </w:r>
      <w:r w:rsidRPr="007B531E">
        <w:rPr>
          <w:color w:val="212121"/>
          <w:sz w:val="26"/>
          <w:szCs w:val="26"/>
        </w:rPr>
        <w:t xml:space="preserve">requires that each </w:t>
      </w:r>
      <w:r w:rsidRPr="00D57829">
        <w:rPr>
          <w:bCs/>
          <w:color w:val="252525"/>
          <w:sz w:val="26"/>
          <w:szCs w:val="26"/>
        </w:rPr>
        <w:t>exception</w:t>
      </w:r>
      <w:r w:rsidRPr="007B531E">
        <w:rPr>
          <w:color w:val="212121"/>
          <w:sz w:val="26"/>
          <w:szCs w:val="26"/>
        </w:rPr>
        <w:t xml:space="preserve"> be numbered and identify the finding of fact and conclusion of law to which </w:t>
      </w:r>
      <w:r w:rsidRPr="00D57829">
        <w:rPr>
          <w:bCs/>
          <w:color w:val="252525"/>
          <w:sz w:val="26"/>
          <w:szCs w:val="26"/>
        </w:rPr>
        <w:t>exception</w:t>
      </w:r>
      <w:r w:rsidRPr="007B531E">
        <w:rPr>
          <w:color w:val="212121"/>
          <w:sz w:val="26"/>
          <w:szCs w:val="26"/>
        </w:rPr>
        <w:t xml:space="preserve"> is </w:t>
      </w:r>
      <w:proofErr w:type="gramStart"/>
      <w:r w:rsidRPr="007B531E">
        <w:rPr>
          <w:color w:val="212121"/>
          <w:sz w:val="26"/>
          <w:szCs w:val="26"/>
        </w:rPr>
        <w:t>taken, and</w:t>
      </w:r>
      <w:proofErr w:type="gramEnd"/>
      <w:r w:rsidRPr="007B531E">
        <w:rPr>
          <w:color w:val="212121"/>
          <w:sz w:val="26"/>
          <w:szCs w:val="26"/>
        </w:rPr>
        <w:t xml:space="preserve"> cite to the relevant pages of the</w:t>
      </w:r>
      <w:r>
        <w:rPr>
          <w:color w:val="212121"/>
          <w:sz w:val="26"/>
          <w:szCs w:val="26"/>
        </w:rPr>
        <w:t xml:space="preserve"> Initial Decision.</w:t>
      </w:r>
    </w:p>
  </w:footnote>
  <w:footnote w:id="4">
    <w:p w:rsidR="00D20C46" w:rsidRDefault="00D20C46" w:rsidP="006D6995">
      <w:pPr>
        <w:pStyle w:val="FootnoteText"/>
        <w:keepNext/>
        <w:keepLines/>
        <w:widowControl/>
        <w:spacing w:after="120"/>
        <w:ind w:firstLine="720"/>
      </w:pPr>
      <w:r w:rsidRPr="005337CF">
        <w:rPr>
          <w:rStyle w:val="FootnoteReference"/>
          <w:sz w:val="26"/>
          <w:szCs w:val="26"/>
        </w:rPr>
        <w:footnoteRef/>
      </w:r>
      <w:r>
        <w:tab/>
      </w:r>
      <w:r w:rsidRPr="00D57829">
        <w:rPr>
          <w:sz w:val="26"/>
          <w:szCs w:val="26"/>
        </w:rPr>
        <w:t>52 Pa. Code § 1.2(a)</w:t>
      </w:r>
      <w:r>
        <w:rPr>
          <w:sz w:val="26"/>
          <w:szCs w:val="26"/>
        </w:rPr>
        <w:t xml:space="preserve"> </w:t>
      </w:r>
      <w:r>
        <w:rPr>
          <w:color w:val="212121"/>
          <w:sz w:val="26"/>
          <w:szCs w:val="26"/>
        </w:rPr>
        <w:t>requires a liberal construction of our Regulations</w:t>
      </w:r>
      <w:r w:rsidRPr="007B531E">
        <w:rPr>
          <w:color w:val="212121"/>
          <w:sz w:val="26"/>
          <w:szCs w:val="26"/>
        </w:rPr>
        <w:t xml:space="preserve"> to secure the just, speedy, and inexpensive determination of every action or proceeding to which they are applicable.</w:t>
      </w:r>
    </w:p>
  </w:footnote>
  <w:footnote w:id="5">
    <w:p w:rsidR="00D20C46" w:rsidRPr="00BF1EC1" w:rsidRDefault="00D20C46" w:rsidP="006D6995">
      <w:pPr>
        <w:pStyle w:val="FootnoteText"/>
        <w:keepNext/>
        <w:keepLines/>
        <w:widowControl/>
        <w:spacing w:after="120"/>
        <w:ind w:firstLine="720"/>
        <w:rPr>
          <w:sz w:val="26"/>
          <w:szCs w:val="26"/>
        </w:rPr>
      </w:pPr>
      <w:r w:rsidRPr="00BF1EC1">
        <w:rPr>
          <w:rStyle w:val="FootnoteReference"/>
          <w:sz w:val="26"/>
          <w:szCs w:val="26"/>
        </w:rPr>
        <w:footnoteRef/>
      </w:r>
      <w:r w:rsidRPr="00BF1EC1">
        <w:rPr>
          <w:sz w:val="26"/>
          <w:szCs w:val="26"/>
        </w:rPr>
        <w:tab/>
        <w:t>Section 1529.1 was added to the Code by the enactment of Public Law 379, No. 54, on July 2, 1993, with an effective date of September 1, 1993.</w:t>
      </w:r>
    </w:p>
  </w:footnote>
  <w:footnote w:id="6">
    <w:p w:rsidR="00D20C46" w:rsidRPr="00687B34" w:rsidRDefault="00D20C46" w:rsidP="00A6670C">
      <w:pPr>
        <w:keepNext/>
        <w:keepLines/>
        <w:widowControl/>
        <w:spacing w:after="120"/>
        <w:ind w:firstLine="720"/>
        <w:rPr>
          <w:sz w:val="26"/>
          <w:szCs w:val="26"/>
        </w:rPr>
      </w:pPr>
      <w:r w:rsidRPr="00BF1EC1">
        <w:rPr>
          <w:rStyle w:val="FootnoteReference"/>
          <w:sz w:val="26"/>
          <w:szCs w:val="26"/>
        </w:rPr>
        <w:footnoteRef/>
      </w:r>
      <w:r>
        <w:tab/>
      </w:r>
      <w:r w:rsidRPr="00687B34">
        <w:rPr>
          <w:i/>
          <w:sz w:val="26"/>
          <w:szCs w:val="26"/>
        </w:rPr>
        <w:t xml:space="preserve">See </w:t>
      </w:r>
      <w:r>
        <w:rPr>
          <w:i/>
          <w:sz w:val="26"/>
          <w:szCs w:val="26"/>
        </w:rPr>
        <w:t xml:space="preserve">also </w:t>
      </w:r>
      <w:r w:rsidRPr="00687B34">
        <w:rPr>
          <w:i/>
          <w:sz w:val="26"/>
          <w:szCs w:val="26"/>
        </w:rPr>
        <w:t>David P. Boyce v. Duquesne Light Company</w:t>
      </w:r>
      <w:r w:rsidRPr="00687B34">
        <w:rPr>
          <w:sz w:val="26"/>
          <w:szCs w:val="26"/>
        </w:rPr>
        <w:t>, Docket No. Z</w:t>
      </w:r>
      <w:r>
        <w:rPr>
          <w:sz w:val="26"/>
          <w:szCs w:val="26"/>
        </w:rPr>
        <w:noBreakHyphen/>
      </w:r>
      <w:r w:rsidRPr="00687B34">
        <w:rPr>
          <w:sz w:val="26"/>
          <w:szCs w:val="26"/>
        </w:rPr>
        <w:t>00223698 (Opinion and Order entered September 1, 1994) (</w:t>
      </w:r>
      <w:r w:rsidRPr="00687B34">
        <w:rPr>
          <w:i/>
          <w:sz w:val="26"/>
          <w:szCs w:val="26"/>
        </w:rPr>
        <w:t>Boyce</w:t>
      </w:r>
      <w:r w:rsidRPr="00687B34">
        <w:rPr>
          <w:sz w:val="26"/>
          <w:szCs w:val="26"/>
        </w:rPr>
        <w:t>) (foreign load existed where tenant</w:t>
      </w:r>
      <w:r>
        <w:rPr>
          <w:sz w:val="26"/>
          <w:szCs w:val="26"/>
        </w:rPr>
        <w:t>’</w:t>
      </w:r>
      <w:r w:rsidRPr="00687B34">
        <w:rPr>
          <w:sz w:val="26"/>
          <w:szCs w:val="26"/>
        </w:rPr>
        <w:t>s meter registered electric service for the compressor for the air conditioning unit servicing three apartment units)</w:t>
      </w:r>
      <w:r w:rsidRPr="00687B34">
        <w:rPr>
          <w:i/>
          <w:sz w:val="26"/>
          <w:szCs w:val="26"/>
        </w:rPr>
        <w:t>; see also</w:t>
      </w:r>
      <w:r w:rsidRPr="00687B34">
        <w:rPr>
          <w:sz w:val="26"/>
          <w:szCs w:val="26"/>
        </w:rPr>
        <w:t xml:space="preserve"> </w:t>
      </w:r>
      <w:r w:rsidRPr="00687B34">
        <w:rPr>
          <w:i/>
          <w:sz w:val="26"/>
          <w:szCs w:val="26"/>
        </w:rPr>
        <w:t>Santos</w:t>
      </w:r>
      <w:r w:rsidRPr="00687B34">
        <w:rPr>
          <w:sz w:val="26"/>
          <w:szCs w:val="26"/>
        </w:rPr>
        <w:t xml:space="preserve"> (foreign load existed where tenant</w:t>
      </w:r>
      <w:r>
        <w:rPr>
          <w:sz w:val="26"/>
          <w:szCs w:val="26"/>
        </w:rPr>
        <w:t>’</w:t>
      </w:r>
      <w:r w:rsidRPr="00687B34">
        <w:rPr>
          <w:sz w:val="26"/>
          <w:szCs w:val="26"/>
        </w:rPr>
        <w:t>s meter registered electric service to a barber shop and church located in tenant</w:t>
      </w:r>
      <w:r>
        <w:rPr>
          <w:sz w:val="26"/>
          <w:szCs w:val="26"/>
        </w:rPr>
        <w:t>’</w:t>
      </w:r>
      <w:r w:rsidRPr="00687B34">
        <w:rPr>
          <w:sz w:val="26"/>
          <w:szCs w:val="26"/>
        </w:rPr>
        <w:t xml:space="preserve">s building); </w:t>
      </w:r>
      <w:r w:rsidRPr="00687B34">
        <w:rPr>
          <w:i/>
          <w:sz w:val="26"/>
          <w:szCs w:val="26"/>
        </w:rPr>
        <w:t>see also</w:t>
      </w:r>
      <w:r w:rsidRPr="00687B34">
        <w:rPr>
          <w:sz w:val="26"/>
          <w:szCs w:val="26"/>
        </w:rPr>
        <w:t xml:space="preserve"> </w:t>
      </w:r>
      <w:r w:rsidRPr="00687B34">
        <w:rPr>
          <w:i/>
          <w:iCs/>
          <w:sz w:val="26"/>
          <w:szCs w:val="26"/>
        </w:rPr>
        <w:t xml:space="preserve">Del Vecchio v. PPL Elec. </w:t>
      </w:r>
      <w:proofErr w:type="spellStart"/>
      <w:r w:rsidRPr="00687B34">
        <w:rPr>
          <w:i/>
          <w:iCs/>
          <w:sz w:val="26"/>
          <w:szCs w:val="26"/>
        </w:rPr>
        <w:t>Utils</w:t>
      </w:r>
      <w:proofErr w:type="spellEnd"/>
      <w:r w:rsidRPr="00687B34">
        <w:rPr>
          <w:i/>
          <w:iCs/>
          <w:sz w:val="26"/>
          <w:szCs w:val="26"/>
        </w:rPr>
        <w:t>. Corp.,</w:t>
      </w:r>
      <w:r w:rsidRPr="00687B34">
        <w:rPr>
          <w:sz w:val="26"/>
          <w:szCs w:val="26"/>
        </w:rPr>
        <w:t xml:space="preserve"> Docket No. Z</w:t>
      </w:r>
      <w:r>
        <w:rPr>
          <w:sz w:val="26"/>
          <w:szCs w:val="26"/>
        </w:rPr>
        <w:noBreakHyphen/>
      </w:r>
      <w:r w:rsidRPr="00687B34">
        <w:rPr>
          <w:sz w:val="26"/>
          <w:szCs w:val="26"/>
        </w:rPr>
        <w:t>01464793, 2005 WL 2277638 (Order entered September 13, 2005)(foreign load existed where tenant</w:t>
      </w:r>
      <w:r>
        <w:rPr>
          <w:sz w:val="26"/>
          <w:szCs w:val="26"/>
        </w:rPr>
        <w:t>’</w:t>
      </w:r>
      <w:r w:rsidRPr="00687B34">
        <w:rPr>
          <w:sz w:val="26"/>
          <w:szCs w:val="26"/>
        </w:rPr>
        <w:t xml:space="preserve">s account registered electric service to well water pump and various outbuildings); </w:t>
      </w:r>
      <w:r w:rsidRPr="00687B34">
        <w:rPr>
          <w:i/>
          <w:sz w:val="26"/>
          <w:szCs w:val="26"/>
        </w:rPr>
        <w:t>see also</w:t>
      </w:r>
      <w:r w:rsidRPr="00687B34">
        <w:rPr>
          <w:sz w:val="26"/>
          <w:szCs w:val="26"/>
        </w:rPr>
        <w:t xml:space="preserve"> </w:t>
      </w:r>
      <w:r w:rsidRPr="00687B34">
        <w:rPr>
          <w:i/>
          <w:sz w:val="26"/>
          <w:szCs w:val="26"/>
        </w:rPr>
        <w:t>Franckowiak v. PPL Electric Utilities Corp</w:t>
      </w:r>
      <w:r w:rsidRPr="00687B34">
        <w:rPr>
          <w:sz w:val="26"/>
          <w:szCs w:val="26"/>
        </w:rPr>
        <w:t>., Docket No. C-2005-4687, 2006 WL 4794383 (Order entered July 3, 2006) (</w:t>
      </w:r>
      <w:r>
        <w:rPr>
          <w:sz w:val="26"/>
          <w:szCs w:val="26"/>
        </w:rPr>
        <w:t>“</w:t>
      </w:r>
      <w:r w:rsidRPr="00687B34">
        <w:rPr>
          <w:sz w:val="26"/>
          <w:szCs w:val="26"/>
        </w:rPr>
        <w:t xml:space="preserve">the existence of foreign wiring precludes a premises from being considered </w:t>
      </w:r>
      <w:r>
        <w:rPr>
          <w:sz w:val="26"/>
          <w:szCs w:val="26"/>
        </w:rPr>
        <w:t>‘</w:t>
      </w:r>
      <w:r w:rsidRPr="00687B34">
        <w:rPr>
          <w:sz w:val="26"/>
          <w:szCs w:val="26"/>
        </w:rPr>
        <w:t>individually metered</w:t>
      </w:r>
      <w:r>
        <w:rPr>
          <w:sz w:val="26"/>
          <w:szCs w:val="26"/>
        </w:rPr>
        <w:t>’</w:t>
      </w:r>
      <w:r w:rsidRPr="00687B34">
        <w:rPr>
          <w:sz w:val="26"/>
          <w:szCs w:val="26"/>
        </w:rPr>
        <w:t xml:space="preserve"> for purposes of [Section 1529.1 of the Code].</w:t>
      </w:r>
      <w:r>
        <w:rPr>
          <w:sz w:val="26"/>
          <w:szCs w:val="26"/>
        </w:rPr>
        <w:t>”</w:t>
      </w:r>
      <w:r w:rsidRPr="00687B34">
        <w:rPr>
          <w:sz w:val="26"/>
          <w:szCs w:val="26"/>
        </w:rPr>
        <w:t xml:space="preserve">); </w:t>
      </w:r>
      <w:r w:rsidRPr="00687B34">
        <w:rPr>
          <w:i/>
          <w:sz w:val="26"/>
          <w:szCs w:val="26"/>
        </w:rPr>
        <w:t>see also Shank v. PPL Electric Utilities Corporation</w:t>
      </w:r>
      <w:r w:rsidRPr="00687B34">
        <w:rPr>
          <w:sz w:val="26"/>
          <w:szCs w:val="26"/>
        </w:rPr>
        <w:t>, Docket No. C-2009-2087300 (Opinion and Order entered August 31, 2009) (</w:t>
      </w:r>
      <w:r w:rsidRPr="00687B34">
        <w:rPr>
          <w:i/>
          <w:sz w:val="26"/>
          <w:szCs w:val="26"/>
        </w:rPr>
        <w:t>Shank</w:t>
      </w:r>
      <w:r w:rsidRPr="00687B34">
        <w:rPr>
          <w:sz w:val="26"/>
          <w:szCs w:val="26"/>
        </w:rPr>
        <w:t>) (foreign load existed where tenant</w:t>
      </w:r>
      <w:r>
        <w:rPr>
          <w:sz w:val="26"/>
          <w:szCs w:val="26"/>
        </w:rPr>
        <w:t>’</w:t>
      </w:r>
      <w:r w:rsidRPr="00687B34">
        <w:rPr>
          <w:sz w:val="26"/>
          <w:szCs w:val="26"/>
        </w:rPr>
        <w:t xml:space="preserve">s meter registers electric service from foreign wiring); </w:t>
      </w:r>
      <w:r w:rsidRPr="00687B34">
        <w:rPr>
          <w:i/>
          <w:sz w:val="26"/>
          <w:szCs w:val="26"/>
        </w:rPr>
        <w:t>see also Ace Check Cashing</w:t>
      </w:r>
      <w:r w:rsidRPr="00687B34">
        <w:rPr>
          <w:sz w:val="26"/>
          <w:szCs w:val="26"/>
        </w:rPr>
        <w:t xml:space="preserve"> (foreign load existed where tenants</w:t>
      </w:r>
      <w:r>
        <w:rPr>
          <w:sz w:val="26"/>
          <w:szCs w:val="26"/>
        </w:rPr>
        <w:t>’</w:t>
      </w:r>
      <w:r w:rsidRPr="00687B34">
        <w:rPr>
          <w:sz w:val="26"/>
          <w:szCs w:val="26"/>
        </w:rPr>
        <w:t xml:space="preserve"> gas meter registered gas service for hot water heater supply hot water to separate floor of building); </w:t>
      </w:r>
      <w:r w:rsidRPr="00687B34">
        <w:rPr>
          <w:i/>
          <w:sz w:val="26"/>
          <w:szCs w:val="26"/>
        </w:rPr>
        <w:t>see also</w:t>
      </w:r>
      <w:r w:rsidRPr="00687B34">
        <w:rPr>
          <w:sz w:val="26"/>
          <w:szCs w:val="26"/>
        </w:rPr>
        <w:t xml:space="preserve"> </w:t>
      </w:r>
      <w:r w:rsidRPr="00687B34">
        <w:rPr>
          <w:i/>
          <w:iCs/>
          <w:sz w:val="26"/>
          <w:szCs w:val="26"/>
        </w:rPr>
        <w:t>Cosme v. PECO Energy Co.,</w:t>
      </w:r>
      <w:r w:rsidRPr="00687B34">
        <w:rPr>
          <w:sz w:val="26"/>
          <w:szCs w:val="26"/>
        </w:rPr>
        <w:t xml:space="preserve"> Docket No. C–2010–2171497, 2012 WL 1794917 (Order entered March 8, 2012) (foreign load existed where tenant</w:t>
      </w:r>
      <w:r>
        <w:rPr>
          <w:sz w:val="26"/>
          <w:szCs w:val="26"/>
        </w:rPr>
        <w:t>’</w:t>
      </w:r>
      <w:r w:rsidRPr="00687B34">
        <w:rPr>
          <w:sz w:val="26"/>
          <w:szCs w:val="26"/>
        </w:rPr>
        <w:t xml:space="preserve">s meter registered electric service for hallway electric heater and light); </w:t>
      </w:r>
      <w:r w:rsidRPr="00687B34">
        <w:rPr>
          <w:i/>
          <w:sz w:val="26"/>
          <w:szCs w:val="26"/>
        </w:rPr>
        <w:t>see also</w:t>
      </w:r>
      <w:r w:rsidRPr="00687B34">
        <w:rPr>
          <w:sz w:val="26"/>
          <w:szCs w:val="26"/>
        </w:rPr>
        <w:t xml:space="preserve"> </w:t>
      </w:r>
      <w:r w:rsidRPr="00687B34">
        <w:rPr>
          <w:i/>
          <w:sz w:val="26"/>
          <w:szCs w:val="26"/>
        </w:rPr>
        <w:t>George W. Kopf, Jr. v. PECO Energy Co</w:t>
      </w:r>
      <w:r w:rsidRPr="00687B34">
        <w:rPr>
          <w:sz w:val="26"/>
          <w:szCs w:val="26"/>
        </w:rPr>
        <w:t>., Docket No. C-2012-2332993 (Opinion and Order entered June 13, 2013) (</w:t>
      </w:r>
      <w:r w:rsidRPr="00687B34">
        <w:rPr>
          <w:i/>
          <w:sz w:val="26"/>
          <w:szCs w:val="26"/>
        </w:rPr>
        <w:t>Kopf</w:t>
      </w:r>
      <w:r w:rsidRPr="00687B34">
        <w:rPr>
          <w:sz w:val="26"/>
          <w:szCs w:val="26"/>
        </w:rPr>
        <w:t>) (foreign load existed where tenant</w:t>
      </w:r>
      <w:r>
        <w:rPr>
          <w:sz w:val="26"/>
          <w:szCs w:val="26"/>
        </w:rPr>
        <w:t>’</w:t>
      </w:r>
      <w:r w:rsidRPr="00687B34">
        <w:rPr>
          <w:sz w:val="26"/>
          <w:szCs w:val="26"/>
        </w:rPr>
        <w:t xml:space="preserve">s meter registered electric service to common areas in second floor hallway, basement and outside light); </w:t>
      </w:r>
      <w:r w:rsidRPr="00687B34">
        <w:rPr>
          <w:i/>
          <w:sz w:val="26"/>
          <w:szCs w:val="26"/>
        </w:rPr>
        <w:t>see also</w:t>
      </w:r>
      <w:r w:rsidRPr="00687B34">
        <w:rPr>
          <w:sz w:val="26"/>
          <w:szCs w:val="26"/>
        </w:rPr>
        <w:t xml:space="preserve"> </w:t>
      </w:r>
      <w:r w:rsidRPr="00687B34">
        <w:rPr>
          <w:i/>
          <w:sz w:val="26"/>
          <w:szCs w:val="26"/>
        </w:rPr>
        <w:t>1-A Realty v. PPL Electric Utilities Corp.</w:t>
      </w:r>
      <w:r w:rsidRPr="00687B34">
        <w:rPr>
          <w:sz w:val="26"/>
          <w:szCs w:val="26"/>
        </w:rPr>
        <w:t>, Docket No. F-2010-2166554, et al., (Opinion and Order entered April 12, 2012), aff</w:t>
      </w:r>
      <w:r>
        <w:rPr>
          <w:sz w:val="26"/>
          <w:szCs w:val="26"/>
        </w:rPr>
        <w:t>’</w:t>
      </w:r>
      <w:r w:rsidRPr="00687B34">
        <w:rPr>
          <w:sz w:val="26"/>
          <w:szCs w:val="26"/>
        </w:rPr>
        <w:t>d</w:t>
      </w:r>
      <w:r w:rsidRPr="00687B34">
        <w:rPr>
          <w:i/>
          <w:sz w:val="26"/>
          <w:szCs w:val="26"/>
        </w:rPr>
        <w:t xml:space="preserve"> 1-A Realty v. Pa. PUC</w:t>
      </w:r>
      <w:r w:rsidRPr="00687B34">
        <w:rPr>
          <w:sz w:val="26"/>
          <w:szCs w:val="26"/>
        </w:rPr>
        <w:t xml:space="preserve">, 63 A.3d 480 (Pa. Cmwlth. 2013) (foreign load existed where communal street lights in a mobile home park were connected to the electric boxes of the homes of the nearest tenants); </w:t>
      </w:r>
      <w:r w:rsidRPr="00687B34">
        <w:rPr>
          <w:i/>
          <w:sz w:val="26"/>
          <w:szCs w:val="26"/>
        </w:rPr>
        <w:t>see also</w:t>
      </w:r>
      <w:r w:rsidRPr="00687B34">
        <w:rPr>
          <w:sz w:val="26"/>
          <w:szCs w:val="26"/>
        </w:rPr>
        <w:t xml:space="preserve"> </w:t>
      </w:r>
      <w:r w:rsidRPr="00687B34">
        <w:rPr>
          <w:i/>
          <w:sz w:val="26"/>
          <w:szCs w:val="26"/>
        </w:rPr>
        <w:t xml:space="preserve">Gnana </w:t>
      </w:r>
      <w:proofErr w:type="spellStart"/>
      <w:r w:rsidRPr="00687B34">
        <w:rPr>
          <w:i/>
          <w:sz w:val="26"/>
          <w:szCs w:val="26"/>
        </w:rPr>
        <w:t>Chinniah</w:t>
      </w:r>
      <w:proofErr w:type="spellEnd"/>
      <w:r w:rsidRPr="00687B34">
        <w:rPr>
          <w:i/>
          <w:sz w:val="26"/>
          <w:szCs w:val="26"/>
        </w:rPr>
        <w:t xml:space="preserve"> v. PPL Electric Utilities Corp.</w:t>
      </w:r>
      <w:r w:rsidRPr="00687B34">
        <w:rPr>
          <w:sz w:val="26"/>
          <w:szCs w:val="26"/>
        </w:rPr>
        <w:t>, Docket No. F-2012-2325248 (Opinion and Order entered May 9, 2013) (foreign load existed where tenant</w:t>
      </w:r>
      <w:r>
        <w:rPr>
          <w:sz w:val="26"/>
          <w:szCs w:val="26"/>
        </w:rPr>
        <w:t>’</w:t>
      </w:r>
      <w:r w:rsidRPr="00687B34">
        <w:rPr>
          <w:sz w:val="26"/>
          <w:szCs w:val="26"/>
        </w:rPr>
        <w:t>s meter registered electric service to a detached storage shed located in the middle of a backyard of a duplex on the boundary between the two properties).</w:t>
      </w:r>
    </w:p>
  </w:footnote>
  <w:footnote w:id="7">
    <w:p w:rsidR="00D20C46" w:rsidRDefault="00D20C46" w:rsidP="00A6670C">
      <w:pPr>
        <w:keepNext/>
        <w:keepLines/>
        <w:widowControl/>
        <w:spacing w:after="120"/>
        <w:ind w:firstLine="720"/>
      </w:pPr>
      <w:r w:rsidRPr="00744E80">
        <w:rPr>
          <w:rStyle w:val="FootnoteReference"/>
          <w:sz w:val="26"/>
          <w:szCs w:val="26"/>
        </w:rPr>
        <w:footnoteRef/>
      </w:r>
      <w:r>
        <w:rPr>
          <w:sz w:val="26"/>
          <w:szCs w:val="26"/>
        </w:rPr>
        <w:tab/>
      </w:r>
      <w:r w:rsidRPr="00687B34">
        <w:rPr>
          <w:sz w:val="26"/>
          <w:szCs w:val="26"/>
        </w:rPr>
        <w:t xml:space="preserve">Prior to 1993, </w:t>
      </w:r>
      <w:r>
        <w:rPr>
          <w:sz w:val="26"/>
          <w:szCs w:val="26"/>
        </w:rPr>
        <w:t>we</w:t>
      </w:r>
      <w:r w:rsidRPr="00687B34">
        <w:rPr>
          <w:sz w:val="26"/>
          <w:szCs w:val="26"/>
        </w:rPr>
        <w:t xml:space="preserve"> resolved foreign load high bill complaints by directing the utility to remove the charges attributable to the foreign load from the customer</w:t>
      </w:r>
      <w:r>
        <w:rPr>
          <w:sz w:val="26"/>
          <w:szCs w:val="26"/>
        </w:rPr>
        <w:t>’</w:t>
      </w:r>
      <w:r w:rsidRPr="00687B34">
        <w:rPr>
          <w:sz w:val="26"/>
          <w:szCs w:val="26"/>
        </w:rPr>
        <w:t>s bill and to issue a bill for the foreign load in the property owner</w:t>
      </w:r>
      <w:r>
        <w:rPr>
          <w:sz w:val="26"/>
          <w:szCs w:val="26"/>
        </w:rPr>
        <w:t>’</w:t>
      </w:r>
      <w:r w:rsidRPr="00687B34">
        <w:rPr>
          <w:sz w:val="26"/>
          <w:szCs w:val="26"/>
        </w:rPr>
        <w:t xml:space="preserve">s name.  </w:t>
      </w:r>
      <w:r w:rsidRPr="00687B34">
        <w:rPr>
          <w:i/>
          <w:sz w:val="26"/>
          <w:szCs w:val="26"/>
        </w:rPr>
        <w:t xml:space="preserve">See </w:t>
      </w:r>
      <w:r>
        <w:rPr>
          <w:i/>
          <w:iCs/>
          <w:sz w:val="26"/>
          <w:szCs w:val="26"/>
        </w:rPr>
        <w:t>Albright</w:t>
      </w:r>
      <w:r w:rsidRPr="00687B34">
        <w:rPr>
          <w:sz w:val="26"/>
          <w:szCs w:val="26"/>
        </w:rPr>
        <w:t>.   Section 1529.1 changed this by mandating that the account registering foreign load be listed in the name of the property owner and that the owner be thereafter responsible for the payment of utility servi</w:t>
      </w:r>
      <w:r>
        <w:rPr>
          <w:sz w:val="26"/>
          <w:szCs w:val="26"/>
        </w:rPr>
        <w:t>ces rendered to such account.</w:t>
      </w:r>
    </w:p>
  </w:footnote>
  <w:footnote w:id="8">
    <w:p w:rsidR="00D20C46" w:rsidRDefault="00D20C46" w:rsidP="000E6481">
      <w:pPr>
        <w:keepNext/>
        <w:keepLines/>
        <w:widowControl/>
        <w:spacing w:after="120"/>
        <w:ind w:firstLine="720"/>
      </w:pPr>
      <w:r w:rsidRPr="000E6481">
        <w:rPr>
          <w:rStyle w:val="FootnoteReference"/>
          <w:sz w:val="26"/>
          <w:szCs w:val="26"/>
        </w:rPr>
        <w:footnoteRef/>
      </w:r>
      <w:r w:rsidRPr="000E6481">
        <w:rPr>
          <w:sz w:val="26"/>
          <w:szCs w:val="26"/>
        </w:rPr>
        <w:tab/>
        <w:t xml:space="preserve">As clarified in </w:t>
      </w:r>
      <w:r w:rsidRPr="000E6481">
        <w:rPr>
          <w:i/>
          <w:sz w:val="26"/>
          <w:szCs w:val="26"/>
        </w:rPr>
        <w:t>Glen</w:t>
      </w:r>
      <w:r w:rsidRPr="000E6481">
        <w:rPr>
          <w:sz w:val="26"/>
          <w:szCs w:val="26"/>
        </w:rPr>
        <w:t xml:space="preserve"> </w:t>
      </w:r>
      <w:r w:rsidRPr="000E6481">
        <w:rPr>
          <w:i/>
          <w:sz w:val="26"/>
          <w:szCs w:val="26"/>
        </w:rPr>
        <w:t xml:space="preserve">DeHaven v. PECO Energy Company, </w:t>
      </w:r>
      <w:r w:rsidRPr="000E6481">
        <w:rPr>
          <w:sz w:val="26"/>
          <w:szCs w:val="26"/>
        </w:rPr>
        <w:t>Docket No. C-2017-2585680 (Order entered March 23, 2018) (</w:t>
      </w:r>
      <w:r w:rsidRPr="000E6481">
        <w:rPr>
          <w:i/>
          <w:sz w:val="26"/>
          <w:szCs w:val="26"/>
        </w:rPr>
        <w:t>DeHaven</w:t>
      </w:r>
      <w:r w:rsidRPr="000E6481">
        <w:rPr>
          <w:sz w:val="26"/>
          <w:szCs w:val="26"/>
        </w:rPr>
        <w:t>)</w:t>
      </w:r>
      <w:r w:rsidRPr="000E6481">
        <w:rPr>
          <w:i/>
          <w:sz w:val="26"/>
          <w:szCs w:val="26"/>
        </w:rPr>
        <w:t xml:space="preserve"> </w:t>
      </w:r>
      <w:r w:rsidRPr="000E6481">
        <w:rPr>
          <w:sz w:val="26"/>
          <w:szCs w:val="26"/>
        </w:rPr>
        <w:t xml:space="preserve">and </w:t>
      </w:r>
      <w:r w:rsidRPr="000E6481">
        <w:rPr>
          <w:i/>
          <w:sz w:val="26"/>
          <w:szCs w:val="26"/>
        </w:rPr>
        <w:t>Richard</w:t>
      </w:r>
      <w:r w:rsidRPr="000E6481">
        <w:rPr>
          <w:sz w:val="26"/>
          <w:szCs w:val="26"/>
        </w:rPr>
        <w:t xml:space="preserve"> </w:t>
      </w:r>
      <w:r w:rsidRPr="000E6481">
        <w:rPr>
          <w:i/>
          <w:sz w:val="26"/>
          <w:szCs w:val="26"/>
        </w:rPr>
        <w:t>Dina v. PECO Energy Company</w:t>
      </w:r>
      <w:r w:rsidRPr="000E6481">
        <w:rPr>
          <w:sz w:val="26"/>
          <w:szCs w:val="26"/>
        </w:rPr>
        <w:t>, Docket No. F-2017-2592410 (Order entered March 23, 2018) (</w:t>
      </w:r>
      <w:r w:rsidRPr="000E6481">
        <w:rPr>
          <w:i/>
          <w:sz w:val="26"/>
          <w:szCs w:val="26"/>
        </w:rPr>
        <w:t>Dina</w:t>
      </w:r>
      <w:r w:rsidRPr="000E6481">
        <w:rPr>
          <w:sz w:val="26"/>
          <w:szCs w:val="26"/>
        </w:rPr>
        <w:t>), the utility shall transfer to the landlord only the account arrearages that accumulated at the premises/service address where the foreign load is found to exist and shall exclude any prior debts of the tenant that had been accumulated at another service address and transferred to follow the financially-responsible tenant to the foreign load-affected premises, pursuant to 52 Pa. Code § 56.35.</w:t>
      </w:r>
    </w:p>
  </w:footnote>
  <w:footnote w:id="9">
    <w:p w:rsidR="00D20C46" w:rsidRDefault="00D20C46" w:rsidP="000E6481">
      <w:pPr>
        <w:keepNext/>
        <w:keepLines/>
        <w:widowControl/>
        <w:autoSpaceDE w:val="0"/>
        <w:autoSpaceDN w:val="0"/>
        <w:adjustRightInd w:val="0"/>
        <w:spacing w:after="120"/>
        <w:ind w:firstLine="720"/>
      </w:pPr>
      <w:r w:rsidRPr="00C30CF2">
        <w:rPr>
          <w:rStyle w:val="FootnoteReference"/>
          <w:sz w:val="26"/>
          <w:szCs w:val="26"/>
        </w:rPr>
        <w:footnoteRef/>
      </w:r>
      <w:r>
        <w:tab/>
      </w:r>
      <w:r w:rsidRPr="00C30CF2">
        <w:rPr>
          <w:color w:val="000000"/>
          <w:sz w:val="26"/>
          <w:szCs w:val="26"/>
        </w:rPr>
        <w:t xml:space="preserve">A similar definition of </w:t>
      </w:r>
      <w:r>
        <w:rPr>
          <w:color w:val="000000"/>
          <w:sz w:val="26"/>
          <w:szCs w:val="26"/>
        </w:rPr>
        <w:t>“</w:t>
      </w:r>
      <w:r w:rsidRPr="00C30CF2">
        <w:rPr>
          <w:color w:val="000000"/>
          <w:sz w:val="26"/>
          <w:szCs w:val="26"/>
        </w:rPr>
        <w:t>applicant</w:t>
      </w:r>
      <w:r>
        <w:rPr>
          <w:color w:val="000000"/>
          <w:sz w:val="26"/>
          <w:szCs w:val="26"/>
        </w:rPr>
        <w:t>”</w:t>
      </w:r>
      <w:r w:rsidRPr="00C30CF2">
        <w:rPr>
          <w:color w:val="000000"/>
          <w:sz w:val="26"/>
          <w:szCs w:val="26"/>
        </w:rPr>
        <w:t xml:space="preserve"> appears in Section 56.2 of our Regulations, </w:t>
      </w:r>
      <w:r w:rsidRPr="00933BF5">
        <w:rPr>
          <w:sz w:val="26"/>
          <w:szCs w:val="26"/>
        </w:rPr>
        <w:t xml:space="preserve">52 Pa. Code § 56.2, </w:t>
      </w:r>
      <w:r w:rsidRPr="00C30CF2">
        <w:rPr>
          <w:color w:val="000000"/>
          <w:sz w:val="26"/>
          <w:szCs w:val="26"/>
        </w:rPr>
        <w:t>with the clarification that the applicant must be at least eighteen years of age.</w:t>
      </w:r>
    </w:p>
  </w:footnote>
  <w:footnote w:id="10">
    <w:p w:rsidR="00D20C46" w:rsidRDefault="00D20C46" w:rsidP="006D6995">
      <w:pPr>
        <w:pStyle w:val="FootnoteText"/>
        <w:keepNext/>
        <w:keepLines/>
        <w:widowControl/>
        <w:spacing w:after="120"/>
        <w:ind w:firstLine="720"/>
      </w:pPr>
      <w:r w:rsidRPr="00CB5FDE">
        <w:rPr>
          <w:rStyle w:val="FootnoteReference"/>
          <w:sz w:val="26"/>
          <w:szCs w:val="26"/>
        </w:rPr>
        <w:footnoteRef/>
      </w:r>
      <w:r>
        <w:tab/>
      </w:r>
      <w:r w:rsidRPr="001C6E41">
        <w:rPr>
          <w:sz w:val="26"/>
          <w:szCs w:val="26"/>
        </w:rPr>
        <w:t>A public utility</w:t>
      </w:r>
      <w:r>
        <w:rPr>
          <w:sz w:val="26"/>
          <w:szCs w:val="26"/>
        </w:rPr>
        <w:t>’</w:t>
      </w:r>
      <w:r w:rsidRPr="001C6E41">
        <w:rPr>
          <w:sz w:val="26"/>
          <w:szCs w:val="26"/>
        </w:rPr>
        <w:t xml:space="preserve">s Commission-approved tariff is </w:t>
      </w:r>
      <w:r w:rsidRPr="001C6E41">
        <w:rPr>
          <w:i/>
          <w:iCs/>
          <w:sz w:val="26"/>
          <w:szCs w:val="26"/>
        </w:rPr>
        <w:t xml:space="preserve">prima facie </w:t>
      </w:r>
      <w:r w:rsidRPr="001C6E41">
        <w:rPr>
          <w:sz w:val="26"/>
          <w:szCs w:val="26"/>
        </w:rPr>
        <w:t xml:space="preserve">reasonable, has the full force of law and is binding on the utility and the customer. </w:t>
      </w:r>
      <w:r>
        <w:rPr>
          <w:sz w:val="26"/>
          <w:szCs w:val="26"/>
        </w:rPr>
        <w:t xml:space="preserve"> </w:t>
      </w:r>
      <w:r w:rsidRPr="001C6E41">
        <w:rPr>
          <w:sz w:val="26"/>
          <w:szCs w:val="26"/>
        </w:rPr>
        <w:t xml:space="preserve">66 </w:t>
      </w:r>
      <w:r>
        <w:rPr>
          <w:sz w:val="26"/>
          <w:szCs w:val="26"/>
        </w:rPr>
        <w:t>Pa. C.S.</w:t>
      </w:r>
      <w:r w:rsidRPr="001C6E41">
        <w:rPr>
          <w:sz w:val="26"/>
          <w:szCs w:val="26"/>
        </w:rPr>
        <w:t xml:space="preserve"> § 316, </w:t>
      </w:r>
      <w:r w:rsidRPr="001C6E41">
        <w:rPr>
          <w:i/>
          <w:iCs/>
          <w:sz w:val="26"/>
          <w:szCs w:val="26"/>
        </w:rPr>
        <w:t>Kossman v. Pa. Pub. Util. Comm</w:t>
      </w:r>
      <w:r>
        <w:rPr>
          <w:i/>
          <w:iCs/>
          <w:sz w:val="26"/>
          <w:szCs w:val="26"/>
        </w:rPr>
        <w:t>’</w:t>
      </w:r>
      <w:r w:rsidRPr="001C6E41">
        <w:rPr>
          <w:i/>
          <w:iCs/>
          <w:sz w:val="26"/>
          <w:szCs w:val="26"/>
        </w:rPr>
        <w:t>n</w:t>
      </w:r>
      <w:r w:rsidRPr="001C6E41">
        <w:rPr>
          <w:sz w:val="26"/>
          <w:szCs w:val="26"/>
        </w:rPr>
        <w:t>, 694 A.2d 1147 (Pa.</w:t>
      </w:r>
      <w:r>
        <w:rPr>
          <w:sz w:val="26"/>
          <w:szCs w:val="26"/>
        </w:rPr>
        <w:t xml:space="preserve"> </w:t>
      </w:r>
      <w:r w:rsidRPr="001C6E41">
        <w:rPr>
          <w:sz w:val="26"/>
          <w:szCs w:val="26"/>
        </w:rPr>
        <w:t>Cmwlth. 1997) (</w:t>
      </w:r>
      <w:r w:rsidRPr="001C6E41">
        <w:rPr>
          <w:i/>
          <w:iCs/>
          <w:sz w:val="26"/>
          <w:szCs w:val="26"/>
        </w:rPr>
        <w:t>Kossman)</w:t>
      </w:r>
      <w:r w:rsidRPr="001C6E41">
        <w:rPr>
          <w:sz w:val="26"/>
          <w:szCs w:val="26"/>
        </w:rPr>
        <w:t xml:space="preserve">; and </w:t>
      </w:r>
      <w:r w:rsidRPr="001C6E41">
        <w:rPr>
          <w:i/>
          <w:iCs/>
          <w:sz w:val="26"/>
          <w:szCs w:val="26"/>
        </w:rPr>
        <w:t>Stiteler v. Bell Telephone Co. of Pennsylvania</w:t>
      </w:r>
      <w:r w:rsidRPr="001C6E41">
        <w:rPr>
          <w:sz w:val="26"/>
          <w:szCs w:val="26"/>
        </w:rPr>
        <w:t xml:space="preserve">, </w:t>
      </w:r>
      <w:r>
        <w:rPr>
          <w:sz w:val="26"/>
          <w:szCs w:val="26"/>
        </w:rPr>
        <w:t xml:space="preserve">379 </w:t>
      </w:r>
      <w:r w:rsidRPr="001C6E41">
        <w:rPr>
          <w:sz w:val="26"/>
          <w:szCs w:val="26"/>
        </w:rPr>
        <w:t>A.2d 339 (Pa.</w:t>
      </w:r>
      <w:r>
        <w:rPr>
          <w:sz w:val="26"/>
          <w:szCs w:val="26"/>
        </w:rPr>
        <w:t xml:space="preserve"> </w:t>
      </w:r>
      <w:r w:rsidRPr="001C6E41">
        <w:rPr>
          <w:sz w:val="26"/>
          <w:szCs w:val="26"/>
        </w:rPr>
        <w:t>Cmwlth. 1977) (</w:t>
      </w:r>
      <w:r w:rsidRPr="001C6E41">
        <w:rPr>
          <w:i/>
          <w:iCs/>
          <w:sz w:val="26"/>
          <w:szCs w:val="26"/>
        </w:rPr>
        <w:t>Stiteler)</w:t>
      </w:r>
      <w:r w:rsidR="000E6481">
        <w:rPr>
          <w:sz w:val="26"/>
          <w:szCs w:val="26"/>
        </w:rPr>
        <w:t>.</w:t>
      </w:r>
    </w:p>
  </w:footnote>
  <w:footnote w:id="11">
    <w:p w:rsidR="00D20C46" w:rsidRPr="000E6481" w:rsidRDefault="00D20C46" w:rsidP="006D6995">
      <w:pPr>
        <w:keepNext/>
        <w:keepLines/>
        <w:widowControl/>
        <w:spacing w:after="120"/>
        <w:ind w:firstLine="720"/>
        <w:rPr>
          <w:sz w:val="26"/>
          <w:szCs w:val="26"/>
        </w:rPr>
      </w:pPr>
      <w:r w:rsidRPr="000E6481">
        <w:rPr>
          <w:rStyle w:val="FootnoteReference"/>
          <w:sz w:val="26"/>
          <w:szCs w:val="26"/>
        </w:rPr>
        <w:footnoteRef/>
      </w:r>
      <w:r w:rsidRPr="000E6481">
        <w:rPr>
          <w:sz w:val="26"/>
          <w:szCs w:val="26"/>
        </w:rPr>
        <w:tab/>
        <w:t>More specially, Rule 2.1B.1 of PGW’s Tariff requires: “[A]</w:t>
      </w:r>
      <w:proofErr w:type="spellStart"/>
      <w:r w:rsidRPr="000E6481">
        <w:rPr>
          <w:sz w:val="26"/>
          <w:szCs w:val="26"/>
        </w:rPr>
        <w:t>pplicants</w:t>
      </w:r>
      <w:proofErr w:type="spellEnd"/>
      <w:r w:rsidRPr="000E6481">
        <w:rPr>
          <w:sz w:val="26"/>
          <w:szCs w:val="26"/>
        </w:rPr>
        <w:t>’ for residential gas service to identify the applicant’s name, as well as the names of all occupants who appear on the mortgage, deed or lease of the property, or the names of all occupants who are tenants in the premises pursuant to an oral agreement.”</w:t>
      </w:r>
    </w:p>
  </w:footnote>
  <w:footnote w:id="12">
    <w:p w:rsidR="00D20C46" w:rsidRPr="000E6481" w:rsidRDefault="00D20C46" w:rsidP="006D6995">
      <w:pPr>
        <w:keepNext/>
        <w:keepLines/>
        <w:widowControl/>
        <w:spacing w:after="120"/>
        <w:ind w:firstLine="720"/>
        <w:rPr>
          <w:sz w:val="26"/>
          <w:szCs w:val="26"/>
        </w:rPr>
      </w:pPr>
      <w:r w:rsidRPr="000E6481">
        <w:rPr>
          <w:rStyle w:val="FootnoteReference"/>
          <w:sz w:val="26"/>
          <w:szCs w:val="26"/>
        </w:rPr>
        <w:footnoteRef/>
      </w:r>
      <w:r w:rsidRPr="000E6481">
        <w:rPr>
          <w:sz w:val="26"/>
          <w:szCs w:val="26"/>
        </w:rPr>
        <w:tab/>
        <w:t>Rule 2.1.B.1 of PGW’s Tariff also states that: “All applicants applying for residential gas service must provide identification, information, and documentation as required by the Company.  All applications shall be subject to credit history investigation by PGW.”</w:t>
      </w:r>
    </w:p>
  </w:footnote>
  <w:footnote w:id="13">
    <w:p w:rsidR="00D20C46" w:rsidRDefault="00D20C46" w:rsidP="000E6481">
      <w:pPr>
        <w:keepNext/>
        <w:keepLines/>
        <w:widowControl/>
        <w:spacing w:after="120"/>
        <w:ind w:firstLine="720"/>
      </w:pPr>
      <w:r w:rsidRPr="000E6481">
        <w:rPr>
          <w:rStyle w:val="FootnoteReference"/>
          <w:sz w:val="26"/>
          <w:szCs w:val="26"/>
        </w:rPr>
        <w:footnoteRef/>
      </w:r>
      <w:r w:rsidRPr="000E6481">
        <w:rPr>
          <w:sz w:val="26"/>
          <w:szCs w:val="26"/>
        </w:rPr>
        <w:tab/>
        <w:t>Rule 2.1.B.2 of PGW’s Tariff states: “Applicants for Gas Service shall provide for properties occupied pursuant to an oral and written agreement for such dwelling unit, the</w:t>
      </w:r>
      <w:r>
        <w:rPr>
          <w:sz w:val="26"/>
          <w:szCs w:val="26"/>
        </w:rPr>
        <w:t xml:space="preserve"> name and mailing address of the Landlord and the Landlord’s agent, if any.”</w:t>
      </w:r>
    </w:p>
  </w:footnote>
  <w:footnote w:id="14">
    <w:p w:rsidR="00D20C46" w:rsidRDefault="00D20C46" w:rsidP="000E6481">
      <w:pPr>
        <w:keepNext/>
        <w:keepLines/>
        <w:widowControl/>
        <w:spacing w:after="120"/>
        <w:ind w:firstLine="720"/>
      </w:pPr>
      <w:r w:rsidRPr="00C749F0">
        <w:rPr>
          <w:rStyle w:val="FootnoteReference"/>
          <w:sz w:val="26"/>
          <w:szCs w:val="26"/>
        </w:rPr>
        <w:footnoteRef/>
      </w:r>
      <w:r w:rsidRPr="00C749F0">
        <w:rPr>
          <w:sz w:val="26"/>
          <w:szCs w:val="26"/>
        </w:rPr>
        <w:tab/>
      </w:r>
      <w:r>
        <w:rPr>
          <w:sz w:val="26"/>
          <w:szCs w:val="26"/>
        </w:rPr>
        <w:t>F</w:t>
      </w:r>
      <w:r w:rsidRPr="00C749F0">
        <w:rPr>
          <w:sz w:val="26"/>
          <w:szCs w:val="26"/>
        </w:rPr>
        <w:t xml:space="preserve">or the sake of argument, assuming PGW had required the Tenant to furnish a copy of </w:t>
      </w:r>
      <w:r w:rsidR="000E6481">
        <w:rPr>
          <w:sz w:val="26"/>
          <w:szCs w:val="26"/>
        </w:rPr>
        <w:t xml:space="preserve">the </w:t>
      </w:r>
      <w:r w:rsidRPr="00C749F0">
        <w:rPr>
          <w:sz w:val="26"/>
          <w:szCs w:val="26"/>
        </w:rPr>
        <w:t>lease at the time the Tenant</w:t>
      </w:r>
      <w:r>
        <w:rPr>
          <w:sz w:val="26"/>
          <w:szCs w:val="26"/>
        </w:rPr>
        <w:t xml:space="preserve"> applied for service, and assuming the Tenant furnished a copy of </w:t>
      </w:r>
      <w:r w:rsidRPr="009D4132">
        <w:rPr>
          <w:sz w:val="26"/>
          <w:szCs w:val="26"/>
        </w:rPr>
        <w:t xml:space="preserve">the </w:t>
      </w:r>
      <w:r>
        <w:rPr>
          <w:sz w:val="26"/>
          <w:szCs w:val="26"/>
        </w:rPr>
        <w:t xml:space="preserve">partially-executed </w:t>
      </w:r>
      <w:r w:rsidRPr="009D4132">
        <w:rPr>
          <w:sz w:val="26"/>
          <w:szCs w:val="26"/>
        </w:rPr>
        <w:t>written lease agreement</w:t>
      </w:r>
      <w:r>
        <w:rPr>
          <w:sz w:val="26"/>
          <w:szCs w:val="26"/>
        </w:rPr>
        <w:t xml:space="preserve"> (referring to Complainant Exhibit 4, which was admitted into evidence at the hearing),</w:t>
      </w:r>
      <w:r w:rsidRPr="009D4132">
        <w:rPr>
          <w:rStyle w:val="FootnoteReference"/>
          <w:sz w:val="26"/>
          <w:szCs w:val="26"/>
        </w:rPr>
        <w:footnoteRef/>
      </w:r>
      <w:r>
        <w:rPr>
          <w:sz w:val="26"/>
          <w:szCs w:val="26"/>
        </w:rPr>
        <w:t xml:space="preserve"> we do not believe it would have constituted unreasonable service for PGW to accept the Tenant’s service application.  The record</w:t>
      </w:r>
      <w:r w:rsidRPr="009D4132">
        <w:rPr>
          <w:sz w:val="26"/>
          <w:szCs w:val="26"/>
        </w:rPr>
        <w:t xml:space="preserve"> clearly demonstrates that the </w:t>
      </w:r>
      <w:r>
        <w:rPr>
          <w:sz w:val="26"/>
          <w:szCs w:val="26"/>
        </w:rPr>
        <w:t xml:space="preserve">lease agreement was partially executed by the </w:t>
      </w:r>
      <w:r w:rsidRPr="009D4132">
        <w:rPr>
          <w:sz w:val="26"/>
          <w:szCs w:val="26"/>
        </w:rPr>
        <w:t xml:space="preserve">Complainant and her daughter, </w:t>
      </w:r>
      <w:r w:rsidRPr="00CB5FDE">
        <w:rPr>
          <w:i/>
          <w:sz w:val="26"/>
          <w:szCs w:val="26"/>
        </w:rPr>
        <w:t>i.e</w:t>
      </w:r>
      <w:r>
        <w:rPr>
          <w:sz w:val="26"/>
          <w:szCs w:val="26"/>
        </w:rPr>
        <w:t>., the</w:t>
      </w:r>
      <w:r w:rsidRPr="009D4132">
        <w:rPr>
          <w:sz w:val="26"/>
          <w:szCs w:val="26"/>
        </w:rPr>
        <w:t xml:space="preserve"> prop</w:t>
      </w:r>
      <w:r>
        <w:rPr>
          <w:sz w:val="26"/>
          <w:szCs w:val="26"/>
        </w:rPr>
        <w:t>erty owner and property manager;</w:t>
      </w:r>
      <w:r w:rsidRPr="009D4132">
        <w:rPr>
          <w:rStyle w:val="FootnoteReference"/>
          <w:sz w:val="26"/>
          <w:szCs w:val="26"/>
        </w:rPr>
        <w:t xml:space="preserve"> </w:t>
      </w:r>
      <w:r w:rsidRPr="009D4132">
        <w:rPr>
          <w:sz w:val="26"/>
          <w:szCs w:val="26"/>
        </w:rPr>
        <w:t xml:space="preserve">that </w:t>
      </w:r>
      <w:r>
        <w:rPr>
          <w:sz w:val="26"/>
          <w:szCs w:val="26"/>
        </w:rPr>
        <w:t>the Complainant had an expectation of the Tenant to counter-sign the lease; that such</w:t>
      </w:r>
      <w:r w:rsidRPr="009D4132">
        <w:rPr>
          <w:sz w:val="26"/>
          <w:szCs w:val="26"/>
        </w:rPr>
        <w:t xml:space="preserve"> lease agreement </w:t>
      </w:r>
      <w:r>
        <w:rPr>
          <w:sz w:val="26"/>
          <w:szCs w:val="26"/>
        </w:rPr>
        <w:t>clearly named the Tenant as the</w:t>
      </w:r>
      <w:r w:rsidRPr="000C3CC3">
        <w:rPr>
          <w:sz w:val="26"/>
          <w:szCs w:val="26"/>
        </w:rPr>
        <w:t xml:space="preserve"> residential tenant </w:t>
      </w:r>
      <w:r>
        <w:rPr>
          <w:sz w:val="26"/>
          <w:szCs w:val="26"/>
        </w:rPr>
        <w:t xml:space="preserve">with residential access to the building; </w:t>
      </w:r>
      <w:r w:rsidR="00E42882">
        <w:rPr>
          <w:sz w:val="26"/>
          <w:szCs w:val="26"/>
        </w:rPr>
        <w:t xml:space="preserve">and </w:t>
      </w:r>
      <w:r>
        <w:rPr>
          <w:sz w:val="26"/>
          <w:szCs w:val="26"/>
        </w:rPr>
        <w:t>that such lease agreement</w:t>
      </w:r>
      <w:r w:rsidRPr="000C3CC3">
        <w:rPr>
          <w:sz w:val="26"/>
          <w:szCs w:val="26"/>
        </w:rPr>
        <w:t xml:space="preserve"> </w:t>
      </w:r>
      <w:r>
        <w:rPr>
          <w:sz w:val="26"/>
          <w:szCs w:val="26"/>
        </w:rPr>
        <w:t xml:space="preserve">clearly </w:t>
      </w:r>
      <w:r w:rsidRPr="000C3CC3">
        <w:rPr>
          <w:sz w:val="26"/>
          <w:szCs w:val="26"/>
        </w:rPr>
        <w:t xml:space="preserve">assigned </w:t>
      </w:r>
      <w:r>
        <w:rPr>
          <w:sz w:val="26"/>
          <w:szCs w:val="26"/>
        </w:rPr>
        <w:t xml:space="preserve">the Tenant the </w:t>
      </w:r>
      <w:r w:rsidRPr="000C3CC3">
        <w:rPr>
          <w:sz w:val="26"/>
          <w:szCs w:val="26"/>
        </w:rPr>
        <w:t xml:space="preserve">responsibility </w:t>
      </w:r>
      <w:r>
        <w:rPr>
          <w:sz w:val="26"/>
          <w:szCs w:val="26"/>
        </w:rPr>
        <w:t xml:space="preserve">to pay </w:t>
      </w:r>
      <w:r w:rsidRPr="000C3CC3">
        <w:rPr>
          <w:sz w:val="26"/>
          <w:szCs w:val="26"/>
        </w:rPr>
        <w:t xml:space="preserve">the gas utility bills.  </w:t>
      </w:r>
      <w:r w:rsidRPr="00DB6044">
        <w:rPr>
          <w:i/>
          <w:sz w:val="26"/>
          <w:szCs w:val="26"/>
        </w:rPr>
        <w:t>See</w:t>
      </w:r>
      <w:r>
        <w:rPr>
          <w:sz w:val="26"/>
          <w:szCs w:val="26"/>
        </w:rPr>
        <w:t xml:space="preserve"> Tr. at 24-29.  </w:t>
      </w:r>
      <w:r w:rsidRPr="000C3CC3">
        <w:rPr>
          <w:sz w:val="26"/>
          <w:szCs w:val="26"/>
        </w:rPr>
        <w:t>Thus, the relevant question</w:t>
      </w:r>
      <w:r>
        <w:rPr>
          <w:sz w:val="26"/>
          <w:szCs w:val="26"/>
        </w:rPr>
        <w:t xml:space="preserve"> is</w:t>
      </w:r>
      <w:r w:rsidRPr="000C3CC3">
        <w:rPr>
          <w:sz w:val="26"/>
          <w:szCs w:val="26"/>
        </w:rPr>
        <w:t xml:space="preserve"> </w:t>
      </w:r>
      <w:r w:rsidRPr="000C3CC3">
        <w:rPr>
          <w:i/>
          <w:sz w:val="26"/>
          <w:szCs w:val="26"/>
        </w:rPr>
        <w:t xml:space="preserve">not </w:t>
      </w:r>
      <w:r w:rsidRPr="000C3CC3">
        <w:rPr>
          <w:sz w:val="26"/>
          <w:szCs w:val="26"/>
        </w:rPr>
        <w:t>whether a valid lease agreement existed</w:t>
      </w:r>
      <w:r>
        <w:rPr>
          <w:sz w:val="26"/>
          <w:szCs w:val="26"/>
        </w:rPr>
        <w:t>.</w:t>
      </w:r>
      <w:r w:rsidRPr="000C3CC3">
        <w:rPr>
          <w:sz w:val="26"/>
          <w:szCs w:val="26"/>
        </w:rPr>
        <w:t xml:space="preserve"> </w:t>
      </w:r>
      <w:r>
        <w:rPr>
          <w:sz w:val="26"/>
          <w:szCs w:val="26"/>
        </w:rPr>
        <w:t xml:space="preserve"> </w:t>
      </w:r>
      <w:r w:rsidRPr="000C3CC3">
        <w:rPr>
          <w:sz w:val="26"/>
          <w:szCs w:val="26"/>
        </w:rPr>
        <w:t xml:space="preserve">Rather, the </w:t>
      </w:r>
      <w:r>
        <w:rPr>
          <w:sz w:val="26"/>
          <w:szCs w:val="26"/>
        </w:rPr>
        <w:t xml:space="preserve">relevant </w:t>
      </w:r>
      <w:r w:rsidRPr="000C3CC3">
        <w:rPr>
          <w:sz w:val="26"/>
          <w:szCs w:val="26"/>
        </w:rPr>
        <w:t>question is whether it</w:t>
      </w:r>
      <w:r>
        <w:rPr>
          <w:sz w:val="26"/>
          <w:szCs w:val="26"/>
        </w:rPr>
        <w:t xml:space="preserve"> constitutes</w:t>
      </w:r>
      <w:r w:rsidRPr="000C3CC3">
        <w:rPr>
          <w:sz w:val="26"/>
          <w:szCs w:val="26"/>
        </w:rPr>
        <w:t xml:space="preserve"> </w:t>
      </w:r>
      <w:r>
        <w:rPr>
          <w:sz w:val="26"/>
          <w:szCs w:val="26"/>
        </w:rPr>
        <w:t>un</w:t>
      </w:r>
      <w:r w:rsidRPr="000C3CC3">
        <w:rPr>
          <w:sz w:val="26"/>
          <w:szCs w:val="26"/>
        </w:rPr>
        <w:t>reasonable</w:t>
      </w:r>
      <w:r>
        <w:rPr>
          <w:sz w:val="26"/>
          <w:szCs w:val="26"/>
        </w:rPr>
        <w:t xml:space="preserve"> service </w:t>
      </w:r>
      <w:r w:rsidRPr="000C3CC3">
        <w:rPr>
          <w:sz w:val="26"/>
          <w:szCs w:val="26"/>
        </w:rPr>
        <w:t>for PGW</w:t>
      </w:r>
      <w:r>
        <w:rPr>
          <w:sz w:val="26"/>
          <w:szCs w:val="26"/>
        </w:rPr>
        <w:t xml:space="preserve"> to accept an applicant’s service application under such circumstances.  </w:t>
      </w:r>
      <w:r w:rsidRPr="000C3CC3">
        <w:rPr>
          <w:sz w:val="26"/>
          <w:szCs w:val="26"/>
        </w:rPr>
        <w:t xml:space="preserve">We believe </w:t>
      </w:r>
      <w:r>
        <w:rPr>
          <w:sz w:val="26"/>
          <w:szCs w:val="26"/>
        </w:rPr>
        <w:t>it does not.</w:t>
      </w:r>
    </w:p>
  </w:footnote>
  <w:footnote w:id="15">
    <w:p w:rsidR="00D20C46" w:rsidRPr="00E61D57" w:rsidRDefault="00D20C46" w:rsidP="006D6995">
      <w:pPr>
        <w:pStyle w:val="ParaTab1"/>
        <w:keepNext/>
        <w:keepLines/>
        <w:suppressAutoHyphens w:val="0"/>
        <w:spacing w:after="120"/>
        <w:ind w:left="86" w:firstLine="0"/>
        <w:rPr>
          <w:rFonts w:ascii="Times New Roman" w:hAnsi="Times New Roman" w:cs="Times New Roman"/>
          <w:sz w:val="26"/>
          <w:szCs w:val="26"/>
        </w:rPr>
      </w:pPr>
      <w:r>
        <w:rPr>
          <w:rFonts w:ascii="Times New Roman" w:hAnsi="Times New Roman" w:cs="Times New Roman"/>
          <w:sz w:val="26"/>
          <w:szCs w:val="26"/>
        </w:rPr>
        <w:tab/>
      </w:r>
      <w:r w:rsidRPr="00E61D57">
        <w:rPr>
          <w:rStyle w:val="FootnoteReference"/>
          <w:rFonts w:ascii="Times New Roman" w:hAnsi="Times New Roman" w:cs="Times New Roman"/>
          <w:sz w:val="26"/>
          <w:szCs w:val="26"/>
        </w:rPr>
        <w:footnoteRef/>
      </w:r>
      <w:r w:rsidRPr="00E61D57">
        <w:rPr>
          <w:rFonts w:ascii="Times New Roman" w:hAnsi="Times New Roman" w:cs="Times New Roman"/>
          <w:sz w:val="26"/>
          <w:szCs w:val="26"/>
        </w:rPr>
        <w:t xml:space="preserve"> </w:t>
      </w:r>
      <w:r>
        <w:rPr>
          <w:rFonts w:ascii="Times New Roman" w:hAnsi="Times New Roman" w:cs="Times New Roman"/>
          <w:sz w:val="26"/>
          <w:szCs w:val="26"/>
        </w:rPr>
        <w:tab/>
      </w:r>
      <w:r w:rsidRPr="00E61D57">
        <w:rPr>
          <w:rFonts w:ascii="Times New Roman" w:hAnsi="Times New Roman" w:cs="Times New Roman"/>
          <w:sz w:val="26"/>
          <w:szCs w:val="26"/>
        </w:rPr>
        <w:t>The Public Utility Code at 66 Pa. C.S. §§1521-1533 sets forth the Commission</w:t>
      </w:r>
      <w:r>
        <w:rPr>
          <w:rFonts w:ascii="Times New Roman" w:hAnsi="Times New Roman" w:cs="Times New Roman"/>
          <w:sz w:val="26"/>
          <w:szCs w:val="26"/>
        </w:rPr>
        <w:t>’</w:t>
      </w:r>
      <w:r w:rsidRPr="00E61D57">
        <w:rPr>
          <w:rFonts w:ascii="Times New Roman" w:hAnsi="Times New Roman" w:cs="Times New Roman"/>
          <w:sz w:val="26"/>
          <w:szCs w:val="26"/>
        </w:rPr>
        <w:t xml:space="preserve">s authority </w:t>
      </w:r>
      <w:proofErr w:type="gramStart"/>
      <w:r w:rsidRPr="00E61D57">
        <w:rPr>
          <w:rFonts w:ascii="Times New Roman" w:hAnsi="Times New Roman" w:cs="Times New Roman"/>
          <w:sz w:val="26"/>
          <w:szCs w:val="26"/>
        </w:rPr>
        <w:t>with regard to</w:t>
      </w:r>
      <w:proofErr w:type="gramEnd"/>
      <w:r w:rsidRPr="00E61D57">
        <w:rPr>
          <w:rFonts w:ascii="Times New Roman" w:hAnsi="Times New Roman" w:cs="Times New Roman"/>
          <w:sz w:val="26"/>
          <w:szCs w:val="26"/>
        </w:rPr>
        <w:t xml:space="preserve"> utility service to leased premises.  </w:t>
      </w:r>
      <w:r w:rsidRPr="00E61D57">
        <w:rPr>
          <w:rFonts w:ascii="Times New Roman" w:hAnsi="Times New Roman" w:cs="Times New Roman"/>
          <w:i/>
          <w:sz w:val="26"/>
          <w:szCs w:val="26"/>
        </w:rPr>
        <w:t>Albright</w:t>
      </w:r>
      <w:r>
        <w:rPr>
          <w:rFonts w:ascii="Times New Roman" w:hAnsi="Times New Roman" w:cs="Times New Roman"/>
          <w:sz w:val="26"/>
          <w:szCs w:val="26"/>
        </w:rPr>
        <w:t xml:space="preserve">.  </w:t>
      </w:r>
      <w:r w:rsidRPr="00E61D57">
        <w:rPr>
          <w:rFonts w:ascii="Times New Roman" w:hAnsi="Times New Roman" w:cs="Times New Roman"/>
          <w:sz w:val="26"/>
          <w:szCs w:val="26"/>
        </w:rPr>
        <w:t xml:space="preserve">These statutory provisions do not authorize the Commission to resolve a dispute between a landlord and tenant over the terms of an oral lease.  </w:t>
      </w:r>
      <w:r w:rsidRPr="00E61D57">
        <w:rPr>
          <w:rFonts w:ascii="Times New Roman" w:hAnsi="Times New Roman" w:cs="Times New Roman"/>
          <w:i/>
          <w:sz w:val="26"/>
          <w:szCs w:val="26"/>
        </w:rPr>
        <w:t>Id</w:t>
      </w:r>
      <w:r>
        <w:rPr>
          <w:rFonts w:ascii="Times New Roman" w:hAnsi="Times New Roman" w:cs="Times New Roman"/>
          <w:sz w:val="26"/>
          <w:szCs w:val="26"/>
        </w:rPr>
        <w:t xml:space="preserve">.  </w:t>
      </w:r>
      <w:r w:rsidRPr="00E61D57">
        <w:rPr>
          <w:rFonts w:ascii="Times New Roman" w:hAnsi="Times New Roman" w:cs="Times New Roman"/>
          <w:sz w:val="26"/>
          <w:szCs w:val="26"/>
        </w:rPr>
        <w:t>The Commission, as a creation of the General Assembly, has only the powers and authority granted to it by the General Assembly contained in the Public Utility Code</w:t>
      </w:r>
      <w:r w:rsidRPr="00E61D57">
        <w:rPr>
          <w:rFonts w:ascii="Times New Roman" w:hAnsi="Times New Roman" w:cs="Times New Roman"/>
          <w:i/>
          <w:sz w:val="26"/>
          <w:szCs w:val="26"/>
        </w:rPr>
        <w:t xml:space="preserve">.  Tod and Lisa </w:t>
      </w:r>
      <w:proofErr w:type="spellStart"/>
      <w:r w:rsidRPr="00E61D57">
        <w:rPr>
          <w:rFonts w:ascii="Times New Roman" w:hAnsi="Times New Roman" w:cs="Times New Roman"/>
          <w:i/>
          <w:sz w:val="26"/>
          <w:szCs w:val="26"/>
        </w:rPr>
        <w:t>Shedlosky</w:t>
      </w:r>
      <w:proofErr w:type="spellEnd"/>
      <w:r w:rsidRPr="00E61D57">
        <w:rPr>
          <w:rFonts w:ascii="Times New Roman" w:hAnsi="Times New Roman" w:cs="Times New Roman"/>
          <w:i/>
          <w:sz w:val="26"/>
          <w:szCs w:val="26"/>
        </w:rPr>
        <w:t xml:space="preserve"> v. Pennsylvania Electric Co.</w:t>
      </w:r>
      <w:r w:rsidRPr="00E61D57">
        <w:rPr>
          <w:rFonts w:ascii="Times New Roman" w:hAnsi="Times New Roman" w:cs="Times New Roman"/>
          <w:sz w:val="26"/>
          <w:szCs w:val="26"/>
        </w:rPr>
        <w:t xml:space="preserve">, Docket No. C-20066937 (Order entered May 28, 2008); </w:t>
      </w:r>
      <w:r w:rsidRPr="00E61D57">
        <w:rPr>
          <w:rFonts w:ascii="Times New Roman" w:hAnsi="Times New Roman" w:cs="Times New Roman"/>
          <w:i/>
          <w:sz w:val="26"/>
          <w:szCs w:val="26"/>
        </w:rPr>
        <w:t>Feingold v. Bell Tel. Co. of Pa.</w:t>
      </w:r>
      <w:r>
        <w:rPr>
          <w:rFonts w:ascii="Times New Roman" w:hAnsi="Times New Roman" w:cs="Times New Roman"/>
          <w:sz w:val="26"/>
          <w:szCs w:val="26"/>
        </w:rPr>
        <w:t>, 383 A.2d 791 (Pa. 1977) (</w:t>
      </w:r>
      <w:r w:rsidRPr="00E61D57">
        <w:rPr>
          <w:rFonts w:ascii="Times New Roman" w:hAnsi="Times New Roman" w:cs="Times New Roman"/>
          <w:sz w:val="26"/>
          <w:szCs w:val="26"/>
        </w:rPr>
        <w:t>The Commission must act within, and cannot exceed, its jurisdiction</w:t>
      </w:r>
      <w:r>
        <w:rPr>
          <w:rFonts w:ascii="Times New Roman" w:hAnsi="Times New Roman" w:cs="Times New Roman"/>
          <w:sz w:val="26"/>
          <w:szCs w:val="26"/>
        </w:rPr>
        <w:t xml:space="preserve">); </w:t>
      </w:r>
      <w:r w:rsidRPr="00E61D57">
        <w:rPr>
          <w:rFonts w:ascii="Times New Roman" w:hAnsi="Times New Roman" w:cs="Times New Roman"/>
          <w:i/>
          <w:sz w:val="26"/>
          <w:szCs w:val="26"/>
        </w:rPr>
        <w:t>City of Pittsburgh v. Pennsylvania Pub. Util. Comm</w:t>
      </w:r>
      <w:r>
        <w:rPr>
          <w:rFonts w:ascii="Times New Roman" w:hAnsi="Times New Roman" w:cs="Times New Roman"/>
          <w:i/>
          <w:sz w:val="26"/>
          <w:szCs w:val="26"/>
        </w:rPr>
        <w:t>’</w:t>
      </w:r>
      <w:r w:rsidRPr="00E61D57">
        <w:rPr>
          <w:rFonts w:ascii="Times New Roman" w:hAnsi="Times New Roman" w:cs="Times New Roman"/>
          <w:i/>
          <w:sz w:val="26"/>
          <w:szCs w:val="26"/>
        </w:rPr>
        <w:t>n</w:t>
      </w:r>
      <w:r w:rsidRPr="00E61D57">
        <w:rPr>
          <w:rFonts w:ascii="Times New Roman" w:hAnsi="Times New Roman" w:cs="Times New Roman"/>
          <w:sz w:val="26"/>
          <w:szCs w:val="26"/>
        </w:rPr>
        <w:t xml:space="preserve">., 43 A.2d 348 (Pa Super. 1945) </w:t>
      </w:r>
      <w:r>
        <w:rPr>
          <w:rFonts w:ascii="Times New Roman" w:hAnsi="Times New Roman" w:cs="Times New Roman"/>
          <w:sz w:val="26"/>
          <w:szCs w:val="26"/>
        </w:rPr>
        <w:t>(</w:t>
      </w:r>
      <w:r w:rsidRPr="00E61D57">
        <w:rPr>
          <w:rFonts w:ascii="Times New Roman" w:hAnsi="Times New Roman" w:cs="Times New Roman"/>
          <w:sz w:val="26"/>
          <w:szCs w:val="26"/>
        </w:rPr>
        <w:t>Jurisdiction may not be conferred by the parties where none exists</w:t>
      </w:r>
      <w:r>
        <w:rPr>
          <w:rFonts w:ascii="Times New Roman" w:hAnsi="Times New Roman" w:cs="Times New Roman"/>
          <w:sz w:val="26"/>
          <w:szCs w:val="26"/>
        </w:rPr>
        <w:t xml:space="preserve">); </w:t>
      </w:r>
      <w:r w:rsidRPr="00E61D57">
        <w:rPr>
          <w:rFonts w:ascii="Times New Roman" w:hAnsi="Times New Roman" w:cs="Times New Roman"/>
          <w:i/>
          <w:sz w:val="26"/>
          <w:szCs w:val="26"/>
        </w:rPr>
        <w:t xml:space="preserve">Roberts v. </w:t>
      </w:r>
      <w:proofErr w:type="spellStart"/>
      <w:r w:rsidRPr="00E61D57">
        <w:rPr>
          <w:rFonts w:ascii="Times New Roman" w:hAnsi="Times New Roman" w:cs="Times New Roman"/>
          <w:i/>
          <w:sz w:val="26"/>
          <w:szCs w:val="26"/>
        </w:rPr>
        <w:t>Martorano</w:t>
      </w:r>
      <w:proofErr w:type="spellEnd"/>
      <w:r w:rsidRPr="00E61D57">
        <w:rPr>
          <w:rFonts w:ascii="Times New Roman" w:hAnsi="Times New Roman" w:cs="Times New Roman"/>
          <w:sz w:val="26"/>
          <w:szCs w:val="26"/>
        </w:rPr>
        <w:t xml:space="preserve">, 235 A.2d 602 (Pa. 1967) </w:t>
      </w:r>
      <w:r>
        <w:rPr>
          <w:rFonts w:ascii="Times New Roman" w:hAnsi="Times New Roman" w:cs="Times New Roman"/>
          <w:sz w:val="26"/>
          <w:szCs w:val="26"/>
        </w:rPr>
        <w:t>(</w:t>
      </w:r>
      <w:r w:rsidRPr="00E61D57">
        <w:rPr>
          <w:rFonts w:ascii="Times New Roman" w:hAnsi="Times New Roman" w:cs="Times New Roman"/>
          <w:sz w:val="26"/>
          <w:szCs w:val="26"/>
        </w:rPr>
        <w:t>Subject matter jurisdiction is a prerequisite to the exercise of power to decide a controversy</w:t>
      </w:r>
      <w:r>
        <w:rPr>
          <w:rFonts w:ascii="Times New Roman" w:hAnsi="Times New Roman" w:cs="Times New Roman"/>
          <w:sz w:val="26"/>
          <w:szCs w:val="26"/>
        </w:rPr>
        <w:t xml:space="preserve">); </w:t>
      </w:r>
      <w:r w:rsidRPr="00E61D57">
        <w:rPr>
          <w:rFonts w:ascii="Times New Roman" w:hAnsi="Times New Roman" w:cs="Times New Roman"/>
          <w:i/>
          <w:sz w:val="26"/>
          <w:szCs w:val="26"/>
        </w:rPr>
        <w:t>Hughes v. Pennsylvania</w:t>
      </w:r>
      <w:r w:rsidRPr="00E61D57">
        <w:rPr>
          <w:rFonts w:ascii="Times New Roman" w:hAnsi="Times New Roman" w:cs="Times New Roman"/>
          <w:sz w:val="26"/>
          <w:szCs w:val="26"/>
          <w:u w:val="single"/>
        </w:rPr>
        <w:t xml:space="preserve"> </w:t>
      </w:r>
      <w:r w:rsidRPr="00E61D57">
        <w:rPr>
          <w:rFonts w:ascii="Times New Roman" w:hAnsi="Times New Roman" w:cs="Times New Roman"/>
          <w:i/>
          <w:sz w:val="26"/>
          <w:szCs w:val="26"/>
        </w:rPr>
        <w:t>State Police</w:t>
      </w:r>
      <w:r w:rsidRPr="00E61D57">
        <w:rPr>
          <w:rFonts w:ascii="Times New Roman" w:hAnsi="Times New Roman" w:cs="Times New Roman"/>
          <w:sz w:val="26"/>
          <w:szCs w:val="26"/>
        </w:rPr>
        <w:t>, 6</w:t>
      </w:r>
      <w:r>
        <w:rPr>
          <w:rFonts w:ascii="Times New Roman" w:hAnsi="Times New Roman" w:cs="Times New Roman"/>
          <w:sz w:val="26"/>
          <w:szCs w:val="26"/>
        </w:rPr>
        <w:t xml:space="preserve">19 A.2d 390 (Pa. Cmwlth. 1992) </w:t>
      </w:r>
      <w:r w:rsidRPr="00E61D57">
        <w:rPr>
          <w:rFonts w:ascii="Times New Roman" w:hAnsi="Times New Roman" w:cs="Times New Roman"/>
          <w:i/>
          <w:sz w:val="26"/>
          <w:szCs w:val="26"/>
        </w:rPr>
        <w:t>alloc. denied</w:t>
      </w:r>
      <w:r w:rsidRPr="00E61D57">
        <w:rPr>
          <w:rFonts w:ascii="Times New Roman" w:hAnsi="Times New Roman" w:cs="Times New Roman"/>
          <w:sz w:val="26"/>
          <w:szCs w:val="26"/>
        </w:rPr>
        <w:t xml:space="preserve"> 637 A.2d 293 (Pa. 1993)</w:t>
      </w:r>
      <w:r>
        <w:rPr>
          <w:rFonts w:ascii="Times New Roman" w:hAnsi="Times New Roman" w:cs="Times New Roman"/>
          <w:sz w:val="26"/>
          <w:szCs w:val="26"/>
        </w:rPr>
        <w:t>.</w:t>
      </w:r>
    </w:p>
    <w:p w:rsidR="00D20C46" w:rsidRDefault="00D20C46" w:rsidP="006D6995">
      <w:pPr>
        <w:pStyle w:val="FootnoteText"/>
        <w:keepNext/>
        <w:keepLines/>
        <w:widowControl/>
        <w:spacing w:after="120"/>
      </w:pPr>
    </w:p>
  </w:footnote>
  <w:footnote w:id="16">
    <w:p w:rsidR="00D20C46" w:rsidRPr="00160BB1" w:rsidRDefault="00D20C46" w:rsidP="006D6995">
      <w:pPr>
        <w:keepNext/>
        <w:keepLines/>
        <w:widowControl/>
        <w:spacing w:after="120"/>
        <w:ind w:firstLine="720"/>
        <w:rPr>
          <w:sz w:val="26"/>
          <w:szCs w:val="26"/>
        </w:rPr>
      </w:pPr>
      <w:r w:rsidRPr="003779B3">
        <w:rPr>
          <w:rStyle w:val="FootnoteReference"/>
          <w:sz w:val="26"/>
          <w:szCs w:val="26"/>
        </w:rPr>
        <w:footnoteRef/>
      </w:r>
      <w:r>
        <w:tab/>
      </w:r>
      <w:r w:rsidRPr="00B246F9">
        <w:rPr>
          <w:sz w:val="26"/>
          <w:szCs w:val="26"/>
        </w:rPr>
        <w:t>A</w:t>
      </w:r>
      <w:r>
        <w:rPr>
          <w:sz w:val="26"/>
          <w:szCs w:val="26"/>
        </w:rPr>
        <w:t>ny adjudication as to the Complainant’s allegations raises a due process question of whether it would be necessary to join the Tenant as an indispensable party to this proceeding, since such a decision would hold the Tenant responsible for a portion of the account arrearage due to a finding of fact that she utilized the entire building for a residential purpose, to the full exclusion of the property owner or property manager.  We previously indicated the problems associated with implementing the foreign load rules in such a way that would require the Commission to</w:t>
      </w:r>
      <w:r w:rsidRPr="00251135">
        <w:rPr>
          <w:sz w:val="26"/>
          <w:szCs w:val="26"/>
        </w:rPr>
        <w:t xml:space="preserve"> gain personal jurisdiction over a tenant in a complaint proceeding against a utility</w:t>
      </w:r>
      <w:r>
        <w:rPr>
          <w:sz w:val="26"/>
          <w:szCs w:val="26"/>
        </w:rPr>
        <w:t xml:space="preserve">.  </w:t>
      </w:r>
      <w:r w:rsidRPr="003779B3">
        <w:rPr>
          <w:i/>
          <w:sz w:val="26"/>
          <w:szCs w:val="26"/>
        </w:rPr>
        <w:t>See Ace Check Cashing</w:t>
      </w:r>
      <w:r>
        <w:rPr>
          <w:sz w:val="26"/>
          <w:szCs w:val="26"/>
        </w:rPr>
        <w:t xml:space="preserve"> (citing </w:t>
      </w:r>
      <w:proofErr w:type="spellStart"/>
      <w:r w:rsidRPr="003779B3">
        <w:rPr>
          <w:i/>
          <w:sz w:val="26"/>
          <w:szCs w:val="26"/>
        </w:rPr>
        <w:t>Afshari</w:t>
      </w:r>
      <w:proofErr w:type="spellEnd"/>
      <w:r>
        <w:rPr>
          <w:sz w:val="26"/>
          <w:szCs w:val="26"/>
        </w:rPr>
        <w:t>).</w:t>
      </w:r>
    </w:p>
  </w:footnote>
  <w:footnote w:id="17">
    <w:p w:rsidR="00D20C46" w:rsidRPr="00963C50" w:rsidRDefault="00D20C46" w:rsidP="006D6995">
      <w:pPr>
        <w:pStyle w:val="FootnoteText"/>
        <w:keepNext/>
        <w:keepLines/>
        <w:widowControl/>
        <w:spacing w:after="120"/>
        <w:ind w:firstLine="720"/>
        <w:rPr>
          <w:sz w:val="26"/>
          <w:szCs w:val="26"/>
        </w:rPr>
      </w:pPr>
      <w:r w:rsidRPr="00963C50">
        <w:rPr>
          <w:rStyle w:val="FootnoteReference"/>
          <w:sz w:val="26"/>
          <w:szCs w:val="26"/>
        </w:rPr>
        <w:footnoteRef/>
      </w:r>
      <w:r>
        <w:rPr>
          <w:sz w:val="26"/>
          <w:szCs w:val="26"/>
        </w:rPr>
        <w:tab/>
      </w:r>
      <w:r w:rsidRPr="00963C50">
        <w:rPr>
          <w:sz w:val="26"/>
          <w:szCs w:val="26"/>
        </w:rPr>
        <w:t>We note here that the Complainant</w:t>
      </w:r>
      <w:r>
        <w:rPr>
          <w:sz w:val="26"/>
          <w:szCs w:val="26"/>
        </w:rPr>
        <w:t>’</w:t>
      </w:r>
      <w:r w:rsidRPr="00963C50">
        <w:rPr>
          <w:sz w:val="26"/>
          <w:szCs w:val="26"/>
        </w:rPr>
        <w:t>s own testimo</w:t>
      </w:r>
      <w:r>
        <w:rPr>
          <w:sz w:val="26"/>
          <w:szCs w:val="26"/>
        </w:rPr>
        <w:t xml:space="preserve">ny in this proceeding regarding her daughter, </w:t>
      </w:r>
      <w:r w:rsidRPr="00160BB1">
        <w:rPr>
          <w:i/>
          <w:sz w:val="26"/>
          <w:szCs w:val="26"/>
        </w:rPr>
        <w:t>see e.g</w:t>
      </w:r>
      <w:r>
        <w:rPr>
          <w:sz w:val="26"/>
          <w:szCs w:val="26"/>
        </w:rPr>
        <w:t xml:space="preserve">. Tr. at 11, 22, 23, requires the fact-finder to give appropriate weight to the Complainant’s testimony in this proceeding as to her knowledge of whether her daughter was wholly denied access to the building.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97B4E"/>
    <w:multiLevelType w:val="hybridMultilevel"/>
    <w:tmpl w:val="5E08B748"/>
    <w:lvl w:ilvl="0" w:tplc="E32E0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640D18"/>
    <w:multiLevelType w:val="hybridMultilevel"/>
    <w:tmpl w:val="7DF45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DD774E"/>
    <w:multiLevelType w:val="hybridMultilevel"/>
    <w:tmpl w:val="04A8157C"/>
    <w:lvl w:ilvl="0" w:tplc="07E67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93AA2"/>
    <w:multiLevelType w:val="hybridMultilevel"/>
    <w:tmpl w:val="60865E96"/>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7FD5DA5"/>
    <w:multiLevelType w:val="hybridMultilevel"/>
    <w:tmpl w:val="D2C2FC4C"/>
    <w:lvl w:ilvl="0" w:tplc="CF92B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F9E3701"/>
    <w:multiLevelType w:val="hybridMultilevel"/>
    <w:tmpl w:val="5E4ACBD6"/>
    <w:lvl w:ilvl="0" w:tplc="47CAA2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FE4AD6"/>
    <w:multiLevelType w:val="hybridMultilevel"/>
    <w:tmpl w:val="B148AC8C"/>
    <w:lvl w:ilvl="0" w:tplc="E4121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632FF9"/>
    <w:multiLevelType w:val="hybridMultilevel"/>
    <w:tmpl w:val="8BEC7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8"/>
  </w:num>
  <w:num w:numId="6">
    <w:abstractNumId w:val="9"/>
  </w:num>
  <w:num w:numId="7">
    <w:abstractNumId w:val="11"/>
  </w:num>
  <w:num w:numId="8">
    <w:abstractNumId w:val="10"/>
  </w:num>
  <w:num w:numId="9">
    <w:abstractNumId w:val="5"/>
  </w:num>
  <w:num w:numId="10">
    <w:abstractNumId w:val="12"/>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D47"/>
    <w:rsid w:val="0000153D"/>
    <w:rsid w:val="00001FC8"/>
    <w:rsid w:val="00004D03"/>
    <w:rsid w:val="00005318"/>
    <w:rsid w:val="000065FB"/>
    <w:rsid w:val="00006685"/>
    <w:rsid w:val="000066AF"/>
    <w:rsid w:val="00006A65"/>
    <w:rsid w:val="00006F35"/>
    <w:rsid w:val="00006FEE"/>
    <w:rsid w:val="0000721A"/>
    <w:rsid w:val="00007AF7"/>
    <w:rsid w:val="00007C8F"/>
    <w:rsid w:val="00007ECA"/>
    <w:rsid w:val="00010063"/>
    <w:rsid w:val="00011F31"/>
    <w:rsid w:val="00013358"/>
    <w:rsid w:val="000134F0"/>
    <w:rsid w:val="00013CFF"/>
    <w:rsid w:val="00013D74"/>
    <w:rsid w:val="00014749"/>
    <w:rsid w:val="00014E95"/>
    <w:rsid w:val="00016B09"/>
    <w:rsid w:val="00016B6D"/>
    <w:rsid w:val="00016D57"/>
    <w:rsid w:val="00016D8B"/>
    <w:rsid w:val="00017852"/>
    <w:rsid w:val="0002018B"/>
    <w:rsid w:val="000205C8"/>
    <w:rsid w:val="00020E4A"/>
    <w:rsid w:val="00020EF6"/>
    <w:rsid w:val="0002111A"/>
    <w:rsid w:val="00021E46"/>
    <w:rsid w:val="00022B71"/>
    <w:rsid w:val="00022B74"/>
    <w:rsid w:val="0002315D"/>
    <w:rsid w:val="00023177"/>
    <w:rsid w:val="00023F01"/>
    <w:rsid w:val="000244E7"/>
    <w:rsid w:val="00024F85"/>
    <w:rsid w:val="0002501D"/>
    <w:rsid w:val="0002524C"/>
    <w:rsid w:val="00025B48"/>
    <w:rsid w:val="00025F3F"/>
    <w:rsid w:val="000265DE"/>
    <w:rsid w:val="00026CD2"/>
    <w:rsid w:val="00027221"/>
    <w:rsid w:val="00030DBB"/>
    <w:rsid w:val="00030F6D"/>
    <w:rsid w:val="000318E7"/>
    <w:rsid w:val="0003264E"/>
    <w:rsid w:val="00033512"/>
    <w:rsid w:val="000338FE"/>
    <w:rsid w:val="00033D2F"/>
    <w:rsid w:val="0003481E"/>
    <w:rsid w:val="00034FAE"/>
    <w:rsid w:val="0003571C"/>
    <w:rsid w:val="000359E1"/>
    <w:rsid w:val="00035A3B"/>
    <w:rsid w:val="00036207"/>
    <w:rsid w:val="00036284"/>
    <w:rsid w:val="00036509"/>
    <w:rsid w:val="00037341"/>
    <w:rsid w:val="00037FC0"/>
    <w:rsid w:val="00040A8E"/>
    <w:rsid w:val="00040AEA"/>
    <w:rsid w:val="00043B16"/>
    <w:rsid w:val="000441C7"/>
    <w:rsid w:val="00044CDF"/>
    <w:rsid w:val="0004513A"/>
    <w:rsid w:val="00045800"/>
    <w:rsid w:val="00045AE7"/>
    <w:rsid w:val="00046FD4"/>
    <w:rsid w:val="00047874"/>
    <w:rsid w:val="00047F4A"/>
    <w:rsid w:val="00050276"/>
    <w:rsid w:val="00050AE3"/>
    <w:rsid w:val="0005113F"/>
    <w:rsid w:val="000517D4"/>
    <w:rsid w:val="000523D1"/>
    <w:rsid w:val="00052B8F"/>
    <w:rsid w:val="0005346D"/>
    <w:rsid w:val="000536BC"/>
    <w:rsid w:val="00054612"/>
    <w:rsid w:val="00054D58"/>
    <w:rsid w:val="0005572E"/>
    <w:rsid w:val="00055D78"/>
    <w:rsid w:val="00056286"/>
    <w:rsid w:val="0005733E"/>
    <w:rsid w:val="00060887"/>
    <w:rsid w:val="00060ADE"/>
    <w:rsid w:val="000612FD"/>
    <w:rsid w:val="00061350"/>
    <w:rsid w:val="000623C6"/>
    <w:rsid w:val="0006356A"/>
    <w:rsid w:val="000642AA"/>
    <w:rsid w:val="000649EC"/>
    <w:rsid w:val="0006573B"/>
    <w:rsid w:val="00065C39"/>
    <w:rsid w:val="00065D0D"/>
    <w:rsid w:val="000660A5"/>
    <w:rsid w:val="00066157"/>
    <w:rsid w:val="00066EE5"/>
    <w:rsid w:val="00067260"/>
    <w:rsid w:val="00067F78"/>
    <w:rsid w:val="000715E8"/>
    <w:rsid w:val="00071993"/>
    <w:rsid w:val="0007209F"/>
    <w:rsid w:val="00072808"/>
    <w:rsid w:val="000728E5"/>
    <w:rsid w:val="00072B4E"/>
    <w:rsid w:val="0007521D"/>
    <w:rsid w:val="000753F6"/>
    <w:rsid w:val="000754DF"/>
    <w:rsid w:val="00076F35"/>
    <w:rsid w:val="0007772F"/>
    <w:rsid w:val="00081416"/>
    <w:rsid w:val="00082796"/>
    <w:rsid w:val="00083125"/>
    <w:rsid w:val="0008379F"/>
    <w:rsid w:val="00083ADC"/>
    <w:rsid w:val="00084573"/>
    <w:rsid w:val="0008490E"/>
    <w:rsid w:val="00084AF9"/>
    <w:rsid w:val="00085B98"/>
    <w:rsid w:val="00085E78"/>
    <w:rsid w:val="00087299"/>
    <w:rsid w:val="000878C9"/>
    <w:rsid w:val="000918D4"/>
    <w:rsid w:val="00093164"/>
    <w:rsid w:val="000932ED"/>
    <w:rsid w:val="00093941"/>
    <w:rsid w:val="00094851"/>
    <w:rsid w:val="0009612D"/>
    <w:rsid w:val="00096756"/>
    <w:rsid w:val="00096EA0"/>
    <w:rsid w:val="00096F08"/>
    <w:rsid w:val="00097504"/>
    <w:rsid w:val="0009774B"/>
    <w:rsid w:val="00097907"/>
    <w:rsid w:val="000A013F"/>
    <w:rsid w:val="000A06E0"/>
    <w:rsid w:val="000A09E4"/>
    <w:rsid w:val="000A1358"/>
    <w:rsid w:val="000A31C6"/>
    <w:rsid w:val="000A35C0"/>
    <w:rsid w:val="000A365D"/>
    <w:rsid w:val="000A443E"/>
    <w:rsid w:val="000A4F2E"/>
    <w:rsid w:val="000A6282"/>
    <w:rsid w:val="000A76C2"/>
    <w:rsid w:val="000B1D37"/>
    <w:rsid w:val="000B216D"/>
    <w:rsid w:val="000B2755"/>
    <w:rsid w:val="000B2C2F"/>
    <w:rsid w:val="000B363C"/>
    <w:rsid w:val="000B38B3"/>
    <w:rsid w:val="000B41CC"/>
    <w:rsid w:val="000B4EAE"/>
    <w:rsid w:val="000B5206"/>
    <w:rsid w:val="000B5238"/>
    <w:rsid w:val="000B5FF8"/>
    <w:rsid w:val="000B607A"/>
    <w:rsid w:val="000B67D4"/>
    <w:rsid w:val="000B6B15"/>
    <w:rsid w:val="000B72CF"/>
    <w:rsid w:val="000B7419"/>
    <w:rsid w:val="000C07BC"/>
    <w:rsid w:val="000C0DC3"/>
    <w:rsid w:val="000C1B19"/>
    <w:rsid w:val="000C1F6C"/>
    <w:rsid w:val="000C2083"/>
    <w:rsid w:val="000C2AE3"/>
    <w:rsid w:val="000C31E4"/>
    <w:rsid w:val="000C3CC3"/>
    <w:rsid w:val="000C4BEC"/>
    <w:rsid w:val="000C4E08"/>
    <w:rsid w:val="000C55F5"/>
    <w:rsid w:val="000C5927"/>
    <w:rsid w:val="000C605A"/>
    <w:rsid w:val="000C67F5"/>
    <w:rsid w:val="000C709A"/>
    <w:rsid w:val="000C70D9"/>
    <w:rsid w:val="000C7255"/>
    <w:rsid w:val="000C79A7"/>
    <w:rsid w:val="000D008C"/>
    <w:rsid w:val="000D01E0"/>
    <w:rsid w:val="000D02FE"/>
    <w:rsid w:val="000D0A77"/>
    <w:rsid w:val="000D298E"/>
    <w:rsid w:val="000D29C8"/>
    <w:rsid w:val="000D2DDC"/>
    <w:rsid w:val="000D3CAA"/>
    <w:rsid w:val="000D3E1C"/>
    <w:rsid w:val="000D5BBA"/>
    <w:rsid w:val="000D60AA"/>
    <w:rsid w:val="000D62EB"/>
    <w:rsid w:val="000D6D8C"/>
    <w:rsid w:val="000D6E1E"/>
    <w:rsid w:val="000E0295"/>
    <w:rsid w:val="000E2782"/>
    <w:rsid w:val="000E290C"/>
    <w:rsid w:val="000E3874"/>
    <w:rsid w:val="000E6481"/>
    <w:rsid w:val="000E6CBE"/>
    <w:rsid w:val="000E6DC6"/>
    <w:rsid w:val="000F0263"/>
    <w:rsid w:val="000F0313"/>
    <w:rsid w:val="000F05EE"/>
    <w:rsid w:val="000F090A"/>
    <w:rsid w:val="000F179E"/>
    <w:rsid w:val="000F1DC2"/>
    <w:rsid w:val="000F27FE"/>
    <w:rsid w:val="000F2DE3"/>
    <w:rsid w:val="000F34D4"/>
    <w:rsid w:val="000F4307"/>
    <w:rsid w:val="000F4A97"/>
    <w:rsid w:val="000F7199"/>
    <w:rsid w:val="001006A8"/>
    <w:rsid w:val="00100A7C"/>
    <w:rsid w:val="00100F06"/>
    <w:rsid w:val="00100F96"/>
    <w:rsid w:val="00101387"/>
    <w:rsid w:val="0010147F"/>
    <w:rsid w:val="0010158F"/>
    <w:rsid w:val="001017F6"/>
    <w:rsid w:val="00101F51"/>
    <w:rsid w:val="00101F7F"/>
    <w:rsid w:val="001026CA"/>
    <w:rsid w:val="00102921"/>
    <w:rsid w:val="00102A7F"/>
    <w:rsid w:val="00102EED"/>
    <w:rsid w:val="001035AF"/>
    <w:rsid w:val="00103797"/>
    <w:rsid w:val="0010425F"/>
    <w:rsid w:val="00104BD4"/>
    <w:rsid w:val="00104D61"/>
    <w:rsid w:val="00104D9B"/>
    <w:rsid w:val="00105659"/>
    <w:rsid w:val="00105C8E"/>
    <w:rsid w:val="001062CD"/>
    <w:rsid w:val="00106312"/>
    <w:rsid w:val="00107388"/>
    <w:rsid w:val="00107C8D"/>
    <w:rsid w:val="0011031B"/>
    <w:rsid w:val="001106DA"/>
    <w:rsid w:val="001129F3"/>
    <w:rsid w:val="00112B9D"/>
    <w:rsid w:val="00112E9E"/>
    <w:rsid w:val="00112FDA"/>
    <w:rsid w:val="001138D3"/>
    <w:rsid w:val="00113E16"/>
    <w:rsid w:val="00114656"/>
    <w:rsid w:val="00114D37"/>
    <w:rsid w:val="00115B4A"/>
    <w:rsid w:val="0011757D"/>
    <w:rsid w:val="00117A05"/>
    <w:rsid w:val="00117CB2"/>
    <w:rsid w:val="00120B39"/>
    <w:rsid w:val="00120B8F"/>
    <w:rsid w:val="00120CC2"/>
    <w:rsid w:val="00120D10"/>
    <w:rsid w:val="00121167"/>
    <w:rsid w:val="00123510"/>
    <w:rsid w:val="0012370F"/>
    <w:rsid w:val="001238E5"/>
    <w:rsid w:val="001239CD"/>
    <w:rsid w:val="00123A2E"/>
    <w:rsid w:val="0012403F"/>
    <w:rsid w:val="00124071"/>
    <w:rsid w:val="001242EE"/>
    <w:rsid w:val="00124F46"/>
    <w:rsid w:val="001253FB"/>
    <w:rsid w:val="001266DB"/>
    <w:rsid w:val="001267D4"/>
    <w:rsid w:val="0012696F"/>
    <w:rsid w:val="00126D31"/>
    <w:rsid w:val="00127062"/>
    <w:rsid w:val="001303B4"/>
    <w:rsid w:val="0013269E"/>
    <w:rsid w:val="00134395"/>
    <w:rsid w:val="0013448D"/>
    <w:rsid w:val="00135972"/>
    <w:rsid w:val="00135A5B"/>
    <w:rsid w:val="001360FC"/>
    <w:rsid w:val="001367B4"/>
    <w:rsid w:val="001400A9"/>
    <w:rsid w:val="00140843"/>
    <w:rsid w:val="0014096A"/>
    <w:rsid w:val="001414CD"/>
    <w:rsid w:val="00141790"/>
    <w:rsid w:val="00142CF7"/>
    <w:rsid w:val="00142E02"/>
    <w:rsid w:val="001445FA"/>
    <w:rsid w:val="001447A0"/>
    <w:rsid w:val="0014497F"/>
    <w:rsid w:val="00144F43"/>
    <w:rsid w:val="00145197"/>
    <w:rsid w:val="00146677"/>
    <w:rsid w:val="00146DDD"/>
    <w:rsid w:val="00146E58"/>
    <w:rsid w:val="00147145"/>
    <w:rsid w:val="001476D4"/>
    <w:rsid w:val="00150096"/>
    <w:rsid w:val="001505D6"/>
    <w:rsid w:val="001508E4"/>
    <w:rsid w:val="00150D48"/>
    <w:rsid w:val="00150EFD"/>
    <w:rsid w:val="001513B6"/>
    <w:rsid w:val="001515A8"/>
    <w:rsid w:val="001526C2"/>
    <w:rsid w:val="00152DFB"/>
    <w:rsid w:val="0015313A"/>
    <w:rsid w:val="0015380A"/>
    <w:rsid w:val="00153A46"/>
    <w:rsid w:val="00153BA4"/>
    <w:rsid w:val="00153ECC"/>
    <w:rsid w:val="001542D1"/>
    <w:rsid w:val="00154CB6"/>
    <w:rsid w:val="00156329"/>
    <w:rsid w:val="001568FD"/>
    <w:rsid w:val="00157C29"/>
    <w:rsid w:val="00160BB1"/>
    <w:rsid w:val="00160EC5"/>
    <w:rsid w:val="00161DCF"/>
    <w:rsid w:val="00163D79"/>
    <w:rsid w:val="00164390"/>
    <w:rsid w:val="001645C9"/>
    <w:rsid w:val="00164D32"/>
    <w:rsid w:val="00164DA4"/>
    <w:rsid w:val="00164F5E"/>
    <w:rsid w:val="00166298"/>
    <w:rsid w:val="001663C8"/>
    <w:rsid w:val="00167CF6"/>
    <w:rsid w:val="001708CA"/>
    <w:rsid w:val="00171F3E"/>
    <w:rsid w:val="001720EE"/>
    <w:rsid w:val="0017211B"/>
    <w:rsid w:val="001725C3"/>
    <w:rsid w:val="001728FC"/>
    <w:rsid w:val="00172A96"/>
    <w:rsid w:val="00172AB2"/>
    <w:rsid w:val="00172D08"/>
    <w:rsid w:val="00173C6C"/>
    <w:rsid w:val="00174D11"/>
    <w:rsid w:val="00174D3D"/>
    <w:rsid w:val="00174E3F"/>
    <w:rsid w:val="00175FA8"/>
    <w:rsid w:val="001767E8"/>
    <w:rsid w:val="0017682B"/>
    <w:rsid w:val="00177F78"/>
    <w:rsid w:val="001806BE"/>
    <w:rsid w:val="00180956"/>
    <w:rsid w:val="00181222"/>
    <w:rsid w:val="00181696"/>
    <w:rsid w:val="00181B19"/>
    <w:rsid w:val="00182478"/>
    <w:rsid w:val="00182607"/>
    <w:rsid w:val="0018274A"/>
    <w:rsid w:val="001831AC"/>
    <w:rsid w:val="0018480F"/>
    <w:rsid w:val="0018583E"/>
    <w:rsid w:val="00185B0D"/>
    <w:rsid w:val="001861CF"/>
    <w:rsid w:val="00186A97"/>
    <w:rsid w:val="00187930"/>
    <w:rsid w:val="00190992"/>
    <w:rsid w:val="00191763"/>
    <w:rsid w:val="00191953"/>
    <w:rsid w:val="00191CD5"/>
    <w:rsid w:val="001921E7"/>
    <w:rsid w:val="001936B5"/>
    <w:rsid w:val="00193A02"/>
    <w:rsid w:val="00193E56"/>
    <w:rsid w:val="00194940"/>
    <w:rsid w:val="00194E02"/>
    <w:rsid w:val="0019530E"/>
    <w:rsid w:val="001953A4"/>
    <w:rsid w:val="00195C58"/>
    <w:rsid w:val="00195D34"/>
    <w:rsid w:val="00195F2E"/>
    <w:rsid w:val="00196538"/>
    <w:rsid w:val="00197829"/>
    <w:rsid w:val="001A15A6"/>
    <w:rsid w:val="001A16F3"/>
    <w:rsid w:val="001A280F"/>
    <w:rsid w:val="001A378E"/>
    <w:rsid w:val="001A3FBE"/>
    <w:rsid w:val="001A4BA0"/>
    <w:rsid w:val="001A7282"/>
    <w:rsid w:val="001B0C20"/>
    <w:rsid w:val="001B0C7B"/>
    <w:rsid w:val="001B1151"/>
    <w:rsid w:val="001B1DB4"/>
    <w:rsid w:val="001B2603"/>
    <w:rsid w:val="001B2A79"/>
    <w:rsid w:val="001B4B66"/>
    <w:rsid w:val="001B5865"/>
    <w:rsid w:val="001B590E"/>
    <w:rsid w:val="001B59F0"/>
    <w:rsid w:val="001B685C"/>
    <w:rsid w:val="001B6DA6"/>
    <w:rsid w:val="001B71D7"/>
    <w:rsid w:val="001C0027"/>
    <w:rsid w:val="001C0809"/>
    <w:rsid w:val="001C0ACD"/>
    <w:rsid w:val="001C1183"/>
    <w:rsid w:val="001C12C6"/>
    <w:rsid w:val="001C1F06"/>
    <w:rsid w:val="001C4978"/>
    <w:rsid w:val="001C550C"/>
    <w:rsid w:val="001C5CC1"/>
    <w:rsid w:val="001C7AAE"/>
    <w:rsid w:val="001D0C76"/>
    <w:rsid w:val="001D0ED2"/>
    <w:rsid w:val="001D1115"/>
    <w:rsid w:val="001D14A3"/>
    <w:rsid w:val="001D1D6B"/>
    <w:rsid w:val="001D1E5E"/>
    <w:rsid w:val="001D25B9"/>
    <w:rsid w:val="001D25F3"/>
    <w:rsid w:val="001D2CF4"/>
    <w:rsid w:val="001D3751"/>
    <w:rsid w:val="001D38E9"/>
    <w:rsid w:val="001D4BB5"/>
    <w:rsid w:val="001D530A"/>
    <w:rsid w:val="001D537B"/>
    <w:rsid w:val="001D5C5B"/>
    <w:rsid w:val="001D6778"/>
    <w:rsid w:val="001D69F4"/>
    <w:rsid w:val="001E0B61"/>
    <w:rsid w:val="001E1276"/>
    <w:rsid w:val="001E1FD6"/>
    <w:rsid w:val="001E2949"/>
    <w:rsid w:val="001E3A79"/>
    <w:rsid w:val="001E3B93"/>
    <w:rsid w:val="001E46CE"/>
    <w:rsid w:val="001E54E4"/>
    <w:rsid w:val="001E60EE"/>
    <w:rsid w:val="001E6885"/>
    <w:rsid w:val="001F0509"/>
    <w:rsid w:val="001F217E"/>
    <w:rsid w:val="001F2614"/>
    <w:rsid w:val="001F285E"/>
    <w:rsid w:val="001F2AF7"/>
    <w:rsid w:val="001F2D64"/>
    <w:rsid w:val="001F33A6"/>
    <w:rsid w:val="001F3C5D"/>
    <w:rsid w:val="001F4115"/>
    <w:rsid w:val="001F41E8"/>
    <w:rsid w:val="001F43D6"/>
    <w:rsid w:val="001F4BCA"/>
    <w:rsid w:val="001F67C2"/>
    <w:rsid w:val="001F71D1"/>
    <w:rsid w:val="00200203"/>
    <w:rsid w:val="00200AE5"/>
    <w:rsid w:val="00202524"/>
    <w:rsid w:val="00202A4F"/>
    <w:rsid w:val="00202B57"/>
    <w:rsid w:val="0020314A"/>
    <w:rsid w:val="0020328C"/>
    <w:rsid w:val="00203F94"/>
    <w:rsid w:val="00204DE2"/>
    <w:rsid w:val="00204F57"/>
    <w:rsid w:val="0020580B"/>
    <w:rsid w:val="00206160"/>
    <w:rsid w:val="0020644D"/>
    <w:rsid w:val="00206592"/>
    <w:rsid w:val="0020679B"/>
    <w:rsid w:val="00207A51"/>
    <w:rsid w:val="00210736"/>
    <w:rsid w:val="00210F81"/>
    <w:rsid w:val="00211169"/>
    <w:rsid w:val="0021126B"/>
    <w:rsid w:val="00211622"/>
    <w:rsid w:val="00211F24"/>
    <w:rsid w:val="002127D0"/>
    <w:rsid w:val="00213022"/>
    <w:rsid w:val="00213C5D"/>
    <w:rsid w:val="00214045"/>
    <w:rsid w:val="002143F6"/>
    <w:rsid w:val="00214B3E"/>
    <w:rsid w:val="00214D24"/>
    <w:rsid w:val="00214E5F"/>
    <w:rsid w:val="00215537"/>
    <w:rsid w:val="00215C08"/>
    <w:rsid w:val="0021693E"/>
    <w:rsid w:val="0021698B"/>
    <w:rsid w:val="00216A86"/>
    <w:rsid w:val="0022004A"/>
    <w:rsid w:val="002212FA"/>
    <w:rsid w:val="00221533"/>
    <w:rsid w:val="00221BF0"/>
    <w:rsid w:val="00221F1A"/>
    <w:rsid w:val="002224A0"/>
    <w:rsid w:val="00222521"/>
    <w:rsid w:val="002226C9"/>
    <w:rsid w:val="00223CD5"/>
    <w:rsid w:val="00223FD1"/>
    <w:rsid w:val="00224286"/>
    <w:rsid w:val="0022698E"/>
    <w:rsid w:val="002276B4"/>
    <w:rsid w:val="00227912"/>
    <w:rsid w:val="00227A47"/>
    <w:rsid w:val="0023005D"/>
    <w:rsid w:val="002305D8"/>
    <w:rsid w:val="002306C9"/>
    <w:rsid w:val="002311C3"/>
    <w:rsid w:val="002311EE"/>
    <w:rsid w:val="00233488"/>
    <w:rsid w:val="00233C05"/>
    <w:rsid w:val="00234273"/>
    <w:rsid w:val="002370F5"/>
    <w:rsid w:val="00237E48"/>
    <w:rsid w:val="00237E60"/>
    <w:rsid w:val="0024007E"/>
    <w:rsid w:val="002406C6"/>
    <w:rsid w:val="0024088A"/>
    <w:rsid w:val="00240ACA"/>
    <w:rsid w:val="00240D7B"/>
    <w:rsid w:val="00241299"/>
    <w:rsid w:val="002414DC"/>
    <w:rsid w:val="00241E7B"/>
    <w:rsid w:val="00242B89"/>
    <w:rsid w:val="00242E1C"/>
    <w:rsid w:val="0024399A"/>
    <w:rsid w:val="00244EBA"/>
    <w:rsid w:val="00245C30"/>
    <w:rsid w:val="00246C59"/>
    <w:rsid w:val="00247743"/>
    <w:rsid w:val="00247FD8"/>
    <w:rsid w:val="00250A1F"/>
    <w:rsid w:val="00251135"/>
    <w:rsid w:val="00251717"/>
    <w:rsid w:val="00251918"/>
    <w:rsid w:val="0025304F"/>
    <w:rsid w:val="0025401F"/>
    <w:rsid w:val="00254995"/>
    <w:rsid w:val="00255462"/>
    <w:rsid w:val="00256233"/>
    <w:rsid w:val="002569E0"/>
    <w:rsid w:val="00256BA9"/>
    <w:rsid w:val="00257D32"/>
    <w:rsid w:val="00257E52"/>
    <w:rsid w:val="002602CF"/>
    <w:rsid w:val="00260957"/>
    <w:rsid w:val="00261410"/>
    <w:rsid w:val="00262D9F"/>
    <w:rsid w:val="00263945"/>
    <w:rsid w:val="002643F9"/>
    <w:rsid w:val="00264646"/>
    <w:rsid w:val="002647A5"/>
    <w:rsid w:val="00265564"/>
    <w:rsid w:val="002669CA"/>
    <w:rsid w:val="00266B00"/>
    <w:rsid w:val="00266D46"/>
    <w:rsid w:val="00267188"/>
    <w:rsid w:val="00267B63"/>
    <w:rsid w:val="00270455"/>
    <w:rsid w:val="00270DFB"/>
    <w:rsid w:val="00271BBD"/>
    <w:rsid w:val="0027212B"/>
    <w:rsid w:val="0027232D"/>
    <w:rsid w:val="00272BD5"/>
    <w:rsid w:val="00274D0F"/>
    <w:rsid w:val="00274E95"/>
    <w:rsid w:val="00275037"/>
    <w:rsid w:val="00276FF2"/>
    <w:rsid w:val="002773BA"/>
    <w:rsid w:val="00277500"/>
    <w:rsid w:val="00277BF4"/>
    <w:rsid w:val="002808ED"/>
    <w:rsid w:val="00281229"/>
    <w:rsid w:val="0028125E"/>
    <w:rsid w:val="002818FA"/>
    <w:rsid w:val="00281A5F"/>
    <w:rsid w:val="00283539"/>
    <w:rsid w:val="00283F71"/>
    <w:rsid w:val="00285073"/>
    <w:rsid w:val="002859FB"/>
    <w:rsid w:val="00285A8E"/>
    <w:rsid w:val="00285C52"/>
    <w:rsid w:val="002869B5"/>
    <w:rsid w:val="00286E8E"/>
    <w:rsid w:val="0028701F"/>
    <w:rsid w:val="00287681"/>
    <w:rsid w:val="0028789A"/>
    <w:rsid w:val="00287EF7"/>
    <w:rsid w:val="00290362"/>
    <w:rsid w:val="00291F2F"/>
    <w:rsid w:val="00291F68"/>
    <w:rsid w:val="0029235E"/>
    <w:rsid w:val="00292A29"/>
    <w:rsid w:val="00292D44"/>
    <w:rsid w:val="00293416"/>
    <w:rsid w:val="0029353A"/>
    <w:rsid w:val="00294BD5"/>
    <w:rsid w:val="0029672A"/>
    <w:rsid w:val="00296998"/>
    <w:rsid w:val="00297B94"/>
    <w:rsid w:val="00297F04"/>
    <w:rsid w:val="002A060A"/>
    <w:rsid w:val="002A0A86"/>
    <w:rsid w:val="002A110B"/>
    <w:rsid w:val="002A2BEB"/>
    <w:rsid w:val="002A4450"/>
    <w:rsid w:val="002A52A5"/>
    <w:rsid w:val="002A5A20"/>
    <w:rsid w:val="002A60F1"/>
    <w:rsid w:val="002A6750"/>
    <w:rsid w:val="002A73C6"/>
    <w:rsid w:val="002B1529"/>
    <w:rsid w:val="002B2296"/>
    <w:rsid w:val="002B28A9"/>
    <w:rsid w:val="002B3040"/>
    <w:rsid w:val="002B3184"/>
    <w:rsid w:val="002B333B"/>
    <w:rsid w:val="002B3FF4"/>
    <w:rsid w:val="002B4407"/>
    <w:rsid w:val="002B67B7"/>
    <w:rsid w:val="002C0238"/>
    <w:rsid w:val="002C0429"/>
    <w:rsid w:val="002C16BE"/>
    <w:rsid w:val="002C19E4"/>
    <w:rsid w:val="002C1CAB"/>
    <w:rsid w:val="002C1CCB"/>
    <w:rsid w:val="002C257A"/>
    <w:rsid w:val="002C3439"/>
    <w:rsid w:val="002C3676"/>
    <w:rsid w:val="002C4049"/>
    <w:rsid w:val="002C4894"/>
    <w:rsid w:val="002C62F0"/>
    <w:rsid w:val="002C645E"/>
    <w:rsid w:val="002C6CC4"/>
    <w:rsid w:val="002C7166"/>
    <w:rsid w:val="002C7582"/>
    <w:rsid w:val="002C7958"/>
    <w:rsid w:val="002D083C"/>
    <w:rsid w:val="002D0A42"/>
    <w:rsid w:val="002D13C4"/>
    <w:rsid w:val="002D1717"/>
    <w:rsid w:val="002D1791"/>
    <w:rsid w:val="002D275E"/>
    <w:rsid w:val="002D2977"/>
    <w:rsid w:val="002D2A1D"/>
    <w:rsid w:val="002D2B52"/>
    <w:rsid w:val="002D313F"/>
    <w:rsid w:val="002D3FE3"/>
    <w:rsid w:val="002D4AF5"/>
    <w:rsid w:val="002D5106"/>
    <w:rsid w:val="002D5320"/>
    <w:rsid w:val="002D5966"/>
    <w:rsid w:val="002D5B4B"/>
    <w:rsid w:val="002D6357"/>
    <w:rsid w:val="002D6B96"/>
    <w:rsid w:val="002D7584"/>
    <w:rsid w:val="002D78D8"/>
    <w:rsid w:val="002D7925"/>
    <w:rsid w:val="002D7A10"/>
    <w:rsid w:val="002E01A0"/>
    <w:rsid w:val="002E039A"/>
    <w:rsid w:val="002E0A68"/>
    <w:rsid w:val="002E0FA9"/>
    <w:rsid w:val="002E28F9"/>
    <w:rsid w:val="002E2BE4"/>
    <w:rsid w:val="002E3026"/>
    <w:rsid w:val="002E3598"/>
    <w:rsid w:val="002E3B57"/>
    <w:rsid w:val="002E3F06"/>
    <w:rsid w:val="002E48BF"/>
    <w:rsid w:val="002E4A4B"/>
    <w:rsid w:val="002E5203"/>
    <w:rsid w:val="002E5839"/>
    <w:rsid w:val="002E64EB"/>
    <w:rsid w:val="002E6FFA"/>
    <w:rsid w:val="002E71C6"/>
    <w:rsid w:val="002E7BAB"/>
    <w:rsid w:val="002E7DA8"/>
    <w:rsid w:val="002E7F8F"/>
    <w:rsid w:val="002F112F"/>
    <w:rsid w:val="002F1A77"/>
    <w:rsid w:val="002F24F7"/>
    <w:rsid w:val="002F3B28"/>
    <w:rsid w:val="002F3F04"/>
    <w:rsid w:val="002F41BA"/>
    <w:rsid w:val="002F57B8"/>
    <w:rsid w:val="002F6016"/>
    <w:rsid w:val="002F662D"/>
    <w:rsid w:val="002F6D85"/>
    <w:rsid w:val="002F7249"/>
    <w:rsid w:val="002F750E"/>
    <w:rsid w:val="00300AD2"/>
    <w:rsid w:val="00300C2E"/>
    <w:rsid w:val="00300D18"/>
    <w:rsid w:val="003018AA"/>
    <w:rsid w:val="00302D56"/>
    <w:rsid w:val="00303B99"/>
    <w:rsid w:val="00304507"/>
    <w:rsid w:val="00305057"/>
    <w:rsid w:val="003054A7"/>
    <w:rsid w:val="00306602"/>
    <w:rsid w:val="0030714F"/>
    <w:rsid w:val="003073E2"/>
    <w:rsid w:val="00307DDF"/>
    <w:rsid w:val="00307FE7"/>
    <w:rsid w:val="00310BE7"/>
    <w:rsid w:val="00311568"/>
    <w:rsid w:val="00311F5D"/>
    <w:rsid w:val="003125E3"/>
    <w:rsid w:val="00312C45"/>
    <w:rsid w:val="003134B2"/>
    <w:rsid w:val="00313706"/>
    <w:rsid w:val="00313AA9"/>
    <w:rsid w:val="00313B09"/>
    <w:rsid w:val="003141F1"/>
    <w:rsid w:val="00314341"/>
    <w:rsid w:val="0031436C"/>
    <w:rsid w:val="0031448D"/>
    <w:rsid w:val="00314A43"/>
    <w:rsid w:val="00314B79"/>
    <w:rsid w:val="00315102"/>
    <w:rsid w:val="00315A0E"/>
    <w:rsid w:val="00315B64"/>
    <w:rsid w:val="00315ED2"/>
    <w:rsid w:val="003169F2"/>
    <w:rsid w:val="00316B06"/>
    <w:rsid w:val="00320FE4"/>
    <w:rsid w:val="00322040"/>
    <w:rsid w:val="0032289C"/>
    <w:rsid w:val="00323400"/>
    <w:rsid w:val="00324038"/>
    <w:rsid w:val="003240B8"/>
    <w:rsid w:val="003250C7"/>
    <w:rsid w:val="003252DE"/>
    <w:rsid w:val="00325422"/>
    <w:rsid w:val="003258AF"/>
    <w:rsid w:val="00325BAD"/>
    <w:rsid w:val="003268C2"/>
    <w:rsid w:val="00326BC5"/>
    <w:rsid w:val="003276D8"/>
    <w:rsid w:val="003301F2"/>
    <w:rsid w:val="00331EB6"/>
    <w:rsid w:val="0033369D"/>
    <w:rsid w:val="00333B52"/>
    <w:rsid w:val="00333FDA"/>
    <w:rsid w:val="003340DE"/>
    <w:rsid w:val="00334887"/>
    <w:rsid w:val="003359B5"/>
    <w:rsid w:val="00336277"/>
    <w:rsid w:val="0033657E"/>
    <w:rsid w:val="00337887"/>
    <w:rsid w:val="00337BCB"/>
    <w:rsid w:val="00337D33"/>
    <w:rsid w:val="00340799"/>
    <w:rsid w:val="00340D19"/>
    <w:rsid w:val="0034190B"/>
    <w:rsid w:val="00341E74"/>
    <w:rsid w:val="00342956"/>
    <w:rsid w:val="00343EC0"/>
    <w:rsid w:val="00344804"/>
    <w:rsid w:val="00345071"/>
    <w:rsid w:val="00346357"/>
    <w:rsid w:val="003468E7"/>
    <w:rsid w:val="00346C09"/>
    <w:rsid w:val="00346C47"/>
    <w:rsid w:val="00346DC4"/>
    <w:rsid w:val="00347A1F"/>
    <w:rsid w:val="0035069B"/>
    <w:rsid w:val="003510FF"/>
    <w:rsid w:val="003518C8"/>
    <w:rsid w:val="0035225F"/>
    <w:rsid w:val="00352BC7"/>
    <w:rsid w:val="0035338B"/>
    <w:rsid w:val="003533B5"/>
    <w:rsid w:val="00353CE3"/>
    <w:rsid w:val="0035400F"/>
    <w:rsid w:val="003542D3"/>
    <w:rsid w:val="003553F8"/>
    <w:rsid w:val="00355A2F"/>
    <w:rsid w:val="00355D2B"/>
    <w:rsid w:val="00356024"/>
    <w:rsid w:val="0035728C"/>
    <w:rsid w:val="0036063F"/>
    <w:rsid w:val="00360D87"/>
    <w:rsid w:val="003619F1"/>
    <w:rsid w:val="00361DD8"/>
    <w:rsid w:val="00361F8D"/>
    <w:rsid w:val="003622CA"/>
    <w:rsid w:val="003629F0"/>
    <w:rsid w:val="00363030"/>
    <w:rsid w:val="00363CC9"/>
    <w:rsid w:val="00364206"/>
    <w:rsid w:val="0036462C"/>
    <w:rsid w:val="00364A42"/>
    <w:rsid w:val="00364CC8"/>
    <w:rsid w:val="003653A1"/>
    <w:rsid w:val="003674CA"/>
    <w:rsid w:val="003677FB"/>
    <w:rsid w:val="00367AA0"/>
    <w:rsid w:val="003708B3"/>
    <w:rsid w:val="003715B3"/>
    <w:rsid w:val="0037170C"/>
    <w:rsid w:val="00372221"/>
    <w:rsid w:val="0037276C"/>
    <w:rsid w:val="0037352F"/>
    <w:rsid w:val="00373AB4"/>
    <w:rsid w:val="00374099"/>
    <w:rsid w:val="003743C4"/>
    <w:rsid w:val="0037451A"/>
    <w:rsid w:val="003755FB"/>
    <w:rsid w:val="0037577C"/>
    <w:rsid w:val="00377862"/>
    <w:rsid w:val="003779B3"/>
    <w:rsid w:val="00377A3A"/>
    <w:rsid w:val="00377E89"/>
    <w:rsid w:val="00380438"/>
    <w:rsid w:val="0038188D"/>
    <w:rsid w:val="00382138"/>
    <w:rsid w:val="00382EFA"/>
    <w:rsid w:val="003835DA"/>
    <w:rsid w:val="0038366C"/>
    <w:rsid w:val="00383B99"/>
    <w:rsid w:val="003841E8"/>
    <w:rsid w:val="00384AEA"/>
    <w:rsid w:val="00385502"/>
    <w:rsid w:val="00385526"/>
    <w:rsid w:val="003857E9"/>
    <w:rsid w:val="00385CFF"/>
    <w:rsid w:val="003863E7"/>
    <w:rsid w:val="003865C9"/>
    <w:rsid w:val="003866CA"/>
    <w:rsid w:val="003868B1"/>
    <w:rsid w:val="003874D7"/>
    <w:rsid w:val="003904F7"/>
    <w:rsid w:val="0039070E"/>
    <w:rsid w:val="0039085E"/>
    <w:rsid w:val="00390BC3"/>
    <w:rsid w:val="00391838"/>
    <w:rsid w:val="00391A43"/>
    <w:rsid w:val="00391CAA"/>
    <w:rsid w:val="00391E59"/>
    <w:rsid w:val="003933D9"/>
    <w:rsid w:val="003943C4"/>
    <w:rsid w:val="00396541"/>
    <w:rsid w:val="003966E7"/>
    <w:rsid w:val="00396ADF"/>
    <w:rsid w:val="003A0814"/>
    <w:rsid w:val="003A0A0B"/>
    <w:rsid w:val="003A17D8"/>
    <w:rsid w:val="003A1A55"/>
    <w:rsid w:val="003A31BD"/>
    <w:rsid w:val="003A3C44"/>
    <w:rsid w:val="003A4DC8"/>
    <w:rsid w:val="003A534F"/>
    <w:rsid w:val="003A5623"/>
    <w:rsid w:val="003A5D40"/>
    <w:rsid w:val="003A64D0"/>
    <w:rsid w:val="003A7E3A"/>
    <w:rsid w:val="003B0611"/>
    <w:rsid w:val="003B0D66"/>
    <w:rsid w:val="003B0D72"/>
    <w:rsid w:val="003B21FE"/>
    <w:rsid w:val="003B26B5"/>
    <w:rsid w:val="003B2CB6"/>
    <w:rsid w:val="003B3617"/>
    <w:rsid w:val="003B38FD"/>
    <w:rsid w:val="003B390C"/>
    <w:rsid w:val="003B42D9"/>
    <w:rsid w:val="003B4854"/>
    <w:rsid w:val="003B615B"/>
    <w:rsid w:val="003B6F16"/>
    <w:rsid w:val="003B7849"/>
    <w:rsid w:val="003C06D8"/>
    <w:rsid w:val="003C1B32"/>
    <w:rsid w:val="003C29DA"/>
    <w:rsid w:val="003C3140"/>
    <w:rsid w:val="003C3E02"/>
    <w:rsid w:val="003C3FE8"/>
    <w:rsid w:val="003C403E"/>
    <w:rsid w:val="003C73F9"/>
    <w:rsid w:val="003C7940"/>
    <w:rsid w:val="003D0DCD"/>
    <w:rsid w:val="003D14F8"/>
    <w:rsid w:val="003D2011"/>
    <w:rsid w:val="003D2152"/>
    <w:rsid w:val="003D2225"/>
    <w:rsid w:val="003D2F73"/>
    <w:rsid w:val="003D31F0"/>
    <w:rsid w:val="003D330B"/>
    <w:rsid w:val="003D3C95"/>
    <w:rsid w:val="003D3FE9"/>
    <w:rsid w:val="003D5F07"/>
    <w:rsid w:val="003D69C7"/>
    <w:rsid w:val="003D6AB5"/>
    <w:rsid w:val="003D6B41"/>
    <w:rsid w:val="003E02E7"/>
    <w:rsid w:val="003E065D"/>
    <w:rsid w:val="003E071C"/>
    <w:rsid w:val="003E1A44"/>
    <w:rsid w:val="003E3FF5"/>
    <w:rsid w:val="003E4B34"/>
    <w:rsid w:val="003E5354"/>
    <w:rsid w:val="003E5C36"/>
    <w:rsid w:val="003E6D0D"/>
    <w:rsid w:val="003F0693"/>
    <w:rsid w:val="003F1ED1"/>
    <w:rsid w:val="003F222B"/>
    <w:rsid w:val="003F2DF5"/>
    <w:rsid w:val="003F4215"/>
    <w:rsid w:val="003F4AEE"/>
    <w:rsid w:val="003F51F4"/>
    <w:rsid w:val="003F52C6"/>
    <w:rsid w:val="003F558E"/>
    <w:rsid w:val="003F6377"/>
    <w:rsid w:val="003F6692"/>
    <w:rsid w:val="003F683A"/>
    <w:rsid w:val="003F7285"/>
    <w:rsid w:val="003F775C"/>
    <w:rsid w:val="003F7B70"/>
    <w:rsid w:val="003F7DA1"/>
    <w:rsid w:val="00400634"/>
    <w:rsid w:val="00400801"/>
    <w:rsid w:val="00400C54"/>
    <w:rsid w:val="00400E66"/>
    <w:rsid w:val="00401D61"/>
    <w:rsid w:val="00403D6E"/>
    <w:rsid w:val="00404147"/>
    <w:rsid w:val="00405083"/>
    <w:rsid w:val="00405690"/>
    <w:rsid w:val="004064EA"/>
    <w:rsid w:val="00406607"/>
    <w:rsid w:val="00406897"/>
    <w:rsid w:val="00407AC0"/>
    <w:rsid w:val="00411814"/>
    <w:rsid w:val="00412E30"/>
    <w:rsid w:val="00412F8D"/>
    <w:rsid w:val="00413B67"/>
    <w:rsid w:val="00413BEB"/>
    <w:rsid w:val="00413FA9"/>
    <w:rsid w:val="0041471B"/>
    <w:rsid w:val="00414907"/>
    <w:rsid w:val="00414DFE"/>
    <w:rsid w:val="004150EB"/>
    <w:rsid w:val="00415231"/>
    <w:rsid w:val="00415341"/>
    <w:rsid w:val="0041543C"/>
    <w:rsid w:val="00415B78"/>
    <w:rsid w:val="00415DBD"/>
    <w:rsid w:val="004166BD"/>
    <w:rsid w:val="004169A6"/>
    <w:rsid w:val="00416B4E"/>
    <w:rsid w:val="004170AF"/>
    <w:rsid w:val="004175A1"/>
    <w:rsid w:val="00420672"/>
    <w:rsid w:val="004222F5"/>
    <w:rsid w:val="00422C55"/>
    <w:rsid w:val="00423004"/>
    <w:rsid w:val="00423B1B"/>
    <w:rsid w:val="00424655"/>
    <w:rsid w:val="00425200"/>
    <w:rsid w:val="00425698"/>
    <w:rsid w:val="00425ED2"/>
    <w:rsid w:val="00426FA7"/>
    <w:rsid w:val="00427540"/>
    <w:rsid w:val="00427BEA"/>
    <w:rsid w:val="00431C4F"/>
    <w:rsid w:val="00432BB7"/>
    <w:rsid w:val="004331E9"/>
    <w:rsid w:val="00433E8D"/>
    <w:rsid w:val="00434A60"/>
    <w:rsid w:val="00434E88"/>
    <w:rsid w:val="0043541B"/>
    <w:rsid w:val="0043592C"/>
    <w:rsid w:val="00436217"/>
    <w:rsid w:val="00436AA3"/>
    <w:rsid w:val="00437FD8"/>
    <w:rsid w:val="0044061D"/>
    <w:rsid w:val="004411B9"/>
    <w:rsid w:val="00441207"/>
    <w:rsid w:val="00441462"/>
    <w:rsid w:val="004421E4"/>
    <w:rsid w:val="004422CA"/>
    <w:rsid w:val="00443807"/>
    <w:rsid w:val="00443FF8"/>
    <w:rsid w:val="004449AC"/>
    <w:rsid w:val="00445B6C"/>
    <w:rsid w:val="004462F7"/>
    <w:rsid w:val="004469EC"/>
    <w:rsid w:val="00450337"/>
    <w:rsid w:val="004507ED"/>
    <w:rsid w:val="004516D0"/>
    <w:rsid w:val="00453420"/>
    <w:rsid w:val="004535BF"/>
    <w:rsid w:val="00454A43"/>
    <w:rsid w:val="00454BA4"/>
    <w:rsid w:val="00454F06"/>
    <w:rsid w:val="00455094"/>
    <w:rsid w:val="00455FA6"/>
    <w:rsid w:val="0045650D"/>
    <w:rsid w:val="00457E8A"/>
    <w:rsid w:val="0046019D"/>
    <w:rsid w:val="004628D5"/>
    <w:rsid w:val="00462FBF"/>
    <w:rsid w:val="00464494"/>
    <w:rsid w:val="00464536"/>
    <w:rsid w:val="004645C7"/>
    <w:rsid w:val="0046514E"/>
    <w:rsid w:val="004652EA"/>
    <w:rsid w:val="00465716"/>
    <w:rsid w:val="00465BAB"/>
    <w:rsid w:val="0046623C"/>
    <w:rsid w:val="00466E85"/>
    <w:rsid w:val="00467739"/>
    <w:rsid w:val="00470391"/>
    <w:rsid w:val="00470CA1"/>
    <w:rsid w:val="00470D0C"/>
    <w:rsid w:val="004735E2"/>
    <w:rsid w:val="00474E22"/>
    <w:rsid w:val="00475D86"/>
    <w:rsid w:val="0047608F"/>
    <w:rsid w:val="004762EF"/>
    <w:rsid w:val="00476554"/>
    <w:rsid w:val="004765F6"/>
    <w:rsid w:val="004770D4"/>
    <w:rsid w:val="004770EB"/>
    <w:rsid w:val="00477324"/>
    <w:rsid w:val="0047739F"/>
    <w:rsid w:val="00480B95"/>
    <w:rsid w:val="004813D4"/>
    <w:rsid w:val="00482DB7"/>
    <w:rsid w:val="00483108"/>
    <w:rsid w:val="00483A31"/>
    <w:rsid w:val="00485279"/>
    <w:rsid w:val="00485445"/>
    <w:rsid w:val="00486C39"/>
    <w:rsid w:val="00487DD5"/>
    <w:rsid w:val="0049036B"/>
    <w:rsid w:val="00490751"/>
    <w:rsid w:val="004912CE"/>
    <w:rsid w:val="00491D91"/>
    <w:rsid w:val="0049250C"/>
    <w:rsid w:val="00492DCE"/>
    <w:rsid w:val="00493345"/>
    <w:rsid w:val="00493A18"/>
    <w:rsid w:val="00494891"/>
    <w:rsid w:val="00494DBC"/>
    <w:rsid w:val="0049580C"/>
    <w:rsid w:val="00495A2A"/>
    <w:rsid w:val="00496874"/>
    <w:rsid w:val="0049768F"/>
    <w:rsid w:val="00497AF9"/>
    <w:rsid w:val="00497E91"/>
    <w:rsid w:val="004A0430"/>
    <w:rsid w:val="004A04E5"/>
    <w:rsid w:val="004A0768"/>
    <w:rsid w:val="004A13AE"/>
    <w:rsid w:val="004A1495"/>
    <w:rsid w:val="004A17BE"/>
    <w:rsid w:val="004A1D54"/>
    <w:rsid w:val="004A2089"/>
    <w:rsid w:val="004A2165"/>
    <w:rsid w:val="004A3760"/>
    <w:rsid w:val="004A3B4E"/>
    <w:rsid w:val="004A3E61"/>
    <w:rsid w:val="004A4512"/>
    <w:rsid w:val="004A491B"/>
    <w:rsid w:val="004A4993"/>
    <w:rsid w:val="004A5084"/>
    <w:rsid w:val="004A5F74"/>
    <w:rsid w:val="004A6345"/>
    <w:rsid w:val="004A7071"/>
    <w:rsid w:val="004A7A59"/>
    <w:rsid w:val="004A7F04"/>
    <w:rsid w:val="004B0043"/>
    <w:rsid w:val="004B1052"/>
    <w:rsid w:val="004B1A48"/>
    <w:rsid w:val="004B35AF"/>
    <w:rsid w:val="004B3EEA"/>
    <w:rsid w:val="004B5E17"/>
    <w:rsid w:val="004B604A"/>
    <w:rsid w:val="004B68E4"/>
    <w:rsid w:val="004B6A8C"/>
    <w:rsid w:val="004B6B14"/>
    <w:rsid w:val="004C07BB"/>
    <w:rsid w:val="004C171E"/>
    <w:rsid w:val="004C3390"/>
    <w:rsid w:val="004C3AD9"/>
    <w:rsid w:val="004C4E4F"/>
    <w:rsid w:val="004C68A0"/>
    <w:rsid w:val="004C748A"/>
    <w:rsid w:val="004D0D5A"/>
    <w:rsid w:val="004D0E10"/>
    <w:rsid w:val="004D1201"/>
    <w:rsid w:val="004D1D7C"/>
    <w:rsid w:val="004D227B"/>
    <w:rsid w:val="004D2D46"/>
    <w:rsid w:val="004D3155"/>
    <w:rsid w:val="004D3E98"/>
    <w:rsid w:val="004D5EDC"/>
    <w:rsid w:val="004D6236"/>
    <w:rsid w:val="004D6925"/>
    <w:rsid w:val="004D696F"/>
    <w:rsid w:val="004E1BB9"/>
    <w:rsid w:val="004E1E3C"/>
    <w:rsid w:val="004E47EC"/>
    <w:rsid w:val="004E4B99"/>
    <w:rsid w:val="004E510B"/>
    <w:rsid w:val="004E514F"/>
    <w:rsid w:val="004E6287"/>
    <w:rsid w:val="004E6E06"/>
    <w:rsid w:val="004E737F"/>
    <w:rsid w:val="004E7873"/>
    <w:rsid w:val="004E7D5B"/>
    <w:rsid w:val="004F03DE"/>
    <w:rsid w:val="004F1622"/>
    <w:rsid w:val="004F1674"/>
    <w:rsid w:val="004F1863"/>
    <w:rsid w:val="004F22DA"/>
    <w:rsid w:val="004F2512"/>
    <w:rsid w:val="004F2B86"/>
    <w:rsid w:val="004F2FD2"/>
    <w:rsid w:val="004F332A"/>
    <w:rsid w:val="004F40B5"/>
    <w:rsid w:val="004F4187"/>
    <w:rsid w:val="004F42F6"/>
    <w:rsid w:val="004F50B8"/>
    <w:rsid w:val="004F547D"/>
    <w:rsid w:val="0050074B"/>
    <w:rsid w:val="00500E33"/>
    <w:rsid w:val="00500E5D"/>
    <w:rsid w:val="00501808"/>
    <w:rsid w:val="00502165"/>
    <w:rsid w:val="00502360"/>
    <w:rsid w:val="00502F00"/>
    <w:rsid w:val="00503BED"/>
    <w:rsid w:val="0050458B"/>
    <w:rsid w:val="00504834"/>
    <w:rsid w:val="00504C7A"/>
    <w:rsid w:val="00505AEE"/>
    <w:rsid w:val="00505FDF"/>
    <w:rsid w:val="0050632E"/>
    <w:rsid w:val="0050752D"/>
    <w:rsid w:val="00510512"/>
    <w:rsid w:val="00510733"/>
    <w:rsid w:val="0051132E"/>
    <w:rsid w:val="00511B9A"/>
    <w:rsid w:val="00511EF3"/>
    <w:rsid w:val="00512540"/>
    <w:rsid w:val="00512613"/>
    <w:rsid w:val="00513441"/>
    <w:rsid w:val="0051380C"/>
    <w:rsid w:val="00513C84"/>
    <w:rsid w:val="00514507"/>
    <w:rsid w:val="005148C2"/>
    <w:rsid w:val="005153E0"/>
    <w:rsid w:val="005153F5"/>
    <w:rsid w:val="00515715"/>
    <w:rsid w:val="0051670B"/>
    <w:rsid w:val="00520805"/>
    <w:rsid w:val="00521350"/>
    <w:rsid w:val="005218D6"/>
    <w:rsid w:val="00522216"/>
    <w:rsid w:val="0052317D"/>
    <w:rsid w:val="00523398"/>
    <w:rsid w:val="00523C94"/>
    <w:rsid w:val="005246E6"/>
    <w:rsid w:val="00525849"/>
    <w:rsid w:val="005269E6"/>
    <w:rsid w:val="005271CB"/>
    <w:rsid w:val="00527312"/>
    <w:rsid w:val="00530BFA"/>
    <w:rsid w:val="00530EE7"/>
    <w:rsid w:val="0053112A"/>
    <w:rsid w:val="00532271"/>
    <w:rsid w:val="005337CF"/>
    <w:rsid w:val="00533AFF"/>
    <w:rsid w:val="00533DAD"/>
    <w:rsid w:val="00534488"/>
    <w:rsid w:val="0053484E"/>
    <w:rsid w:val="005351B9"/>
    <w:rsid w:val="00536011"/>
    <w:rsid w:val="00536C67"/>
    <w:rsid w:val="00536E6B"/>
    <w:rsid w:val="00537F9D"/>
    <w:rsid w:val="00540006"/>
    <w:rsid w:val="00540072"/>
    <w:rsid w:val="00540823"/>
    <w:rsid w:val="00540DBF"/>
    <w:rsid w:val="005435B7"/>
    <w:rsid w:val="00543903"/>
    <w:rsid w:val="00543C89"/>
    <w:rsid w:val="0054498C"/>
    <w:rsid w:val="00545A45"/>
    <w:rsid w:val="00545DB1"/>
    <w:rsid w:val="0054638A"/>
    <w:rsid w:val="0054659E"/>
    <w:rsid w:val="00546890"/>
    <w:rsid w:val="00547606"/>
    <w:rsid w:val="005500C7"/>
    <w:rsid w:val="00550B79"/>
    <w:rsid w:val="0055150B"/>
    <w:rsid w:val="005519A7"/>
    <w:rsid w:val="0055315B"/>
    <w:rsid w:val="005532F9"/>
    <w:rsid w:val="00553D4D"/>
    <w:rsid w:val="005541A7"/>
    <w:rsid w:val="0055440B"/>
    <w:rsid w:val="00555742"/>
    <w:rsid w:val="0055708D"/>
    <w:rsid w:val="00557A3A"/>
    <w:rsid w:val="00557CE7"/>
    <w:rsid w:val="00557D45"/>
    <w:rsid w:val="00560BD7"/>
    <w:rsid w:val="00561C90"/>
    <w:rsid w:val="00561CA6"/>
    <w:rsid w:val="00562087"/>
    <w:rsid w:val="0056249B"/>
    <w:rsid w:val="005624BD"/>
    <w:rsid w:val="00562E45"/>
    <w:rsid w:val="00562F0D"/>
    <w:rsid w:val="0056331B"/>
    <w:rsid w:val="00563A02"/>
    <w:rsid w:val="00564265"/>
    <w:rsid w:val="00564565"/>
    <w:rsid w:val="005647BE"/>
    <w:rsid w:val="00564A12"/>
    <w:rsid w:val="00564D44"/>
    <w:rsid w:val="00565FD3"/>
    <w:rsid w:val="00566299"/>
    <w:rsid w:val="00566B47"/>
    <w:rsid w:val="0057006E"/>
    <w:rsid w:val="00570BE1"/>
    <w:rsid w:val="00571B4B"/>
    <w:rsid w:val="005722F6"/>
    <w:rsid w:val="005725F6"/>
    <w:rsid w:val="005749CC"/>
    <w:rsid w:val="00574DB8"/>
    <w:rsid w:val="00576197"/>
    <w:rsid w:val="005770C8"/>
    <w:rsid w:val="005802AF"/>
    <w:rsid w:val="00580B7A"/>
    <w:rsid w:val="00581E5F"/>
    <w:rsid w:val="005829DD"/>
    <w:rsid w:val="00582EDE"/>
    <w:rsid w:val="00583C85"/>
    <w:rsid w:val="00585FDF"/>
    <w:rsid w:val="00586817"/>
    <w:rsid w:val="00586D92"/>
    <w:rsid w:val="00586FB7"/>
    <w:rsid w:val="005871CB"/>
    <w:rsid w:val="00587507"/>
    <w:rsid w:val="005878A0"/>
    <w:rsid w:val="00587939"/>
    <w:rsid w:val="005907F6"/>
    <w:rsid w:val="005910D7"/>
    <w:rsid w:val="005921BF"/>
    <w:rsid w:val="00592710"/>
    <w:rsid w:val="00593755"/>
    <w:rsid w:val="005944B1"/>
    <w:rsid w:val="0059458B"/>
    <w:rsid w:val="005951F1"/>
    <w:rsid w:val="00595D46"/>
    <w:rsid w:val="00596A0B"/>
    <w:rsid w:val="00596E05"/>
    <w:rsid w:val="00596F85"/>
    <w:rsid w:val="005970FA"/>
    <w:rsid w:val="005A0176"/>
    <w:rsid w:val="005A088E"/>
    <w:rsid w:val="005A139C"/>
    <w:rsid w:val="005A17FF"/>
    <w:rsid w:val="005A1EE8"/>
    <w:rsid w:val="005A2298"/>
    <w:rsid w:val="005A28C1"/>
    <w:rsid w:val="005A30B1"/>
    <w:rsid w:val="005A3309"/>
    <w:rsid w:val="005A6837"/>
    <w:rsid w:val="005A6E97"/>
    <w:rsid w:val="005A72FC"/>
    <w:rsid w:val="005A7CA8"/>
    <w:rsid w:val="005B0388"/>
    <w:rsid w:val="005B109A"/>
    <w:rsid w:val="005B197F"/>
    <w:rsid w:val="005B2038"/>
    <w:rsid w:val="005B28C5"/>
    <w:rsid w:val="005B3718"/>
    <w:rsid w:val="005B4076"/>
    <w:rsid w:val="005B4219"/>
    <w:rsid w:val="005B470D"/>
    <w:rsid w:val="005B48B7"/>
    <w:rsid w:val="005B5D1F"/>
    <w:rsid w:val="005B6E15"/>
    <w:rsid w:val="005B71EC"/>
    <w:rsid w:val="005C0E58"/>
    <w:rsid w:val="005C10E3"/>
    <w:rsid w:val="005C147B"/>
    <w:rsid w:val="005C25D3"/>
    <w:rsid w:val="005C2FD5"/>
    <w:rsid w:val="005C31EB"/>
    <w:rsid w:val="005C399D"/>
    <w:rsid w:val="005C3F25"/>
    <w:rsid w:val="005C3F5A"/>
    <w:rsid w:val="005C47C8"/>
    <w:rsid w:val="005C4894"/>
    <w:rsid w:val="005C4C87"/>
    <w:rsid w:val="005C4EB8"/>
    <w:rsid w:val="005C4EC6"/>
    <w:rsid w:val="005C4EFD"/>
    <w:rsid w:val="005C5378"/>
    <w:rsid w:val="005C581D"/>
    <w:rsid w:val="005C70B8"/>
    <w:rsid w:val="005C7D2F"/>
    <w:rsid w:val="005D0F13"/>
    <w:rsid w:val="005D160A"/>
    <w:rsid w:val="005D1C9C"/>
    <w:rsid w:val="005D2AB9"/>
    <w:rsid w:val="005D30B3"/>
    <w:rsid w:val="005D34E2"/>
    <w:rsid w:val="005D3978"/>
    <w:rsid w:val="005D4178"/>
    <w:rsid w:val="005D496E"/>
    <w:rsid w:val="005D4B0B"/>
    <w:rsid w:val="005D4CDC"/>
    <w:rsid w:val="005D56DA"/>
    <w:rsid w:val="005D5941"/>
    <w:rsid w:val="005D7C20"/>
    <w:rsid w:val="005E0C1B"/>
    <w:rsid w:val="005E0D41"/>
    <w:rsid w:val="005E0DCB"/>
    <w:rsid w:val="005E19AF"/>
    <w:rsid w:val="005E241A"/>
    <w:rsid w:val="005E2EDE"/>
    <w:rsid w:val="005E3FBB"/>
    <w:rsid w:val="005E47FB"/>
    <w:rsid w:val="005E49A6"/>
    <w:rsid w:val="005E5108"/>
    <w:rsid w:val="005E5FF8"/>
    <w:rsid w:val="005E633D"/>
    <w:rsid w:val="005E6960"/>
    <w:rsid w:val="005E6AD2"/>
    <w:rsid w:val="005E6E51"/>
    <w:rsid w:val="005E72F6"/>
    <w:rsid w:val="005E741C"/>
    <w:rsid w:val="005E7A27"/>
    <w:rsid w:val="005E7D93"/>
    <w:rsid w:val="005E7EB8"/>
    <w:rsid w:val="005F0073"/>
    <w:rsid w:val="005F063C"/>
    <w:rsid w:val="005F184F"/>
    <w:rsid w:val="005F18D6"/>
    <w:rsid w:val="005F2BA8"/>
    <w:rsid w:val="005F3582"/>
    <w:rsid w:val="005F3FFE"/>
    <w:rsid w:val="005F4434"/>
    <w:rsid w:val="005F50DF"/>
    <w:rsid w:val="005F59F5"/>
    <w:rsid w:val="005F6946"/>
    <w:rsid w:val="005F74D2"/>
    <w:rsid w:val="00600D34"/>
    <w:rsid w:val="00601089"/>
    <w:rsid w:val="0060108A"/>
    <w:rsid w:val="00601DC7"/>
    <w:rsid w:val="00601EE5"/>
    <w:rsid w:val="00602C1D"/>
    <w:rsid w:val="00603024"/>
    <w:rsid w:val="006033E9"/>
    <w:rsid w:val="006041EC"/>
    <w:rsid w:val="006043C1"/>
    <w:rsid w:val="00604EB7"/>
    <w:rsid w:val="00605F3F"/>
    <w:rsid w:val="0060705B"/>
    <w:rsid w:val="00607374"/>
    <w:rsid w:val="006075A4"/>
    <w:rsid w:val="00607F85"/>
    <w:rsid w:val="006102C2"/>
    <w:rsid w:val="006106BA"/>
    <w:rsid w:val="0061079B"/>
    <w:rsid w:val="00611041"/>
    <w:rsid w:val="00611196"/>
    <w:rsid w:val="0061139F"/>
    <w:rsid w:val="006116E3"/>
    <w:rsid w:val="00611AFF"/>
    <w:rsid w:val="00611F66"/>
    <w:rsid w:val="00613678"/>
    <w:rsid w:val="006137D4"/>
    <w:rsid w:val="0061394C"/>
    <w:rsid w:val="00613A81"/>
    <w:rsid w:val="00614C2C"/>
    <w:rsid w:val="00614E10"/>
    <w:rsid w:val="00615369"/>
    <w:rsid w:val="00615375"/>
    <w:rsid w:val="00615A26"/>
    <w:rsid w:val="00615EF4"/>
    <w:rsid w:val="00616FF1"/>
    <w:rsid w:val="00617B95"/>
    <w:rsid w:val="00620B76"/>
    <w:rsid w:val="00622A43"/>
    <w:rsid w:val="006235D0"/>
    <w:rsid w:val="006235E8"/>
    <w:rsid w:val="00623946"/>
    <w:rsid w:val="0062402E"/>
    <w:rsid w:val="00624400"/>
    <w:rsid w:val="006249A9"/>
    <w:rsid w:val="00624E51"/>
    <w:rsid w:val="006259B3"/>
    <w:rsid w:val="00625ACD"/>
    <w:rsid w:val="00626162"/>
    <w:rsid w:val="00627A9E"/>
    <w:rsid w:val="00630927"/>
    <w:rsid w:val="00630C2A"/>
    <w:rsid w:val="00631D5D"/>
    <w:rsid w:val="00631FEE"/>
    <w:rsid w:val="00632B2C"/>
    <w:rsid w:val="006343F9"/>
    <w:rsid w:val="00634719"/>
    <w:rsid w:val="00635923"/>
    <w:rsid w:val="00635AF6"/>
    <w:rsid w:val="00635B87"/>
    <w:rsid w:val="00635CBD"/>
    <w:rsid w:val="00635CEA"/>
    <w:rsid w:val="00636B09"/>
    <w:rsid w:val="00636CA9"/>
    <w:rsid w:val="00640C34"/>
    <w:rsid w:val="0064106B"/>
    <w:rsid w:val="0064134E"/>
    <w:rsid w:val="0064199A"/>
    <w:rsid w:val="00644358"/>
    <w:rsid w:val="006448B1"/>
    <w:rsid w:val="00644F4B"/>
    <w:rsid w:val="0064586F"/>
    <w:rsid w:val="00647E2D"/>
    <w:rsid w:val="006502D3"/>
    <w:rsid w:val="006503E8"/>
    <w:rsid w:val="00650570"/>
    <w:rsid w:val="00652143"/>
    <w:rsid w:val="00652747"/>
    <w:rsid w:val="00653A6C"/>
    <w:rsid w:val="00653CF0"/>
    <w:rsid w:val="00654A4A"/>
    <w:rsid w:val="006551C0"/>
    <w:rsid w:val="0065545A"/>
    <w:rsid w:val="00655939"/>
    <w:rsid w:val="00657FD0"/>
    <w:rsid w:val="00660781"/>
    <w:rsid w:val="00660B4B"/>
    <w:rsid w:val="00661CE1"/>
    <w:rsid w:val="006625E6"/>
    <w:rsid w:val="00662A6B"/>
    <w:rsid w:val="0066379F"/>
    <w:rsid w:val="00664296"/>
    <w:rsid w:val="0066434B"/>
    <w:rsid w:val="00664A6C"/>
    <w:rsid w:val="00664DAC"/>
    <w:rsid w:val="00664EB0"/>
    <w:rsid w:val="00666184"/>
    <w:rsid w:val="006661CF"/>
    <w:rsid w:val="006661D5"/>
    <w:rsid w:val="006668F8"/>
    <w:rsid w:val="00667FDE"/>
    <w:rsid w:val="00667FE2"/>
    <w:rsid w:val="006709A5"/>
    <w:rsid w:val="00670BFD"/>
    <w:rsid w:val="00670D82"/>
    <w:rsid w:val="00670DC6"/>
    <w:rsid w:val="00671E4C"/>
    <w:rsid w:val="0067299B"/>
    <w:rsid w:val="00673932"/>
    <w:rsid w:val="00674295"/>
    <w:rsid w:val="006743AB"/>
    <w:rsid w:val="00674D90"/>
    <w:rsid w:val="006758E2"/>
    <w:rsid w:val="00676246"/>
    <w:rsid w:val="00676845"/>
    <w:rsid w:val="006770DB"/>
    <w:rsid w:val="00677119"/>
    <w:rsid w:val="00677350"/>
    <w:rsid w:val="00677BDD"/>
    <w:rsid w:val="00680771"/>
    <w:rsid w:val="006807B0"/>
    <w:rsid w:val="00680979"/>
    <w:rsid w:val="0068139E"/>
    <w:rsid w:val="006818A8"/>
    <w:rsid w:val="00681A51"/>
    <w:rsid w:val="00682161"/>
    <w:rsid w:val="00682424"/>
    <w:rsid w:val="00682469"/>
    <w:rsid w:val="0068337B"/>
    <w:rsid w:val="00683BF7"/>
    <w:rsid w:val="00683D97"/>
    <w:rsid w:val="006846CF"/>
    <w:rsid w:val="00684FCA"/>
    <w:rsid w:val="00685E4A"/>
    <w:rsid w:val="00686B5C"/>
    <w:rsid w:val="00686F01"/>
    <w:rsid w:val="00687A93"/>
    <w:rsid w:val="006904C1"/>
    <w:rsid w:val="006919C9"/>
    <w:rsid w:val="00691E2F"/>
    <w:rsid w:val="006920C6"/>
    <w:rsid w:val="006920F1"/>
    <w:rsid w:val="00692850"/>
    <w:rsid w:val="0069347D"/>
    <w:rsid w:val="0069398E"/>
    <w:rsid w:val="0069418C"/>
    <w:rsid w:val="00694B7B"/>
    <w:rsid w:val="00694FE9"/>
    <w:rsid w:val="0069550F"/>
    <w:rsid w:val="006959C3"/>
    <w:rsid w:val="00695BB3"/>
    <w:rsid w:val="0069674A"/>
    <w:rsid w:val="00696997"/>
    <w:rsid w:val="00696AD1"/>
    <w:rsid w:val="00697E83"/>
    <w:rsid w:val="006A02D6"/>
    <w:rsid w:val="006A11BA"/>
    <w:rsid w:val="006A1FE8"/>
    <w:rsid w:val="006A22B6"/>
    <w:rsid w:val="006A37FF"/>
    <w:rsid w:val="006A3CDD"/>
    <w:rsid w:val="006A4295"/>
    <w:rsid w:val="006A43BC"/>
    <w:rsid w:val="006A6375"/>
    <w:rsid w:val="006A684C"/>
    <w:rsid w:val="006A6D0E"/>
    <w:rsid w:val="006A758C"/>
    <w:rsid w:val="006B1D18"/>
    <w:rsid w:val="006B2458"/>
    <w:rsid w:val="006B2718"/>
    <w:rsid w:val="006B38CD"/>
    <w:rsid w:val="006B4493"/>
    <w:rsid w:val="006B5355"/>
    <w:rsid w:val="006B72FB"/>
    <w:rsid w:val="006C0563"/>
    <w:rsid w:val="006C0744"/>
    <w:rsid w:val="006C0F46"/>
    <w:rsid w:val="006C1271"/>
    <w:rsid w:val="006C1EE9"/>
    <w:rsid w:val="006C1EEC"/>
    <w:rsid w:val="006C2A15"/>
    <w:rsid w:val="006C352C"/>
    <w:rsid w:val="006C3AA0"/>
    <w:rsid w:val="006C3FEA"/>
    <w:rsid w:val="006C4045"/>
    <w:rsid w:val="006C65E9"/>
    <w:rsid w:val="006C69E7"/>
    <w:rsid w:val="006C771C"/>
    <w:rsid w:val="006D10AE"/>
    <w:rsid w:val="006D1E54"/>
    <w:rsid w:val="006D1F77"/>
    <w:rsid w:val="006D24DC"/>
    <w:rsid w:val="006D29F2"/>
    <w:rsid w:val="006D3AFE"/>
    <w:rsid w:val="006D3BCA"/>
    <w:rsid w:val="006D4115"/>
    <w:rsid w:val="006D4CAB"/>
    <w:rsid w:val="006D5E88"/>
    <w:rsid w:val="006D6995"/>
    <w:rsid w:val="006D6F85"/>
    <w:rsid w:val="006D71F9"/>
    <w:rsid w:val="006D7CA2"/>
    <w:rsid w:val="006E025F"/>
    <w:rsid w:val="006E065B"/>
    <w:rsid w:val="006E09D3"/>
    <w:rsid w:val="006E1692"/>
    <w:rsid w:val="006E1E6C"/>
    <w:rsid w:val="006E1F8E"/>
    <w:rsid w:val="006E20CB"/>
    <w:rsid w:val="006E2A4B"/>
    <w:rsid w:val="006E3B95"/>
    <w:rsid w:val="006E4E5F"/>
    <w:rsid w:val="006E5505"/>
    <w:rsid w:val="006E55CC"/>
    <w:rsid w:val="006E6393"/>
    <w:rsid w:val="006E6BBE"/>
    <w:rsid w:val="006E71BB"/>
    <w:rsid w:val="006E73C1"/>
    <w:rsid w:val="006E7C30"/>
    <w:rsid w:val="006F0815"/>
    <w:rsid w:val="006F0D0A"/>
    <w:rsid w:val="006F0FE0"/>
    <w:rsid w:val="006F1206"/>
    <w:rsid w:val="006F136D"/>
    <w:rsid w:val="006F226D"/>
    <w:rsid w:val="006F240A"/>
    <w:rsid w:val="006F2940"/>
    <w:rsid w:val="006F2A5B"/>
    <w:rsid w:val="006F2D27"/>
    <w:rsid w:val="006F2FB3"/>
    <w:rsid w:val="006F3D23"/>
    <w:rsid w:val="006F4104"/>
    <w:rsid w:val="006F4E35"/>
    <w:rsid w:val="006F531B"/>
    <w:rsid w:val="006F56B6"/>
    <w:rsid w:val="006F590E"/>
    <w:rsid w:val="006F5911"/>
    <w:rsid w:val="006F5979"/>
    <w:rsid w:val="006F62BC"/>
    <w:rsid w:val="006F70BD"/>
    <w:rsid w:val="006F7D0F"/>
    <w:rsid w:val="006F7D59"/>
    <w:rsid w:val="0070023A"/>
    <w:rsid w:val="007004C3"/>
    <w:rsid w:val="00700D5A"/>
    <w:rsid w:val="00701C0F"/>
    <w:rsid w:val="00702406"/>
    <w:rsid w:val="00702493"/>
    <w:rsid w:val="00702B3D"/>
    <w:rsid w:val="00702D7F"/>
    <w:rsid w:val="007034D1"/>
    <w:rsid w:val="00704C1A"/>
    <w:rsid w:val="00705F95"/>
    <w:rsid w:val="00706A77"/>
    <w:rsid w:val="0071035D"/>
    <w:rsid w:val="007109EA"/>
    <w:rsid w:val="007122F9"/>
    <w:rsid w:val="0071339B"/>
    <w:rsid w:val="00714652"/>
    <w:rsid w:val="00714A8A"/>
    <w:rsid w:val="00714E5E"/>
    <w:rsid w:val="00714F3B"/>
    <w:rsid w:val="007151E8"/>
    <w:rsid w:val="00715583"/>
    <w:rsid w:val="007166F7"/>
    <w:rsid w:val="00716A1A"/>
    <w:rsid w:val="00716AEF"/>
    <w:rsid w:val="00716B51"/>
    <w:rsid w:val="00716C74"/>
    <w:rsid w:val="0071706C"/>
    <w:rsid w:val="00717076"/>
    <w:rsid w:val="0071716F"/>
    <w:rsid w:val="00717296"/>
    <w:rsid w:val="007172CB"/>
    <w:rsid w:val="0071738F"/>
    <w:rsid w:val="0072081F"/>
    <w:rsid w:val="00721591"/>
    <w:rsid w:val="00722E4E"/>
    <w:rsid w:val="00723C57"/>
    <w:rsid w:val="00724500"/>
    <w:rsid w:val="007253B2"/>
    <w:rsid w:val="007253FF"/>
    <w:rsid w:val="00727370"/>
    <w:rsid w:val="00727546"/>
    <w:rsid w:val="007277B6"/>
    <w:rsid w:val="00727A5F"/>
    <w:rsid w:val="007320A9"/>
    <w:rsid w:val="007326A9"/>
    <w:rsid w:val="00732A29"/>
    <w:rsid w:val="007339F8"/>
    <w:rsid w:val="00733C74"/>
    <w:rsid w:val="0073449F"/>
    <w:rsid w:val="007358C1"/>
    <w:rsid w:val="00735D9E"/>
    <w:rsid w:val="00735DC0"/>
    <w:rsid w:val="007365C3"/>
    <w:rsid w:val="00736F1D"/>
    <w:rsid w:val="007374D3"/>
    <w:rsid w:val="00737E9E"/>
    <w:rsid w:val="00740561"/>
    <w:rsid w:val="007405C2"/>
    <w:rsid w:val="0074109C"/>
    <w:rsid w:val="00742335"/>
    <w:rsid w:val="00742842"/>
    <w:rsid w:val="0074492D"/>
    <w:rsid w:val="00744E80"/>
    <w:rsid w:val="00745E99"/>
    <w:rsid w:val="0074620D"/>
    <w:rsid w:val="007475E3"/>
    <w:rsid w:val="0074767D"/>
    <w:rsid w:val="00747C6E"/>
    <w:rsid w:val="00750185"/>
    <w:rsid w:val="007516A1"/>
    <w:rsid w:val="0075176F"/>
    <w:rsid w:val="00752C37"/>
    <w:rsid w:val="00752EAF"/>
    <w:rsid w:val="00753376"/>
    <w:rsid w:val="0075346B"/>
    <w:rsid w:val="00753909"/>
    <w:rsid w:val="007543B0"/>
    <w:rsid w:val="0075440E"/>
    <w:rsid w:val="007568A9"/>
    <w:rsid w:val="00756B18"/>
    <w:rsid w:val="00756BE8"/>
    <w:rsid w:val="00756DEC"/>
    <w:rsid w:val="007575DF"/>
    <w:rsid w:val="00757BC5"/>
    <w:rsid w:val="00761514"/>
    <w:rsid w:val="00761B64"/>
    <w:rsid w:val="0076267A"/>
    <w:rsid w:val="00763881"/>
    <w:rsid w:val="00763C22"/>
    <w:rsid w:val="00763CE7"/>
    <w:rsid w:val="00764A39"/>
    <w:rsid w:val="0076670E"/>
    <w:rsid w:val="00766CCF"/>
    <w:rsid w:val="00767793"/>
    <w:rsid w:val="00767AC9"/>
    <w:rsid w:val="00767FC8"/>
    <w:rsid w:val="00770127"/>
    <w:rsid w:val="0077063F"/>
    <w:rsid w:val="00771830"/>
    <w:rsid w:val="00772177"/>
    <w:rsid w:val="0077265F"/>
    <w:rsid w:val="00772B76"/>
    <w:rsid w:val="0077350B"/>
    <w:rsid w:val="00774456"/>
    <w:rsid w:val="00774D84"/>
    <w:rsid w:val="007753D0"/>
    <w:rsid w:val="0077576E"/>
    <w:rsid w:val="00775C65"/>
    <w:rsid w:val="0077639A"/>
    <w:rsid w:val="0077711B"/>
    <w:rsid w:val="0077766C"/>
    <w:rsid w:val="007800AF"/>
    <w:rsid w:val="00780FB3"/>
    <w:rsid w:val="0078100C"/>
    <w:rsid w:val="007810B8"/>
    <w:rsid w:val="007812AB"/>
    <w:rsid w:val="0078157F"/>
    <w:rsid w:val="0078180D"/>
    <w:rsid w:val="0078185E"/>
    <w:rsid w:val="00782799"/>
    <w:rsid w:val="007829D8"/>
    <w:rsid w:val="007832BD"/>
    <w:rsid w:val="00783BC1"/>
    <w:rsid w:val="00783C92"/>
    <w:rsid w:val="00783D3B"/>
    <w:rsid w:val="00784DB5"/>
    <w:rsid w:val="00784FFE"/>
    <w:rsid w:val="00785D17"/>
    <w:rsid w:val="00786F48"/>
    <w:rsid w:val="0078772C"/>
    <w:rsid w:val="00787866"/>
    <w:rsid w:val="007878E4"/>
    <w:rsid w:val="007901F4"/>
    <w:rsid w:val="00790772"/>
    <w:rsid w:val="0079090E"/>
    <w:rsid w:val="00791E3F"/>
    <w:rsid w:val="00792289"/>
    <w:rsid w:val="0079267C"/>
    <w:rsid w:val="007927E5"/>
    <w:rsid w:val="0079419B"/>
    <w:rsid w:val="007946EF"/>
    <w:rsid w:val="007963BD"/>
    <w:rsid w:val="007A0505"/>
    <w:rsid w:val="007A1190"/>
    <w:rsid w:val="007A1D1F"/>
    <w:rsid w:val="007A250B"/>
    <w:rsid w:val="007A2779"/>
    <w:rsid w:val="007A27DE"/>
    <w:rsid w:val="007A4783"/>
    <w:rsid w:val="007A4DF6"/>
    <w:rsid w:val="007A5191"/>
    <w:rsid w:val="007A647F"/>
    <w:rsid w:val="007A6ED6"/>
    <w:rsid w:val="007A7849"/>
    <w:rsid w:val="007A7F09"/>
    <w:rsid w:val="007B0500"/>
    <w:rsid w:val="007B111B"/>
    <w:rsid w:val="007B1441"/>
    <w:rsid w:val="007B23D9"/>
    <w:rsid w:val="007B25E8"/>
    <w:rsid w:val="007B25FE"/>
    <w:rsid w:val="007B374F"/>
    <w:rsid w:val="007B3AE8"/>
    <w:rsid w:val="007B4418"/>
    <w:rsid w:val="007B5DAC"/>
    <w:rsid w:val="007B5F62"/>
    <w:rsid w:val="007B625E"/>
    <w:rsid w:val="007B66B3"/>
    <w:rsid w:val="007B7077"/>
    <w:rsid w:val="007B72C3"/>
    <w:rsid w:val="007B73FD"/>
    <w:rsid w:val="007B7955"/>
    <w:rsid w:val="007C1042"/>
    <w:rsid w:val="007C20B1"/>
    <w:rsid w:val="007C3003"/>
    <w:rsid w:val="007C3FA2"/>
    <w:rsid w:val="007C44C2"/>
    <w:rsid w:val="007C5403"/>
    <w:rsid w:val="007C5923"/>
    <w:rsid w:val="007C5EDB"/>
    <w:rsid w:val="007C6562"/>
    <w:rsid w:val="007C6B60"/>
    <w:rsid w:val="007C6F85"/>
    <w:rsid w:val="007C74F4"/>
    <w:rsid w:val="007C7B99"/>
    <w:rsid w:val="007C7D88"/>
    <w:rsid w:val="007D0C12"/>
    <w:rsid w:val="007D11DB"/>
    <w:rsid w:val="007D16CC"/>
    <w:rsid w:val="007D23B3"/>
    <w:rsid w:val="007D3AA0"/>
    <w:rsid w:val="007D3B71"/>
    <w:rsid w:val="007D3FE2"/>
    <w:rsid w:val="007D4359"/>
    <w:rsid w:val="007D48B3"/>
    <w:rsid w:val="007D4EC2"/>
    <w:rsid w:val="007D5690"/>
    <w:rsid w:val="007D69FA"/>
    <w:rsid w:val="007D6B25"/>
    <w:rsid w:val="007D7559"/>
    <w:rsid w:val="007D75E9"/>
    <w:rsid w:val="007D7CC9"/>
    <w:rsid w:val="007E0441"/>
    <w:rsid w:val="007E1600"/>
    <w:rsid w:val="007E2015"/>
    <w:rsid w:val="007E2024"/>
    <w:rsid w:val="007E2AAF"/>
    <w:rsid w:val="007E4641"/>
    <w:rsid w:val="007E76A1"/>
    <w:rsid w:val="007E7C55"/>
    <w:rsid w:val="007F02C3"/>
    <w:rsid w:val="007F03E8"/>
    <w:rsid w:val="007F0CE1"/>
    <w:rsid w:val="007F18BF"/>
    <w:rsid w:val="007F1ABA"/>
    <w:rsid w:val="007F2A03"/>
    <w:rsid w:val="007F3616"/>
    <w:rsid w:val="007F3AD2"/>
    <w:rsid w:val="007F3E50"/>
    <w:rsid w:val="007F40C4"/>
    <w:rsid w:val="007F4245"/>
    <w:rsid w:val="007F42D9"/>
    <w:rsid w:val="007F4847"/>
    <w:rsid w:val="007F4D92"/>
    <w:rsid w:val="007F77B2"/>
    <w:rsid w:val="007F7883"/>
    <w:rsid w:val="007F7A77"/>
    <w:rsid w:val="00800073"/>
    <w:rsid w:val="008001AC"/>
    <w:rsid w:val="00800499"/>
    <w:rsid w:val="00800851"/>
    <w:rsid w:val="00800B51"/>
    <w:rsid w:val="00800C4D"/>
    <w:rsid w:val="00801697"/>
    <w:rsid w:val="008018AC"/>
    <w:rsid w:val="0080279C"/>
    <w:rsid w:val="008029DB"/>
    <w:rsid w:val="00802CA3"/>
    <w:rsid w:val="00803301"/>
    <w:rsid w:val="008039D6"/>
    <w:rsid w:val="008063F9"/>
    <w:rsid w:val="008072D7"/>
    <w:rsid w:val="008073C1"/>
    <w:rsid w:val="00810603"/>
    <w:rsid w:val="00811145"/>
    <w:rsid w:val="00811263"/>
    <w:rsid w:val="00812993"/>
    <w:rsid w:val="00812B83"/>
    <w:rsid w:val="00812C2D"/>
    <w:rsid w:val="00813663"/>
    <w:rsid w:val="00813813"/>
    <w:rsid w:val="0081390D"/>
    <w:rsid w:val="00813C03"/>
    <w:rsid w:val="00813CF4"/>
    <w:rsid w:val="00814283"/>
    <w:rsid w:val="00816C67"/>
    <w:rsid w:val="00816DEB"/>
    <w:rsid w:val="00820209"/>
    <w:rsid w:val="00820442"/>
    <w:rsid w:val="00820DCB"/>
    <w:rsid w:val="00820F35"/>
    <w:rsid w:val="00820FEC"/>
    <w:rsid w:val="0082393D"/>
    <w:rsid w:val="008239D1"/>
    <w:rsid w:val="00823DE0"/>
    <w:rsid w:val="00824359"/>
    <w:rsid w:val="008245BC"/>
    <w:rsid w:val="00824BD1"/>
    <w:rsid w:val="00824BFC"/>
    <w:rsid w:val="00824EEB"/>
    <w:rsid w:val="00824FAC"/>
    <w:rsid w:val="00825ADC"/>
    <w:rsid w:val="008263B1"/>
    <w:rsid w:val="00827235"/>
    <w:rsid w:val="00827BAF"/>
    <w:rsid w:val="008305F0"/>
    <w:rsid w:val="00830821"/>
    <w:rsid w:val="00832177"/>
    <w:rsid w:val="00832B39"/>
    <w:rsid w:val="0083324D"/>
    <w:rsid w:val="0083416B"/>
    <w:rsid w:val="008344D9"/>
    <w:rsid w:val="00834AD4"/>
    <w:rsid w:val="008350A0"/>
    <w:rsid w:val="00835BE1"/>
    <w:rsid w:val="00840600"/>
    <w:rsid w:val="00841733"/>
    <w:rsid w:val="00842484"/>
    <w:rsid w:val="008425AD"/>
    <w:rsid w:val="008426E5"/>
    <w:rsid w:val="0084344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306F"/>
    <w:rsid w:val="00853243"/>
    <w:rsid w:val="00853A8F"/>
    <w:rsid w:val="00853BC2"/>
    <w:rsid w:val="00853C7E"/>
    <w:rsid w:val="00854278"/>
    <w:rsid w:val="00855BB2"/>
    <w:rsid w:val="00855E3A"/>
    <w:rsid w:val="00855F77"/>
    <w:rsid w:val="0085605E"/>
    <w:rsid w:val="00856063"/>
    <w:rsid w:val="008566B2"/>
    <w:rsid w:val="00857172"/>
    <w:rsid w:val="0085794D"/>
    <w:rsid w:val="00860DE4"/>
    <w:rsid w:val="0086236A"/>
    <w:rsid w:val="00862D2B"/>
    <w:rsid w:val="00864345"/>
    <w:rsid w:val="00865311"/>
    <w:rsid w:val="0086569A"/>
    <w:rsid w:val="0086581C"/>
    <w:rsid w:val="00867A36"/>
    <w:rsid w:val="00867C3F"/>
    <w:rsid w:val="00867CA4"/>
    <w:rsid w:val="00870002"/>
    <w:rsid w:val="008702A8"/>
    <w:rsid w:val="0087035A"/>
    <w:rsid w:val="00870FD4"/>
    <w:rsid w:val="00872B3E"/>
    <w:rsid w:val="0087347D"/>
    <w:rsid w:val="00873A31"/>
    <w:rsid w:val="00873C21"/>
    <w:rsid w:val="00873CA1"/>
    <w:rsid w:val="00873D59"/>
    <w:rsid w:val="00874C90"/>
    <w:rsid w:val="008752EE"/>
    <w:rsid w:val="00876F90"/>
    <w:rsid w:val="00877B0B"/>
    <w:rsid w:val="00880121"/>
    <w:rsid w:val="00881F55"/>
    <w:rsid w:val="008827DC"/>
    <w:rsid w:val="00882DAD"/>
    <w:rsid w:val="008843F5"/>
    <w:rsid w:val="00884F32"/>
    <w:rsid w:val="00885263"/>
    <w:rsid w:val="00885571"/>
    <w:rsid w:val="00885A09"/>
    <w:rsid w:val="00885CDC"/>
    <w:rsid w:val="008865BB"/>
    <w:rsid w:val="008868A8"/>
    <w:rsid w:val="00886EAF"/>
    <w:rsid w:val="0088743C"/>
    <w:rsid w:val="00887EE1"/>
    <w:rsid w:val="008902F2"/>
    <w:rsid w:val="00890D93"/>
    <w:rsid w:val="00892DA5"/>
    <w:rsid w:val="00892FA4"/>
    <w:rsid w:val="00893051"/>
    <w:rsid w:val="00893AAE"/>
    <w:rsid w:val="00893C31"/>
    <w:rsid w:val="0089457E"/>
    <w:rsid w:val="0089488A"/>
    <w:rsid w:val="008949B1"/>
    <w:rsid w:val="00895ADC"/>
    <w:rsid w:val="00895C03"/>
    <w:rsid w:val="00895D15"/>
    <w:rsid w:val="00896DA2"/>
    <w:rsid w:val="00896E2B"/>
    <w:rsid w:val="0089713E"/>
    <w:rsid w:val="008972AA"/>
    <w:rsid w:val="0089762D"/>
    <w:rsid w:val="008979BC"/>
    <w:rsid w:val="00897F96"/>
    <w:rsid w:val="008A10F3"/>
    <w:rsid w:val="008A1873"/>
    <w:rsid w:val="008A1977"/>
    <w:rsid w:val="008A28FA"/>
    <w:rsid w:val="008A306A"/>
    <w:rsid w:val="008A4D60"/>
    <w:rsid w:val="008A5076"/>
    <w:rsid w:val="008A53EE"/>
    <w:rsid w:val="008A58FC"/>
    <w:rsid w:val="008A5C0F"/>
    <w:rsid w:val="008A67B2"/>
    <w:rsid w:val="008A6A4C"/>
    <w:rsid w:val="008A714C"/>
    <w:rsid w:val="008A7BE9"/>
    <w:rsid w:val="008B012A"/>
    <w:rsid w:val="008B0174"/>
    <w:rsid w:val="008B1588"/>
    <w:rsid w:val="008B1596"/>
    <w:rsid w:val="008B1B37"/>
    <w:rsid w:val="008B4062"/>
    <w:rsid w:val="008B5977"/>
    <w:rsid w:val="008B6D30"/>
    <w:rsid w:val="008B6EF1"/>
    <w:rsid w:val="008B7266"/>
    <w:rsid w:val="008B7A39"/>
    <w:rsid w:val="008B7A43"/>
    <w:rsid w:val="008B7C3A"/>
    <w:rsid w:val="008C01F3"/>
    <w:rsid w:val="008C02BD"/>
    <w:rsid w:val="008C038D"/>
    <w:rsid w:val="008C09C4"/>
    <w:rsid w:val="008C1598"/>
    <w:rsid w:val="008C1F44"/>
    <w:rsid w:val="008C2F45"/>
    <w:rsid w:val="008C42A1"/>
    <w:rsid w:val="008C5691"/>
    <w:rsid w:val="008C5951"/>
    <w:rsid w:val="008C61AD"/>
    <w:rsid w:val="008C646F"/>
    <w:rsid w:val="008C711A"/>
    <w:rsid w:val="008D025E"/>
    <w:rsid w:val="008D14D2"/>
    <w:rsid w:val="008D2AC2"/>
    <w:rsid w:val="008D3E66"/>
    <w:rsid w:val="008D48FF"/>
    <w:rsid w:val="008D4C0A"/>
    <w:rsid w:val="008D4C34"/>
    <w:rsid w:val="008D4EEB"/>
    <w:rsid w:val="008D501C"/>
    <w:rsid w:val="008D50EA"/>
    <w:rsid w:val="008D61A7"/>
    <w:rsid w:val="008D6E64"/>
    <w:rsid w:val="008D70DC"/>
    <w:rsid w:val="008D7567"/>
    <w:rsid w:val="008E0007"/>
    <w:rsid w:val="008E0374"/>
    <w:rsid w:val="008E0B1A"/>
    <w:rsid w:val="008E1426"/>
    <w:rsid w:val="008E16B0"/>
    <w:rsid w:val="008E1AA7"/>
    <w:rsid w:val="008E2808"/>
    <w:rsid w:val="008E3E4B"/>
    <w:rsid w:val="008E43A6"/>
    <w:rsid w:val="008E4923"/>
    <w:rsid w:val="008E4B34"/>
    <w:rsid w:val="008E4EF9"/>
    <w:rsid w:val="008E53F7"/>
    <w:rsid w:val="008E61EB"/>
    <w:rsid w:val="008E62F5"/>
    <w:rsid w:val="008E6DFC"/>
    <w:rsid w:val="008E7710"/>
    <w:rsid w:val="008F09B2"/>
    <w:rsid w:val="008F1CCF"/>
    <w:rsid w:val="008F2795"/>
    <w:rsid w:val="008F293E"/>
    <w:rsid w:val="008F4212"/>
    <w:rsid w:val="008F43AC"/>
    <w:rsid w:val="008F485A"/>
    <w:rsid w:val="008F6B4A"/>
    <w:rsid w:val="008F7A79"/>
    <w:rsid w:val="008F7DB1"/>
    <w:rsid w:val="00900D4D"/>
    <w:rsid w:val="009012FC"/>
    <w:rsid w:val="00901C03"/>
    <w:rsid w:val="00901D76"/>
    <w:rsid w:val="009026A0"/>
    <w:rsid w:val="009027D5"/>
    <w:rsid w:val="00902D59"/>
    <w:rsid w:val="0090380F"/>
    <w:rsid w:val="00903F34"/>
    <w:rsid w:val="009056DA"/>
    <w:rsid w:val="00905C0A"/>
    <w:rsid w:val="00905E05"/>
    <w:rsid w:val="00906028"/>
    <w:rsid w:val="00906B32"/>
    <w:rsid w:val="00907779"/>
    <w:rsid w:val="00910987"/>
    <w:rsid w:val="009122F8"/>
    <w:rsid w:val="009124CB"/>
    <w:rsid w:val="00912568"/>
    <w:rsid w:val="00912915"/>
    <w:rsid w:val="00913483"/>
    <w:rsid w:val="00913870"/>
    <w:rsid w:val="00913A0B"/>
    <w:rsid w:val="00913D94"/>
    <w:rsid w:val="00914538"/>
    <w:rsid w:val="00914D03"/>
    <w:rsid w:val="009154B5"/>
    <w:rsid w:val="00915520"/>
    <w:rsid w:val="009155DC"/>
    <w:rsid w:val="009155F7"/>
    <w:rsid w:val="00916C5D"/>
    <w:rsid w:val="00916EAB"/>
    <w:rsid w:val="00917477"/>
    <w:rsid w:val="00917686"/>
    <w:rsid w:val="00917AA0"/>
    <w:rsid w:val="00920240"/>
    <w:rsid w:val="0092075A"/>
    <w:rsid w:val="00921131"/>
    <w:rsid w:val="00921F5A"/>
    <w:rsid w:val="009221C1"/>
    <w:rsid w:val="009227DA"/>
    <w:rsid w:val="0092292D"/>
    <w:rsid w:val="00922CFE"/>
    <w:rsid w:val="00923360"/>
    <w:rsid w:val="00923471"/>
    <w:rsid w:val="009238F7"/>
    <w:rsid w:val="00923BA8"/>
    <w:rsid w:val="00923C63"/>
    <w:rsid w:val="00924605"/>
    <w:rsid w:val="009247F5"/>
    <w:rsid w:val="00924966"/>
    <w:rsid w:val="009253AC"/>
    <w:rsid w:val="00925717"/>
    <w:rsid w:val="00926A93"/>
    <w:rsid w:val="00926AB2"/>
    <w:rsid w:val="00926FBD"/>
    <w:rsid w:val="00927024"/>
    <w:rsid w:val="009270DD"/>
    <w:rsid w:val="00927C5C"/>
    <w:rsid w:val="00927CAA"/>
    <w:rsid w:val="00927CEF"/>
    <w:rsid w:val="00930F74"/>
    <w:rsid w:val="0093179E"/>
    <w:rsid w:val="00932552"/>
    <w:rsid w:val="0093269A"/>
    <w:rsid w:val="00932B80"/>
    <w:rsid w:val="00933955"/>
    <w:rsid w:val="00933BF5"/>
    <w:rsid w:val="0093409F"/>
    <w:rsid w:val="009356BA"/>
    <w:rsid w:val="0093591E"/>
    <w:rsid w:val="009373D3"/>
    <w:rsid w:val="009407FE"/>
    <w:rsid w:val="0094183C"/>
    <w:rsid w:val="00941E3E"/>
    <w:rsid w:val="0094235C"/>
    <w:rsid w:val="00942436"/>
    <w:rsid w:val="00943263"/>
    <w:rsid w:val="00944297"/>
    <w:rsid w:val="00944D67"/>
    <w:rsid w:val="00946557"/>
    <w:rsid w:val="00946CD6"/>
    <w:rsid w:val="009479D1"/>
    <w:rsid w:val="009501C6"/>
    <w:rsid w:val="00951719"/>
    <w:rsid w:val="009518E1"/>
    <w:rsid w:val="00951D2E"/>
    <w:rsid w:val="00952875"/>
    <w:rsid w:val="009535DE"/>
    <w:rsid w:val="0095361B"/>
    <w:rsid w:val="00953D70"/>
    <w:rsid w:val="00953DFA"/>
    <w:rsid w:val="0095426C"/>
    <w:rsid w:val="00954469"/>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370A"/>
    <w:rsid w:val="00963C50"/>
    <w:rsid w:val="0096487B"/>
    <w:rsid w:val="00964B52"/>
    <w:rsid w:val="00964F29"/>
    <w:rsid w:val="00965CD1"/>
    <w:rsid w:val="00966482"/>
    <w:rsid w:val="00966D15"/>
    <w:rsid w:val="00966D1F"/>
    <w:rsid w:val="00970460"/>
    <w:rsid w:val="00971B48"/>
    <w:rsid w:val="00972ECE"/>
    <w:rsid w:val="009734B3"/>
    <w:rsid w:val="00974B76"/>
    <w:rsid w:val="00975412"/>
    <w:rsid w:val="009756D2"/>
    <w:rsid w:val="009757D1"/>
    <w:rsid w:val="00975EB9"/>
    <w:rsid w:val="00976975"/>
    <w:rsid w:val="00977584"/>
    <w:rsid w:val="00980452"/>
    <w:rsid w:val="00980754"/>
    <w:rsid w:val="00981535"/>
    <w:rsid w:val="0098227C"/>
    <w:rsid w:val="0098243A"/>
    <w:rsid w:val="009825C8"/>
    <w:rsid w:val="009826A0"/>
    <w:rsid w:val="00983531"/>
    <w:rsid w:val="0098409F"/>
    <w:rsid w:val="00984531"/>
    <w:rsid w:val="00984A55"/>
    <w:rsid w:val="00985537"/>
    <w:rsid w:val="00985B45"/>
    <w:rsid w:val="00985C01"/>
    <w:rsid w:val="0099020B"/>
    <w:rsid w:val="009903BA"/>
    <w:rsid w:val="009906ED"/>
    <w:rsid w:val="009911B1"/>
    <w:rsid w:val="00991698"/>
    <w:rsid w:val="009917E7"/>
    <w:rsid w:val="00991AE2"/>
    <w:rsid w:val="00991C17"/>
    <w:rsid w:val="00991D56"/>
    <w:rsid w:val="00992D1E"/>
    <w:rsid w:val="00992D66"/>
    <w:rsid w:val="00993507"/>
    <w:rsid w:val="00994D1A"/>
    <w:rsid w:val="009967D1"/>
    <w:rsid w:val="0099781F"/>
    <w:rsid w:val="00997EB2"/>
    <w:rsid w:val="009A036C"/>
    <w:rsid w:val="009A06F5"/>
    <w:rsid w:val="009A0788"/>
    <w:rsid w:val="009A0ABC"/>
    <w:rsid w:val="009A0E92"/>
    <w:rsid w:val="009A17EC"/>
    <w:rsid w:val="009A2494"/>
    <w:rsid w:val="009A25D3"/>
    <w:rsid w:val="009A4BEE"/>
    <w:rsid w:val="009A4CF1"/>
    <w:rsid w:val="009A78B7"/>
    <w:rsid w:val="009B03DF"/>
    <w:rsid w:val="009B141A"/>
    <w:rsid w:val="009B22AE"/>
    <w:rsid w:val="009B3192"/>
    <w:rsid w:val="009B319D"/>
    <w:rsid w:val="009B3776"/>
    <w:rsid w:val="009B4214"/>
    <w:rsid w:val="009B4E63"/>
    <w:rsid w:val="009B60F9"/>
    <w:rsid w:val="009B6346"/>
    <w:rsid w:val="009B6518"/>
    <w:rsid w:val="009B6AF0"/>
    <w:rsid w:val="009B6F44"/>
    <w:rsid w:val="009C04D1"/>
    <w:rsid w:val="009C0940"/>
    <w:rsid w:val="009C09F3"/>
    <w:rsid w:val="009C128C"/>
    <w:rsid w:val="009C292D"/>
    <w:rsid w:val="009C3108"/>
    <w:rsid w:val="009C5F0C"/>
    <w:rsid w:val="009C67C0"/>
    <w:rsid w:val="009C6C4B"/>
    <w:rsid w:val="009C6EB0"/>
    <w:rsid w:val="009C70C0"/>
    <w:rsid w:val="009D024C"/>
    <w:rsid w:val="009D1035"/>
    <w:rsid w:val="009D13D0"/>
    <w:rsid w:val="009D1B09"/>
    <w:rsid w:val="009D2068"/>
    <w:rsid w:val="009D2FFF"/>
    <w:rsid w:val="009D4132"/>
    <w:rsid w:val="009D5F4B"/>
    <w:rsid w:val="009D6259"/>
    <w:rsid w:val="009D7145"/>
    <w:rsid w:val="009D777C"/>
    <w:rsid w:val="009D7D33"/>
    <w:rsid w:val="009E01FC"/>
    <w:rsid w:val="009E0355"/>
    <w:rsid w:val="009E0E10"/>
    <w:rsid w:val="009E1999"/>
    <w:rsid w:val="009E237C"/>
    <w:rsid w:val="009E25B5"/>
    <w:rsid w:val="009E2C8E"/>
    <w:rsid w:val="009E324D"/>
    <w:rsid w:val="009E3D59"/>
    <w:rsid w:val="009E4DD4"/>
    <w:rsid w:val="009E4E3F"/>
    <w:rsid w:val="009E52D0"/>
    <w:rsid w:val="009E5B49"/>
    <w:rsid w:val="009E5C96"/>
    <w:rsid w:val="009E680E"/>
    <w:rsid w:val="009E698B"/>
    <w:rsid w:val="009E6ADB"/>
    <w:rsid w:val="009E6EC0"/>
    <w:rsid w:val="009E7446"/>
    <w:rsid w:val="009E7C2F"/>
    <w:rsid w:val="009F04CD"/>
    <w:rsid w:val="009F0BB6"/>
    <w:rsid w:val="009F0BED"/>
    <w:rsid w:val="009F0FBE"/>
    <w:rsid w:val="009F14C8"/>
    <w:rsid w:val="009F1547"/>
    <w:rsid w:val="009F1A08"/>
    <w:rsid w:val="009F226C"/>
    <w:rsid w:val="009F30ED"/>
    <w:rsid w:val="009F38CD"/>
    <w:rsid w:val="009F47E8"/>
    <w:rsid w:val="009F4ABA"/>
    <w:rsid w:val="009F4D62"/>
    <w:rsid w:val="009F5539"/>
    <w:rsid w:val="009F55FF"/>
    <w:rsid w:val="009F6042"/>
    <w:rsid w:val="009F67A9"/>
    <w:rsid w:val="009F71BE"/>
    <w:rsid w:val="009F7706"/>
    <w:rsid w:val="00A00317"/>
    <w:rsid w:val="00A00734"/>
    <w:rsid w:val="00A01ACC"/>
    <w:rsid w:val="00A02D14"/>
    <w:rsid w:val="00A03422"/>
    <w:rsid w:val="00A042F4"/>
    <w:rsid w:val="00A04DEE"/>
    <w:rsid w:val="00A0598C"/>
    <w:rsid w:val="00A066AE"/>
    <w:rsid w:val="00A10DD9"/>
    <w:rsid w:val="00A115EC"/>
    <w:rsid w:val="00A11D21"/>
    <w:rsid w:val="00A12C6B"/>
    <w:rsid w:val="00A12E41"/>
    <w:rsid w:val="00A13151"/>
    <w:rsid w:val="00A13525"/>
    <w:rsid w:val="00A13E8A"/>
    <w:rsid w:val="00A14117"/>
    <w:rsid w:val="00A14757"/>
    <w:rsid w:val="00A149FA"/>
    <w:rsid w:val="00A16587"/>
    <w:rsid w:val="00A165B9"/>
    <w:rsid w:val="00A16686"/>
    <w:rsid w:val="00A16849"/>
    <w:rsid w:val="00A17630"/>
    <w:rsid w:val="00A17853"/>
    <w:rsid w:val="00A179B1"/>
    <w:rsid w:val="00A17D5A"/>
    <w:rsid w:val="00A17DF0"/>
    <w:rsid w:val="00A20F78"/>
    <w:rsid w:val="00A2144B"/>
    <w:rsid w:val="00A218F1"/>
    <w:rsid w:val="00A22250"/>
    <w:rsid w:val="00A22E57"/>
    <w:rsid w:val="00A237C5"/>
    <w:rsid w:val="00A23974"/>
    <w:rsid w:val="00A258FB"/>
    <w:rsid w:val="00A25C42"/>
    <w:rsid w:val="00A2605D"/>
    <w:rsid w:val="00A271F9"/>
    <w:rsid w:val="00A277EF"/>
    <w:rsid w:val="00A27DEE"/>
    <w:rsid w:val="00A300C9"/>
    <w:rsid w:val="00A31B93"/>
    <w:rsid w:val="00A32D2B"/>
    <w:rsid w:val="00A32EB7"/>
    <w:rsid w:val="00A34C4D"/>
    <w:rsid w:val="00A34E06"/>
    <w:rsid w:val="00A34FFC"/>
    <w:rsid w:val="00A35975"/>
    <w:rsid w:val="00A35D32"/>
    <w:rsid w:val="00A36C41"/>
    <w:rsid w:val="00A36D89"/>
    <w:rsid w:val="00A375EF"/>
    <w:rsid w:val="00A406F6"/>
    <w:rsid w:val="00A413EF"/>
    <w:rsid w:val="00A42061"/>
    <w:rsid w:val="00A42360"/>
    <w:rsid w:val="00A4248A"/>
    <w:rsid w:val="00A433CF"/>
    <w:rsid w:val="00A4342E"/>
    <w:rsid w:val="00A44683"/>
    <w:rsid w:val="00A456E1"/>
    <w:rsid w:val="00A465C1"/>
    <w:rsid w:val="00A47387"/>
    <w:rsid w:val="00A47F70"/>
    <w:rsid w:val="00A511FA"/>
    <w:rsid w:val="00A517B6"/>
    <w:rsid w:val="00A51A2C"/>
    <w:rsid w:val="00A52185"/>
    <w:rsid w:val="00A528C2"/>
    <w:rsid w:val="00A53BEB"/>
    <w:rsid w:val="00A5433A"/>
    <w:rsid w:val="00A54AFD"/>
    <w:rsid w:val="00A54E69"/>
    <w:rsid w:val="00A550CD"/>
    <w:rsid w:val="00A57043"/>
    <w:rsid w:val="00A573E4"/>
    <w:rsid w:val="00A60EB1"/>
    <w:rsid w:val="00A61B06"/>
    <w:rsid w:val="00A61C8F"/>
    <w:rsid w:val="00A62113"/>
    <w:rsid w:val="00A624B2"/>
    <w:rsid w:val="00A62F01"/>
    <w:rsid w:val="00A630BE"/>
    <w:rsid w:val="00A6319E"/>
    <w:rsid w:val="00A63774"/>
    <w:rsid w:val="00A650BD"/>
    <w:rsid w:val="00A65344"/>
    <w:rsid w:val="00A65B15"/>
    <w:rsid w:val="00A65EE2"/>
    <w:rsid w:val="00A6670C"/>
    <w:rsid w:val="00A66931"/>
    <w:rsid w:val="00A672CC"/>
    <w:rsid w:val="00A6759C"/>
    <w:rsid w:val="00A67923"/>
    <w:rsid w:val="00A67E60"/>
    <w:rsid w:val="00A7015E"/>
    <w:rsid w:val="00A713ED"/>
    <w:rsid w:val="00A714B8"/>
    <w:rsid w:val="00A7194B"/>
    <w:rsid w:val="00A71DE0"/>
    <w:rsid w:val="00A72227"/>
    <w:rsid w:val="00A72CE7"/>
    <w:rsid w:val="00A73E48"/>
    <w:rsid w:val="00A74088"/>
    <w:rsid w:val="00A74901"/>
    <w:rsid w:val="00A74D6A"/>
    <w:rsid w:val="00A75031"/>
    <w:rsid w:val="00A75733"/>
    <w:rsid w:val="00A76308"/>
    <w:rsid w:val="00A76E27"/>
    <w:rsid w:val="00A776C7"/>
    <w:rsid w:val="00A77C08"/>
    <w:rsid w:val="00A80614"/>
    <w:rsid w:val="00A80ACB"/>
    <w:rsid w:val="00A81527"/>
    <w:rsid w:val="00A82058"/>
    <w:rsid w:val="00A84AE7"/>
    <w:rsid w:val="00A84B97"/>
    <w:rsid w:val="00A84E8D"/>
    <w:rsid w:val="00A85146"/>
    <w:rsid w:val="00A86144"/>
    <w:rsid w:val="00A86576"/>
    <w:rsid w:val="00A8668D"/>
    <w:rsid w:val="00A869B0"/>
    <w:rsid w:val="00A90183"/>
    <w:rsid w:val="00A90420"/>
    <w:rsid w:val="00A90934"/>
    <w:rsid w:val="00A90A66"/>
    <w:rsid w:val="00A90E59"/>
    <w:rsid w:val="00A91051"/>
    <w:rsid w:val="00A910CB"/>
    <w:rsid w:val="00A91DC1"/>
    <w:rsid w:val="00A91F33"/>
    <w:rsid w:val="00A9289F"/>
    <w:rsid w:val="00A929FD"/>
    <w:rsid w:val="00A92C1D"/>
    <w:rsid w:val="00A93633"/>
    <w:rsid w:val="00A95380"/>
    <w:rsid w:val="00A95617"/>
    <w:rsid w:val="00A9691A"/>
    <w:rsid w:val="00A9774D"/>
    <w:rsid w:val="00A9787D"/>
    <w:rsid w:val="00AA00EB"/>
    <w:rsid w:val="00AA0C77"/>
    <w:rsid w:val="00AA170D"/>
    <w:rsid w:val="00AA1D27"/>
    <w:rsid w:val="00AA204C"/>
    <w:rsid w:val="00AA23DE"/>
    <w:rsid w:val="00AA2D57"/>
    <w:rsid w:val="00AA3112"/>
    <w:rsid w:val="00AA3941"/>
    <w:rsid w:val="00AA538E"/>
    <w:rsid w:val="00AA56D0"/>
    <w:rsid w:val="00AA588E"/>
    <w:rsid w:val="00AA610F"/>
    <w:rsid w:val="00AA685E"/>
    <w:rsid w:val="00AA722B"/>
    <w:rsid w:val="00AA7C9C"/>
    <w:rsid w:val="00AB0C9F"/>
    <w:rsid w:val="00AB0F63"/>
    <w:rsid w:val="00AB143A"/>
    <w:rsid w:val="00AB155C"/>
    <w:rsid w:val="00AB26AF"/>
    <w:rsid w:val="00AB26BF"/>
    <w:rsid w:val="00AB4FBC"/>
    <w:rsid w:val="00AB5C84"/>
    <w:rsid w:val="00AB625E"/>
    <w:rsid w:val="00AB68F9"/>
    <w:rsid w:val="00AB717A"/>
    <w:rsid w:val="00AB7274"/>
    <w:rsid w:val="00AB7E96"/>
    <w:rsid w:val="00AC003B"/>
    <w:rsid w:val="00AC003C"/>
    <w:rsid w:val="00AC0103"/>
    <w:rsid w:val="00AC011A"/>
    <w:rsid w:val="00AC1404"/>
    <w:rsid w:val="00AC19AF"/>
    <w:rsid w:val="00AC1A33"/>
    <w:rsid w:val="00AC31E3"/>
    <w:rsid w:val="00AC31EA"/>
    <w:rsid w:val="00AC4881"/>
    <w:rsid w:val="00AC5B22"/>
    <w:rsid w:val="00AC64FE"/>
    <w:rsid w:val="00AC7F29"/>
    <w:rsid w:val="00AD039F"/>
    <w:rsid w:val="00AD0F88"/>
    <w:rsid w:val="00AD3902"/>
    <w:rsid w:val="00AD3A93"/>
    <w:rsid w:val="00AD3C07"/>
    <w:rsid w:val="00AD57F8"/>
    <w:rsid w:val="00AD5833"/>
    <w:rsid w:val="00AD6010"/>
    <w:rsid w:val="00AD694D"/>
    <w:rsid w:val="00AD731B"/>
    <w:rsid w:val="00AD76C9"/>
    <w:rsid w:val="00AE02FC"/>
    <w:rsid w:val="00AE0BEA"/>
    <w:rsid w:val="00AE22EA"/>
    <w:rsid w:val="00AE33FF"/>
    <w:rsid w:val="00AE401A"/>
    <w:rsid w:val="00AE4B14"/>
    <w:rsid w:val="00AE55BC"/>
    <w:rsid w:val="00AE564D"/>
    <w:rsid w:val="00AE5E94"/>
    <w:rsid w:val="00AE741F"/>
    <w:rsid w:val="00AE7A0A"/>
    <w:rsid w:val="00AF026B"/>
    <w:rsid w:val="00AF02BF"/>
    <w:rsid w:val="00AF03A2"/>
    <w:rsid w:val="00AF06D5"/>
    <w:rsid w:val="00AF09A7"/>
    <w:rsid w:val="00AF09DD"/>
    <w:rsid w:val="00AF0EEA"/>
    <w:rsid w:val="00AF128F"/>
    <w:rsid w:val="00AF18EB"/>
    <w:rsid w:val="00AF246B"/>
    <w:rsid w:val="00AF26B5"/>
    <w:rsid w:val="00AF2737"/>
    <w:rsid w:val="00AF31C3"/>
    <w:rsid w:val="00AF389D"/>
    <w:rsid w:val="00AF419A"/>
    <w:rsid w:val="00AF424F"/>
    <w:rsid w:val="00AF45FA"/>
    <w:rsid w:val="00AF57E4"/>
    <w:rsid w:val="00AF5A79"/>
    <w:rsid w:val="00AF5B2F"/>
    <w:rsid w:val="00AF6E0A"/>
    <w:rsid w:val="00AF712A"/>
    <w:rsid w:val="00AF7DB4"/>
    <w:rsid w:val="00AF7E69"/>
    <w:rsid w:val="00B00BDA"/>
    <w:rsid w:val="00B01A94"/>
    <w:rsid w:val="00B02629"/>
    <w:rsid w:val="00B02655"/>
    <w:rsid w:val="00B02A10"/>
    <w:rsid w:val="00B04EB1"/>
    <w:rsid w:val="00B05015"/>
    <w:rsid w:val="00B05102"/>
    <w:rsid w:val="00B06130"/>
    <w:rsid w:val="00B06A4E"/>
    <w:rsid w:val="00B079F9"/>
    <w:rsid w:val="00B07FED"/>
    <w:rsid w:val="00B10263"/>
    <w:rsid w:val="00B10376"/>
    <w:rsid w:val="00B10D36"/>
    <w:rsid w:val="00B11C26"/>
    <w:rsid w:val="00B11DEE"/>
    <w:rsid w:val="00B122FE"/>
    <w:rsid w:val="00B12661"/>
    <w:rsid w:val="00B1348E"/>
    <w:rsid w:val="00B13AEC"/>
    <w:rsid w:val="00B142AA"/>
    <w:rsid w:val="00B149C1"/>
    <w:rsid w:val="00B14BD1"/>
    <w:rsid w:val="00B14BDB"/>
    <w:rsid w:val="00B14F10"/>
    <w:rsid w:val="00B15761"/>
    <w:rsid w:val="00B15F5A"/>
    <w:rsid w:val="00B16A34"/>
    <w:rsid w:val="00B1700B"/>
    <w:rsid w:val="00B17BC3"/>
    <w:rsid w:val="00B20178"/>
    <w:rsid w:val="00B2042B"/>
    <w:rsid w:val="00B213F2"/>
    <w:rsid w:val="00B217D6"/>
    <w:rsid w:val="00B22073"/>
    <w:rsid w:val="00B246F9"/>
    <w:rsid w:val="00B24FAF"/>
    <w:rsid w:val="00B25453"/>
    <w:rsid w:val="00B25E56"/>
    <w:rsid w:val="00B25ED6"/>
    <w:rsid w:val="00B264F5"/>
    <w:rsid w:val="00B30559"/>
    <w:rsid w:val="00B3057E"/>
    <w:rsid w:val="00B311D2"/>
    <w:rsid w:val="00B31B9C"/>
    <w:rsid w:val="00B32A01"/>
    <w:rsid w:val="00B32EB0"/>
    <w:rsid w:val="00B33653"/>
    <w:rsid w:val="00B33FCC"/>
    <w:rsid w:val="00B34454"/>
    <w:rsid w:val="00B34D6C"/>
    <w:rsid w:val="00B3538D"/>
    <w:rsid w:val="00B35559"/>
    <w:rsid w:val="00B3559C"/>
    <w:rsid w:val="00B35E30"/>
    <w:rsid w:val="00B369A3"/>
    <w:rsid w:val="00B36B36"/>
    <w:rsid w:val="00B3725B"/>
    <w:rsid w:val="00B40C94"/>
    <w:rsid w:val="00B4118A"/>
    <w:rsid w:val="00B41799"/>
    <w:rsid w:val="00B4186F"/>
    <w:rsid w:val="00B4252B"/>
    <w:rsid w:val="00B431DE"/>
    <w:rsid w:val="00B466ED"/>
    <w:rsid w:val="00B4696B"/>
    <w:rsid w:val="00B46DC9"/>
    <w:rsid w:val="00B47CC6"/>
    <w:rsid w:val="00B5001E"/>
    <w:rsid w:val="00B5051A"/>
    <w:rsid w:val="00B505B6"/>
    <w:rsid w:val="00B5256C"/>
    <w:rsid w:val="00B526DB"/>
    <w:rsid w:val="00B53117"/>
    <w:rsid w:val="00B5384F"/>
    <w:rsid w:val="00B53CA7"/>
    <w:rsid w:val="00B54421"/>
    <w:rsid w:val="00B552E3"/>
    <w:rsid w:val="00B5544F"/>
    <w:rsid w:val="00B55E5D"/>
    <w:rsid w:val="00B55EA9"/>
    <w:rsid w:val="00B56826"/>
    <w:rsid w:val="00B56FF7"/>
    <w:rsid w:val="00B57170"/>
    <w:rsid w:val="00B577A8"/>
    <w:rsid w:val="00B577EA"/>
    <w:rsid w:val="00B577FF"/>
    <w:rsid w:val="00B60314"/>
    <w:rsid w:val="00B60A36"/>
    <w:rsid w:val="00B61155"/>
    <w:rsid w:val="00B6285D"/>
    <w:rsid w:val="00B629A6"/>
    <w:rsid w:val="00B64A61"/>
    <w:rsid w:val="00B65540"/>
    <w:rsid w:val="00B66264"/>
    <w:rsid w:val="00B66847"/>
    <w:rsid w:val="00B66867"/>
    <w:rsid w:val="00B66994"/>
    <w:rsid w:val="00B66EF5"/>
    <w:rsid w:val="00B6766D"/>
    <w:rsid w:val="00B679E4"/>
    <w:rsid w:val="00B67D62"/>
    <w:rsid w:val="00B67FA7"/>
    <w:rsid w:val="00B70757"/>
    <w:rsid w:val="00B7079D"/>
    <w:rsid w:val="00B707FE"/>
    <w:rsid w:val="00B71A1E"/>
    <w:rsid w:val="00B71AFB"/>
    <w:rsid w:val="00B71F3A"/>
    <w:rsid w:val="00B73748"/>
    <w:rsid w:val="00B73AA8"/>
    <w:rsid w:val="00B73C97"/>
    <w:rsid w:val="00B74107"/>
    <w:rsid w:val="00B74895"/>
    <w:rsid w:val="00B74E9A"/>
    <w:rsid w:val="00B7619A"/>
    <w:rsid w:val="00B76340"/>
    <w:rsid w:val="00B76A88"/>
    <w:rsid w:val="00B80C43"/>
    <w:rsid w:val="00B80DF0"/>
    <w:rsid w:val="00B80F6A"/>
    <w:rsid w:val="00B815B2"/>
    <w:rsid w:val="00B81816"/>
    <w:rsid w:val="00B821F8"/>
    <w:rsid w:val="00B8264D"/>
    <w:rsid w:val="00B836F5"/>
    <w:rsid w:val="00B85B4E"/>
    <w:rsid w:val="00B85E48"/>
    <w:rsid w:val="00B8608E"/>
    <w:rsid w:val="00B8623A"/>
    <w:rsid w:val="00B868E2"/>
    <w:rsid w:val="00B874C1"/>
    <w:rsid w:val="00B87B2F"/>
    <w:rsid w:val="00B87B6D"/>
    <w:rsid w:val="00B87E7C"/>
    <w:rsid w:val="00B87EAE"/>
    <w:rsid w:val="00B905F8"/>
    <w:rsid w:val="00B91530"/>
    <w:rsid w:val="00B92423"/>
    <w:rsid w:val="00B92D7C"/>
    <w:rsid w:val="00B934DD"/>
    <w:rsid w:val="00B9355C"/>
    <w:rsid w:val="00B94786"/>
    <w:rsid w:val="00B94AB5"/>
    <w:rsid w:val="00B94DD2"/>
    <w:rsid w:val="00B9551C"/>
    <w:rsid w:val="00B95B70"/>
    <w:rsid w:val="00B95C96"/>
    <w:rsid w:val="00B9607E"/>
    <w:rsid w:val="00B9671E"/>
    <w:rsid w:val="00B97256"/>
    <w:rsid w:val="00BA081B"/>
    <w:rsid w:val="00BA0AC0"/>
    <w:rsid w:val="00BA0D64"/>
    <w:rsid w:val="00BA202C"/>
    <w:rsid w:val="00BA2431"/>
    <w:rsid w:val="00BA2A57"/>
    <w:rsid w:val="00BA2B9C"/>
    <w:rsid w:val="00BA2DB3"/>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520"/>
    <w:rsid w:val="00BB3D25"/>
    <w:rsid w:val="00BB5E21"/>
    <w:rsid w:val="00BB61B4"/>
    <w:rsid w:val="00BB64E9"/>
    <w:rsid w:val="00BB6D2B"/>
    <w:rsid w:val="00BB79BD"/>
    <w:rsid w:val="00BC0AF6"/>
    <w:rsid w:val="00BC0D50"/>
    <w:rsid w:val="00BC10E6"/>
    <w:rsid w:val="00BC1111"/>
    <w:rsid w:val="00BC119C"/>
    <w:rsid w:val="00BC2846"/>
    <w:rsid w:val="00BC330E"/>
    <w:rsid w:val="00BC3516"/>
    <w:rsid w:val="00BC55A3"/>
    <w:rsid w:val="00BC60A0"/>
    <w:rsid w:val="00BC666B"/>
    <w:rsid w:val="00BC7208"/>
    <w:rsid w:val="00BD0B48"/>
    <w:rsid w:val="00BD0F16"/>
    <w:rsid w:val="00BD141D"/>
    <w:rsid w:val="00BD1E24"/>
    <w:rsid w:val="00BD21CA"/>
    <w:rsid w:val="00BD2910"/>
    <w:rsid w:val="00BD2A0A"/>
    <w:rsid w:val="00BD2EB1"/>
    <w:rsid w:val="00BD3653"/>
    <w:rsid w:val="00BD4031"/>
    <w:rsid w:val="00BD462E"/>
    <w:rsid w:val="00BD476A"/>
    <w:rsid w:val="00BD4CE7"/>
    <w:rsid w:val="00BD5007"/>
    <w:rsid w:val="00BD57D9"/>
    <w:rsid w:val="00BD5D0F"/>
    <w:rsid w:val="00BD6DEE"/>
    <w:rsid w:val="00BD75BA"/>
    <w:rsid w:val="00BD761A"/>
    <w:rsid w:val="00BD7C68"/>
    <w:rsid w:val="00BE08AA"/>
    <w:rsid w:val="00BE0CC9"/>
    <w:rsid w:val="00BE127E"/>
    <w:rsid w:val="00BE15B2"/>
    <w:rsid w:val="00BE1C0A"/>
    <w:rsid w:val="00BE1CBC"/>
    <w:rsid w:val="00BE1F49"/>
    <w:rsid w:val="00BE29DC"/>
    <w:rsid w:val="00BE2BBB"/>
    <w:rsid w:val="00BE4EB6"/>
    <w:rsid w:val="00BE5393"/>
    <w:rsid w:val="00BE5C7D"/>
    <w:rsid w:val="00BE6BD1"/>
    <w:rsid w:val="00BF02A1"/>
    <w:rsid w:val="00BF0B6E"/>
    <w:rsid w:val="00BF0CEC"/>
    <w:rsid w:val="00BF16CE"/>
    <w:rsid w:val="00BF1EA0"/>
    <w:rsid w:val="00BF1EC1"/>
    <w:rsid w:val="00BF697A"/>
    <w:rsid w:val="00BF6ADB"/>
    <w:rsid w:val="00BF6D5A"/>
    <w:rsid w:val="00BF7393"/>
    <w:rsid w:val="00BF7E86"/>
    <w:rsid w:val="00C002D3"/>
    <w:rsid w:val="00C02209"/>
    <w:rsid w:val="00C0223F"/>
    <w:rsid w:val="00C03613"/>
    <w:rsid w:val="00C03776"/>
    <w:rsid w:val="00C03964"/>
    <w:rsid w:val="00C03E66"/>
    <w:rsid w:val="00C04B9F"/>
    <w:rsid w:val="00C074D9"/>
    <w:rsid w:val="00C0753E"/>
    <w:rsid w:val="00C0767D"/>
    <w:rsid w:val="00C07B32"/>
    <w:rsid w:val="00C10A86"/>
    <w:rsid w:val="00C1164F"/>
    <w:rsid w:val="00C12078"/>
    <w:rsid w:val="00C1249D"/>
    <w:rsid w:val="00C129DB"/>
    <w:rsid w:val="00C13821"/>
    <w:rsid w:val="00C13A14"/>
    <w:rsid w:val="00C14051"/>
    <w:rsid w:val="00C15302"/>
    <w:rsid w:val="00C15B9A"/>
    <w:rsid w:val="00C15F73"/>
    <w:rsid w:val="00C16B4D"/>
    <w:rsid w:val="00C173A7"/>
    <w:rsid w:val="00C17FBD"/>
    <w:rsid w:val="00C2037B"/>
    <w:rsid w:val="00C20A11"/>
    <w:rsid w:val="00C20AD4"/>
    <w:rsid w:val="00C21039"/>
    <w:rsid w:val="00C214A9"/>
    <w:rsid w:val="00C2222C"/>
    <w:rsid w:val="00C22ED9"/>
    <w:rsid w:val="00C22FF7"/>
    <w:rsid w:val="00C23DC9"/>
    <w:rsid w:val="00C24BDE"/>
    <w:rsid w:val="00C25F93"/>
    <w:rsid w:val="00C26391"/>
    <w:rsid w:val="00C26404"/>
    <w:rsid w:val="00C27A2F"/>
    <w:rsid w:val="00C27F75"/>
    <w:rsid w:val="00C27F76"/>
    <w:rsid w:val="00C30957"/>
    <w:rsid w:val="00C30CF2"/>
    <w:rsid w:val="00C30DA4"/>
    <w:rsid w:val="00C31EF5"/>
    <w:rsid w:val="00C32B74"/>
    <w:rsid w:val="00C33D7F"/>
    <w:rsid w:val="00C36D87"/>
    <w:rsid w:val="00C3788C"/>
    <w:rsid w:val="00C37DF6"/>
    <w:rsid w:val="00C40133"/>
    <w:rsid w:val="00C42133"/>
    <w:rsid w:val="00C427CE"/>
    <w:rsid w:val="00C42E1E"/>
    <w:rsid w:val="00C4337B"/>
    <w:rsid w:val="00C4421F"/>
    <w:rsid w:val="00C44719"/>
    <w:rsid w:val="00C44A9B"/>
    <w:rsid w:val="00C4657D"/>
    <w:rsid w:val="00C4690E"/>
    <w:rsid w:val="00C46EDD"/>
    <w:rsid w:val="00C474C0"/>
    <w:rsid w:val="00C47566"/>
    <w:rsid w:val="00C47F43"/>
    <w:rsid w:val="00C50108"/>
    <w:rsid w:val="00C51610"/>
    <w:rsid w:val="00C51E37"/>
    <w:rsid w:val="00C51F6A"/>
    <w:rsid w:val="00C5209A"/>
    <w:rsid w:val="00C5211B"/>
    <w:rsid w:val="00C53445"/>
    <w:rsid w:val="00C560BC"/>
    <w:rsid w:val="00C5657A"/>
    <w:rsid w:val="00C57084"/>
    <w:rsid w:val="00C57857"/>
    <w:rsid w:val="00C57D74"/>
    <w:rsid w:val="00C60128"/>
    <w:rsid w:val="00C60ED4"/>
    <w:rsid w:val="00C61FDC"/>
    <w:rsid w:val="00C63F97"/>
    <w:rsid w:val="00C64314"/>
    <w:rsid w:val="00C64DC4"/>
    <w:rsid w:val="00C6572C"/>
    <w:rsid w:val="00C65B65"/>
    <w:rsid w:val="00C672C4"/>
    <w:rsid w:val="00C674CB"/>
    <w:rsid w:val="00C677C3"/>
    <w:rsid w:val="00C67AC4"/>
    <w:rsid w:val="00C67F27"/>
    <w:rsid w:val="00C708F7"/>
    <w:rsid w:val="00C70B2D"/>
    <w:rsid w:val="00C70CFF"/>
    <w:rsid w:val="00C71011"/>
    <w:rsid w:val="00C71A6A"/>
    <w:rsid w:val="00C72A9C"/>
    <w:rsid w:val="00C72EB9"/>
    <w:rsid w:val="00C73A70"/>
    <w:rsid w:val="00C73C6D"/>
    <w:rsid w:val="00C74092"/>
    <w:rsid w:val="00C749F0"/>
    <w:rsid w:val="00C74D18"/>
    <w:rsid w:val="00C75655"/>
    <w:rsid w:val="00C757B8"/>
    <w:rsid w:val="00C75D4E"/>
    <w:rsid w:val="00C761FB"/>
    <w:rsid w:val="00C7672B"/>
    <w:rsid w:val="00C7691A"/>
    <w:rsid w:val="00C76AF3"/>
    <w:rsid w:val="00C76C25"/>
    <w:rsid w:val="00C76C36"/>
    <w:rsid w:val="00C76D7F"/>
    <w:rsid w:val="00C77A1F"/>
    <w:rsid w:val="00C77BEC"/>
    <w:rsid w:val="00C804C7"/>
    <w:rsid w:val="00C80CA5"/>
    <w:rsid w:val="00C819B7"/>
    <w:rsid w:val="00C81DE1"/>
    <w:rsid w:val="00C8255A"/>
    <w:rsid w:val="00C82FC8"/>
    <w:rsid w:val="00C837C3"/>
    <w:rsid w:val="00C83A28"/>
    <w:rsid w:val="00C84497"/>
    <w:rsid w:val="00C851E2"/>
    <w:rsid w:val="00C868F6"/>
    <w:rsid w:val="00C86953"/>
    <w:rsid w:val="00C87B40"/>
    <w:rsid w:val="00C9137C"/>
    <w:rsid w:val="00C91644"/>
    <w:rsid w:val="00C930D3"/>
    <w:rsid w:val="00C9443A"/>
    <w:rsid w:val="00C9663B"/>
    <w:rsid w:val="00CA09C3"/>
    <w:rsid w:val="00CA1356"/>
    <w:rsid w:val="00CA23E4"/>
    <w:rsid w:val="00CA253B"/>
    <w:rsid w:val="00CA269E"/>
    <w:rsid w:val="00CA2E99"/>
    <w:rsid w:val="00CA35C7"/>
    <w:rsid w:val="00CA3669"/>
    <w:rsid w:val="00CA43A5"/>
    <w:rsid w:val="00CA4960"/>
    <w:rsid w:val="00CA5281"/>
    <w:rsid w:val="00CA586E"/>
    <w:rsid w:val="00CA5FDE"/>
    <w:rsid w:val="00CA72DC"/>
    <w:rsid w:val="00CA7C0B"/>
    <w:rsid w:val="00CA7F1D"/>
    <w:rsid w:val="00CB0C1D"/>
    <w:rsid w:val="00CB0C94"/>
    <w:rsid w:val="00CB18EB"/>
    <w:rsid w:val="00CB18FC"/>
    <w:rsid w:val="00CB19E0"/>
    <w:rsid w:val="00CB2039"/>
    <w:rsid w:val="00CB21D2"/>
    <w:rsid w:val="00CB2301"/>
    <w:rsid w:val="00CB244C"/>
    <w:rsid w:val="00CB2CC4"/>
    <w:rsid w:val="00CB4A4D"/>
    <w:rsid w:val="00CB5232"/>
    <w:rsid w:val="00CB56AB"/>
    <w:rsid w:val="00CB5FDE"/>
    <w:rsid w:val="00CB65BF"/>
    <w:rsid w:val="00CB69D1"/>
    <w:rsid w:val="00CB6E2B"/>
    <w:rsid w:val="00CB6FF7"/>
    <w:rsid w:val="00CB7302"/>
    <w:rsid w:val="00CB792D"/>
    <w:rsid w:val="00CC1E9F"/>
    <w:rsid w:val="00CC263B"/>
    <w:rsid w:val="00CC4780"/>
    <w:rsid w:val="00CC4C3C"/>
    <w:rsid w:val="00CC4D69"/>
    <w:rsid w:val="00CC5850"/>
    <w:rsid w:val="00CC5896"/>
    <w:rsid w:val="00CC5F14"/>
    <w:rsid w:val="00CC6F89"/>
    <w:rsid w:val="00CC72D5"/>
    <w:rsid w:val="00CC7368"/>
    <w:rsid w:val="00CD045F"/>
    <w:rsid w:val="00CD0FAE"/>
    <w:rsid w:val="00CD12FE"/>
    <w:rsid w:val="00CD2B54"/>
    <w:rsid w:val="00CD4046"/>
    <w:rsid w:val="00CD4158"/>
    <w:rsid w:val="00CD50AF"/>
    <w:rsid w:val="00CD5A0D"/>
    <w:rsid w:val="00CD5A37"/>
    <w:rsid w:val="00CD674A"/>
    <w:rsid w:val="00CD7BB3"/>
    <w:rsid w:val="00CD7D63"/>
    <w:rsid w:val="00CE0C35"/>
    <w:rsid w:val="00CE3433"/>
    <w:rsid w:val="00CE3810"/>
    <w:rsid w:val="00CE3A1B"/>
    <w:rsid w:val="00CE4EA8"/>
    <w:rsid w:val="00CE52B4"/>
    <w:rsid w:val="00CE59BB"/>
    <w:rsid w:val="00CE5A8E"/>
    <w:rsid w:val="00CE5DCD"/>
    <w:rsid w:val="00CE6E0B"/>
    <w:rsid w:val="00CE701C"/>
    <w:rsid w:val="00CE7599"/>
    <w:rsid w:val="00CE77E3"/>
    <w:rsid w:val="00CF2095"/>
    <w:rsid w:val="00CF414A"/>
    <w:rsid w:val="00CF47E1"/>
    <w:rsid w:val="00CF4892"/>
    <w:rsid w:val="00CF4E3B"/>
    <w:rsid w:val="00CF4FF0"/>
    <w:rsid w:val="00CF5494"/>
    <w:rsid w:val="00CF57B0"/>
    <w:rsid w:val="00CF5B47"/>
    <w:rsid w:val="00CF607B"/>
    <w:rsid w:val="00CF63A2"/>
    <w:rsid w:val="00CF6869"/>
    <w:rsid w:val="00D01248"/>
    <w:rsid w:val="00D013CF"/>
    <w:rsid w:val="00D024F3"/>
    <w:rsid w:val="00D02B7D"/>
    <w:rsid w:val="00D03946"/>
    <w:rsid w:val="00D04908"/>
    <w:rsid w:val="00D04ACF"/>
    <w:rsid w:val="00D04FDD"/>
    <w:rsid w:val="00D05130"/>
    <w:rsid w:val="00D051A1"/>
    <w:rsid w:val="00D079B4"/>
    <w:rsid w:val="00D07BE6"/>
    <w:rsid w:val="00D1003F"/>
    <w:rsid w:val="00D104F9"/>
    <w:rsid w:val="00D1141D"/>
    <w:rsid w:val="00D12DD6"/>
    <w:rsid w:val="00D13ABF"/>
    <w:rsid w:val="00D14323"/>
    <w:rsid w:val="00D1581D"/>
    <w:rsid w:val="00D15D9F"/>
    <w:rsid w:val="00D16008"/>
    <w:rsid w:val="00D166D4"/>
    <w:rsid w:val="00D170AD"/>
    <w:rsid w:val="00D2099C"/>
    <w:rsid w:val="00D20C46"/>
    <w:rsid w:val="00D20D57"/>
    <w:rsid w:val="00D21A13"/>
    <w:rsid w:val="00D22631"/>
    <w:rsid w:val="00D22C07"/>
    <w:rsid w:val="00D241FB"/>
    <w:rsid w:val="00D25369"/>
    <w:rsid w:val="00D2537E"/>
    <w:rsid w:val="00D255DC"/>
    <w:rsid w:val="00D263ED"/>
    <w:rsid w:val="00D2656C"/>
    <w:rsid w:val="00D27D78"/>
    <w:rsid w:val="00D30254"/>
    <w:rsid w:val="00D3058C"/>
    <w:rsid w:val="00D30954"/>
    <w:rsid w:val="00D324D4"/>
    <w:rsid w:val="00D329A2"/>
    <w:rsid w:val="00D33768"/>
    <w:rsid w:val="00D33D87"/>
    <w:rsid w:val="00D33E54"/>
    <w:rsid w:val="00D341DA"/>
    <w:rsid w:val="00D34C7A"/>
    <w:rsid w:val="00D34F4A"/>
    <w:rsid w:val="00D35077"/>
    <w:rsid w:val="00D35A6E"/>
    <w:rsid w:val="00D365A7"/>
    <w:rsid w:val="00D36D71"/>
    <w:rsid w:val="00D3762A"/>
    <w:rsid w:val="00D3783A"/>
    <w:rsid w:val="00D408A8"/>
    <w:rsid w:val="00D40B27"/>
    <w:rsid w:val="00D40B57"/>
    <w:rsid w:val="00D40E37"/>
    <w:rsid w:val="00D41458"/>
    <w:rsid w:val="00D415D6"/>
    <w:rsid w:val="00D41844"/>
    <w:rsid w:val="00D41A9C"/>
    <w:rsid w:val="00D43DC1"/>
    <w:rsid w:val="00D44A7C"/>
    <w:rsid w:val="00D45204"/>
    <w:rsid w:val="00D45A36"/>
    <w:rsid w:val="00D45DD3"/>
    <w:rsid w:val="00D4647A"/>
    <w:rsid w:val="00D46A67"/>
    <w:rsid w:val="00D46DAE"/>
    <w:rsid w:val="00D50721"/>
    <w:rsid w:val="00D51346"/>
    <w:rsid w:val="00D51C8F"/>
    <w:rsid w:val="00D51E3B"/>
    <w:rsid w:val="00D5204B"/>
    <w:rsid w:val="00D525BB"/>
    <w:rsid w:val="00D528B0"/>
    <w:rsid w:val="00D53460"/>
    <w:rsid w:val="00D537F0"/>
    <w:rsid w:val="00D54C10"/>
    <w:rsid w:val="00D54CED"/>
    <w:rsid w:val="00D55191"/>
    <w:rsid w:val="00D55CD0"/>
    <w:rsid w:val="00D57275"/>
    <w:rsid w:val="00D57544"/>
    <w:rsid w:val="00D57973"/>
    <w:rsid w:val="00D60704"/>
    <w:rsid w:val="00D60CE2"/>
    <w:rsid w:val="00D612EC"/>
    <w:rsid w:val="00D6153E"/>
    <w:rsid w:val="00D61B65"/>
    <w:rsid w:val="00D623C4"/>
    <w:rsid w:val="00D62932"/>
    <w:rsid w:val="00D62CE8"/>
    <w:rsid w:val="00D63D04"/>
    <w:rsid w:val="00D63F86"/>
    <w:rsid w:val="00D669D3"/>
    <w:rsid w:val="00D676E9"/>
    <w:rsid w:val="00D70126"/>
    <w:rsid w:val="00D701BA"/>
    <w:rsid w:val="00D70501"/>
    <w:rsid w:val="00D7065C"/>
    <w:rsid w:val="00D722DF"/>
    <w:rsid w:val="00D72A2E"/>
    <w:rsid w:val="00D737B5"/>
    <w:rsid w:val="00D741FF"/>
    <w:rsid w:val="00D74834"/>
    <w:rsid w:val="00D7560E"/>
    <w:rsid w:val="00D7603A"/>
    <w:rsid w:val="00D769B9"/>
    <w:rsid w:val="00D77699"/>
    <w:rsid w:val="00D77A55"/>
    <w:rsid w:val="00D807D4"/>
    <w:rsid w:val="00D808E4"/>
    <w:rsid w:val="00D81C1D"/>
    <w:rsid w:val="00D8223C"/>
    <w:rsid w:val="00D83F48"/>
    <w:rsid w:val="00D84675"/>
    <w:rsid w:val="00D8526A"/>
    <w:rsid w:val="00D86252"/>
    <w:rsid w:val="00D86EF5"/>
    <w:rsid w:val="00D87797"/>
    <w:rsid w:val="00D87995"/>
    <w:rsid w:val="00D87CC5"/>
    <w:rsid w:val="00D90F0C"/>
    <w:rsid w:val="00D917F3"/>
    <w:rsid w:val="00D93DF5"/>
    <w:rsid w:val="00D95091"/>
    <w:rsid w:val="00D95AE9"/>
    <w:rsid w:val="00D95AF4"/>
    <w:rsid w:val="00D95CB0"/>
    <w:rsid w:val="00D96D38"/>
    <w:rsid w:val="00D973B2"/>
    <w:rsid w:val="00D97BAA"/>
    <w:rsid w:val="00DA0435"/>
    <w:rsid w:val="00DA073B"/>
    <w:rsid w:val="00DA0773"/>
    <w:rsid w:val="00DA0DED"/>
    <w:rsid w:val="00DA1144"/>
    <w:rsid w:val="00DA17D3"/>
    <w:rsid w:val="00DA1902"/>
    <w:rsid w:val="00DA2B67"/>
    <w:rsid w:val="00DA33BA"/>
    <w:rsid w:val="00DA3AF3"/>
    <w:rsid w:val="00DA495A"/>
    <w:rsid w:val="00DA4C31"/>
    <w:rsid w:val="00DA517F"/>
    <w:rsid w:val="00DA5423"/>
    <w:rsid w:val="00DA544F"/>
    <w:rsid w:val="00DA5455"/>
    <w:rsid w:val="00DA57F0"/>
    <w:rsid w:val="00DA5C2B"/>
    <w:rsid w:val="00DA648B"/>
    <w:rsid w:val="00DA6C17"/>
    <w:rsid w:val="00DA6F07"/>
    <w:rsid w:val="00DB1369"/>
    <w:rsid w:val="00DB169E"/>
    <w:rsid w:val="00DB20DA"/>
    <w:rsid w:val="00DB26FC"/>
    <w:rsid w:val="00DB2CBB"/>
    <w:rsid w:val="00DB3E83"/>
    <w:rsid w:val="00DB4150"/>
    <w:rsid w:val="00DB422A"/>
    <w:rsid w:val="00DB4754"/>
    <w:rsid w:val="00DB5541"/>
    <w:rsid w:val="00DB5DF2"/>
    <w:rsid w:val="00DB5EFB"/>
    <w:rsid w:val="00DB6044"/>
    <w:rsid w:val="00DB6CB7"/>
    <w:rsid w:val="00DB6E0D"/>
    <w:rsid w:val="00DB6EF1"/>
    <w:rsid w:val="00DB6F95"/>
    <w:rsid w:val="00DB7094"/>
    <w:rsid w:val="00DB71D6"/>
    <w:rsid w:val="00DB7732"/>
    <w:rsid w:val="00DB77E3"/>
    <w:rsid w:val="00DC0893"/>
    <w:rsid w:val="00DC09FB"/>
    <w:rsid w:val="00DC19BB"/>
    <w:rsid w:val="00DC2172"/>
    <w:rsid w:val="00DC43DC"/>
    <w:rsid w:val="00DC4D3A"/>
    <w:rsid w:val="00DC5574"/>
    <w:rsid w:val="00DC6404"/>
    <w:rsid w:val="00DC6690"/>
    <w:rsid w:val="00DC6756"/>
    <w:rsid w:val="00DC72B1"/>
    <w:rsid w:val="00DC7375"/>
    <w:rsid w:val="00DC7B30"/>
    <w:rsid w:val="00DD0B35"/>
    <w:rsid w:val="00DD113B"/>
    <w:rsid w:val="00DD1381"/>
    <w:rsid w:val="00DD215C"/>
    <w:rsid w:val="00DD2CC2"/>
    <w:rsid w:val="00DD3D8D"/>
    <w:rsid w:val="00DD4237"/>
    <w:rsid w:val="00DD4818"/>
    <w:rsid w:val="00DD48EF"/>
    <w:rsid w:val="00DD54E7"/>
    <w:rsid w:val="00DD57B3"/>
    <w:rsid w:val="00DD5848"/>
    <w:rsid w:val="00DD5D3F"/>
    <w:rsid w:val="00DD613D"/>
    <w:rsid w:val="00DD64C5"/>
    <w:rsid w:val="00DD6C23"/>
    <w:rsid w:val="00DD701A"/>
    <w:rsid w:val="00DD77A4"/>
    <w:rsid w:val="00DD7ABC"/>
    <w:rsid w:val="00DD7FDF"/>
    <w:rsid w:val="00DE0758"/>
    <w:rsid w:val="00DE0776"/>
    <w:rsid w:val="00DE0B09"/>
    <w:rsid w:val="00DE1703"/>
    <w:rsid w:val="00DE25AC"/>
    <w:rsid w:val="00DE2693"/>
    <w:rsid w:val="00DE2A15"/>
    <w:rsid w:val="00DE398D"/>
    <w:rsid w:val="00DE41A7"/>
    <w:rsid w:val="00DE44FD"/>
    <w:rsid w:val="00DE4556"/>
    <w:rsid w:val="00DE6531"/>
    <w:rsid w:val="00DE6744"/>
    <w:rsid w:val="00DE77FA"/>
    <w:rsid w:val="00DE7FB8"/>
    <w:rsid w:val="00DF03CC"/>
    <w:rsid w:val="00DF049A"/>
    <w:rsid w:val="00DF0B85"/>
    <w:rsid w:val="00DF212C"/>
    <w:rsid w:val="00DF2402"/>
    <w:rsid w:val="00DF2791"/>
    <w:rsid w:val="00DF27D4"/>
    <w:rsid w:val="00DF3626"/>
    <w:rsid w:val="00DF3CB5"/>
    <w:rsid w:val="00DF568D"/>
    <w:rsid w:val="00DF57D7"/>
    <w:rsid w:val="00DF58CA"/>
    <w:rsid w:val="00DF5E93"/>
    <w:rsid w:val="00DF67D2"/>
    <w:rsid w:val="00DF7069"/>
    <w:rsid w:val="00E0055D"/>
    <w:rsid w:val="00E00C1D"/>
    <w:rsid w:val="00E00CCB"/>
    <w:rsid w:val="00E0178A"/>
    <w:rsid w:val="00E025DB"/>
    <w:rsid w:val="00E03206"/>
    <w:rsid w:val="00E0324B"/>
    <w:rsid w:val="00E042C7"/>
    <w:rsid w:val="00E0498B"/>
    <w:rsid w:val="00E04A2A"/>
    <w:rsid w:val="00E04B43"/>
    <w:rsid w:val="00E0558B"/>
    <w:rsid w:val="00E057F8"/>
    <w:rsid w:val="00E061A9"/>
    <w:rsid w:val="00E06402"/>
    <w:rsid w:val="00E075D7"/>
    <w:rsid w:val="00E0781A"/>
    <w:rsid w:val="00E10048"/>
    <w:rsid w:val="00E10B7B"/>
    <w:rsid w:val="00E11475"/>
    <w:rsid w:val="00E116C5"/>
    <w:rsid w:val="00E116F2"/>
    <w:rsid w:val="00E1250E"/>
    <w:rsid w:val="00E12A46"/>
    <w:rsid w:val="00E12E2E"/>
    <w:rsid w:val="00E13A0A"/>
    <w:rsid w:val="00E13E04"/>
    <w:rsid w:val="00E1419D"/>
    <w:rsid w:val="00E149C5"/>
    <w:rsid w:val="00E153DC"/>
    <w:rsid w:val="00E15C62"/>
    <w:rsid w:val="00E15F53"/>
    <w:rsid w:val="00E15FE8"/>
    <w:rsid w:val="00E164DE"/>
    <w:rsid w:val="00E167D3"/>
    <w:rsid w:val="00E175A7"/>
    <w:rsid w:val="00E20168"/>
    <w:rsid w:val="00E20740"/>
    <w:rsid w:val="00E20E92"/>
    <w:rsid w:val="00E23DB7"/>
    <w:rsid w:val="00E245DA"/>
    <w:rsid w:val="00E24645"/>
    <w:rsid w:val="00E24817"/>
    <w:rsid w:val="00E24A2B"/>
    <w:rsid w:val="00E25496"/>
    <w:rsid w:val="00E256BD"/>
    <w:rsid w:val="00E260C5"/>
    <w:rsid w:val="00E27151"/>
    <w:rsid w:val="00E27177"/>
    <w:rsid w:val="00E274B5"/>
    <w:rsid w:val="00E27945"/>
    <w:rsid w:val="00E30903"/>
    <w:rsid w:val="00E319CD"/>
    <w:rsid w:val="00E31BCB"/>
    <w:rsid w:val="00E31BD0"/>
    <w:rsid w:val="00E32963"/>
    <w:rsid w:val="00E337BC"/>
    <w:rsid w:val="00E33F37"/>
    <w:rsid w:val="00E350CD"/>
    <w:rsid w:val="00E352B0"/>
    <w:rsid w:val="00E35915"/>
    <w:rsid w:val="00E372A9"/>
    <w:rsid w:val="00E4001B"/>
    <w:rsid w:val="00E42882"/>
    <w:rsid w:val="00E43094"/>
    <w:rsid w:val="00E43E14"/>
    <w:rsid w:val="00E4448C"/>
    <w:rsid w:val="00E45A4C"/>
    <w:rsid w:val="00E45D6B"/>
    <w:rsid w:val="00E46123"/>
    <w:rsid w:val="00E461C0"/>
    <w:rsid w:val="00E47262"/>
    <w:rsid w:val="00E50B9E"/>
    <w:rsid w:val="00E50E3D"/>
    <w:rsid w:val="00E50E44"/>
    <w:rsid w:val="00E50F64"/>
    <w:rsid w:val="00E51E10"/>
    <w:rsid w:val="00E51FDE"/>
    <w:rsid w:val="00E52A0A"/>
    <w:rsid w:val="00E534B2"/>
    <w:rsid w:val="00E53759"/>
    <w:rsid w:val="00E55693"/>
    <w:rsid w:val="00E55B3A"/>
    <w:rsid w:val="00E562DB"/>
    <w:rsid w:val="00E5659E"/>
    <w:rsid w:val="00E567DA"/>
    <w:rsid w:val="00E568DA"/>
    <w:rsid w:val="00E56B66"/>
    <w:rsid w:val="00E579AF"/>
    <w:rsid w:val="00E57CF3"/>
    <w:rsid w:val="00E60545"/>
    <w:rsid w:val="00E6066A"/>
    <w:rsid w:val="00E60920"/>
    <w:rsid w:val="00E609AD"/>
    <w:rsid w:val="00E609DF"/>
    <w:rsid w:val="00E61D57"/>
    <w:rsid w:val="00E622CC"/>
    <w:rsid w:val="00E62523"/>
    <w:rsid w:val="00E63093"/>
    <w:rsid w:val="00E639E9"/>
    <w:rsid w:val="00E63D14"/>
    <w:rsid w:val="00E63E28"/>
    <w:rsid w:val="00E643AA"/>
    <w:rsid w:val="00E64563"/>
    <w:rsid w:val="00E6468A"/>
    <w:rsid w:val="00E64A63"/>
    <w:rsid w:val="00E65A5A"/>
    <w:rsid w:val="00E65CE2"/>
    <w:rsid w:val="00E66B7B"/>
    <w:rsid w:val="00E705B7"/>
    <w:rsid w:val="00E7086E"/>
    <w:rsid w:val="00E70ECC"/>
    <w:rsid w:val="00E71839"/>
    <w:rsid w:val="00E71A89"/>
    <w:rsid w:val="00E71DE5"/>
    <w:rsid w:val="00E71FC7"/>
    <w:rsid w:val="00E724E0"/>
    <w:rsid w:val="00E73288"/>
    <w:rsid w:val="00E748A0"/>
    <w:rsid w:val="00E7694D"/>
    <w:rsid w:val="00E770B5"/>
    <w:rsid w:val="00E77197"/>
    <w:rsid w:val="00E77A3E"/>
    <w:rsid w:val="00E81B1A"/>
    <w:rsid w:val="00E81DD4"/>
    <w:rsid w:val="00E822CB"/>
    <w:rsid w:val="00E82F35"/>
    <w:rsid w:val="00E84F68"/>
    <w:rsid w:val="00E84FB3"/>
    <w:rsid w:val="00E86A3E"/>
    <w:rsid w:val="00E87037"/>
    <w:rsid w:val="00E8719A"/>
    <w:rsid w:val="00E905F2"/>
    <w:rsid w:val="00E9144E"/>
    <w:rsid w:val="00E91C0E"/>
    <w:rsid w:val="00E92D60"/>
    <w:rsid w:val="00E940E0"/>
    <w:rsid w:val="00E964CA"/>
    <w:rsid w:val="00E96D70"/>
    <w:rsid w:val="00E9767C"/>
    <w:rsid w:val="00E97ED0"/>
    <w:rsid w:val="00EA0F03"/>
    <w:rsid w:val="00EA1028"/>
    <w:rsid w:val="00EA16AD"/>
    <w:rsid w:val="00EA1973"/>
    <w:rsid w:val="00EA1EF9"/>
    <w:rsid w:val="00EA2CA0"/>
    <w:rsid w:val="00EA2CBA"/>
    <w:rsid w:val="00EA3031"/>
    <w:rsid w:val="00EA3C3F"/>
    <w:rsid w:val="00EA45CF"/>
    <w:rsid w:val="00EA60B4"/>
    <w:rsid w:val="00EA6EAB"/>
    <w:rsid w:val="00EA6F81"/>
    <w:rsid w:val="00EA7237"/>
    <w:rsid w:val="00EA7868"/>
    <w:rsid w:val="00EB0468"/>
    <w:rsid w:val="00EB055B"/>
    <w:rsid w:val="00EB0A51"/>
    <w:rsid w:val="00EB0DC2"/>
    <w:rsid w:val="00EB112A"/>
    <w:rsid w:val="00EB1D63"/>
    <w:rsid w:val="00EB27AC"/>
    <w:rsid w:val="00EB2FE6"/>
    <w:rsid w:val="00EB47AB"/>
    <w:rsid w:val="00EB57D6"/>
    <w:rsid w:val="00EB6050"/>
    <w:rsid w:val="00EB67F6"/>
    <w:rsid w:val="00EB7AFB"/>
    <w:rsid w:val="00EC103A"/>
    <w:rsid w:val="00EC1212"/>
    <w:rsid w:val="00EC1CB7"/>
    <w:rsid w:val="00EC1D3D"/>
    <w:rsid w:val="00EC2922"/>
    <w:rsid w:val="00EC3151"/>
    <w:rsid w:val="00EC32AE"/>
    <w:rsid w:val="00EC3331"/>
    <w:rsid w:val="00EC518F"/>
    <w:rsid w:val="00EC5901"/>
    <w:rsid w:val="00EC5B5B"/>
    <w:rsid w:val="00EC64F5"/>
    <w:rsid w:val="00EC677E"/>
    <w:rsid w:val="00EC6920"/>
    <w:rsid w:val="00EC7071"/>
    <w:rsid w:val="00EC7E67"/>
    <w:rsid w:val="00EC7F41"/>
    <w:rsid w:val="00ED0903"/>
    <w:rsid w:val="00ED0DF3"/>
    <w:rsid w:val="00ED1D36"/>
    <w:rsid w:val="00ED1F5D"/>
    <w:rsid w:val="00ED2781"/>
    <w:rsid w:val="00ED3143"/>
    <w:rsid w:val="00ED361E"/>
    <w:rsid w:val="00ED3B21"/>
    <w:rsid w:val="00ED3E97"/>
    <w:rsid w:val="00ED3F10"/>
    <w:rsid w:val="00ED4716"/>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3839"/>
    <w:rsid w:val="00EE43D6"/>
    <w:rsid w:val="00EE4B1B"/>
    <w:rsid w:val="00EE6269"/>
    <w:rsid w:val="00EE6BD9"/>
    <w:rsid w:val="00EE6F59"/>
    <w:rsid w:val="00EE77D3"/>
    <w:rsid w:val="00EF0443"/>
    <w:rsid w:val="00EF063D"/>
    <w:rsid w:val="00EF0C6F"/>
    <w:rsid w:val="00EF0D0B"/>
    <w:rsid w:val="00EF1BE1"/>
    <w:rsid w:val="00EF388A"/>
    <w:rsid w:val="00EF3918"/>
    <w:rsid w:val="00EF3F1B"/>
    <w:rsid w:val="00EF4058"/>
    <w:rsid w:val="00EF4099"/>
    <w:rsid w:val="00EF4F82"/>
    <w:rsid w:val="00EF523D"/>
    <w:rsid w:val="00EF59CA"/>
    <w:rsid w:val="00EF6BDC"/>
    <w:rsid w:val="00EF6C59"/>
    <w:rsid w:val="00F0096F"/>
    <w:rsid w:val="00F0190F"/>
    <w:rsid w:val="00F01C4C"/>
    <w:rsid w:val="00F025BB"/>
    <w:rsid w:val="00F02786"/>
    <w:rsid w:val="00F030ED"/>
    <w:rsid w:val="00F030FD"/>
    <w:rsid w:val="00F0434F"/>
    <w:rsid w:val="00F0520F"/>
    <w:rsid w:val="00F05D0A"/>
    <w:rsid w:val="00F0670F"/>
    <w:rsid w:val="00F0692E"/>
    <w:rsid w:val="00F06A1F"/>
    <w:rsid w:val="00F06B11"/>
    <w:rsid w:val="00F07FA6"/>
    <w:rsid w:val="00F114FD"/>
    <w:rsid w:val="00F11BB3"/>
    <w:rsid w:val="00F1229E"/>
    <w:rsid w:val="00F12DB7"/>
    <w:rsid w:val="00F13036"/>
    <w:rsid w:val="00F13D0B"/>
    <w:rsid w:val="00F142CF"/>
    <w:rsid w:val="00F15C3C"/>
    <w:rsid w:val="00F16A3A"/>
    <w:rsid w:val="00F176D1"/>
    <w:rsid w:val="00F2127D"/>
    <w:rsid w:val="00F215DE"/>
    <w:rsid w:val="00F21D1A"/>
    <w:rsid w:val="00F22865"/>
    <w:rsid w:val="00F244C9"/>
    <w:rsid w:val="00F24BF5"/>
    <w:rsid w:val="00F24D75"/>
    <w:rsid w:val="00F261E3"/>
    <w:rsid w:val="00F2676D"/>
    <w:rsid w:val="00F26E54"/>
    <w:rsid w:val="00F30EB3"/>
    <w:rsid w:val="00F30F90"/>
    <w:rsid w:val="00F3294F"/>
    <w:rsid w:val="00F32E80"/>
    <w:rsid w:val="00F34B2F"/>
    <w:rsid w:val="00F34F33"/>
    <w:rsid w:val="00F36588"/>
    <w:rsid w:val="00F366D8"/>
    <w:rsid w:val="00F36D1F"/>
    <w:rsid w:val="00F3769E"/>
    <w:rsid w:val="00F379BA"/>
    <w:rsid w:val="00F40F06"/>
    <w:rsid w:val="00F41172"/>
    <w:rsid w:val="00F41F8F"/>
    <w:rsid w:val="00F42669"/>
    <w:rsid w:val="00F43173"/>
    <w:rsid w:val="00F4374F"/>
    <w:rsid w:val="00F46A6E"/>
    <w:rsid w:val="00F47128"/>
    <w:rsid w:val="00F4749B"/>
    <w:rsid w:val="00F47DAC"/>
    <w:rsid w:val="00F514FB"/>
    <w:rsid w:val="00F523E8"/>
    <w:rsid w:val="00F52B73"/>
    <w:rsid w:val="00F53B64"/>
    <w:rsid w:val="00F54783"/>
    <w:rsid w:val="00F54F4B"/>
    <w:rsid w:val="00F55971"/>
    <w:rsid w:val="00F559A2"/>
    <w:rsid w:val="00F56A79"/>
    <w:rsid w:val="00F56CE9"/>
    <w:rsid w:val="00F600AA"/>
    <w:rsid w:val="00F60793"/>
    <w:rsid w:val="00F60960"/>
    <w:rsid w:val="00F609A9"/>
    <w:rsid w:val="00F61151"/>
    <w:rsid w:val="00F61D83"/>
    <w:rsid w:val="00F62471"/>
    <w:rsid w:val="00F63723"/>
    <w:rsid w:val="00F63EDC"/>
    <w:rsid w:val="00F64E44"/>
    <w:rsid w:val="00F64ECE"/>
    <w:rsid w:val="00F66544"/>
    <w:rsid w:val="00F66F0F"/>
    <w:rsid w:val="00F66F2A"/>
    <w:rsid w:val="00F677C5"/>
    <w:rsid w:val="00F67B6E"/>
    <w:rsid w:val="00F67C08"/>
    <w:rsid w:val="00F7174B"/>
    <w:rsid w:val="00F72A85"/>
    <w:rsid w:val="00F73525"/>
    <w:rsid w:val="00F746DF"/>
    <w:rsid w:val="00F74841"/>
    <w:rsid w:val="00F74EE0"/>
    <w:rsid w:val="00F75581"/>
    <w:rsid w:val="00F77765"/>
    <w:rsid w:val="00F77907"/>
    <w:rsid w:val="00F77EC3"/>
    <w:rsid w:val="00F800E3"/>
    <w:rsid w:val="00F8049C"/>
    <w:rsid w:val="00F816B4"/>
    <w:rsid w:val="00F823C6"/>
    <w:rsid w:val="00F825CD"/>
    <w:rsid w:val="00F83E63"/>
    <w:rsid w:val="00F842C0"/>
    <w:rsid w:val="00F849C0"/>
    <w:rsid w:val="00F84E26"/>
    <w:rsid w:val="00F853B8"/>
    <w:rsid w:val="00F85E98"/>
    <w:rsid w:val="00F86921"/>
    <w:rsid w:val="00F86A11"/>
    <w:rsid w:val="00F909A0"/>
    <w:rsid w:val="00F90F30"/>
    <w:rsid w:val="00F91762"/>
    <w:rsid w:val="00F91928"/>
    <w:rsid w:val="00F91943"/>
    <w:rsid w:val="00F92800"/>
    <w:rsid w:val="00F92924"/>
    <w:rsid w:val="00F9388B"/>
    <w:rsid w:val="00F93939"/>
    <w:rsid w:val="00F945ED"/>
    <w:rsid w:val="00F951A5"/>
    <w:rsid w:val="00F95989"/>
    <w:rsid w:val="00F963F4"/>
    <w:rsid w:val="00F96454"/>
    <w:rsid w:val="00F97711"/>
    <w:rsid w:val="00FA00C9"/>
    <w:rsid w:val="00FA0E1A"/>
    <w:rsid w:val="00FA0EEA"/>
    <w:rsid w:val="00FA0F37"/>
    <w:rsid w:val="00FA254C"/>
    <w:rsid w:val="00FA320A"/>
    <w:rsid w:val="00FA41D1"/>
    <w:rsid w:val="00FA5494"/>
    <w:rsid w:val="00FA5C88"/>
    <w:rsid w:val="00FA606C"/>
    <w:rsid w:val="00FA6372"/>
    <w:rsid w:val="00FA6845"/>
    <w:rsid w:val="00FA720B"/>
    <w:rsid w:val="00FA72D9"/>
    <w:rsid w:val="00FA7C8B"/>
    <w:rsid w:val="00FB0249"/>
    <w:rsid w:val="00FB1263"/>
    <w:rsid w:val="00FB1D83"/>
    <w:rsid w:val="00FB333A"/>
    <w:rsid w:val="00FB3CE5"/>
    <w:rsid w:val="00FB486D"/>
    <w:rsid w:val="00FB6425"/>
    <w:rsid w:val="00FB7295"/>
    <w:rsid w:val="00FB793A"/>
    <w:rsid w:val="00FC032D"/>
    <w:rsid w:val="00FC0B12"/>
    <w:rsid w:val="00FC0E31"/>
    <w:rsid w:val="00FC1667"/>
    <w:rsid w:val="00FC2DFD"/>
    <w:rsid w:val="00FC4173"/>
    <w:rsid w:val="00FC5915"/>
    <w:rsid w:val="00FC5D6D"/>
    <w:rsid w:val="00FC6961"/>
    <w:rsid w:val="00FD00D6"/>
    <w:rsid w:val="00FD07DD"/>
    <w:rsid w:val="00FD0EDF"/>
    <w:rsid w:val="00FD1A3E"/>
    <w:rsid w:val="00FD1B54"/>
    <w:rsid w:val="00FD2233"/>
    <w:rsid w:val="00FD4499"/>
    <w:rsid w:val="00FD48C7"/>
    <w:rsid w:val="00FD56D4"/>
    <w:rsid w:val="00FD6657"/>
    <w:rsid w:val="00FD7187"/>
    <w:rsid w:val="00FD7B20"/>
    <w:rsid w:val="00FD7C77"/>
    <w:rsid w:val="00FE015F"/>
    <w:rsid w:val="00FE0276"/>
    <w:rsid w:val="00FE07FB"/>
    <w:rsid w:val="00FE308C"/>
    <w:rsid w:val="00FE404F"/>
    <w:rsid w:val="00FE4541"/>
    <w:rsid w:val="00FE4D07"/>
    <w:rsid w:val="00FE5873"/>
    <w:rsid w:val="00FE5BA5"/>
    <w:rsid w:val="00FE61B0"/>
    <w:rsid w:val="00FE6527"/>
    <w:rsid w:val="00FE6ADE"/>
    <w:rsid w:val="00FE76E3"/>
    <w:rsid w:val="00FE7CCA"/>
    <w:rsid w:val="00FF0584"/>
    <w:rsid w:val="00FF099A"/>
    <w:rsid w:val="00FF1A54"/>
    <w:rsid w:val="00FF1B96"/>
    <w:rsid w:val="00FF3FC0"/>
    <w:rsid w:val="00FF46E8"/>
    <w:rsid w:val="00FF5248"/>
    <w:rsid w:val="00FF5433"/>
    <w:rsid w:val="00FF5CDE"/>
    <w:rsid w:val="00FF625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924F0"/>
  <w15:docId w15:val="{21246B1E-589A-42AE-888B-6F74EAC8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F7174B"/>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unhideWhenUsed/>
    <w:rsid w:val="00382138"/>
  </w:style>
  <w:style w:type="character" w:customStyle="1" w:styleId="CommentTextChar">
    <w:name w:val="Comment Text Char"/>
    <w:basedOn w:val="DefaultParagraphFont"/>
    <w:link w:val="CommentText"/>
    <w:uiPriority w:val="99"/>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19A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1109">
      <w:bodyDiv w:val="1"/>
      <w:marLeft w:val="0"/>
      <w:marRight w:val="0"/>
      <w:marTop w:val="0"/>
      <w:marBottom w:val="0"/>
      <w:divBdr>
        <w:top w:val="none" w:sz="0" w:space="0" w:color="auto"/>
        <w:left w:val="none" w:sz="0" w:space="0" w:color="auto"/>
        <w:bottom w:val="none" w:sz="0" w:space="0" w:color="auto"/>
        <w:right w:val="none" w:sz="0" w:space="0" w:color="auto"/>
      </w:divBdr>
    </w:div>
    <w:div w:id="230698219">
      <w:bodyDiv w:val="1"/>
      <w:marLeft w:val="0"/>
      <w:marRight w:val="0"/>
      <w:marTop w:val="0"/>
      <w:marBottom w:val="0"/>
      <w:divBdr>
        <w:top w:val="none" w:sz="0" w:space="0" w:color="auto"/>
        <w:left w:val="none" w:sz="0" w:space="0" w:color="auto"/>
        <w:bottom w:val="none" w:sz="0" w:space="0" w:color="auto"/>
        <w:right w:val="none" w:sz="0" w:space="0" w:color="auto"/>
      </w:divBdr>
      <w:divsChild>
        <w:div w:id="279387378">
          <w:marLeft w:val="0"/>
          <w:marRight w:val="0"/>
          <w:marTop w:val="0"/>
          <w:marBottom w:val="0"/>
          <w:divBdr>
            <w:top w:val="none" w:sz="0" w:space="0" w:color="auto"/>
            <w:left w:val="single" w:sz="6" w:space="0" w:color="BBBBBB"/>
            <w:bottom w:val="single" w:sz="6" w:space="0" w:color="BBBBBB"/>
            <w:right w:val="single" w:sz="6" w:space="0" w:color="BBBBBB"/>
          </w:divBdr>
          <w:divsChild>
            <w:div w:id="2007903192">
              <w:marLeft w:val="0"/>
              <w:marRight w:val="0"/>
              <w:marTop w:val="0"/>
              <w:marBottom w:val="0"/>
              <w:divBdr>
                <w:top w:val="none" w:sz="0" w:space="0" w:color="auto"/>
                <w:left w:val="none" w:sz="0" w:space="0" w:color="auto"/>
                <w:bottom w:val="none" w:sz="0" w:space="0" w:color="auto"/>
                <w:right w:val="none" w:sz="0" w:space="0" w:color="auto"/>
              </w:divBdr>
              <w:divsChild>
                <w:div w:id="546069650">
                  <w:marLeft w:val="0"/>
                  <w:marRight w:val="0"/>
                  <w:marTop w:val="75"/>
                  <w:marBottom w:val="0"/>
                  <w:divBdr>
                    <w:top w:val="none" w:sz="0" w:space="0" w:color="auto"/>
                    <w:left w:val="none" w:sz="0" w:space="0" w:color="auto"/>
                    <w:bottom w:val="none" w:sz="0" w:space="0" w:color="auto"/>
                    <w:right w:val="none" w:sz="0" w:space="0" w:color="auto"/>
                  </w:divBdr>
                  <w:divsChild>
                    <w:div w:id="315455540">
                      <w:marLeft w:val="0"/>
                      <w:marRight w:val="0"/>
                      <w:marTop w:val="0"/>
                      <w:marBottom w:val="0"/>
                      <w:divBdr>
                        <w:top w:val="none" w:sz="0" w:space="0" w:color="auto"/>
                        <w:left w:val="none" w:sz="0" w:space="0" w:color="auto"/>
                        <w:bottom w:val="none" w:sz="0" w:space="0" w:color="auto"/>
                        <w:right w:val="none" w:sz="0" w:space="0" w:color="auto"/>
                      </w:divBdr>
                      <w:divsChild>
                        <w:div w:id="1422753564">
                          <w:marLeft w:val="0"/>
                          <w:marRight w:val="0"/>
                          <w:marTop w:val="0"/>
                          <w:marBottom w:val="0"/>
                          <w:divBdr>
                            <w:top w:val="none" w:sz="0" w:space="0" w:color="auto"/>
                            <w:left w:val="none" w:sz="0" w:space="0" w:color="auto"/>
                            <w:bottom w:val="none" w:sz="0" w:space="0" w:color="auto"/>
                            <w:right w:val="none" w:sz="0" w:space="0" w:color="auto"/>
                          </w:divBdr>
                          <w:divsChild>
                            <w:div w:id="319695517">
                              <w:marLeft w:val="0"/>
                              <w:marRight w:val="0"/>
                              <w:marTop w:val="0"/>
                              <w:marBottom w:val="0"/>
                              <w:divBdr>
                                <w:top w:val="none" w:sz="0" w:space="0" w:color="auto"/>
                                <w:left w:val="none" w:sz="0" w:space="0" w:color="auto"/>
                                <w:bottom w:val="none" w:sz="0" w:space="0" w:color="auto"/>
                                <w:right w:val="none" w:sz="0" w:space="0" w:color="auto"/>
                              </w:divBdr>
                              <w:divsChild>
                                <w:div w:id="1501311493">
                                  <w:marLeft w:val="0"/>
                                  <w:marRight w:val="0"/>
                                  <w:marTop w:val="0"/>
                                  <w:marBottom w:val="0"/>
                                  <w:divBdr>
                                    <w:top w:val="none" w:sz="0" w:space="0" w:color="auto"/>
                                    <w:left w:val="none" w:sz="0" w:space="0" w:color="auto"/>
                                    <w:bottom w:val="none" w:sz="0" w:space="0" w:color="auto"/>
                                    <w:right w:val="none" w:sz="0" w:space="0" w:color="auto"/>
                                  </w:divBdr>
                                  <w:divsChild>
                                    <w:div w:id="57368265">
                                      <w:marLeft w:val="0"/>
                                      <w:marRight w:val="0"/>
                                      <w:marTop w:val="0"/>
                                      <w:marBottom w:val="0"/>
                                      <w:divBdr>
                                        <w:top w:val="none" w:sz="0" w:space="0" w:color="auto"/>
                                        <w:left w:val="none" w:sz="0" w:space="0" w:color="auto"/>
                                        <w:bottom w:val="none" w:sz="0" w:space="0" w:color="auto"/>
                                        <w:right w:val="none" w:sz="0" w:space="0" w:color="auto"/>
                                      </w:divBdr>
                                      <w:divsChild>
                                        <w:div w:id="1857577210">
                                          <w:marLeft w:val="1200"/>
                                          <w:marRight w:val="1200"/>
                                          <w:marTop w:val="0"/>
                                          <w:marBottom w:val="0"/>
                                          <w:divBdr>
                                            <w:top w:val="none" w:sz="0" w:space="0" w:color="auto"/>
                                            <w:left w:val="none" w:sz="0" w:space="0" w:color="auto"/>
                                            <w:bottom w:val="none" w:sz="0" w:space="0" w:color="auto"/>
                                            <w:right w:val="none" w:sz="0" w:space="0" w:color="auto"/>
                                          </w:divBdr>
                                          <w:divsChild>
                                            <w:div w:id="1633056776">
                                              <w:marLeft w:val="0"/>
                                              <w:marRight w:val="0"/>
                                              <w:marTop w:val="0"/>
                                              <w:marBottom w:val="0"/>
                                              <w:divBdr>
                                                <w:top w:val="none" w:sz="0" w:space="0" w:color="auto"/>
                                                <w:left w:val="none" w:sz="0" w:space="0" w:color="auto"/>
                                                <w:bottom w:val="none" w:sz="0" w:space="0" w:color="auto"/>
                                                <w:right w:val="none" w:sz="0" w:space="0" w:color="auto"/>
                                              </w:divBdr>
                                              <w:divsChild>
                                                <w:div w:id="2062049079">
                                                  <w:marLeft w:val="0"/>
                                                  <w:marRight w:val="0"/>
                                                  <w:marTop w:val="0"/>
                                                  <w:marBottom w:val="0"/>
                                                  <w:divBdr>
                                                    <w:top w:val="none" w:sz="0" w:space="0" w:color="auto"/>
                                                    <w:left w:val="none" w:sz="0" w:space="0" w:color="auto"/>
                                                    <w:bottom w:val="none" w:sz="0" w:space="0" w:color="auto"/>
                                                    <w:right w:val="none" w:sz="0" w:space="0" w:color="auto"/>
                                                  </w:divBdr>
                                                  <w:divsChild>
                                                    <w:div w:id="553664316">
                                                      <w:marLeft w:val="0"/>
                                                      <w:marRight w:val="0"/>
                                                      <w:marTop w:val="0"/>
                                                      <w:marBottom w:val="0"/>
                                                      <w:divBdr>
                                                        <w:top w:val="none" w:sz="0" w:space="0" w:color="auto"/>
                                                        <w:left w:val="none" w:sz="0" w:space="0" w:color="auto"/>
                                                        <w:bottom w:val="none" w:sz="0" w:space="0" w:color="auto"/>
                                                        <w:right w:val="none" w:sz="0" w:space="0" w:color="auto"/>
                                                      </w:divBdr>
                                                      <w:divsChild>
                                                        <w:div w:id="592789219">
                                                          <w:marLeft w:val="0"/>
                                                          <w:marRight w:val="0"/>
                                                          <w:marTop w:val="0"/>
                                                          <w:marBottom w:val="0"/>
                                                          <w:divBdr>
                                                            <w:top w:val="none" w:sz="0" w:space="0" w:color="auto"/>
                                                            <w:left w:val="none" w:sz="0" w:space="0" w:color="auto"/>
                                                            <w:bottom w:val="none" w:sz="0" w:space="0" w:color="auto"/>
                                                            <w:right w:val="none" w:sz="0" w:space="0" w:color="auto"/>
                                                          </w:divBdr>
                                                          <w:divsChild>
                                                            <w:div w:id="13232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AD09C-6835-423B-BC40-7D539718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7514</Words>
  <Characters>42832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Farner, Joyce</cp:lastModifiedBy>
  <cp:revision>3</cp:revision>
  <cp:lastPrinted>2018-06-14T11:30:00Z</cp:lastPrinted>
  <dcterms:created xsi:type="dcterms:W3CDTF">2018-06-11T18:38:00Z</dcterms:created>
  <dcterms:modified xsi:type="dcterms:W3CDTF">2018-06-14T11:30:00Z</dcterms:modified>
</cp:coreProperties>
</file>