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546276">
      <w:pPr>
        <w:tabs>
          <w:tab w:val="left" w:pos="360"/>
        </w:tabs>
        <w:spacing w:line="233" w:lineRule="auto"/>
        <w:jc w:val="both"/>
        <w:rPr>
          <w:b/>
          <w:sz w:val="24"/>
        </w:rPr>
      </w:pPr>
      <w:r>
        <w:rPr>
          <w:sz w:val="24"/>
        </w:rPr>
        <w:t>Heather Miller</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91E22">
        <w:rPr>
          <w:sz w:val="24"/>
        </w:rPr>
        <w:t>8</w:t>
      </w:r>
      <w:r w:rsidR="001D38B8">
        <w:rPr>
          <w:sz w:val="24"/>
        </w:rPr>
        <w:t>-</w:t>
      </w:r>
      <w:r w:rsidR="00491E22">
        <w:rPr>
          <w:sz w:val="24"/>
        </w:rPr>
        <w:t>3002097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46276">
      <w:pPr>
        <w:tabs>
          <w:tab w:val="left" w:pos="360"/>
        </w:tabs>
        <w:spacing w:line="233" w:lineRule="auto"/>
        <w:jc w:val="both"/>
        <w:rPr>
          <w:sz w:val="24"/>
        </w:rPr>
      </w:pPr>
      <w:r>
        <w:rPr>
          <w:sz w:val="24"/>
        </w:rPr>
        <w:t>Pennsylvania Electric</w:t>
      </w:r>
      <w:r w:rsidR="00C526F7">
        <w:rPr>
          <w:sz w:val="24"/>
        </w:rPr>
        <w:t xml:space="preserve"> Company</w:t>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1E22">
        <w:rPr>
          <w:sz w:val="24"/>
        </w:rPr>
        <w:t>Friday</w:t>
      </w:r>
      <w:r w:rsidR="002273B2">
        <w:rPr>
          <w:sz w:val="24"/>
        </w:rPr>
        <w:t>,</w:t>
      </w:r>
      <w:r>
        <w:rPr>
          <w:sz w:val="24"/>
        </w:rPr>
        <w:t xml:space="preserve"> </w:t>
      </w:r>
      <w:r w:rsidR="00870C19">
        <w:rPr>
          <w:sz w:val="24"/>
        </w:rPr>
        <w:t xml:space="preserve">July </w:t>
      </w:r>
      <w:r w:rsidR="00491E22">
        <w:rPr>
          <w:sz w:val="24"/>
        </w:rPr>
        <w:t>27</w:t>
      </w:r>
      <w:r>
        <w:rPr>
          <w:sz w:val="24"/>
        </w:rPr>
        <w:t>, 20</w:t>
      </w:r>
      <w:r w:rsidR="00A13234">
        <w:rPr>
          <w:sz w:val="24"/>
        </w:rPr>
        <w:t>1</w:t>
      </w:r>
      <w:r w:rsidR="00491E22">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5E7897">
        <w:rPr>
          <w:sz w:val="24"/>
          <w:szCs w:val="24"/>
        </w:rPr>
        <w:t>177541</w:t>
      </w:r>
      <w:bookmarkStart w:id="0" w:name="_GoBack"/>
      <w:bookmarkEnd w:id="0"/>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5E7897" w:rsidRPr="005E7897">
        <w:rPr>
          <w:sz w:val="24"/>
          <w:u w:val="single"/>
        </w:rPr>
        <w:t>June 15, 2018</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546276" w:rsidRDefault="00546276">
      <w:pPr>
        <w:rPr>
          <w:sz w:val="24"/>
        </w:rPr>
      </w:pPr>
      <w:r>
        <w:rPr>
          <w:sz w:val="24"/>
        </w:rPr>
        <w:br w:type="page"/>
      </w:r>
    </w:p>
    <w:p w:rsidR="005E7897" w:rsidRDefault="005E7897" w:rsidP="00684645">
      <w:pPr>
        <w:contextualSpacing/>
        <w:rPr>
          <w:rFonts w:ascii="Microsoft Sans Serif" w:eastAsia="Microsoft Sans Serif" w:hAnsi="Microsoft Sans Serif" w:cs="Microsoft Sans Serif"/>
          <w:b/>
          <w:sz w:val="24"/>
          <w:u w:val="single"/>
        </w:rPr>
        <w:sectPr w:rsidR="005E7897" w:rsidSect="00F3373C">
          <w:footerReference w:type="even" r:id="rId7"/>
          <w:footerReference w:type="default" r:id="rId8"/>
          <w:pgSz w:w="12240" w:h="15840"/>
          <w:pgMar w:top="1440" w:right="1440" w:bottom="1440" w:left="1440" w:header="720" w:footer="720" w:gutter="0"/>
          <w:cols w:space="720"/>
          <w:titlePg/>
        </w:sectPr>
      </w:pPr>
    </w:p>
    <w:p w:rsidR="00684645" w:rsidRDefault="00684645" w:rsidP="0068464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C-2018-3002097 - HEATHER MILLER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HEATHER MILLER</w:t>
      </w:r>
      <w:r>
        <w:rPr>
          <w:rFonts w:ascii="Microsoft Sans Serif" w:eastAsia="Microsoft Sans Serif" w:hAnsi="Microsoft Sans Serif" w:cs="Microsoft Sans Serif"/>
          <w:sz w:val="24"/>
        </w:rPr>
        <w:cr/>
        <w:t>40 MILLER LN</w:t>
      </w:r>
      <w:r>
        <w:rPr>
          <w:rFonts w:ascii="Microsoft Sans Serif" w:eastAsia="Microsoft Sans Serif" w:hAnsi="Microsoft Sans Serif" w:cs="Microsoft Sans Serif"/>
          <w:sz w:val="24"/>
        </w:rPr>
        <w:cr/>
        <w:t>OSCEOLA MILLS PA  16666</w:t>
      </w:r>
      <w:r>
        <w:rPr>
          <w:rFonts w:ascii="Microsoft Sans Serif" w:eastAsia="Microsoft Sans Serif" w:hAnsi="Microsoft Sans Serif" w:cs="Microsoft Sans Serif"/>
          <w:sz w:val="24"/>
        </w:rPr>
        <w:cr/>
        <w:t>814-496-2218</w:t>
      </w:r>
      <w:r>
        <w:rPr>
          <w:rFonts w:ascii="Microsoft Sans Serif" w:eastAsia="Microsoft Sans Serif" w:hAnsi="Microsoft Sans Serif" w:cs="Microsoft Sans Serif"/>
          <w:sz w:val="24"/>
        </w:rPr>
        <w:cr/>
        <w:t>Accepts E-service</w:t>
      </w:r>
    </w:p>
    <w:p w:rsidR="00684645" w:rsidRDefault="00684645" w:rsidP="0068464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t>610.921.6783</w:t>
      </w:r>
      <w:r>
        <w:rPr>
          <w:rFonts w:ascii="Microsoft Sans Serif" w:eastAsia="Microsoft Sans Serif" w:hAnsi="Microsoft Sans Serif" w:cs="Microsoft Sans Serif"/>
          <w:sz w:val="24"/>
        </w:rPr>
        <w:cr/>
        <w:t>Accepts E-service</w:t>
      </w:r>
    </w:p>
    <w:p w:rsidR="00684645" w:rsidRDefault="00684645" w:rsidP="0068464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Pennsylvania Electric Company</w:t>
      </w:r>
    </w:p>
    <w:p w:rsidR="00684645" w:rsidRDefault="00684645" w:rsidP="00684645">
      <w:pPr>
        <w:contextualSpacing/>
      </w:pPr>
    </w:p>
    <w:p w:rsidR="00684645" w:rsidRDefault="00684645" w:rsidP="00684645">
      <w:pPr>
        <w:contextualSpacing/>
      </w:pPr>
    </w:p>
    <w:p w:rsidR="00684645" w:rsidRDefault="00684645" w:rsidP="001D38B8">
      <w:pPr>
        <w:tabs>
          <w:tab w:val="left" w:pos="360"/>
        </w:tabs>
        <w:rPr>
          <w:sz w:val="24"/>
        </w:rPr>
      </w:pPr>
    </w:p>
    <w:sectPr w:rsidR="00684645"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D6A55"/>
    <w:rsid w:val="000E7447"/>
    <w:rsid w:val="00101E9B"/>
    <w:rsid w:val="0010441E"/>
    <w:rsid w:val="0010572B"/>
    <w:rsid w:val="00116F8A"/>
    <w:rsid w:val="001336AD"/>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1E22"/>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46276"/>
    <w:rsid w:val="00552DF9"/>
    <w:rsid w:val="00576552"/>
    <w:rsid w:val="00586FAE"/>
    <w:rsid w:val="005D6716"/>
    <w:rsid w:val="005E21F0"/>
    <w:rsid w:val="005E7897"/>
    <w:rsid w:val="00600E46"/>
    <w:rsid w:val="00600ECE"/>
    <w:rsid w:val="006013E8"/>
    <w:rsid w:val="00644706"/>
    <w:rsid w:val="00674C81"/>
    <w:rsid w:val="0067556F"/>
    <w:rsid w:val="00684645"/>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57A608"/>
  <w15:docId w15:val="{BA4A5C75-6A94-43D8-B56E-2E6E09A5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1512</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7</cp:revision>
  <cp:lastPrinted>2018-06-15T15:34:00Z</cp:lastPrinted>
  <dcterms:created xsi:type="dcterms:W3CDTF">2018-06-15T15:29:00Z</dcterms:created>
  <dcterms:modified xsi:type="dcterms:W3CDTF">2018-06-15T15:37:00Z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