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DD0341" w14:textId="77777777" w:rsidR="001F0176" w:rsidRPr="00FC3806" w:rsidRDefault="001F0176" w:rsidP="006D4537">
      <w:pPr>
        <w:widowControl/>
        <w:tabs>
          <w:tab w:val="center" w:pos="4680"/>
        </w:tabs>
        <w:jc w:val="center"/>
        <w:rPr>
          <w:b/>
          <w:sz w:val="26"/>
          <w:szCs w:val="26"/>
        </w:rPr>
      </w:pPr>
      <w:r w:rsidRPr="00FC3806">
        <w:rPr>
          <w:b/>
          <w:sz w:val="26"/>
          <w:szCs w:val="26"/>
        </w:rPr>
        <w:t>PENNSYLVANIA</w:t>
      </w:r>
    </w:p>
    <w:p w14:paraId="00D2C948" w14:textId="77777777" w:rsidR="001F0176" w:rsidRPr="00FC3806" w:rsidRDefault="001F0176" w:rsidP="006D4537">
      <w:pPr>
        <w:widowControl/>
        <w:tabs>
          <w:tab w:val="center" w:pos="4680"/>
        </w:tabs>
        <w:jc w:val="center"/>
        <w:rPr>
          <w:sz w:val="26"/>
          <w:szCs w:val="26"/>
        </w:rPr>
      </w:pPr>
      <w:r w:rsidRPr="00FC3806">
        <w:rPr>
          <w:b/>
          <w:sz w:val="26"/>
          <w:szCs w:val="26"/>
        </w:rPr>
        <w:t>PUBLIC UTILITY COMMISSION</w:t>
      </w:r>
    </w:p>
    <w:p w14:paraId="31807B97" w14:textId="77777777" w:rsidR="001F0176" w:rsidRPr="00FC3806" w:rsidRDefault="001F0176" w:rsidP="006D4537">
      <w:pPr>
        <w:widowControl/>
        <w:tabs>
          <w:tab w:val="center" w:pos="4680"/>
        </w:tabs>
        <w:jc w:val="center"/>
        <w:rPr>
          <w:sz w:val="26"/>
          <w:szCs w:val="26"/>
        </w:rPr>
      </w:pPr>
      <w:r w:rsidRPr="00FC3806">
        <w:rPr>
          <w:b/>
          <w:sz w:val="26"/>
          <w:szCs w:val="26"/>
        </w:rPr>
        <w:t>Harrisburg, PA 17105-3265</w:t>
      </w:r>
    </w:p>
    <w:p w14:paraId="29121EAF" w14:textId="77777777" w:rsidR="001F0176" w:rsidRDefault="001F0176" w:rsidP="00503CC2">
      <w:pPr>
        <w:widowControl/>
        <w:spacing w:line="360" w:lineRule="auto"/>
        <w:rPr>
          <w:sz w:val="26"/>
          <w:szCs w:val="26"/>
        </w:rPr>
      </w:pPr>
    </w:p>
    <w:p w14:paraId="372FE1D9" w14:textId="77777777" w:rsidR="001F0176" w:rsidRPr="00FC3806" w:rsidRDefault="001F0176" w:rsidP="00503CC2">
      <w:pPr>
        <w:widowControl/>
        <w:spacing w:line="360" w:lineRule="auto"/>
        <w:rPr>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0"/>
        <w:gridCol w:w="4050"/>
      </w:tblGrid>
      <w:tr w:rsidR="001F0176" w:rsidRPr="00FC3806" w14:paraId="2213F2F8" w14:textId="77777777" w:rsidTr="00EB35BB">
        <w:tc>
          <w:tcPr>
            <w:tcW w:w="5310" w:type="dxa"/>
          </w:tcPr>
          <w:p w14:paraId="42F821DA" w14:textId="77777777" w:rsidR="001F0176" w:rsidRPr="00FC3806" w:rsidRDefault="001F0176" w:rsidP="00503CC2">
            <w:pPr>
              <w:widowControl/>
              <w:rPr>
                <w:sz w:val="26"/>
                <w:szCs w:val="26"/>
              </w:rPr>
            </w:pPr>
          </w:p>
        </w:tc>
        <w:tc>
          <w:tcPr>
            <w:tcW w:w="4050" w:type="dxa"/>
          </w:tcPr>
          <w:p w14:paraId="44378C73" w14:textId="56569CC7" w:rsidR="001F0176" w:rsidRPr="00FC3806" w:rsidRDefault="001F0176" w:rsidP="00EB35BB">
            <w:pPr>
              <w:widowControl/>
              <w:rPr>
                <w:sz w:val="26"/>
                <w:szCs w:val="26"/>
              </w:rPr>
            </w:pPr>
            <w:r w:rsidRPr="00FC3806">
              <w:rPr>
                <w:sz w:val="26"/>
                <w:szCs w:val="26"/>
              </w:rPr>
              <w:t xml:space="preserve">Public Meeting held </w:t>
            </w:r>
            <w:r w:rsidR="00B55E0B">
              <w:rPr>
                <w:sz w:val="26"/>
                <w:szCs w:val="26"/>
              </w:rPr>
              <w:t>June 14</w:t>
            </w:r>
            <w:r w:rsidRPr="00FC3806">
              <w:rPr>
                <w:sz w:val="26"/>
                <w:szCs w:val="26"/>
              </w:rPr>
              <w:t xml:space="preserve">, </w:t>
            </w:r>
            <w:r w:rsidR="00EB35BB">
              <w:rPr>
                <w:sz w:val="26"/>
                <w:szCs w:val="26"/>
              </w:rPr>
              <w:t>2</w:t>
            </w:r>
            <w:r w:rsidRPr="00FC3806">
              <w:rPr>
                <w:sz w:val="26"/>
                <w:szCs w:val="26"/>
              </w:rPr>
              <w:t>01</w:t>
            </w:r>
            <w:r w:rsidR="00B55E0B">
              <w:rPr>
                <w:sz w:val="26"/>
                <w:szCs w:val="26"/>
              </w:rPr>
              <w:t>8</w:t>
            </w:r>
          </w:p>
        </w:tc>
      </w:tr>
      <w:tr w:rsidR="001F0176" w:rsidRPr="00FC3806" w14:paraId="669CE7CF" w14:textId="77777777" w:rsidTr="00EB35BB">
        <w:tc>
          <w:tcPr>
            <w:tcW w:w="5310" w:type="dxa"/>
          </w:tcPr>
          <w:p w14:paraId="725CC9BD" w14:textId="77777777" w:rsidR="001F0176" w:rsidRDefault="001F0176" w:rsidP="00503CC2">
            <w:pPr>
              <w:widowControl/>
              <w:rPr>
                <w:sz w:val="26"/>
                <w:szCs w:val="26"/>
              </w:rPr>
            </w:pPr>
          </w:p>
          <w:p w14:paraId="6CB459F5" w14:textId="77777777" w:rsidR="0098599C" w:rsidRDefault="0098599C" w:rsidP="00503CC2">
            <w:pPr>
              <w:widowControl/>
              <w:rPr>
                <w:sz w:val="26"/>
                <w:szCs w:val="26"/>
              </w:rPr>
            </w:pPr>
          </w:p>
          <w:p w14:paraId="5DEC0769" w14:textId="77777777" w:rsidR="001F0176" w:rsidRPr="00FC3806" w:rsidRDefault="001F0176" w:rsidP="00503CC2">
            <w:pPr>
              <w:widowControl/>
              <w:rPr>
                <w:sz w:val="26"/>
                <w:szCs w:val="26"/>
              </w:rPr>
            </w:pPr>
            <w:r w:rsidRPr="00FC3806">
              <w:rPr>
                <w:sz w:val="26"/>
                <w:szCs w:val="26"/>
              </w:rPr>
              <w:t>Commissioners Present:</w:t>
            </w:r>
          </w:p>
          <w:p w14:paraId="42E52747" w14:textId="77777777" w:rsidR="001F0176" w:rsidRPr="00FC3806" w:rsidRDefault="001F0176" w:rsidP="00503CC2">
            <w:pPr>
              <w:widowControl/>
              <w:rPr>
                <w:sz w:val="26"/>
                <w:szCs w:val="26"/>
              </w:rPr>
            </w:pPr>
          </w:p>
          <w:p w14:paraId="6C20AA5A" w14:textId="48FB0F4A" w:rsidR="00515E22" w:rsidRPr="002A5D4B" w:rsidRDefault="006D4537" w:rsidP="00503CC2">
            <w:pPr>
              <w:rPr>
                <w:sz w:val="26"/>
                <w:szCs w:val="26"/>
              </w:rPr>
            </w:pPr>
            <w:r>
              <w:rPr>
                <w:sz w:val="26"/>
                <w:szCs w:val="26"/>
              </w:rPr>
              <w:tab/>
            </w:r>
            <w:r w:rsidR="00515E22">
              <w:rPr>
                <w:sz w:val="26"/>
                <w:szCs w:val="26"/>
              </w:rPr>
              <w:t>Gladys M. Brown</w:t>
            </w:r>
            <w:r w:rsidR="00515E22" w:rsidRPr="002A5D4B">
              <w:rPr>
                <w:sz w:val="26"/>
                <w:szCs w:val="26"/>
              </w:rPr>
              <w:t>, Chairman</w:t>
            </w:r>
            <w:r w:rsidR="00EB35BB">
              <w:rPr>
                <w:sz w:val="26"/>
                <w:szCs w:val="26"/>
              </w:rPr>
              <w:t>: Statement</w:t>
            </w:r>
          </w:p>
          <w:p w14:paraId="3C343D8D" w14:textId="77777777" w:rsidR="00515E22" w:rsidRDefault="00515E22" w:rsidP="00503CC2">
            <w:pPr>
              <w:rPr>
                <w:sz w:val="26"/>
                <w:szCs w:val="26"/>
              </w:rPr>
            </w:pPr>
            <w:r>
              <w:rPr>
                <w:sz w:val="26"/>
                <w:szCs w:val="26"/>
              </w:rPr>
              <w:tab/>
              <w:t>Andrew G. Place</w:t>
            </w:r>
            <w:r w:rsidRPr="002A5D4B">
              <w:rPr>
                <w:sz w:val="26"/>
                <w:szCs w:val="26"/>
              </w:rPr>
              <w:t>, Vice Chairman</w:t>
            </w:r>
          </w:p>
          <w:p w14:paraId="3B2A11A1" w14:textId="77777777" w:rsidR="00515E22" w:rsidRDefault="00515E22" w:rsidP="00503CC2">
            <w:pPr>
              <w:rPr>
                <w:sz w:val="26"/>
                <w:szCs w:val="26"/>
              </w:rPr>
            </w:pPr>
            <w:r>
              <w:rPr>
                <w:sz w:val="26"/>
                <w:szCs w:val="26"/>
              </w:rPr>
              <w:tab/>
              <w:t>Norman J. Kennard</w:t>
            </w:r>
          </w:p>
          <w:p w14:paraId="57F32B4C" w14:textId="77777777" w:rsidR="00515E22" w:rsidRDefault="00515E22" w:rsidP="00503CC2">
            <w:pPr>
              <w:rPr>
                <w:sz w:val="26"/>
                <w:szCs w:val="26"/>
              </w:rPr>
            </w:pPr>
            <w:r>
              <w:rPr>
                <w:sz w:val="26"/>
                <w:szCs w:val="26"/>
              </w:rPr>
              <w:tab/>
              <w:t>David W. Sweet</w:t>
            </w:r>
          </w:p>
          <w:p w14:paraId="26D0EC56" w14:textId="77777777" w:rsidR="00515E22" w:rsidRPr="002A5D4B" w:rsidRDefault="00515E22" w:rsidP="00503CC2">
            <w:pPr>
              <w:rPr>
                <w:sz w:val="26"/>
                <w:szCs w:val="26"/>
              </w:rPr>
            </w:pPr>
            <w:r>
              <w:rPr>
                <w:sz w:val="26"/>
                <w:szCs w:val="26"/>
              </w:rPr>
              <w:tab/>
              <w:t>John F. Coleman, Jr.</w:t>
            </w:r>
          </w:p>
          <w:p w14:paraId="38075E08" w14:textId="77777777" w:rsidR="001F0176" w:rsidRPr="00FC3806" w:rsidRDefault="001F0176" w:rsidP="00503CC2">
            <w:pPr>
              <w:widowControl/>
              <w:rPr>
                <w:sz w:val="26"/>
                <w:szCs w:val="26"/>
              </w:rPr>
            </w:pPr>
          </w:p>
        </w:tc>
        <w:tc>
          <w:tcPr>
            <w:tcW w:w="4050" w:type="dxa"/>
          </w:tcPr>
          <w:p w14:paraId="0DAF3AFE" w14:textId="77777777" w:rsidR="001F0176" w:rsidRPr="00FC3806" w:rsidRDefault="001F0176" w:rsidP="00503CC2">
            <w:pPr>
              <w:widowControl/>
              <w:jc w:val="right"/>
              <w:rPr>
                <w:sz w:val="26"/>
                <w:szCs w:val="26"/>
              </w:rPr>
            </w:pPr>
          </w:p>
          <w:p w14:paraId="1676CCD6" w14:textId="77777777" w:rsidR="001F0176" w:rsidRPr="00FC3806" w:rsidRDefault="001F0176" w:rsidP="00503CC2">
            <w:pPr>
              <w:widowControl/>
              <w:jc w:val="right"/>
              <w:rPr>
                <w:sz w:val="26"/>
                <w:szCs w:val="26"/>
              </w:rPr>
            </w:pPr>
            <w:bookmarkStart w:id="0" w:name="_GoBack"/>
            <w:bookmarkEnd w:id="0"/>
          </w:p>
        </w:tc>
      </w:tr>
      <w:tr w:rsidR="001F0176" w:rsidRPr="00FC3806" w14:paraId="195C944F" w14:textId="77777777" w:rsidTr="00EB35BB">
        <w:tc>
          <w:tcPr>
            <w:tcW w:w="5310" w:type="dxa"/>
          </w:tcPr>
          <w:p w14:paraId="2C75E7A3" w14:textId="77777777" w:rsidR="001F0176" w:rsidRDefault="001F0176" w:rsidP="00503CC2">
            <w:pPr>
              <w:widowControl/>
              <w:rPr>
                <w:sz w:val="26"/>
                <w:szCs w:val="26"/>
              </w:rPr>
            </w:pPr>
          </w:p>
          <w:p w14:paraId="42442039" w14:textId="77777777" w:rsidR="001F0176" w:rsidRPr="00FC3806" w:rsidRDefault="00FA0E16" w:rsidP="00503CC2">
            <w:pPr>
              <w:widowControl/>
              <w:rPr>
                <w:sz w:val="26"/>
                <w:szCs w:val="26"/>
              </w:rPr>
            </w:pPr>
            <w:r>
              <w:rPr>
                <w:sz w:val="26"/>
                <w:szCs w:val="26"/>
              </w:rPr>
              <w:t>Eric Hudson</w:t>
            </w:r>
          </w:p>
          <w:p w14:paraId="4A94F389" w14:textId="77777777" w:rsidR="001F0176" w:rsidRPr="00FC3806" w:rsidRDefault="001F0176" w:rsidP="00503CC2">
            <w:pPr>
              <w:widowControl/>
              <w:rPr>
                <w:sz w:val="26"/>
                <w:szCs w:val="26"/>
              </w:rPr>
            </w:pPr>
          </w:p>
        </w:tc>
        <w:tc>
          <w:tcPr>
            <w:tcW w:w="4050" w:type="dxa"/>
          </w:tcPr>
          <w:p w14:paraId="4F4FBDE3" w14:textId="77777777" w:rsidR="001F0176" w:rsidRPr="00FC3806" w:rsidRDefault="001F0176" w:rsidP="00503CC2">
            <w:pPr>
              <w:widowControl/>
              <w:rPr>
                <w:sz w:val="26"/>
                <w:szCs w:val="26"/>
              </w:rPr>
            </w:pPr>
          </w:p>
          <w:p w14:paraId="4134959E" w14:textId="77777777" w:rsidR="001F0176" w:rsidRPr="00FC3806" w:rsidRDefault="00BD70D6" w:rsidP="00503CC2">
            <w:pPr>
              <w:widowControl/>
              <w:jc w:val="right"/>
              <w:rPr>
                <w:sz w:val="26"/>
                <w:szCs w:val="26"/>
              </w:rPr>
            </w:pPr>
            <w:r>
              <w:rPr>
                <w:sz w:val="26"/>
                <w:szCs w:val="26"/>
              </w:rPr>
              <w:t>C-201</w:t>
            </w:r>
            <w:r w:rsidR="00FA0E16">
              <w:rPr>
                <w:sz w:val="26"/>
                <w:szCs w:val="26"/>
              </w:rPr>
              <w:t>6-2555083</w:t>
            </w:r>
          </w:p>
        </w:tc>
      </w:tr>
      <w:tr w:rsidR="001F0176" w:rsidRPr="00FC3806" w14:paraId="17AA6B59" w14:textId="77777777" w:rsidTr="00EB35BB">
        <w:tc>
          <w:tcPr>
            <w:tcW w:w="5310" w:type="dxa"/>
          </w:tcPr>
          <w:p w14:paraId="0FB2603C" w14:textId="77777777" w:rsidR="001F0176" w:rsidRPr="00FC3806" w:rsidRDefault="001F0176" w:rsidP="00503CC2">
            <w:pPr>
              <w:widowControl/>
              <w:ind w:firstLine="720"/>
              <w:rPr>
                <w:sz w:val="26"/>
                <w:szCs w:val="26"/>
              </w:rPr>
            </w:pPr>
            <w:r w:rsidRPr="00FC3806">
              <w:rPr>
                <w:sz w:val="26"/>
                <w:szCs w:val="26"/>
              </w:rPr>
              <w:t>v.</w:t>
            </w:r>
          </w:p>
          <w:p w14:paraId="4922A6DA" w14:textId="77777777" w:rsidR="001F0176" w:rsidRPr="00FC3806" w:rsidRDefault="001F0176" w:rsidP="00503CC2">
            <w:pPr>
              <w:widowControl/>
              <w:ind w:firstLine="1440"/>
              <w:rPr>
                <w:sz w:val="26"/>
                <w:szCs w:val="26"/>
              </w:rPr>
            </w:pPr>
          </w:p>
        </w:tc>
        <w:tc>
          <w:tcPr>
            <w:tcW w:w="4050" w:type="dxa"/>
          </w:tcPr>
          <w:p w14:paraId="5167D6DB" w14:textId="77777777" w:rsidR="001F0176" w:rsidRPr="00FC3806" w:rsidRDefault="001F0176" w:rsidP="00503CC2">
            <w:pPr>
              <w:widowControl/>
              <w:rPr>
                <w:sz w:val="26"/>
                <w:szCs w:val="26"/>
              </w:rPr>
            </w:pPr>
          </w:p>
        </w:tc>
      </w:tr>
      <w:tr w:rsidR="001F0176" w:rsidRPr="00FC3806" w14:paraId="1EF52470" w14:textId="77777777" w:rsidTr="00EB35BB">
        <w:tc>
          <w:tcPr>
            <w:tcW w:w="5310" w:type="dxa"/>
          </w:tcPr>
          <w:p w14:paraId="7FE4FC5C" w14:textId="78CBB6AC" w:rsidR="001F0176" w:rsidRPr="00FC3806" w:rsidRDefault="00FA0E16" w:rsidP="00503CC2">
            <w:pPr>
              <w:widowControl/>
              <w:rPr>
                <w:sz w:val="26"/>
                <w:szCs w:val="26"/>
              </w:rPr>
            </w:pPr>
            <w:bookmarkStart w:id="1" w:name="_Hlk517192823"/>
            <w:r>
              <w:rPr>
                <w:sz w:val="26"/>
                <w:szCs w:val="26"/>
              </w:rPr>
              <w:t>PECO Energy Company</w:t>
            </w:r>
            <w:bookmarkEnd w:id="1"/>
          </w:p>
          <w:p w14:paraId="0EB25D1F" w14:textId="77777777" w:rsidR="001F0176" w:rsidRPr="00FC3806" w:rsidRDefault="001F0176" w:rsidP="00503CC2">
            <w:pPr>
              <w:widowControl/>
              <w:rPr>
                <w:sz w:val="26"/>
                <w:szCs w:val="26"/>
              </w:rPr>
            </w:pPr>
          </w:p>
        </w:tc>
        <w:tc>
          <w:tcPr>
            <w:tcW w:w="4050" w:type="dxa"/>
          </w:tcPr>
          <w:p w14:paraId="6BAB1FF0" w14:textId="77777777" w:rsidR="001F0176" w:rsidRPr="00FC3806" w:rsidRDefault="001F0176" w:rsidP="00503CC2">
            <w:pPr>
              <w:widowControl/>
              <w:rPr>
                <w:sz w:val="26"/>
                <w:szCs w:val="26"/>
              </w:rPr>
            </w:pPr>
          </w:p>
        </w:tc>
      </w:tr>
    </w:tbl>
    <w:p w14:paraId="3D83A60B" w14:textId="77777777" w:rsidR="001F0176" w:rsidRDefault="001F0176" w:rsidP="00503CC2">
      <w:pPr>
        <w:widowControl/>
        <w:spacing w:line="360" w:lineRule="auto"/>
        <w:rPr>
          <w:sz w:val="26"/>
          <w:szCs w:val="26"/>
        </w:rPr>
      </w:pPr>
    </w:p>
    <w:p w14:paraId="7E85C72A" w14:textId="77777777" w:rsidR="0098599C" w:rsidRDefault="0098599C" w:rsidP="00503CC2">
      <w:pPr>
        <w:widowControl/>
        <w:spacing w:line="360" w:lineRule="auto"/>
        <w:rPr>
          <w:sz w:val="26"/>
          <w:szCs w:val="26"/>
        </w:rPr>
      </w:pPr>
    </w:p>
    <w:p w14:paraId="6D3687EC" w14:textId="77777777" w:rsidR="0098599C" w:rsidRPr="00FC3806" w:rsidRDefault="0098599C" w:rsidP="00503CC2">
      <w:pPr>
        <w:widowControl/>
        <w:spacing w:line="360" w:lineRule="auto"/>
        <w:rPr>
          <w:sz w:val="26"/>
          <w:szCs w:val="26"/>
        </w:rPr>
      </w:pPr>
    </w:p>
    <w:p w14:paraId="600957B4" w14:textId="77777777" w:rsidR="001F0176" w:rsidRDefault="001F0176" w:rsidP="00503CC2">
      <w:pPr>
        <w:widowControl/>
        <w:spacing w:line="360" w:lineRule="auto"/>
        <w:jc w:val="center"/>
        <w:rPr>
          <w:b/>
          <w:sz w:val="26"/>
          <w:szCs w:val="26"/>
        </w:rPr>
      </w:pPr>
      <w:r w:rsidRPr="00FC3806">
        <w:rPr>
          <w:b/>
          <w:sz w:val="26"/>
          <w:szCs w:val="26"/>
        </w:rPr>
        <w:t>OPINION AND ORDER</w:t>
      </w:r>
    </w:p>
    <w:p w14:paraId="61766EAD" w14:textId="77777777" w:rsidR="008F5ABA" w:rsidRDefault="008F5ABA" w:rsidP="00503CC2">
      <w:pPr>
        <w:widowControl/>
        <w:spacing w:line="360" w:lineRule="auto"/>
        <w:jc w:val="center"/>
        <w:rPr>
          <w:b/>
          <w:sz w:val="26"/>
          <w:szCs w:val="26"/>
        </w:rPr>
      </w:pPr>
    </w:p>
    <w:p w14:paraId="1780DE55" w14:textId="77777777" w:rsidR="0098599C" w:rsidRPr="00FC3806" w:rsidRDefault="0098599C" w:rsidP="00503CC2">
      <w:pPr>
        <w:widowControl/>
        <w:spacing w:line="360" w:lineRule="auto"/>
        <w:jc w:val="center"/>
        <w:rPr>
          <w:b/>
          <w:sz w:val="26"/>
          <w:szCs w:val="26"/>
        </w:rPr>
      </w:pPr>
    </w:p>
    <w:p w14:paraId="45DE238B" w14:textId="77777777" w:rsidR="001F0176" w:rsidRPr="00FC3806" w:rsidRDefault="001F0176" w:rsidP="00503CC2">
      <w:pPr>
        <w:widowControl/>
        <w:spacing w:line="360" w:lineRule="auto"/>
        <w:rPr>
          <w:b/>
          <w:sz w:val="26"/>
          <w:szCs w:val="26"/>
        </w:rPr>
      </w:pPr>
      <w:r w:rsidRPr="00FC3806">
        <w:rPr>
          <w:b/>
          <w:sz w:val="26"/>
          <w:szCs w:val="26"/>
        </w:rPr>
        <w:t>BY THE COMMISSION:</w:t>
      </w:r>
    </w:p>
    <w:p w14:paraId="76065BF7" w14:textId="77777777" w:rsidR="001F0176" w:rsidRPr="00FC3806" w:rsidRDefault="001F0176" w:rsidP="00503CC2">
      <w:pPr>
        <w:widowControl/>
        <w:spacing w:line="360" w:lineRule="auto"/>
        <w:rPr>
          <w:b/>
          <w:sz w:val="26"/>
          <w:szCs w:val="26"/>
        </w:rPr>
      </w:pPr>
    </w:p>
    <w:p w14:paraId="6D031614" w14:textId="77777777" w:rsidR="001F0176" w:rsidRDefault="001F0176" w:rsidP="00503CC2">
      <w:pPr>
        <w:widowControl/>
        <w:spacing w:line="360" w:lineRule="auto"/>
        <w:ind w:firstLine="1440"/>
        <w:rPr>
          <w:color w:val="000000"/>
          <w:sz w:val="26"/>
          <w:szCs w:val="26"/>
        </w:rPr>
      </w:pPr>
      <w:r w:rsidRPr="00FC3806">
        <w:rPr>
          <w:sz w:val="26"/>
          <w:szCs w:val="26"/>
        </w:rPr>
        <w:t xml:space="preserve">Before the Pennsylvania Public Utility Commission (Commission) for consideration and disposition </w:t>
      </w:r>
      <w:r w:rsidR="00A836BB">
        <w:rPr>
          <w:sz w:val="26"/>
          <w:szCs w:val="26"/>
        </w:rPr>
        <w:t xml:space="preserve">are the Exceptions filed by </w:t>
      </w:r>
      <w:r w:rsidR="00A836BB">
        <w:rPr>
          <w:rFonts w:eastAsiaTheme="minorHAnsi"/>
          <w:color w:val="000000"/>
          <w:sz w:val="26"/>
          <w:szCs w:val="26"/>
        </w:rPr>
        <w:t>Eric Hudson</w:t>
      </w:r>
      <w:r w:rsidR="00A836BB" w:rsidRPr="00FC3806">
        <w:rPr>
          <w:sz w:val="26"/>
          <w:szCs w:val="26"/>
        </w:rPr>
        <w:t xml:space="preserve"> (Complainant</w:t>
      </w:r>
      <w:r w:rsidR="00A836BB">
        <w:rPr>
          <w:sz w:val="26"/>
          <w:szCs w:val="26"/>
        </w:rPr>
        <w:t xml:space="preserve"> or Mr. Hudson</w:t>
      </w:r>
      <w:r w:rsidR="00A836BB" w:rsidRPr="00FC3806">
        <w:rPr>
          <w:sz w:val="26"/>
          <w:szCs w:val="26"/>
        </w:rPr>
        <w:t xml:space="preserve">) </w:t>
      </w:r>
      <w:r w:rsidR="00A836BB">
        <w:rPr>
          <w:sz w:val="26"/>
          <w:szCs w:val="26"/>
        </w:rPr>
        <w:t xml:space="preserve">on July 10, 2017, to the </w:t>
      </w:r>
      <w:r w:rsidRPr="00FC3806">
        <w:rPr>
          <w:sz w:val="26"/>
          <w:szCs w:val="26"/>
        </w:rPr>
        <w:t xml:space="preserve">Initial Decision (I.D.) of Administrative Law Judge (ALJ) </w:t>
      </w:r>
      <w:r w:rsidR="00020031">
        <w:rPr>
          <w:sz w:val="26"/>
          <w:szCs w:val="26"/>
        </w:rPr>
        <w:t>Darlene</w:t>
      </w:r>
      <w:r w:rsidR="00A836BB">
        <w:rPr>
          <w:sz w:val="26"/>
          <w:szCs w:val="26"/>
        </w:rPr>
        <w:t> </w:t>
      </w:r>
      <w:r w:rsidR="00020031">
        <w:rPr>
          <w:sz w:val="26"/>
          <w:szCs w:val="26"/>
        </w:rPr>
        <w:t>D.</w:t>
      </w:r>
      <w:r w:rsidR="00A836BB">
        <w:rPr>
          <w:sz w:val="26"/>
          <w:szCs w:val="26"/>
        </w:rPr>
        <w:t> </w:t>
      </w:r>
      <w:r w:rsidR="00020031">
        <w:rPr>
          <w:sz w:val="26"/>
          <w:szCs w:val="26"/>
        </w:rPr>
        <w:t>Heep</w:t>
      </w:r>
      <w:r w:rsidRPr="00FC3806">
        <w:rPr>
          <w:sz w:val="26"/>
          <w:szCs w:val="26"/>
        </w:rPr>
        <w:t xml:space="preserve">, issued on </w:t>
      </w:r>
      <w:r w:rsidR="00020031">
        <w:rPr>
          <w:sz w:val="26"/>
          <w:szCs w:val="26"/>
        </w:rPr>
        <w:t>June 28</w:t>
      </w:r>
      <w:r w:rsidR="00F91FC0">
        <w:rPr>
          <w:sz w:val="26"/>
          <w:szCs w:val="26"/>
        </w:rPr>
        <w:t>, 2017</w:t>
      </w:r>
      <w:r w:rsidR="00AC6661">
        <w:rPr>
          <w:sz w:val="26"/>
          <w:szCs w:val="26"/>
        </w:rPr>
        <w:t>,</w:t>
      </w:r>
      <w:r w:rsidRPr="00FC3806">
        <w:rPr>
          <w:sz w:val="26"/>
          <w:szCs w:val="26"/>
        </w:rPr>
        <w:t xml:space="preserve"> </w:t>
      </w:r>
      <w:r w:rsidR="00A836BB">
        <w:rPr>
          <w:sz w:val="26"/>
          <w:szCs w:val="26"/>
        </w:rPr>
        <w:t xml:space="preserve">which </w:t>
      </w:r>
      <w:r w:rsidRPr="00FC3806">
        <w:rPr>
          <w:sz w:val="26"/>
          <w:szCs w:val="26"/>
        </w:rPr>
        <w:t>dismiss</w:t>
      </w:r>
      <w:r w:rsidR="00A836BB">
        <w:rPr>
          <w:sz w:val="26"/>
          <w:szCs w:val="26"/>
        </w:rPr>
        <w:t>ed</w:t>
      </w:r>
      <w:r w:rsidR="00AF498B">
        <w:rPr>
          <w:sz w:val="26"/>
          <w:szCs w:val="26"/>
        </w:rPr>
        <w:t>,</w:t>
      </w:r>
      <w:r w:rsidRPr="00FC3806">
        <w:rPr>
          <w:sz w:val="26"/>
          <w:szCs w:val="26"/>
        </w:rPr>
        <w:t xml:space="preserve"> with prejudice</w:t>
      </w:r>
      <w:r w:rsidR="00AF498B">
        <w:rPr>
          <w:sz w:val="26"/>
          <w:szCs w:val="26"/>
        </w:rPr>
        <w:t>,</w:t>
      </w:r>
      <w:r w:rsidRPr="00FC3806">
        <w:rPr>
          <w:sz w:val="26"/>
          <w:szCs w:val="26"/>
        </w:rPr>
        <w:t xml:space="preserve"> the above-captioned</w:t>
      </w:r>
      <w:r w:rsidRPr="00FC3806">
        <w:rPr>
          <w:sz w:val="26"/>
        </w:rPr>
        <w:t xml:space="preserve"> Formal Complaint (Complaint) of </w:t>
      </w:r>
      <w:r w:rsidR="00FD6CF1">
        <w:rPr>
          <w:sz w:val="26"/>
          <w:szCs w:val="26"/>
        </w:rPr>
        <w:t>Mr. Hudson</w:t>
      </w:r>
      <w:r w:rsidRPr="00FC3806">
        <w:rPr>
          <w:sz w:val="26"/>
          <w:szCs w:val="26"/>
        </w:rPr>
        <w:t xml:space="preserve"> against </w:t>
      </w:r>
      <w:r w:rsidR="00020031">
        <w:rPr>
          <w:rFonts w:eastAsiaTheme="minorHAnsi"/>
          <w:color w:val="000000"/>
          <w:sz w:val="26"/>
          <w:szCs w:val="26"/>
        </w:rPr>
        <w:t xml:space="preserve">PECO Energy </w:t>
      </w:r>
      <w:r w:rsidR="00020031">
        <w:rPr>
          <w:rFonts w:eastAsiaTheme="minorHAnsi"/>
          <w:color w:val="000000"/>
          <w:sz w:val="26"/>
          <w:szCs w:val="26"/>
        </w:rPr>
        <w:lastRenderedPageBreak/>
        <w:t>Company</w:t>
      </w:r>
      <w:r w:rsidR="00F91FC0" w:rsidRPr="00F91FC0">
        <w:rPr>
          <w:rFonts w:eastAsiaTheme="minorHAnsi"/>
          <w:color w:val="000000"/>
          <w:sz w:val="26"/>
          <w:szCs w:val="26"/>
        </w:rPr>
        <w:t xml:space="preserve"> </w:t>
      </w:r>
      <w:r w:rsidRPr="00FC3806">
        <w:rPr>
          <w:sz w:val="26"/>
        </w:rPr>
        <w:t>(</w:t>
      </w:r>
      <w:r w:rsidR="00F91FC0">
        <w:rPr>
          <w:sz w:val="26"/>
        </w:rPr>
        <w:t>P</w:t>
      </w:r>
      <w:r w:rsidR="00020031">
        <w:rPr>
          <w:sz w:val="26"/>
        </w:rPr>
        <w:t>ECO</w:t>
      </w:r>
      <w:r w:rsidR="00FD6CF1">
        <w:rPr>
          <w:sz w:val="26"/>
        </w:rPr>
        <w:t xml:space="preserve"> or </w:t>
      </w:r>
      <w:r w:rsidR="00DC6DC4">
        <w:rPr>
          <w:sz w:val="26"/>
        </w:rPr>
        <w:t>Company</w:t>
      </w:r>
      <w:r w:rsidRPr="00FC3806">
        <w:rPr>
          <w:sz w:val="26"/>
        </w:rPr>
        <w:t xml:space="preserve">).  </w:t>
      </w:r>
      <w:r w:rsidR="0066095F">
        <w:rPr>
          <w:sz w:val="26"/>
          <w:szCs w:val="26"/>
        </w:rPr>
        <w:t>P</w:t>
      </w:r>
      <w:r w:rsidR="00020031">
        <w:rPr>
          <w:sz w:val="26"/>
          <w:szCs w:val="26"/>
        </w:rPr>
        <w:t>ECO</w:t>
      </w:r>
      <w:r w:rsidR="0066095F">
        <w:rPr>
          <w:sz w:val="26"/>
          <w:szCs w:val="26"/>
        </w:rPr>
        <w:t xml:space="preserve"> </w:t>
      </w:r>
      <w:r w:rsidR="00AC6661">
        <w:rPr>
          <w:sz w:val="26"/>
          <w:szCs w:val="26"/>
        </w:rPr>
        <w:t>file</w:t>
      </w:r>
      <w:r w:rsidR="0066095F">
        <w:rPr>
          <w:sz w:val="26"/>
          <w:szCs w:val="26"/>
        </w:rPr>
        <w:t>d</w:t>
      </w:r>
      <w:r w:rsidR="00020031">
        <w:rPr>
          <w:sz w:val="26"/>
          <w:szCs w:val="26"/>
        </w:rPr>
        <w:t xml:space="preserve"> Replies to Exceptions on July 2</w:t>
      </w:r>
      <w:r w:rsidR="0066095F">
        <w:rPr>
          <w:sz w:val="26"/>
          <w:szCs w:val="26"/>
        </w:rPr>
        <w:t>7, 2017</w:t>
      </w:r>
      <w:r w:rsidR="00AC6661">
        <w:rPr>
          <w:sz w:val="26"/>
          <w:szCs w:val="26"/>
        </w:rPr>
        <w:t>.</w:t>
      </w:r>
      <w:r w:rsidRPr="00FC3806">
        <w:rPr>
          <w:sz w:val="26"/>
          <w:szCs w:val="26"/>
        </w:rPr>
        <w:t xml:space="preserve">  For the reasons set forth below, </w:t>
      </w:r>
      <w:bookmarkStart w:id="2" w:name="_Hlk515894928"/>
      <w:r w:rsidRPr="005D19E3">
        <w:rPr>
          <w:sz w:val="26"/>
          <w:szCs w:val="26"/>
        </w:rPr>
        <w:t xml:space="preserve">we shall </w:t>
      </w:r>
      <w:r w:rsidR="00156476">
        <w:rPr>
          <w:sz w:val="26"/>
          <w:szCs w:val="26"/>
        </w:rPr>
        <w:t xml:space="preserve">deny </w:t>
      </w:r>
      <w:r w:rsidR="007B5F5D">
        <w:rPr>
          <w:color w:val="000000"/>
          <w:sz w:val="26"/>
          <w:szCs w:val="26"/>
        </w:rPr>
        <w:t xml:space="preserve">the </w:t>
      </w:r>
      <w:r w:rsidR="005D19E3">
        <w:rPr>
          <w:color w:val="000000"/>
          <w:sz w:val="26"/>
          <w:szCs w:val="26"/>
        </w:rPr>
        <w:t>Complainant’s Exceptions</w:t>
      </w:r>
      <w:r w:rsidR="00156476">
        <w:rPr>
          <w:color w:val="000000"/>
          <w:sz w:val="26"/>
          <w:szCs w:val="26"/>
        </w:rPr>
        <w:t>, adopt the Initial Decision and dismiss the Complaint.</w:t>
      </w:r>
      <w:bookmarkEnd w:id="2"/>
    </w:p>
    <w:p w14:paraId="2A72E724" w14:textId="77777777" w:rsidR="00060EF3" w:rsidRPr="00FC3806" w:rsidRDefault="00060EF3" w:rsidP="00503CC2">
      <w:pPr>
        <w:widowControl/>
        <w:spacing w:line="360" w:lineRule="auto"/>
        <w:ind w:firstLine="1440"/>
        <w:rPr>
          <w:sz w:val="26"/>
          <w:szCs w:val="26"/>
        </w:rPr>
      </w:pPr>
    </w:p>
    <w:p w14:paraId="151A1CE2" w14:textId="77777777" w:rsidR="001F0176" w:rsidRPr="00F91FC0" w:rsidRDefault="001F0176" w:rsidP="00060EF3">
      <w:pPr>
        <w:keepNext/>
        <w:keepLines/>
        <w:widowControl/>
        <w:spacing w:line="360" w:lineRule="auto"/>
        <w:jc w:val="center"/>
        <w:rPr>
          <w:b/>
          <w:sz w:val="26"/>
          <w:szCs w:val="26"/>
        </w:rPr>
      </w:pPr>
      <w:r w:rsidRPr="00FC3806">
        <w:rPr>
          <w:b/>
          <w:sz w:val="26"/>
          <w:szCs w:val="26"/>
        </w:rPr>
        <w:t>History of the Proceeding</w:t>
      </w:r>
    </w:p>
    <w:p w14:paraId="25D2C48C" w14:textId="77777777" w:rsidR="002B2C4A" w:rsidRPr="002B2C4A" w:rsidRDefault="002B2C4A" w:rsidP="00060EF3">
      <w:pPr>
        <w:keepNext/>
        <w:keepLines/>
        <w:widowControl/>
        <w:autoSpaceDE w:val="0"/>
        <w:autoSpaceDN w:val="0"/>
        <w:adjustRightInd w:val="0"/>
        <w:spacing w:line="360" w:lineRule="auto"/>
        <w:rPr>
          <w:rFonts w:eastAsiaTheme="minorHAnsi"/>
          <w:color w:val="000000"/>
          <w:sz w:val="24"/>
          <w:szCs w:val="24"/>
        </w:rPr>
      </w:pPr>
    </w:p>
    <w:p w14:paraId="21CAFC6A" w14:textId="16EFB271" w:rsidR="00A22009" w:rsidRPr="00A22009" w:rsidRDefault="002B2C4A" w:rsidP="00503CC2">
      <w:pPr>
        <w:widowControl/>
        <w:spacing w:line="360" w:lineRule="auto"/>
        <w:ind w:firstLine="1440"/>
        <w:rPr>
          <w:rFonts w:eastAsiaTheme="minorHAnsi"/>
          <w:color w:val="000000"/>
          <w:sz w:val="26"/>
          <w:szCs w:val="26"/>
        </w:rPr>
      </w:pPr>
      <w:r w:rsidRPr="00F91FC0">
        <w:rPr>
          <w:rFonts w:eastAsiaTheme="minorHAnsi"/>
          <w:color w:val="000000"/>
          <w:sz w:val="26"/>
          <w:szCs w:val="26"/>
        </w:rPr>
        <w:t xml:space="preserve">On </w:t>
      </w:r>
      <w:r w:rsidR="00A22009">
        <w:rPr>
          <w:rFonts w:eastAsiaTheme="minorHAnsi"/>
          <w:color w:val="000000"/>
          <w:sz w:val="26"/>
          <w:szCs w:val="26"/>
        </w:rPr>
        <w:t xml:space="preserve">July 7, 2016, </w:t>
      </w:r>
      <w:r w:rsidRPr="00F91FC0">
        <w:rPr>
          <w:rFonts w:eastAsiaTheme="minorHAnsi"/>
          <w:color w:val="000000"/>
          <w:sz w:val="26"/>
          <w:szCs w:val="26"/>
        </w:rPr>
        <w:t xml:space="preserve">Mr. </w:t>
      </w:r>
      <w:r w:rsidR="00A22009">
        <w:rPr>
          <w:rFonts w:eastAsiaTheme="minorHAnsi"/>
          <w:color w:val="000000"/>
          <w:sz w:val="26"/>
          <w:szCs w:val="26"/>
        </w:rPr>
        <w:t>Hudson</w:t>
      </w:r>
      <w:r w:rsidRPr="00F91FC0">
        <w:rPr>
          <w:rFonts w:eastAsiaTheme="minorHAnsi"/>
          <w:color w:val="000000"/>
          <w:sz w:val="26"/>
          <w:szCs w:val="26"/>
        </w:rPr>
        <w:t xml:space="preserve"> filed </w:t>
      </w:r>
      <w:r w:rsidR="0066095F">
        <w:rPr>
          <w:rFonts w:eastAsiaTheme="minorHAnsi"/>
          <w:color w:val="000000"/>
          <w:sz w:val="26"/>
          <w:szCs w:val="26"/>
        </w:rPr>
        <w:t xml:space="preserve">the instant Complaint </w:t>
      </w:r>
      <w:r w:rsidRPr="00F91FC0">
        <w:rPr>
          <w:rFonts w:eastAsiaTheme="minorHAnsi"/>
          <w:color w:val="000000"/>
          <w:sz w:val="26"/>
          <w:szCs w:val="26"/>
        </w:rPr>
        <w:t xml:space="preserve">with the </w:t>
      </w:r>
      <w:r w:rsidR="0066095F">
        <w:rPr>
          <w:rFonts w:eastAsiaTheme="minorHAnsi"/>
          <w:color w:val="000000"/>
          <w:sz w:val="26"/>
          <w:szCs w:val="26"/>
        </w:rPr>
        <w:t xml:space="preserve">Commission, alleging that </w:t>
      </w:r>
      <w:r w:rsidR="00A22009">
        <w:rPr>
          <w:rFonts w:eastAsiaTheme="minorHAnsi"/>
          <w:color w:val="000000"/>
          <w:sz w:val="26"/>
          <w:szCs w:val="26"/>
        </w:rPr>
        <w:t>PECO</w:t>
      </w:r>
      <w:r w:rsidR="0066095F">
        <w:rPr>
          <w:rFonts w:eastAsiaTheme="minorHAnsi"/>
          <w:color w:val="000000"/>
          <w:sz w:val="26"/>
          <w:szCs w:val="26"/>
        </w:rPr>
        <w:t xml:space="preserve"> was</w:t>
      </w:r>
      <w:r w:rsidRPr="00F91FC0">
        <w:rPr>
          <w:rFonts w:eastAsiaTheme="minorHAnsi"/>
          <w:color w:val="000000"/>
          <w:sz w:val="26"/>
          <w:szCs w:val="26"/>
        </w:rPr>
        <w:t xml:space="preserve"> threatening to terminate his electric service and </w:t>
      </w:r>
      <w:r w:rsidR="005D526B">
        <w:rPr>
          <w:rFonts w:eastAsiaTheme="minorHAnsi"/>
          <w:color w:val="000000"/>
          <w:sz w:val="26"/>
          <w:szCs w:val="26"/>
        </w:rPr>
        <w:t xml:space="preserve">that there were </w:t>
      </w:r>
      <w:r w:rsidR="00A22009">
        <w:rPr>
          <w:rFonts w:eastAsiaTheme="minorHAnsi"/>
          <w:color w:val="000000"/>
          <w:sz w:val="26"/>
          <w:szCs w:val="26"/>
        </w:rPr>
        <w:t>incorrect charges on his bill</w:t>
      </w:r>
      <w:r w:rsidR="005D526B">
        <w:rPr>
          <w:rFonts w:eastAsiaTheme="minorHAnsi"/>
          <w:color w:val="000000"/>
          <w:sz w:val="26"/>
          <w:szCs w:val="26"/>
        </w:rPr>
        <w:t xml:space="preserve">.  </w:t>
      </w:r>
      <w:r w:rsidR="00A22009" w:rsidRPr="00A22009">
        <w:rPr>
          <w:rFonts w:eastAsiaTheme="minorHAnsi"/>
          <w:color w:val="000000"/>
          <w:sz w:val="26"/>
          <w:szCs w:val="26"/>
        </w:rPr>
        <w:t xml:space="preserve">The Complainant checked the box </w:t>
      </w:r>
      <w:r w:rsidR="0026332D">
        <w:rPr>
          <w:rFonts w:eastAsiaTheme="minorHAnsi"/>
          <w:color w:val="000000"/>
          <w:sz w:val="26"/>
          <w:szCs w:val="26"/>
        </w:rPr>
        <w:t xml:space="preserve">on the Complaint form </w:t>
      </w:r>
      <w:r w:rsidR="00A22009" w:rsidRPr="00A22009">
        <w:rPr>
          <w:rFonts w:eastAsiaTheme="minorHAnsi"/>
          <w:color w:val="000000"/>
          <w:sz w:val="26"/>
          <w:szCs w:val="26"/>
        </w:rPr>
        <w:t>for “Other” and under “Requested Relief,”</w:t>
      </w:r>
      <w:r w:rsidR="0026332D">
        <w:rPr>
          <w:rFonts w:eastAsiaTheme="minorHAnsi"/>
          <w:color w:val="000000"/>
          <w:sz w:val="26"/>
          <w:szCs w:val="26"/>
        </w:rPr>
        <w:t xml:space="preserve"> </w:t>
      </w:r>
      <w:r w:rsidR="00A22009" w:rsidRPr="00A22009">
        <w:rPr>
          <w:rFonts w:eastAsiaTheme="minorHAnsi"/>
          <w:color w:val="000000"/>
          <w:sz w:val="26"/>
          <w:szCs w:val="26"/>
        </w:rPr>
        <w:t xml:space="preserve">there was a lengthy statement.  In that statement, the Complainant contended that his family was experiencing unexpected and significant financial hardship, </w:t>
      </w:r>
      <w:r w:rsidR="0026332D">
        <w:rPr>
          <w:rFonts w:eastAsiaTheme="minorHAnsi"/>
          <w:color w:val="000000"/>
          <w:sz w:val="26"/>
          <w:szCs w:val="26"/>
        </w:rPr>
        <w:t xml:space="preserve">that </w:t>
      </w:r>
      <w:r w:rsidR="00A22009" w:rsidRPr="00A22009">
        <w:rPr>
          <w:rFonts w:eastAsiaTheme="minorHAnsi"/>
          <w:color w:val="000000"/>
          <w:sz w:val="26"/>
          <w:szCs w:val="26"/>
        </w:rPr>
        <w:t xml:space="preserve">his children have illnesses that </w:t>
      </w:r>
      <w:r w:rsidR="00A22009" w:rsidRPr="00A22009">
        <w:rPr>
          <w:sz w:val="26"/>
          <w:szCs w:val="26"/>
        </w:rPr>
        <w:t>require electric service for treatment</w:t>
      </w:r>
      <w:r w:rsidR="003736CD">
        <w:rPr>
          <w:sz w:val="26"/>
          <w:szCs w:val="26"/>
        </w:rPr>
        <w:t>,</w:t>
      </w:r>
      <w:r w:rsidR="00A22009" w:rsidRPr="00A22009">
        <w:rPr>
          <w:sz w:val="26"/>
          <w:szCs w:val="26"/>
        </w:rPr>
        <w:t xml:space="preserve"> and </w:t>
      </w:r>
      <w:r w:rsidR="0026332D">
        <w:rPr>
          <w:sz w:val="26"/>
          <w:szCs w:val="26"/>
        </w:rPr>
        <w:t xml:space="preserve">that </w:t>
      </w:r>
      <w:r w:rsidR="00A22009" w:rsidRPr="00A22009">
        <w:rPr>
          <w:sz w:val="26"/>
          <w:szCs w:val="26"/>
        </w:rPr>
        <w:t xml:space="preserve">he </w:t>
      </w:r>
      <w:r w:rsidR="002B63B0" w:rsidRPr="00A22009">
        <w:rPr>
          <w:sz w:val="26"/>
          <w:szCs w:val="26"/>
        </w:rPr>
        <w:t>applied</w:t>
      </w:r>
      <w:r w:rsidR="00A22009" w:rsidRPr="00A22009">
        <w:rPr>
          <w:sz w:val="26"/>
          <w:szCs w:val="26"/>
        </w:rPr>
        <w:t xml:space="preserve"> for medical certification to maintain </w:t>
      </w:r>
      <w:r w:rsidR="003736CD">
        <w:rPr>
          <w:sz w:val="26"/>
          <w:szCs w:val="26"/>
        </w:rPr>
        <w:t xml:space="preserve">electric </w:t>
      </w:r>
      <w:r w:rsidR="00D56C27" w:rsidRPr="00A22009">
        <w:rPr>
          <w:sz w:val="26"/>
          <w:szCs w:val="26"/>
        </w:rPr>
        <w:t>service,</w:t>
      </w:r>
      <w:r w:rsidR="00A22009" w:rsidRPr="00A22009">
        <w:rPr>
          <w:sz w:val="26"/>
          <w:szCs w:val="26"/>
        </w:rPr>
        <w:t xml:space="preserve"> but PECO did not process his request.  As relief, </w:t>
      </w:r>
      <w:r w:rsidR="0026332D">
        <w:rPr>
          <w:sz w:val="26"/>
          <w:szCs w:val="26"/>
        </w:rPr>
        <w:t xml:space="preserve">the Complainant requested </w:t>
      </w:r>
      <w:r w:rsidR="00A22009" w:rsidRPr="00A22009">
        <w:rPr>
          <w:sz w:val="26"/>
          <w:szCs w:val="26"/>
        </w:rPr>
        <w:t xml:space="preserve">a detailed accounting of charges, assistance with a customer assistance program (“CAP”) application and a payment arrangement.  </w:t>
      </w:r>
      <w:r w:rsidR="00503CC2">
        <w:rPr>
          <w:sz w:val="26"/>
          <w:szCs w:val="26"/>
        </w:rPr>
        <w:t xml:space="preserve">I.D. at 1-2; </w:t>
      </w:r>
      <w:r w:rsidR="00503CC2" w:rsidRPr="002C6A82">
        <w:rPr>
          <w:sz w:val="26"/>
          <w:szCs w:val="26"/>
        </w:rPr>
        <w:t xml:space="preserve">Complaint at </w:t>
      </w:r>
      <w:r w:rsidR="002C6A82" w:rsidRPr="002C6A82">
        <w:rPr>
          <w:sz w:val="26"/>
          <w:szCs w:val="26"/>
        </w:rPr>
        <w:t>¶¶</w:t>
      </w:r>
      <w:r w:rsidR="00156476">
        <w:rPr>
          <w:sz w:val="26"/>
          <w:szCs w:val="26"/>
        </w:rPr>
        <w:t xml:space="preserve"> </w:t>
      </w:r>
      <w:r w:rsidR="002C6A82" w:rsidRPr="002C6A82">
        <w:rPr>
          <w:sz w:val="26"/>
          <w:szCs w:val="26"/>
        </w:rPr>
        <w:t>4-5.</w:t>
      </w:r>
    </w:p>
    <w:p w14:paraId="034221EA" w14:textId="77777777" w:rsidR="00F91FC0" w:rsidRPr="00F91FC0" w:rsidRDefault="00F91FC0" w:rsidP="00503CC2">
      <w:pPr>
        <w:widowControl/>
        <w:autoSpaceDE w:val="0"/>
        <w:autoSpaceDN w:val="0"/>
        <w:adjustRightInd w:val="0"/>
        <w:spacing w:line="360" w:lineRule="auto"/>
        <w:ind w:firstLine="1440"/>
        <w:rPr>
          <w:rFonts w:eastAsiaTheme="minorHAnsi"/>
          <w:color w:val="000000"/>
          <w:sz w:val="26"/>
          <w:szCs w:val="26"/>
        </w:rPr>
      </w:pPr>
    </w:p>
    <w:p w14:paraId="1B1BB25A" w14:textId="77777777" w:rsidR="00E42701" w:rsidRPr="0012600C" w:rsidRDefault="00A22009" w:rsidP="00503CC2">
      <w:pPr>
        <w:widowControl/>
        <w:spacing w:line="360" w:lineRule="auto"/>
        <w:ind w:firstLine="1440"/>
        <w:rPr>
          <w:sz w:val="26"/>
          <w:szCs w:val="26"/>
        </w:rPr>
      </w:pPr>
      <w:r>
        <w:rPr>
          <w:rFonts w:eastAsiaTheme="minorHAnsi"/>
          <w:color w:val="000000"/>
          <w:sz w:val="26"/>
          <w:szCs w:val="26"/>
        </w:rPr>
        <w:t xml:space="preserve">On July 22, 2016, </w:t>
      </w:r>
      <w:r w:rsidR="00FD6CF1">
        <w:rPr>
          <w:rFonts w:eastAsiaTheme="minorHAnsi"/>
          <w:color w:val="000000"/>
          <w:sz w:val="26"/>
          <w:szCs w:val="26"/>
        </w:rPr>
        <w:t>the Company</w:t>
      </w:r>
      <w:r w:rsidR="0066095F">
        <w:rPr>
          <w:rFonts w:eastAsiaTheme="minorHAnsi"/>
          <w:color w:val="000000"/>
          <w:sz w:val="26"/>
          <w:szCs w:val="26"/>
        </w:rPr>
        <w:t xml:space="preserve"> filed an Answer</w:t>
      </w:r>
      <w:r>
        <w:rPr>
          <w:rFonts w:eastAsiaTheme="minorHAnsi"/>
          <w:color w:val="000000"/>
          <w:sz w:val="26"/>
          <w:szCs w:val="26"/>
        </w:rPr>
        <w:t xml:space="preserve">, New Matter and Notice to Plead.  </w:t>
      </w:r>
      <w:r w:rsidR="00FD6CF1">
        <w:rPr>
          <w:rFonts w:eastAsiaTheme="minorHAnsi"/>
          <w:color w:val="000000"/>
          <w:sz w:val="26"/>
          <w:szCs w:val="26"/>
        </w:rPr>
        <w:t>In its Answer, the Company</w:t>
      </w:r>
      <w:r>
        <w:rPr>
          <w:rFonts w:eastAsiaTheme="minorHAnsi"/>
          <w:color w:val="000000"/>
          <w:sz w:val="26"/>
          <w:szCs w:val="26"/>
        </w:rPr>
        <w:t xml:space="preserve"> </w:t>
      </w:r>
      <w:r w:rsidR="0066095F">
        <w:rPr>
          <w:rFonts w:eastAsiaTheme="minorHAnsi"/>
          <w:color w:val="000000"/>
          <w:sz w:val="26"/>
          <w:szCs w:val="26"/>
        </w:rPr>
        <w:t>admitt</w:t>
      </w:r>
      <w:r>
        <w:rPr>
          <w:rFonts w:eastAsiaTheme="minorHAnsi"/>
          <w:color w:val="000000"/>
          <w:sz w:val="26"/>
          <w:szCs w:val="26"/>
        </w:rPr>
        <w:t>ed</w:t>
      </w:r>
      <w:r w:rsidR="0066095F">
        <w:rPr>
          <w:rFonts w:eastAsiaTheme="minorHAnsi"/>
          <w:color w:val="000000"/>
          <w:sz w:val="26"/>
          <w:szCs w:val="26"/>
        </w:rPr>
        <w:t xml:space="preserve"> </w:t>
      </w:r>
      <w:r w:rsidR="00F91FC0" w:rsidRPr="00F91FC0">
        <w:rPr>
          <w:rFonts w:eastAsiaTheme="minorHAnsi"/>
          <w:color w:val="000000"/>
          <w:sz w:val="26"/>
          <w:szCs w:val="26"/>
        </w:rPr>
        <w:t>that</w:t>
      </w:r>
      <w:r w:rsidR="0066095F">
        <w:rPr>
          <w:rFonts w:eastAsiaTheme="minorHAnsi"/>
          <w:color w:val="000000"/>
          <w:sz w:val="26"/>
          <w:szCs w:val="26"/>
        </w:rPr>
        <w:t xml:space="preserve"> it</w:t>
      </w:r>
      <w:r w:rsidR="00F91FC0" w:rsidRPr="00F91FC0">
        <w:rPr>
          <w:rFonts w:eastAsiaTheme="minorHAnsi"/>
          <w:color w:val="000000"/>
          <w:sz w:val="26"/>
          <w:szCs w:val="26"/>
        </w:rPr>
        <w:t xml:space="preserve"> provides electrical service to</w:t>
      </w:r>
      <w:r w:rsidR="0066095F">
        <w:rPr>
          <w:rFonts w:eastAsiaTheme="minorHAnsi"/>
          <w:color w:val="000000"/>
          <w:sz w:val="26"/>
          <w:szCs w:val="26"/>
        </w:rPr>
        <w:t xml:space="preserve"> the</w:t>
      </w:r>
      <w:r w:rsidR="00F91FC0" w:rsidRPr="00F91FC0">
        <w:rPr>
          <w:rFonts w:eastAsiaTheme="minorHAnsi"/>
          <w:color w:val="000000"/>
          <w:sz w:val="26"/>
          <w:szCs w:val="26"/>
        </w:rPr>
        <w:t xml:space="preserve"> Complainant </w:t>
      </w:r>
      <w:r>
        <w:rPr>
          <w:rFonts w:eastAsiaTheme="minorHAnsi"/>
          <w:color w:val="000000"/>
          <w:sz w:val="26"/>
          <w:szCs w:val="26"/>
        </w:rPr>
        <w:t>but denied</w:t>
      </w:r>
      <w:r w:rsidR="0066095F">
        <w:rPr>
          <w:rFonts w:eastAsiaTheme="minorHAnsi"/>
          <w:color w:val="000000"/>
          <w:sz w:val="26"/>
          <w:szCs w:val="26"/>
        </w:rPr>
        <w:t xml:space="preserve"> </w:t>
      </w:r>
      <w:r w:rsidR="00F91FC0" w:rsidRPr="00F91FC0">
        <w:rPr>
          <w:rFonts w:eastAsiaTheme="minorHAnsi"/>
          <w:color w:val="000000"/>
          <w:sz w:val="26"/>
          <w:szCs w:val="26"/>
        </w:rPr>
        <w:t>the mater</w:t>
      </w:r>
      <w:r w:rsidR="0066095F">
        <w:rPr>
          <w:rFonts w:eastAsiaTheme="minorHAnsi"/>
          <w:color w:val="000000"/>
          <w:sz w:val="26"/>
          <w:szCs w:val="26"/>
        </w:rPr>
        <w:t>ial averments set forth in the C</w:t>
      </w:r>
      <w:r w:rsidR="00F91FC0" w:rsidRPr="00F91FC0">
        <w:rPr>
          <w:rFonts w:eastAsiaTheme="minorHAnsi"/>
          <w:color w:val="000000"/>
          <w:sz w:val="26"/>
          <w:szCs w:val="26"/>
        </w:rPr>
        <w:t xml:space="preserve">omplaint. </w:t>
      </w:r>
      <w:r>
        <w:rPr>
          <w:rFonts w:eastAsiaTheme="minorHAnsi"/>
          <w:color w:val="000000"/>
          <w:sz w:val="26"/>
          <w:szCs w:val="26"/>
        </w:rPr>
        <w:t xml:space="preserve"> </w:t>
      </w:r>
      <w:r w:rsidRPr="00A22009">
        <w:rPr>
          <w:rFonts w:eastAsiaTheme="minorHAnsi"/>
          <w:color w:val="000000"/>
          <w:sz w:val="26"/>
          <w:szCs w:val="26"/>
        </w:rPr>
        <w:t xml:space="preserve">In its New Matter, </w:t>
      </w:r>
      <w:r w:rsidR="00FD6CF1">
        <w:rPr>
          <w:rFonts w:eastAsiaTheme="minorHAnsi"/>
          <w:color w:val="000000"/>
          <w:sz w:val="26"/>
          <w:szCs w:val="26"/>
        </w:rPr>
        <w:t>the Company</w:t>
      </w:r>
      <w:r w:rsidRPr="00A22009">
        <w:rPr>
          <w:sz w:val="26"/>
          <w:szCs w:val="26"/>
        </w:rPr>
        <w:t xml:space="preserve"> averred that this is the Complainant’s second formal complaint against the Company </w:t>
      </w:r>
      <w:r w:rsidR="00BB356B">
        <w:rPr>
          <w:sz w:val="26"/>
          <w:szCs w:val="26"/>
        </w:rPr>
        <w:t xml:space="preserve">in which </w:t>
      </w:r>
      <w:r w:rsidR="00604A6A">
        <w:rPr>
          <w:sz w:val="26"/>
          <w:szCs w:val="26"/>
        </w:rPr>
        <w:t>the Complainant has alleged t</w:t>
      </w:r>
      <w:r w:rsidRPr="00A22009">
        <w:rPr>
          <w:sz w:val="26"/>
          <w:szCs w:val="26"/>
        </w:rPr>
        <w:t xml:space="preserve">hat </w:t>
      </w:r>
      <w:r w:rsidR="00604A6A">
        <w:rPr>
          <w:sz w:val="26"/>
          <w:szCs w:val="26"/>
        </w:rPr>
        <w:t>PECO</w:t>
      </w:r>
      <w:r w:rsidRPr="00A22009">
        <w:rPr>
          <w:sz w:val="26"/>
          <w:szCs w:val="26"/>
        </w:rPr>
        <w:t xml:space="preserve"> denied a medical certificate, disputed termination for a past due balance, and requested assistance with a payment arrangement. </w:t>
      </w:r>
      <w:r w:rsidR="00BB356B">
        <w:rPr>
          <w:sz w:val="26"/>
          <w:szCs w:val="26"/>
        </w:rPr>
        <w:t xml:space="preserve"> </w:t>
      </w:r>
      <w:r w:rsidRPr="00A22009">
        <w:rPr>
          <w:sz w:val="26"/>
          <w:szCs w:val="26"/>
        </w:rPr>
        <w:t xml:space="preserve">PECO further averred that the matter should be dismissed in its entirety on the grounds of </w:t>
      </w:r>
      <w:r w:rsidRPr="00A22009">
        <w:rPr>
          <w:i/>
          <w:iCs/>
          <w:sz w:val="26"/>
          <w:szCs w:val="26"/>
        </w:rPr>
        <w:t>res judicata</w:t>
      </w:r>
      <w:r w:rsidRPr="00A22009">
        <w:rPr>
          <w:sz w:val="26"/>
          <w:szCs w:val="26"/>
        </w:rPr>
        <w:t>.</w:t>
      </w:r>
      <w:r w:rsidR="00503CC2">
        <w:rPr>
          <w:sz w:val="26"/>
          <w:szCs w:val="26"/>
        </w:rPr>
        <w:t xml:space="preserve">  I.D. at 2.  </w:t>
      </w:r>
      <w:r w:rsidR="00E42701">
        <w:rPr>
          <w:sz w:val="26"/>
          <w:szCs w:val="26"/>
        </w:rPr>
        <w:t xml:space="preserve">The </w:t>
      </w:r>
      <w:r w:rsidR="00E42701" w:rsidRPr="0012600C">
        <w:rPr>
          <w:sz w:val="26"/>
          <w:szCs w:val="26"/>
        </w:rPr>
        <w:t>Complainant did not file a response to the New Matter.</w:t>
      </w:r>
      <w:r w:rsidR="00503CC2">
        <w:rPr>
          <w:sz w:val="26"/>
          <w:szCs w:val="26"/>
        </w:rPr>
        <w:t xml:space="preserve">  I.D. at 2.</w:t>
      </w:r>
    </w:p>
    <w:p w14:paraId="1095DDD9" w14:textId="77777777" w:rsidR="00E42701" w:rsidRPr="0012600C" w:rsidRDefault="00E42701" w:rsidP="00503CC2">
      <w:pPr>
        <w:widowControl/>
        <w:spacing w:line="360" w:lineRule="auto"/>
        <w:ind w:firstLine="1440"/>
        <w:rPr>
          <w:sz w:val="26"/>
          <w:szCs w:val="26"/>
        </w:rPr>
      </w:pPr>
    </w:p>
    <w:p w14:paraId="606C8C52" w14:textId="77777777" w:rsidR="00E42701" w:rsidRDefault="00FD6CF1" w:rsidP="00503CC2">
      <w:pPr>
        <w:widowControl/>
        <w:spacing w:line="360" w:lineRule="auto"/>
        <w:ind w:firstLine="1440"/>
        <w:rPr>
          <w:sz w:val="26"/>
          <w:szCs w:val="26"/>
        </w:rPr>
      </w:pPr>
      <w:r>
        <w:rPr>
          <w:sz w:val="26"/>
          <w:szCs w:val="26"/>
        </w:rPr>
        <w:t>On August 26, 2016, the Company</w:t>
      </w:r>
      <w:r w:rsidR="00E42701" w:rsidRPr="0012600C">
        <w:rPr>
          <w:sz w:val="26"/>
          <w:szCs w:val="26"/>
        </w:rPr>
        <w:t xml:space="preserve"> filed a Motio</w:t>
      </w:r>
      <w:r>
        <w:rPr>
          <w:sz w:val="26"/>
          <w:szCs w:val="26"/>
        </w:rPr>
        <w:t>n for Judgment on the Pleadings, contending</w:t>
      </w:r>
      <w:r w:rsidR="00E42701" w:rsidRPr="0012600C">
        <w:rPr>
          <w:sz w:val="26"/>
          <w:szCs w:val="26"/>
        </w:rPr>
        <w:t xml:space="preserve"> that the Complaint should be dismissed in its entirety pursuant to the doctrine of </w:t>
      </w:r>
      <w:r w:rsidR="00E42701" w:rsidRPr="0012600C">
        <w:rPr>
          <w:i/>
          <w:iCs/>
          <w:sz w:val="26"/>
          <w:szCs w:val="26"/>
        </w:rPr>
        <w:t>res judicata</w:t>
      </w:r>
      <w:r w:rsidR="00E42701" w:rsidRPr="0012600C">
        <w:rPr>
          <w:sz w:val="26"/>
          <w:szCs w:val="26"/>
        </w:rPr>
        <w:t xml:space="preserve">.  </w:t>
      </w:r>
      <w:r w:rsidR="00503CC2">
        <w:rPr>
          <w:sz w:val="26"/>
          <w:szCs w:val="26"/>
        </w:rPr>
        <w:t xml:space="preserve">I.D. at 2.  </w:t>
      </w:r>
      <w:r w:rsidR="00E42701" w:rsidRPr="0012600C">
        <w:rPr>
          <w:sz w:val="26"/>
          <w:szCs w:val="26"/>
        </w:rPr>
        <w:t>The Complainant did not file a response to the Motion for Judgment on the Pleadings.</w:t>
      </w:r>
      <w:r w:rsidR="00503CC2">
        <w:rPr>
          <w:sz w:val="26"/>
          <w:szCs w:val="26"/>
        </w:rPr>
        <w:t xml:space="preserve">  I.D. at 2.</w:t>
      </w:r>
    </w:p>
    <w:p w14:paraId="3F50125C" w14:textId="77777777" w:rsidR="0012600C" w:rsidRPr="0012600C" w:rsidRDefault="0012600C" w:rsidP="00503CC2">
      <w:pPr>
        <w:widowControl/>
        <w:spacing w:line="360" w:lineRule="auto"/>
        <w:ind w:firstLine="1440"/>
        <w:rPr>
          <w:sz w:val="26"/>
          <w:szCs w:val="26"/>
        </w:rPr>
      </w:pPr>
    </w:p>
    <w:p w14:paraId="7DDD34D3" w14:textId="77777777" w:rsidR="00E47544" w:rsidRDefault="00F91FC0" w:rsidP="00503CC2">
      <w:pPr>
        <w:widowControl/>
        <w:autoSpaceDE w:val="0"/>
        <w:autoSpaceDN w:val="0"/>
        <w:adjustRightInd w:val="0"/>
        <w:spacing w:line="360" w:lineRule="auto"/>
        <w:ind w:firstLine="1440"/>
        <w:rPr>
          <w:rFonts w:eastAsiaTheme="minorHAnsi"/>
          <w:color w:val="000000"/>
          <w:sz w:val="26"/>
          <w:szCs w:val="26"/>
        </w:rPr>
      </w:pPr>
      <w:r w:rsidRPr="0012600C">
        <w:rPr>
          <w:rFonts w:eastAsiaTheme="minorHAnsi"/>
          <w:color w:val="000000"/>
          <w:sz w:val="26"/>
          <w:szCs w:val="26"/>
        </w:rPr>
        <w:t xml:space="preserve">By notice dated </w:t>
      </w:r>
      <w:r w:rsidR="00E42701" w:rsidRPr="0012600C">
        <w:rPr>
          <w:rFonts w:eastAsiaTheme="minorHAnsi"/>
          <w:color w:val="000000"/>
          <w:sz w:val="26"/>
          <w:szCs w:val="26"/>
        </w:rPr>
        <w:t>September 22, 2016</w:t>
      </w:r>
      <w:r w:rsidRPr="0012600C">
        <w:rPr>
          <w:rFonts w:eastAsiaTheme="minorHAnsi"/>
          <w:color w:val="000000"/>
          <w:sz w:val="26"/>
          <w:szCs w:val="26"/>
        </w:rPr>
        <w:t xml:space="preserve">, the Commission scheduled this matter for a telephonic hearing on </w:t>
      </w:r>
      <w:r w:rsidR="00E42701" w:rsidRPr="0012600C">
        <w:rPr>
          <w:rFonts w:eastAsiaTheme="minorHAnsi"/>
          <w:color w:val="000000"/>
          <w:sz w:val="26"/>
          <w:szCs w:val="26"/>
        </w:rPr>
        <w:t>October 14, 2016</w:t>
      </w:r>
      <w:r w:rsidRPr="0012600C">
        <w:rPr>
          <w:rFonts w:eastAsiaTheme="minorHAnsi"/>
          <w:color w:val="000000"/>
          <w:sz w:val="26"/>
          <w:szCs w:val="26"/>
        </w:rPr>
        <w:t xml:space="preserve">, </w:t>
      </w:r>
      <w:r w:rsidR="00E42701" w:rsidRPr="0012600C">
        <w:rPr>
          <w:rFonts w:eastAsiaTheme="minorHAnsi"/>
          <w:color w:val="000000"/>
          <w:sz w:val="26"/>
          <w:szCs w:val="26"/>
        </w:rPr>
        <w:t>before</w:t>
      </w:r>
      <w:r w:rsidRPr="0012600C">
        <w:rPr>
          <w:rFonts w:eastAsiaTheme="minorHAnsi"/>
          <w:color w:val="000000"/>
          <w:sz w:val="26"/>
          <w:szCs w:val="26"/>
        </w:rPr>
        <w:t xml:space="preserve"> </w:t>
      </w:r>
      <w:r w:rsidR="00E42701" w:rsidRPr="0012600C">
        <w:rPr>
          <w:rFonts w:eastAsiaTheme="minorHAnsi"/>
          <w:color w:val="000000"/>
          <w:sz w:val="26"/>
          <w:szCs w:val="26"/>
        </w:rPr>
        <w:t>ALJ</w:t>
      </w:r>
      <w:r w:rsidR="00E42701">
        <w:rPr>
          <w:rFonts w:eastAsiaTheme="minorHAnsi"/>
          <w:color w:val="000000"/>
          <w:sz w:val="26"/>
          <w:szCs w:val="26"/>
        </w:rPr>
        <w:t xml:space="preserve"> Fordham</w:t>
      </w:r>
      <w:r w:rsidR="0066095F">
        <w:rPr>
          <w:rFonts w:eastAsiaTheme="minorHAnsi"/>
          <w:color w:val="000000"/>
          <w:sz w:val="26"/>
          <w:szCs w:val="26"/>
        </w:rPr>
        <w:t>.</w:t>
      </w:r>
      <w:r w:rsidR="00E42701">
        <w:rPr>
          <w:rFonts w:eastAsiaTheme="minorHAnsi"/>
          <w:color w:val="000000"/>
          <w:sz w:val="26"/>
          <w:szCs w:val="26"/>
        </w:rPr>
        <w:t xml:space="preserve">  On September 30, 2016, a Judge Change Notice assigned the matter to ALJ Heep for the October 14, 2016 hearing.</w:t>
      </w:r>
      <w:r w:rsidR="0012600C">
        <w:rPr>
          <w:rFonts w:eastAsiaTheme="minorHAnsi"/>
          <w:color w:val="000000"/>
          <w:sz w:val="26"/>
          <w:szCs w:val="26"/>
        </w:rPr>
        <w:t xml:space="preserve"> </w:t>
      </w:r>
      <w:r w:rsidR="00503CC2">
        <w:rPr>
          <w:rFonts w:eastAsiaTheme="minorHAnsi"/>
          <w:color w:val="000000"/>
          <w:sz w:val="26"/>
          <w:szCs w:val="26"/>
        </w:rPr>
        <w:t xml:space="preserve"> I.D. at 2.</w:t>
      </w:r>
    </w:p>
    <w:p w14:paraId="2A4087F4" w14:textId="77777777" w:rsidR="00E47544" w:rsidRDefault="0012600C" w:rsidP="00503CC2">
      <w:pPr>
        <w:widowControl/>
        <w:autoSpaceDE w:val="0"/>
        <w:autoSpaceDN w:val="0"/>
        <w:adjustRightInd w:val="0"/>
        <w:spacing w:line="360" w:lineRule="auto"/>
        <w:ind w:firstLine="1440"/>
        <w:rPr>
          <w:rFonts w:eastAsiaTheme="minorHAnsi"/>
          <w:color w:val="000000"/>
          <w:sz w:val="26"/>
          <w:szCs w:val="26"/>
        </w:rPr>
      </w:pPr>
      <w:r>
        <w:rPr>
          <w:rFonts w:eastAsiaTheme="minorHAnsi"/>
          <w:color w:val="000000"/>
          <w:sz w:val="26"/>
          <w:szCs w:val="26"/>
        </w:rPr>
        <w:t xml:space="preserve"> </w:t>
      </w:r>
    </w:p>
    <w:p w14:paraId="08AC5484" w14:textId="77777777" w:rsidR="00E47544" w:rsidRDefault="00E42701" w:rsidP="00503CC2">
      <w:pPr>
        <w:widowControl/>
        <w:autoSpaceDE w:val="0"/>
        <w:autoSpaceDN w:val="0"/>
        <w:adjustRightInd w:val="0"/>
        <w:spacing w:line="360" w:lineRule="auto"/>
        <w:ind w:firstLine="1440"/>
        <w:rPr>
          <w:rFonts w:eastAsiaTheme="minorHAnsi"/>
          <w:color w:val="000000"/>
          <w:sz w:val="26"/>
          <w:szCs w:val="26"/>
        </w:rPr>
      </w:pPr>
      <w:r w:rsidRPr="00E42701">
        <w:rPr>
          <w:rFonts w:eastAsiaTheme="minorHAnsi"/>
          <w:color w:val="000000"/>
          <w:sz w:val="26"/>
          <w:szCs w:val="26"/>
        </w:rPr>
        <w:t xml:space="preserve">On October 4, 2016, the Commission was notified that Mr. Hudson had filed for bankruptcy. </w:t>
      </w:r>
      <w:r w:rsidR="00BB59C2">
        <w:rPr>
          <w:rFonts w:eastAsiaTheme="minorHAnsi"/>
          <w:color w:val="000000"/>
          <w:sz w:val="26"/>
          <w:szCs w:val="26"/>
        </w:rPr>
        <w:t xml:space="preserve"> </w:t>
      </w:r>
      <w:r w:rsidRPr="00E42701">
        <w:rPr>
          <w:rFonts w:eastAsiaTheme="minorHAnsi"/>
          <w:color w:val="000000"/>
          <w:sz w:val="26"/>
          <w:szCs w:val="26"/>
        </w:rPr>
        <w:t>Also</w:t>
      </w:r>
      <w:r w:rsidR="008E7A52">
        <w:rPr>
          <w:rFonts w:eastAsiaTheme="minorHAnsi"/>
          <w:color w:val="000000"/>
          <w:sz w:val="26"/>
          <w:szCs w:val="26"/>
        </w:rPr>
        <w:t>,</w:t>
      </w:r>
      <w:r w:rsidRPr="00E42701">
        <w:rPr>
          <w:rFonts w:eastAsiaTheme="minorHAnsi"/>
          <w:color w:val="000000"/>
          <w:sz w:val="26"/>
          <w:szCs w:val="26"/>
        </w:rPr>
        <w:t xml:space="preserve"> on October 4, 2016, </w:t>
      </w:r>
      <w:r w:rsidR="0012600C">
        <w:rPr>
          <w:rFonts w:eastAsiaTheme="minorHAnsi"/>
          <w:color w:val="000000"/>
          <w:sz w:val="26"/>
          <w:szCs w:val="26"/>
        </w:rPr>
        <w:t>AL</w:t>
      </w:r>
      <w:r w:rsidR="009C792B">
        <w:rPr>
          <w:rFonts w:eastAsiaTheme="minorHAnsi"/>
          <w:color w:val="000000"/>
          <w:sz w:val="26"/>
          <w:szCs w:val="26"/>
        </w:rPr>
        <w:t>J</w:t>
      </w:r>
      <w:r w:rsidR="0012600C">
        <w:rPr>
          <w:rFonts w:eastAsiaTheme="minorHAnsi"/>
          <w:color w:val="000000"/>
          <w:sz w:val="26"/>
          <w:szCs w:val="26"/>
        </w:rPr>
        <w:t xml:space="preserve"> Heep</w:t>
      </w:r>
      <w:r w:rsidRPr="00E42701">
        <w:rPr>
          <w:rFonts w:eastAsiaTheme="minorHAnsi"/>
          <w:color w:val="000000"/>
          <w:sz w:val="26"/>
          <w:szCs w:val="26"/>
        </w:rPr>
        <w:t xml:space="preserve"> issued an Order staying the matter while the bankruptcy proceedings were pending. </w:t>
      </w:r>
      <w:r w:rsidR="00503CC2">
        <w:rPr>
          <w:rFonts w:eastAsiaTheme="minorHAnsi"/>
          <w:color w:val="000000"/>
          <w:sz w:val="26"/>
          <w:szCs w:val="26"/>
        </w:rPr>
        <w:t xml:space="preserve"> I.D. at 2.</w:t>
      </w:r>
    </w:p>
    <w:p w14:paraId="5632FA42" w14:textId="77777777" w:rsidR="00E47544" w:rsidRDefault="00E47544" w:rsidP="00503CC2">
      <w:pPr>
        <w:widowControl/>
        <w:autoSpaceDE w:val="0"/>
        <w:autoSpaceDN w:val="0"/>
        <w:adjustRightInd w:val="0"/>
        <w:spacing w:line="360" w:lineRule="auto"/>
        <w:ind w:firstLine="1440"/>
        <w:rPr>
          <w:rFonts w:eastAsiaTheme="minorHAnsi"/>
          <w:color w:val="000000"/>
          <w:sz w:val="26"/>
          <w:szCs w:val="26"/>
        </w:rPr>
      </w:pPr>
    </w:p>
    <w:p w14:paraId="7CB7998E" w14:textId="77777777" w:rsidR="00E42701" w:rsidRPr="00BB59C2" w:rsidRDefault="00E42701" w:rsidP="00503CC2">
      <w:pPr>
        <w:widowControl/>
        <w:autoSpaceDE w:val="0"/>
        <w:autoSpaceDN w:val="0"/>
        <w:adjustRightInd w:val="0"/>
        <w:spacing w:line="360" w:lineRule="auto"/>
        <w:ind w:firstLine="1440"/>
        <w:rPr>
          <w:rFonts w:eastAsiaTheme="minorHAnsi"/>
          <w:color w:val="000000"/>
          <w:sz w:val="26"/>
          <w:szCs w:val="26"/>
        </w:rPr>
      </w:pPr>
      <w:r w:rsidRPr="00BB59C2">
        <w:rPr>
          <w:rFonts w:eastAsiaTheme="minorHAnsi"/>
          <w:color w:val="000000"/>
          <w:sz w:val="26"/>
          <w:szCs w:val="26"/>
        </w:rPr>
        <w:t>On January 9, 2017, PECO notified the Commission that the bankruptcy action filed by Complainant was dismissed.</w:t>
      </w:r>
      <w:r w:rsidR="00503CC2">
        <w:rPr>
          <w:rFonts w:eastAsiaTheme="minorHAnsi"/>
          <w:color w:val="000000"/>
          <w:sz w:val="26"/>
          <w:szCs w:val="26"/>
        </w:rPr>
        <w:t xml:space="preserve">  I.D. at 2.</w:t>
      </w:r>
    </w:p>
    <w:p w14:paraId="2A8AC5C9" w14:textId="77777777" w:rsidR="00E42701" w:rsidRPr="00BB59C2" w:rsidRDefault="00E42701" w:rsidP="00503CC2">
      <w:pPr>
        <w:widowControl/>
        <w:autoSpaceDE w:val="0"/>
        <w:autoSpaceDN w:val="0"/>
        <w:adjustRightInd w:val="0"/>
        <w:spacing w:line="360" w:lineRule="auto"/>
        <w:rPr>
          <w:rFonts w:eastAsiaTheme="minorHAnsi"/>
          <w:color w:val="000000"/>
          <w:sz w:val="26"/>
          <w:szCs w:val="26"/>
        </w:rPr>
      </w:pPr>
    </w:p>
    <w:p w14:paraId="28D28AC2" w14:textId="77777777" w:rsidR="00E42701" w:rsidRDefault="00503CC2" w:rsidP="00503CC2">
      <w:pPr>
        <w:widowControl/>
        <w:autoSpaceDE w:val="0"/>
        <w:autoSpaceDN w:val="0"/>
        <w:adjustRightInd w:val="0"/>
        <w:spacing w:line="360" w:lineRule="auto"/>
        <w:ind w:firstLine="1440"/>
        <w:rPr>
          <w:sz w:val="26"/>
          <w:szCs w:val="26"/>
        </w:rPr>
      </w:pPr>
      <w:r>
        <w:rPr>
          <w:sz w:val="26"/>
          <w:szCs w:val="26"/>
        </w:rPr>
        <w:t>O</w:t>
      </w:r>
      <w:r w:rsidR="00E42701" w:rsidRPr="00BB59C2">
        <w:rPr>
          <w:sz w:val="26"/>
          <w:szCs w:val="26"/>
        </w:rPr>
        <w:t xml:space="preserve">n January 31, 2017, </w:t>
      </w:r>
      <w:r w:rsidR="00BB59C2">
        <w:rPr>
          <w:sz w:val="26"/>
          <w:szCs w:val="26"/>
        </w:rPr>
        <w:t>ALJ Heep issued an</w:t>
      </w:r>
      <w:r w:rsidR="00E42701" w:rsidRPr="00BB59C2">
        <w:rPr>
          <w:sz w:val="26"/>
          <w:szCs w:val="26"/>
        </w:rPr>
        <w:t xml:space="preserve"> Order granting</w:t>
      </w:r>
      <w:r w:rsidR="00E24955">
        <w:rPr>
          <w:sz w:val="26"/>
          <w:szCs w:val="26"/>
        </w:rPr>
        <w:t>, in part,</w:t>
      </w:r>
      <w:r w:rsidR="00E42701" w:rsidRPr="00BB59C2">
        <w:rPr>
          <w:sz w:val="26"/>
          <w:szCs w:val="26"/>
        </w:rPr>
        <w:t xml:space="preserve"> the Motion</w:t>
      </w:r>
      <w:r w:rsidR="00E24955">
        <w:rPr>
          <w:sz w:val="26"/>
          <w:szCs w:val="26"/>
        </w:rPr>
        <w:t xml:space="preserve"> for Judgement on the Pleadings.  In granting the Motion</w:t>
      </w:r>
      <w:r w:rsidR="00215F00">
        <w:rPr>
          <w:sz w:val="26"/>
          <w:szCs w:val="26"/>
        </w:rPr>
        <w:t xml:space="preserve"> in part</w:t>
      </w:r>
      <w:r w:rsidR="00E24955">
        <w:rPr>
          <w:sz w:val="26"/>
          <w:szCs w:val="26"/>
        </w:rPr>
        <w:t xml:space="preserve">, ALJ Heep dismissed the following claims on the grounds of </w:t>
      </w:r>
      <w:r w:rsidR="00E24955" w:rsidRPr="00E24955">
        <w:rPr>
          <w:i/>
          <w:sz w:val="26"/>
          <w:szCs w:val="26"/>
        </w:rPr>
        <w:t xml:space="preserve">res judicata </w:t>
      </w:r>
      <w:r w:rsidR="00E24955" w:rsidRPr="00E24955">
        <w:rPr>
          <w:sz w:val="26"/>
          <w:szCs w:val="26"/>
        </w:rPr>
        <w:t xml:space="preserve">based on a 2014 formal complaint addressed at Docket Number C-2014-2418563: </w:t>
      </w:r>
      <w:r w:rsidR="006375EB">
        <w:rPr>
          <w:sz w:val="26"/>
          <w:szCs w:val="26"/>
        </w:rPr>
        <w:t xml:space="preserve">(1) </w:t>
      </w:r>
      <w:r w:rsidR="00E42701" w:rsidRPr="00E24955">
        <w:rPr>
          <w:sz w:val="26"/>
          <w:szCs w:val="26"/>
        </w:rPr>
        <w:t>the claims</w:t>
      </w:r>
      <w:r w:rsidR="00E42701" w:rsidRPr="00BB59C2">
        <w:rPr>
          <w:sz w:val="26"/>
          <w:szCs w:val="26"/>
        </w:rPr>
        <w:t xml:space="preserve"> pertaining to medical certification</w:t>
      </w:r>
      <w:r w:rsidR="006375EB">
        <w:rPr>
          <w:sz w:val="26"/>
          <w:szCs w:val="26"/>
        </w:rPr>
        <w:t>; (2)</w:t>
      </w:r>
      <w:r w:rsidR="00E42701" w:rsidRPr="00BB59C2">
        <w:rPr>
          <w:sz w:val="26"/>
          <w:szCs w:val="26"/>
        </w:rPr>
        <w:t xml:space="preserve"> the notice of shut off or the threat to shut of service</w:t>
      </w:r>
      <w:r w:rsidR="006375EB">
        <w:rPr>
          <w:sz w:val="26"/>
          <w:szCs w:val="26"/>
        </w:rPr>
        <w:t xml:space="preserve">; (3) </w:t>
      </w:r>
      <w:r w:rsidR="00E42701" w:rsidRPr="00BB59C2">
        <w:rPr>
          <w:sz w:val="26"/>
          <w:szCs w:val="26"/>
        </w:rPr>
        <w:t xml:space="preserve">the request for account information through April 28, 2014, </w:t>
      </w:r>
      <w:r w:rsidR="006375EB">
        <w:rPr>
          <w:sz w:val="26"/>
          <w:szCs w:val="26"/>
        </w:rPr>
        <w:t xml:space="preserve">(4) </w:t>
      </w:r>
      <w:r w:rsidR="00E42701" w:rsidRPr="00BB59C2">
        <w:rPr>
          <w:sz w:val="26"/>
          <w:szCs w:val="26"/>
        </w:rPr>
        <w:t xml:space="preserve">the request for a payment arrangement and </w:t>
      </w:r>
      <w:r w:rsidR="006375EB">
        <w:rPr>
          <w:sz w:val="26"/>
          <w:szCs w:val="26"/>
        </w:rPr>
        <w:t xml:space="preserve">(5) </w:t>
      </w:r>
      <w:r w:rsidR="00E42701" w:rsidRPr="00BB59C2">
        <w:rPr>
          <w:sz w:val="26"/>
          <w:szCs w:val="26"/>
        </w:rPr>
        <w:t>the CAP application assistance.</w:t>
      </w:r>
      <w:r w:rsidR="00E24955">
        <w:rPr>
          <w:sz w:val="26"/>
          <w:szCs w:val="26"/>
        </w:rPr>
        <w:t xml:space="preserve">  In the Order, ALJ Heep denied t</w:t>
      </w:r>
      <w:r w:rsidR="00E42701" w:rsidRPr="00BB59C2">
        <w:rPr>
          <w:sz w:val="26"/>
          <w:szCs w:val="26"/>
        </w:rPr>
        <w:t>he Motion</w:t>
      </w:r>
      <w:r w:rsidR="00E24955">
        <w:rPr>
          <w:sz w:val="26"/>
          <w:szCs w:val="26"/>
        </w:rPr>
        <w:t xml:space="preserve">, in part, </w:t>
      </w:r>
      <w:r w:rsidR="00E42701" w:rsidRPr="00BB59C2">
        <w:rPr>
          <w:sz w:val="26"/>
          <w:szCs w:val="26"/>
        </w:rPr>
        <w:t xml:space="preserve">with respect to </w:t>
      </w:r>
      <w:r w:rsidR="00E24955">
        <w:rPr>
          <w:sz w:val="26"/>
          <w:szCs w:val="26"/>
        </w:rPr>
        <w:t xml:space="preserve">the </w:t>
      </w:r>
      <w:r w:rsidR="00E42701" w:rsidRPr="00BB59C2">
        <w:rPr>
          <w:sz w:val="26"/>
          <w:szCs w:val="26"/>
        </w:rPr>
        <w:t>Complainant’s claim of incorrect charges as it pertains to charges since the</w:t>
      </w:r>
      <w:r w:rsidR="00E24955">
        <w:rPr>
          <w:sz w:val="26"/>
          <w:szCs w:val="26"/>
        </w:rPr>
        <w:t xml:space="preserve"> 2014 formal</w:t>
      </w:r>
      <w:r w:rsidR="00E42701" w:rsidRPr="00BB59C2">
        <w:rPr>
          <w:sz w:val="26"/>
          <w:szCs w:val="26"/>
        </w:rPr>
        <w:t xml:space="preserve"> </w:t>
      </w:r>
      <w:r w:rsidR="00E24955">
        <w:rPr>
          <w:sz w:val="26"/>
          <w:szCs w:val="26"/>
        </w:rPr>
        <w:t>c</w:t>
      </w:r>
      <w:r w:rsidR="00E42701" w:rsidRPr="00BB59C2">
        <w:rPr>
          <w:sz w:val="26"/>
          <w:szCs w:val="26"/>
        </w:rPr>
        <w:t>omplaint was filed on April 28, 2014.</w:t>
      </w:r>
      <w:r>
        <w:rPr>
          <w:sz w:val="26"/>
          <w:szCs w:val="26"/>
        </w:rPr>
        <w:t xml:space="preserve">  </w:t>
      </w:r>
      <w:r w:rsidRPr="00503CC2">
        <w:rPr>
          <w:i/>
          <w:sz w:val="26"/>
          <w:szCs w:val="26"/>
        </w:rPr>
        <w:t>See</w:t>
      </w:r>
      <w:r>
        <w:rPr>
          <w:sz w:val="26"/>
          <w:szCs w:val="26"/>
        </w:rPr>
        <w:t xml:space="preserve"> I.D. at 2-3; </w:t>
      </w:r>
      <w:r w:rsidRPr="00503CC2">
        <w:rPr>
          <w:i/>
          <w:sz w:val="26"/>
          <w:szCs w:val="26"/>
        </w:rPr>
        <w:t xml:space="preserve">see also </w:t>
      </w:r>
      <w:r>
        <w:rPr>
          <w:sz w:val="26"/>
          <w:szCs w:val="26"/>
        </w:rPr>
        <w:t>January 31, 2017 Order.</w:t>
      </w:r>
    </w:p>
    <w:p w14:paraId="30220D0B" w14:textId="77777777" w:rsidR="00E24955" w:rsidRPr="00BB59C2" w:rsidRDefault="00E24955" w:rsidP="00503CC2">
      <w:pPr>
        <w:widowControl/>
        <w:autoSpaceDE w:val="0"/>
        <w:autoSpaceDN w:val="0"/>
        <w:adjustRightInd w:val="0"/>
        <w:spacing w:line="360" w:lineRule="auto"/>
        <w:rPr>
          <w:sz w:val="26"/>
          <w:szCs w:val="26"/>
        </w:rPr>
      </w:pPr>
    </w:p>
    <w:p w14:paraId="255B2D4C" w14:textId="77777777" w:rsidR="00E42701" w:rsidRDefault="00E42701" w:rsidP="00503CC2">
      <w:pPr>
        <w:widowControl/>
        <w:autoSpaceDE w:val="0"/>
        <w:autoSpaceDN w:val="0"/>
        <w:adjustRightInd w:val="0"/>
        <w:spacing w:line="360" w:lineRule="auto"/>
        <w:ind w:firstLine="1440"/>
        <w:rPr>
          <w:rFonts w:eastAsiaTheme="minorHAnsi"/>
          <w:color w:val="000000"/>
          <w:sz w:val="26"/>
          <w:szCs w:val="26"/>
        </w:rPr>
      </w:pPr>
      <w:r w:rsidRPr="00F91FC0">
        <w:rPr>
          <w:rFonts w:eastAsiaTheme="minorHAnsi"/>
          <w:color w:val="000000"/>
          <w:sz w:val="26"/>
          <w:szCs w:val="26"/>
        </w:rPr>
        <w:t xml:space="preserve">By notice dated </w:t>
      </w:r>
      <w:r w:rsidR="00BB59C2">
        <w:rPr>
          <w:rFonts w:eastAsiaTheme="minorHAnsi"/>
          <w:color w:val="000000"/>
          <w:sz w:val="26"/>
          <w:szCs w:val="26"/>
        </w:rPr>
        <w:t>February 8, 2017 (Hearing Notice)</w:t>
      </w:r>
      <w:r w:rsidRPr="00F91FC0">
        <w:rPr>
          <w:rFonts w:eastAsiaTheme="minorHAnsi"/>
          <w:color w:val="000000"/>
          <w:sz w:val="26"/>
          <w:szCs w:val="26"/>
        </w:rPr>
        <w:t xml:space="preserve">, the Commission scheduled this matter for a telephonic hearing on </w:t>
      </w:r>
      <w:r w:rsidR="00BB59C2">
        <w:rPr>
          <w:rFonts w:eastAsiaTheme="minorHAnsi"/>
          <w:color w:val="000000"/>
          <w:sz w:val="26"/>
          <w:szCs w:val="26"/>
        </w:rPr>
        <w:t>April 7, 2017, at 10:00 a.m.</w:t>
      </w:r>
      <w:r w:rsidRPr="00F91FC0">
        <w:rPr>
          <w:rFonts w:eastAsiaTheme="minorHAnsi"/>
          <w:color w:val="000000"/>
          <w:sz w:val="26"/>
          <w:szCs w:val="26"/>
        </w:rPr>
        <w:t xml:space="preserve"> </w:t>
      </w:r>
      <w:r>
        <w:rPr>
          <w:rFonts w:eastAsiaTheme="minorHAnsi"/>
          <w:color w:val="000000"/>
          <w:sz w:val="26"/>
          <w:szCs w:val="26"/>
        </w:rPr>
        <w:t>before</w:t>
      </w:r>
      <w:r w:rsidRPr="00F91FC0">
        <w:rPr>
          <w:rFonts w:eastAsiaTheme="minorHAnsi"/>
          <w:color w:val="000000"/>
          <w:sz w:val="26"/>
          <w:szCs w:val="26"/>
        </w:rPr>
        <w:t xml:space="preserve"> </w:t>
      </w:r>
      <w:r w:rsidR="00BB59C2">
        <w:rPr>
          <w:rFonts w:eastAsiaTheme="minorHAnsi"/>
          <w:color w:val="000000"/>
          <w:sz w:val="26"/>
          <w:szCs w:val="26"/>
        </w:rPr>
        <w:t>ALJ Heep</w:t>
      </w:r>
      <w:r>
        <w:rPr>
          <w:rFonts w:eastAsiaTheme="minorHAnsi"/>
          <w:color w:val="000000"/>
          <w:sz w:val="26"/>
          <w:szCs w:val="26"/>
        </w:rPr>
        <w:t xml:space="preserve">.  </w:t>
      </w:r>
      <w:r w:rsidR="00503CC2">
        <w:rPr>
          <w:rFonts w:eastAsiaTheme="minorHAnsi"/>
          <w:color w:val="000000"/>
          <w:sz w:val="26"/>
          <w:szCs w:val="26"/>
        </w:rPr>
        <w:t>I.D. at 3.</w:t>
      </w:r>
    </w:p>
    <w:p w14:paraId="35E58F55" w14:textId="77777777" w:rsidR="00BB59C2" w:rsidRPr="00BB59C2" w:rsidRDefault="00BB59C2" w:rsidP="00503CC2">
      <w:pPr>
        <w:widowControl/>
        <w:autoSpaceDE w:val="0"/>
        <w:autoSpaceDN w:val="0"/>
        <w:adjustRightInd w:val="0"/>
        <w:spacing w:line="360" w:lineRule="auto"/>
        <w:ind w:firstLine="1440"/>
        <w:rPr>
          <w:rFonts w:eastAsiaTheme="minorHAnsi"/>
          <w:color w:val="000000"/>
          <w:sz w:val="26"/>
          <w:szCs w:val="26"/>
        </w:rPr>
      </w:pPr>
    </w:p>
    <w:p w14:paraId="42B877BC" w14:textId="77777777" w:rsidR="00BB59C2" w:rsidRPr="00BB59C2" w:rsidRDefault="00BB59C2" w:rsidP="00503CC2">
      <w:pPr>
        <w:widowControl/>
        <w:autoSpaceDE w:val="0"/>
        <w:autoSpaceDN w:val="0"/>
        <w:adjustRightInd w:val="0"/>
        <w:spacing w:line="360" w:lineRule="auto"/>
        <w:ind w:firstLine="1440"/>
        <w:rPr>
          <w:sz w:val="26"/>
          <w:szCs w:val="26"/>
        </w:rPr>
      </w:pPr>
      <w:r w:rsidRPr="00BB59C2">
        <w:rPr>
          <w:sz w:val="26"/>
          <w:szCs w:val="26"/>
        </w:rPr>
        <w:t>Approximately two weeks before the hearing date, the Complainant called the Office of Administrative Law Judge in Philadelphia (OALJ) and informed the Legal Assistant that he wanted an in-person hearing.  The Complainant and PECO were informed that they should appear in person. The day before the hearing, the Complainant called and told the Legal Assistant that he wanted a telephonic hearing, and the Complainant was advised that he could participate by telephone.  The Legal Assistant confirmed that the Complainant could be reached at the telephone number in the Commission’s records.</w:t>
      </w:r>
      <w:r w:rsidR="00503CC2">
        <w:rPr>
          <w:sz w:val="26"/>
          <w:szCs w:val="26"/>
        </w:rPr>
        <w:t xml:space="preserve">  I.D. at 3.</w:t>
      </w:r>
    </w:p>
    <w:p w14:paraId="39D6488E" w14:textId="77777777" w:rsidR="00BB59C2" w:rsidRDefault="00BB59C2" w:rsidP="00503CC2">
      <w:pPr>
        <w:widowControl/>
        <w:autoSpaceDE w:val="0"/>
        <w:autoSpaceDN w:val="0"/>
        <w:adjustRightInd w:val="0"/>
        <w:spacing w:line="360" w:lineRule="auto"/>
        <w:ind w:firstLine="1440"/>
        <w:rPr>
          <w:rFonts w:eastAsiaTheme="minorHAnsi"/>
          <w:color w:val="000000"/>
          <w:sz w:val="26"/>
          <w:szCs w:val="26"/>
        </w:rPr>
      </w:pPr>
    </w:p>
    <w:p w14:paraId="6CAA4095" w14:textId="77777777" w:rsidR="00F91FC0" w:rsidRPr="00F91FC0" w:rsidRDefault="0066095F" w:rsidP="00503CC2">
      <w:pPr>
        <w:widowControl/>
        <w:autoSpaceDE w:val="0"/>
        <w:autoSpaceDN w:val="0"/>
        <w:adjustRightInd w:val="0"/>
        <w:spacing w:line="360" w:lineRule="auto"/>
        <w:ind w:firstLine="1440"/>
        <w:rPr>
          <w:rFonts w:eastAsiaTheme="minorHAnsi"/>
          <w:color w:val="000000"/>
          <w:sz w:val="26"/>
          <w:szCs w:val="26"/>
        </w:rPr>
      </w:pPr>
      <w:r>
        <w:rPr>
          <w:rFonts w:eastAsiaTheme="minorHAnsi"/>
          <w:color w:val="000000"/>
          <w:sz w:val="26"/>
          <w:szCs w:val="26"/>
        </w:rPr>
        <w:t>O</w:t>
      </w:r>
      <w:r w:rsidR="00F91FC0" w:rsidRPr="00F91FC0">
        <w:rPr>
          <w:rFonts w:eastAsiaTheme="minorHAnsi"/>
          <w:color w:val="000000"/>
          <w:sz w:val="26"/>
          <w:szCs w:val="26"/>
        </w:rPr>
        <w:t xml:space="preserve">n </w:t>
      </w:r>
      <w:r w:rsidR="00DC6DC4">
        <w:rPr>
          <w:rFonts w:eastAsiaTheme="minorHAnsi"/>
          <w:color w:val="000000"/>
          <w:sz w:val="26"/>
          <w:szCs w:val="26"/>
        </w:rPr>
        <w:t>April 7</w:t>
      </w:r>
      <w:r w:rsidR="00F91FC0" w:rsidRPr="00F91FC0">
        <w:rPr>
          <w:rFonts w:eastAsiaTheme="minorHAnsi"/>
          <w:color w:val="000000"/>
          <w:sz w:val="26"/>
          <w:szCs w:val="26"/>
        </w:rPr>
        <w:t>, 2017,</w:t>
      </w:r>
      <w:r w:rsidR="00DC6DC4">
        <w:rPr>
          <w:rFonts w:eastAsiaTheme="minorHAnsi"/>
          <w:color w:val="000000"/>
          <w:sz w:val="26"/>
          <w:szCs w:val="26"/>
        </w:rPr>
        <w:t xml:space="preserve"> ALJ Heep</w:t>
      </w:r>
      <w:r>
        <w:rPr>
          <w:rFonts w:eastAsiaTheme="minorHAnsi"/>
          <w:color w:val="000000"/>
          <w:sz w:val="26"/>
          <w:szCs w:val="26"/>
        </w:rPr>
        <w:t xml:space="preserve"> conve</w:t>
      </w:r>
      <w:r w:rsidR="00DC6DC4">
        <w:rPr>
          <w:rFonts w:eastAsiaTheme="minorHAnsi"/>
          <w:color w:val="000000"/>
          <w:sz w:val="26"/>
          <w:szCs w:val="26"/>
        </w:rPr>
        <w:t>ned the</w:t>
      </w:r>
      <w:r>
        <w:rPr>
          <w:rFonts w:eastAsiaTheme="minorHAnsi"/>
          <w:color w:val="000000"/>
          <w:sz w:val="26"/>
          <w:szCs w:val="26"/>
        </w:rPr>
        <w:t xml:space="preserve"> hearing as scheduled. </w:t>
      </w:r>
      <w:r w:rsidR="00F91FC0" w:rsidRPr="00F91FC0">
        <w:rPr>
          <w:rFonts w:eastAsiaTheme="minorHAnsi"/>
          <w:color w:val="000000"/>
          <w:sz w:val="26"/>
          <w:szCs w:val="26"/>
        </w:rPr>
        <w:t xml:space="preserve"> </w:t>
      </w:r>
      <w:r w:rsidR="00DC6DC4">
        <w:rPr>
          <w:rFonts w:eastAsiaTheme="minorHAnsi"/>
          <w:color w:val="000000"/>
          <w:sz w:val="26"/>
          <w:szCs w:val="26"/>
        </w:rPr>
        <w:t>Counsel for PECO appeare</w:t>
      </w:r>
      <w:r w:rsidR="00903FE3">
        <w:rPr>
          <w:rFonts w:eastAsiaTheme="minorHAnsi"/>
          <w:color w:val="000000"/>
          <w:sz w:val="26"/>
          <w:szCs w:val="26"/>
        </w:rPr>
        <w:t>d in-</w:t>
      </w:r>
      <w:r w:rsidR="00DC6DC4" w:rsidRPr="00DC6DC4">
        <w:rPr>
          <w:rFonts w:eastAsiaTheme="minorHAnsi"/>
          <w:color w:val="000000"/>
          <w:sz w:val="26"/>
          <w:szCs w:val="26"/>
        </w:rPr>
        <w:t xml:space="preserve">person.  The </w:t>
      </w:r>
      <w:r w:rsidR="00DC6DC4" w:rsidRPr="00DC6DC4">
        <w:rPr>
          <w:sz w:val="26"/>
          <w:szCs w:val="26"/>
        </w:rPr>
        <w:t xml:space="preserve">Complainant was called </w:t>
      </w:r>
      <w:r w:rsidR="00D55371">
        <w:rPr>
          <w:sz w:val="26"/>
          <w:szCs w:val="26"/>
        </w:rPr>
        <w:t xml:space="preserve">on the telephone </w:t>
      </w:r>
      <w:r w:rsidR="00DC6DC4" w:rsidRPr="00DC6DC4">
        <w:rPr>
          <w:sz w:val="26"/>
          <w:szCs w:val="26"/>
        </w:rPr>
        <w:t xml:space="preserve">and there was no answer.  A second call was made to </w:t>
      </w:r>
      <w:r w:rsidR="00903FE3">
        <w:rPr>
          <w:sz w:val="26"/>
          <w:szCs w:val="26"/>
        </w:rPr>
        <w:t xml:space="preserve">the </w:t>
      </w:r>
      <w:r w:rsidR="00DC6DC4" w:rsidRPr="00DC6DC4">
        <w:rPr>
          <w:sz w:val="26"/>
          <w:szCs w:val="26"/>
        </w:rPr>
        <w:t xml:space="preserve">Complainant and there was no answer. </w:t>
      </w:r>
      <w:r w:rsidR="00D55371">
        <w:rPr>
          <w:sz w:val="26"/>
          <w:szCs w:val="26"/>
        </w:rPr>
        <w:t xml:space="preserve"> </w:t>
      </w:r>
      <w:r w:rsidR="00DC6DC4" w:rsidRPr="00DC6DC4">
        <w:rPr>
          <w:sz w:val="26"/>
          <w:szCs w:val="26"/>
        </w:rPr>
        <w:t xml:space="preserve">A recess was taken to allow </w:t>
      </w:r>
      <w:r w:rsidR="00903FE3">
        <w:rPr>
          <w:sz w:val="26"/>
          <w:szCs w:val="26"/>
        </w:rPr>
        <w:t xml:space="preserve">the </w:t>
      </w:r>
      <w:r w:rsidR="00DC6DC4" w:rsidRPr="00DC6DC4">
        <w:rPr>
          <w:sz w:val="26"/>
          <w:szCs w:val="26"/>
        </w:rPr>
        <w:t xml:space="preserve">Complainant time to arrive.  At 10:21 a.m., the proceedings resumed, </w:t>
      </w:r>
      <w:r w:rsidR="00903FE3">
        <w:rPr>
          <w:sz w:val="26"/>
          <w:szCs w:val="26"/>
        </w:rPr>
        <w:t xml:space="preserve">and </w:t>
      </w:r>
      <w:r w:rsidR="00DC6DC4" w:rsidRPr="00DC6DC4">
        <w:rPr>
          <w:sz w:val="26"/>
          <w:szCs w:val="26"/>
        </w:rPr>
        <w:t xml:space="preserve">the Complainant was called for a third time and </w:t>
      </w:r>
      <w:r w:rsidR="00046A38">
        <w:rPr>
          <w:sz w:val="26"/>
          <w:szCs w:val="26"/>
        </w:rPr>
        <w:t xml:space="preserve">again </w:t>
      </w:r>
      <w:r w:rsidR="00DC6DC4" w:rsidRPr="00DC6DC4">
        <w:rPr>
          <w:sz w:val="26"/>
          <w:szCs w:val="26"/>
        </w:rPr>
        <w:t xml:space="preserve">the Complainant did not answer. </w:t>
      </w:r>
      <w:r w:rsidR="00903FE3">
        <w:rPr>
          <w:sz w:val="26"/>
          <w:szCs w:val="26"/>
        </w:rPr>
        <w:t xml:space="preserve"> </w:t>
      </w:r>
      <w:r w:rsidR="00FD6CF1">
        <w:rPr>
          <w:rFonts w:eastAsiaTheme="minorHAnsi"/>
          <w:color w:val="000000"/>
          <w:sz w:val="26"/>
          <w:szCs w:val="26"/>
        </w:rPr>
        <w:t>The Company</w:t>
      </w:r>
      <w:r w:rsidR="00F91FC0" w:rsidRPr="00DC6DC4">
        <w:rPr>
          <w:rFonts w:eastAsiaTheme="minorHAnsi"/>
          <w:color w:val="000000"/>
          <w:sz w:val="26"/>
          <w:szCs w:val="26"/>
        </w:rPr>
        <w:t xml:space="preserve"> moved to dismiss the </w:t>
      </w:r>
      <w:r w:rsidRPr="00DC6DC4">
        <w:rPr>
          <w:rFonts w:eastAsiaTheme="minorHAnsi"/>
          <w:color w:val="000000"/>
          <w:sz w:val="26"/>
          <w:szCs w:val="26"/>
        </w:rPr>
        <w:t>C</w:t>
      </w:r>
      <w:r w:rsidR="00F91FC0" w:rsidRPr="00DC6DC4">
        <w:rPr>
          <w:rFonts w:eastAsiaTheme="minorHAnsi"/>
          <w:color w:val="000000"/>
          <w:sz w:val="26"/>
          <w:szCs w:val="26"/>
        </w:rPr>
        <w:t>omplaint for failure to appear and prosecute.</w:t>
      </w:r>
      <w:r w:rsidR="00F91FC0" w:rsidRPr="00F91FC0">
        <w:rPr>
          <w:rFonts w:eastAsiaTheme="minorHAnsi"/>
          <w:color w:val="000000"/>
          <w:sz w:val="26"/>
          <w:szCs w:val="26"/>
        </w:rPr>
        <w:t xml:space="preserve"> </w:t>
      </w:r>
      <w:r>
        <w:rPr>
          <w:rFonts w:eastAsiaTheme="minorHAnsi"/>
          <w:color w:val="000000"/>
          <w:sz w:val="26"/>
          <w:szCs w:val="26"/>
        </w:rPr>
        <w:t xml:space="preserve"> </w:t>
      </w:r>
      <w:r w:rsidR="00503CC2">
        <w:rPr>
          <w:rFonts w:eastAsiaTheme="minorHAnsi"/>
          <w:color w:val="000000"/>
          <w:sz w:val="26"/>
          <w:szCs w:val="26"/>
        </w:rPr>
        <w:t>I.D. at 3.</w:t>
      </w:r>
    </w:p>
    <w:p w14:paraId="5A7C7B87" w14:textId="77777777" w:rsidR="00F91FC0" w:rsidRPr="00DC6DC4" w:rsidRDefault="00F91FC0" w:rsidP="00503CC2">
      <w:pPr>
        <w:widowControl/>
        <w:autoSpaceDE w:val="0"/>
        <w:autoSpaceDN w:val="0"/>
        <w:adjustRightInd w:val="0"/>
        <w:spacing w:line="360" w:lineRule="auto"/>
        <w:ind w:firstLine="1440"/>
        <w:rPr>
          <w:rFonts w:eastAsiaTheme="minorHAnsi"/>
          <w:color w:val="000000"/>
          <w:sz w:val="26"/>
          <w:szCs w:val="26"/>
        </w:rPr>
      </w:pPr>
    </w:p>
    <w:p w14:paraId="749BDD5B" w14:textId="7DF7C29B" w:rsidR="00DC6DC4" w:rsidRPr="001F0CDF" w:rsidRDefault="001F0CDF" w:rsidP="00503CC2">
      <w:pPr>
        <w:widowControl/>
        <w:autoSpaceDE w:val="0"/>
        <w:autoSpaceDN w:val="0"/>
        <w:adjustRightInd w:val="0"/>
        <w:spacing w:line="360" w:lineRule="auto"/>
        <w:ind w:firstLine="1440"/>
        <w:rPr>
          <w:sz w:val="26"/>
          <w:szCs w:val="26"/>
        </w:rPr>
      </w:pPr>
      <w:r>
        <w:rPr>
          <w:sz w:val="26"/>
          <w:szCs w:val="26"/>
        </w:rPr>
        <w:t>After the hearing adjourned, at or around</w:t>
      </w:r>
      <w:r w:rsidR="00DC6DC4" w:rsidRPr="00DC6DC4">
        <w:rPr>
          <w:sz w:val="26"/>
          <w:szCs w:val="26"/>
        </w:rPr>
        <w:t xml:space="preserve"> 11:30 a.m., the Complainant called the OALJ and stated to the Legal Assistant that he could not attend the hearing because he had a medical emergency with his daughter and had taken her in for treatment. </w:t>
      </w:r>
      <w:r>
        <w:rPr>
          <w:sz w:val="26"/>
          <w:szCs w:val="26"/>
        </w:rPr>
        <w:t xml:space="preserve"> </w:t>
      </w:r>
      <w:r w:rsidR="00DC6DC4" w:rsidRPr="00DC6DC4">
        <w:rPr>
          <w:sz w:val="26"/>
          <w:szCs w:val="26"/>
        </w:rPr>
        <w:t>The Legal Assistant advised the Complainant that he should submit request</w:t>
      </w:r>
      <w:r w:rsidR="001517E0">
        <w:rPr>
          <w:sz w:val="26"/>
          <w:szCs w:val="26"/>
        </w:rPr>
        <w:t xml:space="preserve">s to </w:t>
      </w:r>
      <w:r w:rsidR="00DC6DC4" w:rsidRPr="001F0CDF">
        <w:rPr>
          <w:sz w:val="26"/>
          <w:szCs w:val="26"/>
        </w:rPr>
        <w:t>reschedul</w:t>
      </w:r>
      <w:r w:rsidR="001517E0">
        <w:rPr>
          <w:sz w:val="26"/>
          <w:szCs w:val="26"/>
        </w:rPr>
        <w:t>e</w:t>
      </w:r>
      <w:r w:rsidR="00DC6DC4" w:rsidRPr="001F0CDF">
        <w:rPr>
          <w:sz w:val="26"/>
          <w:szCs w:val="26"/>
        </w:rPr>
        <w:t xml:space="preserve"> the hearing</w:t>
      </w:r>
      <w:r w:rsidR="002B63B0">
        <w:rPr>
          <w:sz w:val="26"/>
          <w:szCs w:val="26"/>
        </w:rPr>
        <w:t>,</w:t>
      </w:r>
      <w:r w:rsidR="00DC6DC4" w:rsidRPr="001F0CDF">
        <w:rPr>
          <w:sz w:val="26"/>
          <w:szCs w:val="26"/>
        </w:rPr>
        <w:t xml:space="preserve"> in writing</w:t>
      </w:r>
      <w:r w:rsidR="002B63B0">
        <w:rPr>
          <w:sz w:val="26"/>
          <w:szCs w:val="26"/>
        </w:rPr>
        <w:t>,</w:t>
      </w:r>
      <w:r w:rsidR="00DC6DC4" w:rsidRPr="001F0CDF">
        <w:rPr>
          <w:sz w:val="26"/>
          <w:szCs w:val="26"/>
        </w:rPr>
        <w:t xml:space="preserve"> and any documentation in support of his absence.</w:t>
      </w:r>
      <w:r w:rsidR="00503CC2">
        <w:rPr>
          <w:sz w:val="26"/>
          <w:szCs w:val="26"/>
        </w:rPr>
        <w:t xml:space="preserve">  I.D. at 3-4.</w:t>
      </w:r>
    </w:p>
    <w:p w14:paraId="1A87DACE" w14:textId="77777777" w:rsidR="00DC6DC4" w:rsidRPr="001F0CDF" w:rsidRDefault="00DC6DC4" w:rsidP="00503CC2">
      <w:pPr>
        <w:widowControl/>
        <w:autoSpaceDE w:val="0"/>
        <w:autoSpaceDN w:val="0"/>
        <w:adjustRightInd w:val="0"/>
        <w:spacing w:line="360" w:lineRule="auto"/>
        <w:ind w:firstLine="1440"/>
        <w:rPr>
          <w:sz w:val="26"/>
          <w:szCs w:val="26"/>
        </w:rPr>
      </w:pPr>
    </w:p>
    <w:p w14:paraId="68E1D64B" w14:textId="77777777" w:rsidR="00DC6DC4" w:rsidRPr="001F0CDF" w:rsidRDefault="00DC6DC4" w:rsidP="00503CC2">
      <w:pPr>
        <w:widowControl/>
        <w:autoSpaceDE w:val="0"/>
        <w:autoSpaceDN w:val="0"/>
        <w:adjustRightInd w:val="0"/>
        <w:spacing w:line="360" w:lineRule="auto"/>
        <w:ind w:firstLine="1440"/>
        <w:rPr>
          <w:sz w:val="26"/>
          <w:szCs w:val="26"/>
        </w:rPr>
      </w:pPr>
      <w:r w:rsidRPr="001F0CDF">
        <w:rPr>
          <w:sz w:val="26"/>
          <w:szCs w:val="26"/>
        </w:rPr>
        <w:t xml:space="preserve">On April 13, 2017, </w:t>
      </w:r>
      <w:r w:rsidR="001F0CDF">
        <w:rPr>
          <w:sz w:val="26"/>
          <w:szCs w:val="26"/>
        </w:rPr>
        <w:t xml:space="preserve">the </w:t>
      </w:r>
      <w:r w:rsidRPr="001F0CDF">
        <w:rPr>
          <w:sz w:val="26"/>
          <w:szCs w:val="26"/>
        </w:rPr>
        <w:t xml:space="preserve">Complainant faxed </w:t>
      </w:r>
      <w:r w:rsidR="00046A38">
        <w:rPr>
          <w:sz w:val="26"/>
          <w:szCs w:val="26"/>
        </w:rPr>
        <w:t xml:space="preserve">a letter </w:t>
      </w:r>
      <w:r w:rsidRPr="001F0CDF">
        <w:rPr>
          <w:sz w:val="26"/>
          <w:szCs w:val="26"/>
        </w:rPr>
        <w:t xml:space="preserve">to </w:t>
      </w:r>
      <w:r w:rsidR="00046A38">
        <w:rPr>
          <w:sz w:val="26"/>
          <w:szCs w:val="26"/>
        </w:rPr>
        <w:t xml:space="preserve">the </w:t>
      </w:r>
      <w:r w:rsidRPr="001F0CDF">
        <w:rPr>
          <w:sz w:val="26"/>
          <w:szCs w:val="26"/>
        </w:rPr>
        <w:t xml:space="preserve">OALJ </w:t>
      </w:r>
      <w:r w:rsidR="00E44F43">
        <w:rPr>
          <w:sz w:val="26"/>
          <w:szCs w:val="26"/>
        </w:rPr>
        <w:t xml:space="preserve">in which he </w:t>
      </w:r>
      <w:r w:rsidRPr="001F0CDF">
        <w:rPr>
          <w:sz w:val="26"/>
          <w:szCs w:val="26"/>
        </w:rPr>
        <w:t>stat</w:t>
      </w:r>
      <w:r w:rsidR="00E44F43">
        <w:rPr>
          <w:sz w:val="26"/>
          <w:szCs w:val="26"/>
        </w:rPr>
        <w:t>ed</w:t>
      </w:r>
      <w:r w:rsidRPr="001F0CDF">
        <w:rPr>
          <w:sz w:val="26"/>
          <w:szCs w:val="26"/>
        </w:rPr>
        <w:t xml:space="preserve">, generally, that he was the sole caretaker for his daughter and had to address her medical issues. </w:t>
      </w:r>
      <w:r w:rsidR="001F0CDF">
        <w:rPr>
          <w:sz w:val="26"/>
          <w:szCs w:val="26"/>
        </w:rPr>
        <w:t xml:space="preserve"> </w:t>
      </w:r>
      <w:r w:rsidRPr="001F0CDF">
        <w:rPr>
          <w:sz w:val="26"/>
          <w:szCs w:val="26"/>
        </w:rPr>
        <w:t>The letter did not show or state why he could not participate in the telephonic hearing on April 7, 2017.</w:t>
      </w:r>
      <w:r w:rsidR="00503CC2">
        <w:rPr>
          <w:sz w:val="26"/>
          <w:szCs w:val="26"/>
        </w:rPr>
        <w:t xml:space="preserve">  I.D. at 4.</w:t>
      </w:r>
    </w:p>
    <w:p w14:paraId="3AE6E3B2" w14:textId="77777777" w:rsidR="00DC6DC4" w:rsidRPr="001F0CDF" w:rsidRDefault="00DC6DC4" w:rsidP="00503CC2">
      <w:pPr>
        <w:widowControl/>
        <w:autoSpaceDE w:val="0"/>
        <w:autoSpaceDN w:val="0"/>
        <w:adjustRightInd w:val="0"/>
        <w:spacing w:line="360" w:lineRule="auto"/>
        <w:ind w:firstLine="1440"/>
        <w:rPr>
          <w:sz w:val="26"/>
          <w:szCs w:val="26"/>
        </w:rPr>
      </w:pPr>
    </w:p>
    <w:p w14:paraId="46BA0572" w14:textId="77777777" w:rsidR="00DC6DC4" w:rsidRPr="00DC6DC4" w:rsidRDefault="00DC6DC4" w:rsidP="00503CC2">
      <w:pPr>
        <w:widowControl/>
        <w:autoSpaceDE w:val="0"/>
        <w:autoSpaceDN w:val="0"/>
        <w:adjustRightInd w:val="0"/>
        <w:spacing w:line="360" w:lineRule="auto"/>
        <w:ind w:firstLine="1440"/>
        <w:rPr>
          <w:rFonts w:eastAsiaTheme="minorHAnsi"/>
          <w:color w:val="000000"/>
          <w:sz w:val="26"/>
          <w:szCs w:val="26"/>
        </w:rPr>
      </w:pPr>
      <w:r w:rsidRPr="00DC6DC4">
        <w:rPr>
          <w:rFonts w:eastAsiaTheme="minorHAnsi"/>
          <w:color w:val="000000"/>
          <w:sz w:val="26"/>
          <w:szCs w:val="26"/>
        </w:rPr>
        <w:t xml:space="preserve">In response to </w:t>
      </w:r>
      <w:r w:rsidR="001F0CDF">
        <w:rPr>
          <w:rFonts w:eastAsiaTheme="minorHAnsi"/>
          <w:color w:val="000000"/>
          <w:sz w:val="26"/>
          <w:szCs w:val="26"/>
        </w:rPr>
        <w:t xml:space="preserve">the </w:t>
      </w:r>
      <w:r w:rsidRPr="00DC6DC4">
        <w:rPr>
          <w:rFonts w:eastAsiaTheme="minorHAnsi"/>
          <w:color w:val="000000"/>
          <w:sz w:val="26"/>
          <w:szCs w:val="26"/>
        </w:rPr>
        <w:t xml:space="preserve">Complainant’s request for rescheduling, PECO objected in a letter dated April 19, 2017. </w:t>
      </w:r>
      <w:r>
        <w:rPr>
          <w:rFonts w:eastAsiaTheme="minorHAnsi"/>
          <w:color w:val="000000"/>
          <w:sz w:val="26"/>
          <w:szCs w:val="26"/>
        </w:rPr>
        <w:t xml:space="preserve"> </w:t>
      </w:r>
      <w:r w:rsidRPr="00DC6DC4">
        <w:rPr>
          <w:rFonts w:eastAsiaTheme="minorHAnsi"/>
          <w:color w:val="000000"/>
          <w:sz w:val="26"/>
          <w:szCs w:val="26"/>
        </w:rPr>
        <w:t>PECO averred that Mr. Hudson failed to appear for a hearing before ALJ Fordham and that he ha</w:t>
      </w:r>
      <w:r w:rsidR="00E44F43">
        <w:rPr>
          <w:rFonts w:eastAsiaTheme="minorHAnsi"/>
          <w:color w:val="000000"/>
          <w:sz w:val="26"/>
          <w:szCs w:val="26"/>
        </w:rPr>
        <w:t>d</w:t>
      </w:r>
      <w:r w:rsidRPr="00DC6DC4">
        <w:rPr>
          <w:rFonts w:eastAsiaTheme="minorHAnsi"/>
          <w:color w:val="000000"/>
          <w:sz w:val="26"/>
          <w:szCs w:val="26"/>
        </w:rPr>
        <w:t xml:space="preserve"> filed </w:t>
      </w:r>
      <w:r w:rsidR="00E44F43">
        <w:rPr>
          <w:rFonts w:eastAsiaTheme="minorHAnsi"/>
          <w:color w:val="000000"/>
          <w:sz w:val="26"/>
          <w:szCs w:val="26"/>
        </w:rPr>
        <w:t xml:space="preserve">eighteen </w:t>
      </w:r>
      <w:r w:rsidRPr="00DC6DC4">
        <w:rPr>
          <w:rFonts w:eastAsiaTheme="minorHAnsi"/>
          <w:color w:val="000000"/>
          <w:sz w:val="26"/>
          <w:szCs w:val="26"/>
        </w:rPr>
        <w:t>forma</w:t>
      </w:r>
      <w:r>
        <w:rPr>
          <w:rFonts w:eastAsiaTheme="minorHAnsi"/>
          <w:color w:val="000000"/>
          <w:sz w:val="26"/>
          <w:szCs w:val="26"/>
        </w:rPr>
        <w:t xml:space="preserve">l and informal complaints. </w:t>
      </w:r>
      <w:r w:rsidR="00E44F43">
        <w:rPr>
          <w:rFonts w:eastAsiaTheme="minorHAnsi"/>
          <w:color w:val="000000"/>
          <w:sz w:val="26"/>
          <w:szCs w:val="26"/>
        </w:rPr>
        <w:t xml:space="preserve"> </w:t>
      </w:r>
      <w:r>
        <w:rPr>
          <w:rFonts w:eastAsiaTheme="minorHAnsi"/>
          <w:color w:val="000000"/>
          <w:sz w:val="26"/>
          <w:szCs w:val="26"/>
        </w:rPr>
        <w:t>The C</w:t>
      </w:r>
      <w:r w:rsidRPr="00DC6DC4">
        <w:rPr>
          <w:rFonts w:eastAsiaTheme="minorHAnsi"/>
          <w:color w:val="000000"/>
          <w:sz w:val="26"/>
          <w:szCs w:val="26"/>
        </w:rPr>
        <w:t>ompany also stated:</w:t>
      </w:r>
    </w:p>
    <w:p w14:paraId="696FC1D3" w14:textId="77777777" w:rsidR="00DC6DC4" w:rsidRPr="00DC6DC4" w:rsidRDefault="00DC6DC4" w:rsidP="00503CC2">
      <w:pPr>
        <w:widowControl/>
        <w:autoSpaceDE w:val="0"/>
        <w:autoSpaceDN w:val="0"/>
        <w:adjustRightInd w:val="0"/>
        <w:spacing w:line="360" w:lineRule="auto"/>
        <w:rPr>
          <w:rFonts w:eastAsiaTheme="minorHAnsi"/>
          <w:color w:val="000000"/>
          <w:sz w:val="26"/>
          <w:szCs w:val="26"/>
        </w:rPr>
      </w:pPr>
    </w:p>
    <w:p w14:paraId="7F6BAC91" w14:textId="77777777" w:rsidR="00DC6DC4" w:rsidRPr="00DC6DC4" w:rsidRDefault="00DC6DC4" w:rsidP="00503CC2">
      <w:pPr>
        <w:widowControl/>
        <w:autoSpaceDE w:val="0"/>
        <w:autoSpaceDN w:val="0"/>
        <w:adjustRightInd w:val="0"/>
        <w:ind w:left="1440" w:right="1440"/>
        <w:rPr>
          <w:rFonts w:eastAsiaTheme="minorHAnsi"/>
          <w:color w:val="000000"/>
          <w:sz w:val="26"/>
          <w:szCs w:val="26"/>
        </w:rPr>
      </w:pPr>
      <w:r w:rsidRPr="00DC6DC4">
        <w:rPr>
          <w:rFonts w:eastAsiaTheme="minorHAnsi"/>
          <w:color w:val="000000"/>
          <w:sz w:val="26"/>
          <w:szCs w:val="26"/>
        </w:rPr>
        <w:t>Now, the Complainant has filed the current formal complaint with the same exact dispute he raised in previous complaints. Once again, PECO is required to hold collection on the Complainant’s balance. The Complainant has skillfully avoided termination by filing PUC cases and dismissed bankruptcies and has incurred a $20,856.79 balance.</w:t>
      </w:r>
    </w:p>
    <w:p w14:paraId="60C82C9C" w14:textId="77777777" w:rsidR="00DC6DC4" w:rsidRDefault="00DC6DC4" w:rsidP="00503CC2">
      <w:pPr>
        <w:widowControl/>
        <w:autoSpaceDE w:val="0"/>
        <w:autoSpaceDN w:val="0"/>
        <w:adjustRightInd w:val="0"/>
        <w:ind w:left="1440" w:right="1440"/>
        <w:rPr>
          <w:rFonts w:eastAsiaTheme="minorHAnsi"/>
          <w:color w:val="000000"/>
          <w:sz w:val="26"/>
          <w:szCs w:val="26"/>
        </w:rPr>
      </w:pPr>
    </w:p>
    <w:p w14:paraId="7A645946" w14:textId="77777777" w:rsidR="00DC6DC4" w:rsidRPr="00DC6DC4" w:rsidRDefault="00DC6DC4" w:rsidP="00503CC2">
      <w:pPr>
        <w:widowControl/>
        <w:autoSpaceDE w:val="0"/>
        <w:autoSpaceDN w:val="0"/>
        <w:adjustRightInd w:val="0"/>
        <w:ind w:left="1440" w:right="1440"/>
        <w:rPr>
          <w:rFonts w:eastAsiaTheme="minorHAnsi"/>
          <w:color w:val="000000"/>
          <w:sz w:val="26"/>
          <w:szCs w:val="26"/>
        </w:rPr>
      </w:pPr>
      <w:r w:rsidRPr="00DC6DC4">
        <w:rPr>
          <w:rFonts w:eastAsiaTheme="minorHAnsi"/>
          <w:color w:val="000000"/>
          <w:sz w:val="26"/>
          <w:szCs w:val="26"/>
        </w:rPr>
        <w:t>PUC Commissioner Pamela A. Witmer recently warned PECO about this very issue in the Daniel Vermeychuk v. PECO matter at Docket No. C-2013-2388323 (November 5, 2015).</w:t>
      </w:r>
      <w:r w:rsidR="000C12C1">
        <w:rPr>
          <w:rFonts w:eastAsiaTheme="minorHAnsi"/>
          <w:color w:val="000000"/>
          <w:sz w:val="26"/>
          <w:szCs w:val="26"/>
        </w:rPr>
        <w:t xml:space="preserve"> </w:t>
      </w:r>
      <w:r w:rsidRPr="00DC6DC4">
        <w:rPr>
          <w:rFonts w:eastAsiaTheme="minorHAnsi"/>
          <w:color w:val="000000"/>
          <w:sz w:val="26"/>
          <w:szCs w:val="26"/>
        </w:rPr>
        <w:t xml:space="preserve"> Commissioner Witmer stated that “the Complainant was not only ignoring his obligation to pay his bills but was actively employing various strategies to avoid paying in a timely manner.” Commissioner Witmer pointed out: </w:t>
      </w:r>
    </w:p>
    <w:p w14:paraId="76C1D540" w14:textId="77777777" w:rsidR="00DC6DC4" w:rsidRDefault="00DC6DC4" w:rsidP="00503CC2">
      <w:pPr>
        <w:widowControl/>
        <w:autoSpaceDE w:val="0"/>
        <w:autoSpaceDN w:val="0"/>
        <w:adjustRightInd w:val="0"/>
        <w:ind w:left="1440" w:right="1440"/>
        <w:rPr>
          <w:rFonts w:eastAsiaTheme="minorHAnsi"/>
          <w:color w:val="000000"/>
          <w:sz w:val="26"/>
          <w:szCs w:val="26"/>
        </w:rPr>
      </w:pPr>
    </w:p>
    <w:p w14:paraId="051EFE27" w14:textId="77777777" w:rsidR="00DC6DC4" w:rsidRDefault="00DC6DC4" w:rsidP="000C12C1">
      <w:pPr>
        <w:widowControl/>
        <w:autoSpaceDE w:val="0"/>
        <w:autoSpaceDN w:val="0"/>
        <w:adjustRightInd w:val="0"/>
        <w:ind w:left="2160" w:right="2160"/>
        <w:rPr>
          <w:rFonts w:eastAsiaTheme="minorHAnsi"/>
          <w:color w:val="000000"/>
          <w:sz w:val="26"/>
          <w:szCs w:val="26"/>
        </w:rPr>
      </w:pPr>
      <w:r w:rsidRPr="00DC6DC4">
        <w:rPr>
          <w:rFonts w:eastAsiaTheme="minorHAnsi"/>
          <w:color w:val="000000"/>
          <w:sz w:val="26"/>
          <w:szCs w:val="26"/>
        </w:rPr>
        <w:t>It is critically important to the customers, who are ultimately left footing the bills for such abuses, that our utilities act vigilantly to prevent them, continue to take steps to identify them, and mitigate their effects as quickly as possible. I remind PECO and all of our regulated utilities of this responsibility.</w:t>
      </w:r>
    </w:p>
    <w:p w14:paraId="1108C210" w14:textId="77777777" w:rsidR="00060EF3" w:rsidRDefault="00060EF3" w:rsidP="00503CC2">
      <w:pPr>
        <w:widowControl/>
        <w:autoSpaceDE w:val="0"/>
        <w:autoSpaceDN w:val="0"/>
        <w:adjustRightInd w:val="0"/>
        <w:ind w:left="2160" w:right="1440"/>
        <w:rPr>
          <w:rFonts w:eastAsiaTheme="minorHAnsi"/>
          <w:color w:val="000000"/>
          <w:sz w:val="26"/>
          <w:szCs w:val="26"/>
        </w:rPr>
      </w:pPr>
    </w:p>
    <w:p w14:paraId="18099384" w14:textId="77777777" w:rsidR="00060EF3" w:rsidRPr="00DC6DC4" w:rsidRDefault="00060EF3" w:rsidP="00503CC2">
      <w:pPr>
        <w:widowControl/>
        <w:autoSpaceDE w:val="0"/>
        <w:autoSpaceDN w:val="0"/>
        <w:adjustRightInd w:val="0"/>
        <w:ind w:left="2160" w:right="1440"/>
        <w:rPr>
          <w:rFonts w:eastAsiaTheme="minorHAnsi"/>
          <w:color w:val="000000"/>
          <w:sz w:val="26"/>
          <w:szCs w:val="26"/>
        </w:rPr>
      </w:pPr>
    </w:p>
    <w:p w14:paraId="426CEF2B" w14:textId="77777777" w:rsidR="00DC6DC4" w:rsidRPr="00DC6DC4" w:rsidRDefault="00503CC2" w:rsidP="00503CC2">
      <w:pPr>
        <w:widowControl/>
        <w:autoSpaceDE w:val="0"/>
        <w:autoSpaceDN w:val="0"/>
        <w:adjustRightInd w:val="0"/>
        <w:spacing w:line="360" w:lineRule="auto"/>
        <w:rPr>
          <w:rFonts w:eastAsiaTheme="minorHAnsi"/>
          <w:color w:val="000000"/>
          <w:sz w:val="26"/>
          <w:szCs w:val="26"/>
        </w:rPr>
      </w:pPr>
      <w:r>
        <w:rPr>
          <w:rFonts w:eastAsiaTheme="minorHAnsi"/>
          <w:color w:val="000000"/>
          <w:sz w:val="26"/>
          <w:szCs w:val="26"/>
        </w:rPr>
        <w:t xml:space="preserve">I.D. at 4 (citing </w:t>
      </w:r>
      <w:r w:rsidR="00DC6DC4" w:rsidRPr="00DC6DC4">
        <w:rPr>
          <w:rFonts w:eastAsiaTheme="minorHAnsi"/>
          <w:color w:val="000000"/>
          <w:sz w:val="26"/>
          <w:szCs w:val="26"/>
        </w:rPr>
        <w:t>PECO April 13, 2017 letter</w:t>
      </w:r>
      <w:r>
        <w:rPr>
          <w:rFonts w:eastAsiaTheme="minorHAnsi"/>
          <w:color w:val="000000"/>
          <w:sz w:val="26"/>
          <w:szCs w:val="26"/>
        </w:rPr>
        <w:t>)</w:t>
      </w:r>
      <w:r w:rsidR="00DC6DC4" w:rsidRPr="00DC6DC4">
        <w:rPr>
          <w:rFonts w:eastAsiaTheme="minorHAnsi"/>
          <w:color w:val="000000"/>
          <w:sz w:val="26"/>
          <w:szCs w:val="26"/>
        </w:rPr>
        <w:t>.</w:t>
      </w:r>
    </w:p>
    <w:p w14:paraId="682011A5" w14:textId="77777777" w:rsidR="00DC6DC4" w:rsidRPr="00F91FC0" w:rsidRDefault="00DC6DC4" w:rsidP="00503CC2">
      <w:pPr>
        <w:widowControl/>
        <w:autoSpaceDE w:val="0"/>
        <w:autoSpaceDN w:val="0"/>
        <w:adjustRightInd w:val="0"/>
        <w:spacing w:line="360" w:lineRule="auto"/>
        <w:ind w:firstLine="1440"/>
        <w:rPr>
          <w:rFonts w:eastAsiaTheme="minorHAnsi"/>
          <w:color w:val="000000"/>
          <w:sz w:val="26"/>
          <w:szCs w:val="26"/>
        </w:rPr>
      </w:pPr>
    </w:p>
    <w:p w14:paraId="3151DCA8" w14:textId="77777777" w:rsidR="001F0CDF" w:rsidRDefault="000C12C1" w:rsidP="00503CC2">
      <w:pPr>
        <w:widowControl/>
        <w:spacing w:line="360" w:lineRule="auto"/>
        <w:ind w:firstLine="1440"/>
        <w:rPr>
          <w:sz w:val="26"/>
          <w:szCs w:val="26"/>
        </w:rPr>
      </w:pPr>
      <w:r>
        <w:rPr>
          <w:sz w:val="26"/>
          <w:szCs w:val="26"/>
        </w:rPr>
        <w:t>O</w:t>
      </w:r>
      <w:r w:rsidRPr="001F0CDF">
        <w:rPr>
          <w:sz w:val="26"/>
          <w:szCs w:val="26"/>
        </w:rPr>
        <w:t>n or about May 4, 2017,</w:t>
      </w:r>
      <w:r>
        <w:rPr>
          <w:sz w:val="26"/>
          <w:szCs w:val="26"/>
        </w:rPr>
        <w:t xml:space="preserve"> t</w:t>
      </w:r>
      <w:r w:rsidR="001F0CDF" w:rsidRPr="001F0CDF">
        <w:rPr>
          <w:sz w:val="26"/>
          <w:szCs w:val="26"/>
        </w:rPr>
        <w:t>he</w:t>
      </w:r>
      <w:r>
        <w:rPr>
          <w:sz w:val="26"/>
          <w:szCs w:val="26"/>
        </w:rPr>
        <w:t xml:space="preserve"> </w:t>
      </w:r>
      <w:r w:rsidR="001F0CDF" w:rsidRPr="001F0CDF">
        <w:rPr>
          <w:sz w:val="26"/>
          <w:szCs w:val="26"/>
        </w:rPr>
        <w:t>Complainant was called and informed that additional information was needed.  After a week and nothing additional was provided by the Complainant, the Legal Assistant sent an email to the Complainant advising him that he had until close of business on May 16, 2017, to provide additional information.  The Complainant forwarded general information concerning his daughter and documents regarding a physician visit in January of 2017.  The Complainant did not provide any information specific to his not answering the phone or being available on the day of the hearing, April 7, 2017.</w:t>
      </w:r>
      <w:r w:rsidR="00503CC2">
        <w:rPr>
          <w:sz w:val="26"/>
          <w:szCs w:val="26"/>
        </w:rPr>
        <w:t xml:space="preserve">  I.D. at 4-5.</w:t>
      </w:r>
    </w:p>
    <w:p w14:paraId="2C8ADA38" w14:textId="77777777" w:rsidR="001F0CDF" w:rsidRPr="001F0CDF" w:rsidRDefault="001F0CDF" w:rsidP="00503CC2">
      <w:pPr>
        <w:widowControl/>
        <w:spacing w:line="360" w:lineRule="auto"/>
        <w:ind w:firstLine="1440"/>
        <w:rPr>
          <w:rFonts w:eastAsiaTheme="minorHAnsi"/>
          <w:color w:val="000000"/>
          <w:sz w:val="26"/>
          <w:szCs w:val="26"/>
        </w:rPr>
      </w:pPr>
    </w:p>
    <w:p w14:paraId="65E2713B" w14:textId="77777777" w:rsidR="005B5812" w:rsidRDefault="00F91FC0" w:rsidP="00503CC2">
      <w:pPr>
        <w:widowControl/>
        <w:spacing w:line="360" w:lineRule="auto"/>
        <w:ind w:firstLine="1440"/>
        <w:rPr>
          <w:rFonts w:eastAsiaTheme="minorHAnsi"/>
          <w:color w:val="000000"/>
          <w:sz w:val="26"/>
          <w:szCs w:val="26"/>
        </w:rPr>
      </w:pPr>
      <w:r w:rsidRPr="00F91FC0">
        <w:rPr>
          <w:rFonts w:eastAsiaTheme="minorHAnsi"/>
          <w:color w:val="000000"/>
          <w:sz w:val="26"/>
          <w:szCs w:val="26"/>
        </w:rPr>
        <w:t>Th</w:t>
      </w:r>
      <w:r w:rsidR="001F0CDF">
        <w:rPr>
          <w:rFonts w:eastAsiaTheme="minorHAnsi"/>
          <w:color w:val="000000"/>
          <w:sz w:val="26"/>
          <w:szCs w:val="26"/>
        </w:rPr>
        <w:t>e record closed on May 16, 2017</w:t>
      </w:r>
      <w:r w:rsidR="00221ABE">
        <w:rPr>
          <w:rFonts w:eastAsiaTheme="minorHAnsi"/>
          <w:color w:val="000000"/>
          <w:sz w:val="26"/>
          <w:szCs w:val="26"/>
        </w:rPr>
        <w:t xml:space="preserve">, </w:t>
      </w:r>
      <w:r w:rsidR="00503CC2">
        <w:rPr>
          <w:rFonts w:eastAsiaTheme="minorHAnsi"/>
          <w:color w:val="000000"/>
          <w:sz w:val="26"/>
          <w:szCs w:val="26"/>
        </w:rPr>
        <w:t>I.D. at 5</w:t>
      </w:r>
      <w:r w:rsidR="00221ABE">
        <w:rPr>
          <w:rFonts w:eastAsiaTheme="minorHAnsi"/>
          <w:color w:val="000000"/>
          <w:sz w:val="26"/>
          <w:szCs w:val="26"/>
        </w:rPr>
        <w:t>, and o</w:t>
      </w:r>
      <w:r w:rsidR="0066095F">
        <w:rPr>
          <w:rFonts w:eastAsiaTheme="minorHAnsi"/>
          <w:color w:val="000000"/>
          <w:sz w:val="26"/>
          <w:szCs w:val="26"/>
        </w:rPr>
        <w:t xml:space="preserve">n </w:t>
      </w:r>
      <w:r w:rsidR="00F9074B">
        <w:rPr>
          <w:sz w:val="26"/>
          <w:szCs w:val="26"/>
        </w:rPr>
        <w:t>June 28, 2017</w:t>
      </w:r>
      <w:r w:rsidR="0066095F">
        <w:rPr>
          <w:rFonts w:eastAsiaTheme="minorHAnsi"/>
          <w:color w:val="000000"/>
          <w:sz w:val="26"/>
          <w:szCs w:val="26"/>
        </w:rPr>
        <w:t xml:space="preserve">, the </w:t>
      </w:r>
      <w:r w:rsidR="00221ABE">
        <w:rPr>
          <w:rFonts w:eastAsiaTheme="minorHAnsi"/>
          <w:color w:val="000000"/>
          <w:sz w:val="26"/>
          <w:szCs w:val="26"/>
        </w:rPr>
        <w:t xml:space="preserve">Commission issued the </w:t>
      </w:r>
      <w:r w:rsidR="0066095F">
        <w:rPr>
          <w:rFonts w:eastAsiaTheme="minorHAnsi"/>
          <w:color w:val="000000"/>
          <w:sz w:val="26"/>
          <w:szCs w:val="26"/>
        </w:rPr>
        <w:t xml:space="preserve">Initial Decision of ALJ </w:t>
      </w:r>
      <w:r w:rsidR="00F9074B">
        <w:rPr>
          <w:rFonts w:eastAsiaTheme="minorHAnsi"/>
          <w:color w:val="000000"/>
          <w:sz w:val="26"/>
          <w:szCs w:val="26"/>
        </w:rPr>
        <w:t>Heep</w:t>
      </w:r>
      <w:r w:rsidR="00221ABE">
        <w:rPr>
          <w:rFonts w:eastAsiaTheme="minorHAnsi"/>
          <w:color w:val="000000"/>
          <w:sz w:val="26"/>
          <w:szCs w:val="26"/>
        </w:rPr>
        <w:t>.</w:t>
      </w:r>
      <w:r w:rsidR="00F9074B">
        <w:rPr>
          <w:rFonts w:eastAsiaTheme="minorHAnsi"/>
          <w:color w:val="000000"/>
          <w:sz w:val="26"/>
          <w:szCs w:val="26"/>
        </w:rPr>
        <w:t xml:space="preserve">  </w:t>
      </w:r>
      <w:r w:rsidR="005B5812">
        <w:rPr>
          <w:rFonts w:eastAsiaTheme="minorHAnsi"/>
          <w:color w:val="000000"/>
          <w:sz w:val="26"/>
          <w:szCs w:val="26"/>
        </w:rPr>
        <w:t xml:space="preserve">As noted, the Complainant filed Exceptions to the Initial Decision on July 10, 2017, and PECO filed </w:t>
      </w:r>
      <w:r w:rsidR="009F6CA7">
        <w:rPr>
          <w:rFonts w:eastAsiaTheme="minorHAnsi"/>
          <w:color w:val="000000"/>
          <w:sz w:val="26"/>
          <w:szCs w:val="26"/>
        </w:rPr>
        <w:t>Replies to Exceptions on July 27, 2017.</w:t>
      </w:r>
    </w:p>
    <w:p w14:paraId="3B1ECAF0" w14:textId="77777777" w:rsidR="009F6CA7" w:rsidRDefault="009F6CA7" w:rsidP="00503CC2">
      <w:pPr>
        <w:widowControl/>
        <w:spacing w:line="360" w:lineRule="auto"/>
        <w:ind w:firstLine="1440"/>
        <w:rPr>
          <w:rFonts w:eastAsiaTheme="minorHAnsi"/>
          <w:color w:val="000000"/>
          <w:sz w:val="26"/>
          <w:szCs w:val="26"/>
        </w:rPr>
      </w:pPr>
    </w:p>
    <w:p w14:paraId="275C1F3F" w14:textId="77777777" w:rsidR="009F6CA7" w:rsidRDefault="009F6CA7" w:rsidP="009F6CA7">
      <w:pPr>
        <w:widowControl/>
        <w:spacing w:line="360" w:lineRule="auto"/>
        <w:jc w:val="center"/>
        <w:rPr>
          <w:rFonts w:eastAsiaTheme="minorHAnsi"/>
          <w:b/>
          <w:color w:val="000000"/>
          <w:sz w:val="26"/>
          <w:szCs w:val="26"/>
        </w:rPr>
      </w:pPr>
      <w:r w:rsidRPr="009F6CA7">
        <w:rPr>
          <w:rFonts w:eastAsiaTheme="minorHAnsi"/>
          <w:b/>
          <w:color w:val="000000"/>
          <w:sz w:val="26"/>
          <w:szCs w:val="26"/>
        </w:rPr>
        <w:t>Dis</w:t>
      </w:r>
      <w:r>
        <w:rPr>
          <w:rFonts w:eastAsiaTheme="minorHAnsi"/>
          <w:b/>
          <w:color w:val="000000"/>
          <w:sz w:val="26"/>
          <w:szCs w:val="26"/>
        </w:rPr>
        <w:t>c</w:t>
      </w:r>
      <w:r w:rsidRPr="009F6CA7">
        <w:rPr>
          <w:rFonts w:eastAsiaTheme="minorHAnsi"/>
          <w:b/>
          <w:color w:val="000000"/>
          <w:sz w:val="26"/>
          <w:szCs w:val="26"/>
        </w:rPr>
        <w:t>ussion</w:t>
      </w:r>
    </w:p>
    <w:p w14:paraId="1427875C" w14:textId="77777777" w:rsidR="005D6CC4" w:rsidRPr="009F6CA7" w:rsidRDefault="005D6CC4" w:rsidP="009F6CA7">
      <w:pPr>
        <w:widowControl/>
        <w:spacing w:line="360" w:lineRule="auto"/>
        <w:jc w:val="center"/>
        <w:rPr>
          <w:rFonts w:eastAsiaTheme="minorHAnsi"/>
          <w:b/>
          <w:color w:val="000000"/>
          <w:sz w:val="26"/>
          <w:szCs w:val="26"/>
        </w:rPr>
      </w:pPr>
    </w:p>
    <w:p w14:paraId="4B80953C" w14:textId="77777777" w:rsidR="000F6D47" w:rsidRDefault="000F6D47" w:rsidP="007E15D7">
      <w:pPr>
        <w:widowControl/>
        <w:spacing w:line="360" w:lineRule="auto"/>
        <w:rPr>
          <w:rFonts w:eastAsiaTheme="minorHAnsi"/>
          <w:b/>
          <w:color w:val="000000"/>
          <w:sz w:val="26"/>
          <w:szCs w:val="26"/>
        </w:rPr>
      </w:pPr>
      <w:r>
        <w:rPr>
          <w:rFonts w:eastAsiaTheme="minorHAnsi"/>
          <w:b/>
          <w:color w:val="000000"/>
          <w:sz w:val="26"/>
          <w:szCs w:val="26"/>
        </w:rPr>
        <w:t>Legal Standards</w:t>
      </w:r>
    </w:p>
    <w:p w14:paraId="1EE9FD35" w14:textId="77777777" w:rsidR="000F6D47" w:rsidRDefault="000F6D47" w:rsidP="007E15D7">
      <w:pPr>
        <w:widowControl/>
        <w:spacing w:line="360" w:lineRule="auto"/>
        <w:rPr>
          <w:rFonts w:eastAsiaTheme="minorHAnsi"/>
          <w:b/>
          <w:color w:val="000000"/>
          <w:sz w:val="26"/>
          <w:szCs w:val="26"/>
        </w:rPr>
      </w:pPr>
    </w:p>
    <w:p w14:paraId="11A3AF00" w14:textId="77777777" w:rsidR="000F6D47" w:rsidRDefault="000F6D47" w:rsidP="000F6D47">
      <w:pPr>
        <w:widowControl/>
        <w:spacing w:line="360" w:lineRule="auto"/>
        <w:ind w:firstLine="720"/>
        <w:rPr>
          <w:b/>
          <w:sz w:val="26"/>
          <w:szCs w:val="26"/>
        </w:rPr>
      </w:pPr>
      <w:r>
        <w:rPr>
          <w:b/>
          <w:sz w:val="26"/>
          <w:szCs w:val="26"/>
        </w:rPr>
        <w:t>Administrative Due Process and Waiver of Hearing</w:t>
      </w:r>
    </w:p>
    <w:p w14:paraId="4F7D572F" w14:textId="77777777" w:rsidR="000F6D47" w:rsidRPr="00ED6D2A" w:rsidRDefault="000F6D47" w:rsidP="000F6D47">
      <w:pPr>
        <w:widowControl/>
        <w:spacing w:line="360" w:lineRule="auto"/>
        <w:ind w:firstLine="720"/>
        <w:rPr>
          <w:b/>
          <w:sz w:val="26"/>
          <w:szCs w:val="26"/>
        </w:rPr>
      </w:pPr>
    </w:p>
    <w:p w14:paraId="16868B28" w14:textId="77777777" w:rsidR="000F6D47" w:rsidRPr="00616C44" w:rsidRDefault="000F6D47" w:rsidP="000F6D47">
      <w:pPr>
        <w:widowControl/>
        <w:spacing w:line="360" w:lineRule="auto"/>
        <w:ind w:firstLine="1440"/>
        <w:rPr>
          <w:sz w:val="26"/>
          <w:szCs w:val="26"/>
        </w:rPr>
      </w:pPr>
      <w:r w:rsidRPr="00616C44">
        <w:rPr>
          <w:sz w:val="26"/>
          <w:szCs w:val="26"/>
        </w:rPr>
        <w:t xml:space="preserve">As an administrative agency of the Commonwealth, the Commission is required to provide due process to the parties appearing before it.  </w:t>
      </w:r>
      <w:r w:rsidRPr="00616C44">
        <w:rPr>
          <w:i/>
          <w:sz w:val="26"/>
          <w:szCs w:val="26"/>
        </w:rPr>
        <w:t>Schneider v. Pa. PUC</w:t>
      </w:r>
      <w:r w:rsidRPr="00616C44">
        <w:rPr>
          <w:sz w:val="26"/>
          <w:szCs w:val="26"/>
        </w:rPr>
        <w:t xml:space="preserve">, 479 A.2d 10, 15 (Pa. Cmwlth. 1984), citing </w:t>
      </w:r>
      <w:r w:rsidRPr="00616C44">
        <w:rPr>
          <w:i/>
          <w:sz w:val="26"/>
          <w:szCs w:val="26"/>
        </w:rPr>
        <w:t>Fusaro v. Pa. PUC</w:t>
      </w:r>
      <w:r w:rsidRPr="00616C44">
        <w:rPr>
          <w:sz w:val="26"/>
          <w:szCs w:val="26"/>
        </w:rPr>
        <w:t xml:space="preserve">, 382 A.2d 794 (Pa. Cmwlth. 1978).   Due process is satisfied when the parties are afforded notice and the opportunity to appear and be heard.  </w:t>
      </w:r>
      <w:r w:rsidRPr="00616C44">
        <w:rPr>
          <w:i/>
          <w:sz w:val="26"/>
          <w:szCs w:val="26"/>
        </w:rPr>
        <w:t>Schneider v. Pa. PUC</w:t>
      </w:r>
      <w:r w:rsidRPr="00616C44">
        <w:rPr>
          <w:sz w:val="26"/>
          <w:szCs w:val="26"/>
        </w:rPr>
        <w:t>, 479 A</w:t>
      </w:r>
      <w:r>
        <w:rPr>
          <w:sz w:val="26"/>
          <w:szCs w:val="26"/>
        </w:rPr>
        <w:t>.2d 10, 15 (Pa.  Cmwlth. 1984).</w:t>
      </w:r>
    </w:p>
    <w:p w14:paraId="42953248" w14:textId="77777777" w:rsidR="000F6D47" w:rsidRPr="00616C44" w:rsidRDefault="000F6D47" w:rsidP="000F6D47">
      <w:pPr>
        <w:widowControl/>
        <w:spacing w:line="360" w:lineRule="auto"/>
        <w:ind w:firstLine="1440"/>
        <w:rPr>
          <w:sz w:val="26"/>
          <w:szCs w:val="26"/>
        </w:rPr>
      </w:pPr>
    </w:p>
    <w:p w14:paraId="70B6C932" w14:textId="77777777" w:rsidR="000F6D47" w:rsidRPr="00616C44" w:rsidRDefault="000F6D47" w:rsidP="000F6D47">
      <w:pPr>
        <w:widowControl/>
        <w:spacing w:line="360" w:lineRule="auto"/>
        <w:ind w:firstLine="1440"/>
        <w:rPr>
          <w:sz w:val="26"/>
          <w:szCs w:val="26"/>
        </w:rPr>
      </w:pPr>
      <w:r w:rsidRPr="00616C44">
        <w:rPr>
          <w:sz w:val="26"/>
          <w:szCs w:val="26"/>
        </w:rPr>
        <w:t xml:space="preserve">The Commission is required to fix the time and place of a hearing in a complaint proceeding and to serve notice thereof upon the parties in interest.  </w:t>
      </w:r>
      <w:r w:rsidRPr="00616C44">
        <w:rPr>
          <w:i/>
          <w:sz w:val="26"/>
          <w:szCs w:val="26"/>
        </w:rPr>
        <w:t>See</w:t>
      </w:r>
      <w:r w:rsidRPr="00616C44">
        <w:rPr>
          <w:sz w:val="26"/>
          <w:szCs w:val="26"/>
        </w:rPr>
        <w:t xml:space="preserve"> 66 Pa. C.S. § 703(a)-(b).  Service on interested persons is sufficient to provide notice.  52 Pa. Code § 5.201(a).  Notice mailed to a party’s last known address and not returned by the post office is presumed to have been received.  </w:t>
      </w:r>
      <w:r w:rsidRPr="00616C44">
        <w:rPr>
          <w:i/>
          <w:sz w:val="26"/>
          <w:szCs w:val="26"/>
        </w:rPr>
        <w:t>See</w:t>
      </w:r>
      <w:r>
        <w:rPr>
          <w:sz w:val="26"/>
          <w:szCs w:val="26"/>
        </w:rPr>
        <w:t>,</w:t>
      </w:r>
      <w:r w:rsidRPr="00616C44">
        <w:rPr>
          <w:sz w:val="26"/>
          <w:szCs w:val="26"/>
        </w:rPr>
        <w:t xml:space="preserve"> </w:t>
      </w:r>
      <w:r w:rsidRPr="00616C44">
        <w:rPr>
          <w:rFonts w:eastAsiaTheme="minorHAnsi"/>
          <w:i/>
          <w:color w:val="000000"/>
          <w:sz w:val="26"/>
          <w:szCs w:val="26"/>
        </w:rPr>
        <w:t>Berkowitz v. Mayflower Securities, Inc</w:t>
      </w:r>
      <w:r w:rsidRPr="00616C44">
        <w:rPr>
          <w:rFonts w:eastAsiaTheme="minorHAnsi"/>
          <w:color w:val="000000"/>
          <w:sz w:val="26"/>
          <w:szCs w:val="26"/>
        </w:rPr>
        <w:t>., 455 Pa. 531, 317 A.2d 584 (Pa. 1974)</w:t>
      </w:r>
      <w:r>
        <w:rPr>
          <w:rFonts w:eastAsiaTheme="minorHAnsi"/>
          <w:color w:val="000000"/>
          <w:sz w:val="26"/>
          <w:szCs w:val="26"/>
        </w:rPr>
        <w:t xml:space="preserve"> (</w:t>
      </w:r>
      <w:r w:rsidRPr="003B6A81">
        <w:rPr>
          <w:rFonts w:eastAsiaTheme="minorHAnsi"/>
          <w:i/>
          <w:color w:val="000000"/>
          <w:sz w:val="26"/>
          <w:szCs w:val="26"/>
        </w:rPr>
        <w:t>Mayflower</w:t>
      </w:r>
      <w:r>
        <w:rPr>
          <w:rFonts w:eastAsiaTheme="minorHAnsi"/>
          <w:color w:val="000000"/>
          <w:sz w:val="26"/>
          <w:szCs w:val="26"/>
        </w:rPr>
        <w:t>)</w:t>
      </w:r>
      <w:r w:rsidRPr="00616C44">
        <w:rPr>
          <w:rFonts w:eastAsiaTheme="minorHAnsi"/>
          <w:color w:val="000000"/>
          <w:sz w:val="26"/>
          <w:szCs w:val="26"/>
        </w:rPr>
        <w:t xml:space="preserve">; </w:t>
      </w:r>
      <w:r w:rsidRPr="00616C44">
        <w:rPr>
          <w:rFonts w:eastAsiaTheme="minorHAnsi"/>
          <w:i/>
          <w:color w:val="000000"/>
          <w:sz w:val="26"/>
          <w:szCs w:val="26"/>
        </w:rPr>
        <w:t>Meierdierck v. Miller</w:t>
      </w:r>
      <w:r w:rsidRPr="00616C44">
        <w:rPr>
          <w:rFonts w:eastAsiaTheme="minorHAnsi"/>
          <w:color w:val="000000"/>
          <w:sz w:val="26"/>
          <w:szCs w:val="26"/>
        </w:rPr>
        <w:t>, 147 A.2d 406 (Pa. 1959)</w:t>
      </w:r>
      <w:r>
        <w:rPr>
          <w:rFonts w:eastAsiaTheme="minorHAnsi"/>
          <w:color w:val="000000"/>
          <w:sz w:val="26"/>
          <w:szCs w:val="26"/>
        </w:rPr>
        <w:t xml:space="preserve"> (</w:t>
      </w:r>
      <w:r w:rsidRPr="003B6A81">
        <w:rPr>
          <w:rFonts w:eastAsiaTheme="minorHAnsi"/>
          <w:i/>
          <w:color w:val="000000"/>
          <w:sz w:val="26"/>
          <w:szCs w:val="26"/>
        </w:rPr>
        <w:t>Miller</w:t>
      </w:r>
      <w:r>
        <w:rPr>
          <w:rFonts w:eastAsiaTheme="minorHAnsi"/>
          <w:color w:val="000000"/>
          <w:sz w:val="26"/>
          <w:szCs w:val="26"/>
        </w:rPr>
        <w:t>)</w:t>
      </w:r>
      <w:r w:rsidRPr="00616C44">
        <w:rPr>
          <w:rFonts w:eastAsiaTheme="minorHAnsi"/>
          <w:color w:val="000000"/>
          <w:sz w:val="26"/>
          <w:szCs w:val="26"/>
        </w:rPr>
        <w:t xml:space="preserve">; </w:t>
      </w:r>
      <w:r w:rsidRPr="00616C44">
        <w:rPr>
          <w:rFonts w:eastAsiaTheme="minorHAnsi"/>
          <w:i/>
          <w:color w:val="000000"/>
          <w:sz w:val="26"/>
          <w:szCs w:val="26"/>
        </w:rPr>
        <w:t>Samaras v. Hartwick</w:t>
      </w:r>
      <w:r w:rsidRPr="00616C44">
        <w:rPr>
          <w:rFonts w:eastAsiaTheme="minorHAnsi"/>
          <w:color w:val="000000"/>
          <w:sz w:val="26"/>
          <w:szCs w:val="26"/>
        </w:rPr>
        <w:t>, 698 A.2d 71 (Pa. Super. 1997)</w:t>
      </w:r>
      <w:r>
        <w:rPr>
          <w:rFonts w:eastAsiaTheme="minorHAnsi"/>
          <w:color w:val="000000"/>
          <w:sz w:val="26"/>
          <w:szCs w:val="26"/>
        </w:rPr>
        <w:t xml:space="preserve"> (</w:t>
      </w:r>
      <w:r w:rsidRPr="003B6A81">
        <w:rPr>
          <w:rFonts w:eastAsiaTheme="minorHAnsi"/>
          <w:i/>
          <w:color w:val="000000"/>
          <w:sz w:val="26"/>
          <w:szCs w:val="26"/>
        </w:rPr>
        <w:t>Samaras</w:t>
      </w:r>
      <w:r>
        <w:rPr>
          <w:rFonts w:eastAsiaTheme="minorHAnsi"/>
          <w:color w:val="000000"/>
          <w:sz w:val="26"/>
          <w:szCs w:val="26"/>
        </w:rPr>
        <w:t>)</w:t>
      </w:r>
      <w:r w:rsidRPr="00616C44">
        <w:rPr>
          <w:rFonts w:eastAsiaTheme="minorHAnsi"/>
          <w:color w:val="000000"/>
          <w:sz w:val="26"/>
          <w:szCs w:val="26"/>
        </w:rPr>
        <w:t xml:space="preserve">; </w:t>
      </w:r>
      <w:r w:rsidRPr="00616C44">
        <w:rPr>
          <w:i/>
          <w:sz w:val="26"/>
          <w:szCs w:val="26"/>
        </w:rPr>
        <w:t>Chartiers Industrial and Commercial Development Authority v. Allegheny County Board of Property Assessment Appeals and Review</w:t>
      </w:r>
      <w:r w:rsidRPr="00616C44">
        <w:rPr>
          <w:sz w:val="26"/>
          <w:szCs w:val="26"/>
        </w:rPr>
        <w:t xml:space="preserve">, 645 A.2d 944, 946 (Pa. Cmwlth. 1994), </w:t>
      </w:r>
      <w:r w:rsidRPr="00616C44">
        <w:rPr>
          <w:i/>
          <w:sz w:val="26"/>
          <w:szCs w:val="26"/>
        </w:rPr>
        <w:t>appeal denied</w:t>
      </w:r>
      <w:r w:rsidRPr="00616C44">
        <w:rPr>
          <w:sz w:val="26"/>
          <w:szCs w:val="26"/>
        </w:rPr>
        <w:t xml:space="preserve"> 539 Pa. 696, 653 A.2d 1234 (1994); </w:t>
      </w:r>
      <w:r w:rsidRPr="00616C44">
        <w:rPr>
          <w:i/>
          <w:sz w:val="26"/>
          <w:szCs w:val="26"/>
        </w:rPr>
        <w:t>Geary v. Verizon Pennsylvania Inc</w:t>
      </w:r>
      <w:r w:rsidRPr="00616C44">
        <w:rPr>
          <w:sz w:val="26"/>
          <w:szCs w:val="26"/>
        </w:rPr>
        <w:t>., Docket No. C-2009-2118625 (Order entered September 16, 2010)</w:t>
      </w:r>
      <w:r>
        <w:rPr>
          <w:sz w:val="26"/>
          <w:szCs w:val="26"/>
        </w:rPr>
        <w:t xml:space="preserve"> (</w:t>
      </w:r>
      <w:r w:rsidRPr="003B6A81">
        <w:rPr>
          <w:i/>
          <w:sz w:val="26"/>
          <w:szCs w:val="26"/>
        </w:rPr>
        <w:t>Geary</w:t>
      </w:r>
      <w:r>
        <w:rPr>
          <w:sz w:val="26"/>
          <w:szCs w:val="26"/>
        </w:rPr>
        <w:t>)</w:t>
      </w:r>
      <w:r w:rsidRPr="00616C44">
        <w:rPr>
          <w:sz w:val="26"/>
          <w:szCs w:val="26"/>
        </w:rPr>
        <w:t xml:space="preserve">.  </w:t>
      </w:r>
    </w:p>
    <w:p w14:paraId="2F518996" w14:textId="77777777" w:rsidR="000F6D47" w:rsidRPr="00616C44" w:rsidRDefault="000F6D47" w:rsidP="000F6D47">
      <w:pPr>
        <w:widowControl/>
        <w:spacing w:line="360" w:lineRule="auto"/>
        <w:ind w:firstLine="1440"/>
        <w:rPr>
          <w:sz w:val="26"/>
          <w:szCs w:val="26"/>
        </w:rPr>
      </w:pPr>
    </w:p>
    <w:p w14:paraId="6618143C" w14:textId="77777777" w:rsidR="000F6D47" w:rsidRPr="00616C44" w:rsidRDefault="000F6D47" w:rsidP="000F6D47">
      <w:pPr>
        <w:widowControl/>
        <w:spacing w:line="360" w:lineRule="auto"/>
        <w:ind w:firstLine="1440"/>
        <w:rPr>
          <w:sz w:val="26"/>
          <w:szCs w:val="26"/>
        </w:rPr>
      </w:pPr>
      <w:r w:rsidRPr="00616C44">
        <w:rPr>
          <w:sz w:val="26"/>
          <w:szCs w:val="26"/>
        </w:rPr>
        <w:t xml:space="preserve">Once notice of a hearing and the opportunity to be heard have been provided by the Commission, it is the responsibility of the parties to appear and participate in the hearing.  </w:t>
      </w:r>
      <w:r w:rsidRPr="00616C44">
        <w:rPr>
          <w:i/>
          <w:sz w:val="26"/>
          <w:szCs w:val="26"/>
        </w:rPr>
        <w:t>Mumma v. PPL Electric Utilities Corporation</w:t>
      </w:r>
      <w:r w:rsidRPr="00616C44">
        <w:rPr>
          <w:sz w:val="26"/>
          <w:szCs w:val="26"/>
        </w:rPr>
        <w:t>, Docket No. C-00014869 (Order entered January 24, 2002) (</w:t>
      </w:r>
      <w:r w:rsidRPr="00616C44">
        <w:rPr>
          <w:i/>
          <w:sz w:val="26"/>
          <w:szCs w:val="26"/>
        </w:rPr>
        <w:t>Mumma</w:t>
      </w:r>
      <w:r w:rsidRPr="00616C44">
        <w:rPr>
          <w:sz w:val="26"/>
          <w:szCs w:val="26"/>
        </w:rPr>
        <w:t xml:space="preserve">); </w:t>
      </w:r>
      <w:r w:rsidRPr="00616C44">
        <w:rPr>
          <w:i/>
          <w:sz w:val="26"/>
          <w:szCs w:val="26"/>
        </w:rPr>
        <w:t>Sentner v. Bell Tel. Co. of PA</w:t>
      </w:r>
      <w:r w:rsidRPr="00616C44">
        <w:rPr>
          <w:sz w:val="26"/>
          <w:szCs w:val="26"/>
        </w:rPr>
        <w:t>, Docket No. F-00161106 (Order entered October 25, 1993) (</w:t>
      </w:r>
      <w:r w:rsidRPr="00616C44">
        <w:rPr>
          <w:i/>
          <w:sz w:val="26"/>
          <w:szCs w:val="26"/>
        </w:rPr>
        <w:t>Sentner</w:t>
      </w:r>
      <w:r w:rsidRPr="00616C44">
        <w:rPr>
          <w:sz w:val="26"/>
          <w:szCs w:val="26"/>
        </w:rPr>
        <w:t>).</w:t>
      </w:r>
    </w:p>
    <w:p w14:paraId="44CD2C58" w14:textId="77777777" w:rsidR="000F6D47" w:rsidRPr="00616C44" w:rsidRDefault="000F6D47" w:rsidP="000F6D47">
      <w:pPr>
        <w:widowControl/>
        <w:spacing w:line="360" w:lineRule="auto"/>
        <w:ind w:firstLine="1440"/>
        <w:rPr>
          <w:sz w:val="26"/>
          <w:szCs w:val="26"/>
        </w:rPr>
      </w:pPr>
    </w:p>
    <w:p w14:paraId="0E2B110D" w14:textId="77777777" w:rsidR="000F6D47" w:rsidRPr="00616C44" w:rsidRDefault="000F6D47" w:rsidP="000F6D47">
      <w:pPr>
        <w:widowControl/>
        <w:spacing w:line="360" w:lineRule="auto"/>
        <w:ind w:firstLine="1440"/>
        <w:rPr>
          <w:sz w:val="26"/>
          <w:szCs w:val="26"/>
        </w:rPr>
      </w:pPr>
      <w:r w:rsidRPr="00616C44">
        <w:rPr>
          <w:sz w:val="26"/>
          <w:szCs w:val="26"/>
        </w:rPr>
        <w:t xml:space="preserve">A party to a proceeding has the right to request a continuance of </w:t>
      </w:r>
      <w:r>
        <w:rPr>
          <w:sz w:val="26"/>
          <w:szCs w:val="26"/>
        </w:rPr>
        <w:t xml:space="preserve">the </w:t>
      </w:r>
      <w:r w:rsidRPr="00616C44">
        <w:rPr>
          <w:sz w:val="26"/>
          <w:szCs w:val="26"/>
        </w:rPr>
        <w:t xml:space="preserve">hearing, which may be granted by the presiding officer for “good cause.”  </w:t>
      </w:r>
      <w:r w:rsidRPr="00616C44">
        <w:rPr>
          <w:i/>
          <w:sz w:val="26"/>
          <w:szCs w:val="26"/>
        </w:rPr>
        <w:t>See</w:t>
      </w:r>
      <w:r w:rsidRPr="00616C44">
        <w:rPr>
          <w:sz w:val="26"/>
          <w:szCs w:val="26"/>
        </w:rPr>
        <w:t xml:space="preserve"> 52 Pa. Code § 1.15(b).   Pursuant to the Commission’s Regulations, a continuance request is required to be in writing and filed with the presiding officer at least five days prior to the hearing date, except that, during a hearing, an oral request for hearing continuance may be made before the presiding officer in the hearing room.  </w:t>
      </w:r>
      <w:r w:rsidRPr="00616C44">
        <w:rPr>
          <w:i/>
          <w:sz w:val="26"/>
          <w:szCs w:val="26"/>
        </w:rPr>
        <w:t>Id</w:t>
      </w:r>
      <w:r w:rsidRPr="00616C44">
        <w:rPr>
          <w:sz w:val="26"/>
          <w:szCs w:val="26"/>
        </w:rPr>
        <w:t xml:space="preserve">.   When “good cause” is shown for a hearing continuance, the Commission has acknowledged that the public interest is better served when all litigants, particularly </w:t>
      </w:r>
      <w:r w:rsidRPr="00616C44">
        <w:rPr>
          <w:i/>
          <w:sz w:val="26"/>
          <w:szCs w:val="26"/>
        </w:rPr>
        <w:t xml:space="preserve">pro se </w:t>
      </w:r>
      <w:r w:rsidRPr="00616C44">
        <w:rPr>
          <w:sz w:val="26"/>
          <w:szCs w:val="26"/>
        </w:rPr>
        <w:t>litigants, are afforded a meaningful opportunity to be heard.</w:t>
      </w:r>
      <w:r>
        <w:rPr>
          <w:sz w:val="26"/>
          <w:szCs w:val="26"/>
        </w:rPr>
        <w:t xml:space="preserve"> </w:t>
      </w:r>
      <w:r w:rsidRPr="00B57390">
        <w:rPr>
          <w:i/>
          <w:sz w:val="26"/>
          <w:szCs w:val="26"/>
        </w:rPr>
        <w:t xml:space="preserve"> </w:t>
      </w:r>
      <w:r w:rsidRPr="00827E17">
        <w:rPr>
          <w:i/>
          <w:sz w:val="26"/>
          <w:szCs w:val="26"/>
        </w:rPr>
        <w:t>See, e.g., Laurie Loucks v. Metropolitan Edison Company</w:t>
      </w:r>
      <w:r w:rsidRPr="00827E17">
        <w:rPr>
          <w:sz w:val="26"/>
          <w:szCs w:val="26"/>
        </w:rPr>
        <w:t>, Docket No. C-2017-2619974 (Order entered May 16, 2018) (reversed ALJ’s decision to dismiss complaint with prejudice and remanded for hearing because the complainant attended and participated in the first scheduled hearing, which was not completed due to a technical problem with the teleconference line, and complainant sought a continuance of the rescheduled hearing to review the Company’s newly proffered exhibits for which there was question in record as to whether such exhibits had been timely served on the complainant pursuant to the pr</w:t>
      </w:r>
      <w:r>
        <w:rPr>
          <w:sz w:val="26"/>
          <w:szCs w:val="26"/>
        </w:rPr>
        <w:t>ehearing order’s requirements).</w:t>
      </w:r>
      <w:r>
        <w:rPr>
          <w:rStyle w:val="FootnoteReference"/>
          <w:sz w:val="26"/>
          <w:szCs w:val="26"/>
        </w:rPr>
        <w:footnoteReference w:id="1"/>
      </w:r>
    </w:p>
    <w:p w14:paraId="2539D479" w14:textId="77777777" w:rsidR="000F6D47" w:rsidRPr="00616C44" w:rsidRDefault="000F6D47" w:rsidP="000F6D47">
      <w:pPr>
        <w:widowControl/>
        <w:spacing w:line="360" w:lineRule="auto"/>
        <w:ind w:firstLine="1440"/>
        <w:rPr>
          <w:sz w:val="26"/>
          <w:szCs w:val="26"/>
        </w:rPr>
      </w:pPr>
    </w:p>
    <w:p w14:paraId="3698FB00" w14:textId="26985323" w:rsidR="000F6D47" w:rsidRPr="00616C44" w:rsidRDefault="000F6D47" w:rsidP="000F6D47">
      <w:pPr>
        <w:widowControl/>
        <w:spacing w:line="360" w:lineRule="auto"/>
        <w:ind w:firstLine="1440"/>
        <w:rPr>
          <w:color w:val="000000" w:themeColor="text1"/>
          <w:sz w:val="26"/>
          <w:szCs w:val="26"/>
        </w:rPr>
      </w:pPr>
      <w:r w:rsidRPr="00616C44">
        <w:rPr>
          <w:sz w:val="26"/>
          <w:szCs w:val="26"/>
        </w:rPr>
        <w:t>If a party fails to attend a scheduled hearing, such failure to appear will be deemed a waiver of the party’s opportunity to participate in a hearing, unless the presiding officer determines that such failure was “unavoidable” and that the interests of the other parties and of the public would not be “prejudiced” by permitting such reopening or further examination.  66 Pa. C.S. § 332(f); 52 Pa. Code § 5.245(a)-(b).</w:t>
      </w:r>
    </w:p>
    <w:p w14:paraId="25E20F0F" w14:textId="77777777" w:rsidR="000F6D47" w:rsidRPr="00616C44" w:rsidRDefault="000F6D47" w:rsidP="000F6D47">
      <w:pPr>
        <w:widowControl/>
        <w:spacing w:line="360" w:lineRule="auto"/>
        <w:ind w:firstLine="1440"/>
        <w:rPr>
          <w:color w:val="000000" w:themeColor="text1"/>
          <w:sz w:val="26"/>
          <w:szCs w:val="26"/>
        </w:rPr>
      </w:pPr>
    </w:p>
    <w:p w14:paraId="6C68870A" w14:textId="4CF780DB" w:rsidR="000F6D47" w:rsidRDefault="000F6D47" w:rsidP="000F6D47">
      <w:pPr>
        <w:widowControl/>
        <w:spacing w:line="360" w:lineRule="auto"/>
        <w:ind w:firstLine="1440"/>
        <w:rPr>
          <w:spacing w:val="-3"/>
          <w:sz w:val="26"/>
          <w:szCs w:val="26"/>
        </w:rPr>
      </w:pPr>
      <w:r>
        <w:rPr>
          <w:sz w:val="26"/>
          <w:szCs w:val="26"/>
        </w:rPr>
        <w:t xml:space="preserve">Based on </w:t>
      </w:r>
      <w:r w:rsidRPr="00616C44">
        <w:rPr>
          <w:sz w:val="26"/>
          <w:szCs w:val="26"/>
        </w:rPr>
        <w:t xml:space="preserve">prior cases, to meet the “unavoidable” standard, the Commission will require a complainant to show, with supporting information, that the failure to appear was due to exigent circumstances.  </w:t>
      </w:r>
      <w:r w:rsidRPr="00827E17">
        <w:rPr>
          <w:i/>
          <w:sz w:val="26"/>
          <w:szCs w:val="26"/>
        </w:rPr>
        <w:t xml:space="preserve">See, e.g., </w:t>
      </w:r>
      <w:r w:rsidRPr="0014180D">
        <w:rPr>
          <w:i/>
          <w:sz w:val="26"/>
          <w:szCs w:val="26"/>
        </w:rPr>
        <w:t>El-Ayazra v. West Penn Power Company</w:t>
      </w:r>
      <w:r w:rsidRPr="0003143A">
        <w:rPr>
          <w:sz w:val="26"/>
          <w:szCs w:val="26"/>
        </w:rPr>
        <w:t>, Docket No. F-2015-2509292 (Opinion and Order entered Jun</w:t>
      </w:r>
      <w:r>
        <w:rPr>
          <w:sz w:val="26"/>
          <w:szCs w:val="26"/>
        </w:rPr>
        <w:t>e 30, 2016) (</w:t>
      </w:r>
      <w:r w:rsidRPr="0019321F">
        <w:rPr>
          <w:i/>
          <w:sz w:val="26"/>
          <w:szCs w:val="26"/>
        </w:rPr>
        <w:t>El-Ayazra</w:t>
      </w:r>
      <w:r>
        <w:rPr>
          <w:sz w:val="26"/>
          <w:szCs w:val="26"/>
        </w:rPr>
        <w:t xml:space="preserve">) (affirmed ALJ’s decision to dismiss complaint </w:t>
      </w:r>
      <w:r w:rsidRPr="0019321F">
        <w:rPr>
          <w:i/>
          <w:sz w:val="26"/>
          <w:szCs w:val="26"/>
        </w:rPr>
        <w:t>with prejudice</w:t>
      </w:r>
      <w:r>
        <w:rPr>
          <w:sz w:val="26"/>
          <w:szCs w:val="26"/>
        </w:rPr>
        <w:t xml:space="preserve"> because the complainant failed to follow the call-in instructions for the telephonic hearing).</w:t>
      </w:r>
      <w:r>
        <w:rPr>
          <w:rStyle w:val="FootnoteReference"/>
          <w:sz w:val="26"/>
          <w:szCs w:val="26"/>
        </w:rPr>
        <w:footnoteReference w:id="2"/>
      </w:r>
    </w:p>
    <w:p w14:paraId="01118D9D" w14:textId="77777777" w:rsidR="000F6D47" w:rsidRDefault="000F6D47" w:rsidP="000F6D47">
      <w:pPr>
        <w:widowControl/>
        <w:spacing w:line="360" w:lineRule="auto"/>
        <w:ind w:firstLine="1440"/>
        <w:rPr>
          <w:sz w:val="26"/>
          <w:szCs w:val="26"/>
        </w:rPr>
      </w:pPr>
    </w:p>
    <w:p w14:paraId="197260A2" w14:textId="77777777" w:rsidR="000F6D47" w:rsidRPr="00616C44" w:rsidRDefault="000F6D47" w:rsidP="000F6D47">
      <w:pPr>
        <w:widowControl/>
        <w:spacing w:line="360" w:lineRule="auto"/>
        <w:ind w:firstLine="1440"/>
        <w:rPr>
          <w:sz w:val="26"/>
          <w:szCs w:val="26"/>
        </w:rPr>
      </w:pPr>
      <w:r w:rsidRPr="00616C44">
        <w:rPr>
          <w:sz w:val="26"/>
          <w:szCs w:val="26"/>
        </w:rPr>
        <w:t xml:space="preserve">Moreover, the Commission will exercise its discretion and excuse a complainant’s failure to appear at a hearing if the complainant demonstrates that he/she made a good faith attempt to attend the hearing.  </w:t>
      </w:r>
      <w:r w:rsidRPr="00827E17">
        <w:rPr>
          <w:i/>
          <w:sz w:val="26"/>
          <w:szCs w:val="26"/>
        </w:rPr>
        <w:t>See, e.g., Yomari Then v. Philadelphia Gas Works</w:t>
      </w:r>
      <w:r w:rsidRPr="00827E17">
        <w:rPr>
          <w:sz w:val="26"/>
          <w:szCs w:val="26"/>
        </w:rPr>
        <w:t xml:space="preserve">, Docket No. F-2012-2318264 (Order entered June 13, 2013) </w:t>
      </w:r>
      <w:r>
        <w:rPr>
          <w:sz w:val="26"/>
          <w:szCs w:val="26"/>
        </w:rPr>
        <w:t>(</w:t>
      </w:r>
      <w:r w:rsidRPr="00DB65E9">
        <w:rPr>
          <w:i/>
          <w:sz w:val="26"/>
          <w:szCs w:val="26"/>
        </w:rPr>
        <w:t>Yomari Then</w:t>
      </w:r>
      <w:r>
        <w:rPr>
          <w:sz w:val="26"/>
          <w:szCs w:val="26"/>
        </w:rPr>
        <w:t xml:space="preserve">) </w:t>
      </w:r>
      <w:r w:rsidRPr="00827E17">
        <w:rPr>
          <w:sz w:val="26"/>
          <w:szCs w:val="26"/>
        </w:rPr>
        <w:t>(vacated ALJ’s decision to dismiss complaint with prejudice and remanded for hearing because complainant attempted to attend the scheduled hearing, and appeared in the correct building, but was unable to locate the hearing room in the buildi</w:t>
      </w:r>
      <w:r>
        <w:rPr>
          <w:sz w:val="26"/>
          <w:szCs w:val="26"/>
        </w:rPr>
        <w:t>ng due to language challenges).</w:t>
      </w:r>
      <w:r>
        <w:rPr>
          <w:rStyle w:val="FootnoteReference"/>
          <w:sz w:val="26"/>
          <w:szCs w:val="26"/>
        </w:rPr>
        <w:footnoteReference w:id="3"/>
      </w:r>
      <w:r>
        <w:rPr>
          <w:sz w:val="26"/>
          <w:szCs w:val="26"/>
        </w:rPr>
        <w:t xml:space="preserve">  </w:t>
      </w:r>
      <w:r w:rsidRPr="00616C44">
        <w:rPr>
          <w:sz w:val="26"/>
          <w:szCs w:val="26"/>
        </w:rPr>
        <w:t>I</w:t>
      </w:r>
      <w:r>
        <w:rPr>
          <w:sz w:val="26"/>
          <w:szCs w:val="26"/>
        </w:rPr>
        <w:t>f</w:t>
      </w:r>
      <w:r w:rsidRPr="00616C44">
        <w:rPr>
          <w:sz w:val="26"/>
          <w:szCs w:val="26"/>
        </w:rPr>
        <w:t xml:space="preserve"> </w:t>
      </w:r>
      <w:r>
        <w:rPr>
          <w:sz w:val="26"/>
          <w:szCs w:val="26"/>
        </w:rPr>
        <w:t xml:space="preserve">a complainant’s failure to appear was unavoidable or if the complainant made a good faith attempt to appear, </w:t>
      </w:r>
      <w:r w:rsidRPr="00616C44">
        <w:rPr>
          <w:sz w:val="26"/>
          <w:szCs w:val="26"/>
        </w:rPr>
        <w:t xml:space="preserve">the Commission has acknowledged that the public interest is better served when all litigants, particularly </w:t>
      </w:r>
      <w:r w:rsidRPr="00616C44">
        <w:rPr>
          <w:i/>
          <w:sz w:val="26"/>
          <w:szCs w:val="26"/>
        </w:rPr>
        <w:t xml:space="preserve">pro se </w:t>
      </w:r>
      <w:r w:rsidRPr="00616C44">
        <w:rPr>
          <w:sz w:val="26"/>
          <w:szCs w:val="26"/>
        </w:rPr>
        <w:t xml:space="preserve">litigants, are afforded a meaningful opportunity to be heard. </w:t>
      </w:r>
    </w:p>
    <w:p w14:paraId="53F1DADA" w14:textId="77777777" w:rsidR="000F6D47" w:rsidRPr="00616C44" w:rsidRDefault="000F6D47" w:rsidP="000F6D47">
      <w:pPr>
        <w:widowControl/>
        <w:spacing w:line="360" w:lineRule="auto"/>
        <w:ind w:firstLine="1440"/>
        <w:rPr>
          <w:sz w:val="26"/>
          <w:szCs w:val="26"/>
        </w:rPr>
      </w:pPr>
    </w:p>
    <w:p w14:paraId="0065C4CA" w14:textId="77777777" w:rsidR="000F6D47" w:rsidRPr="00616C44" w:rsidRDefault="000F6D47" w:rsidP="000F6D47">
      <w:pPr>
        <w:widowControl/>
        <w:spacing w:line="360" w:lineRule="auto"/>
        <w:ind w:firstLine="1440"/>
        <w:rPr>
          <w:rFonts w:eastAsiaTheme="minorHAnsi"/>
          <w:sz w:val="22"/>
          <w:szCs w:val="22"/>
        </w:rPr>
      </w:pPr>
      <w:r w:rsidRPr="00616C44">
        <w:rPr>
          <w:sz w:val="26"/>
          <w:szCs w:val="26"/>
        </w:rPr>
        <w:t>However, if a complainant’s failure to appear was not unavoidable, or if the complainant did not make a good faith attempt to attend the</w:t>
      </w:r>
      <w:r>
        <w:rPr>
          <w:sz w:val="26"/>
          <w:szCs w:val="26"/>
        </w:rPr>
        <w:t xml:space="preserve"> duly scheduled</w:t>
      </w:r>
      <w:r w:rsidRPr="00616C44">
        <w:rPr>
          <w:sz w:val="26"/>
          <w:szCs w:val="26"/>
        </w:rPr>
        <w:t xml:space="preserve"> hearing, the Commission has recognized that any further procedural activity in the docket would prejudice the public interest due to the wasteful use of the agency’s and the respondent’s time and resources in addressing the complaint.  </w:t>
      </w:r>
      <w:r w:rsidRPr="00827E17">
        <w:rPr>
          <w:i/>
          <w:sz w:val="26"/>
          <w:szCs w:val="26"/>
        </w:rPr>
        <w:t>See Jefferson v. UGI Utilities, Inc.</w:t>
      </w:r>
      <w:r w:rsidRPr="00827E17">
        <w:rPr>
          <w:sz w:val="26"/>
          <w:szCs w:val="26"/>
        </w:rPr>
        <w:t>,</w:t>
      </w:r>
      <w:r w:rsidRPr="00827E17">
        <w:rPr>
          <w:i/>
          <w:sz w:val="26"/>
          <w:szCs w:val="26"/>
        </w:rPr>
        <w:t xml:space="preserve"> </w:t>
      </w:r>
      <w:r w:rsidRPr="00827E17">
        <w:rPr>
          <w:sz w:val="26"/>
          <w:szCs w:val="26"/>
        </w:rPr>
        <w:t>Docket No. Z-00269892 (Order entered December 26, 1995) (“We are concerned with regard to the consequences that these “no-show” cases have on the already strained budget of the Commission</w:t>
      </w:r>
      <w:r w:rsidRPr="00827E17">
        <w:rPr>
          <w:i/>
          <w:sz w:val="26"/>
          <w:szCs w:val="26"/>
        </w:rPr>
        <w:t xml:space="preserve">. </w:t>
      </w:r>
      <w:r w:rsidRPr="00827E17">
        <w:rPr>
          <w:sz w:val="26"/>
          <w:szCs w:val="26"/>
        </w:rPr>
        <w:t xml:space="preserve"> Such cases waste the time and resources of the Commission and the utility.  We cannot condone the wastefulness of [a procedure] that permits a “no-show complainant” to refile a complaint and thereby institute yet another stay of termination on the account.  Such misuse of the process as in the case before us cannot be tolerated.”) (</w:t>
      </w:r>
      <w:r w:rsidRPr="00827E17">
        <w:rPr>
          <w:i/>
          <w:sz w:val="26"/>
          <w:szCs w:val="26"/>
        </w:rPr>
        <w:t>Jefferson</w:t>
      </w:r>
      <w:r>
        <w:rPr>
          <w:sz w:val="26"/>
          <w:szCs w:val="26"/>
        </w:rPr>
        <w:t xml:space="preserve">); </w:t>
      </w:r>
      <w:r w:rsidRPr="0019321F">
        <w:rPr>
          <w:i/>
          <w:sz w:val="26"/>
          <w:szCs w:val="26"/>
        </w:rPr>
        <w:t>see also</w:t>
      </w:r>
      <w:r w:rsidRPr="00AA5462">
        <w:rPr>
          <w:sz w:val="26"/>
          <w:szCs w:val="26"/>
        </w:rPr>
        <w:t>,</w:t>
      </w:r>
      <w:r>
        <w:rPr>
          <w:sz w:val="26"/>
          <w:szCs w:val="26"/>
        </w:rPr>
        <w:t xml:space="preserve"> </w:t>
      </w:r>
      <w:r w:rsidRPr="00604C39">
        <w:rPr>
          <w:i/>
          <w:sz w:val="26"/>
          <w:szCs w:val="26"/>
        </w:rPr>
        <w:t>supra</w:t>
      </w:r>
      <w:r>
        <w:rPr>
          <w:sz w:val="26"/>
          <w:szCs w:val="26"/>
        </w:rPr>
        <w:t xml:space="preserve">, </w:t>
      </w:r>
      <w:r w:rsidRPr="00827E17">
        <w:rPr>
          <w:i/>
          <w:sz w:val="26"/>
          <w:szCs w:val="26"/>
        </w:rPr>
        <w:t xml:space="preserve">e.g., </w:t>
      </w:r>
      <w:r>
        <w:rPr>
          <w:i/>
          <w:sz w:val="26"/>
          <w:szCs w:val="26"/>
        </w:rPr>
        <w:t xml:space="preserve">El-Ayazra; </w:t>
      </w:r>
      <w:r w:rsidRPr="00827E17">
        <w:rPr>
          <w:i/>
          <w:sz w:val="26"/>
          <w:szCs w:val="26"/>
        </w:rPr>
        <w:t>Santore Smith</w:t>
      </w:r>
      <w:r w:rsidRPr="00604C39">
        <w:rPr>
          <w:sz w:val="26"/>
          <w:szCs w:val="26"/>
        </w:rPr>
        <w:t>;</w:t>
      </w:r>
      <w:r>
        <w:rPr>
          <w:sz w:val="26"/>
          <w:szCs w:val="26"/>
        </w:rPr>
        <w:t xml:space="preserve"> </w:t>
      </w:r>
      <w:r w:rsidRPr="00827E17">
        <w:rPr>
          <w:i/>
          <w:sz w:val="26"/>
          <w:szCs w:val="26"/>
        </w:rPr>
        <w:t>Marilyn Day</w:t>
      </w:r>
      <w:r w:rsidRPr="00604C39">
        <w:rPr>
          <w:sz w:val="26"/>
          <w:szCs w:val="26"/>
        </w:rPr>
        <w:t xml:space="preserve">; </w:t>
      </w:r>
      <w:r w:rsidRPr="00827E17">
        <w:rPr>
          <w:i/>
          <w:sz w:val="26"/>
          <w:szCs w:val="26"/>
        </w:rPr>
        <w:t>Deborah</w:t>
      </w:r>
      <w:r w:rsidRPr="00827E17">
        <w:rPr>
          <w:sz w:val="26"/>
          <w:szCs w:val="26"/>
        </w:rPr>
        <w:t xml:space="preserve"> </w:t>
      </w:r>
      <w:r w:rsidRPr="00827E17">
        <w:rPr>
          <w:i/>
          <w:sz w:val="26"/>
          <w:szCs w:val="26"/>
        </w:rPr>
        <w:t>Bethay</w:t>
      </w:r>
      <w:r w:rsidRPr="00604C39">
        <w:rPr>
          <w:sz w:val="26"/>
          <w:szCs w:val="26"/>
        </w:rPr>
        <w:t>;</w:t>
      </w:r>
      <w:r>
        <w:rPr>
          <w:i/>
          <w:sz w:val="26"/>
          <w:szCs w:val="26"/>
        </w:rPr>
        <w:t xml:space="preserve"> </w:t>
      </w:r>
      <w:r w:rsidRPr="00827E17">
        <w:rPr>
          <w:i/>
          <w:sz w:val="26"/>
          <w:szCs w:val="26"/>
        </w:rPr>
        <w:t>Osuji</w:t>
      </w:r>
      <w:r w:rsidRPr="00604C39">
        <w:rPr>
          <w:sz w:val="26"/>
          <w:szCs w:val="26"/>
        </w:rPr>
        <w:t>;</w:t>
      </w:r>
      <w:r w:rsidRPr="00827E17">
        <w:rPr>
          <w:i/>
          <w:sz w:val="26"/>
          <w:szCs w:val="26"/>
        </w:rPr>
        <w:t xml:space="preserve"> </w:t>
      </w:r>
      <w:r>
        <w:rPr>
          <w:i/>
          <w:sz w:val="26"/>
          <w:szCs w:val="26"/>
        </w:rPr>
        <w:t>Madajewski</w:t>
      </w:r>
      <w:r>
        <w:rPr>
          <w:sz w:val="26"/>
          <w:szCs w:val="26"/>
        </w:rPr>
        <w:t xml:space="preserve">; </w:t>
      </w:r>
      <w:r w:rsidRPr="00AA5462">
        <w:rPr>
          <w:i/>
          <w:sz w:val="26"/>
          <w:szCs w:val="26"/>
        </w:rPr>
        <w:t>Nichols III</w:t>
      </w:r>
      <w:r>
        <w:rPr>
          <w:sz w:val="26"/>
          <w:szCs w:val="26"/>
        </w:rPr>
        <w:t xml:space="preserve">.  </w:t>
      </w:r>
      <w:r w:rsidRPr="00616C44">
        <w:rPr>
          <w:sz w:val="26"/>
          <w:szCs w:val="26"/>
        </w:rPr>
        <w:t xml:space="preserve">In such instances, to preserve judicial economy, the Commission typically will dismiss a complaint, </w:t>
      </w:r>
      <w:r w:rsidRPr="00616C44">
        <w:rPr>
          <w:i/>
          <w:sz w:val="26"/>
          <w:szCs w:val="26"/>
        </w:rPr>
        <w:t>with prejudice</w:t>
      </w:r>
      <w:r w:rsidRPr="00616C44">
        <w:rPr>
          <w:sz w:val="26"/>
          <w:szCs w:val="26"/>
        </w:rPr>
        <w:t xml:space="preserve">, barring the complainant from filing another complaint raising the same claims and issues presented in the dismissed complaint.  </w:t>
      </w:r>
    </w:p>
    <w:p w14:paraId="5B3B1E3F" w14:textId="77777777" w:rsidR="000F6D47" w:rsidRDefault="000F6D47" w:rsidP="000F6D47">
      <w:pPr>
        <w:widowControl/>
        <w:spacing w:line="360" w:lineRule="auto"/>
        <w:ind w:firstLine="1440"/>
        <w:rPr>
          <w:sz w:val="26"/>
          <w:szCs w:val="26"/>
        </w:rPr>
      </w:pPr>
    </w:p>
    <w:p w14:paraId="06043ED1" w14:textId="77777777" w:rsidR="000F6D47" w:rsidRDefault="000F6D47" w:rsidP="000F6D47">
      <w:pPr>
        <w:keepNext/>
        <w:keepLines/>
        <w:widowControl/>
        <w:spacing w:line="360" w:lineRule="auto"/>
        <w:ind w:firstLine="720"/>
        <w:rPr>
          <w:b/>
          <w:sz w:val="26"/>
          <w:szCs w:val="26"/>
        </w:rPr>
      </w:pPr>
      <w:r>
        <w:rPr>
          <w:b/>
          <w:sz w:val="26"/>
          <w:szCs w:val="26"/>
        </w:rPr>
        <w:t>Burden of Proof</w:t>
      </w:r>
    </w:p>
    <w:p w14:paraId="6BEA9750" w14:textId="77777777" w:rsidR="000F6D47" w:rsidRPr="00FC3806" w:rsidRDefault="000F6D47" w:rsidP="000F6D47">
      <w:pPr>
        <w:keepNext/>
        <w:keepLines/>
        <w:widowControl/>
        <w:spacing w:line="360" w:lineRule="auto"/>
        <w:rPr>
          <w:b/>
          <w:sz w:val="26"/>
          <w:szCs w:val="26"/>
        </w:rPr>
      </w:pPr>
    </w:p>
    <w:p w14:paraId="21BBCB87" w14:textId="77777777" w:rsidR="000F6D47" w:rsidRPr="00BC7E17" w:rsidRDefault="000F6D47" w:rsidP="000F6D47">
      <w:pPr>
        <w:widowControl/>
        <w:spacing w:line="360" w:lineRule="auto"/>
        <w:ind w:firstLine="1440"/>
        <w:contextualSpacing/>
        <w:rPr>
          <w:sz w:val="26"/>
          <w:szCs w:val="26"/>
        </w:rPr>
      </w:pPr>
      <w:r w:rsidRPr="00BC7E17">
        <w:rPr>
          <w:sz w:val="26"/>
          <w:szCs w:val="26"/>
        </w:rPr>
        <w:t xml:space="preserve">As a matter of law, to establish a legally sufficient claim, a complainant must show that the named utility is responsible or accountable for the problem described in the complaint in order to prevail.  </w:t>
      </w:r>
      <w:r w:rsidRPr="00BC7E17">
        <w:rPr>
          <w:i/>
          <w:sz w:val="26"/>
          <w:szCs w:val="26"/>
        </w:rPr>
        <w:t>Patterson v. The Bell Telephone Company of Pennsylvania</w:t>
      </w:r>
      <w:r w:rsidRPr="00BC7E17">
        <w:rPr>
          <w:sz w:val="26"/>
          <w:szCs w:val="26"/>
        </w:rPr>
        <w:t xml:space="preserve">, 72 Pa. P.U.C. 196 (1990).  The offense must be a violation of the Public Utility Code, a Commission Regulation or Order or a violation of a Commission-approved tariff.  66 Pa. C.S. § 701.  </w:t>
      </w:r>
    </w:p>
    <w:p w14:paraId="3C7BD070" w14:textId="77777777" w:rsidR="000F6D47" w:rsidRPr="00BC7E17" w:rsidRDefault="000F6D47" w:rsidP="000F6D47">
      <w:pPr>
        <w:widowControl/>
        <w:spacing w:line="360" w:lineRule="auto"/>
        <w:ind w:firstLine="1440"/>
        <w:rPr>
          <w:sz w:val="26"/>
          <w:szCs w:val="26"/>
        </w:rPr>
      </w:pPr>
    </w:p>
    <w:p w14:paraId="74F81CB8" w14:textId="77777777" w:rsidR="000F6D47" w:rsidRDefault="000F6D47" w:rsidP="000F6D47">
      <w:pPr>
        <w:widowControl/>
        <w:spacing w:line="360" w:lineRule="auto"/>
        <w:ind w:firstLine="1440"/>
        <w:rPr>
          <w:rFonts w:ascii="Arial" w:hAnsi="Arial" w:cs="Arial"/>
          <w:sz w:val="21"/>
          <w:szCs w:val="21"/>
        </w:rPr>
      </w:pPr>
      <w:r w:rsidRPr="00BC7E17">
        <w:rPr>
          <w:sz w:val="26"/>
          <w:szCs w:val="26"/>
        </w:rPr>
        <w:t xml:space="preserve">Section 332(a) of the Public Utility Code (Code) provides that a complainant, as the party seeking affirmative relief from the Commission, has the burden of proof.  66 Pa. C.S. § 332(a).  The burden of proof for actions before the Commission is the “preponderance of the evidence” standard.  </w:t>
      </w:r>
      <w:r w:rsidRPr="00BC7E17">
        <w:rPr>
          <w:i/>
          <w:sz w:val="26"/>
          <w:szCs w:val="26"/>
        </w:rPr>
        <w:t>Suber v. Pennsylvania Com’n on Crime and Deliquency</w:t>
      </w:r>
      <w:r w:rsidRPr="00BC7E17">
        <w:rPr>
          <w:sz w:val="26"/>
          <w:szCs w:val="26"/>
        </w:rPr>
        <w:t>, 885 A. 2d 678, 682 (Pa. Cmwlth. 2005) (</w:t>
      </w:r>
      <w:r w:rsidRPr="00BC7E17">
        <w:rPr>
          <w:i/>
          <w:sz w:val="26"/>
          <w:szCs w:val="26"/>
        </w:rPr>
        <w:t>Suber</w:t>
      </w:r>
      <w:r w:rsidRPr="00BC7E17">
        <w:rPr>
          <w:sz w:val="26"/>
          <w:szCs w:val="26"/>
        </w:rPr>
        <w:t xml:space="preserve">); </w:t>
      </w:r>
      <w:r w:rsidRPr="00BC7E17">
        <w:rPr>
          <w:i/>
          <w:iCs/>
          <w:sz w:val="26"/>
          <w:szCs w:val="26"/>
        </w:rPr>
        <w:t>Samuel J. Lansberry, Inc. v. Pa. PUC</w:t>
      </w:r>
      <w:r w:rsidRPr="00BC7E17">
        <w:rPr>
          <w:sz w:val="26"/>
          <w:szCs w:val="26"/>
        </w:rPr>
        <w:t xml:space="preserve">, 578 A.2d 600 (Pa. Cmwlth. 1990), </w:t>
      </w:r>
      <w:r w:rsidRPr="00BC7E17">
        <w:rPr>
          <w:i/>
          <w:sz w:val="26"/>
          <w:szCs w:val="26"/>
        </w:rPr>
        <w:t>alloc. denied,</w:t>
      </w:r>
      <w:r w:rsidRPr="00BC7E17">
        <w:rPr>
          <w:sz w:val="26"/>
          <w:szCs w:val="26"/>
        </w:rPr>
        <w:t xml:space="preserve"> 529 Pa. 654, 602 A.2d 863 (1992) (</w:t>
      </w:r>
      <w:r w:rsidRPr="00BC7E17">
        <w:rPr>
          <w:i/>
          <w:sz w:val="26"/>
          <w:szCs w:val="26"/>
        </w:rPr>
        <w:t>Lansberry</w:t>
      </w:r>
      <w:r w:rsidRPr="00BC7E17">
        <w:rPr>
          <w:sz w:val="26"/>
          <w:szCs w:val="26"/>
        </w:rPr>
        <w:t xml:space="preserve">); </w:t>
      </w:r>
      <w:r w:rsidRPr="00BC7E17">
        <w:rPr>
          <w:i/>
          <w:sz w:val="26"/>
          <w:szCs w:val="26"/>
        </w:rPr>
        <w:t>see also</w:t>
      </w:r>
      <w:r w:rsidRPr="00BC7E17">
        <w:rPr>
          <w:rFonts w:ascii="Arial" w:hAnsi="Arial" w:cs="Arial"/>
          <w:i/>
          <w:sz w:val="21"/>
          <w:szCs w:val="21"/>
        </w:rPr>
        <w:t xml:space="preserve"> </w:t>
      </w:r>
      <w:r w:rsidRPr="00BC7E17">
        <w:rPr>
          <w:i/>
          <w:iCs/>
          <w:sz w:val="26"/>
          <w:szCs w:val="26"/>
        </w:rPr>
        <w:t>North American Coal Corp. v. Air Pollution Commission,</w:t>
      </w:r>
      <w:r w:rsidRPr="00BC7E17">
        <w:rPr>
          <w:sz w:val="26"/>
          <w:szCs w:val="26"/>
        </w:rPr>
        <w:t xml:space="preserve"> 279 A.2d 356 (Pa. Cmwlth. 1971).  To establish a fact or claim by a preponderance of the evidence means to offer the greater weight of the evidence, or evidence that outweighs, or is more convincing than, by even the smallest amount, the probative value of the evidence presented by the other party.  </w:t>
      </w:r>
      <w:r w:rsidRPr="00BC7E17">
        <w:rPr>
          <w:i/>
          <w:sz w:val="26"/>
          <w:szCs w:val="26"/>
        </w:rPr>
        <w:t xml:space="preserve">See </w:t>
      </w:r>
      <w:r w:rsidRPr="00BC7E17">
        <w:rPr>
          <w:i/>
          <w:iCs/>
          <w:sz w:val="26"/>
          <w:szCs w:val="26"/>
        </w:rPr>
        <w:t>Se-Ling Hosiery, Inc. v. Margulies,</w:t>
      </w:r>
      <w:r w:rsidRPr="00BC7E17">
        <w:rPr>
          <w:sz w:val="26"/>
          <w:szCs w:val="26"/>
        </w:rPr>
        <w:t xml:space="preserve"> 364 Pa. 45, 48-49, 70 A.2d 854, 855 (1950).</w:t>
      </w:r>
      <w:r w:rsidRPr="00BC7E17">
        <w:rPr>
          <w:rFonts w:ascii="Arial" w:hAnsi="Arial" w:cs="Arial"/>
          <w:sz w:val="21"/>
          <w:szCs w:val="21"/>
        </w:rPr>
        <w:t xml:space="preserve">  </w:t>
      </w:r>
    </w:p>
    <w:p w14:paraId="6D72BC59" w14:textId="77777777" w:rsidR="000F6D47" w:rsidRDefault="000F6D47" w:rsidP="007E15D7">
      <w:pPr>
        <w:widowControl/>
        <w:spacing w:line="360" w:lineRule="auto"/>
        <w:rPr>
          <w:rFonts w:eastAsiaTheme="minorHAnsi"/>
          <w:b/>
          <w:color w:val="000000"/>
          <w:sz w:val="26"/>
          <w:szCs w:val="26"/>
        </w:rPr>
      </w:pPr>
    </w:p>
    <w:p w14:paraId="65B085C3" w14:textId="77777777" w:rsidR="009F6CA7" w:rsidRPr="007E15D7" w:rsidRDefault="007E15D7" w:rsidP="0098599C">
      <w:pPr>
        <w:keepNext/>
        <w:keepLines/>
        <w:widowControl/>
        <w:spacing w:line="360" w:lineRule="auto"/>
        <w:rPr>
          <w:rFonts w:eastAsiaTheme="minorHAnsi"/>
          <w:b/>
          <w:color w:val="000000"/>
          <w:sz w:val="26"/>
          <w:szCs w:val="26"/>
        </w:rPr>
      </w:pPr>
      <w:r w:rsidRPr="007E15D7">
        <w:rPr>
          <w:rFonts w:eastAsiaTheme="minorHAnsi"/>
          <w:b/>
          <w:color w:val="000000"/>
          <w:sz w:val="26"/>
          <w:szCs w:val="26"/>
        </w:rPr>
        <w:t>ALJ’s Initial Decision</w:t>
      </w:r>
    </w:p>
    <w:p w14:paraId="4008652E" w14:textId="77777777" w:rsidR="007E15D7" w:rsidRDefault="007E15D7" w:rsidP="0098599C">
      <w:pPr>
        <w:keepNext/>
        <w:keepLines/>
        <w:widowControl/>
        <w:spacing w:line="360" w:lineRule="auto"/>
        <w:ind w:firstLine="1440"/>
        <w:rPr>
          <w:rFonts w:eastAsiaTheme="minorHAnsi"/>
          <w:color w:val="000000"/>
          <w:sz w:val="26"/>
          <w:szCs w:val="26"/>
        </w:rPr>
      </w:pPr>
    </w:p>
    <w:p w14:paraId="1D1E594C" w14:textId="77777777" w:rsidR="00AC6661" w:rsidRDefault="00A86A9E" w:rsidP="00503CC2">
      <w:pPr>
        <w:widowControl/>
        <w:spacing w:line="360" w:lineRule="auto"/>
        <w:ind w:firstLine="1440"/>
        <w:rPr>
          <w:rFonts w:eastAsiaTheme="minorHAnsi"/>
          <w:color w:val="000000"/>
          <w:sz w:val="26"/>
          <w:szCs w:val="26"/>
        </w:rPr>
      </w:pPr>
      <w:r>
        <w:rPr>
          <w:rFonts w:eastAsiaTheme="minorHAnsi"/>
          <w:color w:val="000000"/>
          <w:sz w:val="26"/>
          <w:szCs w:val="26"/>
        </w:rPr>
        <w:t xml:space="preserve">In the </w:t>
      </w:r>
      <w:r w:rsidR="00F9074B">
        <w:rPr>
          <w:rFonts w:eastAsiaTheme="minorHAnsi"/>
          <w:color w:val="000000"/>
          <w:sz w:val="26"/>
          <w:szCs w:val="26"/>
        </w:rPr>
        <w:t>Initial Decision</w:t>
      </w:r>
      <w:r>
        <w:rPr>
          <w:rFonts w:eastAsiaTheme="minorHAnsi"/>
          <w:color w:val="000000"/>
          <w:sz w:val="26"/>
          <w:szCs w:val="26"/>
        </w:rPr>
        <w:t xml:space="preserve">, </w:t>
      </w:r>
      <w:r w:rsidR="00903FE3">
        <w:rPr>
          <w:rFonts w:eastAsiaTheme="minorHAnsi"/>
          <w:color w:val="000000"/>
          <w:sz w:val="26"/>
          <w:szCs w:val="26"/>
        </w:rPr>
        <w:t xml:space="preserve">the </w:t>
      </w:r>
      <w:r>
        <w:rPr>
          <w:color w:val="000000" w:themeColor="text1"/>
          <w:sz w:val="26"/>
          <w:szCs w:val="26"/>
        </w:rPr>
        <w:t xml:space="preserve">ALJ ruled to dismiss the </w:t>
      </w:r>
      <w:r w:rsidR="00907FC3">
        <w:rPr>
          <w:color w:val="000000" w:themeColor="text1"/>
          <w:sz w:val="26"/>
          <w:szCs w:val="26"/>
        </w:rPr>
        <w:t>C</w:t>
      </w:r>
      <w:r>
        <w:rPr>
          <w:color w:val="000000" w:themeColor="text1"/>
          <w:sz w:val="26"/>
          <w:szCs w:val="26"/>
        </w:rPr>
        <w:t>ompl</w:t>
      </w:r>
      <w:r w:rsidR="00907FC3">
        <w:rPr>
          <w:color w:val="000000" w:themeColor="text1"/>
          <w:sz w:val="26"/>
          <w:szCs w:val="26"/>
        </w:rPr>
        <w:t>a</w:t>
      </w:r>
      <w:r>
        <w:rPr>
          <w:color w:val="000000" w:themeColor="text1"/>
          <w:sz w:val="26"/>
          <w:szCs w:val="26"/>
        </w:rPr>
        <w:t>int with prejudice, finding that</w:t>
      </w:r>
      <w:r>
        <w:rPr>
          <w:sz w:val="26"/>
          <w:szCs w:val="26"/>
        </w:rPr>
        <w:t xml:space="preserve"> the</w:t>
      </w:r>
      <w:r w:rsidRPr="0003143A">
        <w:rPr>
          <w:sz w:val="26"/>
          <w:szCs w:val="26"/>
        </w:rPr>
        <w:t xml:space="preserve"> Complainant had ample opportunity to appear </w:t>
      </w:r>
      <w:r>
        <w:rPr>
          <w:sz w:val="26"/>
          <w:szCs w:val="26"/>
        </w:rPr>
        <w:t>and be heard in this proceeding</w:t>
      </w:r>
      <w:r w:rsidRPr="0003143A">
        <w:rPr>
          <w:sz w:val="26"/>
          <w:szCs w:val="26"/>
        </w:rPr>
        <w:t xml:space="preserve"> but </w:t>
      </w:r>
      <w:r>
        <w:rPr>
          <w:sz w:val="26"/>
          <w:szCs w:val="26"/>
        </w:rPr>
        <w:t xml:space="preserve">that the Complainant </w:t>
      </w:r>
      <w:r w:rsidRPr="0003143A">
        <w:rPr>
          <w:sz w:val="26"/>
          <w:szCs w:val="26"/>
        </w:rPr>
        <w:t xml:space="preserve">chose not to </w:t>
      </w:r>
      <w:r>
        <w:rPr>
          <w:sz w:val="26"/>
          <w:szCs w:val="26"/>
        </w:rPr>
        <w:t xml:space="preserve">appear at the hearing.  The ALJ found that the Complainant’s due process rights had been fully protected in this proceeding because he received notice and “ample” opportunity to be heard. </w:t>
      </w:r>
      <w:r w:rsidR="00503CC2">
        <w:rPr>
          <w:sz w:val="26"/>
          <w:szCs w:val="26"/>
        </w:rPr>
        <w:t xml:space="preserve"> I.D. at 7-8; COL No. 2.</w:t>
      </w:r>
    </w:p>
    <w:p w14:paraId="30548C4E" w14:textId="77777777" w:rsidR="0066095F" w:rsidRDefault="0066095F" w:rsidP="00503CC2">
      <w:pPr>
        <w:widowControl/>
        <w:spacing w:line="360" w:lineRule="auto"/>
        <w:ind w:firstLine="1440"/>
        <w:rPr>
          <w:rFonts w:eastAsiaTheme="minorHAnsi"/>
          <w:color w:val="000000"/>
          <w:sz w:val="26"/>
          <w:szCs w:val="26"/>
        </w:rPr>
      </w:pPr>
    </w:p>
    <w:p w14:paraId="3697620E" w14:textId="77777777" w:rsidR="00083BC0" w:rsidRPr="00083BC0" w:rsidRDefault="00083BC0" w:rsidP="0098599C">
      <w:pPr>
        <w:keepNext/>
        <w:keepLines/>
        <w:widowControl/>
        <w:spacing w:line="360" w:lineRule="auto"/>
        <w:rPr>
          <w:rFonts w:eastAsiaTheme="minorHAnsi"/>
          <w:b/>
          <w:color w:val="000000"/>
          <w:sz w:val="26"/>
          <w:szCs w:val="26"/>
        </w:rPr>
      </w:pPr>
      <w:r w:rsidRPr="00083BC0">
        <w:rPr>
          <w:rFonts w:eastAsiaTheme="minorHAnsi"/>
          <w:b/>
          <w:color w:val="000000"/>
          <w:sz w:val="26"/>
          <w:szCs w:val="26"/>
        </w:rPr>
        <w:t>Exceptions</w:t>
      </w:r>
      <w:r w:rsidR="00BF7188">
        <w:rPr>
          <w:rFonts w:eastAsiaTheme="minorHAnsi"/>
          <w:b/>
          <w:color w:val="000000"/>
          <w:sz w:val="26"/>
          <w:szCs w:val="26"/>
        </w:rPr>
        <w:t xml:space="preserve"> and Replies</w:t>
      </w:r>
    </w:p>
    <w:p w14:paraId="68998521" w14:textId="77777777" w:rsidR="00FB7EFE" w:rsidRDefault="00FB7EFE" w:rsidP="0098599C">
      <w:pPr>
        <w:keepNext/>
        <w:keepLines/>
        <w:widowControl/>
        <w:spacing w:line="360" w:lineRule="auto"/>
        <w:ind w:firstLine="1440"/>
        <w:rPr>
          <w:sz w:val="26"/>
          <w:szCs w:val="26"/>
        </w:rPr>
      </w:pPr>
    </w:p>
    <w:p w14:paraId="64953F38" w14:textId="77777777" w:rsidR="00083BC0" w:rsidRDefault="00FB7EFE" w:rsidP="00503CC2">
      <w:pPr>
        <w:widowControl/>
        <w:spacing w:line="360" w:lineRule="auto"/>
        <w:ind w:firstLine="1440"/>
        <w:rPr>
          <w:rStyle w:val="Hyperlink"/>
          <w:color w:val="000000"/>
          <w:sz w:val="26"/>
          <w:szCs w:val="26"/>
        </w:rPr>
      </w:pPr>
      <w:r w:rsidRPr="00D64605">
        <w:rPr>
          <w:sz w:val="26"/>
          <w:szCs w:val="26"/>
        </w:rPr>
        <w:t xml:space="preserve">Before addressing the Exceptions, we note that any issue or Exception that we do not specifically delineate shall be deemed to have been duly considered and denied without further discussion.  The Commission is not required to consider expressly or at length each contention or argument raised by the parties.  </w:t>
      </w:r>
      <w:hyperlink r:id="rId8" w:history="1">
        <w:r w:rsidRPr="0016772B">
          <w:rPr>
            <w:rStyle w:val="Emphasis"/>
            <w:color w:val="000000"/>
            <w:sz w:val="26"/>
            <w:szCs w:val="26"/>
          </w:rPr>
          <w:t xml:space="preserve">Consolidated Rail Corp. v. Pa. PUC, </w:t>
        </w:r>
        <w:r w:rsidRPr="0016772B">
          <w:rPr>
            <w:rStyle w:val="Hyperlink"/>
            <w:i/>
            <w:color w:val="000000"/>
            <w:sz w:val="26"/>
            <w:szCs w:val="26"/>
            <w:u w:val="none"/>
          </w:rPr>
          <w:t>625 A.2d 741 (Pa. Cmwlth. 1993);</w:t>
        </w:r>
      </w:hyperlink>
      <w:r w:rsidRPr="00D64605">
        <w:rPr>
          <w:color w:val="000000"/>
          <w:sz w:val="26"/>
          <w:szCs w:val="26"/>
        </w:rPr>
        <w:t xml:space="preserve"> </w:t>
      </w:r>
      <w:r w:rsidRPr="00D64605">
        <w:rPr>
          <w:i/>
          <w:color w:val="000000"/>
          <w:sz w:val="26"/>
          <w:szCs w:val="26"/>
        </w:rPr>
        <w:t xml:space="preserve">also </w:t>
      </w:r>
      <w:r w:rsidRPr="00D64605">
        <w:rPr>
          <w:rStyle w:val="Emphasis"/>
          <w:color w:val="000000"/>
          <w:sz w:val="26"/>
          <w:szCs w:val="26"/>
        </w:rPr>
        <w:t xml:space="preserve">see, generally, </w:t>
      </w:r>
      <w:hyperlink r:id="rId9" w:history="1">
        <w:r w:rsidRPr="007F1186">
          <w:rPr>
            <w:rStyle w:val="Emphasis"/>
            <w:color w:val="000000"/>
            <w:sz w:val="26"/>
            <w:szCs w:val="26"/>
          </w:rPr>
          <w:t>University of Pennsylvania v. Pa. PUC</w:t>
        </w:r>
        <w:r w:rsidRPr="0016772B">
          <w:rPr>
            <w:rStyle w:val="Hyperlink"/>
            <w:i/>
            <w:color w:val="000000"/>
            <w:sz w:val="26"/>
            <w:szCs w:val="26"/>
            <w:u w:val="none"/>
          </w:rPr>
          <w:t>, 485 A.2d 1217 (Pa. Cmwlth. 1984).</w:t>
        </w:r>
      </w:hyperlink>
    </w:p>
    <w:p w14:paraId="4CA72754" w14:textId="77777777" w:rsidR="00FB7EFE" w:rsidRDefault="00FB7EFE" w:rsidP="00503CC2">
      <w:pPr>
        <w:widowControl/>
        <w:spacing w:line="360" w:lineRule="auto"/>
        <w:ind w:firstLine="1440"/>
        <w:rPr>
          <w:rFonts w:eastAsiaTheme="minorHAnsi"/>
          <w:color w:val="000000"/>
          <w:sz w:val="26"/>
          <w:szCs w:val="26"/>
        </w:rPr>
      </w:pPr>
    </w:p>
    <w:p w14:paraId="439C8F24" w14:textId="6C24BFFD" w:rsidR="0066095F" w:rsidRDefault="00E47544" w:rsidP="00503CC2">
      <w:pPr>
        <w:widowControl/>
        <w:spacing w:line="360" w:lineRule="auto"/>
        <w:ind w:firstLine="1440"/>
        <w:rPr>
          <w:sz w:val="26"/>
          <w:szCs w:val="26"/>
        </w:rPr>
      </w:pPr>
      <w:r>
        <w:rPr>
          <w:sz w:val="26"/>
          <w:szCs w:val="26"/>
        </w:rPr>
        <w:t>In his Exceptions, the Complainant state</w:t>
      </w:r>
      <w:r w:rsidR="0016772B">
        <w:rPr>
          <w:sz w:val="26"/>
          <w:szCs w:val="26"/>
        </w:rPr>
        <w:t>s</w:t>
      </w:r>
      <w:r>
        <w:rPr>
          <w:sz w:val="26"/>
          <w:szCs w:val="26"/>
        </w:rPr>
        <w:t xml:space="preserve"> that his failure to appear at the hearing was due to his dealing with a medical emergency for his daughter who suffers from extreme bipolar disorder and who was experiencing a manic episode the </w:t>
      </w:r>
      <w:r w:rsidR="00D742A5">
        <w:rPr>
          <w:sz w:val="26"/>
          <w:szCs w:val="26"/>
        </w:rPr>
        <w:t xml:space="preserve">morning </w:t>
      </w:r>
      <w:r>
        <w:rPr>
          <w:sz w:val="26"/>
          <w:szCs w:val="26"/>
        </w:rPr>
        <w:t>of the hearing.  The Complainant aver</w:t>
      </w:r>
      <w:r w:rsidR="0016772B">
        <w:rPr>
          <w:sz w:val="26"/>
          <w:szCs w:val="26"/>
        </w:rPr>
        <w:t>s</w:t>
      </w:r>
      <w:r>
        <w:rPr>
          <w:sz w:val="26"/>
          <w:szCs w:val="26"/>
        </w:rPr>
        <w:t xml:space="preserve"> that he is his daughter’s primary and only caretaker.  He submitted medical records</w:t>
      </w:r>
      <w:r w:rsidR="00232F98">
        <w:rPr>
          <w:sz w:val="26"/>
          <w:szCs w:val="26"/>
        </w:rPr>
        <w:t xml:space="preserve"> dated </w:t>
      </w:r>
      <w:r w:rsidR="00ED3F31">
        <w:rPr>
          <w:sz w:val="26"/>
          <w:szCs w:val="26"/>
        </w:rPr>
        <w:t>January 10, 2017,</w:t>
      </w:r>
      <w:r>
        <w:rPr>
          <w:sz w:val="26"/>
          <w:szCs w:val="26"/>
        </w:rPr>
        <w:t xml:space="preserve"> </w:t>
      </w:r>
      <w:r w:rsidR="00160759">
        <w:rPr>
          <w:sz w:val="26"/>
          <w:szCs w:val="26"/>
        </w:rPr>
        <w:t xml:space="preserve">with his Exceptions </w:t>
      </w:r>
      <w:r>
        <w:rPr>
          <w:sz w:val="26"/>
          <w:szCs w:val="26"/>
        </w:rPr>
        <w:t xml:space="preserve">to verify his daughter’s underlying medical condition. </w:t>
      </w:r>
      <w:r w:rsidR="00503CC2">
        <w:rPr>
          <w:sz w:val="26"/>
          <w:szCs w:val="26"/>
        </w:rPr>
        <w:t xml:space="preserve"> </w:t>
      </w:r>
      <w:r w:rsidR="004F688D">
        <w:rPr>
          <w:sz w:val="26"/>
          <w:szCs w:val="26"/>
        </w:rPr>
        <w:t xml:space="preserve">The Complainant requests that the Commission review his Exceptions and order any other relief necessary consistent with his Exceptions and other findings.  </w:t>
      </w:r>
      <w:r w:rsidR="00503CC2">
        <w:rPr>
          <w:sz w:val="26"/>
          <w:szCs w:val="26"/>
        </w:rPr>
        <w:t>Exc. at 1-2; Exhibits to Exceptions.</w:t>
      </w:r>
    </w:p>
    <w:p w14:paraId="682C38CF" w14:textId="77777777" w:rsidR="00F9074B" w:rsidRDefault="00F9074B" w:rsidP="00503CC2">
      <w:pPr>
        <w:widowControl/>
        <w:spacing w:line="360" w:lineRule="auto"/>
        <w:ind w:firstLine="1440"/>
        <w:rPr>
          <w:sz w:val="26"/>
          <w:szCs w:val="26"/>
        </w:rPr>
      </w:pPr>
    </w:p>
    <w:p w14:paraId="038C4A26" w14:textId="77777777" w:rsidR="000F6D47" w:rsidRDefault="00160759" w:rsidP="000F6D47">
      <w:pPr>
        <w:widowControl/>
        <w:spacing w:line="360" w:lineRule="auto"/>
        <w:ind w:firstLine="1440"/>
        <w:rPr>
          <w:sz w:val="26"/>
          <w:szCs w:val="26"/>
        </w:rPr>
      </w:pPr>
      <w:r>
        <w:rPr>
          <w:sz w:val="26"/>
          <w:szCs w:val="26"/>
        </w:rPr>
        <w:t xml:space="preserve">In its </w:t>
      </w:r>
      <w:r w:rsidR="00D742A5">
        <w:rPr>
          <w:sz w:val="26"/>
          <w:szCs w:val="26"/>
        </w:rPr>
        <w:t xml:space="preserve">Replies to </w:t>
      </w:r>
      <w:r>
        <w:rPr>
          <w:sz w:val="26"/>
          <w:szCs w:val="26"/>
        </w:rPr>
        <w:t xml:space="preserve">the Complainant’s </w:t>
      </w:r>
      <w:r w:rsidR="00D742A5">
        <w:rPr>
          <w:sz w:val="26"/>
          <w:szCs w:val="26"/>
        </w:rPr>
        <w:t xml:space="preserve">Exceptions, PECO asserts that the Complainant failed to submit any supporting medical documentation to support that a medical event occurred on </w:t>
      </w:r>
      <w:r w:rsidR="00ED3F31">
        <w:rPr>
          <w:sz w:val="26"/>
          <w:szCs w:val="26"/>
        </w:rPr>
        <w:t xml:space="preserve">April 7, 2017, </w:t>
      </w:r>
      <w:r w:rsidR="00D742A5">
        <w:rPr>
          <w:sz w:val="26"/>
          <w:szCs w:val="26"/>
        </w:rPr>
        <w:t xml:space="preserve">the day of the hearing.  PECO </w:t>
      </w:r>
      <w:r w:rsidR="00907FC3">
        <w:rPr>
          <w:sz w:val="26"/>
          <w:szCs w:val="26"/>
        </w:rPr>
        <w:t xml:space="preserve">submits </w:t>
      </w:r>
      <w:r w:rsidR="00D742A5">
        <w:rPr>
          <w:sz w:val="26"/>
          <w:szCs w:val="26"/>
        </w:rPr>
        <w:t xml:space="preserve">that the Complainant </w:t>
      </w:r>
      <w:r w:rsidR="003224AD">
        <w:rPr>
          <w:sz w:val="26"/>
          <w:szCs w:val="26"/>
        </w:rPr>
        <w:t>failed to provide any c</w:t>
      </w:r>
      <w:r w:rsidR="00D742A5">
        <w:rPr>
          <w:sz w:val="26"/>
          <w:szCs w:val="26"/>
        </w:rPr>
        <w:t xml:space="preserve">ompelling reason why he was not available to take the ALJ’s call to </w:t>
      </w:r>
      <w:r w:rsidR="003224AD">
        <w:rPr>
          <w:sz w:val="26"/>
          <w:szCs w:val="26"/>
        </w:rPr>
        <w:t xml:space="preserve">attend </w:t>
      </w:r>
      <w:r w:rsidR="00D742A5">
        <w:rPr>
          <w:sz w:val="26"/>
          <w:szCs w:val="26"/>
        </w:rPr>
        <w:t>the scheduled hearing and provided no proof of a reason</w:t>
      </w:r>
      <w:r w:rsidR="003224AD">
        <w:rPr>
          <w:sz w:val="26"/>
          <w:szCs w:val="26"/>
        </w:rPr>
        <w:t xml:space="preserve"> as to why he was not available</w:t>
      </w:r>
      <w:r w:rsidR="00D742A5">
        <w:rPr>
          <w:sz w:val="26"/>
          <w:szCs w:val="26"/>
        </w:rPr>
        <w:t>.  PECO argues that the Complainant’s failure to attend was not “unavoidable</w:t>
      </w:r>
      <w:r w:rsidR="00471C47">
        <w:rPr>
          <w:sz w:val="26"/>
          <w:szCs w:val="26"/>
        </w:rPr>
        <w:t>”</w:t>
      </w:r>
      <w:r w:rsidR="00D742A5">
        <w:rPr>
          <w:sz w:val="26"/>
          <w:szCs w:val="26"/>
        </w:rPr>
        <w:t xml:space="preserve"> </w:t>
      </w:r>
      <w:r w:rsidR="00471C47">
        <w:rPr>
          <w:sz w:val="26"/>
          <w:szCs w:val="26"/>
        </w:rPr>
        <w:t xml:space="preserve">and that </w:t>
      </w:r>
      <w:r w:rsidR="00D742A5">
        <w:rPr>
          <w:sz w:val="26"/>
          <w:szCs w:val="26"/>
        </w:rPr>
        <w:t xml:space="preserve">reopening this proceeding would prejudice the public’s and PECO’s interests due to wasteful use of time and resources dedicated by the Commission and </w:t>
      </w:r>
      <w:r w:rsidR="00FD6CF1">
        <w:rPr>
          <w:sz w:val="26"/>
          <w:szCs w:val="26"/>
        </w:rPr>
        <w:t>the Company</w:t>
      </w:r>
      <w:r w:rsidR="00D742A5">
        <w:rPr>
          <w:sz w:val="26"/>
          <w:szCs w:val="26"/>
        </w:rPr>
        <w:t xml:space="preserve"> thus far to the case. </w:t>
      </w:r>
      <w:r w:rsidR="00503CC2">
        <w:rPr>
          <w:sz w:val="26"/>
          <w:szCs w:val="26"/>
        </w:rPr>
        <w:t xml:space="preserve"> R. Exc. at 4-6.</w:t>
      </w:r>
    </w:p>
    <w:p w14:paraId="38054B54" w14:textId="77777777" w:rsidR="000F6D47" w:rsidRDefault="000F6D47" w:rsidP="000F6D47">
      <w:pPr>
        <w:widowControl/>
        <w:spacing w:line="360" w:lineRule="auto"/>
        <w:ind w:firstLine="1440"/>
        <w:rPr>
          <w:sz w:val="26"/>
          <w:szCs w:val="26"/>
        </w:rPr>
      </w:pPr>
    </w:p>
    <w:p w14:paraId="3E279FD8" w14:textId="77777777" w:rsidR="000F6D47" w:rsidRPr="00BF7188" w:rsidRDefault="000F6D47" w:rsidP="00BF7188">
      <w:pPr>
        <w:widowControl/>
        <w:spacing w:line="360" w:lineRule="auto"/>
        <w:ind w:firstLine="1440"/>
        <w:rPr>
          <w:sz w:val="26"/>
          <w:szCs w:val="26"/>
        </w:rPr>
      </w:pPr>
      <w:r w:rsidRPr="00BF7188">
        <w:rPr>
          <w:color w:val="000000" w:themeColor="text1"/>
          <w:sz w:val="26"/>
          <w:szCs w:val="26"/>
        </w:rPr>
        <w:t xml:space="preserve">To expand on this last point, PECO stated it should not be prejudiced by having to expend an inordinate amount of its resources to prepare for hearings in which the Complainant does not appear.  It objected to what it saw as the Complainant’s delaying tactics, including the filing of a bankruptcy petition approximately 10 days before the first scheduled evidentiary hearing in this case, which was later dismissed, and then the non-attendance at the second hearing.  PECO has also maintained that the Complainant was relitigating issues already decided in a prior Complaint resolved in 2015.  PECO stated that it has been unable to pursue collections on the outstanding $22,259 balance due to the Complainant’s past actions, which include the filing of eighteen informal or formal complaints. </w:t>
      </w:r>
    </w:p>
    <w:p w14:paraId="112C0281" w14:textId="77777777" w:rsidR="00F9074B" w:rsidRPr="00F9074B" w:rsidRDefault="00F9074B" w:rsidP="00BF7188">
      <w:pPr>
        <w:widowControl/>
        <w:spacing w:line="360" w:lineRule="auto"/>
        <w:rPr>
          <w:sz w:val="26"/>
          <w:szCs w:val="26"/>
        </w:rPr>
      </w:pPr>
    </w:p>
    <w:p w14:paraId="6068CAF4" w14:textId="77777777" w:rsidR="001F0176" w:rsidRDefault="001F0176" w:rsidP="0098599C">
      <w:pPr>
        <w:keepNext/>
        <w:keepLines/>
        <w:widowControl/>
        <w:spacing w:line="360" w:lineRule="auto"/>
        <w:rPr>
          <w:b/>
          <w:sz w:val="26"/>
          <w:szCs w:val="26"/>
        </w:rPr>
      </w:pPr>
      <w:r w:rsidRPr="00FC3806">
        <w:rPr>
          <w:b/>
          <w:sz w:val="26"/>
          <w:szCs w:val="26"/>
        </w:rPr>
        <w:t>Di</w:t>
      </w:r>
      <w:r w:rsidR="0093362D">
        <w:rPr>
          <w:b/>
          <w:sz w:val="26"/>
          <w:szCs w:val="26"/>
        </w:rPr>
        <w:t>sposition</w:t>
      </w:r>
    </w:p>
    <w:p w14:paraId="2F3EE668" w14:textId="77777777" w:rsidR="00C27E8B" w:rsidRDefault="00C27E8B" w:rsidP="0098599C">
      <w:pPr>
        <w:keepNext/>
        <w:keepLines/>
        <w:widowControl/>
        <w:spacing w:line="360" w:lineRule="auto"/>
        <w:rPr>
          <w:b/>
          <w:sz w:val="26"/>
          <w:szCs w:val="26"/>
        </w:rPr>
      </w:pPr>
    </w:p>
    <w:p w14:paraId="1B19EF9C" w14:textId="77777777" w:rsidR="00BF7188" w:rsidRDefault="00C27E8B" w:rsidP="00C27E8B">
      <w:pPr>
        <w:widowControl/>
        <w:spacing w:line="360" w:lineRule="auto"/>
        <w:ind w:firstLine="1440"/>
        <w:rPr>
          <w:color w:val="000000" w:themeColor="text1"/>
          <w:sz w:val="26"/>
          <w:szCs w:val="26"/>
        </w:rPr>
      </w:pPr>
      <w:r>
        <w:rPr>
          <w:color w:val="000000" w:themeColor="text1"/>
          <w:sz w:val="26"/>
          <w:szCs w:val="26"/>
        </w:rPr>
        <w:t xml:space="preserve">Preliminarily, as noted </w:t>
      </w:r>
      <w:r w:rsidRPr="00C27E8B">
        <w:rPr>
          <w:i/>
          <w:color w:val="000000" w:themeColor="text1"/>
          <w:sz w:val="26"/>
          <w:szCs w:val="26"/>
        </w:rPr>
        <w:t>supra</w:t>
      </w:r>
      <w:r>
        <w:rPr>
          <w:color w:val="000000" w:themeColor="text1"/>
          <w:sz w:val="26"/>
          <w:szCs w:val="26"/>
        </w:rPr>
        <w:t>, i</w:t>
      </w:r>
      <w:r w:rsidR="008A227C">
        <w:rPr>
          <w:color w:val="000000" w:themeColor="text1"/>
          <w:sz w:val="26"/>
          <w:szCs w:val="26"/>
        </w:rPr>
        <w:t>n reviewing matter</w:t>
      </w:r>
      <w:r w:rsidR="00882A28">
        <w:rPr>
          <w:color w:val="000000" w:themeColor="text1"/>
          <w:sz w:val="26"/>
          <w:szCs w:val="26"/>
        </w:rPr>
        <w:t>s involving a party’s failure to prosecute</w:t>
      </w:r>
      <w:r w:rsidR="008A227C">
        <w:rPr>
          <w:color w:val="000000" w:themeColor="text1"/>
          <w:sz w:val="26"/>
          <w:szCs w:val="26"/>
        </w:rPr>
        <w:t xml:space="preserve">, </w:t>
      </w:r>
      <w:r w:rsidR="00C35A5F">
        <w:rPr>
          <w:color w:val="000000" w:themeColor="text1"/>
          <w:sz w:val="26"/>
          <w:szCs w:val="26"/>
        </w:rPr>
        <w:t>we are</w:t>
      </w:r>
      <w:r w:rsidR="008A227C">
        <w:rPr>
          <w:color w:val="000000" w:themeColor="text1"/>
          <w:sz w:val="26"/>
          <w:szCs w:val="26"/>
        </w:rPr>
        <w:t xml:space="preserve"> guided by the provisions of the </w:t>
      </w:r>
      <w:r w:rsidR="00C35A5F">
        <w:rPr>
          <w:color w:val="000000" w:themeColor="text1"/>
          <w:sz w:val="26"/>
          <w:szCs w:val="26"/>
        </w:rPr>
        <w:t>Code and our regulations that provide that parties who fail to participate in scheduled conferences be deemed to have waived the opportunity to participate and not later be allowed to reopen the matter.  We are permitted, however, to excuse the absence if we find that the failure to appear was “unavoidable” and that interests of other parties and the public would not be prejudiced.</w:t>
      </w:r>
    </w:p>
    <w:p w14:paraId="4D0A069E" w14:textId="77777777" w:rsidR="00C27E8B" w:rsidRDefault="00C27E8B" w:rsidP="00C27E8B">
      <w:pPr>
        <w:widowControl/>
        <w:spacing w:line="360" w:lineRule="auto"/>
        <w:ind w:firstLine="1440"/>
        <w:rPr>
          <w:color w:val="000000" w:themeColor="text1"/>
          <w:sz w:val="26"/>
          <w:szCs w:val="26"/>
        </w:rPr>
      </w:pPr>
    </w:p>
    <w:p w14:paraId="14ACB82A" w14:textId="77777777" w:rsidR="00BF7188" w:rsidRDefault="000F6D47" w:rsidP="00BF7188">
      <w:pPr>
        <w:widowControl/>
        <w:spacing w:line="360" w:lineRule="auto"/>
        <w:ind w:firstLine="1440"/>
        <w:rPr>
          <w:color w:val="000000" w:themeColor="text1"/>
          <w:sz w:val="26"/>
          <w:szCs w:val="26"/>
        </w:rPr>
      </w:pPr>
      <w:r w:rsidRPr="00BF7188">
        <w:rPr>
          <w:color w:val="000000" w:themeColor="text1"/>
          <w:sz w:val="26"/>
          <w:szCs w:val="26"/>
        </w:rPr>
        <w:t>Based on a review of the record</w:t>
      </w:r>
      <w:r w:rsidR="00A632BA">
        <w:rPr>
          <w:color w:val="000000" w:themeColor="text1"/>
          <w:sz w:val="26"/>
          <w:szCs w:val="26"/>
        </w:rPr>
        <w:t xml:space="preserve"> in this proceeding</w:t>
      </w:r>
      <w:r w:rsidRPr="00BF7188">
        <w:rPr>
          <w:color w:val="000000" w:themeColor="text1"/>
          <w:sz w:val="26"/>
          <w:szCs w:val="26"/>
        </w:rPr>
        <w:t>, we cannot conclude that the Complainant’s non-participation in the April 7, 2017 hearing was “unavoidable.”  The Complainant had opportunities before the issuance of the Initial Decision, and through its Exceptions, to document that his non-participation was unavoidable, but has failed to do so.  Additionally, PECO is persuasive that further delay of this case is prejudicial to its interests and the public.  A large portion of the arrearage represents a balance transferred from a prior address for which a Complaint was previously adjudicated on the merits.</w:t>
      </w:r>
      <w:r w:rsidRPr="00BF7188">
        <w:rPr>
          <w:rStyle w:val="FootnoteReference"/>
          <w:color w:val="000000" w:themeColor="text1"/>
          <w:sz w:val="26"/>
          <w:szCs w:val="26"/>
        </w:rPr>
        <w:footnoteReference w:id="4"/>
      </w:r>
      <w:r w:rsidRPr="00BF7188">
        <w:rPr>
          <w:color w:val="000000" w:themeColor="text1"/>
          <w:sz w:val="26"/>
          <w:szCs w:val="26"/>
        </w:rPr>
        <w:t xml:space="preserve"> The presiding ALJ agreed that the Complainant was barred from relitigating responsibility for the amounts that had accrued at the time of the commencement of the prior Complaint in early 2014, which was $13,507.  The Complainant did not file an Exception to the Order granting the Motion for Judgment on the Pleadings.</w:t>
      </w:r>
    </w:p>
    <w:p w14:paraId="4121D1CA" w14:textId="77777777" w:rsidR="00BF7188" w:rsidRDefault="00BF7188" w:rsidP="00BF7188">
      <w:pPr>
        <w:widowControl/>
        <w:spacing w:line="360" w:lineRule="auto"/>
        <w:ind w:firstLine="1440"/>
        <w:rPr>
          <w:color w:val="000000" w:themeColor="text1"/>
          <w:sz w:val="26"/>
          <w:szCs w:val="26"/>
        </w:rPr>
      </w:pPr>
    </w:p>
    <w:p w14:paraId="497A0481" w14:textId="77777777" w:rsidR="000F6D47" w:rsidRDefault="00BF7188" w:rsidP="00BF7188">
      <w:pPr>
        <w:widowControl/>
        <w:spacing w:line="360" w:lineRule="auto"/>
        <w:ind w:firstLine="1440"/>
        <w:rPr>
          <w:color w:val="000000" w:themeColor="text1"/>
          <w:sz w:val="26"/>
          <w:szCs w:val="26"/>
        </w:rPr>
      </w:pPr>
      <w:r>
        <w:rPr>
          <w:color w:val="000000" w:themeColor="text1"/>
          <w:sz w:val="26"/>
          <w:szCs w:val="26"/>
        </w:rPr>
        <w:t>Overall, we</w:t>
      </w:r>
      <w:r w:rsidR="000F6D47" w:rsidRPr="00BF7188">
        <w:rPr>
          <w:color w:val="000000" w:themeColor="text1"/>
          <w:sz w:val="26"/>
          <w:szCs w:val="26"/>
        </w:rPr>
        <w:t xml:space="preserve"> conclude that the Complainant was afforded sufficient notice and opportunity to be heard on this matter.  </w:t>
      </w:r>
      <w:r w:rsidR="000F6D47" w:rsidRPr="00BF7188">
        <w:rPr>
          <w:color w:val="000000"/>
          <w:sz w:val="26"/>
          <w:szCs w:val="26"/>
        </w:rPr>
        <w:t xml:space="preserve">The initial hearing was delayed by the filing of a bankruptcy petition less than two weeks before the hearing date, which was October 14, 2016.  This bankruptcy petition was subsequently dismissed.  Following this, the Complainant received notice of the time, date and location of the rescheduled hearing.  </w:t>
      </w:r>
      <w:r w:rsidR="000F6D47" w:rsidRPr="00BF7188">
        <w:rPr>
          <w:color w:val="000000" w:themeColor="text1"/>
          <w:sz w:val="26"/>
          <w:szCs w:val="26"/>
        </w:rPr>
        <w:t xml:space="preserve">The Complainant called the OALJ twice regarding this hearing, first to request that it be in person, and then to request that it be changed back to a telephonic hearing.  The OALJ accommodated both requests.  The Complainant was telephoned three times on his cell phone at the time of the hearing but did not answer.  The ALJ delayed issuing an Initial Decision that would have dismissed the Complaint after being informed of an alleged medical emergency. </w:t>
      </w:r>
      <w:r>
        <w:rPr>
          <w:color w:val="000000" w:themeColor="text1"/>
          <w:sz w:val="26"/>
          <w:szCs w:val="26"/>
        </w:rPr>
        <w:t xml:space="preserve"> </w:t>
      </w:r>
      <w:r w:rsidR="000F6D47" w:rsidRPr="00BF7188">
        <w:rPr>
          <w:color w:val="000000" w:themeColor="text1"/>
          <w:sz w:val="26"/>
          <w:szCs w:val="26"/>
        </w:rPr>
        <w:t>Despite being provided multiple opportunities to document that a medical emergency requiring treatment occurred on the morning of April 7, 2017, the Complainant has failed to do so.</w:t>
      </w:r>
    </w:p>
    <w:p w14:paraId="690BA5B2" w14:textId="77777777" w:rsidR="00BF7188" w:rsidRDefault="00BF7188" w:rsidP="00BF7188">
      <w:pPr>
        <w:widowControl/>
        <w:spacing w:line="360" w:lineRule="auto"/>
        <w:ind w:firstLine="1440"/>
        <w:rPr>
          <w:color w:val="000000" w:themeColor="text1"/>
          <w:sz w:val="26"/>
          <w:szCs w:val="26"/>
        </w:rPr>
      </w:pPr>
    </w:p>
    <w:p w14:paraId="08CC914E" w14:textId="77777777" w:rsidR="004A1A86" w:rsidRPr="004A1A86" w:rsidRDefault="004A1A86" w:rsidP="00374541">
      <w:pPr>
        <w:keepNext/>
        <w:keepLines/>
        <w:autoSpaceDE w:val="0"/>
        <w:autoSpaceDN w:val="0"/>
        <w:adjustRightInd w:val="0"/>
        <w:spacing w:line="360" w:lineRule="auto"/>
        <w:jc w:val="center"/>
        <w:rPr>
          <w:b/>
          <w:sz w:val="26"/>
          <w:szCs w:val="26"/>
        </w:rPr>
      </w:pPr>
      <w:r w:rsidRPr="004A1A86">
        <w:rPr>
          <w:b/>
          <w:sz w:val="26"/>
          <w:szCs w:val="26"/>
        </w:rPr>
        <w:t>Conclusion</w:t>
      </w:r>
    </w:p>
    <w:p w14:paraId="2AEF1648" w14:textId="77777777" w:rsidR="004A1A86" w:rsidRPr="00603C36" w:rsidRDefault="004A1A86" w:rsidP="00374541">
      <w:pPr>
        <w:keepNext/>
        <w:keepLines/>
        <w:widowControl/>
        <w:overflowPunct w:val="0"/>
        <w:autoSpaceDE w:val="0"/>
        <w:autoSpaceDN w:val="0"/>
        <w:adjustRightInd w:val="0"/>
        <w:spacing w:line="360" w:lineRule="auto"/>
        <w:textAlignment w:val="baseline"/>
        <w:rPr>
          <w:sz w:val="26"/>
          <w:szCs w:val="26"/>
        </w:rPr>
      </w:pPr>
    </w:p>
    <w:p w14:paraId="3136A3CB" w14:textId="77777777" w:rsidR="00603C36" w:rsidRDefault="00603C36" w:rsidP="00CA6D75">
      <w:pPr>
        <w:autoSpaceDE w:val="0"/>
        <w:autoSpaceDN w:val="0"/>
        <w:adjustRightInd w:val="0"/>
        <w:spacing w:line="360" w:lineRule="auto"/>
        <w:ind w:firstLine="1440"/>
        <w:rPr>
          <w:color w:val="000000"/>
          <w:sz w:val="26"/>
          <w:szCs w:val="26"/>
        </w:rPr>
      </w:pPr>
      <w:r w:rsidRPr="00603C36">
        <w:rPr>
          <w:color w:val="000000"/>
          <w:sz w:val="26"/>
          <w:szCs w:val="26"/>
        </w:rPr>
        <w:t xml:space="preserve">Upon review and consideration of the record of this proceeding, we </w:t>
      </w:r>
      <w:r w:rsidR="00F417D6" w:rsidRPr="005D19E3">
        <w:rPr>
          <w:sz w:val="26"/>
          <w:szCs w:val="26"/>
        </w:rPr>
        <w:t xml:space="preserve">shall </w:t>
      </w:r>
      <w:r w:rsidR="00BF7188">
        <w:rPr>
          <w:sz w:val="26"/>
          <w:szCs w:val="26"/>
        </w:rPr>
        <w:t xml:space="preserve">deny the Exceptions, adopt the </w:t>
      </w:r>
      <w:r w:rsidR="00BF7188">
        <w:rPr>
          <w:color w:val="000000"/>
          <w:sz w:val="26"/>
          <w:szCs w:val="26"/>
        </w:rPr>
        <w:t>Initial Decision and dismiss the Complaint</w:t>
      </w:r>
      <w:r w:rsidRPr="00603C36">
        <w:rPr>
          <w:color w:val="000000"/>
          <w:sz w:val="26"/>
          <w:szCs w:val="26"/>
        </w:rPr>
        <w:t xml:space="preserve">; </w:t>
      </w:r>
      <w:r w:rsidRPr="00603C36">
        <w:rPr>
          <w:b/>
          <w:bCs/>
          <w:color w:val="000000"/>
          <w:sz w:val="26"/>
          <w:szCs w:val="26"/>
        </w:rPr>
        <w:t>THEREFORE</w:t>
      </w:r>
      <w:r w:rsidRPr="00603C36">
        <w:rPr>
          <w:color w:val="000000"/>
          <w:sz w:val="26"/>
          <w:szCs w:val="26"/>
        </w:rPr>
        <w:t>,</w:t>
      </w:r>
    </w:p>
    <w:p w14:paraId="18368235" w14:textId="77777777" w:rsidR="006E1783" w:rsidRPr="00603C36" w:rsidRDefault="006E1783" w:rsidP="00503CC2">
      <w:pPr>
        <w:autoSpaceDE w:val="0"/>
        <w:autoSpaceDN w:val="0"/>
        <w:adjustRightInd w:val="0"/>
        <w:spacing w:line="360" w:lineRule="auto"/>
        <w:ind w:firstLine="1440"/>
        <w:jc w:val="both"/>
        <w:rPr>
          <w:color w:val="000000"/>
          <w:sz w:val="26"/>
          <w:szCs w:val="26"/>
        </w:rPr>
      </w:pPr>
    </w:p>
    <w:p w14:paraId="7E2DEE76" w14:textId="77777777" w:rsidR="006E1783" w:rsidRPr="002262C4" w:rsidRDefault="006E1783" w:rsidP="00503CC2">
      <w:pPr>
        <w:widowControl/>
        <w:spacing w:line="360" w:lineRule="auto"/>
        <w:ind w:firstLine="1440"/>
        <w:rPr>
          <w:b/>
          <w:sz w:val="26"/>
          <w:szCs w:val="26"/>
        </w:rPr>
      </w:pPr>
      <w:r w:rsidRPr="002262C4">
        <w:rPr>
          <w:b/>
          <w:sz w:val="26"/>
          <w:szCs w:val="26"/>
        </w:rPr>
        <w:t>IT IS ORDERED:</w:t>
      </w:r>
    </w:p>
    <w:p w14:paraId="43222272" w14:textId="77777777" w:rsidR="006E1783" w:rsidRPr="002262C4" w:rsidRDefault="006E1783" w:rsidP="00503CC2">
      <w:pPr>
        <w:widowControl/>
        <w:spacing w:line="360" w:lineRule="auto"/>
        <w:rPr>
          <w:sz w:val="26"/>
          <w:szCs w:val="26"/>
        </w:rPr>
      </w:pPr>
    </w:p>
    <w:p w14:paraId="0F9059BE" w14:textId="7727AA8C" w:rsidR="006E1783" w:rsidRPr="002262C4" w:rsidRDefault="006E1783" w:rsidP="00503CC2">
      <w:pPr>
        <w:widowControl/>
        <w:numPr>
          <w:ilvl w:val="0"/>
          <w:numId w:val="4"/>
        </w:numPr>
        <w:tabs>
          <w:tab w:val="clear" w:pos="2160"/>
          <w:tab w:val="num" w:pos="0"/>
        </w:tabs>
        <w:spacing w:line="360" w:lineRule="auto"/>
        <w:ind w:left="0" w:firstLine="1440"/>
        <w:rPr>
          <w:sz w:val="26"/>
          <w:szCs w:val="26"/>
        </w:rPr>
      </w:pPr>
      <w:r w:rsidRPr="002262C4">
        <w:rPr>
          <w:sz w:val="26"/>
          <w:szCs w:val="26"/>
        </w:rPr>
        <w:t xml:space="preserve">That the Exceptions of </w:t>
      </w:r>
      <w:r w:rsidR="000C2991">
        <w:rPr>
          <w:rFonts w:eastAsiaTheme="minorHAnsi"/>
          <w:color w:val="000000"/>
          <w:sz w:val="26"/>
          <w:szCs w:val="26"/>
        </w:rPr>
        <w:t>Eric Hudson,</w:t>
      </w:r>
      <w:r w:rsidRPr="002262C4">
        <w:rPr>
          <w:sz w:val="26"/>
        </w:rPr>
        <w:t xml:space="preserve"> filed on </w:t>
      </w:r>
      <w:r>
        <w:rPr>
          <w:sz w:val="26"/>
          <w:szCs w:val="26"/>
        </w:rPr>
        <w:t xml:space="preserve">July </w:t>
      </w:r>
      <w:r w:rsidR="000C2991">
        <w:rPr>
          <w:sz w:val="26"/>
          <w:szCs w:val="26"/>
        </w:rPr>
        <w:t>7</w:t>
      </w:r>
      <w:r>
        <w:rPr>
          <w:sz w:val="26"/>
          <w:szCs w:val="26"/>
        </w:rPr>
        <w:t>, 2017</w:t>
      </w:r>
      <w:r w:rsidRPr="002262C4">
        <w:rPr>
          <w:sz w:val="26"/>
        </w:rPr>
        <w:t xml:space="preserve">, </w:t>
      </w:r>
      <w:r w:rsidR="00CA6D75">
        <w:rPr>
          <w:sz w:val="26"/>
        </w:rPr>
        <w:t xml:space="preserve">to the Initial Decision of Administrative Law Judge Darlene D. Heep, issued on June 28, 2017, at </w:t>
      </w:r>
      <w:r>
        <w:rPr>
          <w:sz w:val="26"/>
        </w:rPr>
        <w:t>this docket</w:t>
      </w:r>
      <w:r w:rsidRPr="002262C4">
        <w:rPr>
          <w:sz w:val="26"/>
        </w:rPr>
        <w:t>,</w:t>
      </w:r>
      <w:r w:rsidRPr="002262C4">
        <w:rPr>
          <w:sz w:val="26"/>
          <w:szCs w:val="26"/>
        </w:rPr>
        <w:t xml:space="preserve"> are </w:t>
      </w:r>
      <w:r w:rsidR="00BF7188">
        <w:rPr>
          <w:sz w:val="26"/>
          <w:szCs w:val="26"/>
        </w:rPr>
        <w:t>denied.</w:t>
      </w:r>
    </w:p>
    <w:p w14:paraId="2FCF77D6" w14:textId="77777777" w:rsidR="006E1783" w:rsidRPr="002262C4" w:rsidRDefault="006E1783" w:rsidP="00503CC2">
      <w:pPr>
        <w:widowControl/>
        <w:spacing w:line="360" w:lineRule="auto"/>
        <w:ind w:left="1440"/>
        <w:rPr>
          <w:sz w:val="26"/>
          <w:szCs w:val="26"/>
        </w:rPr>
      </w:pPr>
    </w:p>
    <w:p w14:paraId="45350DDB" w14:textId="6CBF7292" w:rsidR="006E1783" w:rsidRPr="002262C4" w:rsidRDefault="006E1783" w:rsidP="00503CC2">
      <w:pPr>
        <w:widowControl/>
        <w:numPr>
          <w:ilvl w:val="0"/>
          <w:numId w:val="4"/>
        </w:numPr>
        <w:tabs>
          <w:tab w:val="clear" w:pos="2160"/>
          <w:tab w:val="num" w:pos="0"/>
        </w:tabs>
        <w:spacing w:line="360" w:lineRule="auto"/>
        <w:ind w:left="0" w:firstLine="1440"/>
        <w:rPr>
          <w:sz w:val="26"/>
          <w:szCs w:val="26"/>
        </w:rPr>
      </w:pPr>
      <w:r>
        <w:rPr>
          <w:sz w:val="26"/>
          <w:szCs w:val="26"/>
        </w:rPr>
        <w:t xml:space="preserve">That the Initial Decision of Administrative Law Judge </w:t>
      </w:r>
      <w:r w:rsidR="000C2991">
        <w:rPr>
          <w:sz w:val="26"/>
          <w:szCs w:val="26"/>
        </w:rPr>
        <w:t>Darlene</w:t>
      </w:r>
      <w:r w:rsidR="00DF5090">
        <w:rPr>
          <w:sz w:val="26"/>
          <w:szCs w:val="26"/>
        </w:rPr>
        <w:t> </w:t>
      </w:r>
      <w:r w:rsidR="000C2991">
        <w:rPr>
          <w:sz w:val="26"/>
          <w:szCs w:val="26"/>
        </w:rPr>
        <w:t>D.</w:t>
      </w:r>
      <w:r w:rsidR="00DF5090">
        <w:rPr>
          <w:sz w:val="26"/>
          <w:szCs w:val="26"/>
        </w:rPr>
        <w:t> </w:t>
      </w:r>
      <w:r w:rsidR="000C2991">
        <w:rPr>
          <w:sz w:val="26"/>
          <w:szCs w:val="26"/>
        </w:rPr>
        <w:t>Heep,</w:t>
      </w:r>
      <w:r w:rsidRPr="00FC3806">
        <w:rPr>
          <w:sz w:val="26"/>
          <w:szCs w:val="26"/>
        </w:rPr>
        <w:t xml:space="preserve"> issued on </w:t>
      </w:r>
      <w:r>
        <w:rPr>
          <w:sz w:val="26"/>
          <w:szCs w:val="26"/>
        </w:rPr>
        <w:t xml:space="preserve">June </w:t>
      </w:r>
      <w:r w:rsidR="000C2991">
        <w:rPr>
          <w:sz w:val="26"/>
          <w:szCs w:val="26"/>
        </w:rPr>
        <w:t>28</w:t>
      </w:r>
      <w:r>
        <w:rPr>
          <w:sz w:val="26"/>
          <w:szCs w:val="26"/>
        </w:rPr>
        <w:t>, 2017,</w:t>
      </w:r>
      <w:r w:rsidRPr="002262C4">
        <w:rPr>
          <w:sz w:val="26"/>
        </w:rPr>
        <w:t xml:space="preserve"> </w:t>
      </w:r>
      <w:r w:rsidR="00CA6D75">
        <w:rPr>
          <w:sz w:val="26"/>
        </w:rPr>
        <w:t>at</w:t>
      </w:r>
      <w:r w:rsidRPr="002262C4">
        <w:rPr>
          <w:sz w:val="26"/>
        </w:rPr>
        <w:t xml:space="preserve"> this docket, </w:t>
      </w:r>
      <w:r>
        <w:rPr>
          <w:sz w:val="26"/>
        </w:rPr>
        <w:t>is</w:t>
      </w:r>
      <w:r w:rsidR="00BF7188">
        <w:rPr>
          <w:sz w:val="26"/>
        </w:rPr>
        <w:t xml:space="preserve"> adopted</w:t>
      </w:r>
      <w:r w:rsidRPr="002262C4">
        <w:rPr>
          <w:sz w:val="26"/>
          <w:szCs w:val="26"/>
        </w:rPr>
        <w:t>.</w:t>
      </w:r>
    </w:p>
    <w:p w14:paraId="1F615E7B" w14:textId="77777777" w:rsidR="006E1783" w:rsidRPr="002262C4" w:rsidRDefault="006E1783" w:rsidP="00503CC2">
      <w:pPr>
        <w:widowControl/>
        <w:spacing w:line="360" w:lineRule="auto"/>
        <w:rPr>
          <w:sz w:val="26"/>
          <w:szCs w:val="26"/>
        </w:rPr>
      </w:pPr>
    </w:p>
    <w:p w14:paraId="757258F1" w14:textId="100E6539" w:rsidR="000C2991" w:rsidRDefault="000C2991" w:rsidP="00503CC2">
      <w:pPr>
        <w:widowControl/>
        <w:numPr>
          <w:ilvl w:val="0"/>
          <w:numId w:val="4"/>
        </w:numPr>
        <w:tabs>
          <w:tab w:val="clear" w:pos="2160"/>
          <w:tab w:val="num" w:pos="0"/>
        </w:tabs>
        <w:spacing w:line="360" w:lineRule="auto"/>
        <w:ind w:left="0" w:firstLine="1440"/>
        <w:rPr>
          <w:sz w:val="26"/>
          <w:szCs w:val="26"/>
        </w:rPr>
      </w:pPr>
      <w:r>
        <w:rPr>
          <w:sz w:val="26"/>
          <w:szCs w:val="26"/>
        </w:rPr>
        <w:t xml:space="preserve">That the Formal Complaint filed by Eric Hudson, on </w:t>
      </w:r>
      <w:r>
        <w:rPr>
          <w:rFonts w:eastAsiaTheme="minorHAnsi"/>
          <w:color w:val="000000"/>
          <w:sz w:val="26"/>
          <w:szCs w:val="26"/>
        </w:rPr>
        <w:t>July 7, 2016</w:t>
      </w:r>
      <w:r>
        <w:rPr>
          <w:sz w:val="26"/>
          <w:szCs w:val="26"/>
        </w:rPr>
        <w:t xml:space="preserve">, </w:t>
      </w:r>
      <w:r w:rsidR="00CA6D75">
        <w:rPr>
          <w:sz w:val="26"/>
          <w:szCs w:val="26"/>
        </w:rPr>
        <w:t xml:space="preserve">against </w:t>
      </w:r>
      <w:r w:rsidR="00191238">
        <w:rPr>
          <w:sz w:val="26"/>
          <w:szCs w:val="26"/>
        </w:rPr>
        <w:t xml:space="preserve">PECO Energy Company, </w:t>
      </w:r>
      <w:r w:rsidR="00B37881">
        <w:rPr>
          <w:sz w:val="26"/>
          <w:szCs w:val="26"/>
        </w:rPr>
        <w:t xml:space="preserve">at </w:t>
      </w:r>
      <w:r>
        <w:rPr>
          <w:sz w:val="26"/>
          <w:szCs w:val="26"/>
        </w:rPr>
        <w:t xml:space="preserve">this docket, is </w:t>
      </w:r>
      <w:r w:rsidR="00BF7188">
        <w:rPr>
          <w:sz w:val="26"/>
          <w:szCs w:val="26"/>
        </w:rPr>
        <w:t>dismissed.</w:t>
      </w:r>
    </w:p>
    <w:p w14:paraId="3ECB0199" w14:textId="77777777" w:rsidR="00BF7188" w:rsidRDefault="00BF7188" w:rsidP="00BF7188">
      <w:pPr>
        <w:pStyle w:val="ListParagraph"/>
        <w:rPr>
          <w:sz w:val="26"/>
          <w:szCs w:val="26"/>
        </w:rPr>
      </w:pPr>
    </w:p>
    <w:p w14:paraId="0D0921BA" w14:textId="05AAB967" w:rsidR="00BF7188" w:rsidRDefault="00191238" w:rsidP="00374541">
      <w:pPr>
        <w:keepNext/>
        <w:keepLines/>
        <w:widowControl/>
        <w:numPr>
          <w:ilvl w:val="0"/>
          <w:numId w:val="4"/>
        </w:numPr>
        <w:tabs>
          <w:tab w:val="clear" w:pos="2160"/>
          <w:tab w:val="num" w:pos="0"/>
        </w:tabs>
        <w:spacing w:line="360" w:lineRule="auto"/>
        <w:ind w:left="0" w:firstLine="1440"/>
        <w:rPr>
          <w:sz w:val="26"/>
          <w:szCs w:val="26"/>
        </w:rPr>
      </w:pPr>
      <w:r>
        <w:rPr>
          <w:sz w:val="26"/>
          <w:szCs w:val="26"/>
        </w:rPr>
        <w:t>That the proceeding at this docket be marked closed.</w:t>
      </w:r>
    </w:p>
    <w:p w14:paraId="325F9990" w14:textId="77777777" w:rsidR="009D3139" w:rsidRPr="00564C80" w:rsidRDefault="009D3139" w:rsidP="00374541">
      <w:pPr>
        <w:keepNext/>
        <w:keepLines/>
        <w:widowControl/>
        <w:spacing w:line="360" w:lineRule="auto"/>
        <w:ind w:left="1440"/>
        <w:rPr>
          <w:sz w:val="26"/>
          <w:szCs w:val="26"/>
        </w:rPr>
      </w:pPr>
    </w:p>
    <w:p w14:paraId="1892FD9C" w14:textId="668EF390" w:rsidR="006E1783" w:rsidRPr="002262C4" w:rsidRDefault="00042B67" w:rsidP="00564C80">
      <w:pPr>
        <w:keepNext/>
        <w:keepLines/>
        <w:widowControl/>
        <w:tabs>
          <w:tab w:val="left" w:pos="-720"/>
        </w:tabs>
        <w:ind w:firstLine="5040"/>
        <w:rPr>
          <w:sz w:val="26"/>
          <w:szCs w:val="26"/>
        </w:rPr>
      </w:pPr>
      <w:r w:rsidRPr="009F01BA">
        <w:rPr>
          <w:b/>
          <w:noProof/>
        </w:rPr>
        <w:drawing>
          <wp:anchor distT="0" distB="0" distL="114300" distR="114300" simplePos="0" relativeHeight="251659264" behindDoc="1" locked="0" layoutInCell="1" allowOverlap="1" wp14:anchorId="34846252" wp14:editId="0DC53220">
            <wp:simplePos x="0" y="0"/>
            <wp:positionH relativeFrom="column">
              <wp:posOffset>3321935</wp:posOffset>
            </wp:positionH>
            <wp:positionV relativeFrom="paragraph">
              <wp:posOffset>129122</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r w:rsidR="006E1783" w:rsidRPr="002262C4">
        <w:rPr>
          <w:b/>
          <w:sz w:val="26"/>
          <w:szCs w:val="26"/>
        </w:rPr>
        <w:t>BY THE COMMISSION,</w:t>
      </w:r>
    </w:p>
    <w:p w14:paraId="5A180A69" w14:textId="1AA49278" w:rsidR="006E1783" w:rsidRDefault="006E1783" w:rsidP="00564C80">
      <w:pPr>
        <w:keepNext/>
        <w:keepLines/>
        <w:widowControl/>
        <w:tabs>
          <w:tab w:val="left" w:pos="-720"/>
        </w:tabs>
        <w:rPr>
          <w:sz w:val="26"/>
          <w:szCs w:val="26"/>
        </w:rPr>
      </w:pPr>
    </w:p>
    <w:p w14:paraId="67543595" w14:textId="114C020D" w:rsidR="00564C80" w:rsidRPr="002262C4" w:rsidRDefault="00564C80" w:rsidP="00564C80">
      <w:pPr>
        <w:keepNext/>
        <w:keepLines/>
        <w:widowControl/>
        <w:tabs>
          <w:tab w:val="left" w:pos="-720"/>
        </w:tabs>
        <w:rPr>
          <w:sz w:val="26"/>
          <w:szCs w:val="26"/>
        </w:rPr>
      </w:pPr>
    </w:p>
    <w:p w14:paraId="2498945C" w14:textId="4E8F3271" w:rsidR="006E1783" w:rsidRDefault="006E1783" w:rsidP="00564C80">
      <w:pPr>
        <w:keepNext/>
        <w:keepLines/>
        <w:widowControl/>
        <w:tabs>
          <w:tab w:val="left" w:pos="-720"/>
        </w:tabs>
        <w:rPr>
          <w:sz w:val="26"/>
          <w:szCs w:val="26"/>
        </w:rPr>
      </w:pPr>
    </w:p>
    <w:p w14:paraId="0C80513C" w14:textId="77777777" w:rsidR="006E1783" w:rsidRPr="002262C4" w:rsidRDefault="006E1783" w:rsidP="00564C80">
      <w:pPr>
        <w:keepNext/>
        <w:keepLines/>
        <w:widowControl/>
        <w:tabs>
          <w:tab w:val="left" w:pos="-720"/>
        </w:tabs>
        <w:rPr>
          <w:sz w:val="26"/>
          <w:szCs w:val="26"/>
        </w:rPr>
      </w:pPr>
    </w:p>
    <w:p w14:paraId="31B92D09" w14:textId="77777777" w:rsidR="006E1783" w:rsidRPr="002262C4" w:rsidRDefault="006E1783" w:rsidP="00564C80">
      <w:pPr>
        <w:keepNext/>
        <w:keepLines/>
        <w:widowControl/>
        <w:tabs>
          <w:tab w:val="left" w:pos="-720"/>
        </w:tabs>
        <w:ind w:firstLine="5040"/>
        <w:rPr>
          <w:b/>
          <w:sz w:val="26"/>
          <w:szCs w:val="26"/>
        </w:rPr>
      </w:pPr>
      <w:r w:rsidRPr="002262C4">
        <w:rPr>
          <w:sz w:val="26"/>
          <w:szCs w:val="26"/>
        </w:rPr>
        <w:t>Rosemary Chiavetta</w:t>
      </w:r>
    </w:p>
    <w:p w14:paraId="28017BA0" w14:textId="77777777" w:rsidR="006E1783" w:rsidRPr="002262C4" w:rsidRDefault="006E1783" w:rsidP="00564C80">
      <w:pPr>
        <w:keepNext/>
        <w:keepLines/>
        <w:widowControl/>
        <w:tabs>
          <w:tab w:val="left" w:pos="-720"/>
        </w:tabs>
        <w:ind w:firstLine="5040"/>
        <w:rPr>
          <w:sz w:val="26"/>
          <w:szCs w:val="26"/>
        </w:rPr>
      </w:pPr>
      <w:r w:rsidRPr="002262C4">
        <w:rPr>
          <w:sz w:val="26"/>
          <w:szCs w:val="26"/>
        </w:rPr>
        <w:t>Secretary</w:t>
      </w:r>
    </w:p>
    <w:p w14:paraId="33DD3AEA" w14:textId="77777777" w:rsidR="00E270F0" w:rsidRPr="002262C4" w:rsidRDefault="00E270F0" w:rsidP="00564C80">
      <w:pPr>
        <w:keepNext/>
        <w:keepLines/>
        <w:widowControl/>
        <w:tabs>
          <w:tab w:val="left" w:pos="-720"/>
        </w:tabs>
        <w:rPr>
          <w:sz w:val="26"/>
          <w:szCs w:val="26"/>
        </w:rPr>
      </w:pPr>
    </w:p>
    <w:p w14:paraId="4929EB8A" w14:textId="77777777" w:rsidR="006E1783" w:rsidRPr="002262C4" w:rsidRDefault="006E1783" w:rsidP="00564C80">
      <w:pPr>
        <w:keepNext/>
        <w:keepLines/>
        <w:widowControl/>
        <w:tabs>
          <w:tab w:val="left" w:pos="-720"/>
        </w:tabs>
        <w:rPr>
          <w:sz w:val="26"/>
          <w:szCs w:val="26"/>
        </w:rPr>
      </w:pPr>
      <w:r w:rsidRPr="002262C4">
        <w:rPr>
          <w:sz w:val="26"/>
          <w:szCs w:val="26"/>
        </w:rPr>
        <w:t>(SEAL)</w:t>
      </w:r>
    </w:p>
    <w:p w14:paraId="683DE060" w14:textId="77777777" w:rsidR="002C6A82" w:rsidRDefault="002C6A82" w:rsidP="00564C80">
      <w:pPr>
        <w:keepNext/>
        <w:keepLines/>
        <w:widowControl/>
        <w:tabs>
          <w:tab w:val="left" w:pos="-720"/>
        </w:tabs>
        <w:rPr>
          <w:sz w:val="26"/>
          <w:szCs w:val="26"/>
        </w:rPr>
      </w:pPr>
    </w:p>
    <w:p w14:paraId="28D5BB83" w14:textId="77777777" w:rsidR="006E1783" w:rsidRDefault="006E1783" w:rsidP="00564C80">
      <w:pPr>
        <w:keepNext/>
        <w:keepLines/>
        <w:widowControl/>
        <w:tabs>
          <w:tab w:val="left" w:pos="-720"/>
        </w:tabs>
        <w:rPr>
          <w:sz w:val="26"/>
          <w:szCs w:val="26"/>
        </w:rPr>
      </w:pPr>
      <w:r w:rsidRPr="002262C4">
        <w:rPr>
          <w:sz w:val="26"/>
          <w:szCs w:val="26"/>
        </w:rPr>
        <w:t xml:space="preserve">ORDER ADOPTED: </w:t>
      </w:r>
      <w:r w:rsidR="005B19FD">
        <w:rPr>
          <w:sz w:val="26"/>
          <w:szCs w:val="26"/>
        </w:rPr>
        <w:t xml:space="preserve"> </w:t>
      </w:r>
      <w:r>
        <w:rPr>
          <w:sz w:val="26"/>
          <w:szCs w:val="26"/>
        </w:rPr>
        <w:t>June 14, 2018</w:t>
      </w:r>
    </w:p>
    <w:p w14:paraId="2A875500" w14:textId="77777777" w:rsidR="00564C80" w:rsidRPr="002262C4" w:rsidRDefault="00564C80" w:rsidP="00564C80">
      <w:pPr>
        <w:keepNext/>
        <w:keepLines/>
        <w:widowControl/>
        <w:tabs>
          <w:tab w:val="left" w:pos="-720"/>
        </w:tabs>
        <w:rPr>
          <w:sz w:val="26"/>
          <w:szCs w:val="26"/>
        </w:rPr>
      </w:pPr>
    </w:p>
    <w:p w14:paraId="24D4B49F" w14:textId="1A6445FF" w:rsidR="001F0176" w:rsidRDefault="006E1783" w:rsidP="00564C80">
      <w:pPr>
        <w:keepNext/>
        <w:keepLines/>
        <w:tabs>
          <w:tab w:val="left" w:pos="-720"/>
        </w:tabs>
      </w:pPr>
      <w:r w:rsidRPr="002262C4">
        <w:rPr>
          <w:sz w:val="26"/>
          <w:szCs w:val="26"/>
        </w:rPr>
        <w:t xml:space="preserve">ORDER ENTERED:  </w:t>
      </w:r>
      <w:r w:rsidR="00042B67">
        <w:rPr>
          <w:sz w:val="26"/>
          <w:szCs w:val="26"/>
        </w:rPr>
        <w:t>June 21, 2018</w:t>
      </w:r>
    </w:p>
    <w:sectPr w:rsidR="001F0176" w:rsidSect="00584F5A">
      <w:footerReference w:type="defaul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C7D518" w14:textId="77777777" w:rsidR="0013202B" w:rsidRDefault="0013202B" w:rsidP="001F0176">
      <w:r>
        <w:separator/>
      </w:r>
    </w:p>
  </w:endnote>
  <w:endnote w:type="continuationSeparator" w:id="0">
    <w:p w14:paraId="5A71862D" w14:textId="77777777" w:rsidR="0013202B" w:rsidRDefault="0013202B" w:rsidP="001F01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06077376"/>
      <w:docPartObj>
        <w:docPartGallery w:val="Page Numbers (Bottom of Page)"/>
        <w:docPartUnique/>
      </w:docPartObj>
    </w:sdtPr>
    <w:sdtEndPr>
      <w:rPr>
        <w:noProof/>
      </w:rPr>
    </w:sdtEndPr>
    <w:sdtContent>
      <w:p w14:paraId="2BBC2DD2" w14:textId="77777777" w:rsidR="009C0A32" w:rsidRDefault="009C0A32">
        <w:pPr>
          <w:pStyle w:val="Footer"/>
          <w:jc w:val="center"/>
        </w:pPr>
        <w:r>
          <w:fldChar w:fldCharType="begin"/>
        </w:r>
        <w:r>
          <w:instrText xml:space="preserve"> PAGE   \* MERGEFORMAT </w:instrText>
        </w:r>
        <w:r>
          <w:fldChar w:fldCharType="separate"/>
        </w:r>
        <w:r w:rsidR="00156476">
          <w:rPr>
            <w:noProof/>
          </w:rPr>
          <w:t>15</w:t>
        </w:r>
        <w:r>
          <w:rPr>
            <w:noProof/>
          </w:rPr>
          <w:fldChar w:fldCharType="end"/>
        </w:r>
      </w:p>
    </w:sdtContent>
  </w:sdt>
  <w:p w14:paraId="6D3693E6" w14:textId="77777777" w:rsidR="009C0A32" w:rsidRDefault="009C0A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B34AD1" w14:textId="77777777" w:rsidR="0013202B" w:rsidRDefault="0013202B" w:rsidP="001F0176">
      <w:r>
        <w:separator/>
      </w:r>
    </w:p>
  </w:footnote>
  <w:footnote w:type="continuationSeparator" w:id="0">
    <w:p w14:paraId="0A4106E7" w14:textId="77777777" w:rsidR="0013202B" w:rsidRDefault="0013202B" w:rsidP="001F0176">
      <w:r>
        <w:continuationSeparator/>
      </w:r>
    </w:p>
  </w:footnote>
  <w:footnote w:id="1">
    <w:p w14:paraId="47BA3C63" w14:textId="77777777" w:rsidR="000F6D47" w:rsidRDefault="000F6D47" w:rsidP="0098599C">
      <w:pPr>
        <w:pStyle w:val="FootnoteText"/>
        <w:keepNext/>
        <w:keepLines/>
        <w:widowControl/>
        <w:spacing w:after="120"/>
        <w:ind w:firstLine="720"/>
      </w:pPr>
      <w:r>
        <w:rPr>
          <w:rStyle w:val="FootnoteReference"/>
        </w:rPr>
        <w:footnoteRef/>
      </w:r>
      <w:r>
        <w:tab/>
      </w:r>
      <w:r w:rsidRPr="00E44C75">
        <w:rPr>
          <w:i/>
          <w:sz w:val="26"/>
          <w:szCs w:val="26"/>
        </w:rPr>
        <w:t>See also, e.g.,</w:t>
      </w:r>
      <w:r>
        <w:t xml:space="preserve"> </w:t>
      </w:r>
      <w:r w:rsidRPr="00827E17">
        <w:rPr>
          <w:i/>
          <w:sz w:val="26"/>
          <w:szCs w:val="26"/>
        </w:rPr>
        <w:t>Miro Kamenik v. PECO Energy Company</w:t>
      </w:r>
      <w:r w:rsidRPr="00827E17">
        <w:rPr>
          <w:sz w:val="26"/>
          <w:szCs w:val="26"/>
        </w:rPr>
        <w:t>, Docket No. C</w:t>
      </w:r>
      <w:r w:rsidR="0098599C">
        <w:rPr>
          <w:sz w:val="26"/>
          <w:szCs w:val="26"/>
        </w:rPr>
        <w:noBreakHyphen/>
      </w:r>
      <w:r w:rsidRPr="00827E17">
        <w:rPr>
          <w:sz w:val="26"/>
          <w:szCs w:val="26"/>
        </w:rPr>
        <w:t xml:space="preserve">2013-2379058 (Order entered July 29, 2015) (complaint dismissed, </w:t>
      </w:r>
      <w:r w:rsidRPr="00827E17">
        <w:rPr>
          <w:i/>
          <w:sz w:val="26"/>
          <w:szCs w:val="26"/>
        </w:rPr>
        <w:t>without prejudice</w:t>
      </w:r>
      <w:r w:rsidRPr="00827E17">
        <w:rPr>
          <w:sz w:val="26"/>
          <w:szCs w:val="26"/>
        </w:rPr>
        <w:t xml:space="preserve">, because presiding officer convened the scheduled hearing despite complainant having requested a continuance in writing to the presiding officer five days prior to hearing date explaining that a family situation prevented him from being able to attend the scheduled hearing); </w:t>
      </w:r>
      <w:r w:rsidRPr="00827E17">
        <w:rPr>
          <w:i/>
          <w:sz w:val="26"/>
          <w:szCs w:val="26"/>
        </w:rPr>
        <w:t>Amir V. Williams v. PECO Energy Co</w:t>
      </w:r>
      <w:r w:rsidRPr="00827E17">
        <w:rPr>
          <w:sz w:val="26"/>
          <w:szCs w:val="26"/>
        </w:rPr>
        <w:t xml:space="preserve">., Docket No. C-2010-2190024 (Order entered January 14, 2011) </w:t>
      </w:r>
      <w:r>
        <w:rPr>
          <w:sz w:val="26"/>
          <w:szCs w:val="26"/>
        </w:rPr>
        <w:t>(</w:t>
      </w:r>
      <w:r w:rsidRPr="00E44C75">
        <w:rPr>
          <w:i/>
          <w:sz w:val="26"/>
          <w:szCs w:val="26"/>
        </w:rPr>
        <w:t>Amir</w:t>
      </w:r>
      <w:r>
        <w:rPr>
          <w:sz w:val="26"/>
          <w:szCs w:val="26"/>
        </w:rPr>
        <w:t xml:space="preserve"> </w:t>
      </w:r>
      <w:r w:rsidRPr="00D759B3">
        <w:rPr>
          <w:i/>
          <w:sz w:val="26"/>
          <w:szCs w:val="26"/>
        </w:rPr>
        <w:t>Williams</w:t>
      </w:r>
      <w:r>
        <w:rPr>
          <w:sz w:val="26"/>
          <w:szCs w:val="26"/>
        </w:rPr>
        <w:t>)</w:t>
      </w:r>
      <w:r w:rsidRPr="00827E17">
        <w:rPr>
          <w:sz w:val="26"/>
          <w:szCs w:val="26"/>
        </w:rPr>
        <w:t xml:space="preserve"> (complaint dismissed, </w:t>
      </w:r>
      <w:r w:rsidRPr="00827E17">
        <w:rPr>
          <w:i/>
          <w:sz w:val="26"/>
          <w:szCs w:val="26"/>
        </w:rPr>
        <w:t>without prejudice</w:t>
      </w:r>
      <w:r w:rsidRPr="00827E17">
        <w:rPr>
          <w:sz w:val="26"/>
          <w:szCs w:val="26"/>
        </w:rPr>
        <w:t>, because complainant orally requested a continuance during the hearing due to complainant’s high blood pressure and record support that the complainant was not medically capable of testifying at the time of the scheduled hearing).</w:t>
      </w:r>
    </w:p>
  </w:footnote>
  <w:footnote w:id="2">
    <w:p w14:paraId="4EAB7F40" w14:textId="77777777" w:rsidR="000F6D47" w:rsidRDefault="000F6D47" w:rsidP="0098599C">
      <w:pPr>
        <w:pStyle w:val="FootnoteText"/>
        <w:keepNext/>
        <w:keepLines/>
        <w:widowControl/>
        <w:ind w:firstLine="720"/>
      </w:pPr>
      <w:r>
        <w:rPr>
          <w:rStyle w:val="FootnoteReference"/>
        </w:rPr>
        <w:footnoteRef/>
      </w:r>
      <w:r>
        <w:tab/>
      </w:r>
      <w:r w:rsidRPr="00E44C75">
        <w:rPr>
          <w:i/>
          <w:sz w:val="26"/>
          <w:szCs w:val="26"/>
        </w:rPr>
        <w:t>See also</w:t>
      </w:r>
      <w:r>
        <w:rPr>
          <w:i/>
          <w:sz w:val="26"/>
          <w:szCs w:val="26"/>
        </w:rPr>
        <w:t>, e.g.,</w:t>
      </w:r>
      <w:r>
        <w:rPr>
          <w:sz w:val="26"/>
          <w:szCs w:val="26"/>
        </w:rPr>
        <w:t xml:space="preserve"> </w:t>
      </w:r>
      <w:r w:rsidRPr="00827E17">
        <w:rPr>
          <w:i/>
          <w:sz w:val="26"/>
          <w:szCs w:val="26"/>
        </w:rPr>
        <w:t>Cynthia Santore Smith v. PECO Energy Company</w:t>
      </w:r>
      <w:r w:rsidRPr="00827E17">
        <w:rPr>
          <w:sz w:val="26"/>
          <w:szCs w:val="26"/>
        </w:rPr>
        <w:t>, Docket No. F-2014-2446204 (Order entered September 3, 2015) (</w:t>
      </w:r>
      <w:r w:rsidRPr="00827E17">
        <w:rPr>
          <w:i/>
          <w:sz w:val="26"/>
          <w:szCs w:val="26"/>
        </w:rPr>
        <w:t>Santore Smith</w:t>
      </w:r>
      <w:r w:rsidRPr="00827E17">
        <w:rPr>
          <w:sz w:val="26"/>
          <w:szCs w:val="26"/>
        </w:rPr>
        <w:t xml:space="preserve">) (affirmed ALJ’s decision to dismiss complaint </w:t>
      </w:r>
      <w:r w:rsidRPr="00827E17">
        <w:rPr>
          <w:i/>
          <w:sz w:val="26"/>
          <w:szCs w:val="26"/>
        </w:rPr>
        <w:t>with prejudice</w:t>
      </w:r>
      <w:r w:rsidRPr="00827E17">
        <w:rPr>
          <w:sz w:val="26"/>
          <w:szCs w:val="26"/>
        </w:rPr>
        <w:t xml:space="preserve"> because, although the complainant’s failure to appear at hearing was due to the complainant’s contracting the flu, the complainant’s oral request for continuance was made the same day of the hearing and not supported by any written documentation submitted in the record);</w:t>
      </w:r>
      <w:r w:rsidRPr="00827E17">
        <w:rPr>
          <w:i/>
          <w:sz w:val="26"/>
          <w:szCs w:val="26"/>
        </w:rPr>
        <w:t xml:space="preserve"> Marilyn Day v. PECO Energy Company</w:t>
      </w:r>
      <w:r w:rsidRPr="00827E17">
        <w:rPr>
          <w:sz w:val="26"/>
          <w:szCs w:val="26"/>
        </w:rPr>
        <w:t>, Docket No. C-2010-2181515 (Order entered June 10, 2011)</w:t>
      </w:r>
      <w:r>
        <w:rPr>
          <w:sz w:val="26"/>
          <w:szCs w:val="26"/>
        </w:rPr>
        <w:t xml:space="preserve"> (</w:t>
      </w:r>
      <w:r w:rsidRPr="00827E17">
        <w:rPr>
          <w:i/>
          <w:sz w:val="26"/>
          <w:szCs w:val="26"/>
        </w:rPr>
        <w:t>Marilyn Day</w:t>
      </w:r>
      <w:r>
        <w:rPr>
          <w:sz w:val="26"/>
          <w:szCs w:val="26"/>
        </w:rPr>
        <w:t>)</w:t>
      </w:r>
      <w:r w:rsidRPr="00827E17">
        <w:rPr>
          <w:sz w:val="26"/>
          <w:szCs w:val="26"/>
        </w:rPr>
        <w:t xml:space="preserve"> (affirmed ALJ’s decision to dismiss complaint </w:t>
      </w:r>
      <w:r w:rsidRPr="00827E17">
        <w:rPr>
          <w:i/>
          <w:sz w:val="26"/>
          <w:szCs w:val="26"/>
        </w:rPr>
        <w:t>with prejudice</w:t>
      </w:r>
      <w:r w:rsidRPr="00827E17">
        <w:rPr>
          <w:sz w:val="26"/>
          <w:szCs w:val="26"/>
        </w:rPr>
        <w:t xml:space="preserve"> because, although the complainant’s failure to appear at hearing was due to a scheduling conflict</w:t>
      </w:r>
      <w:r>
        <w:rPr>
          <w:sz w:val="26"/>
          <w:szCs w:val="26"/>
        </w:rPr>
        <w:t xml:space="preserve"> with the start date of </w:t>
      </w:r>
      <w:r w:rsidRPr="00827E17">
        <w:rPr>
          <w:sz w:val="26"/>
          <w:szCs w:val="26"/>
        </w:rPr>
        <w:t>the complainant’s</w:t>
      </w:r>
      <w:r>
        <w:rPr>
          <w:sz w:val="26"/>
          <w:szCs w:val="26"/>
        </w:rPr>
        <w:t xml:space="preserve"> new employment</w:t>
      </w:r>
      <w:r w:rsidRPr="00827E17">
        <w:rPr>
          <w:sz w:val="26"/>
          <w:szCs w:val="26"/>
        </w:rPr>
        <w:t xml:space="preserve">, the oral request for continuance was made the same morning of the hearing and not supported by any written documentation); </w:t>
      </w:r>
      <w:r w:rsidRPr="00827E17">
        <w:rPr>
          <w:i/>
          <w:sz w:val="26"/>
          <w:szCs w:val="26"/>
        </w:rPr>
        <w:t>Deborah</w:t>
      </w:r>
      <w:r w:rsidRPr="00827E17">
        <w:rPr>
          <w:sz w:val="26"/>
          <w:szCs w:val="26"/>
        </w:rPr>
        <w:t xml:space="preserve"> </w:t>
      </w:r>
      <w:r w:rsidRPr="00827E17">
        <w:rPr>
          <w:i/>
          <w:sz w:val="26"/>
          <w:szCs w:val="26"/>
        </w:rPr>
        <w:t>Bethay v. PECO Energy Co</w:t>
      </w:r>
      <w:r w:rsidRPr="00827E17">
        <w:rPr>
          <w:sz w:val="26"/>
          <w:szCs w:val="26"/>
        </w:rPr>
        <w:t>., Docket No. F-2011-2266250 (Order entered August 2, 2012)</w:t>
      </w:r>
      <w:r w:rsidRPr="00870320">
        <w:rPr>
          <w:i/>
          <w:sz w:val="26"/>
          <w:szCs w:val="26"/>
        </w:rPr>
        <w:t xml:space="preserve"> </w:t>
      </w:r>
      <w:r>
        <w:rPr>
          <w:sz w:val="26"/>
          <w:szCs w:val="26"/>
        </w:rPr>
        <w:t>(</w:t>
      </w:r>
      <w:r w:rsidRPr="00827E17">
        <w:rPr>
          <w:i/>
          <w:sz w:val="26"/>
          <w:szCs w:val="26"/>
        </w:rPr>
        <w:t>Deborah</w:t>
      </w:r>
      <w:r w:rsidRPr="00827E17">
        <w:rPr>
          <w:sz w:val="26"/>
          <w:szCs w:val="26"/>
        </w:rPr>
        <w:t xml:space="preserve"> </w:t>
      </w:r>
      <w:r w:rsidRPr="00827E17">
        <w:rPr>
          <w:i/>
          <w:sz w:val="26"/>
          <w:szCs w:val="26"/>
        </w:rPr>
        <w:t>Bethay</w:t>
      </w:r>
      <w:r>
        <w:rPr>
          <w:sz w:val="26"/>
          <w:szCs w:val="26"/>
        </w:rPr>
        <w:t>)</w:t>
      </w:r>
      <w:r w:rsidRPr="00827E17">
        <w:rPr>
          <w:sz w:val="26"/>
          <w:szCs w:val="26"/>
        </w:rPr>
        <w:t xml:space="preserve"> (affirmed ALJ’s decision to dismiss complaint </w:t>
      </w:r>
      <w:r w:rsidRPr="00827E17">
        <w:rPr>
          <w:i/>
          <w:sz w:val="26"/>
          <w:szCs w:val="26"/>
        </w:rPr>
        <w:t>with prejudice</w:t>
      </w:r>
      <w:r w:rsidRPr="00827E17">
        <w:rPr>
          <w:sz w:val="26"/>
          <w:szCs w:val="26"/>
        </w:rPr>
        <w:t xml:space="preserve"> because, although the complainant’s failure to appear at hearing was due to the complainant’s hospitalization for surgery and rehabilitation and supported by written documentation attached to the complainant’s exceptions, the complainant had ample time and opportunity to timely request a hearing continuance prior to the scheduled hearing, but failed to do so); </w:t>
      </w:r>
      <w:r w:rsidRPr="00827E17">
        <w:rPr>
          <w:i/>
          <w:sz w:val="26"/>
          <w:szCs w:val="26"/>
        </w:rPr>
        <w:t>Osuji v. PECO Energy Co</w:t>
      </w:r>
      <w:r w:rsidRPr="00827E17">
        <w:rPr>
          <w:sz w:val="26"/>
          <w:szCs w:val="26"/>
        </w:rPr>
        <w:t xml:space="preserve">., Docket No. C-2008-2071982 (Order entered July 24, 2009) </w:t>
      </w:r>
      <w:r>
        <w:rPr>
          <w:sz w:val="26"/>
          <w:szCs w:val="26"/>
        </w:rPr>
        <w:t>(</w:t>
      </w:r>
      <w:r w:rsidRPr="00827E17">
        <w:rPr>
          <w:i/>
          <w:sz w:val="26"/>
          <w:szCs w:val="26"/>
        </w:rPr>
        <w:t>Osuji</w:t>
      </w:r>
      <w:r>
        <w:rPr>
          <w:sz w:val="26"/>
          <w:szCs w:val="26"/>
        </w:rPr>
        <w:t xml:space="preserve">) </w:t>
      </w:r>
      <w:r w:rsidRPr="00827E17">
        <w:rPr>
          <w:sz w:val="26"/>
          <w:szCs w:val="26"/>
        </w:rPr>
        <w:t xml:space="preserve"> (affirmed ALJ’s decision to dismiss complaint </w:t>
      </w:r>
      <w:r w:rsidRPr="00827E17">
        <w:rPr>
          <w:i/>
          <w:sz w:val="26"/>
          <w:szCs w:val="26"/>
        </w:rPr>
        <w:t>with prejudice</w:t>
      </w:r>
      <w:r w:rsidRPr="00827E17">
        <w:rPr>
          <w:sz w:val="26"/>
          <w:szCs w:val="26"/>
        </w:rPr>
        <w:t xml:space="preserve"> because, although the complainant’s failure to appear at hearing was due to being outside the country and unavailable as a result of a death in the family, the complainant did not request a continuance and did not submit any documentation to support her excuse); </w:t>
      </w:r>
      <w:r w:rsidRPr="00827E17">
        <w:rPr>
          <w:i/>
          <w:sz w:val="26"/>
          <w:szCs w:val="26"/>
        </w:rPr>
        <w:t>Madajewski v. UGI Utilities, Inc</w:t>
      </w:r>
      <w:r w:rsidRPr="00827E17">
        <w:rPr>
          <w:sz w:val="26"/>
          <w:szCs w:val="26"/>
        </w:rPr>
        <w:t xml:space="preserve">., Docket No. C-2008-2070793 (Order entered July 30, 2009) </w:t>
      </w:r>
      <w:r>
        <w:rPr>
          <w:sz w:val="26"/>
          <w:szCs w:val="26"/>
        </w:rPr>
        <w:t>(</w:t>
      </w:r>
      <w:r w:rsidRPr="00827E17">
        <w:rPr>
          <w:i/>
          <w:sz w:val="26"/>
          <w:szCs w:val="26"/>
        </w:rPr>
        <w:t>Madajewski</w:t>
      </w:r>
      <w:r>
        <w:rPr>
          <w:sz w:val="26"/>
          <w:szCs w:val="26"/>
        </w:rPr>
        <w:t>)</w:t>
      </w:r>
      <w:r w:rsidRPr="00827E17">
        <w:rPr>
          <w:sz w:val="26"/>
          <w:szCs w:val="26"/>
        </w:rPr>
        <w:t xml:space="preserve"> (affirmed ALJ’s decision to dismiss complaint </w:t>
      </w:r>
      <w:r w:rsidRPr="00827E17">
        <w:rPr>
          <w:i/>
          <w:sz w:val="26"/>
          <w:szCs w:val="26"/>
        </w:rPr>
        <w:t>with prejudice</w:t>
      </w:r>
      <w:r w:rsidRPr="00827E17">
        <w:rPr>
          <w:sz w:val="26"/>
          <w:szCs w:val="26"/>
        </w:rPr>
        <w:t xml:space="preserve"> because the complainant sent a letter to presiding officer in advance of hearing not requesting a continuance but stating that his employer would not permit his participation in the hearing by telephone and it was “not worth the hassle” for him to request leave from his employment in order</w:t>
      </w:r>
      <w:r>
        <w:rPr>
          <w:sz w:val="26"/>
          <w:szCs w:val="26"/>
        </w:rPr>
        <w:t xml:space="preserve"> to participate in the hearing); </w:t>
      </w:r>
      <w:r w:rsidRPr="0019321F">
        <w:rPr>
          <w:i/>
          <w:sz w:val="26"/>
          <w:szCs w:val="26"/>
        </w:rPr>
        <w:t>Charles Nichols III v. Bell-Atlantic-Pennsyl</w:t>
      </w:r>
      <w:r w:rsidRPr="0019321F">
        <w:rPr>
          <w:i/>
          <w:sz w:val="26"/>
          <w:szCs w:val="26"/>
        </w:rPr>
        <w:softHyphen/>
        <w:t xml:space="preserve">vania, </w:t>
      </w:r>
      <w:r w:rsidRPr="0019321F">
        <w:rPr>
          <w:sz w:val="26"/>
          <w:szCs w:val="26"/>
        </w:rPr>
        <w:t>Docket No. </w:t>
      </w:r>
      <w:r w:rsidRPr="0019321F">
        <w:rPr>
          <w:spacing w:val="-3"/>
          <w:sz w:val="26"/>
          <w:szCs w:val="26"/>
        </w:rPr>
        <w:t>C</w:t>
      </w:r>
      <w:r w:rsidRPr="0019321F">
        <w:rPr>
          <w:spacing w:val="-3"/>
          <w:sz w:val="26"/>
          <w:szCs w:val="26"/>
        </w:rPr>
        <w:noBreakHyphen/>
        <w:t>00956667 (Opinion and Order entered August 4, 1995) (</w:t>
      </w:r>
      <w:r w:rsidRPr="0019321F">
        <w:rPr>
          <w:i/>
          <w:spacing w:val="-3"/>
          <w:sz w:val="26"/>
          <w:szCs w:val="26"/>
        </w:rPr>
        <w:t>Nichols</w:t>
      </w:r>
      <w:r>
        <w:rPr>
          <w:i/>
          <w:spacing w:val="-3"/>
          <w:sz w:val="26"/>
          <w:szCs w:val="26"/>
        </w:rPr>
        <w:t xml:space="preserve"> III</w:t>
      </w:r>
      <w:r>
        <w:rPr>
          <w:spacing w:val="-3"/>
          <w:sz w:val="26"/>
          <w:szCs w:val="26"/>
        </w:rPr>
        <w:t>) (affirmed ALJ’s decision to dismiss the complainant and found that the complainant’s excuse, as stated in the complainant’s exceptions - that he worked the graveyard shift and overslept and missed the hearing – “was not caused by unavoidable circumstances, but instead was caused by his own lack of diligence”).</w:t>
      </w:r>
    </w:p>
  </w:footnote>
  <w:footnote w:id="3">
    <w:p w14:paraId="243D9990" w14:textId="77777777" w:rsidR="000F6D47" w:rsidRDefault="000F6D47" w:rsidP="000F6D47">
      <w:pPr>
        <w:pStyle w:val="FootnoteText"/>
        <w:ind w:firstLine="720"/>
      </w:pPr>
      <w:r>
        <w:rPr>
          <w:rStyle w:val="FootnoteReference"/>
        </w:rPr>
        <w:footnoteRef/>
      </w:r>
      <w:r>
        <w:t xml:space="preserve"> </w:t>
      </w:r>
      <w:r>
        <w:tab/>
      </w:r>
      <w:r w:rsidRPr="00E44C75">
        <w:rPr>
          <w:i/>
          <w:sz w:val="26"/>
          <w:szCs w:val="26"/>
        </w:rPr>
        <w:t>See also, e.g</w:t>
      </w:r>
      <w:r w:rsidRPr="00E44C75">
        <w:rPr>
          <w:sz w:val="26"/>
          <w:szCs w:val="26"/>
        </w:rPr>
        <w:t>.,</w:t>
      </w:r>
      <w:r>
        <w:t xml:space="preserve"> </w:t>
      </w:r>
      <w:r w:rsidRPr="00827E17">
        <w:rPr>
          <w:i/>
          <w:sz w:val="26"/>
          <w:szCs w:val="26"/>
        </w:rPr>
        <w:t>Windell C. Wiggins v. PECO Energy Company</w:t>
      </w:r>
      <w:r w:rsidRPr="00827E17">
        <w:rPr>
          <w:sz w:val="26"/>
          <w:szCs w:val="26"/>
        </w:rPr>
        <w:t xml:space="preserve">, Docket No. C-2010-2190335 (Order entered October 27, 2011) </w:t>
      </w:r>
      <w:r>
        <w:rPr>
          <w:sz w:val="26"/>
          <w:szCs w:val="26"/>
        </w:rPr>
        <w:t>(</w:t>
      </w:r>
      <w:r w:rsidRPr="00DB65E9">
        <w:rPr>
          <w:i/>
          <w:sz w:val="26"/>
          <w:szCs w:val="26"/>
        </w:rPr>
        <w:t>Wiggins</w:t>
      </w:r>
      <w:r>
        <w:rPr>
          <w:sz w:val="26"/>
          <w:szCs w:val="26"/>
        </w:rPr>
        <w:t xml:space="preserve">) </w:t>
      </w:r>
      <w:r w:rsidRPr="00827E17">
        <w:rPr>
          <w:sz w:val="26"/>
          <w:szCs w:val="26"/>
        </w:rPr>
        <w:t xml:space="preserve">(complaint dismissed </w:t>
      </w:r>
      <w:r w:rsidRPr="00827E17">
        <w:rPr>
          <w:i/>
          <w:sz w:val="26"/>
          <w:szCs w:val="26"/>
        </w:rPr>
        <w:t>without prejudice</w:t>
      </w:r>
      <w:r w:rsidRPr="00827E17">
        <w:rPr>
          <w:sz w:val="26"/>
          <w:szCs w:val="26"/>
        </w:rPr>
        <w:t xml:space="preserve"> because the complainant demonstrated an effort to timely attend the initial hearing but waited in an area used by the welfare department and its complainants rather than the Commission’s hearing room and the complainant did not attend the rescheduled hearing); </w:t>
      </w:r>
      <w:r w:rsidRPr="00827E17">
        <w:rPr>
          <w:i/>
          <w:sz w:val="26"/>
          <w:szCs w:val="26"/>
        </w:rPr>
        <w:t>Edward B. Ference v. Equitable Gas Company</w:t>
      </w:r>
      <w:r w:rsidRPr="00827E17">
        <w:rPr>
          <w:sz w:val="26"/>
          <w:szCs w:val="26"/>
        </w:rPr>
        <w:t>, Docket No. C-20015840 (Order entered February 12, 2002) (reversed ALJ’s decision to dismiss complaint with prejudice and remanded for hearing upon demonstration that the complainant made a good faith attempt to attend the hearing but was unavoidably delayed due to late arrival of his taxicab, and such excuse was supported by a letter submitted in the record from the cab company conf</w:t>
      </w:r>
      <w:r>
        <w:rPr>
          <w:sz w:val="26"/>
          <w:szCs w:val="26"/>
        </w:rPr>
        <w:t>irming arrival time of the cab)</w:t>
      </w:r>
      <w:r w:rsidRPr="00827E17">
        <w:rPr>
          <w:sz w:val="26"/>
          <w:szCs w:val="26"/>
        </w:rPr>
        <w:t xml:space="preserve">.  </w:t>
      </w:r>
    </w:p>
  </w:footnote>
  <w:footnote w:id="4">
    <w:p w14:paraId="6A38DE96" w14:textId="77777777" w:rsidR="000F6D47" w:rsidRPr="00BF7188" w:rsidRDefault="000F6D47" w:rsidP="00BF7188">
      <w:pPr>
        <w:pStyle w:val="FootnoteText"/>
        <w:ind w:firstLine="720"/>
        <w:rPr>
          <w:sz w:val="26"/>
          <w:szCs w:val="26"/>
        </w:rPr>
      </w:pPr>
      <w:r w:rsidRPr="00BF7188">
        <w:rPr>
          <w:rStyle w:val="FootnoteReference"/>
          <w:sz w:val="26"/>
          <w:szCs w:val="26"/>
        </w:rPr>
        <w:footnoteRef/>
      </w:r>
      <w:r w:rsidRPr="00BF7188">
        <w:rPr>
          <w:sz w:val="26"/>
          <w:szCs w:val="26"/>
        </w:rPr>
        <w:t xml:space="preserve"> </w:t>
      </w:r>
      <w:r w:rsidR="00BF7188">
        <w:rPr>
          <w:sz w:val="26"/>
          <w:szCs w:val="26"/>
        </w:rPr>
        <w:tab/>
      </w:r>
      <w:r w:rsidRPr="00BF7188">
        <w:rPr>
          <w:i/>
          <w:sz w:val="26"/>
          <w:szCs w:val="26"/>
        </w:rPr>
        <w:t>Eric Hudson v. PECO Energy Company</w:t>
      </w:r>
      <w:r w:rsidRPr="00BF7188">
        <w:rPr>
          <w:sz w:val="26"/>
          <w:szCs w:val="26"/>
        </w:rPr>
        <w:t xml:space="preserve">, Docket C-2014-2418563 (Order entered May 13, 2015).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C93AA2"/>
    <w:multiLevelType w:val="hybridMultilevel"/>
    <w:tmpl w:val="C7522CF8"/>
    <w:lvl w:ilvl="0" w:tplc="76E0F17C">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15:restartNumberingAfterBreak="0">
    <w:nsid w:val="3D4B2785"/>
    <w:multiLevelType w:val="hybridMultilevel"/>
    <w:tmpl w:val="1978632A"/>
    <w:lvl w:ilvl="0" w:tplc="4DF03F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D9841D0"/>
    <w:multiLevelType w:val="hybridMultilevel"/>
    <w:tmpl w:val="E25A443E"/>
    <w:lvl w:ilvl="0" w:tplc="1AA48D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BAF075D"/>
    <w:multiLevelType w:val="hybridMultilevel"/>
    <w:tmpl w:val="56A42F0E"/>
    <w:lvl w:ilvl="0" w:tplc="767AC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2"/>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0176"/>
    <w:rsid w:val="00005FD6"/>
    <w:rsid w:val="00007A6C"/>
    <w:rsid w:val="00020031"/>
    <w:rsid w:val="0003143A"/>
    <w:rsid w:val="00042B67"/>
    <w:rsid w:val="00046A38"/>
    <w:rsid w:val="00060EF3"/>
    <w:rsid w:val="00063902"/>
    <w:rsid w:val="000739C2"/>
    <w:rsid w:val="00083BC0"/>
    <w:rsid w:val="00090C14"/>
    <w:rsid w:val="00091DB4"/>
    <w:rsid w:val="00092893"/>
    <w:rsid w:val="000979F8"/>
    <w:rsid w:val="000A16A9"/>
    <w:rsid w:val="000B7A70"/>
    <w:rsid w:val="000C12C1"/>
    <w:rsid w:val="000C2991"/>
    <w:rsid w:val="000C4E9F"/>
    <w:rsid w:val="000D3509"/>
    <w:rsid w:val="000D3CB7"/>
    <w:rsid w:val="000D6F39"/>
    <w:rsid w:val="000F6D47"/>
    <w:rsid w:val="001008F1"/>
    <w:rsid w:val="0012600C"/>
    <w:rsid w:val="00126A0E"/>
    <w:rsid w:val="0013202B"/>
    <w:rsid w:val="00140ABF"/>
    <w:rsid w:val="0014180D"/>
    <w:rsid w:val="001517E0"/>
    <w:rsid w:val="001529F2"/>
    <w:rsid w:val="001559FC"/>
    <w:rsid w:val="00156476"/>
    <w:rsid w:val="001565C8"/>
    <w:rsid w:val="00160759"/>
    <w:rsid w:val="00166E84"/>
    <w:rsid w:val="0016772B"/>
    <w:rsid w:val="00173840"/>
    <w:rsid w:val="0018300A"/>
    <w:rsid w:val="00191238"/>
    <w:rsid w:val="001C75C3"/>
    <w:rsid w:val="001D5644"/>
    <w:rsid w:val="001F0176"/>
    <w:rsid w:val="001F0CDF"/>
    <w:rsid w:val="00202574"/>
    <w:rsid w:val="00205281"/>
    <w:rsid w:val="00211F86"/>
    <w:rsid w:val="00215F00"/>
    <w:rsid w:val="00221ABE"/>
    <w:rsid w:val="00232F98"/>
    <w:rsid w:val="00233498"/>
    <w:rsid w:val="00236A93"/>
    <w:rsid w:val="00241EA2"/>
    <w:rsid w:val="0026332D"/>
    <w:rsid w:val="00271950"/>
    <w:rsid w:val="00273868"/>
    <w:rsid w:val="0027593A"/>
    <w:rsid w:val="00290EE6"/>
    <w:rsid w:val="00293120"/>
    <w:rsid w:val="002937C9"/>
    <w:rsid w:val="002A5127"/>
    <w:rsid w:val="002A7FFC"/>
    <w:rsid w:val="002B1339"/>
    <w:rsid w:val="002B2C4A"/>
    <w:rsid w:val="002B63B0"/>
    <w:rsid w:val="002C656D"/>
    <w:rsid w:val="002C6A82"/>
    <w:rsid w:val="002D24F0"/>
    <w:rsid w:val="002D2BEB"/>
    <w:rsid w:val="002D396E"/>
    <w:rsid w:val="002D3A26"/>
    <w:rsid w:val="002F2A52"/>
    <w:rsid w:val="002F63AB"/>
    <w:rsid w:val="003118C8"/>
    <w:rsid w:val="003150FB"/>
    <w:rsid w:val="00316620"/>
    <w:rsid w:val="00321751"/>
    <w:rsid w:val="003224AD"/>
    <w:rsid w:val="00333F1C"/>
    <w:rsid w:val="0033797C"/>
    <w:rsid w:val="003400E1"/>
    <w:rsid w:val="00340D38"/>
    <w:rsid w:val="0035084A"/>
    <w:rsid w:val="00357B29"/>
    <w:rsid w:val="003611E6"/>
    <w:rsid w:val="003731DD"/>
    <w:rsid w:val="003736CD"/>
    <w:rsid w:val="00374541"/>
    <w:rsid w:val="00390284"/>
    <w:rsid w:val="003903B0"/>
    <w:rsid w:val="00391B1A"/>
    <w:rsid w:val="0039748A"/>
    <w:rsid w:val="003C42A1"/>
    <w:rsid w:val="003C5DFE"/>
    <w:rsid w:val="003D5C5F"/>
    <w:rsid w:val="003D6E8E"/>
    <w:rsid w:val="003E052F"/>
    <w:rsid w:val="003E2C0C"/>
    <w:rsid w:val="00400B66"/>
    <w:rsid w:val="0040264A"/>
    <w:rsid w:val="00403AB1"/>
    <w:rsid w:val="004354A4"/>
    <w:rsid w:val="00444CF0"/>
    <w:rsid w:val="004651D6"/>
    <w:rsid w:val="004668D3"/>
    <w:rsid w:val="00471C47"/>
    <w:rsid w:val="00482331"/>
    <w:rsid w:val="00491EAC"/>
    <w:rsid w:val="00492840"/>
    <w:rsid w:val="004A1A86"/>
    <w:rsid w:val="004A6782"/>
    <w:rsid w:val="004B6D0C"/>
    <w:rsid w:val="004C4510"/>
    <w:rsid w:val="004F688D"/>
    <w:rsid w:val="00503CC2"/>
    <w:rsid w:val="00506398"/>
    <w:rsid w:val="00506F43"/>
    <w:rsid w:val="00507480"/>
    <w:rsid w:val="00515E22"/>
    <w:rsid w:val="005164B8"/>
    <w:rsid w:val="0052081D"/>
    <w:rsid w:val="0052333F"/>
    <w:rsid w:val="00526ACC"/>
    <w:rsid w:val="00532462"/>
    <w:rsid w:val="00552636"/>
    <w:rsid w:val="005546FB"/>
    <w:rsid w:val="00564C80"/>
    <w:rsid w:val="00564F2E"/>
    <w:rsid w:val="00571E2D"/>
    <w:rsid w:val="00584F5A"/>
    <w:rsid w:val="005B19FD"/>
    <w:rsid w:val="005B5812"/>
    <w:rsid w:val="005B6415"/>
    <w:rsid w:val="005C0F83"/>
    <w:rsid w:val="005D19E3"/>
    <w:rsid w:val="005D29BB"/>
    <w:rsid w:val="005D526B"/>
    <w:rsid w:val="005D6CC4"/>
    <w:rsid w:val="005F7FEB"/>
    <w:rsid w:val="00601293"/>
    <w:rsid w:val="00603C36"/>
    <w:rsid w:val="00604A6A"/>
    <w:rsid w:val="00613F68"/>
    <w:rsid w:val="00623B5C"/>
    <w:rsid w:val="006375EB"/>
    <w:rsid w:val="00641757"/>
    <w:rsid w:val="00646A14"/>
    <w:rsid w:val="006513C4"/>
    <w:rsid w:val="006604AB"/>
    <w:rsid w:val="0066095F"/>
    <w:rsid w:val="00674E8E"/>
    <w:rsid w:val="00691948"/>
    <w:rsid w:val="0069543F"/>
    <w:rsid w:val="006B3DC3"/>
    <w:rsid w:val="006C0D30"/>
    <w:rsid w:val="006C5C0E"/>
    <w:rsid w:val="006D4304"/>
    <w:rsid w:val="006D4537"/>
    <w:rsid w:val="006D5B1B"/>
    <w:rsid w:val="006D5BF5"/>
    <w:rsid w:val="006E1783"/>
    <w:rsid w:val="006E26C9"/>
    <w:rsid w:val="006E4BEF"/>
    <w:rsid w:val="007004CC"/>
    <w:rsid w:val="00703797"/>
    <w:rsid w:val="00705603"/>
    <w:rsid w:val="00710EA4"/>
    <w:rsid w:val="00721606"/>
    <w:rsid w:val="00733B3A"/>
    <w:rsid w:val="00753DF4"/>
    <w:rsid w:val="007766F9"/>
    <w:rsid w:val="00782137"/>
    <w:rsid w:val="00791CA4"/>
    <w:rsid w:val="00796CDF"/>
    <w:rsid w:val="007A3AEC"/>
    <w:rsid w:val="007A6DFE"/>
    <w:rsid w:val="007A786B"/>
    <w:rsid w:val="007B5F5D"/>
    <w:rsid w:val="007C2014"/>
    <w:rsid w:val="007C34EE"/>
    <w:rsid w:val="007E15D7"/>
    <w:rsid w:val="008057C6"/>
    <w:rsid w:val="008220F2"/>
    <w:rsid w:val="00832981"/>
    <w:rsid w:val="0084709A"/>
    <w:rsid w:val="00867B31"/>
    <w:rsid w:val="00873D97"/>
    <w:rsid w:val="0088268E"/>
    <w:rsid w:val="00882A28"/>
    <w:rsid w:val="0089265E"/>
    <w:rsid w:val="008A227C"/>
    <w:rsid w:val="008A5E30"/>
    <w:rsid w:val="008B17FA"/>
    <w:rsid w:val="008C2C13"/>
    <w:rsid w:val="008E7A52"/>
    <w:rsid w:val="008F5ABA"/>
    <w:rsid w:val="00903FE3"/>
    <w:rsid w:val="00907FC3"/>
    <w:rsid w:val="009115A4"/>
    <w:rsid w:val="00913D14"/>
    <w:rsid w:val="00921EF3"/>
    <w:rsid w:val="00930C55"/>
    <w:rsid w:val="0093362D"/>
    <w:rsid w:val="00945412"/>
    <w:rsid w:val="00947BCC"/>
    <w:rsid w:val="00971A89"/>
    <w:rsid w:val="00973A82"/>
    <w:rsid w:val="009770F4"/>
    <w:rsid w:val="0098599C"/>
    <w:rsid w:val="009915F0"/>
    <w:rsid w:val="009A1607"/>
    <w:rsid w:val="009C0A32"/>
    <w:rsid w:val="009C792B"/>
    <w:rsid w:val="009D3139"/>
    <w:rsid w:val="009D7B90"/>
    <w:rsid w:val="009E05F6"/>
    <w:rsid w:val="009F10EE"/>
    <w:rsid w:val="009F6CA7"/>
    <w:rsid w:val="00A14D17"/>
    <w:rsid w:val="00A1682B"/>
    <w:rsid w:val="00A22009"/>
    <w:rsid w:val="00A33402"/>
    <w:rsid w:val="00A44D54"/>
    <w:rsid w:val="00A544A7"/>
    <w:rsid w:val="00A632BA"/>
    <w:rsid w:val="00A704FA"/>
    <w:rsid w:val="00A7505C"/>
    <w:rsid w:val="00A77404"/>
    <w:rsid w:val="00A836BB"/>
    <w:rsid w:val="00A86A9E"/>
    <w:rsid w:val="00AA0B3E"/>
    <w:rsid w:val="00AA0DBD"/>
    <w:rsid w:val="00AC201A"/>
    <w:rsid w:val="00AC446E"/>
    <w:rsid w:val="00AC6661"/>
    <w:rsid w:val="00AF498B"/>
    <w:rsid w:val="00B00105"/>
    <w:rsid w:val="00B04A04"/>
    <w:rsid w:val="00B05E9E"/>
    <w:rsid w:val="00B07A0B"/>
    <w:rsid w:val="00B10E89"/>
    <w:rsid w:val="00B10F54"/>
    <w:rsid w:val="00B17C9E"/>
    <w:rsid w:val="00B37881"/>
    <w:rsid w:val="00B45A6E"/>
    <w:rsid w:val="00B5494B"/>
    <w:rsid w:val="00B55E0B"/>
    <w:rsid w:val="00B60497"/>
    <w:rsid w:val="00B60ED3"/>
    <w:rsid w:val="00B6589C"/>
    <w:rsid w:val="00B946BC"/>
    <w:rsid w:val="00BB356B"/>
    <w:rsid w:val="00BB5331"/>
    <w:rsid w:val="00BB59C2"/>
    <w:rsid w:val="00BC46A5"/>
    <w:rsid w:val="00BC7D2F"/>
    <w:rsid w:val="00BD70D6"/>
    <w:rsid w:val="00BF238E"/>
    <w:rsid w:val="00BF466E"/>
    <w:rsid w:val="00BF7188"/>
    <w:rsid w:val="00C0136D"/>
    <w:rsid w:val="00C04D45"/>
    <w:rsid w:val="00C0785B"/>
    <w:rsid w:val="00C13274"/>
    <w:rsid w:val="00C15EDA"/>
    <w:rsid w:val="00C22A27"/>
    <w:rsid w:val="00C27E8B"/>
    <w:rsid w:val="00C35A5F"/>
    <w:rsid w:val="00C362B6"/>
    <w:rsid w:val="00C57D54"/>
    <w:rsid w:val="00C631FF"/>
    <w:rsid w:val="00C84168"/>
    <w:rsid w:val="00C86EDF"/>
    <w:rsid w:val="00C9465A"/>
    <w:rsid w:val="00CA1440"/>
    <w:rsid w:val="00CA6C13"/>
    <w:rsid w:val="00CA6D75"/>
    <w:rsid w:val="00CC64ED"/>
    <w:rsid w:val="00CF3F20"/>
    <w:rsid w:val="00D00409"/>
    <w:rsid w:val="00D00480"/>
    <w:rsid w:val="00D02E86"/>
    <w:rsid w:val="00D05073"/>
    <w:rsid w:val="00D13F6C"/>
    <w:rsid w:val="00D22DF9"/>
    <w:rsid w:val="00D328B8"/>
    <w:rsid w:val="00D549A2"/>
    <w:rsid w:val="00D55371"/>
    <w:rsid w:val="00D56C27"/>
    <w:rsid w:val="00D742A5"/>
    <w:rsid w:val="00D9277B"/>
    <w:rsid w:val="00D952C3"/>
    <w:rsid w:val="00DC6DC4"/>
    <w:rsid w:val="00DD1F91"/>
    <w:rsid w:val="00DE41F2"/>
    <w:rsid w:val="00DF5090"/>
    <w:rsid w:val="00DF5763"/>
    <w:rsid w:val="00E227EE"/>
    <w:rsid w:val="00E24955"/>
    <w:rsid w:val="00E270F0"/>
    <w:rsid w:val="00E317AF"/>
    <w:rsid w:val="00E42701"/>
    <w:rsid w:val="00E4428D"/>
    <w:rsid w:val="00E44F43"/>
    <w:rsid w:val="00E47544"/>
    <w:rsid w:val="00E61D46"/>
    <w:rsid w:val="00E71168"/>
    <w:rsid w:val="00E74F63"/>
    <w:rsid w:val="00E8586A"/>
    <w:rsid w:val="00E9379A"/>
    <w:rsid w:val="00EB35BB"/>
    <w:rsid w:val="00ED3F31"/>
    <w:rsid w:val="00ED6D2A"/>
    <w:rsid w:val="00EE779B"/>
    <w:rsid w:val="00F2341A"/>
    <w:rsid w:val="00F24AFE"/>
    <w:rsid w:val="00F3088E"/>
    <w:rsid w:val="00F417D6"/>
    <w:rsid w:val="00F4320E"/>
    <w:rsid w:val="00F8631E"/>
    <w:rsid w:val="00F9074B"/>
    <w:rsid w:val="00F91FC0"/>
    <w:rsid w:val="00FA0E16"/>
    <w:rsid w:val="00FA7059"/>
    <w:rsid w:val="00FB53CD"/>
    <w:rsid w:val="00FB7EFE"/>
    <w:rsid w:val="00FD5DB8"/>
    <w:rsid w:val="00FD6CF1"/>
    <w:rsid w:val="00FD79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6CE06A"/>
  <w15:chartTrackingRefBased/>
  <w15:docId w15:val="{D678FBF3-B2D6-4AED-B52B-E2D55607D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F0176"/>
    <w:pPr>
      <w:widowControl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F017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unhideWhenUsed/>
    <w:rsid w:val="001F0176"/>
    <w:pPr>
      <w:widowControl/>
      <w:spacing w:before="100" w:beforeAutospacing="1" w:after="100" w:afterAutospacing="1"/>
    </w:pPr>
    <w:rPr>
      <w:sz w:val="24"/>
      <w:szCs w:val="24"/>
    </w:rPr>
  </w:style>
  <w:style w:type="paragraph" w:styleId="FootnoteText">
    <w:name w:val="footnote text"/>
    <w:aliases w:val="Car,Footnote Text Char1,Footnote Text Char Char,Footnote Text Char1 Char Char,Footnote Text Char Char Char Char,Footnote Text Char1 Char Char Char Char,Footnote Text Char Char Char Char Char Char1,ALTS FOOTNOTE,fn,Footnote Text 2"/>
    <w:basedOn w:val="Normal"/>
    <w:link w:val="FootnoteTextChar"/>
    <w:unhideWhenUsed/>
    <w:qFormat/>
    <w:rsid w:val="001F0176"/>
  </w:style>
  <w:style w:type="character" w:customStyle="1" w:styleId="FootnoteTextChar">
    <w:name w:val="Footnote Text Char"/>
    <w:aliases w:val="Car Char,Footnote Text Char1 Char,Footnote Text Char Char Char,Footnote Text Char1 Char Char Char,Footnote Text Char Char Char Char Char,Footnote Text Char1 Char Char Char Char Char,Footnote Text Char Char Char Char Char Char1 Char"/>
    <w:basedOn w:val="DefaultParagraphFont"/>
    <w:link w:val="FootnoteText"/>
    <w:rsid w:val="001F0176"/>
    <w:rPr>
      <w:rFonts w:ascii="Times New Roman" w:eastAsia="Times New Roman" w:hAnsi="Times New Roman" w:cs="Times New Roman"/>
      <w:sz w:val="20"/>
      <w:szCs w:val="20"/>
    </w:rPr>
  </w:style>
  <w:style w:type="character" w:styleId="FootnoteReference">
    <w:name w:val="footnote reference"/>
    <w:aliases w:val="o,fr,Style 6,Style 20,Appel note de bas de p,Style 8,Style 7,Style 3,Style 17,Style 19"/>
    <w:basedOn w:val="DefaultParagraphFont"/>
    <w:unhideWhenUsed/>
    <w:rsid w:val="001F0176"/>
    <w:rPr>
      <w:vertAlign w:val="superscript"/>
    </w:rPr>
  </w:style>
  <w:style w:type="character" w:customStyle="1" w:styleId="term1">
    <w:name w:val="term1"/>
    <w:basedOn w:val="DefaultParagraphFont"/>
    <w:rsid w:val="001F0176"/>
    <w:rPr>
      <w:b/>
      <w:bCs/>
    </w:rPr>
  </w:style>
  <w:style w:type="paragraph" w:customStyle="1" w:styleId="Default">
    <w:name w:val="Default"/>
    <w:rsid w:val="001C75C3"/>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C0785B"/>
    <w:pPr>
      <w:ind w:left="720"/>
      <w:contextualSpacing/>
    </w:pPr>
  </w:style>
  <w:style w:type="paragraph" w:styleId="Header">
    <w:name w:val="header"/>
    <w:basedOn w:val="Normal"/>
    <w:link w:val="HeaderChar"/>
    <w:uiPriority w:val="99"/>
    <w:unhideWhenUsed/>
    <w:rsid w:val="009D3139"/>
    <w:pPr>
      <w:tabs>
        <w:tab w:val="center" w:pos="4680"/>
        <w:tab w:val="right" w:pos="9360"/>
      </w:tabs>
    </w:pPr>
  </w:style>
  <w:style w:type="character" w:customStyle="1" w:styleId="HeaderChar">
    <w:name w:val="Header Char"/>
    <w:basedOn w:val="DefaultParagraphFont"/>
    <w:link w:val="Header"/>
    <w:uiPriority w:val="99"/>
    <w:rsid w:val="009D3139"/>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9D3139"/>
    <w:pPr>
      <w:tabs>
        <w:tab w:val="center" w:pos="4680"/>
        <w:tab w:val="right" w:pos="9360"/>
      </w:tabs>
    </w:pPr>
  </w:style>
  <w:style w:type="character" w:customStyle="1" w:styleId="FooterChar">
    <w:name w:val="Footer Char"/>
    <w:basedOn w:val="DefaultParagraphFont"/>
    <w:link w:val="Footer"/>
    <w:uiPriority w:val="99"/>
    <w:rsid w:val="009D3139"/>
    <w:rPr>
      <w:rFonts w:ascii="Times New Roman" w:eastAsia="Times New Roman" w:hAnsi="Times New Roman" w:cs="Times New Roman"/>
      <w:sz w:val="20"/>
      <w:szCs w:val="20"/>
    </w:rPr>
  </w:style>
  <w:style w:type="paragraph" w:styleId="NoSpacing">
    <w:name w:val="No Spacing"/>
    <w:uiPriority w:val="1"/>
    <w:qFormat/>
    <w:rsid w:val="003C42A1"/>
    <w:pPr>
      <w:spacing w:after="0" w:line="240" w:lineRule="auto"/>
      <w:jc w:val="both"/>
    </w:pPr>
    <w:rPr>
      <w:rFonts w:ascii="Times New Roman" w:eastAsia="Times New Roman" w:hAnsi="Times New Roman" w:cs="Times New Roman"/>
      <w:sz w:val="26"/>
      <w:szCs w:val="20"/>
    </w:rPr>
  </w:style>
  <w:style w:type="paragraph" w:styleId="BalloonText">
    <w:name w:val="Balloon Text"/>
    <w:basedOn w:val="Normal"/>
    <w:link w:val="BalloonTextChar"/>
    <w:uiPriority w:val="99"/>
    <w:semiHidden/>
    <w:unhideWhenUsed/>
    <w:rsid w:val="00FD6CF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6CF1"/>
    <w:rPr>
      <w:rFonts w:ascii="Segoe UI" w:eastAsia="Times New Roman" w:hAnsi="Segoe UI" w:cs="Segoe UI"/>
      <w:sz w:val="18"/>
      <w:szCs w:val="18"/>
    </w:rPr>
  </w:style>
  <w:style w:type="character" w:styleId="Hyperlink">
    <w:name w:val="Hyperlink"/>
    <w:basedOn w:val="DefaultParagraphFont"/>
    <w:rsid w:val="00FB7EFE"/>
    <w:rPr>
      <w:color w:val="0000FF"/>
      <w:u w:val="single"/>
    </w:rPr>
  </w:style>
  <w:style w:type="character" w:styleId="Emphasis">
    <w:name w:val="Emphasis"/>
    <w:basedOn w:val="DefaultParagraphFont"/>
    <w:qFormat/>
    <w:rsid w:val="00FB7EFE"/>
    <w:rPr>
      <w:i/>
      <w:iCs/>
    </w:rPr>
  </w:style>
  <w:style w:type="character" w:styleId="CommentReference">
    <w:name w:val="annotation reference"/>
    <w:basedOn w:val="DefaultParagraphFont"/>
    <w:uiPriority w:val="99"/>
    <w:semiHidden/>
    <w:unhideWhenUsed/>
    <w:rsid w:val="003E052F"/>
    <w:rPr>
      <w:sz w:val="16"/>
      <w:szCs w:val="16"/>
    </w:rPr>
  </w:style>
  <w:style w:type="paragraph" w:styleId="CommentText">
    <w:name w:val="annotation text"/>
    <w:basedOn w:val="Normal"/>
    <w:link w:val="CommentTextChar"/>
    <w:uiPriority w:val="99"/>
    <w:semiHidden/>
    <w:unhideWhenUsed/>
    <w:rsid w:val="003E052F"/>
  </w:style>
  <w:style w:type="character" w:customStyle="1" w:styleId="CommentTextChar">
    <w:name w:val="Comment Text Char"/>
    <w:basedOn w:val="DefaultParagraphFont"/>
    <w:link w:val="CommentText"/>
    <w:uiPriority w:val="99"/>
    <w:semiHidden/>
    <w:rsid w:val="003E052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E052F"/>
    <w:rPr>
      <w:b/>
      <w:bCs/>
    </w:rPr>
  </w:style>
  <w:style w:type="character" w:customStyle="1" w:styleId="CommentSubjectChar">
    <w:name w:val="Comment Subject Char"/>
    <w:basedOn w:val="CommentTextChar"/>
    <w:link w:val="CommentSubject"/>
    <w:uiPriority w:val="99"/>
    <w:semiHidden/>
    <w:rsid w:val="003E052F"/>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5046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research\buttonTFLink?_m=69761b6202cb4178e2a6e6fe02f5751b&amp;_xfercite=%3ccite%20cc=%22USA%22%3e%3c!%5bCDATA%5b2000%20Pa.%20PUC%20LEXIS%2067%20%5d%5d%3e%3c\cite%3e&amp;_butType=3&amp;_butStat=242&amp;_butNum=5&amp;_butInline=1&amp;_butinfo=%3ccite%20cc=%22USA%22%3e%3c!%5bCDATA%5b625%20A.2d%20741%5d%5d%3e%3c\cite%3e&amp;_fmtstr=FULL&amp;docnum=5&amp;_startdoc=1&amp;_startchk=1&amp;wchp=dGLSzS-lSlbz&amp;_md5=ad2b02d95c2a9216e83b92a3570d4785"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file://C:\research\buttonTFLink?_m=69761b6202cb4178e2a6e6fe02f5751b&amp;_xfercite=%3ccite%20cc=%22USA%22%3e%3c!%5bCDATA%5b2000%20Pa.%20PUC%20LEXIS%2067%20%5d%5d%3e%3c\cite%3e&amp;_butType=3&amp;_butStat=242&amp;_butNum=6&amp;_butInline=1&amp;_butinfo=%3ccite%20cc=%22USA%22%3e%3c!%5bCDATA%5b485%20A.2d%201217%5d%5d%3e%3c\cite%3e&amp;_fmtstr=FULL&amp;docnum=5&amp;_startdoc=1&amp;_startchk=1&amp;wchp=dGLSzS-lSlbz&amp;_md5=9b1cc8319afd12440738bb82d74455e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E1322F-76B9-4605-BBC7-329ECAE476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Pages>
  <Words>3524</Words>
  <Characters>20088</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 Atieh, Melanie</dc:creator>
  <cp:keywords/>
  <dc:description/>
  <cp:lastModifiedBy>Farner, Joyce</cp:lastModifiedBy>
  <cp:revision>4</cp:revision>
  <cp:lastPrinted>2018-06-21T12:08:00Z</cp:lastPrinted>
  <dcterms:created xsi:type="dcterms:W3CDTF">2018-06-19T21:40:00Z</dcterms:created>
  <dcterms:modified xsi:type="dcterms:W3CDTF">2018-06-21T12:08:00Z</dcterms:modified>
</cp:coreProperties>
</file>