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EF3B" w14:textId="77777777" w:rsidR="00EC5ACE" w:rsidRPr="00CE279A" w:rsidRDefault="00EC5ACE" w:rsidP="008A1D49">
      <w:pPr>
        <w:widowControl/>
        <w:tabs>
          <w:tab w:val="center" w:pos="4680"/>
        </w:tabs>
        <w:suppressAutoHyphens/>
        <w:jc w:val="center"/>
        <w:rPr>
          <w:b/>
          <w:sz w:val="26"/>
          <w:szCs w:val="26"/>
        </w:rPr>
      </w:pPr>
      <w:r w:rsidRPr="00CE279A">
        <w:rPr>
          <w:b/>
          <w:sz w:val="26"/>
          <w:szCs w:val="26"/>
        </w:rPr>
        <w:t>PENNSYLVANIA</w:t>
      </w:r>
    </w:p>
    <w:p w14:paraId="060D816E" w14:textId="77777777" w:rsidR="00EC5ACE" w:rsidRPr="00CE279A" w:rsidRDefault="00EC5ACE" w:rsidP="008A1D49">
      <w:pPr>
        <w:widowControl/>
        <w:tabs>
          <w:tab w:val="center" w:pos="4680"/>
        </w:tabs>
        <w:suppressAutoHyphens/>
        <w:jc w:val="center"/>
        <w:rPr>
          <w:sz w:val="26"/>
          <w:szCs w:val="26"/>
        </w:rPr>
      </w:pPr>
      <w:r w:rsidRPr="00CE279A">
        <w:rPr>
          <w:b/>
          <w:sz w:val="26"/>
          <w:szCs w:val="26"/>
        </w:rPr>
        <w:t>PUBLIC UTILITY COMMISSION</w:t>
      </w:r>
    </w:p>
    <w:p w14:paraId="4F2B0804" w14:textId="77777777" w:rsidR="00EC5ACE" w:rsidRPr="00CE279A" w:rsidRDefault="00EC5ACE" w:rsidP="008A1D49">
      <w:pPr>
        <w:widowControl/>
        <w:tabs>
          <w:tab w:val="center" w:pos="4680"/>
        </w:tabs>
        <w:suppressAutoHyphens/>
        <w:jc w:val="center"/>
        <w:rPr>
          <w:sz w:val="26"/>
          <w:szCs w:val="26"/>
        </w:rPr>
      </w:pPr>
      <w:r w:rsidRPr="00CE279A">
        <w:rPr>
          <w:b/>
          <w:sz w:val="26"/>
          <w:szCs w:val="26"/>
        </w:rPr>
        <w:t>Harrisburg, PA 17105-3265</w:t>
      </w:r>
    </w:p>
    <w:p w14:paraId="40DF5DFD" w14:textId="77777777" w:rsidR="00EC5ACE" w:rsidRPr="00CE279A" w:rsidRDefault="00EC5ACE" w:rsidP="008A1D49">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70"/>
      </w:tblGrid>
      <w:tr w:rsidR="0032094C" w:rsidRPr="00CE279A" w14:paraId="5368E35D" w14:textId="77777777" w:rsidTr="000A5FEF">
        <w:tc>
          <w:tcPr>
            <w:tcW w:w="5490" w:type="dxa"/>
          </w:tcPr>
          <w:p w14:paraId="54259943" w14:textId="77777777" w:rsidR="0032094C" w:rsidRPr="00CE279A" w:rsidRDefault="0032094C" w:rsidP="008A1D49">
            <w:pPr>
              <w:widowControl/>
              <w:rPr>
                <w:sz w:val="26"/>
                <w:szCs w:val="26"/>
              </w:rPr>
            </w:pPr>
          </w:p>
        </w:tc>
        <w:tc>
          <w:tcPr>
            <w:tcW w:w="3870" w:type="dxa"/>
            <w:hideMark/>
          </w:tcPr>
          <w:p w14:paraId="41757DD3" w14:textId="77777777" w:rsidR="0032094C" w:rsidRPr="00CE279A" w:rsidRDefault="0032094C" w:rsidP="008A1D49">
            <w:pPr>
              <w:widowControl/>
              <w:jc w:val="right"/>
              <w:rPr>
                <w:sz w:val="26"/>
                <w:szCs w:val="26"/>
              </w:rPr>
            </w:pPr>
            <w:r w:rsidRPr="00CE279A">
              <w:rPr>
                <w:sz w:val="26"/>
                <w:szCs w:val="26"/>
              </w:rPr>
              <w:t>Public Meeting held June 14, 2018</w:t>
            </w:r>
          </w:p>
        </w:tc>
      </w:tr>
      <w:tr w:rsidR="0032094C" w:rsidRPr="00CE279A" w14:paraId="53E096B9" w14:textId="77777777" w:rsidTr="000A5FEF">
        <w:tc>
          <w:tcPr>
            <w:tcW w:w="5490" w:type="dxa"/>
          </w:tcPr>
          <w:p w14:paraId="79E74D35" w14:textId="77777777" w:rsidR="0032094C" w:rsidRPr="00CE279A" w:rsidRDefault="0032094C" w:rsidP="008A1D49">
            <w:pPr>
              <w:widowControl/>
              <w:rPr>
                <w:sz w:val="26"/>
                <w:szCs w:val="26"/>
              </w:rPr>
            </w:pPr>
          </w:p>
          <w:p w14:paraId="3989F612" w14:textId="77777777" w:rsidR="0032094C" w:rsidRPr="00CE279A" w:rsidRDefault="0032094C" w:rsidP="008A1D49">
            <w:pPr>
              <w:widowControl/>
              <w:rPr>
                <w:sz w:val="26"/>
                <w:szCs w:val="26"/>
              </w:rPr>
            </w:pPr>
            <w:r w:rsidRPr="00CE279A">
              <w:rPr>
                <w:sz w:val="26"/>
                <w:szCs w:val="26"/>
              </w:rPr>
              <w:t>Commissioners Present:</w:t>
            </w:r>
          </w:p>
          <w:p w14:paraId="7CB1E847" w14:textId="77777777" w:rsidR="0032094C" w:rsidRPr="00CE279A" w:rsidRDefault="0032094C" w:rsidP="008A1D49">
            <w:pPr>
              <w:widowControl/>
              <w:rPr>
                <w:sz w:val="26"/>
                <w:szCs w:val="26"/>
              </w:rPr>
            </w:pPr>
          </w:p>
          <w:p w14:paraId="5028E088" w14:textId="77777777" w:rsidR="0032094C" w:rsidRPr="00CE279A" w:rsidRDefault="0032094C" w:rsidP="008A1D49">
            <w:pPr>
              <w:widowControl/>
              <w:tabs>
                <w:tab w:val="left" w:pos="-720"/>
              </w:tabs>
              <w:ind w:left="720"/>
              <w:rPr>
                <w:sz w:val="26"/>
                <w:szCs w:val="26"/>
              </w:rPr>
            </w:pPr>
            <w:r w:rsidRPr="00CE279A">
              <w:rPr>
                <w:sz w:val="26"/>
                <w:szCs w:val="26"/>
              </w:rPr>
              <w:t>Gladys M. Brown, Chairman</w:t>
            </w:r>
          </w:p>
          <w:p w14:paraId="4B3A9B3F" w14:textId="77777777" w:rsidR="0032094C" w:rsidRPr="00CE279A" w:rsidRDefault="0032094C" w:rsidP="008A1D49">
            <w:pPr>
              <w:widowControl/>
              <w:tabs>
                <w:tab w:val="left" w:pos="-720"/>
              </w:tabs>
              <w:ind w:left="720"/>
              <w:rPr>
                <w:sz w:val="26"/>
                <w:szCs w:val="26"/>
              </w:rPr>
            </w:pPr>
            <w:r w:rsidRPr="00CE279A">
              <w:rPr>
                <w:sz w:val="26"/>
                <w:szCs w:val="26"/>
              </w:rPr>
              <w:t>Andrew G. Place, Vice Chairman</w:t>
            </w:r>
          </w:p>
          <w:p w14:paraId="22629190" w14:textId="77777777" w:rsidR="0032094C" w:rsidRPr="00CE279A" w:rsidRDefault="0032094C" w:rsidP="008A1D49">
            <w:pPr>
              <w:widowControl/>
              <w:tabs>
                <w:tab w:val="left" w:pos="-720"/>
              </w:tabs>
              <w:ind w:left="720"/>
              <w:rPr>
                <w:sz w:val="26"/>
                <w:szCs w:val="26"/>
              </w:rPr>
            </w:pPr>
            <w:r w:rsidRPr="00CE279A">
              <w:rPr>
                <w:sz w:val="26"/>
                <w:szCs w:val="26"/>
              </w:rPr>
              <w:t>Norman J. Kennard</w:t>
            </w:r>
          </w:p>
          <w:p w14:paraId="3A76F457" w14:textId="77777777" w:rsidR="0032094C" w:rsidRPr="00CE279A" w:rsidRDefault="0032094C" w:rsidP="008A1D49">
            <w:pPr>
              <w:widowControl/>
              <w:tabs>
                <w:tab w:val="left" w:pos="-720"/>
              </w:tabs>
              <w:ind w:left="720"/>
              <w:rPr>
                <w:sz w:val="26"/>
                <w:szCs w:val="26"/>
              </w:rPr>
            </w:pPr>
            <w:r w:rsidRPr="00CE279A">
              <w:rPr>
                <w:sz w:val="26"/>
                <w:szCs w:val="26"/>
              </w:rPr>
              <w:t>David W. Sweet</w:t>
            </w:r>
          </w:p>
          <w:p w14:paraId="00887BD6" w14:textId="523F44A1" w:rsidR="0032094C" w:rsidRPr="00CE279A" w:rsidRDefault="0032094C" w:rsidP="008A1D49">
            <w:pPr>
              <w:widowControl/>
              <w:tabs>
                <w:tab w:val="left" w:pos="-720"/>
              </w:tabs>
              <w:ind w:left="720"/>
              <w:rPr>
                <w:sz w:val="26"/>
                <w:szCs w:val="26"/>
              </w:rPr>
            </w:pPr>
            <w:r w:rsidRPr="00CE279A">
              <w:rPr>
                <w:sz w:val="26"/>
                <w:szCs w:val="26"/>
              </w:rPr>
              <w:t xml:space="preserve">John F. Coleman, Jr. </w:t>
            </w:r>
          </w:p>
          <w:p w14:paraId="4BE4ED4A" w14:textId="286FFB56" w:rsidR="000A5FEF" w:rsidRPr="00CE279A" w:rsidRDefault="000A5FEF" w:rsidP="008A1D49">
            <w:pPr>
              <w:widowControl/>
              <w:tabs>
                <w:tab w:val="left" w:pos="-720"/>
              </w:tabs>
              <w:ind w:left="720"/>
              <w:rPr>
                <w:sz w:val="26"/>
                <w:szCs w:val="26"/>
              </w:rPr>
            </w:pPr>
          </w:p>
          <w:p w14:paraId="0F036622" w14:textId="77777777" w:rsidR="0032094C" w:rsidRPr="00CE279A" w:rsidRDefault="0032094C" w:rsidP="008A1D49">
            <w:pPr>
              <w:widowControl/>
              <w:rPr>
                <w:sz w:val="26"/>
                <w:szCs w:val="26"/>
              </w:rPr>
            </w:pPr>
          </w:p>
        </w:tc>
        <w:tc>
          <w:tcPr>
            <w:tcW w:w="3870" w:type="dxa"/>
          </w:tcPr>
          <w:p w14:paraId="1071F255" w14:textId="77777777" w:rsidR="0032094C" w:rsidRPr="00CE279A" w:rsidRDefault="0032094C" w:rsidP="008A1D49">
            <w:pPr>
              <w:widowControl/>
              <w:jc w:val="right"/>
              <w:rPr>
                <w:sz w:val="26"/>
                <w:szCs w:val="26"/>
              </w:rPr>
            </w:pPr>
          </w:p>
          <w:p w14:paraId="7E6A6CE5" w14:textId="77777777" w:rsidR="0032094C" w:rsidRPr="00CE279A" w:rsidRDefault="0032094C" w:rsidP="008A1D49">
            <w:pPr>
              <w:widowControl/>
              <w:jc w:val="right"/>
              <w:rPr>
                <w:sz w:val="26"/>
                <w:szCs w:val="26"/>
              </w:rPr>
            </w:pPr>
          </w:p>
        </w:tc>
      </w:tr>
      <w:tr w:rsidR="0032094C" w:rsidRPr="00CE279A" w14:paraId="4C2C4A73" w14:textId="77777777" w:rsidTr="000A5FEF">
        <w:tc>
          <w:tcPr>
            <w:tcW w:w="5490" w:type="dxa"/>
          </w:tcPr>
          <w:p w14:paraId="6A030D4C" w14:textId="18A7DBF7" w:rsidR="0032094C" w:rsidRPr="00CE279A" w:rsidRDefault="000A5FEF" w:rsidP="008A1D49">
            <w:pPr>
              <w:widowControl/>
              <w:rPr>
                <w:sz w:val="26"/>
                <w:szCs w:val="26"/>
              </w:rPr>
            </w:pPr>
            <w:r w:rsidRPr="00CE279A">
              <w:rPr>
                <w:kern w:val="2"/>
                <w:sz w:val="26"/>
                <w:szCs w:val="26"/>
              </w:rPr>
              <w:t>Petition of FirstEnergy Solutions Corp</w:t>
            </w:r>
            <w:r w:rsidR="00E44959">
              <w:rPr>
                <w:kern w:val="2"/>
                <w:sz w:val="26"/>
                <w:szCs w:val="26"/>
              </w:rPr>
              <w:t>oration</w:t>
            </w:r>
            <w:r w:rsidRPr="00CE279A">
              <w:rPr>
                <w:kern w:val="2"/>
                <w:sz w:val="26"/>
                <w:szCs w:val="26"/>
              </w:rPr>
              <w:t xml:space="preserve"> for Renewal of Its 5% Reduced Financial Security Requirement </w:t>
            </w:r>
            <w:proofErr w:type="gramStart"/>
            <w:r w:rsidRPr="00CE279A">
              <w:rPr>
                <w:kern w:val="2"/>
                <w:sz w:val="26"/>
                <w:szCs w:val="26"/>
              </w:rPr>
              <w:t>For</w:t>
            </w:r>
            <w:proofErr w:type="gramEnd"/>
            <w:r w:rsidRPr="00CE279A">
              <w:rPr>
                <w:kern w:val="2"/>
                <w:sz w:val="26"/>
                <w:szCs w:val="26"/>
              </w:rPr>
              <w:t xml:space="preserve"> the Period June 10, 2018 Through June 10, 2019</w:t>
            </w:r>
          </w:p>
          <w:p w14:paraId="6527EAB1" w14:textId="77777777" w:rsidR="0032094C" w:rsidRPr="00CE279A" w:rsidRDefault="0032094C" w:rsidP="000A5FEF">
            <w:pPr>
              <w:widowControl/>
              <w:rPr>
                <w:sz w:val="26"/>
                <w:szCs w:val="26"/>
              </w:rPr>
            </w:pPr>
          </w:p>
        </w:tc>
        <w:tc>
          <w:tcPr>
            <w:tcW w:w="3870" w:type="dxa"/>
            <w:hideMark/>
          </w:tcPr>
          <w:p w14:paraId="4763813C" w14:textId="25544DC2" w:rsidR="0032094C" w:rsidRPr="00CE279A" w:rsidRDefault="000A5FEF" w:rsidP="008A1D49">
            <w:pPr>
              <w:widowControl/>
              <w:jc w:val="right"/>
              <w:rPr>
                <w:sz w:val="26"/>
                <w:szCs w:val="26"/>
              </w:rPr>
            </w:pPr>
            <w:r w:rsidRPr="00CE279A">
              <w:rPr>
                <w:sz w:val="26"/>
                <w:szCs w:val="26"/>
              </w:rPr>
              <w:t>A-110078</w:t>
            </w:r>
          </w:p>
          <w:p w14:paraId="4F61BB14" w14:textId="3FC5E0F8" w:rsidR="0032094C" w:rsidRPr="00CE279A" w:rsidRDefault="0032094C" w:rsidP="008A1D49">
            <w:pPr>
              <w:widowControl/>
              <w:jc w:val="right"/>
              <w:rPr>
                <w:sz w:val="26"/>
                <w:szCs w:val="26"/>
              </w:rPr>
            </w:pPr>
          </w:p>
          <w:p w14:paraId="7352D7C3" w14:textId="77777777" w:rsidR="0032094C" w:rsidRPr="00CE279A" w:rsidRDefault="0032094C" w:rsidP="008A1D49">
            <w:pPr>
              <w:widowControl/>
              <w:jc w:val="right"/>
              <w:rPr>
                <w:sz w:val="26"/>
                <w:szCs w:val="26"/>
              </w:rPr>
            </w:pPr>
          </w:p>
        </w:tc>
      </w:tr>
    </w:tbl>
    <w:p w14:paraId="5A310C4C" w14:textId="77777777" w:rsidR="00EC5ACE" w:rsidRPr="00CE279A" w:rsidRDefault="00EC5ACE" w:rsidP="008A1D49">
      <w:pPr>
        <w:widowControl/>
        <w:rPr>
          <w:sz w:val="26"/>
          <w:szCs w:val="26"/>
        </w:rPr>
      </w:pPr>
    </w:p>
    <w:p w14:paraId="05E2C7C1" w14:textId="77777777" w:rsidR="00EC5ACE" w:rsidRPr="00CE279A" w:rsidRDefault="00EC5ACE" w:rsidP="008A1D49">
      <w:pPr>
        <w:widowControl/>
        <w:rPr>
          <w:sz w:val="26"/>
          <w:szCs w:val="26"/>
        </w:rPr>
      </w:pPr>
    </w:p>
    <w:p w14:paraId="6815F9A6" w14:textId="77777777" w:rsidR="00EC5ACE" w:rsidRPr="00CE279A" w:rsidRDefault="00EC5ACE" w:rsidP="008A1D49">
      <w:pPr>
        <w:widowControl/>
        <w:jc w:val="center"/>
        <w:rPr>
          <w:b/>
          <w:sz w:val="26"/>
          <w:szCs w:val="26"/>
        </w:rPr>
      </w:pPr>
      <w:r w:rsidRPr="00CE279A">
        <w:rPr>
          <w:b/>
          <w:sz w:val="26"/>
          <w:szCs w:val="26"/>
        </w:rPr>
        <w:t>OPINION AND ORDER</w:t>
      </w:r>
    </w:p>
    <w:p w14:paraId="2E173A89" w14:textId="77777777" w:rsidR="00EC5ACE" w:rsidRPr="00CE279A" w:rsidRDefault="00EC5ACE" w:rsidP="008A1D49">
      <w:pPr>
        <w:widowControl/>
        <w:rPr>
          <w:b/>
          <w:sz w:val="26"/>
          <w:szCs w:val="26"/>
        </w:rPr>
      </w:pPr>
    </w:p>
    <w:p w14:paraId="4C2D5C75" w14:textId="77777777" w:rsidR="00EC5ACE" w:rsidRPr="00CE279A" w:rsidRDefault="00EC5ACE" w:rsidP="008A1D49">
      <w:pPr>
        <w:widowControl/>
        <w:rPr>
          <w:b/>
          <w:sz w:val="26"/>
          <w:szCs w:val="26"/>
        </w:rPr>
      </w:pPr>
      <w:r w:rsidRPr="00CE279A">
        <w:rPr>
          <w:b/>
          <w:sz w:val="26"/>
          <w:szCs w:val="26"/>
        </w:rPr>
        <w:t>BY THE COMMISSION:</w:t>
      </w:r>
    </w:p>
    <w:p w14:paraId="0340C14F" w14:textId="77777777" w:rsidR="00EC5ACE" w:rsidRPr="00CE279A" w:rsidRDefault="00EC5ACE" w:rsidP="008A1D49">
      <w:pPr>
        <w:widowControl/>
        <w:rPr>
          <w:sz w:val="26"/>
          <w:szCs w:val="26"/>
        </w:rPr>
      </w:pPr>
    </w:p>
    <w:p w14:paraId="6644AE24" w14:textId="77777777" w:rsidR="00EC5ACE" w:rsidRPr="00CE279A" w:rsidRDefault="00EC5ACE" w:rsidP="008A1D49">
      <w:pPr>
        <w:widowControl/>
        <w:rPr>
          <w:sz w:val="26"/>
          <w:szCs w:val="26"/>
        </w:rPr>
      </w:pPr>
    </w:p>
    <w:p w14:paraId="73D98EFE" w14:textId="7396CB7B" w:rsidR="0076712A" w:rsidRPr="00CE279A" w:rsidRDefault="00EC5ACE" w:rsidP="008A1D49">
      <w:pPr>
        <w:widowControl/>
        <w:spacing w:line="360" w:lineRule="auto"/>
        <w:ind w:firstLine="1440"/>
        <w:rPr>
          <w:sz w:val="26"/>
          <w:szCs w:val="26"/>
        </w:rPr>
      </w:pPr>
      <w:r w:rsidRPr="00CE279A">
        <w:rPr>
          <w:sz w:val="26"/>
          <w:szCs w:val="26"/>
        </w:rPr>
        <w:t xml:space="preserve">Before the Pennsylvania Public Utility Commission (Commission) for consideration and disposition </w:t>
      </w:r>
      <w:r w:rsidRPr="00CE279A">
        <w:rPr>
          <w:color w:val="000000"/>
          <w:sz w:val="26"/>
          <w:szCs w:val="26"/>
        </w:rPr>
        <w:t>is the Petition for Reconsideration of Staff Action (</w:t>
      </w:r>
      <w:r w:rsidRPr="00CE279A">
        <w:rPr>
          <w:i/>
          <w:color w:val="000000"/>
          <w:sz w:val="26"/>
          <w:szCs w:val="26"/>
        </w:rPr>
        <w:t>Petition</w:t>
      </w:r>
      <w:r w:rsidR="00C425EC" w:rsidRPr="00CE279A">
        <w:rPr>
          <w:i/>
          <w:color w:val="000000"/>
          <w:sz w:val="26"/>
          <w:szCs w:val="26"/>
        </w:rPr>
        <w:t xml:space="preserve"> for Reconsideration</w:t>
      </w:r>
      <w:r w:rsidRPr="00CE279A">
        <w:rPr>
          <w:color w:val="000000"/>
          <w:sz w:val="26"/>
          <w:szCs w:val="26"/>
        </w:rPr>
        <w:t>) filed by</w:t>
      </w:r>
      <w:r w:rsidR="00F65714" w:rsidRPr="00CE279A">
        <w:rPr>
          <w:color w:val="000000"/>
          <w:sz w:val="26"/>
          <w:szCs w:val="26"/>
        </w:rPr>
        <w:t xml:space="preserve"> </w:t>
      </w:r>
      <w:r w:rsidR="00B176C8" w:rsidRPr="00CE279A">
        <w:rPr>
          <w:color w:val="000000"/>
          <w:sz w:val="26"/>
          <w:szCs w:val="26"/>
        </w:rPr>
        <w:t>FirstEnergy Solutions Corp.</w:t>
      </w:r>
      <w:r w:rsidR="00F65714" w:rsidRPr="00CE279A">
        <w:rPr>
          <w:color w:val="000000"/>
          <w:sz w:val="26"/>
          <w:szCs w:val="26"/>
        </w:rPr>
        <w:t xml:space="preserve"> (</w:t>
      </w:r>
      <w:r w:rsidR="00E86B55" w:rsidRPr="00CE279A">
        <w:rPr>
          <w:color w:val="000000"/>
          <w:sz w:val="26"/>
          <w:szCs w:val="26"/>
        </w:rPr>
        <w:t xml:space="preserve">Petitioner or </w:t>
      </w:r>
      <w:r w:rsidR="00B176C8" w:rsidRPr="00CE279A">
        <w:rPr>
          <w:color w:val="000000"/>
          <w:sz w:val="26"/>
          <w:szCs w:val="26"/>
        </w:rPr>
        <w:t>FES</w:t>
      </w:r>
      <w:r w:rsidRPr="00CE279A">
        <w:rPr>
          <w:color w:val="000000"/>
          <w:sz w:val="26"/>
          <w:szCs w:val="26"/>
        </w:rPr>
        <w:t xml:space="preserve">) on </w:t>
      </w:r>
      <w:r w:rsidR="00B176C8" w:rsidRPr="00CE279A">
        <w:rPr>
          <w:color w:val="000000"/>
          <w:sz w:val="26"/>
          <w:szCs w:val="26"/>
        </w:rPr>
        <w:t>May 8, 2018</w:t>
      </w:r>
      <w:r w:rsidRPr="00CE279A">
        <w:rPr>
          <w:color w:val="000000"/>
          <w:sz w:val="26"/>
          <w:szCs w:val="26"/>
        </w:rPr>
        <w:t xml:space="preserve">.  The Petition was filed in response to the Secretarial Letter issued on </w:t>
      </w:r>
      <w:r w:rsidR="00B176C8" w:rsidRPr="00CE279A">
        <w:rPr>
          <w:color w:val="000000"/>
          <w:sz w:val="26"/>
          <w:szCs w:val="26"/>
        </w:rPr>
        <w:t>April 18, 2018</w:t>
      </w:r>
      <w:r w:rsidR="00A50233" w:rsidRPr="00CE279A">
        <w:rPr>
          <w:color w:val="000000"/>
          <w:sz w:val="26"/>
          <w:szCs w:val="26"/>
        </w:rPr>
        <w:t>,</w:t>
      </w:r>
      <w:r w:rsidR="00B176C8" w:rsidRPr="00CE279A">
        <w:rPr>
          <w:color w:val="000000"/>
          <w:sz w:val="26"/>
          <w:szCs w:val="26"/>
        </w:rPr>
        <w:t xml:space="preserve"> by the Commission’s </w:t>
      </w:r>
      <w:r w:rsidR="00E44959">
        <w:rPr>
          <w:color w:val="000000"/>
          <w:sz w:val="26"/>
          <w:szCs w:val="26"/>
        </w:rPr>
        <w:t xml:space="preserve">Bureau of </w:t>
      </w:r>
      <w:r w:rsidR="00B176C8" w:rsidRPr="00CE279A">
        <w:rPr>
          <w:color w:val="000000"/>
          <w:sz w:val="26"/>
          <w:szCs w:val="26"/>
        </w:rPr>
        <w:t>Technical Utility Services (TUS</w:t>
      </w:r>
      <w:r w:rsidR="002D5730" w:rsidRPr="00CE279A">
        <w:rPr>
          <w:color w:val="000000"/>
          <w:sz w:val="26"/>
          <w:szCs w:val="26"/>
        </w:rPr>
        <w:t xml:space="preserve"> or Staff</w:t>
      </w:r>
      <w:r w:rsidR="00B176C8" w:rsidRPr="00CE279A">
        <w:rPr>
          <w:color w:val="000000"/>
          <w:sz w:val="26"/>
          <w:szCs w:val="26"/>
        </w:rPr>
        <w:t>)</w:t>
      </w:r>
      <w:r w:rsidR="00CA0C46">
        <w:rPr>
          <w:color w:val="000000"/>
          <w:sz w:val="26"/>
          <w:szCs w:val="26"/>
        </w:rPr>
        <w:t xml:space="preserve"> (</w:t>
      </w:r>
      <w:r w:rsidR="00CA0C46">
        <w:rPr>
          <w:i/>
          <w:color w:val="000000"/>
          <w:sz w:val="26"/>
          <w:szCs w:val="26"/>
        </w:rPr>
        <w:t>April 18 Letter</w:t>
      </w:r>
      <w:r w:rsidR="00CA0C46">
        <w:rPr>
          <w:color w:val="000000"/>
          <w:sz w:val="26"/>
          <w:szCs w:val="26"/>
        </w:rPr>
        <w:t>)</w:t>
      </w:r>
      <w:r w:rsidRPr="00CE279A">
        <w:rPr>
          <w:color w:val="000000"/>
          <w:sz w:val="26"/>
          <w:szCs w:val="26"/>
        </w:rPr>
        <w:t>, in th</w:t>
      </w:r>
      <w:r w:rsidR="007B4ECD" w:rsidRPr="00CE279A">
        <w:rPr>
          <w:color w:val="000000"/>
          <w:sz w:val="26"/>
          <w:szCs w:val="26"/>
        </w:rPr>
        <w:t>e above-captioned</w:t>
      </w:r>
      <w:r w:rsidRPr="00CE279A">
        <w:rPr>
          <w:color w:val="000000"/>
          <w:sz w:val="26"/>
          <w:szCs w:val="26"/>
        </w:rPr>
        <w:t xml:space="preserve"> docket</w:t>
      </w:r>
      <w:r w:rsidR="007B4ECD" w:rsidRPr="00CE279A">
        <w:rPr>
          <w:color w:val="000000"/>
          <w:sz w:val="26"/>
          <w:szCs w:val="26"/>
        </w:rPr>
        <w:t xml:space="preserve">, </w:t>
      </w:r>
      <w:r w:rsidR="008D1F2C" w:rsidRPr="00CE279A">
        <w:rPr>
          <w:color w:val="000000"/>
          <w:sz w:val="26"/>
          <w:szCs w:val="26"/>
        </w:rPr>
        <w:t xml:space="preserve">which </w:t>
      </w:r>
      <w:r w:rsidR="00B176C8" w:rsidRPr="00CE279A">
        <w:rPr>
          <w:color w:val="000000"/>
          <w:sz w:val="26"/>
          <w:szCs w:val="26"/>
        </w:rPr>
        <w:t xml:space="preserve">raised </w:t>
      </w:r>
      <w:r w:rsidR="00A50233" w:rsidRPr="00CE279A">
        <w:rPr>
          <w:color w:val="000000"/>
          <w:sz w:val="26"/>
          <w:szCs w:val="26"/>
        </w:rPr>
        <w:t xml:space="preserve">the </w:t>
      </w:r>
      <w:r w:rsidR="00B176C8" w:rsidRPr="00CE279A">
        <w:rPr>
          <w:color w:val="000000"/>
          <w:sz w:val="26"/>
          <w:szCs w:val="26"/>
        </w:rPr>
        <w:t>Petitioner’s financial security level from 5% to 10% for the period from June 10, 2018</w:t>
      </w:r>
      <w:r w:rsidR="00B2618B" w:rsidRPr="00CE279A">
        <w:rPr>
          <w:color w:val="000000"/>
          <w:sz w:val="26"/>
          <w:szCs w:val="26"/>
        </w:rPr>
        <w:t>,</w:t>
      </w:r>
      <w:r w:rsidR="00B176C8" w:rsidRPr="00CE279A">
        <w:rPr>
          <w:color w:val="000000"/>
          <w:sz w:val="26"/>
          <w:szCs w:val="26"/>
        </w:rPr>
        <w:t xml:space="preserve"> through June 10, 2019 (</w:t>
      </w:r>
      <w:r w:rsidR="00993D31" w:rsidRPr="00CE279A">
        <w:rPr>
          <w:color w:val="000000"/>
          <w:sz w:val="26"/>
          <w:szCs w:val="26"/>
        </w:rPr>
        <w:t>T</w:t>
      </w:r>
      <w:r w:rsidR="00B176C8" w:rsidRPr="00CE279A">
        <w:rPr>
          <w:color w:val="000000"/>
          <w:sz w:val="26"/>
          <w:szCs w:val="26"/>
        </w:rPr>
        <w:t>he 2018 Compliance period).</w:t>
      </w:r>
      <w:r w:rsidRPr="00CE279A">
        <w:rPr>
          <w:color w:val="000000"/>
          <w:sz w:val="26"/>
          <w:szCs w:val="26"/>
        </w:rPr>
        <w:t xml:space="preserve">  No Response to the Petition has been filed.  For the reasons set forth herein, we will </w:t>
      </w:r>
      <w:r w:rsidR="006B4F81" w:rsidRPr="00CE279A">
        <w:rPr>
          <w:color w:val="000000"/>
          <w:sz w:val="26"/>
          <w:szCs w:val="26"/>
        </w:rPr>
        <w:t xml:space="preserve">deny </w:t>
      </w:r>
      <w:r w:rsidRPr="00CE279A">
        <w:rPr>
          <w:color w:val="000000"/>
          <w:sz w:val="26"/>
          <w:szCs w:val="26"/>
        </w:rPr>
        <w:t xml:space="preserve">the </w:t>
      </w:r>
      <w:r w:rsidRPr="00CE279A">
        <w:rPr>
          <w:i/>
          <w:color w:val="000000"/>
          <w:sz w:val="26"/>
          <w:szCs w:val="26"/>
        </w:rPr>
        <w:t>Petition</w:t>
      </w:r>
      <w:r w:rsidR="00B176C8" w:rsidRPr="00CE279A">
        <w:rPr>
          <w:i/>
          <w:color w:val="000000"/>
          <w:sz w:val="26"/>
          <w:szCs w:val="26"/>
        </w:rPr>
        <w:t xml:space="preserve"> for Reconsideration</w:t>
      </w:r>
      <w:r w:rsidRPr="00CE279A">
        <w:rPr>
          <w:color w:val="000000"/>
          <w:sz w:val="26"/>
          <w:szCs w:val="26"/>
        </w:rPr>
        <w:t xml:space="preserve">, </w:t>
      </w:r>
      <w:r w:rsidRPr="00CE279A">
        <w:rPr>
          <w:sz w:val="26"/>
          <w:szCs w:val="26"/>
        </w:rPr>
        <w:t>consistent with this Opinion and Order.</w:t>
      </w:r>
    </w:p>
    <w:p w14:paraId="14A7F961" w14:textId="77777777" w:rsidR="00C425EC" w:rsidRPr="00CE279A" w:rsidRDefault="00C425EC" w:rsidP="008A1D49">
      <w:pPr>
        <w:widowControl/>
        <w:spacing w:line="360" w:lineRule="auto"/>
        <w:ind w:firstLine="1440"/>
        <w:rPr>
          <w:sz w:val="26"/>
          <w:szCs w:val="26"/>
        </w:rPr>
      </w:pPr>
    </w:p>
    <w:p w14:paraId="7C4F970A" w14:textId="77777777" w:rsidR="00EC5ACE" w:rsidRPr="00CE279A" w:rsidRDefault="00EC5ACE" w:rsidP="008A1D49">
      <w:pPr>
        <w:keepNext/>
        <w:widowControl/>
        <w:spacing w:line="360" w:lineRule="auto"/>
        <w:jc w:val="center"/>
        <w:rPr>
          <w:b/>
          <w:sz w:val="26"/>
          <w:szCs w:val="26"/>
        </w:rPr>
      </w:pPr>
      <w:r w:rsidRPr="00CE279A">
        <w:rPr>
          <w:b/>
          <w:sz w:val="26"/>
          <w:szCs w:val="26"/>
        </w:rPr>
        <w:lastRenderedPageBreak/>
        <w:t>History of Proceeding</w:t>
      </w:r>
    </w:p>
    <w:p w14:paraId="146242B6" w14:textId="77777777" w:rsidR="00E86B55" w:rsidRPr="00CE279A" w:rsidRDefault="00E86B55" w:rsidP="008A1D49">
      <w:pPr>
        <w:keepNext/>
        <w:widowControl/>
        <w:spacing w:line="360" w:lineRule="auto"/>
        <w:ind w:firstLine="1440"/>
        <w:rPr>
          <w:sz w:val="26"/>
          <w:szCs w:val="26"/>
        </w:rPr>
      </w:pPr>
    </w:p>
    <w:p w14:paraId="18A5FF22" w14:textId="77777777" w:rsidR="00BD2924" w:rsidRPr="00CE279A" w:rsidRDefault="006E48CD" w:rsidP="008A1D49">
      <w:pPr>
        <w:widowControl/>
        <w:spacing w:line="360" w:lineRule="auto"/>
        <w:ind w:firstLine="1440"/>
        <w:rPr>
          <w:rFonts w:eastAsiaTheme="minorHAnsi"/>
          <w:sz w:val="26"/>
          <w:szCs w:val="26"/>
        </w:rPr>
      </w:pPr>
      <w:r w:rsidRPr="00CE279A">
        <w:rPr>
          <w:sz w:val="26"/>
          <w:szCs w:val="26"/>
        </w:rPr>
        <w:t>FES is an electric generation supplier (EGS) licensed under the provisions of Chapter 28 of the Public Utility Code.</w:t>
      </w:r>
    </w:p>
    <w:p w14:paraId="33398BFA" w14:textId="77777777" w:rsidR="00DC56D9" w:rsidRPr="00CE279A" w:rsidRDefault="00DC56D9" w:rsidP="008A1D49">
      <w:pPr>
        <w:widowControl/>
        <w:autoSpaceDE w:val="0"/>
        <w:autoSpaceDN w:val="0"/>
        <w:adjustRightInd w:val="0"/>
        <w:ind w:left="1440"/>
        <w:rPr>
          <w:rFonts w:eastAsiaTheme="minorHAnsi"/>
          <w:sz w:val="26"/>
          <w:szCs w:val="26"/>
        </w:rPr>
      </w:pPr>
    </w:p>
    <w:p w14:paraId="59E9FCCB" w14:textId="06FAD010" w:rsidR="00DC56D9" w:rsidRPr="00CE279A" w:rsidRDefault="00DC56D9" w:rsidP="008A1D49">
      <w:pPr>
        <w:widowControl/>
        <w:spacing w:line="360" w:lineRule="auto"/>
        <w:ind w:firstLine="1440"/>
        <w:rPr>
          <w:sz w:val="26"/>
          <w:szCs w:val="26"/>
        </w:rPr>
      </w:pPr>
      <w:r w:rsidRPr="00CE279A">
        <w:rPr>
          <w:sz w:val="26"/>
          <w:szCs w:val="26"/>
        </w:rPr>
        <w:t xml:space="preserve">On </w:t>
      </w:r>
      <w:bookmarkStart w:id="0" w:name="_Hlk515961964"/>
      <w:r w:rsidRPr="00CE279A">
        <w:rPr>
          <w:sz w:val="26"/>
          <w:szCs w:val="26"/>
        </w:rPr>
        <w:t>March 9, 2018, FES submitted a Financial Security Reduction Petition</w:t>
      </w:r>
      <w:r w:rsidR="00F9198E" w:rsidRPr="00CE279A">
        <w:rPr>
          <w:sz w:val="26"/>
          <w:szCs w:val="26"/>
        </w:rPr>
        <w:t xml:space="preserve"> </w:t>
      </w:r>
      <w:r w:rsidRPr="00CE279A">
        <w:rPr>
          <w:sz w:val="26"/>
          <w:szCs w:val="26"/>
        </w:rPr>
        <w:t>Renewal for the period June 10, 2018</w:t>
      </w:r>
      <w:r w:rsidR="00654CD7" w:rsidRPr="00CE279A">
        <w:rPr>
          <w:sz w:val="26"/>
          <w:szCs w:val="26"/>
        </w:rPr>
        <w:t>,</w:t>
      </w:r>
      <w:r w:rsidRPr="00CE279A">
        <w:rPr>
          <w:sz w:val="26"/>
          <w:szCs w:val="26"/>
        </w:rPr>
        <w:t xml:space="preserve"> through June 10, 2019 (FES 2018 </w:t>
      </w:r>
      <w:r w:rsidR="002349C7" w:rsidRPr="00CE279A">
        <w:rPr>
          <w:sz w:val="26"/>
          <w:szCs w:val="26"/>
        </w:rPr>
        <w:t xml:space="preserve">Renewal </w:t>
      </w:r>
      <w:r w:rsidRPr="00CE279A">
        <w:rPr>
          <w:sz w:val="26"/>
          <w:szCs w:val="26"/>
        </w:rPr>
        <w:t>Petition)</w:t>
      </w:r>
      <w:bookmarkEnd w:id="0"/>
      <w:r w:rsidRPr="00CE279A">
        <w:rPr>
          <w:sz w:val="26"/>
          <w:szCs w:val="26"/>
        </w:rPr>
        <w:t>, providing all supporting documentation as required in past renewal filings including:</w:t>
      </w:r>
    </w:p>
    <w:p w14:paraId="0093E49F" w14:textId="77777777" w:rsidR="005665E9" w:rsidRPr="00CE279A" w:rsidRDefault="005665E9" w:rsidP="008A1D49">
      <w:pPr>
        <w:widowControl/>
        <w:autoSpaceDE w:val="0"/>
        <w:autoSpaceDN w:val="0"/>
        <w:adjustRightInd w:val="0"/>
        <w:spacing w:line="360" w:lineRule="auto"/>
        <w:rPr>
          <w:rFonts w:eastAsiaTheme="minorHAnsi"/>
          <w:sz w:val="26"/>
          <w:szCs w:val="26"/>
        </w:rPr>
      </w:pPr>
    </w:p>
    <w:p w14:paraId="44B65851" w14:textId="66D5AD31" w:rsidR="00DC56D9" w:rsidRPr="00CE279A" w:rsidRDefault="00DC56D9" w:rsidP="008A1D49">
      <w:pPr>
        <w:pStyle w:val="ListParagraph"/>
        <w:widowControl/>
        <w:numPr>
          <w:ilvl w:val="0"/>
          <w:numId w:val="1"/>
        </w:numPr>
        <w:autoSpaceDE w:val="0"/>
        <w:autoSpaceDN w:val="0"/>
        <w:adjustRightInd w:val="0"/>
        <w:spacing w:after="120"/>
        <w:ind w:left="1440" w:right="1440"/>
        <w:contextualSpacing w:val="0"/>
        <w:rPr>
          <w:rFonts w:eastAsiaTheme="minorHAnsi"/>
          <w:sz w:val="26"/>
          <w:szCs w:val="26"/>
        </w:rPr>
      </w:pPr>
      <w:r w:rsidRPr="00CE279A">
        <w:rPr>
          <w:rFonts w:eastAsiaTheme="minorHAnsi"/>
          <w:sz w:val="26"/>
          <w:szCs w:val="26"/>
        </w:rPr>
        <w:t>a Tax Letter of Good Standing from the Pennsylvania Department of Revenue;</w:t>
      </w:r>
    </w:p>
    <w:p w14:paraId="2266E9E1" w14:textId="2E6229A9" w:rsidR="00DC56D9" w:rsidRPr="00CE279A" w:rsidRDefault="00DC56D9" w:rsidP="008A1D49">
      <w:pPr>
        <w:pStyle w:val="ListParagraph"/>
        <w:widowControl/>
        <w:numPr>
          <w:ilvl w:val="0"/>
          <w:numId w:val="1"/>
        </w:numPr>
        <w:autoSpaceDE w:val="0"/>
        <w:autoSpaceDN w:val="0"/>
        <w:adjustRightInd w:val="0"/>
        <w:spacing w:after="120"/>
        <w:ind w:left="1440" w:right="1440"/>
        <w:contextualSpacing w:val="0"/>
        <w:rPr>
          <w:rFonts w:eastAsiaTheme="minorHAnsi"/>
          <w:sz w:val="26"/>
          <w:szCs w:val="26"/>
        </w:rPr>
      </w:pPr>
      <w:r w:rsidRPr="00CE279A">
        <w:rPr>
          <w:rFonts w:eastAsiaTheme="minorHAnsi"/>
          <w:sz w:val="26"/>
          <w:szCs w:val="26"/>
        </w:rPr>
        <w:t>FES’ gross receipts from electric generation sales to retail customers in Pennsylvania for the most recent four quarters;</w:t>
      </w:r>
    </w:p>
    <w:p w14:paraId="6127227F" w14:textId="06E511B6" w:rsidR="00DC56D9" w:rsidRPr="00CE279A" w:rsidRDefault="00DC56D9" w:rsidP="008A1D49">
      <w:pPr>
        <w:pStyle w:val="ListParagraph"/>
        <w:widowControl/>
        <w:numPr>
          <w:ilvl w:val="0"/>
          <w:numId w:val="1"/>
        </w:numPr>
        <w:autoSpaceDE w:val="0"/>
        <w:autoSpaceDN w:val="0"/>
        <w:adjustRightInd w:val="0"/>
        <w:spacing w:after="120"/>
        <w:ind w:left="1440" w:right="1440"/>
        <w:contextualSpacing w:val="0"/>
        <w:rPr>
          <w:rFonts w:eastAsiaTheme="minorHAnsi"/>
          <w:sz w:val="26"/>
          <w:szCs w:val="26"/>
        </w:rPr>
      </w:pPr>
      <w:r w:rsidRPr="00CE279A">
        <w:rPr>
          <w:rFonts w:eastAsiaTheme="minorHAnsi"/>
          <w:sz w:val="26"/>
          <w:szCs w:val="26"/>
        </w:rPr>
        <w:t>evidence of FES’ gross receipts tax (GRT) prepayment for 2018;</w:t>
      </w:r>
    </w:p>
    <w:p w14:paraId="35634019" w14:textId="77777777" w:rsidR="00DC56D9" w:rsidRPr="00CE279A" w:rsidRDefault="00DC56D9" w:rsidP="008A1D49">
      <w:pPr>
        <w:pStyle w:val="ListParagraph"/>
        <w:widowControl/>
        <w:numPr>
          <w:ilvl w:val="0"/>
          <w:numId w:val="1"/>
        </w:numPr>
        <w:autoSpaceDE w:val="0"/>
        <w:autoSpaceDN w:val="0"/>
        <w:adjustRightInd w:val="0"/>
        <w:spacing w:after="120"/>
        <w:ind w:left="1440" w:right="1440"/>
        <w:contextualSpacing w:val="0"/>
        <w:rPr>
          <w:rFonts w:eastAsiaTheme="minorHAnsi"/>
          <w:sz w:val="26"/>
          <w:szCs w:val="26"/>
        </w:rPr>
      </w:pPr>
      <w:r w:rsidRPr="00CE279A">
        <w:rPr>
          <w:rFonts w:eastAsiaTheme="minorHAnsi"/>
          <w:sz w:val="26"/>
          <w:szCs w:val="26"/>
        </w:rPr>
        <w:t>Evidence of FES’ compliance with the Alternate Energy Portfolio Standards (“AEPS”) requirements for the most recent reporting period; and,</w:t>
      </w:r>
    </w:p>
    <w:p w14:paraId="3B9ED061" w14:textId="1CE53A60" w:rsidR="00DC56D9" w:rsidRPr="00CE279A" w:rsidRDefault="00DC56D9" w:rsidP="008A1D49">
      <w:pPr>
        <w:pStyle w:val="ListParagraph"/>
        <w:widowControl/>
        <w:numPr>
          <w:ilvl w:val="0"/>
          <w:numId w:val="1"/>
        </w:numPr>
        <w:autoSpaceDE w:val="0"/>
        <w:autoSpaceDN w:val="0"/>
        <w:adjustRightInd w:val="0"/>
        <w:ind w:left="1440" w:right="1440"/>
        <w:contextualSpacing w:val="0"/>
        <w:rPr>
          <w:rFonts w:eastAsiaTheme="minorHAnsi"/>
          <w:sz w:val="26"/>
          <w:szCs w:val="26"/>
        </w:rPr>
      </w:pPr>
      <w:r w:rsidRPr="00CE279A">
        <w:rPr>
          <w:rFonts w:eastAsiaTheme="minorHAnsi"/>
          <w:sz w:val="26"/>
          <w:szCs w:val="26"/>
        </w:rPr>
        <w:t>a check in the amount of the necessary filing fee.</w:t>
      </w:r>
    </w:p>
    <w:p w14:paraId="56ACF626" w14:textId="77777777" w:rsidR="00DC56D9" w:rsidRPr="00CE279A" w:rsidRDefault="00DC56D9" w:rsidP="008A1D49">
      <w:pPr>
        <w:widowControl/>
        <w:autoSpaceDE w:val="0"/>
        <w:autoSpaceDN w:val="0"/>
        <w:adjustRightInd w:val="0"/>
        <w:ind w:left="1440" w:right="1440"/>
        <w:rPr>
          <w:rFonts w:eastAsiaTheme="minorHAnsi"/>
          <w:sz w:val="26"/>
          <w:szCs w:val="26"/>
        </w:rPr>
      </w:pPr>
    </w:p>
    <w:p w14:paraId="7C482117" w14:textId="226256E8" w:rsidR="00DC56D9" w:rsidRPr="00CE279A" w:rsidRDefault="00DC56D9" w:rsidP="008A1D49">
      <w:pPr>
        <w:widowControl/>
        <w:autoSpaceDE w:val="0"/>
        <w:autoSpaceDN w:val="0"/>
        <w:adjustRightInd w:val="0"/>
        <w:ind w:left="1440" w:right="1440"/>
        <w:rPr>
          <w:rFonts w:eastAsiaTheme="minorHAnsi"/>
          <w:sz w:val="26"/>
          <w:szCs w:val="26"/>
        </w:rPr>
      </w:pPr>
      <w:r w:rsidRPr="00CE279A">
        <w:rPr>
          <w:rFonts w:eastAsiaTheme="minorHAnsi"/>
          <w:sz w:val="26"/>
          <w:szCs w:val="26"/>
        </w:rPr>
        <w:t>FES also informed Staff through a response to a Staff data request</w:t>
      </w:r>
      <w:r w:rsidR="00876EA2" w:rsidRPr="00CE279A">
        <w:rPr>
          <w:rFonts w:eastAsiaTheme="minorHAnsi"/>
          <w:sz w:val="26"/>
          <w:szCs w:val="26"/>
        </w:rPr>
        <w:t xml:space="preserve"> </w:t>
      </w:r>
      <w:r w:rsidRPr="00CE279A">
        <w:rPr>
          <w:rFonts w:eastAsiaTheme="minorHAnsi"/>
          <w:sz w:val="26"/>
          <w:szCs w:val="26"/>
        </w:rPr>
        <w:t>that FES had, on March 8, 2018, electronically prepaid in full its 2018 GRT prepayment liability for the period ending December 31, 2018.</w:t>
      </w:r>
    </w:p>
    <w:p w14:paraId="762A734D" w14:textId="77777777" w:rsidR="00DC56D9" w:rsidRPr="00CE279A" w:rsidRDefault="00DC56D9" w:rsidP="008A1D49">
      <w:pPr>
        <w:widowControl/>
        <w:autoSpaceDE w:val="0"/>
        <w:autoSpaceDN w:val="0"/>
        <w:adjustRightInd w:val="0"/>
        <w:ind w:left="1440" w:right="1440"/>
        <w:rPr>
          <w:rFonts w:eastAsiaTheme="minorHAnsi"/>
          <w:sz w:val="26"/>
          <w:szCs w:val="26"/>
        </w:rPr>
      </w:pPr>
    </w:p>
    <w:p w14:paraId="55964C3B" w14:textId="77777777" w:rsidR="005665E9" w:rsidRPr="00CE279A" w:rsidRDefault="005665E9" w:rsidP="008A1D49">
      <w:pPr>
        <w:widowControl/>
        <w:autoSpaceDE w:val="0"/>
        <w:autoSpaceDN w:val="0"/>
        <w:adjustRightInd w:val="0"/>
        <w:ind w:left="1440" w:right="1440"/>
        <w:rPr>
          <w:rFonts w:eastAsiaTheme="minorHAnsi"/>
          <w:sz w:val="26"/>
          <w:szCs w:val="26"/>
        </w:rPr>
      </w:pPr>
    </w:p>
    <w:p w14:paraId="01F745A2" w14:textId="153B5CDA" w:rsidR="00DC56D9" w:rsidRPr="00CE279A" w:rsidRDefault="00DC56D9" w:rsidP="008A1D49">
      <w:pPr>
        <w:widowControl/>
        <w:autoSpaceDE w:val="0"/>
        <w:autoSpaceDN w:val="0"/>
        <w:adjustRightInd w:val="0"/>
        <w:spacing w:line="360" w:lineRule="auto"/>
        <w:rPr>
          <w:rFonts w:eastAsiaTheme="minorHAnsi"/>
          <w:sz w:val="26"/>
          <w:szCs w:val="26"/>
        </w:rPr>
      </w:pPr>
      <w:bookmarkStart w:id="1" w:name="_Hlk515954597"/>
      <w:r w:rsidRPr="00CE279A">
        <w:rPr>
          <w:rFonts w:eastAsiaTheme="minorHAnsi"/>
          <w:i/>
          <w:sz w:val="26"/>
          <w:szCs w:val="26"/>
        </w:rPr>
        <w:t>Petition for Reconsideration</w:t>
      </w:r>
      <w:r w:rsidRPr="00CE279A">
        <w:rPr>
          <w:rFonts w:eastAsiaTheme="minorHAnsi"/>
          <w:sz w:val="26"/>
          <w:szCs w:val="26"/>
        </w:rPr>
        <w:t xml:space="preserve"> at </w:t>
      </w:r>
      <w:r w:rsidR="00857806" w:rsidRPr="00CE279A">
        <w:rPr>
          <w:rFonts w:eastAsiaTheme="minorHAnsi"/>
          <w:sz w:val="26"/>
          <w:szCs w:val="26"/>
        </w:rPr>
        <w:t>¶</w:t>
      </w:r>
      <w:r w:rsidRPr="00CE279A">
        <w:rPr>
          <w:rFonts w:eastAsiaTheme="minorHAnsi"/>
          <w:sz w:val="26"/>
          <w:szCs w:val="26"/>
        </w:rPr>
        <w:t xml:space="preserve"> 10</w:t>
      </w:r>
      <w:bookmarkEnd w:id="1"/>
      <w:r w:rsidR="005665E9" w:rsidRPr="00CE279A">
        <w:rPr>
          <w:rFonts w:eastAsiaTheme="minorHAnsi"/>
          <w:sz w:val="26"/>
          <w:szCs w:val="26"/>
        </w:rPr>
        <w:t>.</w:t>
      </w:r>
    </w:p>
    <w:p w14:paraId="0637154C" w14:textId="77777777" w:rsidR="00FB1D46" w:rsidRPr="00CE279A" w:rsidRDefault="00FB1D46" w:rsidP="008A1D49">
      <w:pPr>
        <w:widowControl/>
        <w:autoSpaceDE w:val="0"/>
        <w:autoSpaceDN w:val="0"/>
        <w:adjustRightInd w:val="0"/>
        <w:spacing w:line="360" w:lineRule="auto"/>
        <w:jc w:val="both"/>
        <w:rPr>
          <w:rFonts w:eastAsiaTheme="minorHAnsi"/>
          <w:sz w:val="26"/>
          <w:szCs w:val="26"/>
        </w:rPr>
      </w:pPr>
    </w:p>
    <w:p w14:paraId="0A38B5FE" w14:textId="79963E10" w:rsidR="00162834" w:rsidRPr="00CE279A" w:rsidRDefault="00162834" w:rsidP="008A1D49">
      <w:pPr>
        <w:widowControl/>
        <w:autoSpaceDE w:val="0"/>
        <w:autoSpaceDN w:val="0"/>
        <w:adjustRightInd w:val="0"/>
        <w:spacing w:line="360" w:lineRule="auto"/>
        <w:ind w:firstLine="1440"/>
        <w:rPr>
          <w:rFonts w:eastAsiaTheme="minorHAnsi"/>
          <w:sz w:val="26"/>
          <w:szCs w:val="26"/>
        </w:rPr>
      </w:pPr>
      <w:r w:rsidRPr="00CE279A">
        <w:rPr>
          <w:rFonts w:eastAsiaTheme="minorHAnsi"/>
          <w:sz w:val="26"/>
          <w:szCs w:val="26"/>
        </w:rPr>
        <w:t>On April 2, 2018, FES provided the Commission with notice of a material change to its business operations, informing the Commission of the fact that on March</w:t>
      </w:r>
      <w:r w:rsidR="00876EA2" w:rsidRPr="00CE279A">
        <w:rPr>
          <w:rFonts w:eastAsiaTheme="minorHAnsi"/>
          <w:sz w:val="26"/>
          <w:szCs w:val="26"/>
        </w:rPr>
        <w:t> </w:t>
      </w:r>
      <w:r w:rsidRPr="00CE279A">
        <w:rPr>
          <w:rFonts w:eastAsiaTheme="minorHAnsi"/>
          <w:sz w:val="26"/>
          <w:szCs w:val="26"/>
        </w:rPr>
        <w:t>31, 2018, FES filed a voluntary petition in the United States Court for the Northern District of Ohio (“Court”) for relief pursuant to Chapter 11 of Title 11 of the United States Code</w:t>
      </w:r>
      <w:r w:rsidR="005665E9" w:rsidRPr="00CE279A">
        <w:rPr>
          <w:rFonts w:eastAsiaTheme="minorHAnsi"/>
          <w:sz w:val="26"/>
          <w:szCs w:val="26"/>
        </w:rPr>
        <w:t>.</w:t>
      </w:r>
      <w:r w:rsidRPr="00CE279A">
        <w:rPr>
          <w:rStyle w:val="FootnoteReference"/>
          <w:rFonts w:eastAsiaTheme="minorHAnsi"/>
          <w:sz w:val="26"/>
          <w:szCs w:val="26"/>
        </w:rPr>
        <w:footnoteReference w:id="1"/>
      </w:r>
    </w:p>
    <w:p w14:paraId="3CAA9048" w14:textId="77777777" w:rsidR="00162834" w:rsidRPr="00CE279A" w:rsidRDefault="00162834" w:rsidP="008A1D49">
      <w:pPr>
        <w:widowControl/>
        <w:autoSpaceDE w:val="0"/>
        <w:autoSpaceDN w:val="0"/>
        <w:adjustRightInd w:val="0"/>
        <w:spacing w:line="360" w:lineRule="auto"/>
        <w:jc w:val="both"/>
        <w:rPr>
          <w:rFonts w:eastAsiaTheme="minorHAnsi"/>
          <w:sz w:val="26"/>
          <w:szCs w:val="26"/>
        </w:rPr>
      </w:pPr>
    </w:p>
    <w:p w14:paraId="766DDB85" w14:textId="185C566D" w:rsidR="000B4E4D" w:rsidRPr="00CE279A" w:rsidRDefault="00FB1D46" w:rsidP="008A1D49">
      <w:pPr>
        <w:widowControl/>
        <w:autoSpaceDE w:val="0"/>
        <w:autoSpaceDN w:val="0"/>
        <w:adjustRightInd w:val="0"/>
        <w:spacing w:line="360" w:lineRule="auto"/>
        <w:jc w:val="both"/>
        <w:rPr>
          <w:rFonts w:eastAsiaTheme="minorHAnsi"/>
          <w:sz w:val="26"/>
          <w:szCs w:val="26"/>
        </w:rPr>
      </w:pPr>
      <w:r w:rsidRPr="00CE279A">
        <w:rPr>
          <w:rFonts w:eastAsiaTheme="minorHAnsi"/>
          <w:sz w:val="26"/>
          <w:szCs w:val="26"/>
        </w:rPr>
        <w:tab/>
      </w:r>
      <w:r w:rsidR="005665E9" w:rsidRPr="00CE279A">
        <w:rPr>
          <w:rFonts w:eastAsiaTheme="minorHAnsi"/>
          <w:sz w:val="26"/>
          <w:szCs w:val="26"/>
        </w:rPr>
        <w:tab/>
      </w:r>
      <w:r w:rsidR="00F7356A">
        <w:rPr>
          <w:rFonts w:eastAsiaTheme="minorHAnsi"/>
          <w:sz w:val="26"/>
          <w:szCs w:val="26"/>
        </w:rPr>
        <w:t xml:space="preserve">As noted, </w:t>
      </w:r>
      <w:r w:rsidRPr="00CE279A">
        <w:rPr>
          <w:rFonts w:eastAsiaTheme="minorHAnsi"/>
          <w:sz w:val="26"/>
          <w:szCs w:val="26"/>
        </w:rPr>
        <w:t xml:space="preserve">the </w:t>
      </w:r>
      <w:r w:rsidR="00162834" w:rsidRPr="00CE279A">
        <w:rPr>
          <w:rFonts w:eastAsiaTheme="minorHAnsi"/>
          <w:sz w:val="26"/>
          <w:szCs w:val="26"/>
        </w:rPr>
        <w:t>S</w:t>
      </w:r>
      <w:r w:rsidRPr="00CE279A">
        <w:rPr>
          <w:rFonts w:eastAsiaTheme="minorHAnsi"/>
          <w:sz w:val="26"/>
          <w:szCs w:val="26"/>
        </w:rPr>
        <w:t xml:space="preserve">taff issued </w:t>
      </w:r>
      <w:r w:rsidR="00F7356A">
        <w:rPr>
          <w:rFonts w:eastAsiaTheme="minorHAnsi"/>
          <w:sz w:val="26"/>
          <w:szCs w:val="26"/>
        </w:rPr>
        <w:t xml:space="preserve">the </w:t>
      </w:r>
      <w:r w:rsidRPr="00CE279A">
        <w:rPr>
          <w:rFonts w:eastAsiaTheme="minorHAnsi"/>
          <w:i/>
          <w:sz w:val="26"/>
          <w:szCs w:val="26"/>
        </w:rPr>
        <w:t>April 18 Letter</w:t>
      </w:r>
      <w:r w:rsidR="00365442" w:rsidRPr="00CE279A">
        <w:rPr>
          <w:rStyle w:val="FootnoteReference"/>
          <w:sz w:val="26"/>
          <w:szCs w:val="26"/>
        </w:rPr>
        <w:footnoteReference w:id="2"/>
      </w:r>
      <w:r w:rsidRPr="00CE279A">
        <w:rPr>
          <w:rFonts w:eastAsiaTheme="minorHAnsi"/>
          <w:sz w:val="26"/>
          <w:szCs w:val="26"/>
        </w:rPr>
        <w:t xml:space="preserve"> denying FES’ petition for renewal of its security requirement at a 5% level</w:t>
      </w:r>
      <w:r w:rsidR="00DC56D9" w:rsidRPr="00CE279A">
        <w:rPr>
          <w:rFonts w:eastAsiaTheme="minorHAnsi"/>
          <w:sz w:val="26"/>
          <w:szCs w:val="26"/>
        </w:rPr>
        <w:t xml:space="preserve">.  </w:t>
      </w:r>
      <w:r w:rsidR="00162834" w:rsidRPr="00CE279A">
        <w:rPr>
          <w:rFonts w:eastAsiaTheme="minorHAnsi"/>
          <w:sz w:val="26"/>
          <w:szCs w:val="26"/>
        </w:rPr>
        <w:t xml:space="preserve">In raising </w:t>
      </w:r>
      <w:r w:rsidR="000B4E4D" w:rsidRPr="00CE279A">
        <w:rPr>
          <w:rFonts w:eastAsiaTheme="minorHAnsi"/>
          <w:sz w:val="26"/>
          <w:szCs w:val="26"/>
        </w:rPr>
        <w:t>FES’ security level from 5% to</w:t>
      </w:r>
      <w:r w:rsidR="00162834" w:rsidRPr="00CE279A">
        <w:rPr>
          <w:rFonts w:eastAsiaTheme="minorHAnsi"/>
          <w:sz w:val="26"/>
          <w:szCs w:val="26"/>
        </w:rPr>
        <w:t xml:space="preserve"> </w:t>
      </w:r>
      <w:r w:rsidR="000B4E4D" w:rsidRPr="00CE279A">
        <w:rPr>
          <w:rFonts w:eastAsiaTheme="minorHAnsi"/>
          <w:sz w:val="26"/>
          <w:szCs w:val="26"/>
        </w:rPr>
        <w:t>10%</w:t>
      </w:r>
      <w:r w:rsidR="00162834" w:rsidRPr="00CE279A">
        <w:rPr>
          <w:rFonts w:eastAsiaTheme="minorHAnsi"/>
          <w:sz w:val="26"/>
          <w:szCs w:val="26"/>
        </w:rPr>
        <w:t>, TUS</w:t>
      </w:r>
      <w:r w:rsidR="006B2D50" w:rsidRPr="00CE279A">
        <w:rPr>
          <w:rFonts w:eastAsiaTheme="minorHAnsi"/>
          <w:sz w:val="26"/>
          <w:szCs w:val="26"/>
        </w:rPr>
        <w:t xml:space="preserve"> stated</w:t>
      </w:r>
      <w:r w:rsidR="000B4E4D" w:rsidRPr="00CE279A">
        <w:rPr>
          <w:rFonts w:eastAsiaTheme="minorHAnsi"/>
          <w:sz w:val="26"/>
          <w:szCs w:val="26"/>
        </w:rPr>
        <w:t>:</w:t>
      </w:r>
    </w:p>
    <w:p w14:paraId="433A74A3" w14:textId="77777777" w:rsidR="006B4F81" w:rsidRPr="00CE279A" w:rsidRDefault="006B4F81" w:rsidP="008A1D49">
      <w:pPr>
        <w:widowControl/>
        <w:autoSpaceDE w:val="0"/>
        <w:autoSpaceDN w:val="0"/>
        <w:adjustRightInd w:val="0"/>
        <w:spacing w:line="360" w:lineRule="auto"/>
        <w:jc w:val="both"/>
        <w:rPr>
          <w:rFonts w:eastAsiaTheme="minorHAnsi"/>
          <w:sz w:val="26"/>
          <w:szCs w:val="26"/>
        </w:rPr>
      </w:pPr>
    </w:p>
    <w:p w14:paraId="2634F7EB" w14:textId="7AAE557D" w:rsidR="00A82925" w:rsidRPr="00CE279A" w:rsidRDefault="006B4F81" w:rsidP="002B2540">
      <w:pPr>
        <w:widowControl/>
        <w:autoSpaceDE w:val="0"/>
        <w:autoSpaceDN w:val="0"/>
        <w:adjustRightInd w:val="0"/>
        <w:ind w:left="1440" w:right="1440"/>
        <w:rPr>
          <w:rFonts w:eastAsiaTheme="minorHAnsi"/>
          <w:sz w:val="26"/>
          <w:szCs w:val="26"/>
        </w:rPr>
      </w:pPr>
      <w:r w:rsidRPr="00CE279A">
        <w:rPr>
          <w:rFonts w:eastAsiaTheme="minorHAnsi"/>
          <w:i/>
          <w:sz w:val="26"/>
          <w:szCs w:val="26"/>
        </w:rPr>
        <w:t xml:space="preserve">The financial security is designed “to ensure the financial responsibility of the electric generation supplier and the supply of electricity at retail in accordance with contracts, agreements and arrangements.”  </w:t>
      </w:r>
      <w:r w:rsidR="00162834" w:rsidRPr="00CE279A">
        <w:rPr>
          <w:rFonts w:eastAsiaTheme="minorHAnsi"/>
          <w:i/>
          <w:sz w:val="26"/>
          <w:szCs w:val="26"/>
        </w:rPr>
        <w:t>Because of Moody’s downgrade of FES’s rating outlook</w:t>
      </w:r>
      <w:r w:rsidR="00162834" w:rsidRPr="00CE279A">
        <w:rPr>
          <w:rFonts w:eastAsiaTheme="minorHAnsi"/>
          <w:sz w:val="26"/>
          <w:szCs w:val="26"/>
        </w:rPr>
        <w:t xml:space="preserve">, </w:t>
      </w:r>
      <w:r w:rsidR="00162834" w:rsidRPr="00CE279A">
        <w:rPr>
          <w:rFonts w:eastAsiaTheme="minorHAnsi"/>
          <w:i/>
          <w:sz w:val="26"/>
          <w:szCs w:val="26"/>
        </w:rPr>
        <w:t>we find considerable</w:t>
      </w:r>
      <w:r w:rsidR="00C21D3E" w:rsidRPr="00CE279A">
        <w:rPr>
          <w:rFonts w:eastAsiaTheme="minorHAnsi"/>
          <w:i/>
          <w:sz w:val="26"/>
          <w:szCs w:val="26"/>
        </w:rPr>
        <w:t xml:space="preserve"> </w:t>
      </w:r>
      <w:r w:rsidR="00162834" w:rsidRPr="00CE279A">
        <w:rPr>
          <w:rFonts w:eastAsiaTheme="minorHAnsi"/>
          <w:i/>
          <w:sz w:val="26"/>
          <w:szCs w:val="26"/>
        </w:rPr>
        <w:t>uncertainty regarding FES’s ability to fulfil [sic] its future annual obligations under</w:t>
      </w:r>
      <w:r w:rsidR="00C21D3E" w:rsidRPr="00CE279A">
        <w:rPr>
          <w:rFonts w:eastAsiaTheme="minorHAnsi"/>
          <w:i/>
          <w:sz w:val="26"/>
          <w:szCs w:val="26"/>
        </w:rPr>
        <w:t xml:space="preserve"> </w:t>
      </w:r>
      <w:r w:rsidR="00162834" w:rsidRPr="00CE279A">
        <w:rPr>
          <w:rFonts w:eastAsiaTheme="minorHAnsi"/>
          <w:i/>
          <w:sz w:val="26"/>
          <w:szCs w:val="26"/>
        </w:rPr>
        <w:t xml:space="preserve">Section 2809. </w:t>
      </w:r>
      <w:r w:rsidR="00A82925" w:rsidRPr="00CE279A">
        <w:rPr>
          <w:rFonts w:eastAsiaTheme="minorHAnsi"/>
          <w:sz w:val="26"/>
          <w:szCs w:val="26"/>
        </w:rPr>
        <w:t xml:space="preserve"> </w:t>
      </w:r>
      <w:r w:rsidR="00162834" w:rsidRPr="00CE279A">
        <w:rPr>
          <w:rFonts w:eastAsiaTheme="minorHAnsi"/>
          <w:sz w:val="26"/>
          <w:szCs w:val="26"/>
        </w:rPr>
        <w:t>In particular, we have concerns regarding FES’s ability to fulfil</w:t>
      </w:r>
      <w:r w:rsidR="00C21D3E" w:rsidRPr="00CE279A">
        <w:rPr>
          <w:rFonts w:eastAsiaTheme="minorHAnsi"/>
          <w:sz w:val="26"/>
          <w:szCs w:val="26"/>
        </w:rPr>
        <w:t xml:space="preserve"> </w:t>
      </w:r>
      <w:r w:rsidR="00162834" w:rsidRPr="00CE279A">
        <w:rPr>
          <w:rFonts w:eastAsiaTheme="minorHAnsi"/>
          <w:sz w:val="26"/>
          <w:szCs w:val="26"/>
        </w:rPr>
        <w:t>[</w:t>
      </w:r>
      <w:r w:rsidR="00162834" w:rsidRPr="00CE279A">
        <w:rPr>
          <w:rFonts w:eastAsiaTheme="minorHAnsi"/>
          <w:i/>
          <w:sz w:val="26"/>
          <w:szCs w:val="26"/>
        </w:rPr>
        <w:t>sic</w:t>
      </w:r>
      <w:r w:rsidR="00162834" w:rsidRPr="00CE279A">
        <w:rPr>
          <w:rFonts w:eastAsiaTheme="minorHAnsi"/>
          <w:sz w:val="26"/>
          <w:szCs w:val="26"/>
        </w:rPr>
        <w:t>] its obligations related to gross receipts taxes, Alternate Energy Portfolio</w:t>
      </w:r>
      <w:r w:rsidR="00C21D3E" w:rsidRPr="00CE279A">
        <w:rPr>
          <w:rFonts w:eastAsiaTheme="minorHAnsi"/>
          <w:sz w:val="26"/>
          <w:szCs w:val="26"/>
        </w:rPr>
        <w:t xml:space="preserve"> </w:t>
      </w:r>
      <w:r w:rsidR="00162834" w:rsidRPr="00CE279A">
        <w:rPr>
          <w:rFonts w:eastAsiaTheme="minorHAnsi"/>
          <w:sz w:val="26"/>
          <w:szCs w:val="26"/>
        </w:rPr>
        <w:t>Standards (A</w:t>
      </w:r>
      <w:r w:rsidR="00136BF2">
        <w:rPr>
          <w:rFonts w:eastAsiaTheme="minorHAnsi"/>
          <w:sz w:val="26"/>
          <w:szCs w:val="26"/>
        </w:rPr>
        <w:t>E</w:t>
      </w:r>
      <w:r w:rsidR="00162834" w:rsidRPr="00CE279A">
        <w:rPr>
          <w:rFonts w:eastAsiaTheme="minorHAnsi"/>
          <w:sz w:val="26"/>
          <w:szCs w:val="26"/>
        </w:rPr>
        <w:t>PS) and the Commission’s Annual Fee levied on EGSs.</w:t>
      </w:r>
    </w:p>
    <w:p w14:paraId="0E8124C0" w14:textId="77777777" w:rsidR="000C0F73" w:rsidRPr="00CE279A" w:rsidRDefault="000C0F73" w:rsidP="008A1D49">
      <w:pPr>
        <w:widowControl/>
        <w:autoSpaceDE w:val="0"/>
        <w:autoSpaceDN w:val="0"/>
        <w:adjustRightInd w:val="0"/>
        <w:ind w:left="1440" w:right="1440"/>
        <w:rPr>
          <w:rFonts w:eastAsiaTheme="minorHAnsi"/>
          <w:sz w:val="26"/>
          <w:szCs w:val="26"/>
        </w:rPr>
      </w:pPr>
    </w:p>
    <w:p w14:paraId="662266FC" w14:textId="77C6F1BE" w:rsidR="00162834" w:rsidRPr="00CE279A" w:rsidRDefault="00162834" w:rsidP="002B2540">
      <w:pPr>
        <w:widowControl/>
        <w:autoSpaceDE w:val="0"/>
        <w:autoSpaceDN w:val="0"/>
        <w:adjustRightInd w:val="0"/>
        <w:ind w:left="1440" w:right="1440"/>
        <w:rPr>
          <w:rFonts w:eastAsiaTheme="minorHAnsi"/>
          <w:sz w:val="26"/>
          <w:szCs w:val="26"/>
        </w:rPr>
      </w:pPr>
      <w:r w:rsidRPr="00CE279A">
        <w:rPr>
          <w:rFonts w:eastAsiaTheme="minorHAnsi"/>
          <w:sz w:val="26"/>
          <w:szCs w:val="26"/>
        </w:rPr>
        <w:t>Because of</w:t>
      </w:r>
      <w:r w:rsidR="00C21D3E" w:rsidRPr="00CE279A">
        <w:rPr>
          <w:rFonts w:eastAsiaTheme="minorHAnsi"/>
          <w:sz w:val="26"/>
          <w:szCs w:val="26"/>
        </w:rPr>
        <w:t xml:space="preserve"> </w:t>
      </w:r>
      <w:r w:rsidRPr="00CE279A">
        <w:rPr>
          <w:rFonts w:eastAsiaTheme="minorHAnsi"/>
          <w:sz w:val="26"/>
          <w:szCs w:val="26"/>
        </w:rPr>
        <w:t>these uncertainties, we believe that it is prudent to return FES’s financial security</w:t>
      </w:r>
      <w:r w:rsidR="00C21D3E" w:rsidRPr="00CE279A">
        <w:rPr>
          <w:rFonts w:eastAsiaTheme="minorHAnsi"/>
          <w:sz w:val="26"/>
          <w:szCs w:val="26"/>
        </w:rPr>
        <w:t xml:space="preserve"> </w:t>
      </w:r>
      <w:r w:rsidRPr="00CE279A">
        <w:rPr>
          <w:rFonts w:eastAsiaTheme="minorHAnsi"/>
          <w:sz w:val="26"/>
          <w:szCs w:val="26"/>
        </w:rPr>
        <w:t>level to 10% of its most recent four quarters of revenue.</w:t>
      </w:r>
    </w:p>
    <w:p w14:paraId="50D5B400" w14:textId="77777777" w:rsidR="005665E9" w:rsidRPr="00CE279A" w:rsidRDefault="005665E9" w:rsidP="008A1D49">
      <w:pPr>
        <w:widowControl/>
        <w:autoSpaceDE w:val="0"/>
        <w:autoSpaceDN w:val="0"/>
        <w:adjustRightInd w:val="0"/>
        <w:ind w:firstLine="720"/>
        <w:jc w:val="both"/>
        <w:rPr>
          <w:rFonts w:eastAsiaTheme="minorHAnsi"/>
          <w:sz w:val="26"/>
          <w:szCs w:val="26"/>
        </w:rPr>
      </w:pPr>
    </w:p>
    <w:p w14:paraId="316757C4" w14:textId="77777777" w:rsidR="005665E9" w:rsidRPr="00CE279A" w:rsidRDefault="005665E9" w:rsidP="008A1D49">
      <w:pPr>
        <w:widowControl/>
        <w:autoSpaceDE w:val="0"/>
        <w:autoSpaceDN w:val="0"/>
        <w:adjustRightInd w:val="0"/>
        <w:ind w:firstLine="720"/>
        <w:jc w:val="both"/>
        <w:rPr>
          <w:rFonts w:eastAsiaTheme="minorHAnsi"/>
          <w:sz w:val="26"/>
          <w:szCs w:val="26"/>
        </w:rPr>
      </w:pPr>
    </w:p>
    <w:p w14:paraId="649EC607" w14:textId="77777777" w:rsidR="00162834" w:rsidRPr="00CE279A" w:rsidRDefault="00162834" w:rsidP="008A1D49">
      <w:pPr>
        <w:widowControl/>
        <w:autoSpaceDE w:val="0"/>
        <w:autoSpaceDN w:val="0"/>
        <w:adjustRightInd w:val="0"/>
        <w:jc w:val="both"/>
        <w:rPr>
          <w:rFonts w:eastAsiaTheme="minorHAnsi"/>
          <w:sz w:val="26"/>
          <w:szCs w:val="26"/>
        </w:rPr>
      </w:pPr>
      <w:r w:rsidRPr="00CE279A">
        <w:rPr>
          <w:rFonts w:eastAsiaTheme="minorHAnsi"/>
          <w:i/>
          <w:sz w:val="26"/>
          <w:szCs w:val="26"/>
        </w:rPr>
        <w:t>April 18 Letter</w:t>
      </w:r>
      <w:r w:rsidRPr="00CE279A">
        <w:rPr>
          <w:rFonts w:eastAsiaTheme="minorHAnsi"/>
          <w:sz w:val="26"/>
          <w:szCs w:val="26"/>
        </w:rPr>
        <w:t xml:space="preserve"> (</w:t>
      </w:r>
      <w:r w:rsidRPr="00CE279A">
        <w:rPr>
          <w:rFonts w:eastAsiaTheme="minorHAnsi"/>
          <w:i/>
          <w:sz w:val="26"/>
          <w:szCs w:val="26"/>
        </w:rPr>
        <w:t>emphasis added</w:t>
      </w:r>
      <w:r w:rsidRPr="00CE279A">
        <w:rPr>
          <w:rFonts w:eastAsiaTheme="minorHAnsi"/>
          <w:sz w:val="26"/>
          <w:szCs w:val="26"/>
        </w:rPr>
        <w:t>).</w:t>
      </w:r>
    </w:p>
    <w:p w14:paraId="3A1FF3DA" w14:textId="77777777" w:rsidR="006B2D50" w:rsidRPr="00CE279A" w:rsidRDefault="006B2D50" w:rsidP="008A1D49">
      <w:pPr>
        <w:widowControl/>
        <w:autoSpaceDE w:val="0"/>
        <w:autoSpaceDN w:val="0"/>
        <w:adjustRightInd w:val="0"/>
        <w:spacing w:line="360" w:lineRule="auto"/>
        <w:jc w:val="both"/>
        <w:rPr>
          <w:rFonts w:eastAsiaTheme="minorHAnsi"/>
          <w:sz w:val="26"/>
          <w:szCs w:val="26"/>
        </w:rPr>
      </w:pPr>
    </w:p>
    <w:p w14:paraId="76DACEF4" w14:textId="0CC5BDCF" w:rsidR="006B2D50" w:rsidRPr="00CE279A" w:rsidRDefault="006B2D50" w:rsidP="008A1D49">
      <w:pPr>
        <w:widowControl/>
        <w:autoSpaceDE w:val="0"/>
        <w:autoSpaceDN w:val="0"/>
        <w:adjustRightInd w:val="0"/>
        <w:spacing w:line="360" w:lineRule="auto"/>
        <w:ind w:firstLine="1440"/>
        <w:jc w:val="both"/>
        <w:rPr>
          <w:rFonts w:eastAsiaTheme="minorHAnsi"/>
          <w:sz w:val="26"/>
          <w:szCs w:val="26"/>
        </w:rPr>
      </w:pPr>
      <w:r w:rsidRPr="00CE279A">
        <w:rPr>
          <w:rFonts w:eastAsiaTheme="minorHAnsi"/>
          <w:sz w:val="26"/>
          <w:szCs w:val="26"/>
        </w:rPr>
        <w:t>O</w:t>
      </w:r>
      <w:r w:rsidR="00162834" w:rsidRPr="00CE279A">
        <w:rPr>
          <w:rFonts w:eastAsiaTheme="minorHAnsi"/>
          <w:sz w:val="26"/>
          <w:szCs w:val="26"/>
        </w:rPr>
        <w:t>n April 27, 2018, TUS issued a Secretarial Letter (</w:t>
      </w:r>
      <w:r w:rsidR="00162834" w:rsidRPr="00CE279A">
        <w:rPr>
          <w:rFonts w:eastAsiaTheme="minorHAnsi"/>
          <w:i/>
          <w:sz w:val="26"/>
          <w:szCs w:val="26"/>
        </w:rPr>
        <w:t>April 27 Letter</w:t>
      </w:r>
      <w:r w:rsidR="00162834" w:rsidRPr="00CE279A">
        <w:rPr>
          <w:rFonts w:eastAsiaTheme="minorHAnsi"/>
          <w:sz w:val="26"/>
          <w:szCs w:val="26"/>
        </w:rPr>
        <w:t>) which order</w:t>
      </w:r>
      <w:r w:rsidR="00D31534" w:rsidRPr="00CE279A">
        <w:rPr>
          <w:rFonts w:eastAsiaTheme="minorHAnsi"/>
          <w:sz w:val="26"/>
          <w:szCs w:val="26"/>
        </w:rPr>
        <w:t>ed</w:t>
      </w:r>
      <w:r w:rsidR="00162834" w:rsidRPr="00CE279A">
        <w:rPr>
          <w:rFonts w:eastAsiaTheme="minorHAnsi"/>
          <w:sz w:val="26"/>
          <w:szCs w:val="26"/>
        </w:rPr>
        <w:t xml:space="preserve"> FES to file a rider or amendment to increase its security to a 10% level</w:t>
      </w:r>
      <w:r w:rsidRPr="00CE279A">
        <w:rPr>
          <w:rFonts w:eastAsiaTheme="minorHAnsi"/>
          <w:sz w:val="26"/>
          <w:szCs w:val="26"/>
        </w:rPr>
        <w:t xml:space="preserve"> by May</w:t>
      </w:r>
      <w:r w:rsidR="00A82925" w:rsidRPr="00CE279A">
        <w:rPr>
          <w:rFonts w:eastAsiaTheme="minorHAnsi"/>
          <w:sz w:val="26"/>
          <w:szCs w:val="26"/>
        </w:rPr>
        <w:t> </w:t>
      </w:r>
      <w:r w:rsidRPr="00CE279A">
        <w:rPr>
          <w:rFonts w:eastAsiaTheme="minorHAnsi"/>
          <w:sz w:val="26"/>
          <w:szCs w:val="26"/>
        </w:rPr>
        <w:t>12, 2018</w:t>
      </w:r>
      <w:r w:rsidR="00162834" w:rsidRPr="00CE279A">
        <w:rPr>
          <w:rFonts w:eastAsiaTheme="minorHAnsi"/>
          <w:sz w:val="26"/>
          <w:szCs w:val="26"/>
        </w:rPr>
        <w:t>.</w:t>
      </w:r>
    </w:p>
    <w:p w14:paraId="434261E6" w14:textId="77777777" w:rsidR="005665E9" w:rsidRPr="00CE279A" w:rsidRDefault="005665E9" w:rsidP="008A1D49">
      <w:pPr>
        <w:widowControl/>
        <w:autoSpaceDE w:val="0"/>
        <w:autoSpaceDN w:val="0"/>
        <w:adjustRightInd w:val="0"/>
        <w:spacing w:line="360" w:lineRule="auto"/>
        <w:ind w:firstLine="1440"/>
        <w:jc w:val="both"/>
        <w:rPr>
          <w:rFonts w:eastAsiaTheme="minorHAnsi"/>
          <w:sz w:val="26"/>
          <w:szCs w:val="26"/>
        </w:rPr>
      </w:pPr>
    </w:p>
    <w:p w14:paraId="64B286C0" w14:textId="195A75E0" w:rsidR="000B4E4D" w:rsidRPr="00CE279A" w:rsidRDefault="003A3A79" w:rsidP="008A1D49">
      <w:pPr>
        <w:widowControl/>
        <w:autoSpaceDE w:val="0"/>
        <w:autoSpaceDN w:val="0"/>
        <w:adjustRightInd w:val="0"/>
        <w:spacing w:line="360" w:lineRule="auto"/>
        <w:ind w:firstLine="1440"/>
        <w:jc w:val="both"/>
        <w:rPr>
          <w:rFonts w:eastAsiaTheme="minorHAnsi"/>
          <w:sz w:val="26"/>
          <w:szCs w:val="26"/>
        </w:rPr>
      </w:pPr>
      <w:r w:rsidRPr="00CE279A">
        <w:rPr>
          <w:rFonts w:eastAsiaTheme="minorHAnsi"/>
          <w:sz w:val="26"/>
          <w:szCs w:val="26"/>
        </w:rPr>
        <w:t xml:space="preserve">On May 8, 2018, FES filed </w:t>
      </w:r>
      <w:r w:rsidR="00884DDE" w:rsidRPr="00CE279A">
        <w:rPr>
          <w:rFonts w:eastAsiaTheme="minorHAnsi"/>
          <w:sz w:val="26"/>
          <w:szCs w:val="26"/>
        </w:rPr>
        <w:t xml:space="preserve">the </w:t>
      </w:r>
      <w:r w:rsidR="005665E9" w:rsidRPr="00CE279A">
        <w:rPr>
          <w:rFonts w:eastAsiaTheme="minorHAnsi"/>
          <w:i/>
          <w:sz w:val="26"/>
          <w:szCs w:val="26"/>
        </w:rPr>
        <w:t>P</w:t>
      </w:r>
      <w:r w:rsidRPr="00CE279A">
        <w:rPr>
          <w:rFonts w:eastAsiaTheme="minorHAnsi"/>
          <w:i/>
          <w:sz w:val="26"/>
          <w:szCs w:val="26"/>
        </w:rPr>
        <w:t xml:space="preserve">etition for </w:t>
      </w:r>
      <w:r w:rsidR="005665E9" w:rsidRPr="00CE279A">
        <w:rPr>
          <w:rFonts w:eastAsiaTheme="minorHAnsi"/>
          <w:i/>
          <w:sz w:val="26"/>
          <w:szCs w:val="26"/>
        </w:rPr>
        <w:t>R</w:t>
      </w:r>
      <w:r w:rsidRPr="00CE279A">
        <w:rPr>
          <w:rFonts w:eastAsiaTheme="minorHAnsi"/>
          <w:i/>
          <w:sz w:val="26"/>
          <w:szCs w:val="26"/>
        </w:rPr>
        <w:t>econsideration</w:t>
      </w:r>
      <w:r w:rsidRPr="00CE279A">
        <w:rPr>
          <w:rFonts w:eastAsiaTheme="minorHAnsi"/>
          <w:sz w:val="26"/>
          <w:szCs w:val="26"/>
        </w:rPr>
        <w:t xml:space="preserve"> of </w:t>
      </w:r>
      <w:r w:rsidR="005665E9" w:rsidRPr="00CE279A">
        <w:rPr>
          <w:rFonts w:eastAsiaTheme="minorHAnsi"/>
          <w:sz w:val="26"/>
          <w:szCs w:val="26"/>
        </w:rPr>
        <w:t>S</w:t>
      </w:r>
      <w:r w:rsidRPr="00CE279A">
        <w:rPr>
          <w:rFonts w:eastAsiaTheme="minorHAnsi"/>
          <w:sz w:val="26"/>
          <w:szCs w:val="26"/>
        </w:rPr>
        <w:t xml:space="preserve">taff </w:t>
      </w:r>
      <w:r w:rsidR="00AE14E1" w:rsidRPr="00CE279A">
        <w:rPr>
          <w:rFonts w:eastAsiaTheme="minorHAnsi"/>
          <w:sz w:val="26"/>
          <w:szCs w:val="26"/>
        </w:rPr>
        <w:t>a</w:t>
      </w:r>
      <w:r w:rsidRPr="00CE279A">
        <w:rPr>
          <w:rFonts w:eastAsiaTheme="minorHAnsi"/>
          <w:sz w:val="26"/>
          <w:szCs w:val="26"/>
        </w:rPr>
        <w:t xml:space="preserve">ction in </w:t>
      </w:r>
      <w:r w:rsidR="000B4E4D" w:rsidRPr="00CE279A">
        <w:rPr>
          <w:rFonts w:eastAsiaTheme="minorHAnsi"/>
          <w:sz w:val="26"/>
          <w:szCs w:val="26"/>
        </w:rPr>
        <w:t>both the</w:t>
      </w:r>
      <w:r w:rsidRPr="00CE279A">
        <w:rPr>
          <w:rFonts w:eastAsiaTheme="minorHAnsi"/>
          <w:sz w:val="26"/>
          <w:szCs w:val="26"/>
        </w:rPr>
        <w:t xml:space="preserve"> </w:t>
      </w:r>
      <w:r w:rsidR="000B4E4D" w:rsidRPr="00CE279A">
        <w:rPr>
          <w:rFonts w:eastAsiaTheme="minorHAnsi"/>
          <w:sz w:val="26"/>
          <w:szCs w:val="26"/>
        </w:rPr>
        <w:t xml:space="preserve">denial of reduced bond in the </w:t>
      </w:r>
      <w:r w:rsidR="000B4E4D" w:rsidRPr="00CE279A">
        <w:rPr>
          <w:rFonts w:eastAsiaTheme="minorHAnsi"/>
          <w:i/>
          <w:sz w:val="26"/>
          <w:szCs w:val="26"/>
        </w:rPr>
        <w:t>April 18 Letter</w:t>
      </w:r>
      <w:r w:rsidR="000B4E4D" w:rsidRPr="00CE279A">
        <w:rPr>
          <w:rFonts w:eastAsiaTheme="minorHAnsi"/>
          <w:sz w:val="26"/>
          <w:szCs w:val="26"/>
        </w:rPr>
        <w:t xml:space="preserve">, and the direction to secure a new bond at the 10% level in the </w:t>
      </w:r>
      <w:r w:rsidRPr="00CE279A">
        <w:rPr>
          <w:rFonts w:eastAsiaTheme="minorHAnsi"/>
          <w:i/>
          <w:sz w:val="26"/>
          <w:szCs w:val="26"/>
        </w:rPr>
        <w:t>April 27 Letter</w:t>
      </w:r>
      <w:r w:rsidR="00C425EC" w:rsidRPr="00CE279A">
        <w:rPr>
          <w:rFonts w:eastAsiaTheme="minorHAnsi"/>
          <w:sz w:val="26"/>
          <w:szCs w:val="26"/>
        </w:rPr>
        <w:t>.</w:t>
      </w:r>
      <w:r w:rsidRPr="00CE279A">
        <w:rPr>
          <w:rStyle w:val="FootnoteReference"/>
          <w:rFonts w:eastAsiaTheme="minorHAnsi"/>
          <w:sz w:val="26"/>
          <w:szCs w:val="26"/>
        </w:rPr>
        <w:footnoteReference w:id="3"/>
      </w:r>
      <w:r w:rsidR="00C425EC" w:rsidRPr="00CE279A">
        <w:rPr>
          <w:rFonts w:eastAsiaTheme="minorHAnsi"/>
          <w:sz w:val="26"/>
          <w:szCs w:val="26"/>
        </w:rPr>
        <w:t xml:space="preserve">  </w:t>
      </w:r>
      <w:r w:rsidR="00FF3CFB" w:rsidRPr="00CE279A">
        <w:rPr>
          <w:rFonts w:eastAsiaTheme="minorHAnsi"/>
          <w:sz w:val="26"/>
          <w:szCs w:val="26"/>
        </w:rPr>
        <w:t xml:space="preserve">The </w:t>
      </w:r>
      <w:r w:rsidR="00FF3CFB" w:rsidRPr="00CE279A">
        <w:rPr>
          <w:rFonts w:eastAsiaTheme="minorHAnsi"/>
          <w:i/>
          <w:sz w:val="26"/>
          <w:szCs w:val="26"/>
        </w:rPr>
        <w:t>Petition for Reconsideration</w:t>
      </w:r>
      <w:r w:rsidRPr="00CE279A">
        <w:rPr>
          <w:rFonts w:eastAsiaTheme="minorHAnsi"/>
          <w:sz w:val="26"/>
          <w:szCs w:val="26"/>
        </w:rPr>
        <w:t xml:space="preserve"> sets forth in detail the relevant financial data which TUS has applied to the prior FES requests for the reduced 5% </w:t>
      </w:r>
      <w:r w:rsidR="000B4E4D" w:rsidRPr="00CE279A">
        <w:rPr>
          <w:rFonts w:eastAsiaTheme="minorHAnsi"/>
          <w:sz w:val="26"/>
          <w:szCs w:val="26"/>
        </w:rPr>
        <w:t xml:space="preserve">security </w:t>
      </w:r>
      <w:r w:rsidRPr="00CE279A">
        <w:rPr>
          <w:rFonts w:eastAsiaTheme="minorHAnsi"/>
          <w:sz w:val="26"/>
          <w:szCs w:val="26"/>
        </w:rPr>
        <w:t>level</w:t>
      </w:r>
      <w:r w:rsidR="00C425EC" w:rsidRPr="00CE279A">
        <w:rPr>
          <w:rFonts w:eastAsiaTheme="minorHAnsi"/>
          <w:sz w:val="26"/>
          <w:szCs w:val="26"/>
        </w:rPr>
        <w:t>.</w:t>
      </w:r>
      <w:r w:rsidR="006B2D50" w:rsidRPr="00CE279A">
        <w:rPr>
          <w:rStyle w:val="FootnoteReference"/>
          <w:rFonts w:eastAsiaTheme="minorHAnsi"/>
          <w:sz w:val="26"/>
          <w:szCs w:val="26"/>
        </w:rPr>
        <w:footnoteReference w:id="4"/>
      </w:r>
    </w:p>
    <w:p w14:paraId="3E68D762" w14:textId="77777777" w:rsidR="00621781" w:rsidRPr="00CE279A" w:rsidRDefault="00621781" w:rsidP="008A1D49">
      <w:pPr>
        <w:widowControl/>
        <w:autoSpaceDE w:val="0"/>
        <w:autoSpaceDN w:val="0"/>
        <w:adjustRightInd w:val="0"/>
        <w:spacing w:line="360" w:lineRule="auto"/>
        <w:ind w:firstLine="1440"/>
        <w:jc w:val="both"/>
        <w:rPr>
          <w:rFonts w:eastAsiaTheme="minorHAnsi"/>
          <w:sz w:val="26"/>
          <w:szCs w:val="26"/>
        </w:rPr>
      </w:pPr>
    </w:p>
    <w:p w14:paraId="2FE8578E" w14:textId="77777777" w:rsidR="00EC5ACE" w:rsidRPr="00CE279A" w:rsidRDefault="00EC5ACE" w:rsidP="002A4F0B">
      <w:pPr>
        <w:keepNext/>
        <w:keepLines/>
        <w:widowControl/>
        <w:spacing w:line="360" w:lineRule="auto"/>
        <w:jc w:val="center"/>
        <w:rPr>
          <w:b/>
          <w:sz w:val="26"/>
          <w:szCs w:val="26"/>
        </w:rPr>
      </w:pPr>
      <w:r w:rsidRPr="00CE279A">
        <w:rPr>
          <w:b/>
          <w:sz w:val="26"/>
          <w:szCs w:val="26"/>
        </w:rPr>
        <w:t>Discussion</w:t>
      </w:r>
    </w:p>
    <w:p w14:paraId="7F73BA53" w14:textId="77777777" w:rsidR="00207374" w:rsidRPr="00CE279A" w:rsidRDefault="00207374" w:rsidP="002A4F0B">
      <w:pPr>
        <w:keepNext/>
        <w:keepLines/>
        <w:widowControl/>
        <w:autoSpaceDE w:val="0"/>
        <w:autoSpaceDN w:val="0"/>
        <w:adjustRightInd w:val="0"/>
        <w:spacing w:line="360" w:lineRule="auto"/>
        <w:ind w:firstLine="1440"/>
        <w:rPr>
          <w:color w:val="000000"/>
          <w:sz w:val="26"/>
          <w:szCs w:val="26"/>
        </w:rPr>
      </w:pPr>
    </w:p>
    <w:p w14:paraId="15BFF6E5" w14:textId="1EDC8801" w:rsidR="0032094C" w:rsidRPr="00CE279A" w:rsidRDefault="001B00DC" w:rsidP="008A1D49">
      <w:pPr>
        <w:widowControl/>
        <w:autoSpaceDE w:val="0"/>
        <w:autoSpaceDN w:val="0"/>
        <w:adjustRightInd w:val="0"/>
        <w:spacing w:line="360" w:lineRule="auto"/>
        <w:ind w:firstLine="1440"/>
        <w:rPr>
          <w:color w:val="000000"/>
          <w:sz w:val="26"/>
          <w:szCs w:val="26"/>
        </w:rPr>
      </w:pPr>
      <w:r w:rsidRPr="00CE279A">
        <w:rPr>
          <w:color w:val="000000"/>
          <w:sz w:val="26"/>
          <w:szCs w:val="26"/>
        </w:rPr>
        <w:t xml:space="preserve">Before us is FES’ </w:t>
      </w:r>
      <w:r w:rsidRPr="00CE279A">
        <w:rPr>
          <w:i/>
          <w:color w:val="000000"/>
          <w:sz w:val="26"/>
          <w:szCs w:val="26"/>
        </w:rPr>
        <w:t>Petition for Reconsideration</w:t>
      </w:r>
      <w:r w:rsidRPr="00CE279A">
        <w:rPr>
          <w:color w:val="000000"/>
          <w:sz w:val="26"/>
          <w:szCs w:val="26"/>
        </w:rPr>
        <w:t xml:space="preserve"> of </w:t>
      </w:r>
      <w:r w:rsidR="00621781" w:rsidRPr="00CE279A">
        <w:rPr>
          <w:color w:val="000000"/>
          <w:sz w:val="26"/>
          <w:szCs w:val="26"/>
        </w:rPr>
        <w:t xml:space="preserve">the </w:t>
      </w:r>
      <w:r w:rsidR="00AE14E1" w:rsidRPr="00CE279A">
        <w:rPr>
          <w:color w:val="000000"/>
          <w:sz w:val="26"/>
          <w:szCs w:val="26"/>
        </w:rPr>
        <w:t>S</w:t>
      </w:r>
      <w:r w:rsidRPr="00CE279A">
        <w:rPr>
          <w:color w:val="000000"/>
          <w:sz w:val="26"/>
          <w:szCs w:val="26"/>
        </w:rPr>
        <w:t>taff action</w:t>
      </w:r>
      <w:r w:rsidR="00545A9E" w:rsidRPr="00CE279A">
        <w:rPr>
          <w:color w:val="000000"/>
          <w:sz w:val="26"/>
          <w:szCs w:val="26"/>
        </w:rPr>
        <w:t>s</w:t>
      </w:r>
      <w:r w:rsidRPr="00CE279A">
        <w:rPr>
          <w:color w:val="000000"/>
          <w:sz w:val="26"/>
          <w:szCs w:val="26"/>
        </w:rPr>
        <w:t xml:space="preserve"> </w:t>
      </w:r>
      <w:r w:rsidR="00621781" w:rsidRPr="00CE279A">
        <w:rPr>
          <w:color w:val="000000"/>
          <w:sz w:val="26"/>
          <w:szCs w:val="26"/>
        </w:rPr>
        <w:t xml:space="preserve">that denied </w:t>
      </w:r>
      <w:r w:rsidRPr="00CE279A">
        <w:rPr>
          <w:color w:val="000000"/>
          <w:sz w:val="26"/>
          <w:szCs w:val="26"/>
        </w:rPr>
        <w:t xml:space="preserve">FES’ request for a continued reduced bond level </w:t>
      </w:r>
      <w:r w:rsidR="006B2D50" w:rsidRPr="00CE279A">
        <w:rPr>
          <w:color w:val="000000"/>
          <w:sz w:val="26"/>
          <w:szCs w:val="26"/>
        </w:rPr>
        <w:t xml:space="preserve">of </w:t>
      </w:r>
      <w:r w:rsidRPr="00CE279A">
        <w:rPr>
          <w:color w:val="000000"/>
          <w:sz w:val="26"/>
          <w:szCs w:val="26"/>
        </w:rPr>
        <w:t>5%</w:t>
      </w:r>
      <w:r w:rsidR="00066E8E" w:rsidRPr="00CE279A">
        <w:rPr>
          <w:color w:val="000000"/>
          <w:sz w:val="26"/>
          <w:szCs w:val="26"/>
        </w:rPr>
        <w:t xml:space="preserve"> </w:t>
      </w:r>
      <w:r w:rsidR="00245D8F" w:rsidRPr="00CE279A">
        <w:rPr>
          <w:color w:val="000000"/>
          <w:sz w:val="26"/>
          <w:szCs w:val="26"/>
        </w:rPr>
        <w:t xml:space="preserve">in the </w:t>
      </w:r>
      <w:r w:rsidR="00066E8E" w:rsidRPr="00CE279A">
        <w:rPr>
          <w:i/>
          <w:color w:val="000000"/>
          <w:sz w:val="26"/>
          <w:szCs w:val="26"/>
        </w:rPr>
        <w:t>April 18 Letter</w:t>
      </w:r>
      <w:r w:rsidR="00C425EC" w:rsidRPr="00CE279A">
        <w:rPr>
          <w:color w:val="000000"/>
          <w:sz w:val="26"/>
          <w:szCs w:val="26"/>
        </w:rPr>
        <w:t xml:space="preserve"> </w:t>
      </w:r>
      <w:r w:rsidRPr="00CE279A">
        <w:rPr>
          <w:color w:val="000000"/>
          <w:sz w:val="26"/>
          <w:szCs w:val="26"/>
        </w:rPr>
        <w:t>and direct</w:t>
      </w:r>
      <w:r w:rsidR="00621781" w:rsidRPr="00CE279A">
        <w:rPr>
          <w:color w:val="000000"/>
          <w:sz w:val="26"/>
          <w:szCs w:val="26"/>
        </w:rPr>
        <w:t>ed</w:t>
      </w:r>
      <w:r w:rsidRPr="00CE279A">
        <w:rPr>
          <w:color w:val="000000"/>
          <w:sz w:val="26"/>
          <w:szCs w:val="26"/>
        </w:rPr>
        <w:t xml:space="preserve"> FES</w:t>
      </w:r>
      <w:r w:rsidRPr="00CE279A">
        <w:rPr>
          <w:rFonts w:eastAsiaTheme="minorHAnsi"/>
          <w:sz w:val="26"/>
          <w:szCs w:val="26"/>
        </w:rPr>
        <w:t xml:space="preserve"> to file a rider or amendment to increase its security to a 10% level by May</w:t>
      </w:r>
      <w:r w:rsidR="00545A9E" w:rsidRPr="00CE279A">
        <w:rPr>
          <w:rFonts w:eastAsiaTheme="minorHAnsi"/>
          <w:sz w:val="26"/>
          <w:szCs w:val="26"/>
        </w:rPr>
        <w:t> </w:t>
      </w:r>
      <w:r w:rsidRPr="00CE279A">
        <w:rPr>
          <w:rFonts w:eastAsiaTheme="minorHAnsi"/>
          <w:sz w:val="26"/>
          <w:szCs w:val="26"/>
        </w:rPr>
        <w:t>12, 2018</w:t>
      </w:r>
      <w:r w:rsidR="00066E8E" w:rsidRPr="00CE279A">
        <w:rPr>
          <w:rFonts w:eastAsiaTheme="minorHAnsi"/>
          <w:sz w:val="26"/>
          <w:szCs w:val="26"/>
        </w:rPr>
        <w:t xml:space="preserve"> </w:t>
      </w:r>
      <w:r w:rsidR="00245D8F" w:rsidRPr="00CE279A">
        <w:rPr>
          <w:rFonts w:eastAsiaTheme="minorHAnsi"/>
          <w:sz w:val="26"/>
          <w:szCs w:val="26"/>
        </w:rPr>
        <w:t xml:space="preserve">in the </w:t>
      </w:r>
      <w:r w:rsidR="00066E8E" w:rsidRPr="00CE279A">
        <w:rPr>
          <w:rFonts w:eastAsiaTheme="minorHAnsi"/>
          <w:i/>
          <w:sz w:val="26"/>
          <w:szCs w:val="26"/>
        </w:rPr>
        <w:t>April 27 Letter</w:t>
      </w:r>
      <w:r w:rsidRPr="00CE279A">
        <w:rPr>
          <w:rFonts w:eastAsiaTheme="minorHAnsi"/>
          <w:sz w:val="26"/>
          <w:szCs w:val="26"/>
        </w:rPr>
        <w:t>.</w:t>
      </w:r>
    </w:p>
    <w:p w14:paraId="006F62AC" w14:textId="77777777" w:rsidR="008466C9" w:rsidRPr="00CE279A" w:rsidRDefault="008466C9" w:rsidP="008A1D49">
      <w:pPr>
        <w:widowControl/>
        <w:autoSpaceDE w:val="0"/>
        <w:autoSpaceDN w:val="0"/>
        <w:adjustRightInd w:val="0"/>
        <w:spacing w:line="360" w:lineRule="auto"/>
        <w:jc w:val="both"/>
        <w:rPr>
          <w:color w:val="000000"/>
          <w:sz w:val="26"/>
          <w:szCs w:val="26"/>
        </w:rPr>
      </w:pPr>
    </w:p>
    <w:p w14:paraId="4C290BCB" w14:textId="3776FBB7" w:rsidR="00EC5ACE" w:rsidRPr="00CE279A" w:rsidRDefault="00EC5ACE" w:rsidP="008A1D49">
      <w:pPr>
        <w:keepNext/>
        <w:widowControl/>
        <w:spacing w:line="360" w:lineRule="auto"/>
        <w:rPr>
          <w:b/>
          <w:sz w:val="26"/>
          <w:szCs w:val="26"/>
        </w:rPr>
      </w:pPr>
      <w:r w:rsidRPr="00CE279A">
        <w:rPr>
          <w:b/>
          <w:sz w:val="26"/>
          <w:szCs w:val="26"/>
        </w:rPr>
        <w:t>Legal Standard</w:t>
      </w:r>
      <w:r w:rsidR="00C1778D" w:rsidRPr="00CE279A">
        <w:rPr>
          <w:b/>
          <w:sz w:val="26"/>
          <w:szCs w:val="26"/>
        </w:rPr>
        <w:t>s</w:t>
      </w:r>
    </w:p>
    <w:p w14:paraId="6AA37DDC" w14:textId="77777777" w:rsidR="00C425EC" w:rsidRPr="00CE279A" w:rsidRDefault="00C425EC" w:rsidP="008A1D49">
      <w:pPr>
        <w:keepNext/>
        <w:widowControl/>
        <w:spacing w:line="360" w:lineRule="auto"/>
        <w:rPr>
          <w:sz w:val="26"/>
          <w:szCs w:val="26"/>
        </w:rPr>
      </w:pPr>
    </w:p>
    <w:p w14:paraId="0EF6002E" w14:textId="0E2D2622" w:rsidR="00C425EC" w:rsidRPr="00CE279A" w:rsidRDefault="00C425EC" w:rsidP="008A1D49">
      <w:pPr>
        <w:widowControl/>
        <w:spacing w:line="360" w:lineRule="auto"/>
        <w:ind w:firstLine="1440"/>
        <w:rPr>
          <w:sz w:val="26"/>
          <w:szCs w:val="26"/>
        </w:rPr>
      </w:pPr>
      <w:r w:rsidRPr="00CE279A">
        <w:rPr>
          <w:spacing w:val="-3"/>
          <w:sz w:val="26"/>
          <w:szCs w:val="26"/>
        </w:rPr>
        <w:t>We note</w:t>
      </w:r>
      <w:r w:rsidR="00245D8F" w:rsidRPr="00CE279A">
        <w:rPr>
          <w:spacing w:val="-3"/>
          <w:sz w:val="26"/>
          <w:szCs w:val="26"/>
        </w:rPr>
        <w:t xml:space="preserve"> that </w:t>
      </w:r>
      <w:r w:rsidRPr="00CE279A">
        <w:rPr>
          <w:spacing w:val="-3"/>
          <w:sz w:val="26"/>
          <w:szCs w:val="26"/>
        </w:rPr>
        <w:t>we</w:t>
      </w:r>
      <w:r w:rsidRPr="00CE279A">
        <w:rPr>
          <w:sz w:val="26"/>
          <w:szCs w:val="26"/>
        </w:rPr>
        <w:t xml:space="preserve"> are not required to consider expressly or at length each contention or argument raised in the Petition.  </w:t>
      </w:r>
      <w:r w:rsidRPr="00CE279A">
        <w:rPr>
          <w:rStyle w:val="Emphasis"/>
          <w:color w:val="000000"/>
          <w:sz w:val="26"/>
          <w:szCs w:val="26"/>
        </w:rPr>
        <w:t xml:space="preserve">Consolidated Rail Corp. v. Pa. PUC, </w:t>
      </w:r>
      <w:r w:rsidRPr="00CE279A">
        <w:rPr>
          <w:sz w:val="26"/>
          <w:szCs w:val="26"/>
        </w:rPr>
        <w:t>625 A.2d 741 (Pa. Cmwlth. 1993);</w:t>
      </w:r>
      <w:r w:rsidRPr="00CE279A">
        <w:rPr>
          <w:color w:val="000000"/>
          <w:sz w:val="26"/>
          <w:szCs w:val="26"/>
        </w:rPr>
        <w:t xml:space="preserve"> </w:t>
      </w:r>
      <w:r w:rsidRPr="00CE279A">
        <w:rPr>
          <w:i/>
          <w:color w:val="000000"/>
          <w:sz w:val="26"/>
          <w:szCs w:val="26"/>
        </w:rPr>
        <w:t xml:space="preserve">also </w:t>
      </w:r>
      <w:r w:rsidRPr="00CE279A">
        <w:rPr>
          <w:rStyle w:val="Emphasis"/>
          <w:color w:val="000000"/>
          <w:sz w:val="26"/>
          <w:szCs w:val="26"/>
        </w:rPr>
        <w:t>see, generally, University of Pennsylvania v. Pa. PUC</w:t>
      </w:r>
      <w:r w:rsidRPr="00CE279A">
        <w:rPr>
          <w:sz w:val="26"/>
          <w:szCs w:val="26"/>
        </w:rPr>
        <w:t>, 485 A.2d 1217 (Pa. Cmwlth. 1984).</w:t>
      </w:r>
      <w:r w:rsidRPr="00CE279A">
        <w:rPr>
          <w:rStyle w:val="Hyperlink"/>
          <w:color w:val="000000"/>
          <w:sz w:val="26"/>
          <w:szCs w:val="26"/>
          <w:u w:val="none"/>
        </w:rPr>
        <w:t xml:space="preserve">  Therefore,</w:t>
      </w:r>
      <w:r w:rsidRPr="00CE279A">
        <w:rPr>
          <w:sz w:val="26"/>
          <w:szCs w:val="26"/>
        </w:rPr>
        <w:t xml:space="preserve"> any issue that we do not specifically address or delineate in this decision shall be deemed to have been duly considered and denied without further discussion.</w:t>
      </w:r>
    </w:p>
    <w:p w14:paraId="5DB64423" w14:textId="5B7757B4" w:rsidR="00EC5ACE" w:rsidRPr="00CE279A" w:rsidRDefault="00EC5ACE" w:rsidP="000F15D7">
      <w:pPr>
        <w:widowControl/>
        <w:spacing w:line="360" w:lineRule="auto"/>
        <w:rPr>
          <w:sz w:val="26"/>
          <w:szCs w:val="26"/>
        </w:rPr>
      </w:pPr>
    </w:p>
    <w:p w14:paraId="3460CC68" w14:textId="77777777" w:rsidR="005E7058" w:rsidRPr="00CE279A" w:rsidRDefault="00EC5ACE" w:rsidP="008A1D49">
      <w:pPr>
        <w:widowControl/>
        <w:spacing w:line="360" w:lineRule="auto"/>
        <w:ind w:firstLine="1440"/>
        <w:rPr>
          <w:sz w:val="26"/>
          <w:szCs w:val="26"/>
        </w:rPr>
      </w:pPr>
      <w:r w:rsidRPr="00CE279A">
        <w:rPr>
          <w:sz w:val="26"/>
          <w:szCs w:val="26"/>
        </w:rPr>
        <w:t>Section 5.44 of the Commission’s Regulations, 52 Pa. Code § 5.44, permits a party to seek the Commission’s reconsideration of actions taken by the Commission’s staff pursuant to the staff’s delegated authority from the Commission.</w:t>
      </w:r>
      <w:r w:rsidRPr="00CE279A">
        <w:rPr>
          <w:rStyle w:val="FootnoteReference"/>
          <w:sz w:val="26"/>
          <w:szCs w:val="26"/>
        </w:rPr>
        <w:footnoteReference w:id="5"/>
      </w:r>
    </w:p>
    <w:p w14:paraId="008E7585" w14:textId="77777777" w:rsidR="00630D4E" w:rsidRPr="00CE279A" w:rsidRDefault="00630D4E" w:rsidP="008A1D49">
      <w:pPr>
        <w:widowControl/>
        <w:spacing w:line="360" w:lineRule="auto"/>
        <w:ind w:firstLine="1440"/>
        <w:rPr>
          <w:sz w:val="26"/>
          <w:szCs w:val="26"/>
        </w:rPr>
      </w:pPr>
    </w:p>
    <w:p w14:paraId="743F2A95" w14:textId="4B973E72" w:rsidR="00EC5ACE" w:rsidRPr="00CE279A" w:rsidRDefault="00EC5ACE" w:rsidP="008A1D49">
      <w:pPr>
        <w:widowControl/>
        <w:spacing w:line="360" w:lineRule="auto"/>
        <w:ind w:firstLine="1440"/>
        <w:rPr>
          <w:sz w:val="26"/>
          <w:szCs w:val="26"/>
        </w:rPr>
      </w:pPr>
      <w:r w:rsidRPr="00CE279A">
        <w:rPr>
          <w:sz w:val="26"/>
          <w:szCs w:val="26"/>
        </w:rPr>
        <w:t>In pertinent part, Section 5.44 of the Commission’s Regulations, 52 Pa. Code §</w:t>
      </w:r>
      <w:r w:rsidR="00245D8F" w:rsidRPr="00CE279A">
        <w:rPr>
          <w:sz w:val="26"/>
          <w:szCs w:val="26"/>
        </w:rPr>
        <w:t> </w:t>
      </w:r>
      <w:r w:rsidRPr="00CE279A">
        <w:rPr>
          <w:sz w:val="26"/>
          <w:szCs w:val="26"/>
        </w:rPr>
        <w:t>5.44, provides as follows:</w:t>
      </w:r>
    </w:p>
    <w:p w14:paraId="365189F8" w14:textId="77777777" w:rsidR="0005366D" w:rsidRPr="00CE279A" w:rsidRDefault="0005366D" w:rsidP="008A1D49">
      <w:pPr>
        <w:widowControl/>
        <w:spacing w:line="360" w:lineRule="auto"/>
        <w:ind w:firstLine="1440"/>
        <w:rPr>
          <w:sz w:val="26"/>
          <w:szCs w:val="26"/>
        </w:rPr>
      </w:pPr>
    </w:p>
    <w:p w14:paraId="7126CD6D" w14:textId="77777777" w:rsidR="00EC5ACE" w:rsidRPr="00CE279A" w:rsidRDefault="00EC5ACE" w:rsidP="008A1D49">
      <w:pPr>
        <w:widowControl/>
        <w:ind w:left="1440" w:right="1440"/>
        <w:rPr>
          <w:sz w:val="26"/>
          <w:szCs w:val="26"/>
        </w:rPr>
      </w:pPr>
      <w:r w:rsidRPr="00CE279A">
        <w:rPr>
          <w:sz w:val="26"/>
          <w:szCs w:val="26"/>
        </w:rPr>
        <w:t xml:space="preserve">(a) </w:t>
      </w:r>
      <w:r w:rsidR="00D77AB0" w:rsidRPr="00CE279A">
        <w:rPr>
          <w:sz w:val="26"/>
          <w:szCs w:val="26"/>
        </w:rPr>
        <w:t xml:space="preserve"> </w:t>
      </w:r>
      <w:r w:rsidRPr="00CE279A">
        <w:rPr>
          <w:sz w:val="26"/>
          <w:szCs w:val="26"/>
        </w:rPr>
        <w:t>Actions taken by staff, other than the presiding officer, under authority delegated by the Commission, will be deemed to be the final action of the Commission unless reconsideration is sought from the Commission within 20 days after service of notice of the action</w:t>
      </w:r>
      <w:r w:rsidR="00D77AB0" w:rsidRPr="00CE279A">
        <w:rPr>
          <w:sz w:val="26"/>
          <w:szCs w:val="26"/>
        </w:rPr>
        <w:t xml:space="preserve"> . . . .</w:t>
      </w:r>
    </w:p>
    <w:p w14:paraId="78A3C2BC" w14:textId="77777777" w:rsidR="00EC5ACE" w:rsidRPr="00CE279A" w:rsidRDefault="00EC5ACE" w:rsidP="008A1D49">
      <w:pPr>
        <w:widowControl/>
        <w:ind w:left="1440" w:right="1440"/>
        <w:rPr>
          <w:sz w:val="26"/>
          <w:szCs w:val="26"/>
        </w:rPr>
      </w:pPr>
    </w:p>
    <w:p w14:paraId="3D72951E" w14:textId="77777777" w:rsidR="00EC5ACE" w:rsidRPr="00CE279A" w:rsidRDefault="00EC5ACE" w:rsidP="008A1D49">
      <w:pPr>
        <w:widowControl/>
        <w:ind w:left="1440" w:right="1440"/>
        <w:rPr>
          <w:sz w:val="26"/>
          <w:szCs w:val="26"/>
        </w:rPr>
      </w:pPr>
      <w:r w:rsidRPr="00CE279A">
        <w:rPr>
          <w:sz w:val="26"/>
          <w:szCs w:val="26"/>
        </w:rPr>
        <w:t xml:space="preserve">(b)  An action taken by staff under delegated authority will note the parties’ right to seek reconsideration of the action under this section. </w:t>
      </w:r>
    </w:p>
    <w:p w14:paraId="6FCF6C3F" w14:textId="77777777" w:rsidR="00EC5ACE" w:rsidRPr="00CE279A" w:rsidRDefault="00EC5ACE" w:rsidP="008A1D49">
      <w:pPr>
        <w:widowControl/>
        <w:ind w:left="1440" w:right="1440"/>
        <w:rPr>
          <w:sz w:val="26"/>
          <w:szCs w:val="26"/>
        </w:rPr>
      </w:pPr>
    </w:p>
    <w:p w14:paraId="0378B09D" w14:textId="77777777" w:rsidR="00EC5ACE" w:rsidRPr="00CE279A" w:rsidRDefault="00EC5ACE" w:rsidP="008A1D49">
      <w:pPr>
        <w:widowControl/>
        <w:ind w:left="1440" w:right="1440"/>
        <w:rPr>
          <w:sz w:val="26"/>
          <w:szCs w:val="26"/>
        </w:rPr>
      </w:pPr>
      <w:r w:rsidRPr="00CE279A">
        <w:rPr>
          <w:sz w:val="26"/>
          <w:szCs w:val="26"/>
        </w:rPr>
        <w:t>(c)  Petitions for reconsideration from the action of the staff will be addressed by the Commission at public meeting.</w:t>
      </w:r>
    </w:p>
    <w:p w14:paraId="481C3719" w14:textId="77777777" w:rsidR="005665E9" w:rsidRPr="00CE279A" w:rsidRDefault="005665E9" w:rsidP="008A1D49">
      <w:pPr>
        <w:widowControl/>
        <w:ind w:left="1440" w:right="1440"/>
        <w:rPr>
          <w:sz w:val="26"/>
          <w:szCs w:val="26"/>
        </w:rPr>
      </w:pPr>
    </w:p>
    <w:p w14:paraId="7D7A9F88" w14:textId="77777777" w:rsidR="005665E9" w:rsidRPr="00CE279A" w:rsidRDefault="005665E9" w:rsidP="008A1D49">
      <w:pPr>
        <w:widowControl/>
        <w:ind w:left="1440" w:right="1440"/>
        <w:rPr>
          <w:sz w:val="26"/>
          <w:szCs w:val="26"/>
        </w:rPr>
      </w:pPr>
    </w:p>
    <w:p w14:paraId="6447225C" w14:textId="0443672C" w:rsidR="00C11A81" w:rsidRPr="00CE279A" w:rsidRDefault="008D097F" w:rsidP="00245D8F">
      <w:pPr>
        <w:widowControl/>
        <w:spacing w:line="360" w:lineRule="auto"/>
        <w:ind w:right="1440"/>
        <w:rPr>
          <w:sz w:val="26"/>
          <w:szCs w:val="26"/>
        </w:rPr>
      </w:pPr>
      <w:r w:rsidRPr="00CE279A">
        <w:rPr>
          <w:i/>
          <w:sz w:val="26"/>
          <w:szCs w:val="26"/>
        </w:rPr>
        <w:t>Id</w:t>
      </w:r>
      <w:r w:rsidRPr="00CE279A">
        <w:rPr>
          <w:sz w:val="26"/>
          <w:szCs w:val="26"/>
        </w:rPr>
        <w:t xml:space="preserve">. </w:t>
      </w:r>
    </w:p>
    <w:p w14:paraId="28D9A89A" w14:textId="77777777" w:rsidR="00245D8F" w:rsidRPr="00CE279A" w:rsidRDefault="00245D8F" w:rsidP="00245D8F">
      <w:pPr>
        <w:widowControl/>
        <w:spacing w:line="360" w:lineRule="auto"/>
        <w:ind w:right="1440"/>
        <w:rPr>
          <w:sz w:val="26"/>
          <w:szCs w:val="26"/>
        </w:rPr>
      </w:pPr>
    </w:p>
    <w:p w14:paraId="6813D674" w14:textId="67502B00" w:rsidR="008D097F" w:rsidRPr="00CE279A" w:rsidRDefault="008D097F" w:rsidP="000F15D7">
      <w:pPr>
        <w:widowControl/>
        <w:autoSpaceDE w:val="0"/>
        <w:autoSpaceDN w:val="0"/>
        <w:adjustRightInd w:val="0"/>
        <w:spacing w:line="360" w:lineRule="auto"/>
        <w:ind w:firstLine="1440"/>
        <w:rPr>
          <w:rFonts w:eastAsiaTheme="minorHAnsi"/>
          <w:sz w:val="26"/>
          <w:szCs w:val="26"/>
        </w:rPr>
      </w:pPr>
      <w:r w:rsidRPr="00CE279A">
        <w:rPr>
          <w:rFonts w:eastAsiaTheme="minorHAnsi"/>
          <w:sz w:val="26"/>
          <w:szCs w:val="26"/>
        </w:rPr>
        <w:t>To warrant reconsideration pursuant to 52 Pa. Code § 5.44(a), a</w:t>
      </w:r>
      <w:r w:rsidR="00344AF4" w:rsidRPr="00CE279A">
        <w:rPr>
          <w:rFonts w:eastAsiaTheme="minorHAnsi"/>
          <w:sz w:val="26"/>
          <w:szCs w:val="26"/>
        </w:rPr>
        <w:t xml:space="preserve"> petitioner</w:t>
      </w:r>
      <w:r w:rsidRPr="00CE279A">
        <w:rPr>
          <w:rFonts w:eastAsiaTheme="minorHAnsi"/>
          <w:sz w:val="26"/>
          <w:szCs w:val="26"/>
        </w:rPr>
        <w:t xml:space="preserve"> is </w:t>
      </w:r>
      <w:r w:rsidR="00344AF4" w:rsidRPr="00CE279A">
        <w:rPr>
          <w:rFonts w:eastAsiaTheme="minorHAnsi"/>
          <w:sz w:val="26"/>
          <w:szCs w:val="26"/>
        </w:rPr>
        <w:t xml:space="preserve">required to provide </w:t>
      </w:r>
      <w:r w:rsidRPr="00CE279A">
        <w:rPr>
          <w:rFonts w:eastAsiaTheme="minorHAnsi"/>
          <w:sz w:val="26"/>
          <w:szCs w:val="26"/>
        </w:rPr>
        <w:t xml:space="preserve">substantial and credible evidence, or a preponderance of evidence, in support of the petition. </w:t>
      </w:r>
      <w:r w:rsidR="006E6B63" w:rsidRPr="00CE279A">
        <w:rPr>
          <w:rFonts w:eastAsiaTheme="minorHAnsi"/>
          <w:sz w:val="26"/>
          <w:szCs w:val="26"/>
        </w:rPr>
        <w:t xml:space="preserve"> </w:t>
      </w:r>
      <w:r w:rsidRPr="00CE279A">
        <w:rPr>
          <w:rFonts w:eastAsiaTheme="minorHAnsi"/>
          <w:i/>
          <w:iCs/>
          <w:sz w:val="26"/>
          <w:szCs w:val="26"/>
        </w:rPr>
        <w:t xml:space="preserve">Samuel J. Lamberty, Inc. </w:t>
      </w:r>
      <w:r w:rsidRPr="00CE279A">
        <w:rPr>
          <w:rFonts w:eastAsiaTheme="minorHAnsi"/>
          <w:sz w:val="26"/>
          <w:szCs w:val="26"/>
        </w:rPr>
        <w:t xml:space="preserve">v. </w:t>
      </w:r>
      <w:r w:rsidRPr="00CE279A">
        <w:rPr>
          <w:rFonts w:eastAsiaTheme="minorHAnsi"/>
          <w:i/>
          <w:iCs/>
          <w:sz w:val="26"/>
          <w:szCs w:val="26"/>
        </w:rPr>
        <w:t xml:space="preserve">Pennsylvania PUC, </w:t>
      </w:r>
      <w:r w:rsidRPr="00CE279A">
        <w:rPr>
          <w:rFonts w:eastAsiaTheme="minorHAnsi"/>
          <w:sz w:val="26"/>
          <w:szCs w:val="26"/>
        </w:rPr>
        <w:t xml:space="preserve">578 A. 2d 600, 602 (Pa. Cmwlth. 1990), </w:t>
      </w:r>
      <w:r w:rsidRPr="00CE279A">
        <w:rPr>
          <w:rFonts w:eastAsiaTheme="minorHAnsi"/>
          <w:i/>
          <w:iCs/>
          <w:sz w:val="26"/>
          <w:szCs w:val="26"/>
        </w:rPr>
        <w:t xml:space="preserve">See e.g., Pennsylvania PUC, Bureau of Technical Services </w:t>
      </w:r>
      <w:r w:rsidRPr="00CE279A">
        <w:rPr>
          <w:rFonts w:eastAsiaTheme="minorHAnsi"/>
          <w:sz w:val="26"/>
          <w:szCs w:val="26"/>
        </w:rPr>
        <w:t xml:space="preserve">v. </w:t>
      </w:r>
      <w:r w:rsidRPr="00CE279A">
        <w:rPr>
          <w:rFonts w:eastAsiaTheme="minorHAnsi"/>
          <w:i/>
          <w:iCs/>
          <w:sz w:val="26"/>
          <w:szCs w:val="26"/>
        </w:rPr>
        <w:t>R.</w:t>
      </w:r>
      <w:r w:rsidR="006E6B63" w:rsidRPr="00CE279A">
        <w:rPr>
          <w:rFonts w:eastAsiaTheme="minorHAnsi"/>
          <w:i/>
          <w:iCs/>
          <w:sz w:val="26"/>
          <w:szCs w:val="26"/>
        </w:rPr>
        <w:t> </w:t>
      </w:r>
      <w:r w:rsidRPr="00CE279A">
        <w:rPr>
          <w:rFonts w:eastAsiaTheme="minorHAnsi"/>
          <w:i/>
          <w:iCs/>
          <w:sz w:val="26"/>
          <w:szCs w:val="26"/>
        </w:rPr>
        <w:t>Jean</w:t>
      </w:r>
      <w:r w:rsidR="006E6B63" w:rsidRPr="00CE279A">
        <w:rPr>
          <w:rFonts w:eastAsiaTheme="minorHAnsi"/>
          <w:i/>
          <w:iCs/>
          <w:sz w:val="26"/>
          <w:szCs w:val="26"/>
        </w:rPr>
        <w:t> </w:t>
      </w:r>
      <w:r w:rsidRPr="00CE279A">
        <w:rPr>
          <w:rFonts w:eastAsiaTheme="minorHAnsi"/>
          <w:i/>
          <w:iCs/>
          <w:sz w:val="26"/>
          <w:szCs w:val="26"/>
        </w:rPr>
        <w:t xml:space="preserve">Ryan t/d/b a Scotty Taxi, </w:t>
      </w:r>
      <w:r w:rsidRPr="00CE279A">
        <w:rPr>
          <w:rFonts w:eastAsiaTheme="minorHAnsi"/>
          <w:sz w:val="26"/>
          <w:szCs w:val="26"/>
        </w:rPr>
        <w:t>Docket No. P-2014-2399803 and A</w:t>
      </w:r>
      <w:r w:rsidR="000F15D7" w:rsidRPr="00CE279A">
        <w:rPr>
          <w:rFonts w:eastAsiaTheme="minorHAnsi"/>
          <w:sz w:val="26"/>
          <w:szCs w:val="26"/>
        </w:rPr>
        <w:noBreakHyphen/>
      </w:r>
      <w:r w:rsidRPr="00CE279A">
        <w:rPr>
          <w:rFonts w:eastAsiaTheme="minorHAnsi"/>
          <w:sz w:val="26"/>
          <w:szCs w:val="26"/>
        </w:rPr>
        <w:t>00108919 (Order entered May 22, 2014)</w:t>
      </w:r>
      <w:r w:rsidR="00C425EC" w:rsidRPr="00CE279A">
        <w:rPr>
          <w:rFonts w:eastAsiaTheme="minorHAnsi"/>
          <w:sz w:val="26"/>
          <w:szCs w:val="26"/>
        </w:rPr>
        <w:t>.</w:t>
      </w:r>
    </w:p>
    <w:p w14:paraId="5C170930" w14:textId="77777777" w:rsidR="005665E9" w:rsidRPr="00CE279A" w:rsidRDefault="005665E9" w:rsidP="008A1D49">
      <w:pPr>
        <w:widowControl/>
        <w:autoSpaceDE w:val="0"/>
        <w:autoSpaceDN w:val="0"/>
        <w:adjustRightInd w:val="0"/>
        <w:spacing w:line="360" w:lineRule="auto"/>
        <w:rPr>
          <w:rFonts w:eastAsiaTheme="minorHAnsi"/>
          <w:sz w:val="26"/>
          <w:szCs w:val="26"/>
        </w:rPr>
      </w:pPr>
    </w:p>
    <w:p w14:paraId="7AC86999" w14:textId="39362E8E" w:rsidR="001B00DC" w:rsidRPr="00CE279A" w:rsidRDefault="001B00DC" w:rsidP="008A1D49">
      <w:pPr>
        <w:widowControl/>
        <w:spacing w:line="360" w:lineRule="auto"/>
        <w:ind w:firstLine="1440"/>
        <w:rPr>
          <w:sz w:val="26"/>
          <w:szCs w:val="26"/>
        </w:rPr>
      </w:pPr>
      <w:r w:rsidRPr="00CE279A">
        <w:rPr>
          <w:sz w:val="26"/>
          <w:szCs w:val="26"/>
        </w:rPr>
        <w:t xml:space="preserve">As an EGS </w:t>
      </w:r>
      <w:r w:rsidR="006B2D50" w:rsidRPr="00CE279A">
        <w:rPr>
          <w:sz w:val="26"/>
          <w:szCs w:val="26"/>
        </w:rPr>
        <w:t>licensed</w:t>
      </w:r>
      <w:r w:rsidRPr="00CE279A">
        <w:rPr>
          <w:sz w:val="26"/>
          <w:szCs w:val="26"/>
        </w:rPr>
        <w:t xml:space="preserve"> under the provision of Chapter 28, FES is required to meet certain financial requirements.  66 P</w:t>
      </w:r>
      <w:r w:rsidR="009E6303" w:rsidRPr="00CE279A">
        <w:rPr>
          <w:sz w:val="26"/>
          <w:szCs w:val="26"/>
        </w:rPr>
        <w:t>a</w:t>
      </w:r>
      <w:r w:rsidRPr="00CE279A">
        <w:rPr>
          <w:sz w:val="26"/>
          <w:szCs w:val="26"/>
        </w:rPr>
        <w:t>. C.S. §2809 (c)(1)(i) provides in pertinent part:</w:t>
      </w:r>
    </w:p>
    <w:p w14:paraId="758819C0" w14:textId="77777777" w:rsidR="005665E9" w:rsidRPr="00CE279A" w:rsidRDefault="005665E9" w:rsidP="008A1D49">
      <w:pPr>
        <w:widowControl/>
        <w:spacing w:line="360" w:lineRule="auto"/>
        <w:ind w:firstLine="1440"/>
        <w:rPr>
          <w:sz w:val="26"/>
          <w:szCs w:val="26"/>
        </w:rPr>
      </w:pPr>
    </w:p>
    <w:p w14:paraId="0AE9A442" w14:textId="1A41DE57" w:rsidR="001B00DC" w:rsidRPr="00CE279A" w:rsidRDefault="001B00DC" w:rsidP="006E3231">
      <w:pPr>
        <w:widowControl/>
        <w:autoSpaceDE w:val="0"/>
        <w:autoSpaceDN w:val="0"/>
        <w:adjustRightInd w:val="0"/>
        <w:ind w:left="1440" w:right="1440"/>
        <w:rPr>
          <w:rFonts w:eastAsiaTheme="minorHAnsi"/>
          <w:sz w:val="26"/>
          <w:szCs w:val="26"/>
        </w:rPr>
      </w:pPr>
      <w:r w:rsidRPr="00CE279A">
        <w:rPr>
          <w:rFonts w:eastAsiaTheme="minorHAnsi"/>
          <w:sz w:val="26"/>
          <w:szCs w:val="26"/>
        </w:rPr>
        <w:t>In order to ensure the safety and reliability of the generation of electricity</w:t>
      </w:r>
      <w:r w:rsidR="000F15D7" w:rsidRPr="00CE279A">
        <w:rPr>
          <w:rFonts w:eastAsiaTheme="minorHAnsi"/>
          <w:sz w:val="26"/>
          <w:szCs w:val="26"/>
        </w:rPr>
        <w:t xml:space="preserve"> </w:t>
      </w:r>
      <w:r w:rsidRPr="00CE279A">
        <w:rPr>
          <w:rFonts w:eastAsiaTheme="minorHAnsi"/>
          <w:sz w:val="26"/>
          <w:szCs w:val="26"/>
        </w:rPr>
        <w:t>in the Commonwealth, no energy supplier license shall be issued or remain</w:t>
      </w:r>
      <w:r w:rsidR="000F15D7" w:rsidRPr="00CE279A">
        <w:rPr>
          <w:rFonts w:eastAsiaTheme="minorHAnsi"/>
          <w:sz w:val="26"/>
          <w:szCs w:val="26"/>
        </w:rPr>
        <w:t xml:space="preserve"> </w:t>
      </w:r>
      <w:r w:rsidRPr="00CE279A">
        <w:rPr>
          <w:rFonts w:eastAsiaTheme="minorHAnsi"/>
          <w:sz w:val="26"/>
          <w:szCs w:val="26"/>
        </w:rPr>
        <w:t>in force unless the holder complies with all of the following:</w:t>
      </w:r>
    </w:p>
    <w:p w14:paraId="404F3681" w14:textId="77777777" w:rsidR="001B00DC" w:rsidRPr="00CE279A" w:rsidRDefault="001B00DC" w:rsidP="006E3231">
      <w:pPr>
        <w:widowControl/>
        <w:autoSpaceDE w:val="0"/>
        <w:autoSpaceDN w:val="0"/>
        <w:adjustRightInd w:val="0"/>
        <w:ind w:left="1440" w:right="1440"/>
        <w:rPr>
          <w:rFonts w:eastAsiaTheme="minorHAnsi"/>
          <w:sz w:val="26"/>
          <w:szCs w:val="26"/>
        </w:rPr>
      </w:pPr>
    </w:p>
    <w:p w14:paraId="58BE7AD6" w14:textId="098E9EAE" w:rsidR="001B00DC" w:rsidRPr="00CE279A" w:rsidRDefault="001B00DC" w:rsidP="006E3231">
      <w:pPr>
        <w:widowControl/>
        <w:autoSpaceDE w:val="0"/>
        <w:autoSpaceDN w:val="0"/>
        <w:adjustRightInd w:val="0"/>
        <w:ind w:left="1440" w:right="1440"/>
        <w:rPr>
          <w:rFonts w:eastAsiaTheme="minorHAnsi"/>
          <w:sz w:val="26"/>
          <w:szCs w:val="26"/>
        </w:rPr>
      </w:pPr>
      <w:r w:rsidRPr="00CE279A">
        <w:rPr>
          <w:rFonts w:eastAsiaTheme="minorHAnsi"/>
          <w:sz w:val="26"/>
          <w:szCs w:val="26"/>
        </w:rPr>
        <w:t xml:space="preserve">(i) </w:t>
      </w:r>
      <w:r w:rsidR="006E6B63" w:rsidRPr="00CE279A">
        <w:rPr>
          <w:rFonts w:eastAsiaTheme="minorHAnsi"/>
          <w:sz w:val="26"/>
          <w:szCs w:val="26"/>
        </w:rPr>
        <w:t xml:space="preserve"> </w:t>
      </w:r>
      <w:r w:rsidRPr="00CE279A">
        <w:rPr>
          <w:rFonts w:eastAsiaTheme="minorHAnsi"/>
          <w:i/>
          <w:sz w:val="26"/>
          <w:szCs w:val="26"/>
        </w:rPr>
        <w:t>Furnishes a bond or other security approved by the commission in form and amount to ensure the financial responsibility of the</w:t>
      </w:r>
      <w:r w:rsidR="000F15D7" w:rsidRPr="00CE279A">
        <w:rPr>
          <w:rFonts w:eastAsiaTheme="minorHAnsi"/>
          <w:i/>
          <w:sz w:val="26"/>
          <w:szCs w:val="26"/>
        </w:rPr>
        <w:t xml:space="preserve"> </w:t>
      </w:r>
      <w:r w:rsidRPr="00CE279A">
        <w:rPr>
          <w:rFonts w:eastAsiaTheme="minorHAnsi"/>
          <w:i/>
          <w:sz w:val="26"/>
          <w:szCs w:val="26"/>
        </w:rPr>
        <w:t>electric generation supplier and the supply of electricity at retail in</w:t>
      </w:r>
      <w:r w:rsidR="000F15D7" w:rsidRPr="00CE279A">
        <w:rPr>
          <w:rFonts w:eastAsiaTheme="minorHAnsi"/>
          <w:i/>
          <w:sz w:val="26"/>
          <w:szCs w:val="26"/>
        </w:rPr>
        <w:t xml:space="preserve"> </w:t>
      </w:r>
      <w:r w:rsidRPr="00CE279A">
        <w:rPr>
          <w:rFonts w:eastAsiaTheme="minorHAnsi"/>
          <w:i/>
          <w:sz w:val="26"/>
          <w:szCs w:val="26"/>
        </w:rPr>
        <w:t>accordance with contracts, agreements or arrangements</w:t>
      </w:r>
      <w:r w:rsidRPr="00CE279A">
        <w:rPr>
          <w:rFonts w:eastAsiaTheme="minorHAnsi"/>
          <w:sz w:val="26"/>
          <w:szCs w:val="26"/>
        </w:rPr>
        <w:t>.</w:t>
      </w:r>
    </w:p>
    <w:p w14:paraId="1E7B5663" w14:textId="77777777" w:rsidR="005665E9" w:rsidRPr="00CE279A" w:rsidRDefault="005665E9" w:rsidP="008A1D49">
      <w:pPr>
        <w:widowControl/>
        <w:rPr>
          <w:rFonts w:eastAsiaTheme="minorHAnsi"/>
          <w:i/>
          <w:sz w:val="26"/>
          <w:szCs w:val="26"/>
        </w:rPr>
      </w:pPr>
    </w:p>
    <w:p w14:paraId="7CADD260" w14:textId="77777777" w:rsidR="005665E9" w:rsidRPr="00CE279A" w:rsidRDefault="005665E9" w:rsidP="008A1D49">
      <w:pPr>
        <w:widowControl/>
        <w:rPr>
          <w:rFonts w:eastAsiaTheme="minorHAnsi"/>
          <w:i/>
          <w:sz w:val="26"/>
          <w:szCs w:val="26"/>
        </w:rPr>
      </w:pPr>
    </w:p>
    <w:p w14:paraId="336CB8D8" w14:textId="77777777" w:rsidR="001B00DC" w:rsidRPr="00CE279A" w:rsidRDefault="001B00DC" w:rsidP="008A1D49">
      <w:pPr>
        <w:widowControl/>
        <w:rPr>
          <w:sz w:val="26"/>
          <w:szCs w:val="26"/>
        </w:rPr>
      </w:pPr>
      <w:r w:rsidRPr="00CE279A">
        <w:rPr>
          <w:rFonts w:eastAsiaTheme="minorHAnsi"/>
          <w:i/>
          <w:sz w:val="26"/>
          <w:szCs w:val="26"/>
        </w:rPr>
        <w:t>Id. (emphasis added)</w:t>
      </w:r>
      <w:r w:rsidR="005665E9" w:rsidRPr="00CE279A">
        <w:rPr>
          <w:rFonts w:eastAsiaTheme="minorHAnsi"/>
          <w:sz w:val="26"/>
          <w:szCs w:val="26"/>
        </w:rPr>
        <w:t>.</w:t>
      </w:r>
    </w:p>
    <w:p w14:paraId="6CFBF5A2" w14:textId="467C9B51" w:rsidR="00AF2120" w:rsidRPr="00CE279A" w:rsidRDefault="00AF2120" w:rsidP="008A1D49">
      <w:pPr>
        <w:widowControl/>
        <w:autoSpaceDE w:val="0"/>
        <w:autoSpaceDN w:val="0"/>
        <w:adjustRightInd w:val="0"/>
        <w:spacing w:line="360" w:lineRule="auto"/>
        <w:rPr>
          <w:sz w:val="26"/>
          <w:szCs w:val="26"/>
        </w:rPr>
      </w:pPr>
    </w:p>
    <w:p w14:paraId="190B266A" w14:textId="303ECE26" w:rsidR="001B00DC" w:rsidRPr="00CE279A" w:rsidRDefault="006E6B63" w:rsidP="008A1D49">
      <w:pPr>
        <w:widowControl/>
        <w:autoSpaceDE w:val="0"/>
        <w:autoSpaceDN w:val="0"/>
        <w:adjustRightInd w:val="0"/>
        <w:spacing w:line="360" w:lineRule="auto"/>
        <w:ind w:firstLine="1440"/>
        <w:rPr>
          <w:rFonts w:eastAsiaTheme="minorHAnsi"/>
          <w:sz w:val="26"/>
          <w:szCs w:val="26"/>
        </w:rPr>
      </w:pPr>
      <w:r w:rsidRPr="00CE279A">
        <w:rPr>
          <w:sz w:val="26"/>
          <w:szCs w:val="26"/>
        </w:rPr>
        <w:t>Our c</w:t>
      </w:r>
      <w:r w:rsidR="001B00DC" w:rsidRPr="00CE279A">
        <w:rPr>
          <w:sz w:val="26"/>
          <w:szCs w:val="26"/>
        </w:rPr>
        <w:t>urrent policy on the appropriate bond amount</w:t>
      </w:r>
      <w:r w:rsidRPr="00CE279A">
        <w:rPr>
          <w:sz w:val="26"/>
          <w:szCs w:val="26"/>
        </w:rPr>
        <w:t xml:space="preserve"> </w:t>
      </w:r>
      <w:r w:rsidR="001B00DC" w:rsidRPr="00CE279A">
        <w:rPr>
          <w:sz w:val="26"/>
          <w:szCs w:val="26"/>
        </w:rPr>
        <w:t xml:space="preserve">is set forth </w:t>
      </w:r>
      <w:r w:rsidR="009E6303" w:rsidRPr="00CE279A">
        <w:rPr>
          <w:sz w:val="26"/>
          <w:szCs w:val="26"/>
        </w:rPr>
        <w:t xml:space="preserve">in </w:t>
      </w:r>
      <w:r w:rsidRPr="00CE279A">
        <w:rPr>
          <w:sz w:val="26"/>
          <w:szCs w:val="26"/>
        </w:rPr>
        <w:t xml:space="preserve">our </w:t>
      </w:r>
      <w:r w:rsidR="00937866" w:rsidRPr="00CE279A">
        <w:rPr>
          <w:rFonts w:eastAsiaTheme="minorHAnsi"/>
          <w:sz w:val="26"/>
          <w:szCs w:val="26"/>
        </w:rPr>
        <w:t>O</w:t>
      </w:r>
      <w:r w:rsidR="009E6303" w:rsidRPr="00CE279A">
        <w:rPr>
          <w:rFonts w:eastAsiaTheme="minorHAnsi"/>
          <w:sz w:val="26"/>
          <w:szCs w:val="26"/>
        </w:rPr>
        <w:t>rder on bonding and security</w:t>
      </w:r>
      <w:r w:rsidR="003215EF" w:rsidRPr="00CE279A">
        <w:rPr>
          <w:rFonts w:eastAsiaTheme="minorHAnsi"/>
          <w:sz w:val="26"/>
          <w:szCs w:val="26"/>
        </w:rPr>
        <w:t>, and states as follows:</w:t>
      </w:r>
    </w:p>
    <w:p w14:paraId="5BCD6CF9" w14:textId="7F55BA94" w:rsidR="001B00DC" w:rsidRPr="00CE279A" w:rsidRDefault="001B00DC" w:rsidP="008A1D49">
      <w:pPr>
        <w:widowControl/>
        <w:autoSpaceDE w:val="0"/>
        <w:autoSpaceDN w:val="0"/>
        <w:adjustRightInd w:val="0"/>
        <w:rPr>
          <w:rFonts w:eastAsiaTheme="minorHAnsi"/>
          <w:sz w:val="26"/>
          <w:szCs w:val="26"/>
        </w:rPr>
      </w:pPr>
    </w:p>
    <w:p w14:paraId="72DA7CB2" w14:textId="4A1C3549" w:rsidR="001B00DC" w:rsidRPr="00CE279A" w:rsidRDefault="001B00DC" w:rsidP="00024EEF">
      <w:pPr>
        <w:widowControl/>
        <w:autoSpaceDE w:val="0"/>
        <w:autoSpaceDN w:val="0"/>
        <w:adjustRightInd w:val="0"/>
        <w:ind w:left="1440" w:right="1440"/>
        <w:rPr>
          <w:rFonts w:eastAsiaTheme="minorHAnsi"/>
          <w:sz w:val="26"/>
          <w:szCs w:val="26"/>
        </w:rPr>
      </w:pPr>
      <w:r w:rsidRPr="00CE279A">
        <w:rPr>
          <w:rFonts w:eastAsiaTheme="minorHAnsi"/>
          <w:sz w:val="26"/>
          <w:szCs w:val="26"/>
        </w:rPr>
        <w:t xml:space="preserve">[T]he </w:t>
      </w:r>
      <w:proofErr w:type="gramStart"/>
      <w:r w:rsidRPr="00CE279A">
        <w:rPr>
          <w:rFonts w:eastAsiaTheme="minorHAnsi"/>
          <w:sz w:val="26"/>
          <w:szCs w:val="26"/>
        </w:rPr>
        <w:t>bond</w:t>
      </w:r>
      <w:proofErr w:type="gramEnd"/>
      <w:r w:rsidRPr="00CE279A">
        <w:rPr>
          <w:rFonts w:eastAsiaTheme="minorHAnsi"/>
          <w:sz w:val="26"/>
          <w:szCs w:val="26"/>
        </w:rPr>
        <w:t xml:space="preserve"> or security for an EGS after the first year of operation should be in the </w:t>
      </w:r>
      <w:bookmarkStart w:id="2" w:name="_Hlk515951020"/>
      <w:r w:rsidRPr="00CE279A">
        <w:rPr>
          <w:rFonts w:eastAsiaTheme="minorHAnsi"/>
          <w:sz w:val="26"/>
          <w:szCs w:val="26"/>
        </w:rPr>
        <w:t xml:space="preserve">amount of 5% of the EGS’s most recent twelve months of revenue or $250,000, whichever is </w:t>
      </w:r>
      <w:r w:rsidRPr="00CE279A">
        <w:rPr>
          <w:rFonts w:eastAsiaTheme="minorHAnsi"/>
          <w:i/>
          <w:iCs/>
          <w:sz w:val="26"/>
          <w:szCs w:val="26"/>
        </w:rPr>
        <w:t>higher</w:t>
      </w:r>
      <w:bookmarkEnd w:id="2"/>
      <w:r w:rsidR="006E3231" w:rsidRPr="00CE279A">
        <w:rPr>
          <w:rFonts w:eastAsiaTheme="minorHAnsi"/>
          <w:i/>
          <w:iCs/>
          <w:sz w:val="26"/>
          <w:szCs w:val="26"/>
        </w:rPr>
        <w:t xml:space="preserve"> . . .</w:t>
      </w:r>
      <w:r w:rsidRPr="00CE279A">
        <w:rPr>
          <w:rFonts w:eastAsiaTheme="minorHAnsi"/>
          <w:i/>
          <w:iCs/>
          <w:sz w:val="26"/>
          <w:szCs w:val="26"/>
        </w:rPr>
        <w:t xml:space="preserve"> ,</w:t>
      </w:r>
      <w:r w:rsidR="006E3231" w:rsidRPr="00CE279A">
        <w:rPr>
          <w:rFonts w:eastAsiaTheme="minorHAnsi"/>
          <w:i/>
          <w:iCs/>
          <w:sz w:val="26"/>
          <w:szCs w:val="26"/>
        </w:rPr>
        <w:t xml:space="preserve"> </w:t>
      </w:r>
      <w:r w:rsidRPr="00CE279A">
        <w:rPr>
          <w:rFonts w:eastAsiaTheme="minorHAnsi"/>
          <w:sz w:val="26"/>
          <w:szCs w:val="26"/>
        </w:rPr>
        <w:t>provided the bond or security meets the other criteria required under the Commission’s regulations.</w:t>
      </w:r>
    </w:p>
    <w:p w14:paraId="42EEBC9D" w14:textId="6AA4AC76" w:rsidR="006B2D50" w:rsidRPr="00CE279A" w:rsidRDefault="006B2D50" w:rsidP="008A1D49">
      <w:pPr>
        <w:widowControl/>
        <w:autoSpaceDE w:val="0"/>
        <w:autoSpaceDN w:val="0"/>
        <w:adjustRightInd w:val="0"/>
        <w:rPr>
          <w:rFonts w:eastAsiaTheme="minorHAnsi"/>
          <w:i/>
          <w:sz w:val="26"/>
          <w:szCs w:val="26"/>
        </w:rPr>
      </w:pPr>
    </w:p>
    <w:p w14:paraId="4A791DE2" w14:textId="77777777" w:rsidR="00857806" w:rsidRPr="00CE279A" w:rsidRDefault="00857806" w:rsidP="008A1D49">
      <w:pPr>
        <w:widowControl/>
        <w:autoSpaceDE w:val="0"/>
        <w:autoSpaceDN w:val="0"/>
        <w:adjustRightInd w:val="0"/>
        <w:rPr>
          <w:rFonts w:eastAsiaTheme="minorHAnsi"/>
          <w:i/>
          <w:sz w:val="26"/>
          <w:szCs w:val="26"/>
        </w:rPr>
      </w:pPr>
    </w:p>
    <w:p w14:paraId="5BC6A7ED" w14:textId="77777777" w:rsidR="006B2D50" w:rsidRPr="00CE279A" w:rsidRDefault="006B2D50" w:rsidP="008A1D49">
      <w:pPr>
        <w:widowControl/>
        <w:autoSpaceDE w:val="0"/>
        <w:autoSpaceDN w:val="0"/>
        <w:adjustRightInd w:val="0"/>
        <w:rPr>
          <w:rFonts w:eastAsiaTheme="minorHAnsi"/>
          <w:i/>
          <w:sz w:val="26"/>
          <w:szCs w:val="26"/>
        </w:rPr>
      </w:pPr>
      <w:r w:rsidRPr="00CE279A">
        <w:rPr>
          <w:rFonts w:eastAsiaTheme="minorHAnsi"/>
          <w:i/>
          <w:sz w:val="26"/>
          <w:szCs w:val="26"/>
        </w:rPr>
        <w:t>Public Utility Commission Bonding/Security Requirements for Electric Generation Suppliers; Acceptable Security Instruments</w:t>
      </w:r>
      <w:r w:rsidRPr="00CE279A">
        <w:rPr>
          <w:rFonts w:eastAsiaTheme="minorHAnsi"/>
          <w:sz w:val="26"/>
          <w:szCs w:val="26"/>
        </w:rPr>
        <w:t>, Docket No. M-2013-2393141, (Order entered July 24, 2014) (</w:t>
      </w:r>
      <w:r w:rsidRPr="00CE279A">
        <w:rPr>
          <w:rFonts w:eastAsiaTheme="minorHAnsi"/>
          <w:i/>
          <w:sz w:val="26"/>
          <w:szCs w:val="26"/>
        </w:rPr>
        <w:t>Bonding/Security Order</w:t>
      </w:r>
      <w:r w:rsidRPr="00CE279A">
        <w:rPr>
          <w:rFonts w:eastAsiaTheme="minorHAnsi"/>
          <w:sz w:val="26"/>
          <w:szCs w:val="26"/>
        </w:rPr>
        <w:t>).</w:t>
      </w:r>
    </w:p>
    <w:p w14:paraId="6F252794" w14:textId="77777777" w:rsidR="00344AF4" w:rsidRPr="00CE279A" w:rsidRDefault="00344AF4" w:rsidP="008A1D49">
      <w:pPr>
        <w:widowControl/>
        <w:autoSpaceDE w:val="0"/>
        <w:autoSpaceDN w:val="0"/>
        <w:adjustRightInd w:val="0"/>
        <w:spacing w:line="360" w:lineRule="auto"/>
        <w:ind w:left="1440"/>
        <w:rPr>
          <w:rFonts w:eastAsiaTheme="minorHAnsi"/>
          <w:sz w:val="26"/>
          <w:szCs w:val="26"/>
        </w:rPr>
      </w:pPr>
    </w:p>
    <w:p w14:paraId="33CCFCA1" w14:textId="76A4791C" w:rsidR="00742618" w:rsidRPr="00CE279A" w:rsidRDefault="00344AF4" w:rsidP="00CE279A">
      <w:pPr>
        <w:keepNext/>
        <w:keepLines/>
        <w:widowControl/>
        <w:autoSpaceDE w:val="0"/>
        <w:autoSpaceDN w:val="0"/>
        <w:adjustRightInd w:val="0"/>
        <w:spacing w:line="360" w:lineRule="auto"/>
        <w:rPr>
          <w:rFonts w:eastAsiaTheme="minorHAnsi"/>
          <w:sz w:val="26"/>
          <w:szCs w:val="26"/>
        </w:rPr>
      </w:pPr>
      <w:r w:rsidRPr="00CE279A">
        <w:rPr>
          <w:rFonts w:eastAsiaTheme="minorHAnsi"/>
          <w:sz w:val="26"/>
          <w:szCs w:val="26"/>
        </w:rPr>
        <w:tab/>
      </w:r>
      <w:r w:rsidR="005665E9" w:rsidRPr="00CE279A">
        <w:rPr>
          <w:rFonts w:eastAsiaTheme="minorHAnsi"/>
          <w:sz w:val="26"/>
          <w:szCs w:val="26"/>
        </w:rPr>
        <w:tab/>
      </w:r>
      <w:r w:rsidR="003215EF" w:rsidRPr="00CE279A">
        <w:rPr>
          <w:rFonts w:eastAsiaTheme="minorHAnsi"/>
          <w:sz w:val="26"/>
          <w:szCs w:val="26"/>
        </w:rPr>
        <w:t xml:space="preserve">We authorize </w:t>
      </w:r>
      <w:r w:rsidRPr="00CE279A">
        <w:rPr>
          <w:rFonts w:eastAsiaTheme="minorHAnsi"/>
          <w:sz w:val="26"/>
          <w:szCs w:val="26"/>
        </w:rPr>
        <w:t>the reduction in security because</w:t>
      </w:r>
      <w:r w:rsidR="00742618" w:rsidRPr="00CE279A">
        <w:rPr>
          <w:rFonts w:eastAsiaTheme="minorHAnsi"/>
          <w:sz w:val="26"/>
          <w:szCs w:val="26"/>
        </w:rPr>
        <w:t>:</w:t>
      </w:r>
    </w:p>
    <w:p w14:paraId="20ADC25A" w14:textId="77777777" w:rsidR="003215EF" w:rsidRPr="00CE279A" w:rsidRDefault="003215EF" w:rsidP="003215EF">
      <w:pPr>
        <w:keepNext/>
        <w:keepLines/>
        <w:widowControl/>
        <w:autoSpaceDE w:val="0"/>
        <w:autoSpaceDN w:val="0"/>
        <w:adjustRightInd w:val="0"/>
        <w:spacing w:line="360" w:lineRule="auto"/>
        <w:jc w:val="both"/>
        <w:rPr>
          <w:rFonts w:eastAsiaTheme="minorHAnsi"/>
          <w:sz w:val="26"/>
          <w:szCs w:val="26"/>
        </w:rPr>
      </w:pPr>
    </w:p>
    <w:p w14:paraId="78BF2BE9" w14:textId="0CB806C3" w:rsidR="00742618" w:rsidRPr="00CE279A" w:rsidRDefault="00742618" w:rsidP="005D6EDF">
      <w:pPr>
        <w:widowControl/>
        <w:autoSpaceDE w:val="0"/>
        <w:autoSpaceDN w:val="0"/>
        <w:adjustRightInd w:val="0"/>
        <w:ind w:left="1440" w:right="1440"/>
        <w:rPr>
          <w:rFonts w:eastAsiaTheme="minorHAnsi"/>
          <w:sz w:val="26"/>
          <w:szCs w:val="26"/>
        </w:rPr>
      </w:pPr>
      <w:r w:rsidRPr="00CE279A">
        <w:rPr>
          <w:rFonts w:eastAsiaTheme="minorHAnsi"/>
          <w:sz w:val="26"/>
          <w:szCs w:val="26"/>
        </w:rPr>
        <w:t>[R]</w:t>
      </w:r>
      <w:r w:rsidR="00024EEF" w:rsidRPr="00CE279A">
        <w:rPr>
          <w:rFonts w:eastAsiaTheme="minorHAnsi"/>
          <w:sz w:val="26"/>
          <w:szCs w:val="26"/>
        </w:rPr>
        <w:t>e</w:t>
      </w:r>
      <w:r w:rsidR="00344AF4" w:rsidRPr="00CE279A">
        <w:rPr>
          <w:rFonts w:eastAsiaTheme="minorHAnsi"/>
          <w:sz w:val="26"/>
          <w:szCs w:val="26"/>
        </w:rPr>
        <w:t>quiring an EGS to post a bond or security in the amount of 10% of reported gross receipts after the first year of EGS operation may be excessive in relation to the risk intended to be secured</w:t>
      </w:r>
      <w:r w:rsidR="00982FA0" w:rsidRPr="00CE279A">
        <w:rPr>
          <w:rFonts w:eastAsiaTheme="minorHAnsi"/>
          <w:sz w:val="26"/>
          <w:szCs w:val="26"/>
        </w:rPr>
        <w:t>.</w:t>
      </w:r>
    </w:p>
    <w:p w14:paraId="0AE81393" w14:textId="0443B2BE" w:rsidR="00742618" w:rsidRPr="00CE279A" w:rsidRDefault="00742618" w:rsidP="00742618">
      <w:pPr>
        <w:widowControl/>
        <w:autoSpaceDE w:val="0"/>
        <w:autoSpaceDN w:val="0"/>
        <w:adjustRightInd w:val="0"/>
        <w:ind w:left="1440" w:right="1440"/>
        <w:jc w:val="both"/>
        <w:rPr>
          <w:rFonts w:eastAsiaTheme="minorHAnsi"/>
          <w:sz w:val="26"/>
          <w:szCs w:val="26"/>
        </w:rPr>
      </w:pPr>
    </w:p>
    <w:p w14:paraId="342CC950" w14:textId="77777777" w:rsidR="00742618" w:rsidRPr="00CE279A" w:rsidRDefault="00742618" w:rsidP="00742618">
      <w:pPr>
        <w:widowControl/>
        <w:autoSpaceDE w:val="0"/>
        <w:autoSpaceDN w:val="0"/>
        <w:adjustRightInd w:val="0"/>
        <w:ind w:left="1440" w:right="1440"/>
        <w:jc w:val="both"/>
        <w:rPr>
          <w:rFonts w:eastAsiaTheme="minorHAnsi"/>
          <w:sz w:val="26"/>
          <w:szCs w:val="26"/>
        </w:rPr>
      </w:pPr>
    </w:p>
    <w:p w14:paraId="1EBE7852" w14:textId="5A0479BD" w:rsidR="00344AF4" w:rsidRPr="00CE279A" w:rsidRDefault="00344AF4" w:rsidP="00742618">
      <w:pPr>
        <w:widowControl/>
        <w:autoSpaceDE w:val="0"/>
        <w:autoSpaceDN w:val="0"/>
        <w:adjustRightInd w:val="0"/>
        <w:spacing w:line="360" w:lineRule="auto"/>
        <w:jc w:val="both"/>
        <w:rPr>
          <w:sz w:val="26"/>
          <w:szCs w:val="26"/>
        </w:rPr>
      </w:pPr>
      <w:r w:rsidRPr="00CE279A">
        <w:rPr>
          <w:i/>
          <w:sz w:val="26"/>
          <w:szCs w:val="26"/>
        </w:rPr>
        <w:t>Id</w:t>
      </w:r>
      <w:r w:rsidRPr="00CE279A">
        <w:rPr>
          <w:sz w:val="26"/>
          <w:szCs w:val="26"/>
        </w:rPr>
        <w:t>.</w:t>
      </w:r>
    </w:p>
    <w:p w14:paraId="0C1AA920" w14:textId="77777777" w:rsidR="00344AF4" w:rsidRPr="00CE279A" w:rsidRDefault="00344AF4" w:rsidP="00742618">
      <w:pPr>
        <w:widowControl/>
        <w:spacing w:line="360" w:lineRule="auto"/>
        <w:rPr>
          <w:sz w:val="26"/>
          <w:szCs w:val="26"/>
        </w:rPr>
      </w:pPr>
    </w:p>
    <w:p w14:paraId="4F86904A" w14:textId="6D62FC75" w:rsidR="00344AF4" w:rsidRPr="00CE279A" w:rsidRDefault="00344AF4" w:rsidP="00982FA0">
      <w:pPr>
        <w:widowControl/>
        <w:autoSpaceDE w:val="0"/>
        <w:autoSpaceDN w:val="0"/>
        <w:adjustRightInd w:val="0"/>
        <w:spacing w:line="360" w:lineRule="auto"/>
        <w:rPr>
          <w:sz w:val="26"/>
          <w:szCs w:val="26"/>
        </w:rPr>
      </w:pPr>
      <w:r w:rsidRPr="00CE279A">
        <w:rPr>
          <w:sz w:val="26"/>
          <w:szCs w:val="26"/>
        </w:rPr>
        <w:tab/>
      </w:r>
      <w:r w:rsidR="005665E9" w:rsidRPr="00CE279A">
        <w:rPr>
          <w:sz w:val="26"/>
          <w:szCs w:val="26"/>
        </w:rPr>
        <w:tab/>
      </w:r>
      <w:r w:rsidRPr="00CE279A">
        <w:rPr>
          <w:sz w:val="26"/>
          <w:szCs w:val="26"/>
        </w:rPr>
        <w:t xml:space="preserve">Where Staff </w:t>
      </w:r>
      <w:r w:rsidR="00957D74" w:rsidRPr="00CE279A">
        <w:rPr>
          <w:sz w:val="26"/>
          <w:szCs w:val="26"/>
        </w:rPr>
        <w:t xml:space="preserve">denies </w:t>
      </w:r>
      <w:r w:rsidRPr="00CE279A">
        <w:rPr>
          <w:sz w:val="26"/>
          <w:szCs w:val="26"/>
        </w:rPr>
        <w:t>a</w:t>
      </w:r>
      <w:r w:rsidR="00957D74" w:rsidRPr="00CE279A">
        <w:rPr>
          <w:sz w:val="26"/>
          <w:szCs w:val="26"/>
        </w:rPr>
        <w:t xml:space="preserve">n EGS’ </w:t>
      </w:r>
      <w:r w:rsidRPr="00CE279A">
        <w:rPr>
          <w:sz w:val="26"/>
          <w:szCs w:val="26"/>
        </w:rPr>
        <w:t xml:space="preserve">request </w:t>
      </w:r>
      <w:r w:rsidR="00957D74" w:rsidRPr="00CE279A">
        <w:rPr>
          <w:sz w:val="26"/>
          <w:szCs w:val="26"/>
        </w:rPr>
        <w:t>f</w:t>
      </w:r>
      <w:r w:rsidRPr="00CE279A">
        <w:rPr>
          <w:sz w:val="26"/>
          <w:szCs w:val="26"/>
        </w:rPr>
        <w:t xml:space="preserve">or the reduced security amount, Staff’s </w:t>
      </w:r>
      <w:r w:rsidR="008C0E26" w:rsidRPr="00CE279A">
        <w:rPr>
          <w:sz w:val="26"/>
          <w:szCs w:val="26"/>
        </w:rPr>
        <w:t xml:space="preserve">Secretarial Letter </w:t>
      </w:r>
      <w:r w:rsidRPr="00CE279A">
        <w:rPr>
          <w:sz w:val="26"/>
          <w:szCs w:val="26"/>
        </w:rPr>
        <w:t>should</w:t>
      </w:r>
      <w:r w:rsidR="008C0E26" w:rsidRPr="00CE279A">
        <w:rPr>
          <w:sz w:val="26"/>
          <w:szCs w:val="26"/>
        </w:rPr>
        <w:t xml:space="preserve"> state</w:t>
      </w:r>
      <w:r w:rsidR="008C0E26" w:rsidRPr="00CE279A">
        <w:rPr>
          <w:rFonts w:eastAsiaTheme="minorHAnsi"/>
          <w:sz w:val="26"/>
          <w:szCs w:val="26"/>
        </w:rPr>
        <w:t xml:space="preserve"> “how the request is not consistent with the</w:t>
      </w:r>
      <w:r w:rsidR="00982FA0" w:rsidRPr="00CE279A">
        <w:rPr>
          <w:rFonts w:eastAsiaTheme="minorHAnsi"/>
          <w:sz w:val="26"/>
          <w:szCs w:val="26"/>
        </w:rPr>
        <w:t xml:space="preserve"> </w:t>
      </w:r>
      <w:r w:rsidR="008C0E26" w:rsidRPr="00CE279A">
        <w:rPr>
          <w:rFonts w:eastAsiaTheme="minorHAnsi"/>
          <w:sz w:val="26"/>
          <w:szCs w:val="26"/>
        </w:rPr>
        <w:t xml:space="preserve">Public Utility Code </w:t>
      </w:r>
      <w:r w:rsidR="00982FA0" w:rsidRPr="00CE279A">
        <w:rPr>
          <w:rFonts w:eastAsiaTheme="minorHAnsi"/>
          <w:sz w:val="26"/>
          <w:szCs w:val="26"/>
        </w:rPr>
        <w:t xml:space="preserve">(Code) </w:t>
      </w:r>
      <w:r w:rsidR="008C0E26" w:rsidRPr="00CE279A">
        <w:rPr>
          <w:rFonts w:eastAsiaTheme="minorHAnsi"/>
          <w:sz w:val="26"/>
          <w:szCs w:val="26"/>
        </w:rPr>
        <w:t>and the Commission’s bonding/security regulations.”</w:t>
      </w:r>
      <w:bookmarkStart w:id="3" w:name="_Hlk515963553"/>
      <w:r w:rsidR="005D6EDF">
        <w:rPr>
          <w:rFonts w:eastAsiaTheme="minorHAnsi"/>
          <w:sz w:val="26"/>
          <w:szCs w:val="26"/>
        </w:rPr>
        <w:t xml:space="preserve"> </w:t>
      </w:r>
      <w:r w:rsidR="008C0E26" w:rsidRPr="00CE279A">
        <w:rPr>
          <w:rFonts w:eastAsiaTheme="minorHAnsi"/>
          <w:i/>
          <w:sz w:val="26"/>
          <w:szCs w:val="26"/>
        </w:rPr>
        <w:t xml:space="preserve">Bonding/Security Order </w:t>
      </w:r>
      <w:r w:rsidR="008C0E26" w:rsidRPr="00CE279A">
        <w:rPr>
          <w:rFonts w:eastAsiaTheme="minorHAnsi"/>
          <w:sz w:val="26"/>
          <w:szCs w:val="26"/>
        </w:rPr>
        <w:t>at 13</w:t>
      </w:r>
      <w:bookmarkEnd w:id="3"/>
      <w:r w:rsidR="008C0E26" w:rsidRPr="00CE279A">
        <w:rPr>
          <w:rFonts w:eastAsiaTheme="minorHAnsi"/>
          <w:sz w:val="26"/>
          <w:szCs w:val="26"/>
        </w:rPr>
        <w:t>.</w:t>
      </w:r>
    </w:p>
    <w:p w14:paraId="785A4BCF" w14:textId="77777777" w:rsidR="00344AF4" w:rsidRPr="00CE279A" w:rsidRDefault="00344AF4" w:rsidP="008A1D49">
      <w:pPr>
        <w:widowControl/>
        <w:autoSpaceDE w:val="0"/>
        <w:autoSpaceDN w:val="0"/>
        <w:adjustRightInd w:val="0"/>
        <w:jc w:val="both"/>
        <w:rPr>
          <w:rFonts w:eastAsiaTheme="minorHAnsi"/>
          <w:sz w:val="26"/>
          <w:szCs w:val="26"/>
        </w:rPr>
      </w:pPr>
    </w:p>
    <w:p w14:paraId="1E362B19" w14:textId="77777777" w:rsidR="003D5C5F" w:rsidRPr="00CE279A" w:rsidRDefault="003D5C5F" w:rsidP="008A1D49">
      <w:pPr>
        <w:widowControl/>
        <w:rPr>
          <w:sz w:val="26"/>
          <w:szCs w:val="26"/>
        </w:rPr>
      </w:pPr>
    </w:p>
    <w:p w14:paraId="1F2024F7" w14:textId="77777777" w:rsidR="00EC5ACE" w:rsidRPr="00CE279A" w:rsidRDefault="00EC5ACE" w:rsidP="008A1D49">
      <w:pPr>
        <w:keepNext/>
        <w:keepLines/>
        <w:widowControl/>
        <w:spacing w:line="360" w:lineRule="auto"/>
        <w:rPr>
          <w:b/>
          <w:sz w:val="26"/>
          <w:szCs w:val="26"/>
        </w:rPr>
      </w:pPr>
      <w:r w:rsidRPr="00CE279A">
        <w:rPr>
          <w:b/>
          <w:sz w:val="26"/>
          <w:szCs w:val="26"/>
        </w:rPr>
        <w:t>Disposition</w:t>
      </w:r>
    </w:p>
    <w:p w14:paraId="2F36EB21" w14:textId="77777777" w:rsidR="008D097F" w:rsidRPr="00CE279A" w:rsidRDefault="008D097F" w:rsidP="008A1D49">
      <w:pPr>
        <w:keepNext/>
        <w:keepLines/>
        <w:widowControl/>
        <w:spacing w:line="360" w:lineRule="auto"/>
        <w:rPr>
          <w:b/>
          <w:sz w:val="26"/>
          <w:szCs w:val="26"/>
        </w:rPr>
      </w:pPr>
    </w:p>
    <w:p w14:paraId="68E70AD5" w14:textId="49A2B4A7" w:rsidR="00F10526" w:rsidRPr="00CE279A" w:rsidRDefault="00F10526" w:rsidP="00982FA0">
      <w:pPr>
        <w:widowControl/>
        <w:spacing w:line="360" w:lineRule="auto"/>
        <w:rPr>
          <w:sz w:val="26"/>
          <w:szCs w:val="26"/>
        </w:rPr>
      </w:pPr>
      <w:bookmarkStart w:id="4" w:name="_Hlk517353108"/>
      <w:r w:rsidRPr="00CE279A">
        <w:rPr>
          <w:b/>
          <w:sz w:val="26"/>
          <w:szCs w:val="26"/>
        </w:rPr>
        <w:tab/>
      </w:r>
      <w:r w:rsidR="005665E9" w:rsidRPr="00CE279A">
        <w:rPr>
          <w:b/>
          <w:sz w:val="26"/>
          <w:szCs w:val="26"/>
        </w:rPr>
        <w:tab/>
      </w:r>
      <w:bookmarkEnd w:id="4"/>
      <w:r w:rsidRPr="00CE279A">
        <w:rPr>
          <w:sz w:val="26"/>
          <w:szCs w:val="26"/>
        </w:rPr>
        <w:t xml:space="preserve">Based on our review of the record, we find that FES </w:t>
      </w:r>
      <w:r w:rsidR="00FF7DE3" w:rsidRPr="00CE279A">
        <w:rPr>
          <w:sz w:val="26"/>
          <w:szCs w:val="26"/>
        </w:rPr>
        <w:t xml:space="preserve">fails to </w:t>
      </w:r>
      <w:r w:rsidRPr="00CE279A">
        <w:rPr>
          <w:sz w:val="26"/>
          <w:szCs w:val="26"/>
        </w:rPr>
        <w:t xml:space="preserve">assert </w:t>
      </w:r>
      <w:r w:rsidR="00942599" w:rsidRPr="00CE279A">
        <w:rPr>
          <w:sz w:val="26"/>
          <w:szCs w:val="26"/>
        </w:rPr>
        <w:t>substantial</w:t>
      </w:r>
      <w:r w:rsidRPr="00CE279A">
        <w:rPr>
          <w:sz w:val="26"/>
          <w:szCs w:val="26"/>
        </w:rPr>
        <w:t xml:space="preserve"> and credible evidence to warrant the grant of</w:t>
      </w:r>
      <w:r w:rsidR="00D94EEF" w:rsidRPr="00CE279A">
        <w:rPr>
          <w:sz w:val="26"/>
          <w:szCs w:val="26"/>
        </w:rPr>
        <w:t xml:space="preserve"> the </w:t>
      </w:r>
      <w:r w:rsidR="00D94EEF" w:rsidRPr="00CE279A">
        <w:rPr>
          <w:i/>
          <w:sz w:val="26"/>
          <w:szCs w:val="26"/>
        </w:rPr>
        <w:t>Petition for Reconsideration</w:t>
      </w:r>
      <w:r w:rsidR="00D94EEF" w:rsidRPr="00CE279A">
        <w:rPr>
          <w:sz w:val="26"/>
          <w:szCs w:val="26"/>
        </w:rPr>
        <w:t xml:space="preserve"> </w:t>
      </w:r>
      <w:r w:rsidRPr="00CE279A">
        <w:rPr>
          <w:sz w:val="26"/>
          <w:szCs w:val="26"/>
        </w:rPr>
        <w:t xml:space="preserve">of TUS’ </w:t>
      </w:r>
      <w:r w:rsidR="00FF7DE3" w:rsidRPr="00CE279A">
        <w:rPr>
          <w:sz w:val="26"/>
          <w:szCs w:val="26"/>
        </w:rPr>
        <w:t xml:space="preserve">requirement that </w:t>
      </w:r>
      <w:r w:rsidRPr="00CE279A">
        <w:rPr>
          <w:sz w:val="26"/>
          <w:szCs w:val="26"/>
        </w:rPr>
        <w:t>FES</w:t>
      </w:r>
      <w:r w:rsidR="00FF7DE3" w:rsidRPr="00CE279A">
        <w:rPr>
          <w:sz w:val="26"/>
          <w:szCs w:val="26"/>
        </w:rPr>
        <w:t xml:space="preserve"> increase its </w:t>
      </w:r>
      <w:r w:rsidRPr="00CE279A">
        <w:rPr>
          <w:sz w:val="26"/>
          <w:szCs w:val="26"/>
        </w:rPr>
        <w:t>security bond level from 5% to 10%</w:t>
      </w:r>
      <w:r w:rsidR="009D7383" w:rsidRPr="00CE279A">
        <w:rPr>
          <w:sz w:val="26"/>
          <w:szCs w:val="26"/>
        </w:rPr>
        <w:t>.</w:t>
      </w:r>
      <w:r w:rsidR="008A7857" w:rsidRPr="00CE279A">
        <w:rPr>
          <w:sz w:val="26"/>
          <w:szCs w:val="26"/>
        </w:rPr>
        <w:t xml:space="preserve">  We find that TUS’ decision to increase FES’ security bond level from 5% to 10% is justified on the basis stated in TUS’ </w:t>
      </w:r>
      <w:r w:rsidR="008A7857" w:rsidRPr="00CE279A">
        <w:rPr>
          <w:i/>
          <w:sz w:val="26"/>
          <w:szCs w:val="26"/>
        </w:rPr>
        <w:t>April 18 Letter</w:t>
      </w:r>
      <w:r w:rsidR="008A7857" w:rsidRPr="00CE279A">
        <w:rPr>
          <w:sz w:val="26"/>
          <w:szCs w:val="26"/>
        </w:rPr>
        <w:t xml:space="preserve"> and consistent with </w:t>
      </w:r>
      <w:r w:rsidR="008A7857" w:rsidRPr="00CE279A">
        <w:rPr>
          <w:rFonts w:eastAsiaTheme="minorHAnsi"/>
          <w:sz w:val="26"/>
          <w:szCs w:val="26"/>
        </w:rPr>
        <w:t xml:space="preserve">Section 2809 of the Public Utility Code, </w:t>
      </w:r>
      <w:r w:rsidR="008A7857" w:rsidRPr="00CE279A">
        <w:rPr>
          <w:sz w:val="26"/>
          <w:szCs w:val="26"/>
        </w:rPr>
        <w:t>66 Pa. C.S. §</w:t>
      </w:r>
      <w:r w:rsidR="001D4758">
        <w:rPr>
          <w:sz w:val="26"/>
          <w:szCs w:val="26"/>
        </w:rPr>
        <w:t xml:space="preserve"> </w:t>
      </w:r>
      <w:r w:rsidR="008A7857" w:rsidRPr="00CE279A">
        <w:rPr>
          <w:sz w:val="26"/>
          <w:szCs w:val="26"/>
        </w:rPr>
        <w:t>2809.</w:t>
      </w:r>
    </w:p>
    <w:p w14:paraId="02976FEA" w14:textId="77777777" w:rsidR="00F10526" w:rsidRPr="00CE279A" w:rsidRDefault="00F10526" w:rsidP="00982FA0">
      <w:pPr>
        <w:widowControl/>
        <w:spacing w:line="360" w:lineRule="auto"/>
        <w:rPr>
          <w:sz w:val="26"/>
          <w:szCs w:val="26"/>
        </w:rPr>
      </w:pPr>
    </w:p>
    <w:p w14:paraId="012F97C4" w14:textId="4D2A9C12" w:rsidR="003B11CE" w:rsidRPr="00CE279A" w:rsidRDefault="00F10526" w:rsidP="001B5531">
      <w:pPr>
        <w:widowControl/>
        <w:autoSpaceDE w:val="0"/>
        <w:autoSpaceDN w:val="0"/>
        <w:adjustRightInd w:val="0"/>
        <w:spacing w:line="360" w:lineRule="auto"/>
        <w:rPr>
          <w:rFonts w:eastAsiaTheme="minorHAnsi"/>
          <w:sz w:val="26"/>
          <w:szCs w:val="26"/>
        </w:rPr>
      </w:pPr>
      <w:r w:rsidRPr="00CE279A">
        <w:rPr>
          <w:sz w:val="26"/>
          <w:szCs w:val="26"/>
        </w:rPr>
        <w:tab/>
      </w:r>
      <w:r w:rsidR="005665E9" w:rsidRPr="00CE279A">
        <w:rPr>
          <w:sz w:val="26"/>
          <w:szCs w:val="26"/>
        </w:rPr>
        <w:tab/>
      </w:r>
      <w:r w:rsidR="003B11CE" w:rsidRPr="00CE279A">
        <w:rPr>
          <w:rFonts w:eastAsiaTheme="minorHAnsi"/>
          <w:sz w:val="26"/>
          <w:szCs w:val="26"/>
        </w:rPr>
        <w:t xml:space="preserve">FES’ </w:t>
      </w:r>
      <w:r w:rsidR="003B11CE" w:rsidRPr="00CE279A">
        <w:rPr>
          <w:rFonts w:eastAsiaTheme="minorHAnsi"/>
          <w:i/>
          <w:sz w:val="26"/>
          <w:szCs w:val="26"/>
        </w:rPr>
        <w:t>Petition for Reconsideration</w:t>
      </w:r>
      <w:r w:rsidR="003B11CE" w:rsidRPr="00CE279A">
        <w:rPr>
          <w:rFonts w:eastAsiaTheme="minorHAnsi"/>
          <w:sz w:val="26"/>
          <w:szCs w:val="26"/>
        </w:rPr>
        <w:t xml:space="preserve"> relies upon a showing that FES satisfied the prerequisite criteria for seeking a renewal of a reduced bond requirement outlined in our April 8, 2016 Secretarial Letter providing</w:t>
      </w:r>
      <w:r w:rsidR="003B11CE" w:rsidRPr="00CE279A">
        <w:rPr>
          <w:rFonts w:eastAsiaTheme="minorHAnsi"/>
          <w:i/>
          <w:sz w:val="26"/>
          <w:szCs w:val="26"/>
        </w:rPr>
        <w:t xml:space="preserve"> Guidance on Electric Generation Supplier Licensee Financial Security</w:t>
      </w:r>
      <w:r w:rsidR="003B11CE" w:rsidRPr="00CE279A">
        <w:rPr>
          <w:rFonts w:eastAsiaTheme="minorHAnsi"/>
          <w:sz w:val="26"/>
          <w:szCs w:val="26"/>
        </w:rPr>
        <w:t>, Docket No. M-2013-2393141.  FES asserts that its petition for renewal included all the specified eligibility criteria</w:t>
      </w:r>
      <w:r w:rsidR="00103058" w:rsidRPr="00CE279A">
        <w:rPr>
          <w:rFonts w:eastAsiaTheme="minorHAnsi"/>
          <w:sz w:val="26"/>
          <w:szCs w:val="26"/>
        </w:rPr>
        <w:t xml:space="preserve"> which had previously </w:t>
      </w:r>
      <w:r w:rsidR="001B5531" w:rsidRPr="00CE279A">
        <w:rPr>
          <w:rFonts w:eastAsiaTheme="minorHAnsi"/>
          <w:sz w:val="26"/>
          <w:szCs w:val="26"/>
        </w:rPr>
        <w:t>been relied upon by TUS in granting FES’ reduced bond requirement</w:t>
      </w:r>
      <w:r w:rsidR="003B11CE" w:rsidRPr="00CE279A">
        <w:rPr>
          <w:rFonts w:eastAsiaTheme="minorHAnsi"/>
          <w:sz w:val="26"/>
          <w:szCs w:val="26"/>
        </w:rPr>
        <w:t xml:space="preserve">. </w:t>
      </w:r>
      <w:r w:rsidR="003B11CE" w:rsidRPr="00CE279A">
        <w:rPr>
          <w:rFonts w:eastAsiaTheme="minorHAnsi"/>
          <w:i/>
          <w:sz w:val="26"/>
          <w:szCs w:val="26"/>
        </w:rPr>
        <w:t>See</w:t>
      </w:r>
      <w:r w:rsidR="003B11CE" w:rsidRPr="00CE279A">
        <w:rPr>
          <w:rFonts w:eastAsiaTheme="minorHAnsi"/>
          <w:sz w:val="26"/>
          <w:szCs w:val="26"/>
        </w:rPr>
        <w:t>, FES 2018 Renewal Petition.</w:t>
      </w:r>
    </w:p>
    <w:p w14:paraId="5211922A" w14:textId="77777777" w:rsidR="001B5531" w:rsidRPr="00CE279A" w:rsidRDefault="001B5531" w:rsidP="003B11CE">
      <w:pPr>
        <w:widowControl/>
        <w:autoSpaceDE w:val="0"/>
        <w:autoSpaceDN w:val="0"/>
        <w:adjustRightInd w:val="0"/>
        <w:spacing w:line="360" w:lineRule="auto"/>
        <w:ind w:firstLine="720"/>
        <w:rPr>
          <w:rFonts w:eastAsiaTheme="minorHAnsi"/>
          <w:sz w:val="26"/>
          <w:szCs w:val="26"/>
        </w:rPr>
      </w:pPr>
    </w:p>
    <w:p w14:paraId="06AD1205" w14:textId="5B257DF4" w:rsidR="00817018" w:rsidRPr="00CE279A" w:rsidRDefault="001D4758" w:rsidP="001D4758">
      <w:pPr>
        <w:widowControl/>
        <w:spacing w:line="360" w:lineRule="auto"/>
        <w:ind w:firstLine="720"/>
        <w:rPr>
          <w:sz w:val="26"/>
          <w:szCs w:val="26"/>
        </w:rPr>
      </w:pPr>
      <w:r>
        <w:rPr>
          <w:sz w:val="26"/>
          <w:szCs w:val="26"/>
        </w:rPr>
        <w:tab/>
      </w:r>
      <w:r w:rsidR="007A0B74" w:rsidRPr="00CE279A">
        <w:rPr>
          <w:sz w:val="26"/>
          <w:szCs w:val="26"/>
        </w:rPr>
        <w:t xml:space="preserve">Our </w:t>
      </w:r>
      <w:r w:rsidR="006C6093" w:rsidRPr="00CE279A">
        <w:rPr>
          <w:i/>
          <w:sz w:val="26"/>
          <w:szCs w:val="26"/>
        </w:rPr>
        <w:t xml:space="preserve">Bond/Security Order </w:t>
      </w:r>
      <w:r w:rsidR="006C6093" w:rsidRPr="00CE279A">
        <w:rPr>
          <w:sz w:val="26"/>
          <w:szCs w:val="26"/>
        </w:rPr>
        <w:t>and subsequent Secretarial Letter</w:t>
      </w:r>
      <w:r w:rsidR="006C6093" w:rsidRPr="00CE279A">
        <w:rPr>
          <w:i/>
          <w:sz w:val="26"/>
          <w:szCs w:val="26"/>
        </w:rPr>
        <w:t xml:space="preserve"> </w:t>
      </w:r>
      <w:r w:rsidR="006C6093" w:rsidRPr="00CE279A">
        <w:rPr>
          <w:sz w:val="26"/>
          <w:szCs w:val="26"/>
        </w:rPr>
        <w:t xml:space="preserve">setting out the </w:t>
      </w:r>
      <w:r w:rsidR="001B5531" w:rsidRPr="00CE279A">
        <w:rPr>
          <w:sz w:val="26"/>
          <w:szCs w:val="26"/>
        </w:rPr>
        <w:t xml:space="preserve">guidance on requesting </w:t>
      </w:r>
      <w:r w:rsidR="006C6093" w:rsidRPr="00CE279A">
        <w:rPr>
          <w:sz w:val="26"/>
          <w:szCs w:val="26"/>
        </w:rPr>
        <w:t>a reduced security requirement state:</w:t>
      </w:r>
    </w:p>
    <w:p w14:paraId="3898EB2A" w14:textId="77777777" w:rsidR="005665E9" w:rsidRPr="00CE279A" w:rsidRDefault="005665E9" w:rsidP="00982FA0">
      <w:pPr>
        <w:widowControl/>
        <w:spacing w:line="360" w:lineRule="auto"/>
        <w:rPr>
          <w:sz w:val="26"/>
          <w:szCs w:val="26"/>
        </w:rPr>
      </w:pPr>
    </w:p>
    <w:p w14:paraId="5D826E35" w14:textId="1CB91D4E" w:rsidR="00817018" w:rsidRPr="00CE279A" w:rsidRDefault="00817018" w:rsidP="00982FA0">
      <w:pPr>
        <w:widowControl/>
        <w:autoSpaceDE w:val="0"/>
        <w:autoSpaceDN w:val="0"/>
        <w:adjustRightInd w:val="0"/>
        <w:ind w:left="1440" w:right="1440"/>
        <w:rPr>
          <w:rFonts w:eastAsiaTheme="minorHAnsi"/>
          <w:i/>
          <w:sz w:val="26"/>
          <w:szCs w:val="26"/>
        </w:rPr>
      </w:pPr>
      <w:r w:rsidRPr="00CE279A">
        <w:rPr>
          <w:rFonts w:eastAsiaTheme="minorHAnsi"/>
          <w:sz w:val="26"/>
          <w:szCs w:val="26"/>
        </w:rPr>
        <w:t>To be eligible for the renewal [of reduced security require</w:t>
      </w:r>
      <w:r w:rsidR="00584E0F" w:rsidRPr="00CE279A">
        <w:rPr>
          <w:rFonts w:eastAsiaTheme="minorHAnsi"/>
          <w:sz w:val="26"/>
          <w:szCs w:val="26"/>
        </w:rPr>
        <w:t>-</w:t>
      </w:r>
      <w:r w:rsidRPr="00CE279A">
        <w:rPr>
          <w:rFonts w:eastAsiaTheme="minorHAnsi"/>
          <w:sz w:val="26"/>
          <w:szCs w:val="26"/>
        </w:rPr>
        <w:t xml:space="preserve">ments], [an EGS] must provide annual documentation of its eligibility for a bond reduction at least ninety (90) days prior to the current security’s expiration date. </w:t>
      </w:r>
      <w:r w:rsidR="00584E0F" w:rsidRPr="00CE279A">
        <w:rPr>
          <w:rFonts w:eastAsiaTheme="minorHAnsi"/>
          <w:sz w:val="26"/>
          <w:szCs w:val="26"/>
        </w:rPr>
        <w:t xml:space="preserve"> </w:t>
      </w:r>
      <w:r w:rsidRPr="00CE279A">
        <w:rPr>
          <w:rFonts w:eastAsiaTheme="minorHAnsi"/>
          <w:sz w:val="26"/>
          <w:szCs w:val="26"/>
        </w:rPr>
        <w:t xml:space="preserve">Such documentation </w:t>
      </w:r>
      <w:r w:rsidRPr="00CE279A">
        <w:rPr>
          <w:rFonts w:eastAsiaTheme="minorHAnsi"/>
          <w:i/>
          <w:sz w:val="26"/>
          <w:szCs w:val="26"/>
        </w:rPr>
        <w:t>should include but may not be limited to:</w:t>
      </w:r>
    </w:p>
    <w:p w14:paraId="6FCACE81" w14:textId="77777777" w:rsidR="005665E9" w:rsidRPr="00CE279A" w:rsidRDefault="005665E9" w:rsidP="008A1D49">
      <w:pPr>
        <w:widowControl/>
        <w:autoSpaceDE w:val="0"/>
        <w:autoSpaceDN w:val="0"/>
        <w:adjustRightInd w:val="0"/>
        <w:ind w:left="1440"/>
        <w:rPr>
          <w:rFonts w:eastAsiaTheme="minorHAnsi"/>
          <w:i/>
          <w:sz w:val="26"/>
          <w:szCs w:val="26"/>
        </w:rPr>
      </w:pPr>
    </w:p>
    <w:p w14:paraId="5261103E" w14:textId="602859CB" w:rsidR="00817018" w:rsidRPr="00CE279A" w:rsidRDefault="00817018" w:rsidP="0037013B">
      <w:pPr>
        <w:widowControl/>
        <w:autoSpaceDE w:val="0"/>
        <w:autoSpaceDN w:val="0"/>
        <w:adjustRightInd w:val="0"/>
        <w:spacing w:after="120"/>
        <w:ind w:left="2088" w:right="1800" w:hanging="288"/>
        <w:rPr>
          <w:rFonts w:eastAsiaTheme="minorHAnsi"/>
          <w:sz w:val="26"/>
          <w:szCs w:val="26"/>
        </w:rPr>
      </w:pPr>
      <w:r w:rsidRPr="00CE279A">
        <w:rPr>
          <w:rFonts w:eastAsiaTheme="minorHAnsi"/>
          <w:sz w:val="26"/>
          <w:szCs w:val="26"/>
        </w:rPr>
        <w:t xml:space="preserve">• </w:t>
      </w:r>
      <w:r w:rsidR="0037013B" w:rsidRPr="00CE279A">
        <w:rPr>
          <w:rFonts w:eastAsiaTheme="minorHAnsi"/>
          <w:sz w:val="26"/>
          <w:szCs w:val="26"/>
        </w:rPr>
        <w:tab/>
      </w:r>
      <w:r w:rsidRPr="00CE279A">
        <w:rPr>
          <w:rFonts w:eastAsiaTheme="minorHAnsi"/>
          <w:sz w:val="26"/>
          <w:szCs w:val="26"/>
        </w:rPr>
        <w:t>a petition for renewal, filed with the Commission’s Secretary’s Bureau</w:t>
      </w:r>
    </w:p>
    <w:p w14:paraId="70B8EB38" w14:textId="07099BA3" w:rsidR="00817018" w:rsidRPr="00CE279A" w:rsidRDefault="00817018" w:rsidP="0037013B">
      <w:pPr>
        <w:widowControl/>
        <w:autoSpaceDE w:val="0"/>
        <w:autoSpaceDN w:val="0"/>
        <w:adjustRightInd w:val="0"/>
        <w:spacing w:after="120"/>
        <w:ind w:left="2088" w:right="1800" w:hanging="288"/>
        <w:rPr>
          <w:rFonts w:eastAsiaTheme="minorHAnsi"/>
          <w:sz w:val="26"/>
          <w:szCs w:val="26"/>
        </w:rPr>
      </w:pPr>
      <w:r w:rsidRPr="00CE279A">
        <w:rPr>
          <w:rFonts w:eastAsiaTheme="minorHAnsi"/>
          <w:sz w:val="26"/>
          <w:szCs w:val="26"/>
        </w:rPr>
        <w:t xml:space="preserve">• </w:t>
      </w:r>
      <w:r w:rsidR="0037013B" w:rsidRPr="00CE279A">
        <w:rPr>
          <w:rFonts w:eastAsiaTheme="minorHAnsi"/>
          <w:sz w:val="26"/>
          <w:szCs w:val="26"/>
        </w:rPr>
        <w:tab/>
      </w:r>
      <w:r w:rsidRPr="00CE279A">
        <w:rPr>
          <w:rFonts w:eastAsiaTheme="minorHAnsi"/>
          <w:sz w:val="26"/>
          <w:szCs w:val="26"/>
        </w:rPr>
        <w:t>a $350 filing fee</w:t>
      </w:r>
    </w:p>
    <w:p w14:paraId="0124B53D" w14:textId="46E9A453" w:rsidR="00817018" w:rsidRPr="00CE279A" w:rsidRDefault="00817018" w:rsidP="0037013B">
      <w:pPr>
        <w:widowControl/>
        <w:autoSpaceDE w:val="0"/>
        <w:autoSpaceDN w:val="0"/>
        <w:adjustRightInd w:val="0"/>
        <w:spacing w:after="120"/>
        <w:ind w:left="2088" w:right="1800" w:hanging="288"/>
        <w:rPr>
          <w:rFonts w:eastAsiaTheme="minorHAnsi"/>
          <w:sz w:val="26"/>
          <w:szCs w:val="26"/>
        </w:rPr>
      </w:pPr>
      <w:r w:rsidRPr="00CE279A">
        <w:rPr>
          <w:rFonts w:eastAsiaTheme="minorHAnsi"/>
          <w:sz w:val="26"/>
          <w:szCs w:val="26"/>
        </w:rPr>
        <w:t>•</w:t>
      </w:r>
      <w:r w:rsidR="0037013B" w:rsidRPr="00CE279A">
        <w:rPr>
          <w:rFonts w:eastAsiaTheme="minorHAnsi"/>
          <w:sz w:val="26"/>
          <w:szCs w:val="26"/>
        </w:rPr>
        <w:tab/>
      </w:r>
      <w:r w:rsidRPr="00CE279A">
        <w:rPr>
          <w:rFonts w:eastAsiaTheme="minorHAnsi"/>
          <w:sz w:val="26"/>
          <w:szCs w:val="26"/>
        </w:rPr>
        <w:t>proof of service of the petition on the statutory advocates and affected EDCs</w:t>
      </w:r>
    </w:p>
    <w:p w14:paraId="78499C3B" w14:textId="3C6D830F" w:rsidR="00817018" w:rsidRPr="00CE279A" w:rsidRDefault="00817018" w:rsidP="0037013B">
      <w:pPr>
        <w:widowControl/>
        <w:autoSpaceDE w:val="0"/>
        <w:autoSpaceDN w:val="0"/>
        <w:adjustRightInd w:val="0"/>
        <w:spacing w:after="120"/>
        <w:ind w:left="2088" w:right="1800" w:hanging="288"/>
        <w:rPr>
          <w:rFonts w:eastAsiaTheme="minorHAnsi"/>
          <w:sz w:val="26"/>
          <w:szCs w:val="26"/>
        </w:rPr>
      </w:pPr>
      <w:r w:rsidRPr="00CE279A">
        <w:rPr>
          <w:rFonts w:eastAsiaTheme="minorHAnsi"/>
          <w:sz w:val="26"/>
          <w:szCs w:val="26"/>
        </w:rPr>
        <w:t>•</w:t>
      </w:r>
      <w:r w:rsidR="0037013B" w:rsidRPr="00CE279A">
        <w:rPr>
          <w:rFonts w:eastAsiaTheme="minorHAnsi"/>
          <w:sz w:val="26"/>
          <w:szCs w:val="26"/>
        </w:rPr>
        <w:tab/>
      </w:r>
      <w:r w:rsidRPr="00CE279A">
        <w:rPr>
          <w:rFonts w:eastAsiaTheme="minorHAnsi"/>
          <w:sz w:val="26"/>
          <w:szCs w:val="26"/>
        </w:rPr>
        <w:t>a Tax Letter of Good Standing from the Department of Revenue, and</w:t>
      </w:r>
    </w:p>
    <w:p w14:paraId="3AFB70AE" w14:textId="428F0E93" w:rsidR="00817018" w:rsidRPr="00CE279A" w:rsidRDefault="00817018" w:rsidP="0037013B">
      <w:pPr>
        <w:keepNext/>
        <w:keepLines/>
        <w:widowControl/>
        <w:autoSpaceDE w:val="0"/>
        <w:autoSpaceDN w:val="0"/>
        <w:adjustRightInd w:val="0"/>
        <w:ind w:left="2088" w:right="1800" w:hanging="288"/>
        <w:rPr>
          <w:rFonts w:eastAsiaTheme="minorHAnsi"/>
          <w:sz w:val="26"/>
          <w:szCs w:val="26"/>
        </w:rPr>
      </w:pPr>
      <w:r w:rsidRPr="00CE279A">
        <w:rPr>
          <w:rFonts w:eastAsiaTheme="minorHAnsi"/>
          <w:sz w:val="26"/>
          <w:szCs w:val="26"/>
        </w:rPr>
        <w:t>•</w:t>
      </w:r>
      <w:r w:rsidR="0037013B" w:rsidRPr="00CE279A">
        <w:rPr>
          <w:rFonts w:eastAsiaTheme="minorHAnsi"/>
          <w:sz w:val="26"/>
          <w:szCs w:val="26"/>
        </w:rPr>
        <w:tab/>
      </w:r>
      <w:r w:rsidRPr="00CE279A">
        <w:rPr>
          <w:rFonts w:eastAsiaTheme="minorHAnsi"/>
          <w:sz w:val="26"/>
          <w:szCs w:val="26"/>
        </w:rPr>
        <w:t>the company’s gross receipts for the most recent four quarters</w:t>
      </w:r>
    </w:p>
    <w:p w14:paraId="5B1EA225" w14:textId="77777777" w:rsidR="00817018" w:rsidRPr="00CE279A" w:rsidRDefault="00817018" w:rsidP="0037013B">
      <w:pPr>
        <w:keepNext/>
        <w:keepLines/>
        <w:widowControl/>
        <w:autoSpaceDE w:val="0"/>
        <w:autoSpaceDN w:val="0"/>
        <w:adjustRightInd w:val="0"/>
        <w:ind w:left="2160"/>
        <w:rPr>
          <w:rFonts w:eastAsiaTheme="minorHAnsi"/>
          <w:sz w:val="26"/>
          <w:szCs w:val="26"/>
        </w:rPr>
      </w:pPr>
    </w:p>
    <w:p w14:paraId="413F449A" w14:textId="77777777" w:rsidR="005665E9" w:rsidRPr="00CE279A" w:rsidRDefault="005665E9" w:rsidP="0037013B">
      <w:pPr>
        <w:keepNext/>
        <w:keepLines/>
        <w:widowControl/>
        <w:autoSpaceDE w:val="0"/>
        <w:autoSpaceDN w:val="0"/>
        <w:adjustRightInd w:val="0"/>
        <w:ind w:left="2160"/>
        <w:rPr>
          <w:rFonts w:eastAsiaTheme="minorHAnsi"/>
          <w:sz w:val="26"/>
          <w:szCs w:val="26"/>
        </w:rPr>
      </w:pPr>
    </w:p>
    <w:p w14:paraId="7B36D07E" w14:textId="77777777" w:rsidR="00487561" w:rsidRPr="00CE279A" w:rsidRDefault="00817018" w:rsidP="00487561">
      <w:pPr>
        <w:widowControl/>
        <w:autoSpaceDE w:val="0"/>
        <w:autoSpaceDN w:val="0"/>
        <w:adjustRightInd w:val="0"/>
        <w:spacing w:line="360" w:lineRule="auto"/>
        <w:rPr>
          <w:rFonts w:eastAsiaTheme="minorHAnsi"/>
          <w:sz w:val="26"/>
          <w:szCs w:val="26"/>
        </w:rPr>
      </w:pPr>
      <w:r w:rsidRPr="00CE279A">
        <w:rPr>
          <w:rFonts w:eastAsiaTheme="minorHAnsi"/>
          <w:i/>
          <w:sz w:val="26"/>
          <w:szCs w:val="26"/>
        </w:rPr>
        <w:t>Guidance on Electric Generation Supplier Licensee Financial Security</w:t>
      </w:r>
      <w:r w:rsidRPr="00CE279A">
        <w:rPr>
          <w:rFonts w:eastAsiaTheme="minorHAnsi"/>
          <w:sz w:val="26"/>
          <w:szCs w:val="26"/>
        </w:rPr>
        <w:t>, Docket No. M</w:t>
      </w:r>
      <w:r w:rsidR="0037013B" w:rsidRPr="00CE279A">
        <w:rPr>
          <w:rFonts w:eastAsiaTheme="minorHAnsi"/>
          <w:sz w:val="26"/>
          <w:szCs w:val="26"/>
        </w:rPr>
        <w:noBreakHyphen/>
      </w:r>
      <w:r w:rsidRPr="00CE279A">
        <w:rPr>
          <w:rFonts w:eastAsiaTheme="minorHAnsi"/>
          <w:sz w:val="26"/>
          <w:szCs w:val="26"/>
        </w:rPr>
        <w:t>2013-2393141, Secretarial Letter (April 8, 2016)</w:t>
      </w:r>
      <w:r w:rsidR="00103058" w:rsidRPr="00CE279A">
        <w:rPr>
          <w:rFonts w:eastAsiaTheme="minorHAnsi"/>
          <w:sz w:val="26"/>
          <w:szCs w:val="26"/>
        </w:rPr>
        <w:t xml:space="preserve"> (</w:t>
      </w:r>
      <w:r w:rsidR="00103058" w:rsidRPr="00CE279A">
        <w:rPr>
          <w:rFonts w:eastAsiaTheme="minorHAnsi"/>
          <w:i/>
          <w:sz w:val="26"/>
          <w:szCs w:val="26"/>
        </w:rPr>
        <w:t>emphasis added</w:t>
      </w:r>
      <w:r w:rsidR="00103058" w:rsidRPr="00CE279A">
        <w:rPr>
          <w:rFonts w:eastAsiaTheme="minorHAnsi"/>
          <w:sz w:val="26"/>
          <w:szCs w:val="26"/>
        </w:rPr>
        <w:t>)</w:t>
      </w:r>
      <w:r w:rsidRPr="00CE279A">
        <w:rPr>
          <w:rFonts w:eastAsiaTheme="minorHAnsi"/>
          <w:sz w:val="26"/>
          <w:szCs w:val="26"/>
        </w:rPr>
        <w:t>.</w:t>
      </w:r>
      <w:r w:rsidR="00487561" w:rsidRPr="00CE279A">
        <w:rPr>
          <w:sz w:val="26"/>
          <w:szCs w:val="26"/>
        </w:rPr>
        <w:t xml:space="preserve">  </w:t>
      </w:r>
      <w:r w:rsidR="00103058" w:rsidRPr="00CE279A">
        <w:rPr>
          <w:rFonts w:eastAsiaTheme="minorHAnsi"/>
          <w:sz w:val="26"/>
          <w:szCs w:val="26"/>
        </w:rPr>
        <w:t xml:space="preserve">Notably, our guidance </w:t>
      </w:r>
      <w:r w:rsidR="00487561" w:rsidRPr="00CE279A">
        <w:rPr>
          <w:rFonts w:eastAsiaTheme="minorHAnsi"/>
          <w:sz w:val="26"/>
          <w:szCs w:val="26"/>
        </w:rPr>
        <w:t xml:space="preserve">specified certain documentation to request </w:t>
      </w:r>
      <w:r w:rsidR="00103058" w:rsidRPr="00CE279A">
        <w:rPr>
          <w:rFonts w:eastAsiaTheme="minorHAnsi"/>
          <w:sz w:val="26"/>
          <w:szCs w:val="26"/>
        </w:rPr>
        <w:t>renewal but also stated that</w:t>
      </w:r>
      <w:r w:rsidR="001B5531" w:rsidRPr="00CE279A">
        <w:rPr>
          <w:rFonts w:eastAsiaTheme="minorHAnsi"/>
          <w:sz w:val="26"/>
          <w:szCs w:val="26"/>
        </w:rPr>
        <w:t xml:space="preserve"> establishing </w:t>
      </w:r>
      <w:r w:rsidR="00103058" w:rsidRPr="00CE279A">
        <w:rPr>
          <w:rFonts w:eastAsiaTheme="minorHAnsi"/>
          <w:sz w:val="26"/>
          <w:szCs w:val="26"/>
        </w:rPr>
        <w:t xml:space="preserve">eligibility </w:t>
      </w:r>
      <w:r w:rsidR="00103058" w:rsidRPr="00CE279A">
        <w:rPr>
          <w:rFonts w:eastAsiaTheme="minorHAnsi"/>
          <w:i/>
          <w:sz w:val="26"/>
          <w:szCs w:val="26"/>
        </w:rPr>
        <w:t>may not be limited to</w:t>
      </w:r>
      <w:r w:rsidR="00103058" w:rsidRPr="00CE279A">
        <w:rPr>
          <w:rFonts w:eastAsiaTheme="minorHAnsi"/>
          <w:sz w:val="26"/>
          <w:szCs w:val="26"/>
        </w:rPr>
        <w:t xml:space="preserve"> the specified documentation.</w:t>
      </w:r>
      <w:r w:rsidR="00487561" w:rsidRPr="00CE279A">
        <w:rPr>
          <w:rFonts w:eastAsiaTheme="minorHAnsi"/>
          <w:sz w:val="26"/>
          <w:szCs w:val="26"/>
        </w:rPr>
        <w:t xml:space="preserve"> </w:t>
      </w:r>
      <w:r w:rsidR="00487561" w:rsidRPr="00CE279A">
        <w:rPr>
          <w:rFonts w:eastAsiaTheme="minorHAnsi"/>
          <w:i/>
          <w:sz w:val="26"/>
          <w:szCs w:val="26"/>
        </w:rPr>
        <w:t>Id</w:t>
      </w:r>
      <w:r w:rsidR="00487561" w:rsidRPr="00CE279A">
        <w:rPr>
          <w:rFonts w:eastAsiaTheme="minorHAnsi"/>
          <w:sz w:val="26"/>
          <w:szCs w:val="26"/>
        </w:rPr>
        <w:t>.</w:t>
      </w:r>
    </w:p>
    <w:p w14:paraId="15BB01AC" w14:textId="77777777" w:rsidR="00487561" w:rsidRPr="00CE279A" w:rsidRDefault="00487561" w:rsidP="00487561">
      <w:pPr>
        <w:widowControl/>
        <w:autoSpaceDE w:val="0"/>
        <w:autoSpaceDN w:val="0"/>
        <w:adjustRightInd w:val="0"/>
        <w:spacing w:line="360" w:lineRule="auto"/>
        <w:rPr>
          <w:rFonts w:eastAsiaTheme="minorHAnsi"/>
          <w:sz w:val="26"/>
          <w:szCs w:val="26"/>
        </w:rPr>
      </w:pPr>
    </w:p>
    <w:p w14:paraId="00797F7E" w14:textId="6A238A13" w:rsidR="003B11CE" w:rsidRPr="00CE279A" w:rsidRDefault="00324440" w:rsidP="00324440">
      <w:pPr>
        <w:widowControl/>
        <w:autoSpaceDE w:val="0"/>
        <w:autoSpaceDN w:val="0"/>
        <w:adjustRightInd w:val="0"/>
        <w:spacing w:line="360" w:lineRule="auto"/>
        <w:rPr>
          <w:sz w:val="26"/>
          <w:szCs w:val="26"/>
        </w:rPr>
      </w:pPr>
      <w:r w:rsidRPr="00CE279A">
        <w:rPr>
          <w:b/>
          <w:sz w:val="26"/>
          <w:szCs w:val="26"/>
        </w:rPr>
        <w:tab/>
      </w:r>
      <w:r w:rsidRPr="00CE279A">
        <w:rPr>
          <w:b/>
          <w:sz w:val="26"/>
          <w:szCs w:val="26"/>
        </w:rPr>
        <w:tab/>
      </w:r>
      <w:r w:rsidR="003B11CE" w:rsidRPr="00CE279A">
        <w:rPr>
          <w:rFonts w:eastAsiaTheme="minorHAnsi"/>
          <w:sz w:val="26"/>
          <w:szCs w:val="26"/>
        </w:rPr>
        <w:t>FES’ ability to satisfy the</w:t>
      </w:r>
      <w:r w:rsidR="00103058" w:rsidRPr="00CE279A">
        <w:rPr>
          <w:rFonts w:eastAsiaTheme="minorHAnsi"/>
          <w:sz w:val="26"/>
          <w:szCs w:val="26"/>
        </w:rPr>
        <w:t xml:space="preserve"> specified criteria</w:t>
      </w:r>
      <w:r w:rsidR="00487561" w:rsidRPr="00CE279A">
        <w:rPr>
          <w:rFonts w:eastAsiaTheme="minorHAnsi"/>
          <w:sz w:val="26"/>
          <w:szCs w:val="26"/>
        </w:rPr>
        <w:t xml:space="preserve"> in the Commission’s guidance </w:t>
      </w:r>
      <w:r w:rsidR="003B11CE" w:rsidRPr="00CE279A">
        <w:rPr>
          <w:rFonts w:eastAsiaTheme="minorHAnsi"/>
          <w:sz w:val="26"/>
          <w:szCs w:val="26"/>
        </w:rPr>
        <w:t>for seeking renewal of a</w:t>
      </w:r>
      <w:r w:rsidR="00487561" w:rsidRPr="00CE279A">
        <w:rPr>
          <w:rFonts w:eastAsiaTheme="minorHAnsi"/>
          <w:sz w:val="26"/>
          <w:szCs w:val="26"/>
        </w:rPr>
        <w:t xml:space="preserve"> </w:t>
      </w:r>
      <w:r w:rsidR="003B11CE" w:rsidRPr="00CE279A">
        <w:rPr>
          <w:rFonts w:eastAsiaTheme="minorHAnsi"/>
          <w:sz w:val="26"/>
          <w:szCs w:val="26"/>
        </w:rPr>
        <w:t xml:space="preserve">reduced bond level does not equate to </w:t>
      </w:r>
      <w:r w:rsidR="00487561" w:rsidRPr="00CE279A">
        <w:rPr>
          <w:rFonts w:eastAsiaTheme="minorHAnsi"/>
          <w:sz w:val="26"/>
          <w:szCs w:val="26"/>
        </w:rPr>
        <w:t>eligibility</w:t>
      </w:r>
      <w:r w:rsidR="001B5531" w:rsidRPr="00CE279A">
        <w:rPr>
          <w:rFonts w:eastAsiaTheme="minorHAnsi"/>
          <w:sz w:val="26"/>
          <w:szCs w:val="26"/>
        </w:rPr>
        <w:t xml:space="preserve"> for</w:t>
      </w:r>
      <w:r w:rsidR="003B11CE" w:rsidRPr="00CE279A">
        <w:rPr>
          <w:rFonts w:eastAsiaTheme="minorHAnsi"/>
          <w:sz w:val="26"/>
          <w:szCs w:val="26"/>
        </w:rPr>
        <w:t xml:space="preserve"> a reduced bond level. </w:t>
      </w:r>
      <w:r w:rsidR="00487561" w:rsidRPr="00CE279A">
        <w:rPr>
          <w:rFonts w:eastAsiaTheme="minorHAnsi"/>
          <w:sz w:val="26"/>
          <w:szCs w:val="26"/>
        </w:rPr>
        <w:t xml:space="preserve"> By specifying certain relevant criteria, t</w:t>
      </w:r>
      <w:r w:rsidR="003B11CE" w:rsidRPr="00CE279A">
        <w:rPr>
          <w:rFonts w:eastAsiaTheme="minorHAnsi"/>
          <w:sz w:val="26"/>
          <w:szCs w:val="26"/>
        </w:rPr>
        <w:t xml:space="preserve">he Commission’s guidance does not </w:t>
      </w:r>
      <w:r w:rsidR="00103058" w:rsidRPr="00CE279A">
        <w:rPr>
          <w:rFonts w:eastAsiaTheme="minorHAnsi"/>
          <w:sz w:val="26"/>
          <w:szCs w:val="26"/>
        </w:rPr>
        <w:t xml:space="preserve">limit </w:t>
      </w:r>
      <w:r w:rsidR="003B11CE" w:rsidRPr="00CE279A">
        <w:rPr>
          <w:rFonts w:eastAsiaTheme="minorHAnsi"/>
          <w:sz w:val="26"/>
          <w:szCs w:val="26"/>
        </w:rPr>
        <w:t>the Commission’s authority to consider other relevant</w:t>
      </w:r>
      <w:r w:rsidR="00487561" w:rsidRPr="00CE279A">
        <w:rPr>
          <w:rFonts w:eastAsiaTheme="minorHAnsi"/>
          <w:sz w:val="26"/>
          <w:szCs w:val="26"/>
        </w:rPr>
        <w:t xml:space="preserve"> </w:t>
      </w:r>
      <w:r w:rsidR="003B11CE" w:rsidRPr="00CE279A">
        <w:rPr>
          <w:rFonts w:eastAsiaTheme="minorHAnsi"/>
          <w:sz w:val="26"/>
          <w:szCs w:val="26"/>
        </w:rPr>
        <w:t xml:space="preserve">financial information when </w:t>
      </w:r>
      <w:r w:rsidRPr="00CE279A">
        <w:rPr>
          <w:rFonts w:eastAsiaTheme="minorHAnsi"/>
          <w:sz w:val="26"/>
          <w:szCs w:val="26"/>
        </w:rPr>
        <w:t xml:space="preserve">necessary in </w:t>
      </w:r>
      <w:r w:rsidR="003B11CE" w:rsidRPr="00CE279A">
        <w:rPr>
          <w:rFonts w:eastAsiaTheme="minorHAnsi"/>
          <w:sz w:val="26"/>
          <w:szCs w:val="26"/>
        </w:rPr>
        <w:t xml:space="preserve">determining </w:t>
      </w:r>
      <w:r w:rsidR="00103058" w:rsidRPr="00CE279A">
        <w:rPr>
          <w:rFonts w:eastAsiaTheme="minorHAnsi"/>
          <w:sz w:val="26"/>
          <w:szCs w:val="26"/>
        </w:rPr>
        <w:t xml:space="preserve">eligibility for a reduced </w:t>
      </w:r>
      <w:r w:rsidR="003B11CE" w:rsidRPr="00CE279A">
        <w:rPr>
          <w:rFonts w:eastAsiaTheme="minorHAnsi"/>
          <w:sz w:val="26"/>
          <w:szCs w:val="26"/>
        </w:rPr>
        <w:t>bond requirement under the Public Utility Code.</w:t>
      </w:r>
    </w:p>
    <w:p w14:paraId="1AFC1B1C" w14:textId="77777777" w:rsidR="00C425EC" w:rsidRPr="00CE279A" w:rsidRDefault="00C425EC" w:rsidP="00181CE8">
      <w:pPr>
        <w:widowControl/>
        <w:autoSpaceDE w:val="0"/>
        <w:autoSpaceDN w:val="0"/>
        <w:adjustRightInd w:val="0"/>
        <w:spacing w:line="360" w:lineRule="auto"/>
        <w:rPr>
          <w:sz w:val="26"/>
          <w:szCs w:val="26"/>
        </w:rPr>
      </w:pPr>
    </w:p>
    <w:p w14:paraId="2EFB0993" w14:textId="076DC6A7" w:rsidR="00181CE8" w:rsidRPr="00CE279A" w:rsidRDefault="00181CE8" w:rsidP="00181CE8">
      <w:pPr>
        <w:widowControl/>
        <w:autoSpaceDE w:val="0"/>
        <w:autoSpaceDN w:val="0"/>
        <w:adjustRightInd w:val="0"/>
        <w:spacing w:line="360" w:lineRule="auto"/>
        <w:rPr>
          <w:rFonts w:eastAsiaTheme="minorHAnsi"/>
          <w:sz w:val="26"/>
          <w:szCs w:val="26"/>
        </w:rPr>
      </w:pPr>
      <w:bookmarkStart w:id="5" w:name="_Hlk517353763"/>
      <w:r w:rsidRPr="00CE279A">
        <w:rPr>
          <w:b/>
          <w:sz w:val="26"/>
          <w:szCs w:val="26"/>
        </w:rPr>
        <w:tab/>
      </w:r>
      <w:r w:rsidRPr="00CE279A">
        <w:rPr>
          <w:b/>
          <w:sz w:val="26"/>
          <w:szCs w:val="26"/>
        </w:rPr>
        <w:tab/>
      </w:r>
      <w:bookmarkEnd w:id="5"/>
      <w:r w:rsidRPr="00CE279A">
        <w:rPr>
          <w:sz w:val="26"/>
          <w:szCs w:val="26"/>
        </w:rPr>
        <w:t xml:space="preserve">TUS’ denial of FES’ 2018 Renewal Petition was based upon other relevant financial information, </w:t>
      </w:r>
      <w:r w:rsidRPr="00CE279A">
        <w:rPr>
          <w:i/>
          <w:sz w:val="26"/>
          <w:szCs w:val="26"/>
        </w:rPr>
        <w:t>i.e.</w:t>
      </w:r>
      <w:r w:rsidRPr="00CE279A">
        <w:rPr>
          <w:sz w:val="26"/>
          <w:szCs w:val="26"/>
        </w:rPr>
        <w:t xml:space="preserve">, the material </w:t>
      </w:r>
      <w:proofErr w:type="gramStart"/>
      <w:r w:rsidRPr="00CE279A">
        <w:rPr>
          <w:sz w:val="26"/>
          <w:szCs w:val="26"/>
        </w:rPr>
        <w:t>change</w:t>
      </w:r>
      <w:proofErr w:type="gramEnd"/>
      <w:r w:rsidRPr="00CE279A">
        <w:rPr>
          <w:sz w:val="26"/>
          <w:szCs w:val="26"/>
        </w:rPr>
        <w:t xml:space="preserve"> in FES’ business operations </w:t>
      </w:r>
      <w:r w:rsidRPr="00CE279A">
        <w:rPr>
          <w:i/>
          <w:sz w:val="26"/>
          <w:szCs w:val="26"/>
        </w:rPr>
        <w:t>via</w:t>
      </w:r>
      <w:r w:rsidRPr="00CE279A">
        <w:rPr>
          <w:sz w:val="26"/>
          <w:szCs w:val="26"/>
        </w:rPr>
        <w:t xml:space="preserve"> filing Chapter 11 Bankruptcy and the subsequent </w:t>
      </w:r>
      <w:r w:rsidRPr="00CE279A">
        <w:rPr>
          <w:rFonts w:eastAsiaTheme="minorHAnsi"/>
          <w:sz w:val="26"/>
          <w:szCs w:val="26"/>
        </w:rPr>
        <w:t xml:space="preserve">Moody’s downgrade of FES’s rating outlook. </w:t>
      </w:r>
      <w:r w:rsidRPr="00CE279A">
        <w:rPr>
          <w:rFonts w:eastAsiaTheme="minorHAnsi"/>
          <w:i/>
          <w:sz w:val="26"/>
          <w:szCs w:val="26"/>
        </w:rPr>
        <w:t xml:space="preserve"> April 18 Letter</w:t>
      </w:r>
      <w:r w:rsidRPr="00CE279A">
        <w:rPr>
          <w:rFonts w:eastAsiaTheme="minorHAnsi"/>
          <w:sz w:val="26"/>
          <w:szCs w:val="26"/>
        </w:rPr>
        <w:t xml:space="preserve"> at</w:t>
      </w:r>
      <w:r w:rsidR="00E261D1">
        <w:rPr>
          <w:rFonts w:eastAsiaTheme="minorHAnsi"/>
          <w:sz w:val="26"/>
          <w:szCs w:val="26"/>
        </w:rPr>
        <w:t xml:space="preserve"> </w:t>
      </w:r>
      <w:r w:rsidRPr="00CE279A">
        <w:rPr>
          <w:rFonts w:eastAsiaTheme="minorHAnsi"/>
          <w:sz w:val="26"/>
          <w:szCs w:val="26"/>
        </w:rPr>
        <w:t>1.  As TUS noted, the Moody’s downgrade of FES’ rating outlook was sufficient to create substantial uncertainty regarding FES’ continue</w:t>
      </w:r>
      <w:r w:rsidR="00346C7B">
        <w:rPr>
          <w:rFonts w:eastAsiaTheme="minorHAnsi"/>
          <w:sz w:val="26"/>
          <w:szCs w:val="26"/>
        </w:rPr>
        <w:t>d</w:t>
      </w:r>
      <w:r w:rsidRPr="00CE279A">
        <w:rPr>
          <w:rFonts w:eastAsiaTheme="minorHAnsi"/>
          <w:sz w:val="26"/>
          <w:szCs w:val="26"/>
        </w:rPr>
        <w:t xml:space="preserve"> ability to meet its financial obligations under the Section 2809 of the Code. </w:t>
      </w:r>
      <w:r w:rsidRPr="00CE279A">
        <w:rPr>
          <w:rFonts w:eastAsiaTheme="minorHAnsi"/>
          <w:i/>
          <w:sz w:val="26"/>
          <w:szCs w:val="26"/>
        </w:rPr>
        <w:t>Id</w:t>
      </w:r>
      <w:r w:rsidRPr="00CE279A">
        <w:rPr>
          <w:rFonts w:eastAsiaTheme="minorHAnsi"/>
          <w:sz w:val="26"/>
          <w:szCs w:val="26"/>
        </w:rPr>
        <w:t xml:space="preserve">. </w:t>
      </w:r>
    </w:p>
    <w:p w14:paraId="5CBF213B" w14:textId="77777777" w:rsidR="00D94EEF" w:rsidRPr="00CE279A" w:rsidRDefault="00D94EEF" w:rsidP="008A1D49">
      <w:pPr>
        <w:widowControl/>
        <w:autoSpaceDE w:val="0"/>
        <w:autoSpaceDN w:val="0"/>
        <w:adjustRightInd w:val="0"/>
        <w:spacing w:line="360" w:lineRule="auto"/>
        <w:ind w:firstLine="720"/>
        <w:rPr>
          <w:rFonts w:eastAsiaTheme="minorHAnsi"/>
          <w:sz w:val="26"/>
          <w:szCs w:val="26"/>
        </w:rPr>
      </w:pPr>
    </w:p>
    <w:p w14:paraId="6F308B1B" w14:textId="4256B884" w:rsidR="00181CE8" w:rsidRPr="00CE279A" w:rsidRDefault="00181CE8" w:rsidP="00181CE8">
      <w:pPr>
        <w:widowControl/>
        <w:autoSpaceDE w:val="0"/>
        <w:autoSpaceDN w:val="0"/>
        <w:adjustRightInd w:val="0"/>
        <w:spacing w:line="360" w:lineRule="auto"/>
        <w:rPr>
          <w:rFonts w:eastAsiaTheme="minorHAnsi"/>
          <w:sz w:val="26"/>
          <w:szCs w:val="26"/>
        </w:rPr>
      </w:pPr>
      <w:r w:rsidRPr="00CE279A">
        <w:rPr>
          <w:b/>
          <w:sz w:val="26"/>
          <w:szCs w:val="26"/>
        </w:rPr>
        <w:tab/>
      </w:r>
      <w:r w:rsidRPr="00CE279A">
        <w:rPr>
          <w:b/>
          <w:sz w:val="26"/>
          <w:szCs w:val="26"/>
        </w:rPr>
        <w:tab/>
      </w:r>
      <w:r w:rsidRPr="00CE279A">
        <w:rPr>
          <w:rFonts w:eastAsiaTheme="minorHAnsi"/>
          <w:sz w:val="26"/>
          <w:szCs w:val="26"/>
        </w:rPr>
        <w:t>Under Section 2809</w:t>
      </w:r>
      <w:r w:rsidR="00BA4490" w:rsidRPr="00CE279A">
        <w:rPr>
          <w:rFonts w:eastAsiaTheme="minorHAnsi"/>
          <w:sz w:val="26"/>
          <w:szCs w:val="26"/>
        </w:rPr>
        <w:t xml:space="preserve"> of the Public Utility Code</w:t>
      </w:r>
      <w:r w:rsidRPr="00CE279A">
        <w:rPr>
          <w:rFonts w:eastAsiaTheme="minorHAnsi"/>
          <w:sz w:val="26"/>
          <w:szCs w:val="26"/>
        </w:rPr>
        <w:t xml:space="preserve">, </w:t>
      </w:r>
      <w:r w:rsidRPr="00CE279A">
        <w:rPr>
          <w:sz w:val="26"/>
          <w:szCs w:val="26"/>
        </w:rPr>
        <w:t>66 Pa. C.S. §</w:t>
      </w:r>
      <w:r w:rsidR="00555A13">
        <w:rPr>
          <w:sz w:val="26"/>
          <w:szCs w:val="26"/>
        </w:rPr>
        <w:t xml:space="preserve"> </w:t>
      </w:r>
      <w:r w:rsidRPr="00CE279A">
        <w:rPr>
          <w:sz w:val="26"/>
          <w:szCs w:val="26"/>
        </w:rPr>
        <w:t xml:space="preserve">2809, the Commission is </w:t>
      </w:r>
      <w:r w:rsidR="00BA4490" w:rsidRPr="00CE279A">
        <w:rPr>
          <w:sz w:val="26"/>
          <w:szCs w:val="26"/>
        </w:rPr>
        <w:t xml:space="preserve">granted discretion </w:t>
      </w:r>
      <w:r w:rsidRPr="00CE279A">
        <w:rPr>
          <w:sz w:val="26"/>
          <w:szCs w:val="26"/>
        </w:rPr>
        <w:t xml:space="preserve">to set the level of the bond requirement </w:t>
      </w:r>
      <w:r w:rsidRPr="00CE279A">
        <w:rPr>
          <w:rFonts w:eastAsiaTheme="minorHAnsi"/>
          <w:sz w:val="26"/>
          <w:szCs w:val="26"/>
        </w:rPr>
        <w:t xml:space="preserve">to “ensure the safety and reliability of the generation of electricity.”  </w:t>
      </w:r>
      <w:r w:rsidRPr="00CE279A">
        <w:rPr>
          <w:rFonts w:eastAsiaTheme="minorHAnsi"/>
          <w:i/>
          <w:sz w:val="26"/>
          <w:szCs w:val="26"/>
        </w:rPr>
        <w:t>Id</w:t>
      </w:r>
      <w:r w:rsidRPr="00CE279A">
        <w:rPr>
          <w:rFonts w:eastAsiaTheme="minorHAnsi"/>
          <w:sz w:val="26"/>
          <w:szCs w:val="26"/>
        </w:rPr>
        <w:t>.  Therefore, the underlying financial stability and credit worthiness of an EGS’ business operation remains relevant to TUS’ consideration whether to discount a bond amount intended as financial security to ensure the financial stability of the EGS and the supply of electricity at retail.</w:t>
      </w:r>
    </w:p>
    <w:p w14:paraId="34556CE4" w14:textId="77777777" w:rsidR="00181CE8" w:rsidRPr="00CE279A" w:rsidRDefault="00181CE8" w:rsidP="00181CE8">
      <w:pPr>
        <w:widowControl/>
        <w:autoSpaceDE w:val="0"/>
        <w:autoSpaceDN w:val="0"/>
        <w:adjustRightInd w:val="0"/>
        <w:spacing w:line="360" w:lineRule="auto"/>
        <w:ind w:firstLine="720"/>
        <w:rPr>
          <w:rFonts w:eastAsiaTheme="minorHAnsi"/>
          <w:sz w:val="26"/>
          <w:szCs w:val="26"/>
        </w:rPr>
      </w:pPr>
    </w:p>
    <w:p w14:paraId="4C3F37D3" w14:textId="47BD2198" w:rsidR="00181CE8" w:rsidRPr="00CE279A" w:rsidRDefault="00181CE8" w:rsidP="00181CE8">
      <w:pPr>
        <w:widowControl/>
        <w:autoSpaceDE w:val="0"/>
        <w:autoSpaceDN w:val="0"/>
        <w:adjustRightInd w:val="0"/>
        <w:spacing w:line="360" w:lineRule="auto"/>
        <w:rPr>
          <w:rFonts w:eastAsiaTheme="minorHAnsi"/>
          <w:sz w:val="26"/>
          <w:szCs w:val="26"/>
        </w:rPr>
      </w:pPr>
      <w:r w:rsidRPr="00CE279A">
        <w:rPr>
          <w:b/>
          <w:sz w:val="26"/>
          <w:szCs w:val="26"/>
        </w:rPr>
        <w:tab/>
      </w:r>
      <w:r w:rsidRPr="00CE279A">
        <w:rPr>
          <w:b/>
          <w:sz w:val="26"/>
          <w:szCs w:val="26"/>
        </w:rPr>
        <w:tab/>
      </w:r>
      <w:r w:rsidRPr="00CE279A">
        <w:rPr>
          <w:rFonts w:eastAsiaTheme="minorHAnsi"/>
          <w:sz w:val="26"/>
          <w:szCs w:val="26"/>
        </w:rPr>
        <w:t>As FES acknowledges, the filing of Chapter 11 Bankruptcy is a material change in business operations.  As a general matter, Bankruptcy Court exists for a debtor claiming the court’s protection from repayment of debt obligations.  Although FES has provided financial data which supports it</w:t>
      </w:r>
      <w:r w:rsidR="000C10AC">
        <w:rPr>
          <w:rFonts w:eastAsiaTheme="minorHAnsi"/>
          <w:sz w:val="26"/>
          <w:szCs w:val="26"/>
        </w:rPr>
        <w:t>s</w:t>
      </w:r>
      <w:r w:rsidRPr="00CE279A">
        <w:rPr>
          <w:rFonts w:eastAsiaTheme="minorHAnsi"/>
          <w:sz w:val="26"/>
          <w:szCs w:val="26"/>
        </w:rPr>
        <w:t xml:space="preserve"> assertion of a stable financial position, the filing of Chapter 11 bankruptcy is</w:t>
      </w:r>
      <w:r w:rsidR="00BA4490" w:rsidRPr="00CE279A">
        <w:rPr>
          <w:rFonts w:eastAsiaTheme="minorHAnsi"/>
          <w:sz w:val="26"/>
          <w:szCs w:val="26"/>
        </w:rPr>
        <w:t>,</w:t>
      </w:r>
      <w:r w:rsidRPr="00CE279A">
        <w:rPr>
          <w:rFonts w:eastAsiaTheme="minorHAnsi"/>
          <w:sz w:val="26"/>
          <w:szCs w:val="26"/>
        </w:rPr>
        <w:t xml:space="preserve"> itself</w:t>
      </w:r>
      <w:r w:rsidR="00BA4490" w:rsidRPr="00CE279A">
        <w:rPr>
          <w:rFonts w:eastAsiaTheme="minorHAnsi"/>
          <w:sz w:val="26"/>
          <w:szCs w:val="26"/>
        </w:rPr>
        <w:t>,</w:t>
      </w:r>
      <w:r w:rsidRPr="00CE279A">
        <w:rPr>
          <w:rFonts w:eastAsiaTheme="minorHAnsi"/>
          <w:sz w:val="26"/>
          <w:szCs w:val="26"/>
        </w:rPr>
        <w:t xml:space="preserve"> a measure of financial uncertainty.  Further, a Moody’s “rating outlook” is an opinion issued by Moody’s Investor Services regarding the likely direction of a company’s credit rating over the medium term.  Therefore, the Moody’s downgrade of FES’ rating outlook indicates uncertainty as to FES’ financial stability during the period covered by the bond requirement.</w:t>
      </w:r>
    </w:p>
    <w:p w14:paraId="304D810E" w14:textId="77777777" w:rsidR="00181CE8" w:rsidRPr="00CE279A" w:rsidRDefault="00181CE8" w:rsidP="00181CE8">
      <w:pPr>
        <w:widowControl/>
        <w:autoSpaceDE w:val="0"/>
        <w:autoSpaceDN w:val="0"/>
        <w:adjustRightInd w:val="0"/>
        <w:spacing w:line="360" w:lineRule="auto"/>
        <w:ind w:firstLine="720"/>
        <w:rPr>
          <w:rFonts w:eastAsiaTheme="minorHAnsi"/>
          <w:sz w:val="26"/>
          <w:szCs w:val="26"/>
          <w:highlight w:val="yellow"/>
        </w:rPr>
      </w:pPr>
    </w:p>
    <w:p w14:paraId="285CC30A" w14:textId="5D648CAD" w:rsidR="00181CE8" w:rsidRPr="00CE279A" w:rsidRDefault="00181CE8" w:rsidP="00181CE8">
      <w:pPr>
        <w:widowControl/>
        <w:autoSpaceDE w:val="0"/>
        <w:autoSpaceDN w:val="0"/>
        <w:adjustRightInd w:val="0"/>
        <w:spacing w:line="360" w:lineRule="auto"/>
        <w:rPr>
          <w:rFonts w:eastAsiaTheme="minorHAnsi"/>
          <w:sz w:val="26"/>
          <w:szCs w:val="26"/>
        </w:rPr>
      </w:pPr>
      <w:r w:rsidRPr="00CE279A">
        <w:rPr>
          <w:b/>
          <w:sz w:val="26"/>
          <w:szCs w:val="26"/>
        </w:rPr>
        <w:tab/>
      </w:r>
      <w:r w:rsidRPr="00CE279A">
        <w:rPr>
          <w:b/>
          <w:sz w:val="26"/>
          <w:szCs w:val="26"/>
        </w:rPr>
        <w:tab/>
      </w:r>
      <w:r w:rsidRPr="00CE279A">
        <w:rPr>
          <w:rFonts w:eastAsiaTheme="minorHAnsi"/>
          <w:sz w:val="26"/>
          <w:szCs w:val="26"/>
        </w:rPr>
        <w:t>FES’ filing of Chapter 11 and FES’ Moody’s rating outlook downgrade, together</w:t>
      </w:r>
      <w:r w:rsidR="00555A13">
        <w:rPr>
          <w:rFonts w:eastAsiaTheme="minorHAnsi"/>
          <w:sz w:val="26"/>
          <w:szCs w:val="26"/>
        </w:rPr>
        <w:t>,</w:t>
      </w:r>
      <w:r w:rsidRPr="00CE279A">
        <w:rPr>
          <w:rFonts w:eastAsiaTheme="minorHAnsi"/>
          <w:sz w:val="26"/>
          <w:szCs w:val="26"/>
        </w:rPr>
        <w:t xml:space="preserve"> are sufficient justification for TUS’ uncertainty regarding FES’ ability to meet its financial obligations related to gross receipts taxes, Alternative Energy Portfolio Standards and the Commissions Annual Fee levied on EGS.  In view of TUS’ justified uncertainty regarding FES’ financial stability going forward, TUS’ requirement that FES raise its bond level to 10% was reasonable to achieve the purpose outlined in Section 2809, </w:t>
      </w:r>
      <w:r w:rsidR="00B51B69">
        <w:rPr>
          <w:rFonts w:eastAsiaTheme="minorHAnsi"/>
          <w:sz w:val="26"/>
          <w:szCs w:val="26"/>
        </w:rPr>
        <w:t xml:space="preserve">in </w:t>
      </w:r>
      <w:r w:rsidRPr="00CE279A">
        <w:rPr>
          <w:rFonts w:eastAsiaTheme="minorHAnsi"/>
          <w:sz w:val="26"/>
          <w:szCs w:val="26"/>
        </w:rPr>
        <w:t>ensuring the safety and reliability of the generation of electricity.</w:t>
      </w:r>
      <w:r w:rsidR="00E22953">
        <w:rPr>
          <w:rFonts w:eastAsiaTheme="minorHAnsi"/>
          <w:sz w:val="26"/>
          <w:szCs w:val="26"/>
        </w:rPr>
        <w:t xml:space="preserve"> </w:t>
      </w:r>
      <w:r w:rsidRPr="00CE279A">
        <w:rPr>
          <w:rFonts w:eastAsiaTheme="minorHAnsi"/>
          <w:sz w:val="26"/>
          <w:szCs w:val="26"/>
        </w:rPr>
        <w:t xml:space="preserve"> </w:t>
      </w:r>
      <w:r w:rsidRPr="00CE279A">
        <w:rPr>
          <w:sz w:val="26"/>
          <w:szCs w:val="26"/>
        </w:rPr>
        <w:t>66 Pa. C.S. §</w:t>
      </w:r>
      <w:r w:rsidR="00E22953">
        <w:rPr>
          <w:sz w:val="26"/>
          <w:szCs w:val="26"/>
        </w:rPr>
        <w:t> </w:t>
      </w:r>
      <w:r w:rsidRPr="00CE279A">
        <w:rPr>
          <w:sz w:val="26"/>
          <w:szCs w:val="26"/>
        </w:rPr>
        <w:t>2809 (c)(1)(i)</w:t>
      </w:r>
      <w:r w:rsidR="00E22953">
        <w:rPr>
          <w:sz w:val="26"/>
          <w:szCs w:val="26"/>
        </w:rPr>
        <w:t>.</w:t>
      </w:r>
    </w:p>
    <w:p w14:paraId="09B31F04" w14:textId="77777777" w:rsidR="00181CE8" w:rsidRPr="00CE279A" w:rsidRDefault="00181CE8" w:rsidP="00181CE8">
      <w:pPr>
        <w:widowControl/>
        <w:autoSpaceDE w:val="0"/>
        <w:autoSpaceDN w:val="0"/>
        <w:adjustRightInd w:val="0"/>
        <w:spacing w:line="360" w:lineRule="auto"/>
        <w:ind w:firstLine="720"/>
        <w:rPr>
          <w:rFonts w:eastAsiaTheme="minorHAnsi"/>
          <w:sz w:val="26"/>
          <w:szCs w:val="26"/>
        </w:rPr>
      </w:pPr>
    </w:p>
    <w:p w14:paraId="37B9A1C3" w14:textId="3F507031" w:rsidR="00181CE8" w:rsidRPr="00CE279A" w:rsidRDefault="00BA4490" w:rsidP="00BA4490">
      <w:pPr>
        <w:widowControl/>
        <w:autoSpaceDE w:val="0"/>
        <w:autoSpaceDN w:val="0"/>
        <w:adjustRightInd w:val="0"/>
        <w:spacing w:line="360" w:lineRule="auto"/>
        <w:rPr>
          <w:rFonts w:eastAsiaTheme="minorHAnsi"/>
          <w:sz w:val="26"/>
          <w:szCs w:val="26"/>
        </w:rPr>
      </w:pPr>
      <w:r w:rsidRPr="00CE279A">
        <w:rPr>
          <w:b/>
          <w:sz w:val="26"/>
          <w:szCs w:val="26"/>
        </w:rPr>
        <w:tab/>
      </w:r>
      <w:r w:rsidRPr="00CE279A">
        <w:rPr>
          <w:b/>
          <w:sz w:val="26"/>
          <w:szCs w:val="26"/>
        </w:rPr>
        <w:tab/>
      </w:r>
      <w:r w:rsidRPr="00CE279A">
        <w:rPr>
          <w:sz w:val="26"/>
          <w:szCs w:val="26"/>
        </w:rPr>
        <w:t>Under the given circumstances, t</w:t>
      </w:r>
      <w:r w:rsidR="00181CE8" w:rsidRPr="00CE279A">
        <w:rPr>
          <w:rFonts w:eastAsiaTheme="minorHAnsi"/>
          <w:sz w:val="26"/>
          <w:szCs w:val="26"/>
        </w:rPr>
        <w:t xml:space="preserve">he </w:t>
      </w:r>
      <w:r w:rsidR="00181CE8" w:rsidRPr="00CE279A">
        <w:rPr>
          <w:rFonts w:eastAsiaTheme="minorHAnsi"/>
          <w:i/>
          <w:sz w:val="26"/>
          <w:szCs w:val="26"/>
        </w:rPr>
        <w:t>April 18 Letter</w:t>
      </w:r>
      <w:r w:rsidR="00181CE8" w:rsidRPr="00CE279A">
        <w:rPr>
          <w:rFonts w:eastAsiaTheme="minorHAnsi"/>
          <w:sz w:val="26"/>
          <w:szCs w:val="26"/>
        </w:rPr>
        <w:t xml:space="preserve"> denying FES’ 2018 Petition for renewal of the 5% bond level, based on the Moody’s downgrade of FES’ rating outlook is reasonable.  TUS’ subsequent notice to </w:t>
      </w:r>
      <w:r w:rsidR="00181CE8" w:rsidRPr="00CE279A">
        <w:rPr>
          <w:color w:val="000000"/>
          <w:sz w:val="26"/>
          <w:szCs w:val="26"/>
        </w:rPr>
        <w:t>FES</w:t>
      </w:r>
      <w:r w:rsidR="00181CE8" w:rsidRPr="00CE279A">
        <w:rPr>
          <w:rFonts w:eastAsiaTheme="minorHAnsi"/>
          <w:sz w:val="26"/>
          <w:szCs w:val="26"/>
        </w:rPr>
        <w:t xml:space="preserve"> to file a rider or amendment to increase its security to a 10% level is also reasonable and in accordance with the bond requirement under the </w:t>
      </w:r>
      <w:r w:rsidR="00E22953">
        <w:rPr>
          <w:rFonts w:eastAsiaTheme="minorHAnsi"/>
          <w:sz w:val="26"/>
          <w:szCs w:val="26"/>
        </w:rPr>
        <w:t xml:space="preserve">Section </w:t>
      </w:r>
      <w:r w:rsidR="00181CE8" w:rsidRPr="00CE279A">
        <w:rPr>
          <w:sz w:val="26"/>
          <w:szCs w:val="26"/>
        </w:rPr>
        <w:t>§</w:t>
      </w:r>
      <w:r w:rsidR="00E22953">
        <w:rPr>
          <w:sz w:val="26"/>
          <w:szCs w:val="26"/>
        </w:rPr>
        <w:t xml:space="preserve"> </w:t>
      </w:r>
      <w:r w:rsidR="00181CE8" w:rsidRPr="00CE279A">
        <w:rPr>
          <w:sz w:val="26"/>
          <w:szCs w:val="26"/>
        </w:rPr>
        <w:t>2809</w:t>
      </w:r>
      <w:r w:rsidR="00E22953">
        <w:rPr>
          <w:sz w:val="26"/>
          <w:szCs w:val="26"/>
        </w:rPr>
        <w:t xml:space="preserve"> of the Code</w:t>
      </w:r>
      <w:r w:rsidR="00181CE8" w:rsidRPr="00CE279A">
        <w:rPr>
          <w:sz w:val="26"/>
          <w:szCs w:val="26"/>
        </w:rPr>
        <w:t>.</w:t>
      </w:r>
    </w:p>
    <w:p w14:paraId="3B77EDE1" w14:textId="77777777" w:rsidR="009D7383" w:rsidRPr="00CE279A" w:rsidRDefault="009D7383" w:rsidP="008A1D49">
      <w:pPr>
        <w:widowControl/>
        <w:autoSpaceDE w:val="0"/>
        <w:autoSpaceDN w:val="0"/>
        <w:adjustRightInd w:val="0"/>
        <w:spacing w:line="360" w:lineRule="auto"/>
        <w:ind w:firstLine="720"/>
        <w:rPr>
          <w:rFonts w:eastAsiaTheme="minorHAnsi"/>
          <w:sz w:val="26"/>
          <w:szCs w:val="26"/>
        </w:rPr>
      </w:pPr>
    </w:p>
    <w:p w14:paraId="7365198C" w14:textId="77777777" w:rsidR="008C0E26" w:rsidRPr="00CE279A" w:rsidRDefault="008C0E26" w:rsidP="008A1D49">
      <w:pPr>
        <w:widowControl/>
        <w:spacing w:line="360" w:lineRule="auto"/>
        <w:rPr>
          <w:sz w:val="26"/>
          <w:szCs w:val="26"/>
        </w:rPr>
      </w:pPr>
    </w:p>
    <w:p w14:paraId="0891FA6A" w14:textId="77777777" w:rsidR="00EC5ACE" w:rsidRPr="00CE279A" w:rsidRDefault="00EC5ACE" w:rsidP="008A1D49">
      <w:pPr>
        <w:keepNext/>
        <w:keepLines/>
        <w:widowControl/>
        <w:spacing w:line="360" w:lineRule="auto"/>
        <w:jc w:val="center"/>
        <w:rPr>
          <w:b/>
          <w:sz w:val="26"/>
          <w:szCs w:val="26"/>
        </w:rPr>
      </w:pPr>
      <w:bookmarkStart w:id="6" w:name="co_pp_sp_999_3_1"/>
      <w:bookmarkEnd w:id="6"/>
      <w:r w:rsidRPr="00CE279A">
        <w:rPr>
          <w:b/>
          <w:sz w:val="26"/>
          <w:szCs w:val="26"/>
        </w:rPr>
        <w:t>Conclusion</w:t>
      </w:r>
    </w:p>
    <w:p w14:paraId="634063F0" w14:textId="77777777" w:rsidR="00EC5ACE" w:rsidRPr="00CE279A" w:rsidRDefault="00EC5ACE" w:rsidP="008A1D49">
      <w:pPr>
        <w:keepNext/>
        <w:keepLines/>
        <w:widowControl/>
        <w:spacing w:line="360" w:lineRule="auto"/>
        <w:ind w:firstLine="1440"/>
        <w:rPr>
          <w:sz w:val="26"/>
          <w:szCs w:val="26"/>
        </w:rPr>
      </w:pPr>
    </w:p>
    <w:p w14:paraId="3846C734" w14:textId="3D5099A8" w:rsidR="00EC5ACE" w:rsidRPr="00CE279A" w:rsidRDefault="00EC5ACE" w:rsidP="008A1D49">
      <w:pPr>
        <w:widowControl/>
        <w:spacing w:line="360" w:lineRule="auto"/>
        <w:ind w:firstLine="1440"/>
        <w:rPr>
          <w:sz w:val="26"/>
          <w:szCs w:val="26"/>
        </w:rPr>
      </w:pPr>
      <w:r w:rsidRPr="00CE279A">
        <w:rPr>
          <w:sz w:val="26"/>
          <w:szCs w:val="26"/>
        </w:rPr>
        <w:t xml:space="preserve">Based upon our review of the record and the applicable law, </w:t>
      </w:r>
      <w:r w:rsidR="00A135E4">
        <w:rPr>
          <w:sz w:val="26"/>
          <w:szCs w:val="26"/>
        </w:rPr>
        <w:t xml:space="preserve">and </w:t>
      </w:r>
      <w:r w:rsidR="00A135E4" w:rsidRPr="00CE279A">
        <w:rPr>
          <w:color w:val="000000"/>
          <w:sz w:val="26"/>
          <w:szCs w:val="26"/>
        </w:rPr>
        <w:t>consistent with the discussion herein</w:t>
      </w:r>
      <w:r w:rsidR="00A135E4">
        <w:rPr>
          <w:color w:val="000000"/>
          <w:sz w:val="26"/>
          <w:szCs w:val="26"/>
        </w:rPr>
        <w:t>,</w:t>
      </w:r>
      <w:r w:rsidR="00A135E4" w:rsidRPr="00CE279A">
        <w:rPr>
          <w:sz w:val="26"/>
          <w:szCs w:val="26"/>
        </w:rPr>
        <w:t xml:space="preserve"> </w:t>
      </w:r>
      <w:r w:rsidR="00A7709A" w:rsidRPr="00CE279A">
        <w:rPr>
          <w:sz w:val="26"/>
          <w:szCs w:val="26"/>
        </w:rPr>
        <w:t xml:space="preserve">we shall deny </w:t>
      </w:r>
      <w:r w:rsidR="00A7709A" w:rsidRPr="00CE279A">
        <w:rPr>
          <w:color w:val="000000"/>
          <w:sz w:val="26"/>
          <w:szCs w:val="26"/>
        </w:rPr>
        <w:t xml:space="preserve">the </w:t>
      </w:r>
      <w:r w:rsidR="00A7709A" w:rsidRPr="00CE279A">
        <w:rPr>
          <w:i/>
          <w:color w:val="000000"/>
          <w:sz w:val="26"/>
          <w:szCs w:val="26"/>
        </w:rPr>
        <w:t>Petition for Reconsideration</w:t>
      </w:r>
      <w:r w:rsidR="00A7709A">
        <w:rPr>
          <w:i/>
          <w:color w:val="000000"/>
          <w:sz w:val="26"/>
          <w:szCs w:val="26"/>
        </w:rPr>
        <w:t xml:space="preserve"> </w:t>
      </w:r>
      <w:r w:rsidR="00A7709A">
        <w:rPr>
          <w:color w:val="000000"/>
          <w:sz w:val="26"/>
          <w:szCs w:val="26"/>
        </w:rPr>
        <w:t xml:space="preserve">because </w:t>
      </w:r>
      <w:r w:rsidR="001B5531" w:rsidRPr="00CE279A">
        <w:rPr>
          <w:sz w:val="26"/>
          <w:szCs w:val="26"/>
        </w:rPr>
        <w:t xml:space="preserve">we find that FES fails to assert substantial and credible evidence to warrant the grant of </w:t>
      </w:r>
      <w:r w:rsidR="00A7709A">
        <w:rPr>
          <w:sz w:val="26"/>
          <w:szCs w:val="26"/>
        </w:rPr>
        <w:t xml:space="preserve">its request </w:t>
      </w:r>
      <w:r w:rsidR="00831A8C">
        <w:rPr>
          <w:sz w:val="26"/>
          <w:szCs w:val="26"/>
        </w:rPr>
        <w:t xml:space="preserve">to reconsider </w:t>
      </w:r>
      <w:r w:rsidR="001B5531" w:rsidRPr="00CE279A">
        <w:rPr>
          <w:sz w:val="26"/>
          <w:szCs w:val="26"/>
        </w:rPr>
        <w:t>TUS’ requirement that FES increase its security bond level from 5% to 10%</w:t>
      </w:r>
      <w:r w:rsidRPr="00CE279A">
        <w:rPr>
          <w:sz w:val="26"/>
          <w:szCs w:val="26"/>
        </w:rPr>
        <w:t xml:space="preserve">; </w:t>
      </w:r>
      <w:r w:rsidRPr="00CE279A">
        <w:rPr>
          <w:b/>
          <w:sz w:val="26"/>
          <w:szCs w:val="26"/>
        </w:rPr>
        <w:t>THEREFORE,</w:t>
      </w:r>
    </w:p>
    <w:p w14:paraId="0E54E7A4" w14:textId="77777777" w:rsidR="00EC5ACE" w:rsidRPr="00CE279A" w:rsidRDefault="00EC5ACE" w:rsidP="008A1D49">
      <w:pPr>
        <w:widowControl/>
        <w:rPr>
          <w:sz w:val="26"/>
          <w:szCs w:val="26"/>
        </w:rPr>
      </w:pPr>
    </w:p>
    <w:p w14:paraId="6A473892" w14:textId="77777777" w:rsidR="009E6303" w:rsidRPr="00CE279A" w:rsidRDefault="009E6303" w:rsidP="008A1D49">
      <w:pPr>
        <w:widowControl/>
        <w:spacing w:line="360" w:lineRule="auto"/>
        <w:ind w:firstLine="1440"/>
        <w:rPr>
          <w:b/>
          <w:sz w:val="26"/>
          <w:szCs w:val="26"/>
        </w:rPr>
      </w:pPr>
    </w:p>
    <w:p w14:paraId="49522982" w14:textId="6B0090F5" w:rsidR="0032094C" w:rsidRPr="00CE279A" w:rsidRDefault="00EC5ACE" w:rsidP="008A1D49">
      <w:pPr>
        <w:keepNext/>
        <w:keepLines/>
        <w:widowControl/>
        <w:spacing w:line="360" w:lineRule="auto"/>
        <w:ind w:firstLine="1440"/>
        <w:rPr>
          <w:b/>
          <w:sz w:val="26"/>
          <w:szCs w:val="26"/>
        </w:rPr>
      </w:pPr>
      <w:r w:rsidRPr="00CE279A">
        <w:rPr>
          <w:b/>
          <w:sz w:val="26"/>
          <w:szCs w:val="26"/>
        </w:rPr>
        <w:t>IT IS ORDERED:</w:t>
      </w:r>
    </w:p>
    <w:p w14:paraId="700F2C5A" w14:textId="77777777" w:rsidR="0032094C" w:rsidRPr="00CE279A" w:rsidRDefault="0032094C" w:rsidP="008A1D49">
      <w:pPr>
        <w:keepNext/>
        <w:keepLines/>
        <w:widowControl/>
        <w:spacing w:line="360" w:lineRule="auto"/>
        <w:ind w:firstLine="1440"/>
        <w:rPr>
          <w:b/>
          <w:sz w:val="26"/>
          <w:szCs w:val="26"/>
        </w:rPr>
      </w:pPr>
    </w:p>
    <w:p w14:paraId="11256784" w14:textId="0D12968C" w:rsidR="006D3D9B" w:rsidRPr="00CE279A" w:rsidRDefault="0032094C" w:rsidP="008A1D49">
      <w:pPr>
        <w:widowControl/>
        <w:spacing w:line="360" w:lineRule="auto"/>
        <w:ind w:firstLine="1440"/>
        <w:rPr>
          <w:color w:val="000000"/>
          <w:sz w:val="26"/>
          <w:szCs w:val="26"/>
        </w:rPr>
      </w:pPr>
      <w:r w:rsidRPr="00CE279A">
        <w:rPr>
          <w:sz w:val="26"/>
          <w:szCs w:val="26"/>
        </w:rPr>
        <w:t>1.</w:t>
      </w:r>
      <w:r w:rsidRPr="00CE279A">
        <w:rPr>
          <w:b/>
          <w:sz w:val="26"/>
          <w:szCs w:val="26"/>
        </w:rPr>
        <w:tab/>
      </w:r>
      <w:r w:rsidRPr="00CE279A">
        <w:rPr>
          <w:sz w:val="26"/>
          <w:szCs w:val="26"/>
        </w:rPr>
        <w:t xml:space="preserve">That the </w:t>
      </w:r>
      <w:r w:rsidR="00A135E4">
        <w:rPr>
          <w:sz w:val="26"/>
          <w:szCs w:val="26"/>
        </w:rPr>
        <w:t xml:space="preserve">Petition for Reconsideration of </w:t>
      </w:r>
      <w:r w:rsidR="00917389" w:rsidRPr="00CE279A">
        <w:rPr>
          <w:sz w:val="26"/>
          <w:szCs w:val="26"/>
        </w:rPr>
        <w:t>Staff Action filed by FirstEnergy Solutions Corp</w:t>
      </w:r>
      <w:r w:rsidR="000C10AC">
        <w:rPr>
          <w:sz w:val="26"/>
          <w:szCs w:val="26"/>
        </w:rPr>
        <w:t>oration</w:t>
      </w:r>
      <w:r w:rsidR="00917389" w:rsidRPr="00CE279A">
        <w:rPr>
          <w:sz w:val="26"/>
          <w:szCs w:val="26"/>
        </w:rPr>
        <w:t xml:space="preserve"> on May 8, 2018, at</w:t>
      </w:r>
      <w:r w:rsidR="00917389" w:rsidRPr="00CE279A">
        <w:rPr>
          <w:color w:val="000000"/>
          <w:sz w:val="26"/>
          <w:szCs w:val="26"/>
        </w:rPr>
        <w:t xml:space="preserve"> Docket No. A-110078, </w:t>
      </w:r>
      <w:r w:rsidR="00917389" w:rsidRPr="00CE279A">
        <w:rPr>
          <w:sz w:val="26"/>
          <w:szCs w:val="26"/>
        </w:rPr>
        <w:t>pertaining to the denial of its Petition for Renewal of Its 5% Reduced Financial Security Requirement for t</w:t>
      </w:r>
      <w:r w:rsidR="00FF7DE3" w:rsidRPr="00CE279A">
        <w:rPr>
          <w:sz w:val="26"/>
          <w:szCs w:val="26"/>
        </w:rPr>
        <w:t>he</w:t>
      </w:r>
      <w:r w:rsidR="00917389" w:rsidRPr="00CE279A">
        <w:rPr>
          <w:sz w:val="26"/>
          <w:szCs w:val="26"/>
        </w:rPr>
        <w:t xml:space="preserve"> Period June 10, 2018 Through </w:t>
      </w:r>
      <w:r w:rsidR="00FF7DE3" w:rsidRPr="00CE279A">
        <w:rPr>
          <w:sz w:val="26"/>
          <w:szCs w:val="26"/>
        </w:rPr>
        <w:t xml:space="preserve">June 10, 2019, </w:t>
      </w:r>
      <w:r w:rsidR="00917389" w:rsidRPr="00CE279A">
        <w:rPr>
          <w:sz w:val="26"/>
          <w:szCs w:val="26"/>
        </w:rPr>
        <w:t xml:space="preserve">by </w:t>
      </w:r>
      <w:r w:rsidR="00AF2120" w:rsidRPr="00CE279A">
        <w:rPr>
          <w:sz w:val="26"/>
          <w:szCs w:val="26"/>
        </w:rPr>
        <w:t xml:space="preserve">Secretarial Letter issued April 18, 2018, </w:t>
      </w:r>
      <w:r w:rsidR="00365442" w:rsidRPr="00CE279A">
        <w:rPr>
          <w:color w:val="000000"/>
          <w:sz w:val="26"/>
          <w:szCs w:val="26"/>
        </w:rPr>
        <w:t xml:space="preserve">is </w:t>
      </w:r>
      <w:r w:rsidR="00395BBA" w:rsidRPr="00CE279A">
        <w:rPr>
          <w:color w:val="000000"/>
          <w:sz w:val="26"/>
          <w:szCs w:val="26"/>
        </w:rPr>
        <w:t>denied</w:t>
      </w:r>
      <w:r w:rsidR="00365442" w:rsidRPr="00CE279A">
        <w:rPr>
          <w:color w:val="000000"/>
          <w:sz w:val="26"/>
          <w:szCs w:val="26"/>
        </w:rPr>
        <w:t>.</w:t>
      </w:r>
    </w:p>
    <w:p w14:paraId="6300FF4E" w14:textId="77777777" w:rsidR="006D3D9B" w:rsidRPr="00CE279A" w:rsidRDefault="006D3D9B" w:rsidP="008A1D49">
      <w:pPr>
        <w:widowControl/>
        <w:spacing w:line="360" w:lineRule="auto"/>
        <w:ind w:firstLine="1440"/>
        <w:rPr>
          <w:color w:val="000000"/>
          <w:sz w:val="26"/>
          <w:szCs w:val="26"/>
        </w:rPr>
      </w:pPr>
    </w:p>
    <w:p w14:paraId="24A0BCF3" w14:textId="61FD380C" w:rsidR="00917389" w:rsidRPr="00CE279A" w:rsidRDefault="0032094C" w:rsidP="00917389">
      <w:pPr>
        <w:widowControl/>
        <w:spacing w:line="360" w:lineRule="auto"/>
        <w:ind w:firstLine="1440"/>
        <w:rPr>
          <w:color w:val="000000"/>
          <w:sz w:val="26"/>
          <w:szCs w:val="26"/>
        </w:rPr>
      </w:pPr>
      <w:r w:rsidRPr="00CE279A">
        <w:rPr>
          <w:color w:val="000000"/>
          <w:sz w:val="26"/>
          <w:szCs w:val="26"/>
        </w:rPr>
        <w:t>2.</w:t>
      </w:r>
      <w:r w:rsidRPr="00CE279A">
        <w:rPr>
          <w:color w:val="000000"/>
          <w:sz w:val="26"/>
          <w:szCs w:val="26"/>
        </w:rPr>
        <w:tab/>
      </w:r>
      <w:r w:rsidR="00917389" w:rsidRPr="00CE279A">
        <w:rPr>
          <w:color w:val="000000"/>
          <w:sz w:val="26"/>
          <w:szCs w:val="26"/>
        </w:rPr>
        <w:t>That FirstEnergy Solutions Corp</w:t>
      </w:r>
      <w:r w:rsidR="000C10AC">
        <w:rPr>
          <w:color w:val="000000"/>
          <w:sz w:val="26"/>
          <w:szCs w:val="26"/>
        </w:rPr>
        <w:t>oration</w:t>
      </w:r>
      <w:r w:rsidR="00917389" w:rsidRPr="00CE279A">
        <w:rPr>
          <w:color w:val="000000"/>
          <w:sz w:val="26"/>
          <w:szCs w:val="26"/>
        </w:rPr>
        <w:t xml:space="preserve"> is required to comply with the Secretarial Letter of April 27, 2018, directing FirstEnergy Solutions Corp</w:t>
      </w:r>
      <w:r w:rsidR="000C10AC">
        <w:rPr>
          <w:color w:val="000000"/>
          <w:sz w:val="26"/>
          <w:szCs w:val="26"/>
        </w:rPr>
        <w:t>oration</w:t>
      </w:r>
      <w:r w:rsidR="00917389" w:rsidRPr="00CE279A">
        <w:rPr>
          <w:color w:val="000000"/>
          <w:sz w:val="26"/>
          <w:szCs w:val="26"/>
        </w:rPr>
        <w:t xml:space="preserve"> </w:t>
      </w:r>
      <w:r w:rsidR="00917389" w:rsidRPr="00CE279A">
        <w:rPr>
          <w:rFonts w:eastAsiaTheme="minorHAnsi"/>
          <w:sz w:val="26"/>
          <w:szCs w:val="26"/>
        </w:rPr>
        <w:t xml:space="preserve">to file a rider or amendment to increase its security bond to a 10% level within </w:t>
      </w:r>
      <w:r w:rsidR="00BD3AF6">
        <w:rPr>
          <w:rFonts w:eastAsiaTheme="minorHAnsi"/>
          <w:sz w:val="26"/>
          <w:szCs w:val="26"/>
        </w:rPr>
        <w:t>thirty (</w:t>
      </w:r>
      <w:r w:rsidR="00917389" w:rsidRPr="00CE279A">
        <w:rPr>
          <w:rFonts w:eastAsiaTheme="minorHAnsi"/>
          <w:sz w:val="26"/>
          <w:szCs w:val="26"/>
        </w:rPr>
        <w:t>30</w:t>
      </w:r>
      <w:r w:rsidR="00BD3AF6">
        <w:rPr>
          <w:rFonts w:eastAsiaTheme="minorHAnsi"/>
          <w:sz w:val="26"/>
          <w:szCs w:val="26"/>
        </w:rPr>
        <w:t>)</w:t>
      </w:r>
      <w:r w:rsidR="00917389" w:rsidRPr="00CE279A">
        <w:rPr>
          <w:rFonts w:eastAsiaTheme="minorHAnsi"/>
          <w:sz w:val="26"/>
          <w:szCs w:val="26"/>
        </w:rPr>
        <w:t xml:space="preserve"> days </w:t>
      </w:r>
      <w:r w:rsidR="00981782">
        <w:rPr>
          <w:rFonts w:eastAsiaTheme="minorHAnsi"/>
          <w:sz w:val="26"/>
          <w:szCs w:val="26"/>
        </w:rPr>
        <w:t xml:space="preserve">from the date of entry of </w:t>
      </w:r>
      <w:r w:rsidR="00917389" w:rsidRPr="00CE279A">
        <w:rPr>
          <w:rFonts w:eastAsiaTheme="minorHAnsi"/>
          <w:sz w:val="26"/>
          <w:szCs w:val="26"/>
        </w:rPr>
        <w:t xml:space="preserve">this </w:t>
      </w:r>
      <w:r w:rsidR="00981782">
        <w:rPr>
          <w:rFonts w:eastAsiaTheme="minorHAnsi"/>
          <w:sz w:val="26"/>
          <w:szCs w:val="26"/>
        </w:rPr>
        <w:t>Opinion and O</w:t>
      </w:r>
      <w:r w:rsidR="00917389" w:rsidRPr="00CE279A">
        <w:rPr>
          <w:rFonts w:eastAsiaTheme="minorHAnsi"/>
          <w:sz w:val="26"/>
          <w:szCs w:val="26"/>
        </w:rPr>
        <w:t>rder.</w:t>
      </w:r>
    </w:p>
    <w:p w14:paraId="4F261948" w14:textId="77777777" w:rsidR="00FF7DE3" w:rsidRPr="00CE279A" w:rsidRDefault="00FF7DE3" w:rsidP="00917389">
      <w:pPr>
        <w:widowControl/>
        <w:spacing w:line="360" w:lineRule="auto"/>
        <w:ind w:firstLine="1440"/>
        <w:rPr>
          <w:color w:val="000000"/>
          <w:sz w:val="26"/>
          <w:szCs w:val="26"/>
        </w:rPr>
      </w:pPr>
    </w:p>
    <w:p w14:paraId="1FCCD5C8" w14:textId="64B36606" w:rsidR="002349C7" w:rsidRDefault="00917389" w:rsidP="00917389">
      <w:pPr>
        <w:widowControl/>
        <w:spacing w:line="360" w:lineRule="auto"/>
        <w:ind w:firstLine="1440"/>
        <w:rPr>
          <w:color w:val="000000"/>
          <w:sz w:val="26"/>
          <w:szCs w:val="26"/>
        </w:rPr>
      </w:pPr>
      <w:r w:rsidRPr="00CE279A">
        <w:rPr>
          <w:color w:val="000000"/>
          <w:sz w:val="26"/>
          <w:szCs w:val="26"/>
        </w:rPr>
        <w:t>3</w:t>
      </w:r>
      <w:r w:rsidR="00AF2120" w:rsidRPr="00CE279A">
        <w:rPr>
          <w:color w:val="000000"/>
          <w:sz w:val="26"/>
          <w:szCs w:val="26"/>
        </w:rPr>
        <w:t>.</w:t>
      </w:r>
      <w:r w:rsidR="00AF2120" w:rsidRPr="00CE279A">
        <w:rPr>
          <w:color w:val="000000"/>
          <w:sz w:val="26"/>
          <w:szCs w:val="26"/>
        </w:rPr>
        <w:tab/>
      </w:r>
      <w:r w:rsidR="00365442" w:rsidRPr="00CE279A">
        <w:rPr>
          <w:color w:val="000000"/>
          <w:sz w:val="26"/>
          <w:szCs w:val="26"/>
        </w:rPr>
        <w:t xml:space="preserve">That the record </w:t>
      </w:r>
      <w:r w:rsidRPr="00CE279A">
        <w:rPr>
          <w:color w:val="000000"/>
          <w:sz w:val="26"/>
          <w:szCs w:val="26"/>
        </w:rPr>
        <w:t xml:space="preserve">at this docket is clarified </w:t>
      </w:r>
      <w:r w:rsidR="00365442" w:rsidRPr="00CE279A">
        <w:rPr>
          <w:color w:val="000000"/>
          <w:sz w:val="26"/>
          <w:szCs w:val="26"/>
        </w:rPr>
        <w:t>to reflect the correct utility name</w:t>
      </w:r>
      <w:r w:rsidR="00147776" w:rsidRPr="00CE279A">
        <w:rPr>
          <w:color w:val="000000"/>
          <w:sz w:val="26"/>
          <w:szCs w:val="26"/>
        </w:rPr>
        <w:t xml:space="preserve">, </w:t>
      </w:r>
      <w:r w:rsidR="00365442" w:rsidRPr="00CE279A">
        <w:rPr>
          <w:color w:val="000000"/>
          <w:sz w:val="26"/>
          <w:szCs w:val="26"/>
        </w:rPr>
        <w:t>FirstEnergy Solutions Corp</w:t>
      </w:r>
      <w:r w:rsidR="000C10AC">
        <w:rPr>
          <w:color w:val="000000"/>
          <w:sz w:val="26"/>
          <w:szCs w:val="26"/>
        </w:rPr>
        <w:t>oration,</w:t>
      </w:r>
      <w:r w:rsidR="00365442" w:rsidRPr="00CE279A">
        <w:rPr>
          <w:color w:val="000000"/>
          <w:sz w:val="26"/>
          <w:szCs w:val="26"/>
        </w:rPr>
        <w:t xml:space="preserve"> on all communication</w:t>
      </w:r>
      <w:r w:rsidR="0060454A" w:rsidRPr="00CE279A">
        <w:rPr>
          <w:color w:val="000000"/>
          <w:sz w:val="26"/>
          <w:szCs w:val="26"/>
        </w:rPr>
        <w:t>s</w:t>
      </w:r>
      <w:r w:rsidR="00365442" w:rsidRPr="00CE279A">
        <w:rPr>
          <w:color w:val="000000"/>
          <w:sz w:val="26"/>
          <w:szCs w:val="26"/>
        </w:rPr>
        <w:t xml:space="preserve"> and documents.</w:t>
      </w:r>
    </w:p>
    <w:p w14:paraId="6D7348E6" w14:textId="77777777" w:rsidR="0032094C" w:rsidRPr="00CE279A" w:rsidRDefault="0032094C" w:rsidP="008A1D49">
      <w:pPr>
        <w:widowControl/>
        <w:spacing w:line="360" w:lineRule="auto"/>
        <w:rPr>
          <w:color w:val="000000"/>
          <w:sz w:val="26"/>
          <w:szCs w:val="26"/>
        </w:rPr>
      </w:pPr>
    </w:p>
    <w:p w14:paraId="7AC0847B" w14:textId="1AC0115E" w:rsidR="0032094C" w:rsidRPr="00CE279A" w:rsidRDefault="0032094C" w:rsidP="008A1D49">
      <w:pPr>
        <w:widowControl/>
        <w:ind w:firstLine="1440"/>
        <w:rPr>
          <w:b/>
          <w:sz w:val="26"/>
          <w:szCs w:val="26"/>
        </w:rPr>
      </w:pPr>
      <w:r w:rsidRPr="00CE279A">
        <w:rPr>
          <w:b/>
          <w:sz w:val="26"/>
          <w:szCs w:val="26"/>
        </w:rPr>
        <w:tab/>
      </w:r>
      <w:r w:rsidRPr="00CE279A">
        <w:rPr>
          <w:b/>
          <w:sz w:val="26"/>
          <w:szCs w:val="26"/>
        </w:rPr>
        <w:tab/>
      </w:r>
      <w:r w:rsidRPr="00CE279A">
        <w:rPr>
          <w:b/>
          <w:sz w:val="26"/>
          <w:szCs w:val="26"/>
        </w:rPr>
        <w:tab/>
      </w:r>
      <w:r w:rsidRPr="00CE279A">
        <w:rPr>
          <w:b/>
          <w:sz w:val="26"/>
          <w:szCs w:val="26"/>
        </w:rPr>
        <w:tab/>
        <w:t>BY THE COMMISSION,</w:t>
      </w:r>
    </w:p>
    <w:p w14:paraId="46A7564C" w14:textId="2566E9E8" w:rsidR="0032094C" w:rsidRPr="00CE279A" w:rsidRDefault="00AF3715" w:rsidP="008A1D49">
      <w:pPr>
        <w:keepNext/>
        <w:keepLines/>
        <w:widowControl/>
        <w:rPr>
          <w:sz w:val="26"/>
          <w:szCs w:val="26"/>
        </w:rPr>
      </w:pPr>
      <w:r>
        <w:rPr>
          <w:noProof/>
        </w:rPr>
        <w:drawing>
          <wp:anchor distT="0" distB="0" distL="114300" distR="114300" simplePos="0" relativeHeight="251659264" behindDoc="1" locked="0" layoutInCell="1" allowOverlap="1" wp14:anchorId="17BA1BD6" wp14:editId="56E43FCC">
            <wp:simplePos x="0" y="0"/>
            <wp:positionH relativeFrom="column">
              <wp:posOffset>2596280</wp:posOffset>
            </wp:positionH>
            <wp:positionV relativeFrom="paragraph">
              <wp:posOffset>18450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1CA685F1" w14:textId="0C3F2A35" w:rsidR="00C95178" w:rsidRPr="00CE279A" w:rsidRDefault="00C95178" w:rsidP="008A1D49">
      <w:pPr>
        <w:keepNext/>
        <w:keepLines/>
        <w:widowControl/>
        <w:rPr>
          <w:sz w:val="26"/>
          <w:szCs w:val="26"/>
        </w:rPr>
      </w:pPr>
    </w:p>
    <w:p w14:paraId="3B6D2A58" w14:textId="3084B89A" w:rsidR="006D3D9B" w:rsidRPr="00CE279A" w:rsidRDefault="006D3D9B" w:rsidP="008A1D49">
      <w:pPr>
        <w:keepNext/>
        <w:keepLines/>
        <w:widowControl/>
        <w:rPr>
          <w:sz w:val="26"/>
          <w:szCs w:val="26"/>
        </w:rPr>
      </w:pPr>
    </w:p>
    <w:p w14:paraId="1AC5221B" w14:textId="79BB66E2" w:rsidR="00AF3715" w:rsidRDefault="00AF3715"/>
    <w:p w14:paraId="65FE49DC" w14:textId="77777777" w:rsidR="0032094C" w:rsidRPr="00CE279A" w:rsidRDefault="0032094C" w:rsidP="008A1D49">
      <w:pPr>
        <w:keepNext/>
        <w:keepLines/>
        <w:widowControl/>
        <w:rPr>
          <w:sz w:val="26"/>
          <w:szCs w:val="26"/>
        </w:rPr>
      </w:pPr>
    </w:p>
    <w:p w14:paraId="6764593B" w14:textId="77777777" w:rsidR="0032094C" w:rsidRPr="00CE279A" w:rsidRDefault="0032094C" w:rsidP="008A1D49">
      <w:pPr>
        <w:keepNext/>
        <w:keepLines/>
        <w:widowControl/>
        <w:rPr>
          <w:sz w:val="26"/>
          <w:szCs w:val="26"/>
        </w:rPr>
      </w:pPr>
      <w:r w:rsidRPr="00CE279A">
        <w:rPr>
          <w:sz w:val="26"/>
          <w:szCs w:val="26"/>
        </w:rPr>
        <w:tab/>
      </w:r>
      <w:r w:rsidRPr="00CE279A">
        <w:rPr>
          <w:sz w:val="26"/>
          <w:szCs w:val="26"/>
        </w:rPr>
        <w:tab/>
      </w:r>
      <w:r w:rsidRPr="00CE279A">
        <w:rPr>
          <w:sz w:val="26"/>
          <w:szCs w:val="26"/>
        </w:rPr>
        <w:tab/>
      </w:r>
      <w:r w:rsidRPr="00CE279A">
        <w:rPr>
          <w:sz w:val="26"/>
          <w:szCs w:val="26"/>
        </w:rPr>
        <w:tab/>
      </w:r>
      <w:r w:rsidRPr="00CE279A">
        <w:rPr>
          <w:sz w:val="26"/>
          <w:szCs w:val="26"/>
        </w:rPr>
        <w:tab/>
      </w:r>
      <w:r w:rsidRPr="00CE279A">
        <w:rPr>
          <w:sz w:val="26"/>
          <w:szCs w:val="26"/>
        </w:rPr>
        <w:tab/>
        <w:t>Rosemary Chiavetta</w:t>
      </w:r>
    </w:p>
    <w:p w14:paraId="0FC0243F" w14:textId="77777777" w:rsidR="0032094C" w:rsidRPr="00CE279A" w:rsidRDefault="0032094C" w:rsidP="008A1D49">
      <w:pPr>
        <w:keepNext/>
        <w:keepLines/>
        <w:widowControl/>
        <w:rPr>
          <w:sz w:val="26"/>
          <w:szCs w:val="26"/>
        </w:rPr>
      </w:pPr>
      <w:r w:rsidRPr="00CE279A">
        <w:rPr>
          <w:sz w:val="26"/>
          <w:szCs w:val="26"/>
        </w:rPr>
        <w:tab/>
      </w:r>
      <w:r w:rsidRPr="00CE279A">
        <w:rPr>
          <w:sz w:val="26"/>
          <w:szCs w:val="26"/>
        </w:rPr>
        <w:tab/>
      </w:r>
      <w:r w:rsidRPr="00CE279A">
        <w:rPr>
          <w:sz w:val="26"/>
          <w:szCs w:val="26"/>
        </w:rPr>
        <w:tab/>
      </w:r>
      <w:r w:rsidRPr="00CE279A">
        <w:rPr>
          <w:sz w:val="26"/>
          <w:szCs w:val="26"/>
        </w:rPr>
        <w:tab/>
      </w:r>
      <w:r w:rsidRPr="00CE279A">
        <w:rPr>
          <w:sz w:val="26"/>
          <w:szCs w:val="26"/>
        </w:rPr>
        <w:tab/>
      </w:r>
      <w:r w:rsidRPr="00CE279A">
        <w:rPr>
          <w:sz w:val="26"/>
          <w:szCs w:val="26"/>
        </w:rPr>
        <w:tab/>
        <w:t>Secretary</w:t>
      </w:r>
    </w:p>
    <w:p w14:paraId="593B495F" w14:textId="77777777" w:rsidR="0032094C" w:rsidRPr="00CE279A" w:rsidRDefault="0032094C" w:rsidP="008A1D49">
      <w:pPr>
        <w:keepNext/>
        <w:keepLines/>
        <w:widowControl/>
        <w:rPr>
          <w:sz w:val="26"/>
          <w:szCs w:val="26"/>
        </w:rPr>
      </w:pPr>
    </w:p>
    <w:p w14:paraId="527A9C19" w14:textId="77777777" w:rsidR="0032094C" w:rsidRPr="00CE279A" w:rsidRDefault="0032094C" w:rsidP="008A1D49">
      <w:pPr>
        <w:keepNext/>
        <w:keepLines/>
        <w:widowControl/>
        <w:tabs>
          <w:tab w:val="left" w:pos="-720"/>
        </w:tabs>
        <w:suppressAutoHyphens/>
        <w:rPr>
          <w:sz w:val="26"/>
          <w:szCs w:val="26"/>
        </w:rPr>
      </w:pPr>
      <w:r w:rsidRPr="00CE279A">
        <w:rPr>
          <w:sz w:val="26"/>
          <w:szCs w:val="26"/>
        </w:rPr>
        <w:t>(SEAL)</w:t>
      </w:r>
    </w:p>
    <w:p w14:paraId="44C35C13" w14:textId="77777777" w:rsidR="006D3D9B" w:rsidRPr="00CE279A" w:rsidRDefault="006D3D9B" w:rsidP="008A1D49">
      <w:pPr>
        <w:keepNext/>
        <w:keepLines/>
        <w:widowControl/>
        <w:tabs>
          <w:tab w:val="left" w:pos="-720"/>
        </w:tabs>
        <w:suppressAutoHyphens/>
        <w:rPr>
          <w:sz w:val="26"/>
          <w:szCs w:val="26"/>
        </w:rPr>
      </w:pPr>
    </w:p>
    <w:p w14:paraId="15B01B73" w14:textId="77777777" w:rsidR="0032094C" w:rsidRPr="00CE279A" w:rsidRDefault="0032094C" w:rsidP="008A1D49">
      <w:pPr>
        <w:keepNext/>
        <w:keepLines/>
        <w:widowControl/>
        <w:tabs>
          <w:tab w:val="left" w:pos="-720"/>
        </w:tabs>
        <w:suppressAutoHyphens/>
        <w:rPr>
          <w:sz w:val="26"/>
          <w:szCs w:val="26"/>
        </w:rPr>
      </w:pPr>
      <w:r w:rsidRPr="00CE279A">
        <w:rPr>
          <w:sz w:val="26"/>
          <w:szCs w:val="26"/>
        </w:rPr>
        <w:t>ORDER ADOPTED:  June 14, 2018</w:t>
      </w:r>
    </w:p>
    <w:p w14:paraId="2019B663" w14:textId="77777777" w:rsidR="006D3D9B" w:rsidRPr="00CE279A" w:rsidRDefault="006D3D9B" w:rsidP="008A1D49">
      <w:pPr>
        <w:keepNext/>
        <w:keepLines/>
        <w:widowControl/>
        <w:tabs>
          <w:tab w:val="left" w:pos="-720"/>
        </w:tabs>
        <w:suppressAutoHyphens/>
        <w:rPr>
          <w:sz w:val="26"/>
          <w:szCs w:val="26"/>
        </w:rPr>
      </w:pPr>
    </w:p>
    <w:p w14:paraId="1576C2DE" w14:textId="1E66F157" w:rsidR="0032094C" w:rsidRPr="00CE279A" w:rsidRDefault="0032094C" w:rsidP="008A1D49">
      <w:pPr>
        <w:keepNext/>
        <w:keepLines/>
        <w:widowControl/>
        <w:tabs>
          <w:tab w:val="left" w:pos="-720"/>
        </w:tabs>
        <w:suppressAutoHyphens/>
        <w:rPr>
          <w:sz w:val="26"/>
          <w:szCs w:val="26"/>
        </w:rPr>
      </w:pPr>
      <w:r w:rsidRPr="00CE279A">
        <w:rPr>
          <w:sz w:val="26"/>
          <w:szCs w:val="26"/>
        </w:rPr>
        <w:t xml:space="preserve">ORDER ENTERED:  </w:t>
      </w:r>
      <w:r w:rsidR="00AF3715">
        <w:rPr>
          <w:sz w:val="26"/>
          <w:szCs w:val="26"/>
        </w:rPr>
        <w:t>June 27, 2018</w:t>
      </w:r>
      <w:bookmarkStart w:id="7" w:name="_GoBack"/>
      <w:bookmarkEnd w:id="7"/>
    </w:p>
    <w:sectPr w:rsidR="0032094C" w:rsidRPr="00CE279A" w:rsidSect="00B4356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30E88" w14:textId="77777777" w:rsidR="00AB025D" w:rsidRDefault="00AB025D" w:rsidP="00EC5ACE">
      <w:r>
        <w:separator/>
      </w:r>
    </w:p>
  </w:endnote>
  <w:endnote w:type="continuationSeparator" w:id="0">
    <w:p w14:paraId="25DB2BD4" w14:textId="77777777" w:rsidR="00AB025D" w:rsidRDefault="00AB025D" w:rsidP="00E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35011"/>
      <w:docPartObj>
        <w:docPartGallery w:val="Page Numbers (Bottom of Page)"/>
        <w:docPartUnique/>
      </w:docPartObj>
    </w:sdtPr>
    <w:sdtEndPr>
      <w:rPr>
        <w:noProof/>
      </w:rPr>
    </w:sdtEndPr>
    <w:sdtContent>
      <w:p w14:paraId="59EEC1D0" w14:textId="77777777" w:rsidR="002C22E4" w:rsidRDefault="002C22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8E2EEA" w14:textId="77777777" w:rsidR="002C22E4" w:rsidRDefault="002C2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DC1F" w14:textId="77777777" w:rsidR="00AB025D" w:rsidRDefault="00AB025D" w:rsidP="00EC5ACE">
      <w:r>
        <w:separator/>
      </w:r>
    </w:p>
  </w:footnote>
  <w:footnote w:type="continuationSeparator" w:id="0">
    <w:p w14:paraId="07114DC5" w14:textId="77777777" w:rsidR="00AB025D" w:rsidRDefault="00AB025D" w:rsidP="00EC5ACE">
      <w:r>
        <w:continuationSeparator/>
      </w:r>
    </w:p>
  </w:footnote>
  <w:footnote w:id="1">
    <w:p w14:paraId="4C81B179" w14:textId="529ECAF5" w:rsidR="002C22E4" w:rsidRPr="009161EF" w:rsidRDefault="002D5730" w:rsidP="009161EF">
      <w:pPr>
        <w:widowControl/>
        <w:autoSpaceDE w:val="0"/>
        <w:autoSpaceDN w:val="0"/>
        <w:adjustRightInd w:val="0"/>
        <w:spacing w:after="120"/>
        <w:rPr>
          <w:sz w:val="26"/>
        </w:rPr>
      </w:pPr>
      <w:r>
        <w:rPr>
          <w:sz w:val="26"/>
        </w:rPr>
        <w:tab/>
      </w:r>
      <w:r w:rsidR="002C22E4" w:rsidRPr="009161EF">
        <w:rPr>
          <w:rStyle w:val="FootnoteReference"/>
          <w:sz w:val="26"/>
        </w:rPr>
        <w:footnoteRef/>
      </w:r>
      <w:r>
        <w:rPr>
          <w:sz w:val="26"/>
        </w:rPr>
        <w:tab/>
      </w:r>
      <w:r w:rsidR="002C22E4" w:rsidRPr="009161EF">
        <w:rPr>
          <w:sz w:val="26"/>
        </w:rPr>
        <w:t xml:space="preserve">Notice of the material change in business operations was provided to the Commission in compliance with 52 Pa. Code </w:t>
      </w:r>
      <w:r w:rsidR="002C22E4" w:rsidRPr="009161EF">
        <w:rPr>
          <w:rFonts w:eastAsiaTheme="minorHAnsi"/>
          <w:sz w:val="26"/>
        </w:rPr>
        <w:t>54.34</w:t>
      </w:r>
      <w:r w:rsidR="002C22E4" w:rsidRPr="009161EF">
        <w:rPr>
          <w:rFonts w:eastAsiaTheme="minorHAnsi"/>
          <w:sz w:val="26"/>
          <w:szCs w:val="24"/>
        </w:rPr>
        <w:t xml:space="preserve">. </w:t>
      </w:r>
      <w:r w:rsidR="002B2540">
        <w:rPr>
          <w:rFonts w:eastAsiaTheme="minorHAnsi"/>
          <w:sz w:val="26"/>
          <w:szCs w:val="24"/>
        </w:rPr>
        <w:t xml:space="preserve"> </w:t>
      </w:r>
      <w:r w:rsidR="002C22E4" w:rsidRPr="009161EF">
        <w:rPr>
          <w:rFonts w:eastAsiaTheme="minorHAnsi"/>
          <w:sz w:val="26"/>
        </w:rPr>
        <w:t>(</w:t>
      </w:r>
      <w:r w:rsidR="002C22E4" w:rsidRPr="009161EF">
        <w:rPr>
          <w:rFonts w:eastAsiaTheme="minorHAnsi"/>
          <w:i/>
          <w:sz w:val="26"/>
        </w:rPr>
        <w:t>Petition for Reconsideration</w:t>
      </w:r>
      <w:r w:rsidR="002C22E4" w:rsidRPr="009161EF">
        <w:rPr>
          <w:rFonts w:eastAsiaTheme="minorHAnsi"/>
          <w:sz w:val="26"/>
        </w:rPr>
        <w:t xml:space="preserve"> at para.</w:t>
      </w:r>
      <w:r>
        <w:rPr>
          <w:rFonts w:eastAsiaTheme="minorHAnsi"/>
          <w:sz w:val="26"/>
        </w:rPr>
        <w:t> </w:t>
      </w:r>
      <w:r w:rsidR="002C22E4" w:rsidRPr="009161EF">
        <w:rPr>
          <w:rFonts w:eastAsiaTheme="minorHAnsi"/>
          <w:sz w:val="26"/>
        </w:rPr>
        <w:t>11)</w:t>
      </w:r>
      <w:r>
        <w:rPr>
          <w:rFonts w:eastAsiaTheme="minorHAnsi"/>
          <w:sz w:val="26"/>
        </w:rPr>
        <w:t>.</w:t>
      </w:r>
    </w:p>
  </w:footnote>
  <w:footnote w:id="2">
    <w:p w14:paraId="2682546A" w14:textId="3E1EE65C" w:rsidR="002C22E4" w:rsidRPr="009161EF" w:rsidRDefault="002D5730" w:rsidP="009161EF">
      <w:pPr>
        <w:widowControl/>
        <w:autoSpaceDE w:val="0"/>
        <w:autoSpaceDN w:val="0"/>
        <w:adjustRightInd w:val="0"/>
        <w:spacing w:after="120"/>
        <w:rPr>
          <w:sz w:val="26"/>
        </w:rPr>
      </w:pPr>
      <w:r>
        <w:rPr>
          <w:sz w:val="26"/>
        </w:rPr>
        <w:tab/>
      </w:r>
      <w:r w:rsidR="002C22E4" w:rsidRPr="009161EF">
        <w:rPr>
          <w:rStyle w:val="FootnoteReference"/>
          <w:sz w:val="26"/>
        </w:rPr>
        <w:footnoteRef/>
      </w:r>
      <w:r>
        <w:rPr>
          <w:sz w:val="26"/>
        </w:rPr>
        <w:tab/>
      </w:r>
      <w:r w:rsidR="002C22E4" w:rsidRPr="009161EF">
        <w:rPr>
          <w:rFonts w:eastAsiaTheme="minorHAnsi"/>
          <w:sz w:val="26"/>
        </w:rPr>
        <w:t xml:space="preserve">The </w:t>
      </w:r>
      <w:r w:rsidR="002C22E4" w:rsidRPr="009161EF">
        <w:rPr>
          <w:rFonts w:eastAsiaTheme="minorHAnsi"/>
          <w:i/>
          <w:sz w:val="26"/>
        </w:rPr>
        <w:t>April 18 Letter</w:t>
      </w:r>
      <w:r w:rsidR="002C22E4" w:rsidRPr="009161EF">
        <w:rPr>
          <w:rFonts w:eastAsiaTheme="minorHAnsi"/>
          <w:sz w:val="26"/>
        </w:rPr>
        <w:t xml:space="preserve"> misstates the company name, FirstEnergy Solutions Corp., as “FirstEnergy Service Corporation,” while the April 27, 2018 </w:t>
      </w:r>
      <w:r w:rsidR="002349C7" w:rsidRPr="009161EF">
        <w:rPr>
          <w:rFonts w:eastAsiaTheme="minorHAnsi"/>
          <w:sz w:val="26"/>
        </w:rPr>
        <w:t xml:space="preserve">Secretarial </w:t>
      </w:r>
      <w:r w:rsidR="002C22E4" w:rsidRPr="009161EF">
        <w:rPr>
          <w:rFonts w:eastAsiaTheme="minorHAnsi"/>
          <w:sz w:val="26"/>
        </w:rPr>
        <w:t xml:space="preserve">Letter correctly addresses the company by the name of “FirstEnergy Solutions Corporation.”  </w:t>
      </w:r>
      <w:r w:rsidR="00FF7DE3">
        <w:rPr>
          <w:rFonts w:eastAsiaTheme="minorHAnsi"/>
          <w:sz w:val="26"/>
        </w:rPr>
        <w:t xml:space="preserve">The record should be clarified to reflect that all communication and orders at this docket </w:t>
      </w:r>
      <w:r w:rsidR="006B4F81">
        <w:rPr>
          <w:rFonts w:eastAsiaTheme="minorHAnsi"/>
          <w:sz w:val="26"/>
        </w:rPr>
        <w:t xml:space="preserve">pertain to </w:t>
      </w:r>
      <w:r w:rsidR="002C22E4" w:rsidRPr="009161EF">
        <w:rPr>
          <w:rFonts w:eastAsiaTheme="minorHAnsi"/>
          <w:sz w:val="26"/>
        </w:rPr>
        <w:t>FirstEnergy Solutions Corp.</w:t>
      </w:r>
    </w:p>
  </w:footnote>
  <w:footnote w:id="3">
    <w:p w14:paraId="70ED2332" w14:textId="6C52AA95" w:rsidR="002C22E4" w:rsidRPr="009161EF" w:rsidRDefault="00707BA9" w:rsidP="009161EF">
      <w:pPr>
        <w:widowControl/>
        <w:autoSpaceDE w:val="0"/>
        <w:autoSpaceDN w:val="0"/>
        <w:adjustRightInd w:val="0"/>
        <w:spacing w:after="120"/>
        <w:rPr>
          <w:rFonts w:eastAsiaTheme="minorHAnsi"/>
          <w:sz w:val="26"/>
        </w:rPr>
      </w:pPr>
      <w:r>
        <w:rPr>
          <w:sz w:val="26"/>
        </w:rPr>
        <w:tab/>
      </w:r>
      <w:r w:rsidR="002C22E4" w:rsidRPr="009161EF">
        <w:rPr>
          <w:rStyle w:val="FootnoteReference"/>
          <w:sz w:val="26"/>
        </w:rPr>
        <w:footnoteRef/>
      </w:r>
      <w:r>
        <w:rPr>
          <w:sz w:val="26"/>
        </w:rPr>
        <w:tab/>
      </w:r>
      <w:r w:rsidR="002C22E4" w:rsidRPr="009161EF">
        <w:rPr>
          <w:sz w:val="26"/>
        </w:rPr>
        <w:t xml:space="preserve">FES notes that the </w:t>
      </w:r>
      <w:r w:rsidR="002349C7" w:rsidRPr="009161EF">
        <w:rPr>
          <w:i/>
          <w:sz w:val="26"/>
        </w:rPr>
        <w:t>April 27 Letter</w:t>
      </w:r>
      <w:r w:rsidR="005665E9" w:rsidRPr="009161EF">
        <w:rPr>
          <w:sz w:val="26"/>
        </w:rPr>
        <w:t>’</w:t>
      </w:r>
      <w:r w:rsidR="002349C7" w:rsidRPr="009161EF">
        <w:rPr>
          <w:sz w:val="26"/>
        </w:rPr>
        <w:t xml:space="preserve">s </w:t>
      </w:r>
      <w:r w:rsidR="002C22E4" w:rsidRPr="009161EF">
        <w:rPr>
          <w:sz w:val="26"/>
        </w:rPr>
        <w:t>instructions were not clearly stated</w:t>
      </w:r>
      <w:r w:rsidR="00A72CA1">
        <w:rPr>
          <w:sz w:val="26"/>
        </w:rPr>
        <w:t>;</w:t>
      </w:r>
      <w:r w:rsidR="002C22E4" w:rsidRPr="009161EF">
        <w:rPr>
          <w:sz w:val="26"/>
        </w:rPr>
        <w:t xml:space="preserve"> however, </w:t>
      </w:r>
      <w:r w:rsidR="002C22E4" w:rsidRPr="009161EF">
        <w:rPr>
          <w:rFonts w:eastAsiaTheme="minorHAnsi"/>
          <w:sz w:val="26"/>
        </w:rPr>
        <w:t xml:space="preserve">FES </w:t>
      </w:r>
      <w:r w:rsidR="00FF7DE3">
        <w:rPr>
          <w:rFonts w:eastAsiaTheme="minorHAnsi"/>
          <w:sz w:val="26"/>
        </w:rPr>
        <w:t xml:space="preserve">is clearly directed </w:t>
      </w:r>
      <w:r w:rsidR="002C22E4" w:rsidRPr="009161EF">
        <w:rPr>
          <w:rFonts w:eastAsiaTheme="minorHAnsi"/>
          <w:sz w:val="26"/>
        </w:rPr>
        <w:t xml:space="preserve">to file a rider or amendment increasing its security to a 10% </w:t>
      </w:r>
      <w:r w:rsidR="00FF7DE3">
        <w:rPr>
          <w:rFonts w:eastAsiaTheme="minorHAnsi"/>
          <w:sz w:val="26"/>
        </w:rPr>
        <w:t>level</w:t>
      </w:r>
      <w:r w:rsidR="002C22E4" w:rsidRPr="009161EF">
        <w:rPr>
          <w:rFonts w:eastAsiaTheme="minorHAnsi"/>
          <w:sz w:val="26"/>
        </w:rPr>
        <w:t>.</w:t>
      </w:r>
    </w:p>
  </w:footnote>
  <w:footnote w:id="4">
    <w:p w14:paraId="546C3A50" w14:textId="55F02ED7" w:rsidR="002C22E4" w:rsidRPr="009161EF" w:rsidRDefault="00707BA9" w:rsidP="009161EF">
      <w:pPr>
        <w:pStyle w:val="FootnoteText"/>
        <w:widowControl/>
        <w:spacing w:after="120"/>
        <w:rPr>
          <w:sz w:val="26"/>
        </w:rPr>
      </w:pPr>
      <w:r>
        <w:rPr>
          <w:sz w:val="26"/>
        </w:rPr>
        <w:tab/>
      </w:r>
      <w:r w:rsidR="002C22E4" w:rsidRPr="009161EF">
        <w:rPr>
          <w:rStyle w:val="FootnoteReference"/>
          <w:sz w:val="26"/>
        </w:rPr>
        <w:footnoteRef/>
      </w:r>
      <w:r>
        <w:rPr>
          <w:sz w:val="26"/>
        </w:rPr>
        <w:tab/>
      </w:r>
      <w:r w:rsidR="002C22E4" w:rsidRPr="009161EF">
        <w:rPr>
          <w:i/>
          <w:sz w:val="26"/>
        </w:rPr>
        <w:t>Petition for Reconsideration</w:t>
      </w:r>
      <w:r w:rsidR="002C22E4" w:rsidRPr="009161EF">
        <w:rPr>
          <w:sz w:val="26"/>
        </w:rPr>
        <w:t xml:space="preserve"> </w:t>
      </w:r>
      <w:r w:rsidR="00A72CA1">
        <w:rPr>
          <w:sz w:val="26"/>
        </w:rPr>
        <w:t xml:space="preserve">at </w:t>
      </w:r>
      <w:r w:rsidR="002C22E4" w:rsidRPr="009161EF">
        <w:rPr>
          <w:sz w:val="26"/>
        </w:rPr>
        <w:t>19-24</w:t>
      </w:r>
      <w:r w:rsidR="00C425EC" w:rsidRPr="009161EF">
        <w:rPr>
          <w:sz w:val="26"/>
        </w:rPr>
        <w:t>.</w:t>
      </w:r>
    </w:p>
  </w:footnote>
  <w:footnote w:id="5">
    <w:p w14:paraId="5705E05C" w14:textId="4AC13084" w:rsidR="002C22E4" w:rsidRPr="009161EF" w:rsidRDefault="002C22E4" w:rsidP="009161EF">
      <w:pPr>
        <w:pStyle w:val="FootnoteText"/>
        <w:keepNext/>
        <w:keepLines/>
        <w:widowControl/>
        <w:spacing w:after="120"/>
        <w:ind w:firstLine="720"/>
        <w:rPr>
          <w:sz w:val="26"/>
        </w:rPr>
      </w:pPr>
      <w:r w:rsidRPr="009161EF">
        <w:rPr>
          <w:rStyle w:val="FootnoteReference"/>
          <w:sz w:val="26"/>
          <w:szCs w:val="26"/>
        </w:rPr>
        <w:footnoteRef/>
      </w:r>
      <w:r w:rsidR="000F15D7">
        <w:rPr>
          <w:sz w:val="26"/>
          <w:szCs w:val="26"/>
        </w:rPr>
        <w:tab/>
      </w:r>
      <w:r w:rsidRPr="009161EF">
        <w:rPr>
          <w:sz w:val="26"/>
        </w:rPr>
        <w:t>To deal efficiently with various routine and non-controversial matters that require the Commission’s approval, the Commission has expressly delegated its approval authority to staff regarding certain matters that are deemed to be routine, ministerial and non-policy making in nature.  Thus, for specific delegated matters, in lieu of action at public meeting, individual bureaus may exercise the Commission’s authority by Secretarial Letter.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C0E4B"/>
    <w:multiLevelType w:val="hybridMultilevel"/>
    <w:tmpl w:val="AFB4155A"/>
    <w:lvl w:ilvl="0" w:tplc="47E6A836">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CE"/>
    <w:rsid w:val="000058E9"/>
    <w:rsid w:val="00024EEF"/>
    <w:rsid w:val="00047C98"/>
    <w:rsid w:val="0005366D"/>
    <w:rsid w:val="00066E8E"/>
    <w:rsid w:val="00074C39"/>
    <w:rsid w:val="00085902"/>
    <w:rsid w:val="000A3FB1"/>
    <w:rsid w:val="000A5FEF"/>
    <w:rsid w:val="000A6567"/>
    <w:rsid w:val="000B1456"/>
    <w:rsid w:val="000B4193"/>
    <w:rsid w:val="000B4E4D"/>
    <w:rsid w:val="000C0F73"/>
    <w:rsid w:val="000C10AC"/>
    <w:rsid w:val="000D6132"/>
    <w:rsid w:val="000D69BA"/>
    <w:rsid w:val="000F15D7"/>
    <w:rsid w:val="001014A6"/>
    <w:rsid w:val="00103058"/>
    <w:rsid w:val="00113C9B"/>
    <w:rsid w:val="00136BF2"/>
    <w:rsid w:val="00147776"/>
    <w:rsid w:val="00152EFA"/>
    <w:rsid w:val="0015351F"/>
    <w:rsid w:val="001548F7"/>
    <w:rsid w:val="00156497"/>
    <w:rsid w:val="00157977"/>
    <w:rsid w:val="00162834"/>
    <w:rsid w:val="00164019"/>
    <w:rsid w:val="00165DD0"/>
    <w:rsid w:val="00173FBD"/>
    <w:rsid w:val="00181CE8"/>
    <w:rsid w:val="0018404F"/>
    <w:rsid w:val="001A1C53"/>
    <w:rsid w:val="001B00DC"/>
    <w:rsid w:val="001B5531"/>
    <w:rsid w:val="001D2C9C"/>
    <w:rsid w:val="001D4758"/>
    <w:rsid w:val="001E15C7"/>
    <w:rsid w:val="001E66DA"/>
    <w:rsid w:val="00205341"/>
    <w:rsid w:val="00207374"/>
    <w:rsid w:val="00210228"/>
    <w:rsid w:val="002243FB"/>
    <w:rsid w:val="002349C7"/>
    <w:rsid w:val="002441FA"/>
    <w:rsid w:val="00245D8F"/>
    <w:rsid w:val="00281AE7"/>
    <w:rsid w:val="00283457"/>
    <w:rsid w:val="0028470B"/>
    <w:rsid w:val="002A4F0B"/>
    <w:rsid w:val="002B2540"/>
    <w:rsid w:val="002C22E4"/>
    <w:rsid w:val="002D5730"/>
    <w:rsid w:val="002F277D"/>
    <w:rsid w:val="002F2863"/>
    <w:rsid w:val="002F4604"/>
    <w:rsid w:val="00301BC8"/>
    <w:rsid w:val="00303DA7"/>
    <w:rsid w:val="00307B63"/>
    <w:rsid w:val="0032094C"/>
    <w:rsid w:val="003215EF"/>
    <w:rsid w:val="00324440"/>
    <w:rsid w:val="00325B46"/>
    <w:rsid w:val="00344AF4"/>
    <w:rsid w:val="00346C7B"/>
    <w:rsid w:val="00352391"/>
    <w:rsid w:val="00365442"/>
    <w:rsid w:val="00366399"/>
    <w:rsid w:val="00367E1E"/>
    <w:rsid w:val="0037013B"/>
    <w:rsid w:val="003819A2"/>
    <w:rsid w:val="0038559E"/>
    <w:rsid w:val="003940E9"/>
    <w:rsid w:val="00395BBA"/>
    <w:rsid w:val="003A2F68"/>
    <w:rsid w:val="003A35A5"/>
    <w:rsid w:val="003A3A79"/>
    <w:rsid w:val="003B11CE"/>
    <w:rsid w:val="003B5358"/>
    <w:rsid w:val="003C0043"/>
    <w:rsid w:val="003C0B05"/>
    <w:rsid w:val="003C6EDC"/>
    <w:rsid w:val="003D0CD1"/>
    <w:rsid w:val="003D5C5F"/>
    <w:rsid w:val="003E3617"/>
    <w:rsid w:val="003E71BB"/>
    <w:rsid w:val="004167E4"/>
    <w:rsid w:val="0043217F"/>
    <w:rsid w:val="00454350"/>
    <w:rsid w:val="004545FC"/>
    <w:rsid w:val="00461B9F"/>
    <w:rsid w:val="00476C68"/>
    <w:rsid w:val="00476F01"/>
    <w:rsid w:val="00487561"/>
    <w:rsid w:val="00495F4D"/>
    <w:rsid w:val="004A4804"/>
    <w:rsid w:val="004A57D3"/>
    <w:rsid w:val="004A7150"/>
    <w:rsid w:val="004B098A"/>
    <w:rsid w:val="004C0389"/>
    <w:rsid w:val="004E2538"/>
    <w:rsid w:val="004F4BE9"/>
    <w:rsid w:val="004F6A13"/>
    <w:rsid w:val="00503EF0"/>
    <w:rsid w:val="00510F3B"/>
    <w:rsid w:val="00516FB5"/>
    <w:rsid w:val="00545A9E"/>
    <w:rsid w:val="00551226"/>
    <w:rsid w:val="00555A13"/>
    <w:rsid w:val="00564F2E"/>
    <w:rsid w:val="005665E9"/>
    <w:rsid w:val="005670FA"/>
    <w:rsid w:val="00584E0F"/>
    <w:rsid w:val="005A723E"/>
    <w:rsid w:val="005A752A"/>
    <w:rsid w:val="005B1A84"/>
    <w:rsid w:val="005B324E"/>
    <w:rsid w:val="005B39E2"/>
    <w:rsid w:val="005B6415"/>
    <w:rsid w:val="005C018A"/>
    <w:rsid w:val="005D6887"/>
    <w:rsid w:val="005D6EDF"/>
    <w:rsid w:val="005E6F78"/>
    <w:rsid w:val="005E7058"/>
    <w:rsid w:val="0060454A"/>
    <w:rsid w:val="00605080"/>
    <w:rsid w:val="0060742D"/>
    <w:rsid w:val="00611CF9"/>
    <w:rsid w:val="00621781"/>
    <w:rsid w:val="00624184"/>
    <w:rsid w:val="00625497"/>
    <w:rsid w:val="00630D4E"/>
    <w:rsid w:val="00654CD7"/>
    <w:rsid w:val="006706D7"/>
    <w:rsid w:val="00677E86"/>
    <w:rsid w:val="0068658B"/>
    <w:rsid w:val="006B2D50"/>
    <w:rsid w:val="006B4F81"/>
    <w:rsid w:val="006C1492"/>
    <w:rsid w:val="006C1552"/>
    <w:rsid w:val="006C4C3D"/>
    <w:rsid w:val="006C4D48"/>
    <w:rsid w:val="006C6093"/>
    <w:rsid w:val="006D3D9B"/>
    <w:rsid w:val="006E3231"/>
    <w:rsid w:val="006E48CD"/>
    <w:rsid w:val="006E6B63"/>
    <w:rsid w:val="00702778"/>
    <w:rsid w:val="00707BA9"/>
    <w:rsid w:val="0073105B"/>
    <w:rsid w:val="0073539B"/>
    <w:rsid w:val="00742618"/>
    <w:rsid w:val="007520BD"/>
    <w:rsid w:val="0075462E"/>
    <w:rsid w:val="00764B4A"/>
    <w:rsid w:val="0076712A"/>
    <w:rsid w:val="00770FDE"/>
    <w:rsid w:val="007853EA"/>
    <w:rsid w:val="00794CFA"/>
    <w:rsid w:val="007A04A9"/>
    <w:rsid w:val="007A0B74"/>
    <w:rsid w:val="007B4ECD"/>
    <w:rsid w:val="007C4CE3"/>
    <w:rsid w:val="007C7B69"/>
    <w:rsid w:val="007D02C2"/>
    <w:rsid w:val="007E1EF1"/>
    <w:rsid w:val="007E5207"/>
    <w:rsid w:val="008067B6"/>
    <w:rsid w:val="00806F41"/>
    <w:rsid w:val="00817018"/>
    <w:rsid w:val="00822CE7"/>
    <w:rsid w:val="00831A8C"/>
    <w:rsid w:val="00840AC8"/>
    <w:rsid w:val="008466C9"/>
    <w:rsid w:val="00857806"/>
    <w:rsid w:val="008673AC"/>
    <w:rsid w:val="00871A91"/>
    <w:rsid w:val="00876EA2"/>
    <w:rsid w:val="00880644"/>
    <w:rsid w:val="00884DDE"/>
    <w:rsid w:val="008A1D49"/>
    <w:rsid w:val="008A2C2B"/>
    <w:rsid w:val="008A3282"/>
    <w:rsid w:val="008A7857"/>
    <w:rsid w:val="008B7EFD"/>
    <w:rsid w:val="008C0E26"/>
    <w:rsid w:val="008D097F"/>
    <w:rsid w:val="008D0A02"/>
    <w:rsid w:val="008D1F2C"/>
    <w:rsid w:val="008D3BE4"/>
    <w:rsid w:val="008F4B9F"/>
    <w:rsid w:val="009108AA"/>
    <w:rsid w:val="009161EF"/>
    <w:rsid w:val="00917389"/>
    <w:rsid w:val="00921B92"/>
    <w:rsid w:val="00931694"/>
    <w:rsid w:val="00937866"/>
    <w:rsid w:val="00941875"/>
    <w:rsid w:val="00942599"/>
    <w:rsid w:val="009472C8"/>
    <w:rsid w:val="0095399D"/>
    <w:rsid w:val="00957D74"/>
    <w:rsid w:val="0097635A"/>
    <w:rsid w:val="00981782"/>
    <w:rsid w:val="00982FA0"/>
    <w:rsid w:val="009867C5"/>
    <w:rsid w:val="00993D31"/>
    <w:rsid w:val="00997CF2"/>
    <w:rsid w:val="009A0B54"/>
    <w:rsid w:val="009A620E"/>
    <w:rsid w:val="009A76B2"/>
    <w:rsid w:val="009D3998"/>
    <w:rsid w:val="009D7383"/>
    <w:rsid w:val="009E6303"/>
    <w:rsid w:val="009E697E"/>
    <w:rsid w:val="00A0793A"/>
    <w:rsid w:val="00A135E4"/>
    <w:rsid w:val="00A14F8E"/>
    <w:rsid w:val="00A50233"/>
    <w:rsid w:val="00A71E34"/>
    <w:rsid w:val="00A72CA1"/>
    <w:rsid w:val="00A7709A"/>
    <w:rsid w:val="00A77D5D"/>
    <w:rsid w:val="00A82925"/>
    <w:rsid w:val="00A97241"/>
    <w:rsid w:val="00AA0A69"/>
    <w:rsid w:val="00AB025D"/>
    <w:rsid w:val="00AB23D8"/>
    <w:rsid w:val="00AD5CB9"/>
    <w:rsid w:val="00AE0DBA"/>
    <w:rsid w:val="00AE14E1"/>
    <w:rsid w:val="00AE1FE5"/>
    <w:rsid w:val="00AF2120"/>
    <w:rsid w:val="00AF3715"/>
    <w:rsid w:val="00B162DF"/>
    <w:rsid w:val="00B176C8"/>
    <w:rsid w:val="00B17C9E"/>
    <w:rsid w:val="00B2618B"/>
    <w:rsid w:val="00B328D8"/>
    <w:rsid w:val="00B41D6E"/>
    <w:rsid w:val="00B43560"/>
    <w:rsid w:val="00B43F5F"/>
    <w:rsid w:val="00B51B69"/>
    <w:rsid w:val="00B809AB"/>
    <w:rsid w:val="00B8268F"/>
    <w:rsid w:val="00BA4490"/>
    <w:rsid w:val="00BB3309"/>
    <w:rsid w:val="00BC7E2C"/>
    <w:rsid w:val="00BD2924"/>
    <w:rsid w:val="00BD3AF6"/>
    <w:rsid w:val="00BF3C81"/>
    <w:rsid w:val="00BF5B22"/>
    <w:rsid w:val="00C062BD"/>
    <w:rsid w:val="00C11A81"/>
    <w:rsid w:val="00C1778D"/>
    <w:rsid w:val="00C204BB"/>
    <w:rsid w:val="00C21D3E"/>
    <w:rsid w:val="00C22016"/>
    <w:rsid w:val="00C22129"/>
    <w:rsid w:val="00C40DD4"/>
    <w:rsid w:val="00C425EC"/>
    <w:rsid w:val="00C44F2D"/>
    <w:rsid w:val="00C45F68"/>
    <w:rsid w:val="00C83E18"/>
    <w:rsid w:val="00C95178"/>
    <w:rsid w:val="00CA0C46"/>
    <w:rsid w:val="00CB3DAC"/>
    <w:rsid w:val="00CC2F32"/>
    <w:rsid w:val="00CC6B62"/>
    <w:rsid w:val="00CD20CB"/>
    <w:rsid w:val="00CE279A"/>
    <w:rsid w:val="00CE51A7"/>
    <w:rsid w:val="00CF1123"/>
    <w:rsid w:val="00CF4744"/>
    <w:rsid w:val="00D14317"/>
    <w:rsid w:val="00D20EEA"/>
    <w:rsid w:val="00D22919"/>
    <w:rsid w:val="00D3144D"/>
    <w:rsid w:val="00D31534"/>
    <w:rsid w:val="00D37AB5"/>
    <w:rsid w:val="00D414AD"/>
    <w:rsid w:val="00D55984"/>
    <w:rsid w:val="00D77AB0"/>
    <w:rsid w:val="00D94EEF"/>
    <w:rsid w:val="00DB0441"/>
    <w:rsid w:val="00DB2C07"/>
    <w:rsid w:val="00DB5DEE"/>
    <w:rsid w:val="00DC2374"/>
    <w:rsid w:val="00DC56D9"/>
    <w:rsid w:val="00DC6E1F"/>
    <w:rsid w:val="00DD44D8"/>
    <w:rsid w:val="00DE4ABE"/>
    <w:rsid w:val="00DE66DC"/>
    <w:rsid w:val="00E010A9"/>
    <w:rsid w:val="00E06929"/>
    <w:rsid w:val="00E22953"/>
    <w:rsid w:val="00E261D1"/>
    <w:rsid w:val="00E41491"/>
    <w:rsid w:val="00E43BE3"/>
    <w:rsid w:val="00E44959"/>
    <w:rsid w:val="00E4706F"/>
    <w:rsid w:val="00E61A13"/>
    <w:rsid w:val="00E81CF1"/>
    <w:rsid w:val="00E8641A"/>
    <w:rsid w:val="00E86B55"/>
    <w:rsid w:val="00E92999"/>
    <w:rsid w:val="00EA3A48"/>
    <w:rsid w:val="00EA3CCF"/>
    <w:rsid w:val="00EB1FED"/>
    <w:rsid w:val="00EC2883"/>
    <w:rsid w:val="00EC5ACE"/>
    <w:rsid w:val="00EE36AF"/>
    <w:rsid w:val="00F018EC"/>
    <w:rsid w:val="00F10526"/>
    <w:rsid w:val="00F21053"/>
    <w:rsid w:val="00F404FD"/>
    <w:rsid w:val="00F60AE8"/>
    <w:rsid w:val="00F65714"/>
    <w:rsid w:val="00F703A8"/>
    <w:rsid w:val="00F7356A"/>
    <w:rsid w:val="00F81830"/>
    <w:rsid w:val="00F81DD2"/>
    <w:rsid w:val="00F9198E"/>
    <w:rsid w:val="00F9470A"/>
    <w:rsid w:val="00F95298"/>
    <w:rsid w:val="00FA1ACC"/>
    <w:rsid w:val="00FA6FF2"/>
    <w:rsid w:val="00FB1D46"/>
    <w:rsid w:val="00FC7968"/>
    <w:rsid w:val="00FD216A"/>
    <w:rsid w:val="00FD5E8F"/>
    <w:rsid w:val="00FF3CFB"/>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B1BB"/>
  <w15:chartTrackingRefBased/>
  <w15:docId w15:val="{D770E9DD-D42E-4B35-8FA9-EC899AB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C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6,Style 20,Appel note de bas de p,Style 8,Style 7,Style 3,Style 17,Style 19"/>
    <w:basedOn w:val="DefaultParagraphFont"/>
    <w:uiPriority w:val="99"/>
    <w:rsid w:val="00EC5ACE"/>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EC5ACE"/>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EC5ACE"/>
    <w:rPr>
      <w:rFonts w:ascii="Times New Roman" w:eastAsia="Times New Roman" w:hAnsi="Times New Roman" w:cs="Times New Roman"/>
      <w:sz w:val="20"/>
      <w:szCs w:val="20"/>
    </w:rPr>
  </w:style>
  <w:style w:type="table" w:styleId="TableGrid">
    <w:name w:val="Table Grid"/>
    <w:basedOn w:val="TableNormal"/>
    <w:uiPriority w:val="59"/>
    <w:rsid w:val="00EC5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EC5ACE"/>
    <w:rPr>
      <w:color w:val="0000FF"/>
      <w:u w:val="single"/>
    </w:rPr>
  </w:style>
  <w:style w:type="character" w:styleId="Emphasis">
    <w:name w:val="Emphasis"/>
    <w:basedOn w:val="DefaultParagraphFont"/>
    <w:qFormat/>
    <w:rsid w:val="00EC5ACE"/>
    <w:rPr>
      <w:i/>
      <w:iCs/>
    </w:rPr>
  </w:style>
  <w:style w:type="paragraph" w:styleId="Header">
    <w:name w:val="header"/>
    <w:basedOn w:val="Normal"/>
    <w:link w:val="HeaderChar"/>
    <w:uiPriority w:val="99"/>
    <w:unhideWhenUsed/>
    <w:rsid w:val="00085902"/>
    <w:pPr>
      <w:tabs>
        <w:tab w:val="center" w:pos="4680"/>
        <w:tab w:val="right" w:pos="9360"/>
      </w:tabs>
    </w:pPr>
  </w:style>
  <w:style w:type="character" w:customStyle="1" w:styleId="HeaderChar">
    <w:name w:val="Header Char"/>
    <w:basedOn w:val="DefaultParagraphFont"/>
    <w:link w:val="Header"/>
    <w:uiPriority w:val="99"/>
    <w:rsid w:val="000859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5902"/>
    <w:pPr>
      <w:tabs>
        <w:tab w:val="center" w:pos="4680"/>
        <w:tab w:val="right" w:pos="9360"/>
      </w:tabs>
    </w:pPr>
  </w:style>
  <w:style w:type="character" w:customStyle="1" w:styleId="FooterChar">
    <w:name w:val="Footer Char"/>
    <w:basedOn w:val="DefaultParagraphFont"/>
    <w:link w:val="Footer"/>
    <w:uiPriority w:val="99"/>
    <w:rsid w:val="00085902"/>
    <w:rPr>
      <w:rFonts w:ascii="Times New Roman" w:eastAsia="Times New Roman" w:hAnsi="Times New Roman" w:cs="Times New Roman"/>
      <w:sz w:val="20"/>
      <w:szCs w:val="20"/>
    </w:rPr>
  </w:style>
  <w:style w:type="paragraph" w:styleId="ListParagraph">
    <w:name w:val="List Paragraph"/>
    <w:basedOn w:val="Normal"/>
    <w:uiPriority w:val="34"/>
    <w:qFormat/>
    <w:rsid w:val="0032094C"/>
    <w:pPr>
      <w:ind w:left="720"/>
      <w:contextualSpacing/>
    </w:pPr>
  </w:style>
  <w:style w:type="paragraph" w:styleId="BalloonText">
    <w:name w:val="Balloon Text"/>
    <w:basedOn w:val="Normal"/>
    <w:link w:val="BalloonTextChar"/>
    <w:uiPriority w:val="99"/>
    <w:semiHidden/>
    <w:unhideWhenUsed/>
    <w:rsid w:val="0067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723E"/>
    <w:rPr>
      <w:sz w:val="16"/>
      <w:szCs w:val="16"/>
    </w:rPr>
  </w:style>
  <w:style w:type="paragraph" w:styleId="CommentText">
    <w:name w:val="annotation text"/>
    <w:basedOn w:val="Normal"/>
    <w:link w:val="CommentTextChar"/>
    <w:uiPriority w:val="99"/>
    <w:semiHidden/>
    <w:unhideWhenUsed/>
    <w:rsid w:val="005A723E"/>
  </w:style>
  <w:style w:type="character" w:customStyle="1" w:styleId="CommentTextChar">
    <w:name w:val="Comment Text Char"/>
    <w:basedOn w:val="DefaultParagraphFont"/>
    <w:link w:val="CommentText"/>
    <w:uiPriority w:val="99"/>
    <w:semiHidden/>
    <w:rsid w:val="005A7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23E"/>
    <w:rPr>
      <w:b/>
      <w:bCs/>
    </w:rPr>
  </w:style>
  <w:style w:type="character" w:customStyle="1" w:styleId="CommentSubjectChar">
    <w:name w:val="Comment Subject Char"/>
    <w:basedOn w:val="CommentTextChar"/>
    <w:link w:val="CommentSubject"/>
    <w:uiPriority w:val="99"/>
    <w:semiHidden/>
    <w:rsid w:val="005A72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8015">
      <w:bodyDiv w:val="1"/>
      <w:marLeft w:val="0"/>
      <w:marRight w:val="0"/>
      <w:marTop w:val="0"/>
      <w:marBottom w:val="0"/>
      <w:divBdr>
        <w:top w:val="none" w:sz="0" w:space="0" w:color="auto"/>
        <w:left w:val="none" w:sz="0" w:space="0" w:color="auto"/>
        <w:bottom w:val="none" w:sz="0" w:space="0" w:color="auto"/>
        <w:right w:val="none" w:sz="0" w:space="0" w:color="auto"/>
      </w:divBdr>
    </w:div>
    <w:div w:id="1303655071">
      <w:bodyDiv w:val="1"/>
      <w:marLeft w:val="0"/>
      <w:marRight w:val="0"/>
      <w:marTop w:val="0"/>
      <w:marBottom w:val="0"/>
      <w:divBdr>
        <w:top w:val="none" w:sz="0" w:space="0" w:color="auto"/>
        <w:left w:val="none" w:sz="0" w:space="0" w:color="auto"/>
        <w:bottom w:val="none" w:sz="0" w:space="0" w:color="auto"/>
        <w:right w:val="none" w:sz="0" w:space="0" w:color="auto"/>
      </w:divBdr>
    </w:div>
    <w:div w:id="20360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2BEC-AAD0-475F-9182-193511A0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2</cp:revision>
  <cp:lastPrinted>2018-06-27T18:41:00Z</cp:lastPrinted>
  <dcterms:created xsi:type="dcterms:W3CDTF">2018-06-27T18:41:00Z</dcterms:created>
  <dcterms:modified xsi:type="dcterms:W3CDTF">2018-06-27T18:41:00Z</dcterms:modified>
</cp:coreProperties>
</file>