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65A6318C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3C7B5EE" w14:textId="77777777" w:rsidR="009344D3" w:rsidRDefault="009344D3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53F95CE7" w14:textId="77777777" w:rsidR="00AD6C58" w:rsidRDefault="00AD6C58" w:rsidP="00AD6C58">
      <w:pPr>
        <w:spacing w:line="240" w:lineRule="auto"/>
        <w:rPr>
          <w:szCs w:val="24"/>
        </w:rPr>
      </w:pPr>
      <w:r w:rsidRPr="00A34F0A">
        <w:rPr>
          <w:szCs w:val="24"/>
        </w:rPr>
        <w:t xml:space="preserve">Section 529 Investigation of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06DF6F1" w14:textId="77777777" w:rsidR="00AD6C58" w:rsidRDefault="00AD6C58" w:rsidP="00AD6C58">
      <w:pPr>
        <w:spacing w:line="240" w:lineRule="auto"/>
        <w:rPr>
          <w:szCs w:val="24"/>
        </w:rPr>
      </w:pPr>
      <w:r>
        <w:rPr>
          <w:szCs w:val="24"/>
        </w:rPr>
        <w:t>North Heidelberg Sewer Company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I-2018-3001161</w:t>
      </w:r>
    </w:p>
    <w:p w14:paraId="37B588D1" w14:textId="77777777" w:rsidR="00AB704C" w:rsidRPr="009A52FA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4A4E9916" w14:textId="77777777" w:rsidR="00494C1B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4453AEB1" w14:textId="77777777" w:rsidR="00494C1B" w:rsidRPr="00D66A31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Pr="009344D3" w:rsidRDefault="00AB704C" w:rsidP="009344D3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344D3" w:rsidRDefault="00CC5D98" w:rsidP="009344D3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5D24016D" w14:textId="2224628D" w:rsidR="00CC5D98" w:rsidRPr="009A52FA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8A32C2">
        <w:rPr>
          <w:sz w:val="24"/>
          <w:szCs w:val="24"/>
        </w:rPr>
        <w:t>n Initial 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="00AD6C58">
        <w:rPr>
          <w:sz w:val="24"/>
          <w:szCs w:val="24"/>
        </w:rPr>
        <w:t xml:space="preserve"> </w:t>
      </w:r>
      <w:r w:rsidRPr="009A52FA">
        <w:rPr>
          <w:sz w:val="24"/>
          <w:szCs w:val="24"/>
        </w:rPr>
        <w:t xml:space="preserve">for </w:t>
      </w:r>
      <w:r w:rsidR="0000638E">
        <w:rPr>
          <w:sz w:val="24"/>
          <w:szCs w:val="24"/>
        </w:rPr>
        <w:t>Tu</w:t>
      </w:r>
      <w:r w:rsidR="00AD6C58">
        <w:rPr>
          <w:sz w:val="24"/>
          <w:szCs w:val="24"/>
        </w:rPr>
        <w:t>e</w:t>
      </w:r>
      <w:r w:rsidR="0000638E">
        <w:rPr>
          <w:sz w:val="24"/>
          <w:szCs w:val="24"/>
        </w:rPr>
        <w:t>s</w:t>
      </w:r>
      <w:r w:rsidRPr="002851FD">
        <w:rPr>
          <w:sz w:val="24"/>
          <w:szCs w:val="24"/>
        </w:rPr>
        <w:t xml:space="preserve">day, </w:t>
      </w:r>
      <w:r w:rsidR="00494C1B" w:rsidRPr="002851FD">
        <w:rPr>
          <w:sz w:val="24"/>
          <w:szCs w:val="24"/>
        </w:rPr>
        <w:t>Ju</w:t>
      </w:r>
      <w:r w:rsidR="00AD6C58">
        <w:rPr>
          <w:sz w:val="24"/>
          <w:szCs w:val="24"/>
        </w:rPr>
        <w:t>ly</w:t>
      </w:r>
      <w:r w:rsidR="00494C1B" w:rsidRPr="002851FD">
        <w:rPr>
          <w:sz w:val="24"/>
          <w:szCs w:val="24"/>
        </w:rPr>
        <w:t xml:space="preserve"> </w:t>
      </w:r>
      <w:r w:rsidR="00AD6C58">
        <w:rPr>
          <w:sz w:val="24"/>
          <w:szCs w:val="24"/>
        </w:rPr>
        <w:t>17</w:t>
      </w:r>
      <w:r w:rsidRPr="002851FD">
        <w:rPr>
          <w:sz w:val="24"/>
          <w:szCs w:val="24"/>
        </w:rPr>
        <w:t>, 201</w:t>
      </w:r>
      <w:r w:rsidR="0000638E">
        <w:rPr>
          <w:sz w:val="24"/>
          <w:szCs w:val="24"/>
        </w:rPr>
        <w:t>8</w:t>
      </w:r>
      <w:r w:rsidR="008862E0" w:rsidRPr="002851FD">
        <w:rPr>
          <w:sz w:val="24"/>
          <w:szCs w:val="24"/>
        </w:rPr>
        <w:t xml:space="preserve">, at </w:t>
      </w:r>
      <w:r w:rsidR="00AD6C58">
        <w:rPr>
          <w:sz w:val="24"/>
          <w:szCs w:val="24"/>
        </w:rPr>
        <w:t>10</w:t>
      </w:r>
      <w:r w:rsidR="008862E0" w:rsidRPr="002851FD">
        <w:rPr>
          <w:sz w:val="24"/>
          <w:szCs w:val="24"/>
        </w:rPr>
        <w:t>:00 a.m.</w:t>
      </w:r>
      <w:r w:rsidRPr="002851FD">
        <w:rPr>
          <w:sz w:val="24"/>
          <w:szCs w:val="24"/>
        </w:rPr>
        <w:t xml:space="preserve"> in Hearing Room </w:t>
      </w:r>
      <w:r w:rsidR="0000638E">
        <w:rPr>
          <w:sz w:val="24"/>
          <w:szCs w:val="24"/>
        </w:rPr>
        <w:t>3</w:t>
      </w:r>
      <w:r w:rsidRPr="009A52FA">
        <w:rPr>
          <w:sz w:val="24"/>
          <w:szCs w:val="24"/>
        </w:rPr>
        <w:t xml:space="preserve">, Commonwealth Keystone Building, 400 North Street, Harrisburg, PA. </w:t>
      </w:r>
      <w:r>
        <w:rPr>
          <w:sz w:val="24"/>
          <w:szCs w:val="24"/>
        </w:rPr>
        <w:t xml:space="preserve"> The parties are directed to comply with the following</w:t>
      </w:r>
      <w:r w:rsidR="005F0823">
        <w:rPr>
          <w:sz w:val="24"/>
          <w:szCs w:val="24"/>
        </w:rPr>
        <w:t xml:space="preserve"> directives</w:t>
      </w:r>
      <w:r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4151383A" w14:textId="37EEDE1D" w:rsidR="00AB704C" w:rsidRDefault="00CC5D98" w:rsidP="00CC5D98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AD6C58">
        <w:rPr>
          <w:szCs w:val="24"/>
        </w:rPr>
        <w:t xml:space="preserve">me </w:t>
      </w:r>
      <w:r w:rsidRPr="008A32C2">
        <w:rPr>
          <w:szCs w:val="24"/>
        </w:rPr>
        <w:t>directly</w:t>
      </w:r>
      <w:r w:rsidRPr="009A52FA">
        <w:rPr>
          <w:szCs w:val="24"/>
        </w:rPr>
        <w:t xml:space="preserve"> (electronically at</w:t>
      </w:r>
      <w:r w:rsidR="00A338F4">
        <w:rPr>
          <w:szCs w:val="24"/>
        </w:rPr>
        <w:t xml:space="preserve"> </w:t>
      </w:r>
      <w:hyperlink r:id="rId7" w:history="1">
        <w:r w:rsidR="0000638E" w:rsidRPr="0068069F">
          <w:rPr>
            <w:rStyle w:val="Hyperlink"/>
            <w:szCs w:val="24"/>
          </w:rPr>
          <w:t>sthaas@pa.gov</w:t>
        </w:r>
      </w:hyperlink>
      <w:r w:rsidRPr="009A52FA">
        <w:rPr>
          <w:szCs w:val="24"/>
        </w:rPr>
        <w:t xml:space="preserve"> </w:t>
      </w:r>
      <w:r w:rsidR="0000638E">
        <w:rPr>
          <w:szCs w:val="24"/>
        </w:rPr>
        <w:t xml:space="preserve">and </w:t>
      </w:r>
      <w:r w:rsidRPr="009A52FA">
        <w:rPr>
          <w:szCs w:val="24"/>
        </w:rPr>
        <w:t>by hard copy) with any document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616D1F">
        <w:rPr>
          <w:szCs w:val="24"/>
        </w:rPr>
        <w:t>me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 xml:space="preserve">send a copy to </w:t>
      </w:r>
      <w:r w:rsidRPr="00BF78B0">
        <w:rPr>
          <w:szCs w:val="24"/>
          <w:u w:val="single"/>
        </w:rPr>
        <w:t>all</w:t>
      </w:r>
      <w:r w:rsidRPr="009A52FA">
        <w:rPr>
          <w:szCs w:val="24"/>
        </w:rPr>
        <w:t xml:space="preserve"> other parties in the case.  </w:t>
      </w:r>
      <w:r>
        <w:rPr>
          <w:szCs w:val="24"/>
        </w:rPr>
        <w:t xml:space="preserve">It is not sufficient to file </w:t>
      </w:r>
      <w:r w:rsidR="008862E0">
        <w:rPr>
          <w:szCs w:val="24"/>
        </w:rPr>
        <w:t xml:space="preserve">documents </w:t>
      </w:r>
      <w:r>
        <w:rPr>
          <w:szCs w:val="24"/>
        </w:rPr>
        <w:t xml:space="preserve">with the Secretary’s Bureau and expect </w:t>
      </w:r>
      <w:r w:rsidR="00616D1F">
        <w:rPr>
          <w:szCs w:val="24"/>
        </w:rPr>
        <w:t>me</w:t>
      </w:r>
      <w:r>
        <w:rPr>
          <w:szCs w:val="24"/>
        </w:rPr>
        <w:t xml:space="preserve"> to receive cop</w:t>
      </w:r>
      <w:r w:rsidR="00A338F4">
        <w:rPr>
          <w:szCs w:val="24"/>
        </w:rPr>
        <w:t>ies</w:t>
      </w:r>
      <w:r>
        <w:rPr>
          <w:szCs w:val="24"/>
        </w:rPr>
        <w:t xml:space="preserve"> of your filing.  </w:t>
      </w:r>
      <w:r w:rsidRPr="009A52FA">
        <w:rPr>
          <w:szCs w:val="24"/>
        </w:rPr>
        <w:t>The current service list is attached to thi</w:t>
      </w:r>
      <w:r w:rsidR="00AB704C">
        <w:rPr>
          <w:szCs w:val="24"/>
        </w:rPr>
        <w:t>s</w:t>
      </w:r>
      <w:r w:rsidR="0099194A">
        <w:rPr>
          <w:szCs w:val="24"/>
        </w:rPr>
        <w:t xml:space="preserve"> order.  </w:t>
      </w:r>
      <w:r w:rsidR="00616D1F">
        <w:rPr>
          <w:szCs w:val="24"/>
        </w:rPr>
        <w:t xml:space="preserve">My </w:t>
      </w:r>
      <w:r w:rsidR="0099194A">
        <w:rPr>
          <w:szCs w:val="24"/>
        </w:rPr>
        <w:t>correct address is:</w:t>
      </w:r>
    </w:p>
    <w:p w14:paraId="63E6E155" w14:textId="77777777" w:rsidR="00AB704C" w:rsidRDefault="00AB704C" w:rsidP="00CC5D98">
      <w:pPr>
        <w:adjustRightInd w:val="0"/>
        <w:ind w:firstLine="1440"/>
        <w:rPr>
          <w:szCs w:val="24"/>
        </w:rPr>
      </w:pPr>
    </w:p>
    <w:p w14:paraId="2B5F7909" w14:textId="0A302E2C" w:rsidR="00A338F4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 w:rsidRPr="009A52FA">
        <w:rPr>
          <w:szCs w:val="24"/>
        </w:rPr>
        <w:t>Administrative Law Judge</w:t>
      </w:r>
      <w:r w:rsidR="009A0615">
        <w:rPr>
          <w:szCs w:val="24"/>
        </w:rPr>
        <w:t xml:space="preserve"> Steven K. Haas</w:t>
      </w:r>
    </w:p>
    <w:p w14:paraId="57BE1DE4" w14:textId="77777777" w:rsidR="00A338F4" w:rsidRDefault="00A338F4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Pennsylvania Public Utility Commission</w:t>
      </w:r>
    </w:p>
    <w:p w14:paraId="338DA32C" w14:textId="77777777" w:rsidR="00AB704C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PO Box 3265</w:t>
      </w:r>
    </w:p>
    <w:p w14:paraId="5BB9A5AD" w14:textId="77777777" w:rsidR="00CC5D98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Harrisburg PA  17105-3265</w:t>
      </w:r>
      <w:r w:rsidRPr="009A52FA">
        <w:rPr>
          <w:szCs w:val="24"/>
        </w:rPr>
        <w:t xml:space="preserve">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77777777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pro hac vice, represent you.  However, if you are a partnership, corporation, trust, association, joint venture, other business organization, trust, trustee, legal representative, receiver, agency, governmental entity, municipality or other political subdivision, you </w:t>
      </w:r>
      <w:r w:rsidRPr="00CC5D98">
        <w:rPr>
          <w:i/>
          <w:szCs w:val="24"/>
          <w:u w:val="single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pro hac vice represent you in this proceeding.  Unless you are an </w:t>
      </w:r>
      <w:r w:rsidRPr="00F9074F">
        <w:rPr>
          <w:szCs w:val="24"/>
        </w:rPr>
        <w:lastRenderedPageBreak/>
        <w:t>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5F1AAE70" w:rsidR="00CC5D98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</w:t>
      </w:r>
      <w:r w:rsidR="00616D1F">
        <w:rPr>
          <w:szCs w:val="24"/>
        </w:rPr>
        <w:t>issues relating to</w:t>
      </w:r>
      <w:r w:rsidR="00CC5D98">
        <w:rPr>
          <w:szCs w:val="24"/>
        </w:rPr>
        <w:t xml:space="preserve"> evidentiary hearings,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1DA2ED49" w14:textId="77777777" w:rsidR="00616D1F" w:rsidRPr="00F97AF9" w:rsidRDefault="00616D1F" w:rsidP="00CC5D98">
      <w:pPr>
        <w:tabs>
          <w:tab w:val="left" w:pos="1440"/>
        </w:tabs>
        <w:ind w:firstLine="1440"/>
        <w:rPr>
          <w:szCs w:val="24"/>
        </w:rPr>
      </w:pP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Establishment of the official service list, and an informal e-mail distribution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47CD7F74" w14:textId="760BE93C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</w:t>
      </w:r>
      <w:r w:rsidR="00616D1F">
        <w:rPr>
          <w:szCs w:val="24"/>
        </w:rPr>
        <w:t>s, if any,</w:t>
      </w:r>
      <w:r w:rsidRPr="008040EB">
        <w:rPr>
          <w:szCs w:val="24"/>
        </w:rPr>
        <w:t xml:space="preserve"> </w:t>
      </w:r>
      <w:r w:rsidR="00616D1F">
        <w:rPr>
          <w:szCs w:val="24"/>
        </w:rPr>
        <w:t>to</w:t>
      </w:r>
      <w:r w:rsidRPr="008040EB">
        <w:rPr>
          <w:szCs w:val="24"/>
        </w:rPr>
        <w:t xml:space="preserve">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345FC397" w14:textId="28316B2D" w:rsidR="00CC5D98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Simplification of the issues;</w:t>
      </w:r>
    </w:p>
    <w:p w14:paraId="0AE95D1D" w14:textId="49345621" w:rsidR="009A0615" w:rsidRDefault="009A0615" w:rsidP="009A0615">
      <w:pPr>
        <w:tabs>
          <w:tab w:val="left" w:pos="3240"/>
        </w:tabs>
        <w:spacing w:line="240" w:lineRule="auto"/>
        <w:ind w:right="1440"/>
        <w:rPr>
          <w:szCs w:val="24"/>
        </w:rPr>
      </w:pPr>
    </w:p>
    <w:p w14:paraId="58DF54FD" w14:textId="5F366486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The obtaining of admissions as to, or stipulations of, facts not in dispute, or the authenticity of documents which might properly shorten the hearing;</w:t>
      </w:r>
    </w:p>
    <w:p w14:paraId="05FA60A4" w14:textId="77777777" w:rsidR="009A0615" w:rsidRPr="009A0615" w:rsidRDefault="009A0615" w:rsidP="009A061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Limitations as to the number of witnesses</w:t>
      </w:r>
      <w:r w:rsidR="009A0615">
        <w:rPr>
          <w:szCs w:val="24"/>
        </w:rPr>
        <w:t>;</w:t>
      </w:r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5E644ED2" w14:textId="376EBD92" w:rsidR="00CC5D98" w:rsidRDefault="009A0615" w:rsidP="00616D1F">
      <w:pPr>
        <w:tabs>
          <w:tab w:val="left" w:pos="3240"/>
        </w:tabs>
        <w:spacing w:line="240" w:lineRule="auto"/>
        <w:ind w:left="3240" w:right="1440" w:hanging="45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>Limitations of time and scope for direct and cross-examinations</w:t>
      </w:r>
      <w:r>
        <w:rPr>
          <w:szCs w:val="24"/>
        </w:rPr>
        <w:t>;</w:t>
      </w:r>
    </w:p>
    <w:p w14:paraId="4930AD00" w14:textId="77777777" w:rsidR="0011613A" w:rsidRDefault="0011613A" w:rsidP="004C068C">
      <w:pPr>
        <w:tabs>
          <w:tab w:val="left" w:pos="3240"/>
        </w:tabs>
        <w:ind w:left="2520" w:right="1440" w:firstLine="360"/>
        <w:rPr>
          <w:szCs w:val="24"/>
        </w:rPr>
      </w:pPr>
    </w:p>
    <w:p w14:paraId="6B69A340" w14:textId="5B4ADA7C" w:rsidR="0011613A" w:rsidRDefault="0011613A" w:rsidP="005F0823">
      <w:pPr>
        <w:ind w:firstLine="144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Pr="00616D1F">
        <w:rPr>
          <w:szCs w:val="24"/>
          <w:u w:val="single"/>
        </w:rPr>
        <w:t xml:space="preserve">The </w:t>
      </w:r>
      <w:r w:rsidR="009A0615" w:rsidRPr="00616D1F">
        <w:rPr>
          <w:szCs w:val="24"/>
          <w:u w:val="single"/>
        </w:rPr>
        <w:t>parties are directed to confer prior to the prehearing conference and attempt to develop a mutually-acceptable litigation schedule</w:t>
      </w:r>
      <w:r w:rsidR="00616D1F" w:rsidRPr="00616D1F">
        <w:rPr>
          <w:szCs w:val="24"/>
          <w:u w:val="single"/>
        </w:rPr>
        <w:t xml:space="preserve"> for discussion and adoption at the conference.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39D274B9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5F0823">
        <w:rPr>
          <w:szCs w:val="24"/>
          <w:u w:val="single"/>
        </w:rPr>
        <w:t xml:space="preserve">On or before 12:00 p.m., </w:t>
      </w:r>
      <w:r w:rsidR="00616D1F">
        <w:rPr>
          <w:szCs w:val="24"/>
          <w:u w:val="single"/>
        </w:rPr>
        <w:t>Frida</w:t>
      </w:r>
      <w:r w:rsidR="00A338F4" w:rsidRPr="005F0823">
        <w:rPr>
          <w:szCs w:val="24"/>
          <w:u w:val="single"/>
        </w:rPr>
        <w:t xml:space="preserve">y, </w:t>
      </w:r>
      <w:r w:rsidR="00494C1B" w:rsidRPr="005F0823">
        <w:rPr>
          <w:szCs w:val="24"/>
          <w:u w:val="single"/>
        </w:rPr>
        <w:t>Ju</w:t>
      </w:r>
      <w:r w:rsidR="00616D1F">
        <w:rPr>
          <w:szCs w:val="24"/>
          <w:u w:val="single"/>
        </w:rPr>
        <w:t>ly 13</w:t>
      </w:r>
      <w:r w:rsidR="00A338F4" w:rsidRPr="005F0823">
        <w:rPr>
          <w:szCs w:val="24"/>
          <w:u w:val="single"/>
        </w:rPr>
        <w:t>, 201</w:t>
      </w:r>
      <w:r w:rsidR="009A0615" w:rsidRPr="005F0823">
        <w:rPr>
          <w:szCs w:val="24"/>
          <w:u w:val="single"/>
        </w:rPr>
        <w:t>8</w:t>
      </w:r>
      <w:r w:rsidRPr="009A52FA">
        <w:rPr>
          <w:szCs w:val="24"/>
        </w:rPr>
        <w:t>,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If a party is unable to prepare and serve a prehearing memorandum, it must be prepared to state on the record </w:t>
      </w:r>
      <w:r w:rsidRPr="00DC2051">
        <w:rPr>
          <w:szCs w:val="24"/>
        </w:rPr>
        <w:t>the issues they intend to address and the witnesses to be presented.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CC5D98">
      <w:pPr>
        <w:rPr>
          <w:szCs w:val="24"/>
        </w:rPr>
      </w:pPr>
    </w:p>
    <w:p w14:paraId="50065E76" w14:textId="77777777" w:rsidR="00616D1F" w:rsidRDefault="00616D1F" w:rsidP="00CC5D98">
      <w:pPr>
        <w:rPr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710"/>
        <w:gridCol w:w="4320"/>
      </w:tblGrid>
      <w:tr w:rsidR="00CC5D98" w:rsidRPr="001A0F3B" w14:paraId="6F1142F0" w14:textId="77777777" w:rsidTr="004C068C">
        <w:tc>
          <w:tcPr>
            <w:tcW w:w="1098" w:type="dxa"/>
          </w:tcPr>
          <w:p w14:paraId="226C0B3B" w14:textId="77777777" w:rsidR="00CC5D98" w:rsidRPr="001A0F3B" w:rsidRDefault="00CC5D98" w:rsidP="00ED01D9">
            <w:pPr>
              <w:spacing w:line="240" w:lineRule="auto"/>
            </w:pPr>
            <w:r w:rsidRPr="001A0F3B">
              <w:t>Date:</w:t>
            </w:r>
            <w:r>
              <w:t xml:space="preserve">  </w:t>
            </w:r>
          </w:p>
        </w:tc>
        <w:tc>
          <w:tcPr>
            <w:tcW w:w="2340" w:type="dxa"/>
          </w:tcPr>
          <w:p w14:paraId="25F78F02" w14:textId="43E5521B" w:rsidR="00CC5D98" w:rsidRPr="0021243F" w:rsidRDefault="00616D1F" w:rsidP="00B85B6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June 27,</w:t>
            </w:r>
            <w:r w:rsidR="009B3036">
              <w:rPr>
                <w:u w:val="single"/>
              </w:rPr>
              <w:t xml:space="preserve"> 201</w:t>
            </w:r>
            <w:r w:rsidR="009A0615">
              <w:rPr>
                <w:u w:val="single"/>
              </w:rPr>
              <w:t>8</w:t>
            </w:r>
            <w:r w:rsidR="00CC5D98">
              <w:rPr>
                <w:u w:val="single"/>
              </w:rPr>
              <w:t xml:space="preserve"> </w:t>
            </w:r>
          </w:p>
        </w:tc>
        <w:tc>
          <w:tcPr>
            <w:tcW w:w="1710" w:type="dxa"/>
          </w:tcPr>
          <w:p w14:paraId="2535F886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28BFA62" w14:textId="77777777" w:rsidR="00CC5D98" w:rsidRPr="001A0F3B" w:rsidRDefault="00CC5D98" w:rsidP="00ED01D9">
            <w:pPr>
              <w:spacing w:line="240" w:lineRule="auto"/>
            </w:pPr>
          </w:p>
        </w:tc>
      </w:tr>
      <w:tr w:rsidR="00CC5D98" w:rsidRPr="001A0F3B" w14:paraId="11134DE1" w14:textId="77777777" w:rsidTr="004C068C">
        <w:tc>
          <w:tcPr>
            <w:tcW w:w="1098" w:type="dxa"/>
          </w:tcPr>
          <w:p w14:paraId="0441DA04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2340" w:type="dxa"/>
          </w:tcPr>
          <w:p w14:paraId="6D55836C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1710" w:type="dxa"/>
          </w:tcPr>
          <w:p w14:paraId="049FBA61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320" w:type="dxa"/>
          </w:tcPr>
          <w:p w14:paraId="50153228" w14:textId="77777777" w:rsidR="00A338F4" w:rsidRPr="001A0F3B" w:rsidRDefault="00A338F4" w:rsidP="00ED01D9">
            <w:pPr>
              <w:spacing w:line="240" w:lineRule="auto"/>
              <w:ind w:left="-108"/>
            </w:pPr>
            <w:r>
              <w:t>Steven K. Haas</w:t>
            </w:r>
          </w:p>
          <w:p w14:paraId="5831FF13" w14:textId="0D080119" w:rsidR="00CC5D98" w:rsidRPr="001A0F3B" w:rsidRDefault="00CC5D98" w:rsidP="00616D1F">
            <w:pPr>
              <w:spacing w:line="240" w:lineRule="auto"/>
              <w:ind w:left="-108"/>
            </w:pPr>
            <w:r w:rsidRPr="001A0F3B">
              <w:t>Administrative Law Judge</w:t>
            </w:r>
          </w:p>
        </w:tc>
      </w:tr>
    </w:tbl>
    <w:p w14:paraId="2C9F5947" w14:textId="77777777" w:rsidR="00CC5D98" w:rsidRDefault="00CC5D98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7830B688" w14:textId="77777777" w:rsidR="004C068C" w:rsidRDefault="004C068C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77B30022" w14:textId="77777777" w:rsidR="009344D3" w:rsidRDefault="009344D3" w:rsidP="009B3036">
      <w:pPr>
        <w:spacing w:line="240" w:lineRule="auto"/>
        <w:contextualSpacing/>
        <w:sectPr w:rsidR="009344D3" w:rsidSect="00046BA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BA6253" w14:textId="77777777" w:rsidR="00C320D1" w:rsidRDefault="00C320D1" w:rsidP="00C320D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I-2018-3001161 – INVESTIGATION OF NORTH HEIDELBERG SEWER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  <w:t>Revised 6/26/2018</w:t>
      </w:r>
    </w:p>
    <w:p w14:paraId="305AEEEF" w14:textId="77777777" w:rsidR="00C320D1" w:rsidRDefault="00C320D1" w:rsidP="00C320D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B8D0611" w14:textId="77777777" w:rsidR="00C320D1" w:rsidRDefault="00C320D1" w:rsidP="00C320D1">
      <w:pPr>
        <w:rPr>
          <w:rFonts w:ascii="Microsoft Sans Serif" w:eastAsia="Microsoft Sans Serif" w:hAnsi="Microsoft Sans Serif" w:cs="Microsoft Sans Serif"/>
        </w:rPr>
        <w:sectPr w:rsidR="00C320D1" w:rsidSect="00C320D1">
          <w:pgSz w:w="12240" w:h="15840"/>
          <w:pgMar w:top="1080" w:right="1440" w:bottom="900" w:left="1440" w:header="720" w:footer="720" w:gutter="0"/>
          <w:cols w:space="720"/>
          <w:docGrid w:linePitch="360"/>
        </w:sectPr>
      </w:pPr>
    </w:p>
    <w:p w14:paraId="5C2E7957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SEAN M COOPER ESQUIRE</w:t>
      </w:r>
      <w:r>
        <w:rPr>
          <w:rFonts w:ascii="Microsoft Sans Serif" w:eastAsia="Microsoft Sans Serif" w:hAnsi="Microsoft Sans Serif" w:cs="Microsoft Sans Serif"/>
        </w:rPr>
        <w:cr/>
        <w:t>36 EAST KING STREET</w:t>
      </w:r>
    </w:p>
    <w:p w14:paraId="7DF1DD29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CIPHER BUILDING 3</w:t>
      </w:r>
      <w:r w:rsidRPr="00F24F88">
        <w:rPr>
          <w:rFonts w:ascii="Microsoft Sans Serif" w:eastAsia="Microsoft Sans Serif" w:hAnsi="Microsoft Sans Serif" w:cs="Microsoft Sans Serif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</w:rPr>
        <w:t xml:space="preserve"> FLOOR</w:t>
      </w:r>
    </w:p>
    <w:p w14:paraId="42BE76F0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LANCASTER PA  17602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717.559.5291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>Representing North Heidelberg Sewer Company</w:t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T NIESEN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  <w:t>212 LOCUST STREET STE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717.255.7600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i/>
        </w:rPr>
        <w:br/>
        <w:t>Representing Aqua Pennsylvania, Inc.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ALEXANDER R STAHL ESQUIRE</w:t>
      </w:r>
      <w:r>
        <w:rPr>
          <w:rFonts w:ascii="Microsoft Sans Serif" w:eastAsia="Microsoft Sans Serif" w:hAnsi="Microsoft Sans Serif" w:cs="Microsoft Sans Serif"/>
        </w:rPr>
        <w:cr/>
        <w:t>AQUA PENNSYLVANIA INC</w:t>
      </w:r>
      <w:r>
        <w:rPr>
          <w:rFonts w:ascii="Microsoft Sans Serif" w:eastAsia="Microsoft Sans Serif" w:hAnsi="Microsoft Sans Serif" w:cs="Microsoft Sans Serif"/>
        </w:rPr>
        <w:cr/>
        <w:t>762 WEST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610.645.1130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Aqua Pennsylvania, Inc.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CARRIE B WRIGHT ESQUIRE</w:t>
      </w:r>
      <w:r>
        <w:rPr>
          <w:rFonts w:ascii="Microsoft Sans Serif" w:eastAsia="Microsoft Sans Serif" w:hAnsi="Microsoft Sans Serif" w:cs="Microsoft Sans Serif"/>
        </w:rPr>
        <w:cr/>
        <w:t>PA PUC BIE LEGAL TECHNICAL</w:t>
      </w:r>
      <w:r>
        <w:rPr>
          <w:rFonts w:ascii="Microsoft Sans Serif" w:eastAsia="Microsoft Sans Serif" w:hAnsi="Microsoft Sans Serif" w:cs="Microsoft Sans Serif"/>
        </w:rPr>
        <w:cr/>
        <w:t>400 NORTH STREET 2</w:t>
      </w:r>
      <w:r w:rsidRPr="004B0AE5"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FL WEST</w:t>
      </w:r>
      <w:r>
        <w:rPr>
          <w:rFonts w:ascii="Microsoft Sans Serif" w:eastAsia="Microsoft Sans Serif" w:hAnsi="Microsoft Sans Serif" w:cs="Microsoft Sans Serif"/>
        </w:rPr>
        <w:b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717.783.6156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ELIZABETH R TRISCARI ESQUIRE</w:t>
      </w:r>
      <w:r>
        <w:rPr>
          <w:rFonts w:ascii="Microsoft Sans Serif" w:eastAsia="Microsoft Sans Serif" w:hAnsi="Microsoft Sans Serif" w:cs="Microsoft Sans Serif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</w:rPr>
        <w:cr/>
        <w:t xml:space="preserve">300 NORTH SECOND STREET </w:t>
      </w:r>
    </w:p>
    <w:p w14:paraId="1FE5B792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202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717.783.2525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CHRISTINE M HOOVER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5TH FLOOR FORUM PLACE</w:t>
      </w:r>
      <w:r>
        <w:rPr>
          <w:rFonts w:ascii="Microsoft Sans Serif" w:eastAsia="Microsoft Sans Serif" w:hAnsi="Microsoft Sans Serif" w:cs="Microsoft Sans Serif"/>
        </w:rPr>
        <w:cr/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</w:rPr>
        <w:t>717.783.5048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4AC02279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800 HERSHEYPARK DRIVE</w:t>
      </w:r>
      <w:r>
        <w:rPr>
          <w:rFonts w:ascii="Microsoft Sans Serif" w:eastAsia="Microsoft Sans Serif" w:hAnsi="Microsoft Sans Serif" w:cs="Microsoft Sans Serif"/>
        </w:rPr>
        <w:cr/>
        <w:t>HERSHEY PA  17033</w:t>
      </w:r>
      <w:r>
        <w:rPr>
          <w:rFonts w:ascii="Microsoft Sans Serif" w:eastAsia="Microsoft Sans Serif" w:hAnsi="Microsoft Sans Serif" w:cs="Microsoft Sans Serif"/>
        </w:rPr>
        <w:cr/>
      </w:r>
      <w:r w:rsidRPr="000F5780">
        <w:rPr>
          <w:rFonts w:ascii="Microsoft Sans Serif" w:eastAsia="Microsoft Sans Serif" w:hAnsi="Microsoft Sans Serif" w:cs="Microsoft Sans Serif"/>
          <w:b/>
        </w:rPr>
        <w:t>717.531.3208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47F74BE8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  <w:i/>
        </w:rPr>
      </w:pPr>
      <w:r w:rsidRPr="000F5780">
        <w:rPr>
          <w:rFonts w:ascii="Microsoft Sans Serif" w:eastAsia="Microsoft Sans Serif" w:hAnsi="Microsoft Sans Serif" w:cs="Microsoft Sans Serif"/>
          <w:i/>
        </w:rPr>
        <w:t>Representing</w:t>
      </w:r>
      <w:r>
        <w:rPr>
          <w:rFonts w:ascii="Microsoft Sans Serif" w:eastAsia="Microsoft Sans Serif" w:hAnsi="Microsoft Sans Serif" w:cs="Microsoft Sans Serif"/>
          <w:i/>
        </w:rPr>
        <w:t xml:space="preserve"> Pennsylvania American Water Company</w:t>
      </w:r>
    </w:p>
    <w:p w14:paraId="7527D5D9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  <w:b/>
          <w:i/>
        </w:rPr>
      </w:pPr>
    </w:p>
    <w:p w14:paraId="1443EC7B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JOHN D HOLLENBACH </w:t>
      </w:r>
    </w:p>
    <w:p w14:paraId="0CD3EDE6" w14:textId="77777777" w:rsidR="00C320D1" w:rsidRDefault="00C320D1" w:rsidP="00C320D1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VP AND GENERAL MANAGER</w:t>
      </w:r>
      <w:r>
        <w:rPr>
          <w:rFonts w:ascii="Microsoft Sans Serif" w:eastAsia="Microsoft Sans Serif" w:hAnsi="Microsoft Sans Serif" w:cs="Microsoft Sans Serif"/>
        </w:rPr>
        <w:cr/>
        <w:t>SUEZ WATER PENNSYLVANIA INC</w:t>
      </w:r>
      <w:r>
        <w:rPr>
          <w:rFonts w:ascii="Microsoft Sans Serif" w:eastAsia="Microsoft Sans Serif" w:hAnsi="Microsoft Sans Serif" w:cs="Microsoft Sans Serif"/>
        </w:rPr>
        <w:cr/>
        <w:t>4211 EAST PARK CIRCLE</w:t>
      </w:r>
      <w:r>
        <w:rPr>
          <w:rFonts w:ascii="Microsoft Sans Serif" w:eastAsia="Microsoft Sans Serif" w:hAnsi="Microsoft Sans Serif" w:cs="Microsoft Sans Serif"/>
        </w:rPr>
        <w:cr/>
        <w:t>HARRISBURG PA  17111</w:t>
      </w:r>
      <w:r>
        <w:rPr>
          <w:rFonts w:ascii="Microsoft Sans Serif" w:eastAsia="Microsoft Sans Serif" w:hAnsi="Microsoft Sans Serif" w:cs="Microsoft Sans Serif"/>
        </w:rPr>
        <w:cr/>
      </w:r>
      <w:r w:rsidRPr="000F5780">
        <w:rPr>
          <w:rFonts w:ascii="Microsoft Sans Serif" w:eastAsia="Microsoft Sans Serif" w:hAnsi="Microsoft Sans Serif" w:cs="Microsoft Sans Serif"/>
          <w:b/>
        </w:rPr>
        <w:t>717.901.6321</w:t>
      </w:r>
      <w:r>
        <w:rPr>
          <w:rFonts w:ascii="Microsoft Sans Serif" w:eastAsia="Microsoft Sans Serif" w:hAnsi="Microsoft Sans Serif" w:cs="Microsoft Sans Serif"/>
        </w:rPr>
        <w:c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95A4169" w14:textId="38D84EDA" w:rsidR="00C320D1" w:rsidRDefault="00C320D1" w:rsidP="00C320D1">
      <w:pPr>
        <w:spacing w:line="240" w:lineRule="auto"/>
        <w:ind w:right="-45"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SUEZ Water Pennsylvania Inc.</w:t>
      </w:r>
    </w:p>
    <w:p w14:paraId="5D55DA5C" w14:textId="41A6DB1B" w:rsidR="00C320D1" w:rsidRDefault="00C320D1" w:rsidP="00C320D1">
      <w:pPr>
        <w:spacing w:line="240" w:lineRule="auto"/>
        <w:ind w:right="-45"/>
        <w:rPr>
          <w:rFonts w:ascii="Microsoft Sans Serif" w:eastAsia="Microsoft Sans Serif" w:hAnsi="Microsoft Sans Serif" w:cs="Microsoft Sans Serif"/>
          <w:i/>
        </w:rPr>
      </w:pPr>
    </w:p>
    <w:p w14:paraId="393072ED" w14:textId="4CE0265F" w:rsidR="00C320D1" w:rsidRPr="00C320D1" w:rsidRDefault="00C320D1" w:rsidP="00C320D1">
      <w:pPr>
        <w:spacing w:line="240" w:lineRule="auto"/>
        <w:ind w:right="-45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 GIESLER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C320D1">
        <w:rPr>
          <w:rFonts w:ascii="Microsoft Sans Serif" w:eastAsia="Microsoft Sans Serif" w:hAnsi="Microsoft Sans Serif" w:cs="Microsoft Sans Serif"/>
          <w:b/>
        </w:rPr>
        <w:t>610.921.6658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</w:rPr>
        <w:t>Representing</w:t>
      </w:r>
      <w:r>
        <w:rPr>
          <w:rFonts w:ascii="Microsoft Sans Serif" w:eastAsia="Microsoft Sans Serif" w:hAnsi="Microsoft Sans Serif" w:cs="Microsoft Sans Serif"/>
          <w:i/>
        </w:rPr>
        <w:t xml:space="preserve"> First Energy Service Company</w:t>
      </w:r>
      <w:bookmarkStart w:id="0" w:name="_GoBack"/>
      <w:bookmarkEnd w:id="0"/>
    </w:p>
    <w:p w14:paraId="7FD77304" w14:textId="2653CB82" w:rsidR="00C04960" w:rsidRDefault="00C04960" w:rsidP="009B3036">
      <w:pPr>
        <w:spacing w:line="240" w:lineRule="auto"/>
        <w:contextualSpacing/>
      </w:pPr>
    </w:p>
    <w:sectPr w:rsidR="00C04960" w:rsidSect="00C320D1">
      <w:type w:val="continuous"/>
      <w:pgSz w:w="12240" w:h="15840"/>
      <w:pgMar w:top="360" w:right="135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6B4A" w14:textId="77777777" w:rsidR="003C5EB5" w:rsidRDefault="003C5EB5">
      <w:pPr>
        <w:spacing w:line="240" w:lineRule="auto"/>
      </w:pPr>
      <w:r>
        <w:separator/>
      </w:r>
    </w:p>
  </w:endnote>
  <w:endnote w:type="continuationSeparator" w:id="0">
    <w:p w14:paraId="022DD4C2" w14:textId="77777777" w:rsidR="003C5EB5" w:rsidRDefault="003C5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7E11" w14:textId="77777777" w:rsidR="00C974EA" w:rsidRPr="00C974EA" w:rsidRDefault="00C974EA" w:rsidP="00C9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A13C" w14:textId="77777777" w:rsidR="00C974EA" w:rsidRDefault="00C9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C3B9" w14:textId="77777777" w:rsidR="003C5EB5" w:rsidRDefault="003C5EB5">
      <w:pPr>
        <w:spacing w:line="240" w:lineRule="auto"/>
      </w:pPr>
      <w:r>
        <w:separator/>
      </w:r>
    </w:p>
  </w:footnote>
  <w:footnote w:type="continuationSeparator" w:id="0">
    <w:p w14:paraId="003E1EE3" w14:textId="77777777" w:rsidR="003C5EB5" w:rsidRDefault="003C5E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5EB5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0823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16D1F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3E2D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4D3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6C58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50C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0D1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3FE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haa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2018-06-28T12:44:00Z</cp:lastPrinted>
  <dcterms:created xsi:type="dcterms:W3CDTF">2018-06-28T12:51:00Z</dcterms:created>
  <dcterms:modified xsi:type="dcterms:W3CDTF">2018-06-28T12:51:00Z</dcterms:modified>
</cp:coreProperties>
</file>