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C61B1E7" w14:textId="77777777">
        <w:trPr>
          <w:trHeight w:val="990"/>
        </w:trPr>
        <w:tc>
          <w:tcPr>
            <w:tcW w:w="1363" w:type="dxa"/>
          </w:tcPr>
          <w:p w14:paraId="6EFFC2FD" w14:textId="77777777"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 wp14:anchorId="39B10C4E" wp14:editId="5831D3BE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E85979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BD50A5" w14:textId="77777777" w:rsidR="00FF0A39" w:rsidRDefault="009F16EC" w:rsidP="009F16E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r w:rsidR="00FF0A39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9CBB40A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9F16EC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56C6C543" w14:textId="77777777" w:rsidR="009F16EC" w:rsidRDefault="00FF0A39" w:rsidP="00FF0A3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 </w:t>
            </w:r>
          </w:p>
          <w:p w14:paraId="228A8F2E" w14:textId="3988D323"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A4691A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38A3AA8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9D10C0C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3C82BD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147685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B7BC8FE" w14:textId="77777777"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6DAB939" w14:textId="7A5DDBFB" w:rsidR="00DE3392" w:rsidRDefault="00CA017C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CA017C">
              <w:rPr>
                <w:rFonts w:ascii="Arial" w:hAnsi="Arial"/>
                <w:b/>
                <w:spacing w:val="-1"/>
                <w:sz w:val="16"/>
              </w:rPr>
              <w:t>M-2018-300</w:t>
            </w:r>
            <w:r w:rsidR="00A4691A">
              <w:rPr>
                <w:rFonts w:ascii="Arial" w:hAnsi="Arial"/>
                <w:b/>
                <w:spacing w:val="-1"/>
                <w:sz w:val="16"/>
              </w:rPr>
              <w:t>2976</w:t>
            </w:r>
          </w:p>
          <w:p w14:paraId="2000B0C7" w14:textId="77777777"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558A7970" w14:textId="77777777"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AF2BA32" w14:textId="4DA2485D" w:rsidR="00C53A37" w:rsidRDefault="00F6129F" w:rsidP="00D3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 29, 2018</w:t>
      </w:r>
    </w:p>
    <w:p w14:paraId="4B0074E0" w14:textId="77777777" w:rsidR="00D36FD7" w:rsidRDefault="00D36FD7" w:rsidP="00D36FD7">
      <w:pPr>
        <w:jc w:val="center"/>
        <w:rPr>
          <w:rFonts w:ascii="Arial" w:hAnsi="Arial" w:cs="Arial"/>
          <w:szCs w:val="24"/>
        </w:rPr>
      </w:pPr>
    </w:p>
    <w:p w14:paraId="1CDDCA63" w14:textId="77777777" w:rsidR="00CA017C" w:rsidRDefault="00CA017C" w:rsidP="00C53A37">
      <w:pPr>
        <w:rPr>
          <w:rFonts w:ascii="Arial" w:hAnsi="Arial" w:cs="Arial"/>
          <w:b/>
          <w:szCs w:val="24"/>
        </w:rPr>
      </w:pPr>
    </w:p>
    <w:p w14:paraId="03A9F09D" w14:textId="33BACE17"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MS </w:t>
      </w:r>
      <w:r w:rsidR="00A4691A">
        <w:rPr>
          <w:rFonts w:ascii="Arial" w:hAnsi="Arial" w:cs="Arial"/>
          <w:b/>
          <w:szCs w:val="24"/>
        </w:rPr>
        <w:t>AMY E HIRAKIS</w:t>
      </w:r>
    </w:p>
    <w:p w14:paraId="298076CD" w14:textId="5C7997E8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COUNSEL</w:t>
      </w:r>
    </w:p>
    <w:p w14:paraId="405A600D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6623BACC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03C2096B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45EFF12A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2103A0F1" w14:textId="77777777" w:rsidR="000A7730" w:rsidRPr="004E3A02" w:rsidRDefault="000A7730" w:rsidP="00ED37BB">
      <w:pPr>
        <w:rPr>
          <w:rFonts w:ascii="Arial" w:hAnsi="Arial" w:cs="Arial"/>
          <w:szCs w:val="24"/>
        </w:rPr>
      </w:pPr>
    </w:p>
    <w:p w14:paraId="2341F85F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14:paraId="34E21E8B" w14:textId="023151B0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A4691A">
        <w:rPr>
          <w:rFonts w:ascii="Arial" w:hAnsi="Arial" w:cs="Arial"/>
          <w:b/>
          <w:szCs w:val="24"/>
        </w:rPr>
        <w:t>July</w:t>
      </w:r>
      <w:r w:rsidR="00EB12B1">
        <w:rPr>
          <w:rFonts w:ascii="Arial" w:hAnsi="Arial" w:cs="Arial"/>
          <w:b/>
          <w:szCs w:val="24"/>
        </w:rPr>
        <w:t xml:space="preserve"> 1, 2018</w:t>
      </w:r>
    </w:p>
    <w:p w14:paraId="61BA7FA7" w14:textId="3704672A" w:rsidR="00ED37BB" w:rsidRDefault="00CA017C" w:rsidP="00CA017C">
      <w:pPr>
        <w:ind w:left="360" w:firstLine="360"/>
        <w:rPr>
          <w:rFonts w:ascii="Arial" w:hAnsi="Arial" w:cs="Arial"/>
          <w:b/>
          <w:szCs w:val="24"/>
        </w:rPr>
      </w:pPr>
      <w:r w:rsidRPr="00CA017C">
        <w:rPr>
          <w:rFonts w:ascii="Arial" w:hAnsi="Arial" w:cs="Arial"/>
          <w:b/>
          <w:szCs w:val="24"/>
        </w:rPr>
        <w:t>M-2018-</w:t>
      </w:r>
      <w:r w:rsidR="00A4691A">
        <w:rPr>
          <w:rFonts w:ascii="Arial" w:hAnsi="Arial" w:cs="Arial"/>
          <w:b/>
          <w:szCs w:val="24"/>
        </w:rPr>
        <w:t>3002976</w:t>
      </w:r>
    </w:p>
    <w:p w14:paraId="4AC01C9C" w14:textId="77777777" w:rsidR="00CA017C" w:rsidRPr="004E3A02" w:rsidRDefault="00CA017C" w:rsidP="00ED37BB">
      <w:pPr>
        <w:rPr>
          <w:rFonts w:ascii="Arial" w:hAnsi="Arial" w:cs="Arial"/>
          <w:b/>
          <w:szCs w:val="24"/>
        </w:rPr>
      </w:pPr>
    </w:p>
    <w:p w14:paraId="47165893" w14:textId="593D77F0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proofErr w:type="spellStart"/>
      <w:r w:rsidR="00A4691A">
        <w:rPr>
          <w:rFonts w:ascii="Arial" w:hAnsi="Arial" w:cs="Arial"/>
          <w:szCs w:val="24"/>
        </w:rPr>
        <w:t>Hirakis</w:t>
      </w:r>
      <w:proofErr w:type="spellEnd"/>
      <w:r w:rsidR="00C53A37">
        <w:rPr>
          <w:rFonts w:ascii="Arial" w:hAnsi="Arial" w:cs="Arial"/>
          <w:szCs w:val="24"/>
        </w:rPr>
        <w:t>:</w:t>
      </w:r>
    </w:p>
    <w:p w14:paraId="3F50D95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BADD112" w14:textId="0580E7E9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A4691A">
        <w:rPr>
          <w:rFonts w:ascii="Arial" w:hAnsi="Arial" w:cs="Arial"/>
          <w:szCs w:val="24"/>
        </w:rPr>
        <w:t>54</w:t>
      </w:r>
      <w:r w:rsidR="00EB12B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815E76">
        <w:rPr>
          <w:rFonts w:ascii="Arial" w:hAnsi="Arial" w:cs="Arial"/>
          <w:szCs w:val="24"/>
        </w:rPr>
        <w:t>June</w:t>
      </w:r>
      <w:r w:rsidR="00E35613">
        <w:rPr>
          <w:rFonts w:ascii="Arial" w:hAnsi="Arial" w:cs="Arial"/>
          <w:szCs w:val="24"/>
        </w:rPr>
        <w:t xml:space="preserve"> 2</w:t>
      </w:r>
      <w:r w:rsidR="00815E76">
        <w:rPr>
          <w:rFonts w:ascii="Arial" w:hAnsi="Arial" w:cs="Arial"/>
          <w:szCs w:val="24"/>
        </w:rPr>
        <w:t>2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3E037E">
        <w:rPr>
          <w:rFonts w:ascii="Arial" w:hAnsi="Arial" w:cs="Arial"/>
          <w:szCs w:val="24"/>
        </w:rPr>
        <w:t>8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A4691A">
        <w:rPr>
          <w:rFonts w:ascii="Arial" w:hAnsi="Arial" w:cs="Arial"/>
          <w:szCs w:val="24"/>
        </w:rPr>
        <w:t>July</w:t>
      </w:r>
      <w:r w:rsidR="00EB12B1">
        <w:rPr>
          <w:rFonts w:ascii="Arial" w:hAnsi="Arial" w:cs="Arial"/>
          <w:szCs w:val="24"/>
        </w:rPr>
        <w:t xml:space="preserve"> 1, 2018</w:t>
      </w:r>
      <w:r w:rsidR="00C53A37">
        <w:rPr>
          <w:rFonts w:ascii="Arial" w:hAnsi="Arial" w:cs="Arial"/>
          <w:szCs w:val="24"/>
        </w:rPr>
        <w:t>.</w:t>
      </w:r>
    </w:p>
    <w:p w14:paraId="763A4E71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5E03A04" w14:textId="78062B65"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A4691A">
        <w:rPr>
          <w:rFonts w:ascii="Arial" w:hAnsi="Arial" w:cs="Arial"/>
          <w:szCs w:val="24"/>
        </w:rPr>
        <w:t>July</w:t>
      </w:r>
      <w:r w:rsidR="00EB12B1">
        <w:rPr>
          <w:rFonts w:ascii="Arial" w:hAnsi="Arial" w:cs="Arial"/>
          <w:szCs w:val="24"/>
        </w:rPr>
        <w:t xml:space="preserve"> 1, 2018</w:t>
      </w:r>
      <w:r w:rsidR="00E35613">
        <w:rPr>
          <w:rFonts w:ascii="Arial" w:hAnsi="Arial" w:cs="Arial"/>
          <w:szCs w:val="24"/>
        </w:rPr>
        <w:t xml:space="preserve"> through </w:t>
      </w:r>
      <w:r w:rsidR="00A4691A">
        <w:rPr>
          <w:rFonts w:ascii="Arial" w:hAnsi="Arial" w:cs="Arial"/>
          <w:szCs w:val="24"/>
        </w:rPr>
        <w:t>September</w:t>
      </w:r>
      <w:r w:rsidR="00EB12B1">
        <w:rPr>
          <w:rFonts w:ascii="Arial" w:hAnsi="Arial" w:cs="Arial"/>
          <w:szCs w:val="24"/>
        </w:rPr>
        <w:t xml:space="preserve"> </w:t>
      </w:r>
      <w:r w:rsidR="00CA017C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, </w:t>
      </w:r>
      <w:r w:rsidR="00EB12B1">
        <w:rPr>
          <w:rFonts w:ascii="Arial" w:hAnsi="Arial" w:cs="Arial"/>
          <w:szCs w:val="24"/>
        </w:rPr>
        <w:t xml:space="preserve">2018 </w:t>
      </w:r>
      <w:r>
        <w:rPr>
          <w:rFonts w:ascii="Arial" w:hAnsi="Arial" w:cs="Arial"/>
          <w:szCs w:val="24"/>
        </w:rPr>
        <w:t>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14:paraId="761E73C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94BBE2F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39CBC959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9F81E9E" w14:textId="34B85536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</w:t>
      </w:r>
      <w:r w:rsidR="00CA017C" w:rsidRPr="00CA017C">
        <w:rPr>
          <w:rFonts w:ascii="Arial" w:hAnsi="Arial" w:cs="Arial"/>
          <w:szCs w:val="24"/>
        </w:rPr>
        <w:t>M-2018-3</w:t>
      </w:r>
      <w:r w:rsidR="00A4691A">
        <w:rPr>
          <w:rFonts w:ascii="Arial" w:hAnsi="Arial" w:cs="Arial"/>
          <w:szCs w:val="24"/>
        </w:rPr>
        <w:t>002976</w:t>
      </w:r>
      <w:r w:rsidR="003534E2">
        <w:rPr>
          <w:rFonts w:ascii="Arial" w:hAnsi="Arial" w:cs="Arial"/>
          <w:szCs w:val="24"/>
        </w:rPr>
        <w:t>.</w:t>
      </w:r>
    </w:p>
    <w:p w14:paraId="1EBB719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8014755" w14:textId="180A8EF4" w:rsidR="00EB12B1" w:rsidRDefault="00EB12B1">
      <w:pPr>
        <w:suppressAutoHyphens/>
        <w:ind w:left="4320" w:firstLine="720"/>
        <w:rPr>
          <w:rFonts w:ascii="Arial" w:hAnsi="Arial" w:cs="Arial"/>
          <w:szCs w:val="24"/>
        </w:rPr>
      </w:pPr>
    </w:p>
    <w:p w14:paraId="041A586E" w14:textId="3E7FD22E" w:rsidR="002A0F4E" w:rsidRPr="009A79BE" w:rsidRDefault="00E05832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01BF318E" w14:textId="681AEA13" w:rsidR="00DB03FE" w:rsidRDefault="00F6129F">
      <w:r>
        <w:rPr>
          <w:noProof/>
        </w:rPr>
        <w:drawing>
          <wp:anchor distT="0" distB="0" distL="114300" distR="114300" simplePos="0" relativeHeight="251659264" behindDoc="1" locked="0" layoutInCell="1" allowOverlap="1" wp14:anchorId="5E2120F0" wp14:editId="45A2BD79">
            <wp:simplePos x="0" y="0"/>
            <wp:positionH relativeFrom="column">
              <wp:posOffset>3228975</wp:posOffset>
            </wp:positionH>
            <wp:positionV relativeFrom="paragraph">
              <wp:posOffset>67945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A56CC" w14:textId="2ACEF470" w:rsidR="00D36FD7" w:rsidRDefault="00D36FD7">
      <w:bookmarkStart w:id="0" w:name="_GoBack"/>
      <w:bookmarkEnd w:id="0"/>
    </w:p>
    <w:p w14:paraId="09180E2E" w14:textId="77777777" w:rsidR="00D36FD7" w:rsidRPr="009A79BE" w:rsidRDefault="00D36FD7" w:rsidP="00D36FD7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EDCD3E7" w14:textId="77777777" w:rsidR="00DE3392" w:rsidRDefault="00DE3392"/>
    <w:p w14:paraId="3446E32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E859C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6C7FC80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412E6549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42187CD9" w14:textId="77777777" w:rsidR="00EB12B1" w:rsidRDefault="00EB12B1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407A59F6" w14:textId="61CA6BA1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CA017C">
        <w:rPr>
          <w:rFonts w:ascii="Arial" w:hAnsi="Arial" w:cs="Arial"/>
          <w:szCs w:val="24"/>
        </w:rPr>
        <w:t>Da</w:t>
      </w:r>
      <w:r w:rsidR="00A4691A">
        <w:rPr>
          <w:rFonts w:ascii="Arial" w:hAnsi="Arial" w:cs="Arial"/>
          <w:szCs w:val="24"/>
        </w:rPr>
        <w:t>vid G Kennerly, CPA</w:t>
      </w:r>
    </w:p>
    <w:p w14:paraId="30DA16FF" w14:textId="69BD88F8"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CA017C">
        <w:rPr>
          <w:rFonts w:ascii="Arial" w:hAnsi="Arial" w:cs="Arial"/>
          <w:szCs w:val="24"/>
        </w:rPr>
        <w:t>7</w:t>
      </w:r>
      <w:r w:rsidR="00A4691A">
        <w:rPr>
          <w:rFonts w:ascii="Arial" w:hAnsi="Arial" w:cs="Arial"/>
          <w:szCs w:val="24"/>
        </w:rPr>
        <w:t>83</w:t>
      </w:r>
      <w:r w:rsidR="00CA017C">
        <w:rPr>
          <w:rFonts w:ascii="Arial" w:hAnsi="Arial" w:cs="Arial"/>
          <w:szCs w:val="24"/>
        </w:rPr>
        <w:t>-</w:t>
      </w:r>
      <w:r w:rsidR="00A4691A">
        <w:rPr>
          <w:rFonts w:ascii="Arial" w:hAnsi="Arial" w:cs="Arial"/>
          <w:szCs w:val="24"/>
        </w:rPr>
        <w:t>3971</w:t>
      </w:r>
    </w:p>
    <w:sectPr w:rsidR="008F7950" w:rsidRPr="009A79BE" w:rsidSect="00682799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D7251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37E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82799"/>
    <w:rsid w:val="006C1A9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507B0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5E7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6EC"/>
    <w:rsid w:val="009F1E30"/>
    <w:rsid w:val="00A00A1D"/>
    <w:rsid w:val="00A4691A"/>
    <w:rsid w:val="00A47C9B"/>
    <w:rsid w:val="00A55102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017C"/>
    <w:rsid w:val="00CA26D1"/>
    <w:rsid w:val="00CA79D9"/>
    <w:rsid w:val="00CB7967"/>
    <w:rsid w:val="00CD5BA7"/>
    <w:rsid w:val="00CE4771"/>
    <w:rsid w:val="00D1168D"/>
    <w:rsid w:val="00D36FD7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35613"/>
    <w:rsid w:val="00E423C8"/>
    <w:rsid w:val="00E45B09"/>
    <w:rsid w:val="00E52F0D"/>
    <w:rsid w:val="00E55522"/>
    <w:rsid w:val="00E66BA7"/>
    <w:rsid w:val="00E72A92"/>
    <w:rsid w:val="00E76D38"/>
    <w:rsid w:val="00E9332D"/>
    <w:rsid w:val="00EB12B1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6129F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ABE1B"/>
  <w15:docId w15:val="{8EF89C2B-02D3-4EE8-B916-CF4A53F5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2018-03-27T19:11:00Z</cp:lastPrinted>
  <dcterms:created xsi:type="dcterms:W3CDTF">2018-03-27T19:12:00Z</dcterms:created>
  <dcterms:modified xsi:type="dcterms:W3CDTF">2018-06-29T12:09:00Z</dcterms:modified>
</cp:coreProperties>
</file>