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0218" w14:textId="77777777" w:rsidR="000C34F1" w:rsidRPr="003379D8" w:rsidRDefault="000C34F1" w:rsidP="000C34F1">
      <w:pPr>
        <w:jc w:val="center"/>
        <w:rPr>
          <w:rFonts w:ascii="Times New Roman" w:hAnsi="Times New Roman" w:cs="Times New Roman"/>
          <w:b/>
        </w:rPr>
      </w:pPr>
      <w:r w:rsidRPr="003379D8">
        <w:rPr>
          <w:rFonts w:ascii="Times New Roman" w:hAnsi="Times New Roman" w:cs="Times New Roman"/>
          <w:b/>
        </w:rPr>
        <w:t>BEFORE THE</w:t>
      </w:r>
    </w:p>
    <w:p w14:paraId="70AA1660" w14:textId="77777777" w:rsidR="000C34F1" w:rsidRPr="003379D8" w:rsidRDefault="000C34F1" w:rsidP="000C34F1">
      <w:pPr>
        <w:tabs>
          <w:tab w:val="center" w:pos="4680"/>
        </w:tabs>
        <w:suppressAutoHyphens/>
        <w:jc w:val="center"/>
        <w:rPr>
          <w:rFonts w:ascii="Times New Roman" w:hAnsi="Times New Roman" w:cs="Times New Roman"/>
          <w:b/>
          <w:bCs/>
          <w:spacing w:val="-3"/>
        </w:rPr>
      </w:pPr>
      <w:r w:rsidRPr="003379D8">
        <w:rPr>
          <w:rFonts w:ascii="Times New Roman" w:hAnsi="Times New Roman" w:cs="Times New Roman"/>
          <w:b/>
          <w:bCs/>
          <w:spacing w:val="-3"/>
        </w:rPr>
        <w:t>PENNSYLVANIA PUBLIC UTILITY COMMISSION</w:t>
      </w:r>
    </w:p>
    <w:p w14:paraId="482961E7" w14:textId="77777777" w:rsidR="000C34F1" w:rsidRPr="003379D8" w:rsidRDefault="000C34F1" w:rsidP="000C34F1">
      <w:pPr>
        <w:tabs>
          <w:tab w:val="left" w:pos="-720"/>
        </w:tabs>
        <w:suppressAutoHyphens/>
        <w:jc w:val="center"/>
        <w:rPr>
          <w:rFonts w:ascii="Times New Roman" w:hAnsi="Times New Roman" w:cs="Times New Roman"/>
          <w:spacing w:val="-3"/>
        </w:rPr>
      </w:pPr>
    </w:p>
    <w:p w14:paraId="769DACA9" w14:textId="77777777" w:rsidR="000C34F1" w:rsidRPr="003379D8" w:rsidRDefault="000C34F1" w:rsidP="000C34F1">
      <w:pPr>
        <w:tabs>
          <w:tab w:val="left" w:pos="-720"/>
        </w:tabs>
        <w:suppressAutoHyphens/>
        <w:jc w:val="center"/>
        <w:rPr>
          <w:rFonts w:ascii="Times New Roman" w:hAnsi="Times New Roman" w:cs="Times New Roman"/>
          <w:spacing w:val="-3"/>
        </w:rPr>
      </w:pPr>
    </w:p>
    <w:p w14:paraId="19F5D61E" w14:textId="77777777" w:rsidR="000C34F1" w:rsidRPr="003379D8" w:rsidRDefault="000C34F1" w:rsidP="000C34F1">
      <w:pPr>
        <w:tabs>
          <w:tab w:val="left" w:pos="-720"/>
        </w:tabs>
        <w:suppressAutoHyphens/>
        <w:jc w:val="center"/>
        <w:rPr>
          <w:rFonts w:ascii="Times New Roman" w:hAnsi="Times New Roman" w:cs="Times New Roman"/>
          <w:spacing w:val="-3"/>
        </w:rPr>
      </w:pPr>
    </w:p>
    <w:p w14:paraId="07240728" w14:textId="77777777" w:rsidR="000C34F1" w:rsidRPr="003379D8" w:rsidRDefault="000C34F1" w:rsidP="000C34F1">
      <w:pPr>
        <w:rPr>
          <w:rFonts w:ascii="Times New Roman" w:hAnsi="Times New Roman" w:cs="Times New Roman"/>
        </w:rPr>
      </w:pPr>
      <w:r>
        <w:rPr>
          <w:rFonts w:ascii="Times New Roman" w:hAnsi="Times New Roman" w:cs="Times New Roman"/>
        </w:rPr>
        <w:t>Patrick Black</w:t>
      </w:r>
      <w:r>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Pr>
          <w:rFonts w:ascii="Times New Roman" w:hAnsi="Times New Roman" w:cs="Times New Roman"/>
        </w:rPr>
        <w:tab/>
      </w:r>
      <w:r w:rsidRPr="003379D8">
        <w:rPr>
          <w:rFonts w:ascii="Times New Roman" w:hAnsi="Times New Roman" w:cs="Times New Roman"/>
        </w:rPr>
        <w:t>:</w:t>
      </w:r>
    </w:p>
    <w:p w14:paraId="0C333D3C" w14:textId="77777777" w:rsidR="000C34F1" w:rsidRPr="003379D8" w:rsidRDefault="000C34F1" w:rsidP="000C34F1">
      <w:pPr>
        <w:rPr>
          <w:rFonts w:ascii="Times New Roman" w:hAnsi="Times New Roman" w:cs="Times New Roman"/>
        </w:rPr>
      </w:pP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p>
    <w:p w14:paraId="24C0E703" w14:textId="57AE2450" w:rsidR="000C34F1" w:rsidRPr="003379D8" w:rsidRDefault="000C34F1" w:rsidP="000C34F1">
      <w:pPr>
        <w:ind w:firstLine="720"/>
        <w:rPr>
          <w:rFonts w:ascii="Times New Roman" w:hAnsi="Times New Roman" w:cs="Times New Roman"/>
        </w:rPr>
      </w:pPr>
      <w:r w:rsidRPr="003379D8">
        <w:rPr>
          <w:rFonts w:ascii="Times New Roman" w:hAnsi="Times New Roman" w:cs="Times New Roman"/>
        </w:rPr>
        <w:t>v.</w:t>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r w:rsidRPr="003379D8">
        <w:rPr>
          <w:rFonts w:ascii="Times New Roman" w:hAnsi="Times New Roman" w:cs="Times New Roman"/>
        </w:rPr>
        <w:tab/>
      </w:r>
      <w:r w:rsidRPr="003379D8">
        <w:rPr>
          <w:rFonts w:ascii="Times New Roman" w:hAnsi="Times New Roman" w:cs="Times New Roman"/>
        </w:rPr>
        <w:tab/>
      </w:r>
      <w:bookmarkStart w:id="0" w:name="_GoBack"/>
      <w:r w:rsidRPr="003379D8">
        <w:rPr>
          <w:rFonts w:ascii="Times New Roman" w:hAnsi="Times New Roman" w:cs="Times New Roman"/>
        </w:rPr>
        <w:t>C-2018-</w:t>
      </w:r>
      <w:r>
        <w:rPr>
          <w:rFonts w:ascii="Times New Roman" w:hAnsi="Times New Roman" w:cs="Times New Roman"/>
        </w:rPr>
        <w:t>3000864</w:t>
      </w:r>
      <w:bookmarkEnd w:id="0"/>
    </w:p>
    <w:p w14:paraId="176B2B1E" w14:textId="77777777" w:rsidR="000C34F1" w:rsidRPr="003379D8" w:rsidRDefault="000C34F1" w:rsidP="000C34F1">
      <w:pPr>
        <w:rPr>
          <w:rFonts w:ascii="Times New Roman" w:hAnsi="Times New Roman" w:cs="Times New Roman"/>
        </w:rPr>
      </w:pP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p>
    <w:p w14:paraId="0561ED40" w14:textId="77777777" w:rsidR="000C34F1" w:rsidRPr="003379D8" w:rsidRDefault="000C34F1" w:rsidP="000C34F1">
      <w:pPr>
        <w:rPr>
          <w:rFonts w:ascii="Times New Roman" w:hAnsi="Times New Roman" w:cs="Times New Roman"/>
        </w:rPr>
      </w:pPr>
      <w:r>
        <w:rPr>
          <w:rFonts w:ascii="Times New Roman" w:hAnsi="Times New Roman" w:cs="Times New Roman"/>
        </w:rPr>
        <w:t>Philadelphia Gas Works</w:t>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r>
      <w:r w:rsidRPr="003379D8">
        <w:rPr>
          <w:rFonts w:ascii="Times New Roman" w:hAnsi="Times New Roman" w:cs="Times New Roman"/>
        </w:rPr>
        <w:tab/>
        <w:t>:</w:t>
      </w:r>
    </w:p>
    <w:p w14:paraId="1C27B094" w14:textId="77777777" w:rsidR="000C34F1" w:rsidRPr="003379D8" w:rsidRDefault="000C34F1" w:rsidP="009D5463">
      <w:pPr>
        <w:tabs>
          <w:tab w:val="left" w:pos="-720"/>
          <w:tab w:val="left" w:pos="5040"/>
        </w:tabs>
        <w:suppressAutoHyphens/>
        <w:rPr>
          <w:rFonts w:ascii="Times New Roman" w:hAnsi="Times New Roman" w:cs="Times New Roman"/>
          <w:spacing w:val="-3"/>
        </w:rPr>
      </w:pPr>
    </w:p>
    <w:p w14:paraId="39ADDDE8" w14:textId="77777777" w:rsidR="000C34F1" w:rsidRPr="003379D8" w:rsidRDefault="000C34F1" w:rsidP="009D5463">
      <w:pPr>
        <w:tabs>
          <w:tab w:val="left" w:pos="-720"/>
          <w:tab w:val="left" w:pos="5040"/>
        </w:tabs>
        <w:suppressAutoHyphens/>
        <w:jc w:val="center"/>
        <w:rPr>
          <w:rFonts w:ascii="Times New Roman" w:hAnsi="Times New Roman" w:cs="Times New Roman"/>
          <w:spacing w:val="-3"/>
        </w:rPr>
      </w:pPr>
    </w:p>
    <w:p w14:paraId="53FE23BE" w14:textId="77777777" w:rsidR="009D5463" w:rsidRDefault="009D5463" w:rsidP="0017794A">
      <w:pPr>
        <w:pStyle w:val="Heading1"/>
        <w:spacing w:before="0" w:after="0"/>
        <w:jc w:val="center"/>
        <w:rPr>
          <w:rFonts w:ascii="Times New Roman" w:hAnsi="Times New Roman" w:cs="Times New Roman"/>
          <w:sz w:val="24"/>
          <w:szCs w:val="24"/>
          <w:u w:val="single"/>
        </w:rPr>
      </w:pPr>
    </w:p>
    <w:p w14:paraId="12868414" w14:textId="1A6FF45C" w:rsidR="000C34F1" w:rsidRPr="00EE4439" w:rsidRDefault="000C34F1" w:rsidP="0017794A">
      <w:pPr>
        <w:pStyle w:val="Heading1"/>
        <w:spacing w:before="0" w:after="0"/>
        <w:jc w:val="center"/>
        <w:rPr>
          <w:rFonts w:ascii="Times New Roman" w:hAnsi="Times New Roman" w:cs="Times New Roman"/>
          <w:sz w:val="24"/>
          <w:szCs w:val="24"/>
          <w:u w:val="single"/>
        </w:rPr>
      </w:pPr>
      <w:r w:rsidRPr="00EE4439">
        <w:rPr>
          <w:rFonts w:ascii="Times New Roman" w:hAnsi="Times New Roman" w:cs="Times New Roman"/>
          <w:sz w:val="24"/>
          <w:szCs w:val="24"/>
          <w:u w:val="single"/>
        </w:rPr>
        <w:t xml:space="preserve">ORDER </w:t>
      </w:r>
      <w:r w:rsidR="00D54F35">
        <w:rPr>
          <w:rFonts w:ascii="Times New Roman" w:hAnsi="Times New Roman" w:cs="Times New Roman"/>
          <w:sz w:val="24"/>
          <w:szCs w:val="24"/>
          <w:u w:val="single"/>
        </w:rPr>
        <w:t>GRANTING</w:t>
      </w:r>
      <w:r w:rsidR="00673529">
        <w:rPr>
          <w:rFonts w:ascii="Times New Roman" w:hAnsi="Times New Roman" w:cs="Times New Roman"/>
          <w:sz w:val="24"/>
          <w:szCs w:val="24"/>
          <w:u w:val="single"/>
        </w:rPr>
        <w:t xml:space="preserve"> </w:t>
      </w:r>
      <w:r w:rsidR="00E71E17">
        <w:rPr>
          <w:rFonts w:ascii="Times New Roman" w:hAnsi="Times New Roman" w:cs="Times New Roman"/>
          <w:sz w:val="24"/>
          <w:szCs w:val="24"/>
          <w:u w:val="single"/>
        </w:rPr>
        <w:t xml:space="preserve">SECOND </w:t>
      </w:r>
      <w:r w:rsidR="00673529">
        <w:rPr>
          <w:rFonts w:ascii="Times New Roman" w:hAnsi="Times New Roman" w:cs="Times New Roman"/>
          <w:sz w:val="24"/>
          <w:szCs w:val="24"/>
          <w:u w:val="single"/>
        </w:rPr>
        <w:t xml:space="preserve">CONTINUANCE REQUEST </w:t>
      </w:r>
    </w:p>
    <w:p w14:paraId="4D85B414" w14:textId="4EB3E74E" w:rsidR="000C34F1" w:rsidRDefault="000C34F1" w:rsidP="009D5463">
      <w:pPr>
        <w:pStyle w:val="Default"/>
      </w:pPr>
    </w:p>
    <w:p w14:paraId="66BD77CC" w14:textId="77777777" w:rsidR="009D5463" w:rsidRPr="003379D8" w:rsidRDefault="009D5463" w:rsidP="009D5463">
      <w:pPr>
        <w:pStyle w:val="Default"/>
      </w:pPr>
    </w:p>
    <w:p w14:paraId="3AFFCC3A" w14:textId="2EC483A3" w:rsidR="001D6D1A" w:rsidRPr="000C34F1" w:rsidRDefault="001D6D1A" w:rsidP="0017794A">
      <w:pPr>
        <w:autoSpaceDE/>
        <w:autoSpaceDN/>
        <w:spacing w:line="360" w:lineRule="auto"/>
        <w:ind w:firstLine="1440"/>
        <w:rPr>
          <w:rFonts w:ascii="Times New Roman" w:hAnsi="Times New Roman" w:cs="Times New Roman"/>
          <w:color w:val="000000"/>
        </w:rPr>
      </w:pPr>
      <w:r w:rsidRPr="000C34F1">
        <w:rPr>
          <w:rFonts w:ascii="Times New Roman" w:hAnsi="Times New Roman" w:cs="Times New Roman"/>
          <w:color w:val="000000"/>
        </w:rPr>
        <w:t>On the day of the hearing</w:t>
      </w:r>
      <w:r>
        <w:rPr>
          <w:rFonts w:ascii="Times New Roman" w:hAnsi="Times New Roman" w:cs="Times New Roman"/>
          <w:color w:val="000000"/>
        </w:rPr>
        <w:t xml:space="preserve"> in this matter</w:t>
      </w:r>
      <w:r w:rsidRPr="000C34F1">
        <w:rPr>
          <w:rFonts w:ascii="Times New Roman" w:hAnsi="Times New Roman" w:cs="Times New Roman"/>
          <w:color w:val="000000"/>
        </w:rPr>
        <w:t xml:space="preserve">, June 19, 2018, at approximately 8:46 a.m., </w:t>
      </w:r>
      <w:r w:rsidR="0017794A">
        <w:rPr>
          <w:rFonts w:ascii="Times New Roman" w:hAnsi="Times New Roman" w:cs="Times New Roman"/>
          <w:color w:val="000000"/>
        </w:rPr>
        <w:t>Patrick Black</w:t>
      </w:r>
      <w:r w:rsidRPr="000C34F1">
        <w:rPr>
          <w:rFonts w:ascii="Times New Roman" w:hAnsi="Times New Roman" w:cs="Times New Roman"/>
          <w:color w:val="000000"/>
        </w:rPr>
        <w:t xml:space="preserve"> placed a phone call to the </w:t>
      </w:r>
      <w:r>
        <w:rPr>
          <w:rFonts w:ascii="Times New Roman" w:hAnsi="Times New Roman" w:cs="Times New Roman"/>
          <w:color w:val="000000"/>
        </w:rPr>
        <w:t>Office of Administrative Law Judge (</w:t>
      </w:r>
      <w:r w:rsidRPr="000C34F1">
        <w:rPr>
          <w:rFonts w:ascii="Times New Roman" w:hAnsi="Times New Roman" w:cs="Times New Roman"/>
          <w:color w:val="000000"/>
        </w:rPr>
        <w:t>OALJ</w:t>
      </w:r>
      <w:r>
        <w:rPr>
          <w:rFonts w:ascii="Times New Roman" w:hAnsi="Times New Roman" w:cs="Times New Roman"/>
          <w:color w:val="000000"/>
        </w:rPr>
        <w:t>)</w:t>
      </w:r>
      <w:r w:rsidRPr="000C34F1">
        <w:rPr>
          <w:rFonts w:ascii="Times New Roman" w:hAnsi="Times New Roman" w:cs="Times New Roman"/>
          <w:color w:val="000000"/>
        </w:rPr>
        <w:t xml:space="preserve"> that I will treat as his second request for a continuance in this matter.  This second request for a continuance in this matter will be </w:t>
      </w:r>
      <w:r w:rsidR="00275551">
        <w:rPr>
          <w:rFonts w:ascii="Times New Roman" w:hAnsi="Times New Roman" w:cs="Times New Roman"/>
          <w:color w:val="000000"/>
        </w:rPr>
        <w:t>granted</w:t>
      </w:r>
      <w:r w:rsidR="001D36A5">
        <w:rPr>
          <w:rFonts w:ascii="Times New Roman" w:hAnsi="Times New Roman" w:cs="Times New Roman"/>
          <w:color w:val="000000"/>
        </w:rPr>
        <w:t xml:space="preserve"> </w:t>
      </w:r>
      <w:proofErr w:type="gramStart"/>
      <w:r w:rsidR="001D36A5">
        <w:rPr>
          <w:rFonts w:ascii="Times New Roman" w:hAnsi="Times New Roman" w:cs="Times New Roman"/>
          <w:color w:val="000000"/>
        </w:rPr>
        <w:t>for the reasons that</w:t>
      </w:r>
      <w:proofErr w:type="gramEnd"/>
      <w:r w:rsidR="001D36A5">
        <w:rPr>
          <w:rFonts w:ascii="Times New Roman" w:hAnsi="Times New Roman" w:cs="Times New Roman"/>
          <w:color w:val="000000"/>
        </w:rPr>
        <w:t xml:space="preserve"> will be discussed below.</w:t>
      </w:r>
    </w:p>
    <w:p w14:paraId="141D16C9" w14:textId="77777777" w:rsidR="001D6D1A" w:rsidRDefault="001D6D1A" w:rsidP="0017794A">
      <w:pPr>
        <w:spacing w:line="360" w:lineRule="auto"/>
        <w:ind w:firstLine="1440"/>
        <w:rPr>
          <w:rFonts w:ascii="Times New Roman" w:hAnsi="Times New Roman" w:cs="Times New Roman"/>
        </w:rPr>
      </w:pPr>
    </w:p>
    <w:p w14:paraId="1D5A41AD" w14:textId="387C5030" w:rsidR="000C34F1" w:rsidRPr="00BB4E22" w:rsidRDefault="000C34F1" w:rsidP="0017794A">
      <w:pPr>
        <w:spacing w:line="360" w:lineRule="auto"/>
        <w:ind w:firstLine="1440"/>
        <w:rPr>
          <w:rFonts w:ascii="Times New Roman" w:hAnsi="Times New Roman" w:cs="Times New Roman"/>
        </w:rPr>
      </w:pPr>
      <w:r w:rsidRPr="00BB4E22">
        <w:rPr>
          <w:rFonts w:ascii="Times New Roman" w:hAnsi="Times New Roman" w:cs="Times New Roman"/>
        </w:rPr>
        <w:t xml:space="preserve">On March 28, 2018, Patrick Black </w:t>
      </w:r>
      <w:r>
        <w:rPr>
          <w:rFonts w:ascii="Times New Roman" w:hAnsi="Times New Roman" w:cs="Times New Roman"/>
        </w:rPr>
        <w:t xml:space="preserve">(Complainant or Mr. Black) </w:t>
      </w:r>
      <w:r w:rsidRPr="00BB4E22">
        <w:rPr>
          <w:rFonts w:ascii="Times New Roman" w:hAnsi="Times New Roman" w:cs="Times New Roman"/>
        </w:rPr>
        <w:t xml:space="preserve">filed a Complaint </w:t>
      </w:r>
      <w:r>
        <w:rPr>
          <w:rFonts w:ascii="Times New Roman" w:hAnsi="Times New Roman" w:cs="Times New Roman"/>
        </w:rPr>
        <w:t xml:space="preserve">with the Pennsylvania Public Utility Commission (Commission) </w:t>
      </w:r>
      <w:r w:rsidRPr="00BB4E22">
        <w:rPr>
          <w:rFonts w:ascii="Times New Roman" w:hAnsi="Times New Roman" w:cs="Times New Roman"/>
        </w:rPr>
        <w:t>against Philadelphia Gas Works (</w:t>
      </w:r>
      <w:r>
        <w:rPr>
          <w:rFonts w:ascii="Times New Roman" w:hAnsi="Times New Roman" w:cs="Times New Roman"/>
        </w:rPr>
        <w:t xml:space="preserve">Respondent or </w:t>
      </w:r>
      <w:r w:rsidRPr="00BB4E22">
        <w:rPr>
          <w:rFonts w:ascii="Times New Roman" w:hAnsi="Times New Roman" w:cs="Times New Roman"/>
        </w:rPr>
        <w:t>PGW)</w:t>
      </w:r>
      <w:r w:rsidRPr="00BB4E22">
        <w:rPr>
          <w:rFonts w:ascii="Times New Roman" w:hAnsi="Times New Roman" w:cs="Times New Roman"/>
          <w:color w:val="000000"/>
        </w:rPr>
        <w:t>.  In his</w:t>
      </w:r>
      <w:r w:rsidRPr="00BB4E22">
        <w:rPr>
          <w:rFonts w:ascii="Times New Roman" w:hAnsi="Times New Roman" w:cs="Times New Roman"/>
        </w:rPr>
        <w:t xml:space="preserve"> Complaint, Mr. Black stated that PGW was threatening to shut off or has shut off his service and requested a payment arrangement.</w:t>
      </w:r>
    </w:p>
    <w:p w14:paraId="2A965E98" w14:textId="77777777" w:rsidR="000C34F1" w:rsidRDefault="000C34F1" w:rsidP="0017794A">
      <w:pPr>
        <w:pStyle w:val="Default"/>
        <w:spacing w:line="360" w:lineRule="auto"/>
        <w:ind w:firstLine="1440"/>
      </w:pPr>
    </w:p>
    <w:p w14:paraId="65B7B167" w14:textId="2236A5B8" w:rsidR="000C34F1" w:rsidRDefault="000C34F1" w:rsidP="0017794A">
      <w:pPr>
        <w:spacing w:line="360" w:lineRule="auto"/>
        <w:ind w:firstLine="1440"/>
        <w:rPr>
          <w:rFonts w:ascii="Times New Roman" w:hAnsi="Times New Roman" w:cs="Times New Roman"/>
        </w:rPr>
      </w:pPr>
      <w:r w:rsidRPr="00BB4E22">
        <w:rPr>
          <w:rFonts w:ascii="Times New Roman" w:hAnsi="Times New Roman" w:cs="Times New Roman"/>
        </w:rPr>
        <w:t xml:space="preserve">On April 23, 2018, </w:t>
      </w:r>
      <w:r>
        <w:rPr>
          <w:rFonts w:ascii="Times New Roman" w:hAnsi="Times New Roman" w:cs="Times New Roman"/>
        </w:rPr>
        <w:t>the Respondent</w:t>
      </w:r>
      <w:r w:rsidRPr="00BB4E22">
        <w:rPr>
          <w:rFonts w:ascii="Times New Roman" w:hAnsi="Times New Roman" w:cs="Times New Roman"/>
        </w:rPr>
        <w:t xml:space="preserve"> filed an answer to the Complaint.</w:t>
      </w:r>
      <w:r>
        <w:rPr>
          <w:rFonts w:ascii="Times New Roman" w:hAnsi="Times New Roman" w:cs="Times New Roman"/>
        </w:rPr>
        <w:t xml:space="preserve">  Respondent</w:t>
      </w:r>
      <w:r w:rsidRPr="00BB4E22">
        <w:rPr>
          <w:rFonts w:ascii="Times New Roman" w:hAnsi="Times New Roman" w:cs="Times New Roman"/>
        </w:rPr>
        <w:t xml:space="preserve"> admitted to threatening to terminate service at the service address due to Mr. Black’s alleged nonpayment of his past-due balance.  </w:t>
      </w:r>
      <w:r>
        <w:rPr>
          <w:rFonts w:ascii="Times New Roman" w:hAnsi="Times New Roman" w:cs="Times New Roman"/>
        </w:rPr>
        <w:t>The Respondent</w:t>
      </w:r>
      <w:r w:rsidRPr="00BB4E22">
        <w:rPr>
          <w:rFonts w:ascii="Times New Roman" w:hAnsi="Times New Roman" w:cs="Times New Roman"/>
        </w:rPr>
        <w:t xml:space="preserve"> requested that the Commission find against the Complainant and dismiss the Complaint.</w:t>
      </w:r>
    </w:p>
    <w:p w14:paraId="25805704" w14:textId="4796FFC2" w:rsidR="00072CF4" w:rsidRDefault="00072CF4" w:rsidP="0017794A">
      <w:pPr>
        <w:spacing w:line="360" w:lineRule="auto"/>
        <w:ind w:firstLine="1440"/>
        <w:rPr>
          <w:rFonts w:ascii="Times New Roman" w:hAnsi="Times New Roman" w:cs="Times New Roman"/>
        </w:rPr>
      </w:pPr>
    </w:p>
    <w:p w14:paraId="6FCA3B94" w14:textId="662CF7B9" w:rsidR="000C34F1" w:rsidRPr="00155EE3" w:rsidRDefault="00072CF4" w:rsidP="0017794A">
      <w:pPr>
        <w:autoSpaceDE/>
        <w:autoSpaceDN/>
        <w:spacing w:line="360" w:lineRule="auto"/>
        <w:ind w:firstLine="1440"/>
        <w:rPr>
          <w:rFonts w:ascii="Times New Roman" w:hAnsi="Times New Roman" w:cs="Times New Roman"/>
          <w:color w:val="000000"/>
        </w:rPr>
      </w:pPr>
      <w:r>
        <w:rPr>
          <w:rFonts w:ascii="Times New Roman" w:hAnsi="Times New Roman" w:cs="Times New Roman"/>
        </w:rPr>
        <w:t>An initial telephonic hearing for this matter was scheduled for May 30, 2018</w:t>
      </w:r>
      <w:r w:rsidR="00BB39C3">
        <w:rPr>
          <w:rFonts w:ascii="Times New Roman" w:hAnsi="Times New Roman" w:cs="Times New Roman"/>
        </w:rPr>
        <w:t>,</w:t>
      </w:r>
      <w:r w:rsidR="00155EE3">
        <w:rPr>
          <w:rFonts w:ascii="Times New Roman" w:hAnsi="Times New Roman" w:cs="Times New Roman"/>
        </w:rPr>
        <w:t xml:space="preserve"> at 10:00 a.m</w:t>
      </w:r>
      <w:r>
        <w:rPr>
          <w:rFonts w:ascii="Times New Roman" w:hAnsi="Times New Roman" w:cs="Times New Roman"/>
        </w:rPr>
        <w:t xml:space="preserve">.  </w:t>
      </w:r>
      <w:r w:rsidR="000C34F1" w:rsidRPr="00BB4E22">
        <w:rPr>
          <w:rFonts w:ascii="Times New Roman" w:hAnsi="Times New Roman" w:cs="Times New Roman"/>
        </w:rPr>
        <w:t>By letter sent through the U.S. mail, Mr. Black made a request for continuance of the May 30, 2018</w:t>
      </w:r>
      <w:r w:rsidR="00BB39C3">
        <w:rPr>
          <w:rFonts w:ascii="Times New Roman" w:hAnsi="Times New Roman" w:cs="Times New Roman"/>
        </w:rPr>
        <w:t>,</w:t>
      </w:r>
      <w:r w:rsidR="000C34F1" w:rsidRPr="00BB4E22">
        <w:rPr>
          <w:rFonts w:ascii="Times New Roman" w:hAnsi="Times New Roman" w:cs="Times New Roman"/>
        </w:rPr>
        <w:t xml:space="preserve"> hearing.  </w:t>
      </w:r>
      <w:r w:rsidR="00BB39C3">
        <w:rPr>
          <w:rFonts w:ascii="Times New Roman" w:hAnsi="Times New Roman" w:cs="Times New Roman"/>
        </w:rPr>
        <w:t xml:space="preserve">The letter was received by the OALJ on May 24, 2018.  </w:t>
      </w:r>
      <w:r w:rsidR="00155EE3" w:rsidRPr="000C34F1">
        <w:rPr>
          <w:rFonts w:ascii="Times New Roman" w:hAnsi="Times New Roman" w:cs="Times New Roman"/>
          <w:color w:val="000000"/>
        </w:rPr>
        <w:t>Mr. Black requested a continuance because he claimed that he had a job interview scheduled for 11:00 a.m. the day of the hearing that he could not reschedule</w:t>
      </w:r>
      <w:r w:rsidR="000C34F1" w:rsidRPr="00BB4E22">
        <w:rPr>
          <w:rFonts w:ascii="Times New Roman" w:hAnsi="Times New Roman" w:cs="Times New Roman"/>
        </w:rPr>
        <w:t xml:space="preserve">.  PGW objected to the request for </w:t>
      </w:r>
      <w:r w:rsidR="000C34F1" w:rsidRPr="00BB4E22">
        <w:rPr>
          <w:rFonts w:ascii="Times New Roman" w:hAnsi="Times New Roman" w:cs="Times New Roman"/>
        </w:rPr>
        <w:lastRenderedPageBreak/>
        <w:t xml:space="preserve">continuance, alleging that Mr. Black </w:t>
      </w:r>
      <w:r w:rsidR="00E42653">
        <w:rPr>
          <w:rFonts w:ascii="Times New Roman" w:hAnsi="Times New Roman" w:cs="Times New Roman"/>
        </w:rPr>
        <w:t>has abused, and continues to abuse,</w:t>
      </w:r>
      <w:r w:rsidR="00155EE3">
        <w:rPr>
          <w:rFonts w:ascii="Times New Roman" w:hAnsi="Times New Roman" w:cs="Times New Roman"/>
        </w:rPr>
        <w:t xml:space="preserve"> </w:t>
      </w:r>
      <w:r w:rsidR="000C34F1" w:rsidRPr="00BB4E22">
        <w:rPr>
          <w:rFonts w:ascii="Times New Roman" w:hAnsi="Times New Roman" w:cs="Times New Roman"/>
        </w:rPr>
        <w:t>the Commission’s administrative processes to avoid termination of his gas service</w:t>
      </w:r>
      <w:r w:rsidR="000C34F1">
        <w:rPr>
          <w:rFonts w:ascii="Times New Roman" w:hAnsi="Times New Roman" w:cs="Times New Roman"/>
        </w:rPr>
        <w:t>.</w:t>
      </w:r>
      <w:r w:rsidR="00155EE3">
        <w:rPr>
          <w:rFonts w:ascii="Times New Roman" w:hAnsi="Times New Roman" w:cs="Times New Roman"/>
        </w:rPr>
        <w:t xml:space="preserve">  </w:t>
      </w:r>
      <w:r w:rsidR="00155EE3" w:rsidRPr="000C34F1">
        <w:rPr>
          <w:rFonts w:ascii="Times New Roman" w:hAnsi="Times New Roman" w:cs="Times New Roman"/>
          <w:color w:val="000000"/>
        </w:rPr>
        <w:t xml:space="preserve">I deemed having a job interview scheduled around the same time as the hearing to be a “good cause” to continue the hearing date and granted the continuance request over the objections of PGW.  </w:t>
      </w:r>
    </w:p>
    <w:p w14:paraId="3C5C989F" w14:textId="77777777" w:rsidR="000C34F1" w:rsidRPr="00BB4E22" w:rsidRDefault="000C34F1" w:rsidP="000C34F1">
      <w:pPr>
        <w:autoSpaceDE/>
        <w:autoSpaceDN/>
        <w:spacing w:after="160" w:line="259" w:lineRule="auto"/>
        <w:rPr>
          <w:rFonts w:ascii="Times New Roman" w:hAnsi="Times New Roman" w:cs="Times New Roman"/>
        </w:rPr>
      </w:pPr>
    </w:p>
    <w:p w14:paraId="4757EF57" w14:textId="0D5BA948" w:rsidR="000C34F1" w:rsidRPr="00BB4E22" w:rsidRDefault="000C34F1" w:rsidP="000C34F1">
      <w:pPr>
        <w:autoSpaceDE/>
        <w:autoSpaceDN/>
        <w:spacing w:line="360" w:lineRule="auto"/>
        <w:ind w:firstLine="1440"/>
        <w:rPr>
          <w:rFonts w:ascii="Times New Roman" w:hAnsi="Times New Roman" w:cs="Times New Roman"/>
        </w:rPr>
      </w:pPr>
      <w:r w:rsidRPr="00BB4E22">
        <w:rPr>
          <w:rFonts w:ascii="Times New Roman" w:hAnsi="Times New Roman" w:cs="Times New Roman"/>
        </w:rPr>
        <w:t>The request for continuance was granted by an Order issued May 30, 2018.</w:t>
      </w:r>
      <w:r w:rsidR="00072CF4">
        <w:rPr>
          <w:rFonts w:ascii="Times New Roman" w:hAnsi="Times New Roman" w:cs="Times New Roman"/>
        </w:rPr>
        <w:t xml:space="preserve">  </w:t>
      </w:r>
      <w:r w:rsidRPr="00BB4E22">
        <w:rPr>
          <w:rFonts w:ascii="Times New Roman" w:hAnsi="Times New Roman" w:cs="Times New Roman"/>
        </w:rPr>
        <w:t xml:space="preserve">I noted in the Order that no further continuances on Mr. Black’s </w:t>
      </w:r>
      <w:r>
        <w:rPr>
          <w:rFonts w:ascii="Times New Roman" w:hAnsi="Times New Roman" w:cs="Times New Roman"/>
        </w:rPr>
        <w:t>behalf</w:t>
      </w:r>
      <w:r w:rsidRPr="00BB4E22">
        <w:rPr>
          <w:rFonts w:ascii="Times New Roman" w:hAnsi="Times New Roman" w:cs="Times New Roman"/>
        </w:rPr>
        <w:t xml:space="preserve"> will be granted absent exigent circumstances.</w:t>
      </w:r>
    </w:p>
    <w:p w14:paraId="1385C5CF" w14:textId="77777777" w:rsidR="000C34F1" w:rsidRPr="00BB4E22" w:rsidRDefault="000C34F1" w:rsidP="000C34F1">
      <w:pPr>
        <w:autoSpaceDE/>
        <w:autoSpaceDN/>
        <w:spacing w:after="160" w:line="259" w:lineRule="auto"/>
        <w:ind w:firstLine="1440"/>
        <w:rPr>
          <w:rFonts w:ascii="Times New Roman" w:hAnsi="Times New Roman" w:cs="Times New Roman"/>
        </w:rPr>
      </w:pPr>
    </w:p>
    <w:p w14:paraId="0E024A94" w14:textId="5A487998" w:rsidR="000C34F1" w:rsidRDefault="000C34F1" w:rsidP="000C34F1">
      <w:pPr>
        <w:autoSpaceDE/>
        <w:autoSpaceDN/>
        <w:spacing w:line="360" w:lineRule="auto"/>
        <w:ind w:firstLine="1440"/>
        <w:rPr>
          <w:rFonts w:ascii="Times New Roman" w:hAnsi="Times New Roman" w:cs="Times New Roman"/>
        </w:rPr>
      </w:pPr>
      <w:r w:rsidRPr="00BB4E22">
        <w:rPr>
          <w:rFonts w:ascii="Times New Roman" w:hAnsi="Times New Roman" w:cs="Times New Roman"/>
        </w:rPr>
        <w:t xml:space="preserve">By Hearing Notice, </w:t>
      </w:r>
      <w:r>
        <w:rPr>
          <w:rFonts w:ascii="Times New Roman" w:hAnsi="Times New Roman" w:cs="Times New Roman"/>
        </w:rPr>
        <w:t>served upon the parties on</w:t>
      </w:r>
      <w:r w:rsidRPr="00BB4E22">
        <w:rPr>
          <w:rFonts w:ascii="Times New Roman" w:hAnsi="Times New Roman" w:cs="Times New Roman"/>
        </w:rPr>
        <w:t xml:space="preserve"> May 30, 2018, the May 30, 2018 hearing was cancelled and rescheduled to June 19, 2018</w:t>
      </w:r>
      <w:r w:rsidR="0017794A">
        <w:rPr>
          <w:rFonts w:ascii="Times New Roman" w:hAnsi="Times New Roman" w:cs="Times New Roman"/>
        </w:rPr>
        <w:t>,</w:t>
      </w:r>
      <w:r w:rsidRPr="00BB4E22">
        <w:rPr>
          <w:rFonts w:ascii="Times New Roman" w:hAnsi="Times New Roman" w:cs="Times New Roman"/>
        </w:rPr>
        <w:t xml:space="preserve"> at 10:00 a.m.  </w:t>
      </w:r>
    </w:p>
    <w:p w14:paraId="08F3C1F9" w14:textId="77777777" w:rsidR="000C34F1" w:rsidRDefault="000C34F1" w:rsidP="000C34F1">
      <w:pPr>
        <w:autoSpaceDE/>
        <w:autoSpaceDN/>
        <w:spacing w:line="360" w:lineRule="auto"/>
        <w:ind w:firstLine="1440"/>
        <w:rPr>
          <w:rFonts w:ascii="Times New Roman" w:hAnsi="Times New Roman" w:cs="Times New Roman"/>
        </w:rPr>
      </w:pPr>
    </w:p>
    <w:p w14:paraId="0A651566" w14:textId="01841CC9" w:rsidR="000C34F1" w:rsidRPr="00BB39C3" w:rsidRDefault="000C34F1" w:rsidP="00BB39C3">
      <w:pPr>
        <w:pStyle w:val="ParaTab1"/>
        <w:spacing w:line="360" w:lineRule="auto"/>
        <w:rPr>
          <w:rFonts w:ascii="Times New Roman" w:hAnsi="Times New Roman" w:cs="Times New Roman"/>
          <w:color w:val="000000" w:themeColor="text1"/>
        </w:rPr>
      </w:pPr>
      <w:r w:rsidRPr="00BB4E22">
        <w:rPr>
          <w:rFonts w:ascii="Times New Roman" w:hAnsi="Times New Roman" w:cs="Times New Roman"/>
        </w:rPr>
        <w:t xml:space="preserve">A Second Prehearing Order was </w:t>
      </w:r>
      <w:r>
        <w:rPr>
          <w:rFonts w:ascii="Times New Roman" w:hAnsi="Times New Roman" w:cs="Times New Roman"/>
        </w:rPr>
        <w:t xml:space="preserve">served upon the parties </w:t>
      </w:r>
      <w:r w:rsidRPr="00BB4E22">
        <w:rPr>
          <w:rFonts w:ascii="Times New Roman" w:hAnsi="Times New Roman" w:cs="Times New Roman"/>
        </w:rPr>
        <w:t>on June 1, 2018</w:t>
      </w:r>
      <w:r w:rsidR="00BB39C3">
        <w:rPr>
          <w:rFonts w:ascii="Times New Roman" w:hAnsi="Times New Roman" w:cs="Times New Roman"/>
        </w:rPr>
        <w:t xml:space="preserve">, </w:t>
      </w:r>
      <w:r w:rsidR="00BB39C3" w:rsidRPr="003379D8">
        <w:rPr>
          <w:rFonts w:ascii="Times New Roman" w:hAnsi="Times New Roman" w:cs="Times New Roman"/>
          <w:color w:val="000000" w:themeColor="text1"/>
        </w:rPr>
        <w:t xml:space="preserve">addressing, </w:t>
      </w:r>
      <w:r w:rsidR="00BB39C3" w:rsidRPr="003379D8">
        <w:rPr>
          <w:rFonts w:ascii="Times New Roman" w:hAnsi="Times New Roman" w:cs="Times New Roman"/>
          <w:color w:val="000000" w:themeColor="text1"/>
          <w:u w:val="single"/>
        </w:rPr>
        <w:t>inter alia</w:t>
      </w:r>
      <w:r w:rsidR="00BB39C3" w:rsidRPr="003379D8">
        <w:rPr>
          <w:rFonts w:ascii="Times New Roman" w:hAnsi="Times New Roman" w:cs="Times New Roman"/>
          <w:color w:val="000000" w:themeColor="text1"/>
        </w:rPr>
        <w:t xml:space="preserve">, the method by which the parties could call-in to participate in the hearing, the procedures applicable to the hearing, </w:t>
      </w:r>
      <w:r w:rsidR="00BB39C3">
        <w:rPr>
          <w:rFonts w:ascii="Times New Roman" w:hAnsi="Times New Roman" w:cs="Times New Roman"/>
          <w:color w:val="000000" w:themeColor="text1"/>
        </w:rPr>
        <w:t>and the method by which a party could request a change of the scheduled hearing date if the date was not convenient for them</w:t>
      </w:r>
      <w:r w:rsidR="00BB39C3" w:rsidRPr="003379D8">
        <w:rPr>
          <w:rFonts w:ascii="Times New Roman" w:hAnsi="Times New Roman" w:cs="Times New Roman"/>
          <w:color w:val="000000" w:themeColor="text1"/>
        </w:rPr>
        <w:t>.</w:t>
      </w:r>
    </w:p>
    <w:p w14:paraId="62F29669" w14:textId="376AEEC9" w:rsidR="000C34F1" w:rsidRDefault="000C34F1" w:rsidP="000C34F1">
      <w:pPr>
        <w:autoSpaceDE/>
        <w:autoSpaceDN/>
        <w:spacing w:line="360" w:lineRule="auto"/>
        <w:ind w:firstLine="1440"/>
        <w:rPr>
          <w:rFonts w:ascii="Times New Roman" w:hAnsi="Times New Roman" w:cs="Times New Roman"/>
        </w:rPr>
      </w:pPr>
    </w:p>
    <w:p w14:paraId="68F6590A" w14:textId="0FE8C00A" w:rsidR="000C34F1" w:rsidRDefault="00155EE3" w:rsidP="00155EE3">
      <w:pPr>
        <w:autoSpaceDE/>
        <w:autoSpaceDN/>
        <w:spacing w:line="360" w:lineRule="auto"/>
        <w:ind w:firstLine="1440"/>
        <w:rPr>
          <w:rFonts w:ascii="Times New Roman" w:hAnsi="Times New Roman" w:cs="Times New Roman"/>
        </w:rPr>
      </w:pPr>
      <w:r w:rsidRPr="000C34F1">
        <w:rPr>
          <w:rFonts w:ascii="Times New Roman" w:hAnsi="Times New Roman" w:cs="Times New Roman"/>
          <w:color w:val="000000"/>
        </w:rPr>
        <w:t xml:space="preserve">As stated, </w:t>
      </w:r>
      <w:r w:rsidR="00BB39C3">
        <w:rPr>
          <w:rFonts w:ascii="Times New Roman" w:hAnsi="Times New Roman" w:cs="Times New Roman"/>
          <w:color w:val="000000"/>
        </w:rPr>
        <w:t xml:space="preserve">Mr. Black </w:t>
      </w:r>
      <w:r w:rsidRPr="000C34F1">
        <w:rPr>
          <w:rFonts w:ascii="Times New Roman" w:hAnsi="Times New Roman" w:cs="Times New Roman"/>
          <w:color w:val="000000"/>
        </w:rPr>
        <w:t xml:space="preserve">placed a phone call to the OALJ at approximately 8:46 a.m. the day of the hearing.  A legal assistant at the OALJ accepted the phone call.  </w:t>
      </w:r>
      <w:r w:rsidR="00BB39C3">
        <w:rPr>
          <w:rFonts w:ascii="Times New Roman" w:hAnsi="Times New Roman" w:cs="Times New Roman"/>
          <w:color w:val="000000"/>
        </w:rPr>
        <w:t>Mr. Black</w:t>
      </w:r>
      <w:r w:rsidRPr="000C34F1">
        <w:rPr>
          <w:rFonts w:ascii="Times New Roman" w:hAnsi="Times New Roman" w:cs="Times New Roman"/>
          <w:color w:val="000000"/>
        </w:rPr>
        <w:t xml:space="preserve"> informed the legal assistant that he could not mak</w:t>
      </w:r>
      <w:r>
        <w:rPr>
          <w:rFonts w:ascii="Times New Roman" w:hAnsi="Times New Roman" w:cs="Times New Roman"/>
          <w:color w:val="000000"/>
        </w:rPr>
        <w:t>e</w:t>
      </w:r>
      <w:r w:rsidRPr="000C34F1">
        <w:rPr>
          <w:rFonts w:ascii="Times New Roman" w:hAnsi="Times New Roman" w:cs="Times New Roman"/>
          <w:color w:val="000000"/>
        </w:rPr>
        <w:t xml:space="preserve"> his hearing before the phone call was disconnected.  Once I was informed of the phone call made to the OALJ, I attempted to call </w:t>
      </w:r>
      <w:r w:rsidR="00BB39C3">
        <w:rPr>
          <w:rFonts w:ascii="Times New Roman" w:hAnsi="Times New Roman" w:cs="Times New Roman"/>
          <w:color w:val="000000"/>
        </w:rPr>
        <w:t>Mr. Black</w:t>
      </w:r>
      <w:r w:rsidRPr="000C34F1">
        <w:rPr>
          <w:rFonts w:ascii="Times New Roman" w:hAnsi="Times New Roman" w:cs="Times New Roman"/>
          <w:color w:val="000000"/>
        </w:rPr>
        <w:t xml:space="preserve"> at the number that he listed in his Complaint form.</w:t>
      </w:r>
      <w:r>
        <w:rPr>
          <w:rFonts w:ascii="Times New Roman" w:hAnsi="Times New Roman" w:cs="Times New Roman"/>
          <w:color w:val="000000"/>
        </w:rPr>
        <w:t xml:space="preserve">  </w:t>
      </w:r>
      <w:r>
        <w:rPr>
          <w:rFonts w:ascii="Times New Roman" w:hAnsi="Times New Roman" w:cs="Times New Roman"/>
        </w:rPr>
        <w:t>Mr</w:t>
      </w:r>
      <w:r w:rsidRPr="00BB4E22">
        <w:rPr>
          <w:rFonts w:ascii="Times New Roman" w:hAnsi="Times New Roman" w:cs="Times New Roman"/>
        </w:rPr>
        <w:t>. Black did not answer my phone call.  I left a voicemail, stating that the hearing would proceed as scheduled, and for Mr. Black to provide any documentation that he has evidencing the circumstances that prevent him from attending the hearing to myself and</w:t>
      </w:r>
      <w:r w:rsidR="0017794A">
        <w:rPr>
          <w:rFonts w:ascii="Times New Roman" w:hAnsi="Times New Roman" w:cs="Times New Roman"/>
        </w:rPr>
        <w:t xml:space="preserve"> to</w:t>
      </w:r>
      <w:r w:rsidRPr="00BB4E22">
        <w:rPr>
          <w:rFonts w:ascii="Times New Roman" w:hAnsi="Times New Roman" w:cs="Times New Roman"/>
        </w:rPr>
        <w:t xml:space="preserve"> PGW.</w:t>
      </w:r>
    </w:p>
    <w:p w14:paraId="72F6F007" w14:textId="77777777" w:rsidR="00155EE3" w:rsidRPr="00BB4E22" w:rsidRDefault="00155EE3" w:rsidP="001D36A5">
      <w:pPr>
        <w:autoSpaceDE/>
        <w:autoSpaceDN/>
        <w:spacing w:line="360" w:lineRule="auto"/>
        <w:rPr>
          <w:rFonts w:ascii="Times New Roman" w:hAnsi="Times New Roman" w:cs="Times New Roman"/>
        </w:rPr>
      </w:pPr>
    </w:p>
    <w:p w14:paraId="6024D7CC" w14:textId="4D0A2105" w:rsidR="000C34F1" w:rsidRDefault="000C34F1" w:rsidP="00072CF4">
      <w:pPr>
        <w:autoSpaceDE/>
        <w:autoSpaceDN/>
        <w:spacing w:line="360" w:lineRule="auto"/>
        <w:ind w:firstLine="1440"/>
        <w:rPr>
          <w:rFonts w:ascii="Times New Roman" w:hAnsi="Times New Roman" w:cs="Times New Roman"/>
        </w:rPr>
      </w:pPr>
      <w:r>
        <w:rPr>
          <w:rFonts w:ascii="Times New Roman" w:hAnsi="Times New Roman" w:cs="Times New Roman"/>
        </w:rPr>
        <w:t>I conducted the telephonic hearing as scheduled on June 19, 2018</w:t>
      </w:r>
      <w:r w:rsidRPr="00BB4E22">
        <w:rPr>
          <w:rFonts w:ascii="Times New Roman" w:hAnsi="Times New Roman" w:cs="Times New Roman"/>
        </w:rPr>
        <w:t>.  The start of the hearing was delayed until approximately 10:19 a.m</w:t>
      </w:r>
      <w:r>
        <w:rPr>
          <w:rFonts w:ascii="Times New Roman" w:hAnsi="Times New Roman" w:cs="Times New Roman"/>
        </w:rPr>
        <w:t>. to give the parties time to call in to participate</w:t>
      </w:r>
      <w:r w:rsidRPr="00BB4E22">
        <w:rPr>
          <w:rFonts w:ascii="Times New Roman" w:hAnsi="Times New Roman" w:cs="Times New Roman"/>
        </w:rPr>
        <w:t xml:space="preserve">.  The Complainant did not </w:t>
      </w:r>
      <w:r>
        <w:rPr>
          <w:rFonts w:ascii="Times New Roman" w:hAnsi="Times New Roman" w:cs="Times New Roman"/>
        </w:rPr>
        <w:t>call-in to the hearing to participate</w:t>
      </w:r>
      <w:r w:rsidRPr="00BB4E22">
        <w:rPr>
          <w:rFonts w:ascii="Times New Roman" w:hAnsi="Times New Roman" w:cs="Times New Roman"/>
        </w:rPr>
        <w:t xml:space="preserve">.  Attorney Graciela Christlieb was present at the hearing on behalf of </w:t>
      </w:r>
      <w:r w:rsidR="00072CF4">
        <w:rPr>
          <w:rFonts w:ascii="Times New Roman" w:hAnsi="Times New Roman" w:cs="Times New Roman"/>
        </w:rPr>
        <w:t>PGW</w:t>
      </w:r>
      <w:r w:rsidR="00BB39C3">
        <w:rPr>
          <w:rFonts w:ascii="Times New Roman" w:hAnsi="Times New Roman" w:cs="Times New Roman"/>
        </w:rPr>
        <w:t>.</w:t>
      </w:r>
      <w:r w:rsidR="001D36A5">
        <w:rPr>
          <w:rFonts w:ascii="Times New Roman" w:hAnsi="Times New Roman" w:cs="Times New Roman"/>
        </w:rPr>
        <w:t xml:space="preserve">  </w:t>
      </w:r>
      <w:r w:rsidR="00072CF4">
        <w:rPr>
          <w:rFonts w:ascii="Times New Roman" w:hAnsi="Times New Roman" w:cs="Times New Roman"/>
        </w:rPr>
        <w:t xml:space="preserve">PGW </w:t>
      </w:r>
      <w:r>
        <w:rPr>
          <w:rFonts w:ascii="Times New Roman" w:hAnsi="Times New Roman" w:cs="Times New Roman"/>
        </w:rPr>
        <w:t>moved for the Complaint</w:t>
      </w:r>
      <w:r w:rsidRPr="00BB4E22">
        <w:rPr>
          <w:rFonts w:ascii="Times New Roman" w:hAnsi="Times New Roman" w:cs="Times New Roman"/>
        </w:rPr>
        <w:t xml:space="preserve"> to be dismissed with prejudice for lack of prosecution.  </w:t>
      </w:r>
      <w:r w:rsidR="00072CF4">
        <w:rPr>
          <w:rFonts w:ascii="Times New Roman" w:hAnsi="Times New Roman" w:cs="Times New Roman"/>
        </w:rPr>
        <w:t>PGW</w:t>
      </w:r>
      <w:r w:rsidRPr="00BB4E22">
        <w:rPr>
          <w:rFonts w:ascii="Times New Roman" w:hAnsi="Times New Roman" w:cs="Times New Roman"/>
        </w:rPr>
        <w:t xml:space="preserve"> made a second Motion, requesting that </w:t>
      </w:r>
      <w:r w:rsidRPr="00BB4E22">
        <w:rPr>
          <w:rFonts w:ascii="Times New Roman" w:hAnsi="Times New Roman" w:cs="Times New Roman"/>
        </w:rPr>
        <w:lastRenderedPageBreak/>
        <w:t xml:space="preserve">the Commission issue an order precluding Mr. Black from filing further </w:t>
      </w:r>
      <w:r w:rsidR="00C6474C">
        <w:rPr>
          <w:rFonts w:ascii="Times New Roman" w:hAnsi="Times New Roman" w:cs="Times New Roman"/>
        </w:rPr>
        <w:t>I</w:t>
      </w:r>
      <w:r w:rsidRPr="00BB4E22">
        <w:rPr>
          <w:rFonts w:ascii="Times New Roman" w:hAnsi="Times New Roman" w:cs="Times New Roman"/>
        </w:rPr>
        <w:t xml:space="preserve">nformal or </w:t>
      </w:r>
      <w:r w:rsidR="00C6474C">
        <w:rPr>
          <w:rFonts w:ascii="Times New Roman" w:hAnsi="Times New Roman" w:cs="Times New Roman"/>
        </w:rPr>
        <w:t>F</w:t>
      </w:r>
      <w:r w:rsidRPr="00BB4E22">
        <w:rPr>
          <w:rFonts w:ascii="Times New Roman" w:hAnsi="Times New Roman" w:cs="Times New Roman"/>
        </w:rPr>
        <w:t xml:space="preserve">ormal Complaints on </w:t>
      </w:r>
      <w:r w:rsidR="0091593B">
        <w:rPr>
          <w:rFonts w:ascii="Times New Roman" w:hAnsi="Times New Roman" w:cs="Times New Roman"/>
        </w:rPr>
        <w:t>his balance</w:t>
      </w:r>
      <w:r w:rsidRPr="00BB4E22">
        <w:rPr>
          <w:rFonts w:ascii="Times New Roman" w:hAnsi="Times New Roman" w:cs="Times New Roman"/>
        </w:rPr>
        <w:t xml:space="preserve"> until his balance </w:t>
      </w:r>
      <w:r>
        <w:rPr>
          <w:rFonts w:ascii="Times New Roman" w:hAnsi="Times New Roman" w:cs="Times New Roman"/>
        </w:rPr>
        <w:t>owed to PGW</w:t>
      </w:r>
      <w:r w:rsidRPr="00BB4E22">
        <w:rPr>
          <w:rFonts w:ascii="Times New Roman" w:hAnsi="Times New Roman" w:cs="Times New Roman"/>
        </w:rPr>
        <w:t xml:space="preserve"> was resolved.</w:t>
      </w:r>
      <w:r w:rsidR="00072CF4">
        <w:rPr>
          <w:rFonts w:ascii="Times New Roman" w:hAnsi="Times New Roman" w:cs="Times New Roman"/>
        </w:rPr>
        <w:t xml:space="preserve">  PGW was informed that both Motions would be taken under advisement.</w:t>
      </w:r>
    </w:p>
    <w:p w14:paraId="00779BDC" w14:textId="18A195C2" w:rsidR="000C34F1" w:rsidRDefault="000C34F1" w:rsidP="000C34F1">
      <w:pPr>
        <w:autoSpaceDE/>
        <w:autoSpaceDN/>
        <w:spacing w:line="360" w:lineRule="auto"/>
        <w:ind w:firstLine="1440"/>
        <w:rPr>
          <w:rFonts w:ascii="Times New Roman" w:hAnsi="Times New Roman" w:cs="Times New Roman"/>
        </w:rPr>
      </w:pPr>
    </w:p>
    <w:p w14:paraId="7CF8E817" w14:textId="77777777" w:rsidR="00C6474C" w:rsidRPr="000C34F1" w:rsidRDefault="00C6474C" w:rsidP="00C6474C">
      <w:pPr>
        <w:autoSpaceDE/>
        <w:autoSpaceDN/>
        <w:spacing w:line="360" w:lineRule="auto"/>
        <w:ind w:firstLine="1440"/>
        <w:rPr>
          <w:rFonts w:ascii="Times New Roman" w:hAnsi="Times New Roman" w:cs="Times New Roman"/>
          <w:color w:val="000000"/>
        </w:rPr>
      </w:pPr>
      <w:r>
        <w:rPr>
          <w:rFonts w:ascii="Times New Roman" w:hAnsi="Times New Roman" w:cs="Times New Roman"/>
          <w:color w:val="000000"/>
        </w:rPr>
        <w:t xml:space="preserve">It is important to </w:t>
      </w:r>
      <w:r w:rsidRPr="000C34F1">
        <w:rPr>
          <w:rFonts w:ascii="Times New Roman" w:hAnsi="Times New Roman" w:cs="Times New Roman"/>
          <w:color w:val="000000"/>
        </w:rPr>
        <w:t>note, that Mr. Black did not specifically request for a continuance of the June 19, 2018 hearing in the phone call he made to the OALJ.  According to the legal assistant that received Mr. Black’s phone call, Mr. Black simply stated to him that he could not make the hearing before he was disconnected from the phone call.  Mr. Black did not ask for the hearing to be rescheduled to another date, nor did he even provide a reason as to why he could not make the hearing.</w:t>
      </w:r>
    </w:p>
    <w:p w14:paraId="73ECAA72" w14:textId="77777777" w:rsidR="00C6474C" w:rsidRPr="000C34F1" w:rsidRDefault="00C6474C" w:rsidP="00C6474C">
      <w:pPr>
        <w:autoSpaceDE/>
        <w:autoSpaceDN/>
        <w:spacing w:line="360" w:lineRule="auto"/>
        <w:ind w:firstLine="1440"/>
        <w:rPr>
          <w:rFonts w:ascii="Times New Roman" w:hAnsi="Times New Roman" w:cs="Times New Roman"/>
          <w:color w:val="000000"/>
        </w:rPr>
      </w:pPr>
    </w:p>
    <w:p w14:paraId="5953CD6D" w14:textId="77777777" w:rsidR="00C6474C" w:rsidRPr="00EF1DC4" w:rsidRDefault="00C6474C" w:rsidP="00C6474C">
      <w:pPr>
        <w:spacing w:line="360" w:lineRule="auto"/>
        <w:ind w:firstLine="1440"/>
        <w:rPr>
          <w:rFonts w:ascii="Times New Roman" w:hAnsi="Times New Roman" w:cs="Times New Roman"/>
        </w:rPr>
      </w:pPr>
      <w:r>
        <w:rPr>
          <w:rFonts w:ascii="Times New Roman" w:hAnsi="Times New Roman" w:cs="Times New Roman"/>
        </w:rPr>
        <w:t>Requests</w:t>
      </w:r>
      <w:r w:rsidRPr="00EF1DC4">
        <w:rPr>
          <w:rFonts w:ascii="Times New Roman" w:hAnsi="Times New Roman" w:cs="Times New Roman"/>
        </w:rPr>
        <w:t xml:space="preserve"> for continuances are governed by Section 1.15 of the Commission’s regulations, which states, in relevant part:</w:t>
      </w:r>
    </w:p>
    <w:p w14:paraId="7EFCABBB" w14:textId="77777777" w:rsidR="00C6474C" w:rsidRPr="00EF1DC4" w:rsidRDefault="00C6474C" w:rsidP="00C6474C">
      <w:pPr>
        <w:spacing w:line="360" w:lineRule="auto"/>
        <w:ind w:firstLine="1440"/>
        <w:rPr>
          <w:rFonts w:ascii="Times New Roman" w:hAnsi="Times New Roman" w:cs="Times New Roman"/>
        </w:rPr>
      </w:pPr>
    </w:p>
    <w:p w14:paraId="3E551CAB" w14:textId="77777777" w:rsidR="00C6474C" w:rsidRPr="00EF1DC4" w:rsidRDefault="00C6474C" w:rsidP="00C6474C">
      <w:pPr>
        <w:ind w:left="1440"/>
        <w:rPr>
          <w:rFonts w:ascii="Times New Roman" w:hAnsi="Times New Roman" w:cs="Times New Roman"/>
        </w:rPr>
      </w:pPr>
      <w:r w:rsidRPr="00EF1DC4">
        <w:rPr>
          <w:rFonts w:ascii="Times New Roman" w:hAnsi="Times New Roman" w:cs="Times New Roman"/>
          <w:color w:val="212121"/>
        </w:rPr>
        <w:t>(b) Except as otherwise provided by statute, requests for continuance of hearings or for extension of time in which to perform an act required or allowed to be done at or within a specified time by this title or by order of the Commission or the presiding officer, shall be by motion in writing, timely filed with the Commission, stating the facts on which the application rests, except that during the course of a proceeding, the requests may be made by oral motion in the hearing before the Commission or the presiding officer. Only for good cause shown will requests for continuance be considered. The requests for a continuance should be filed at least 5 days prior to the hearing date.</w:t>
      </w:r>
    </w:p>
    <w:p w14:paraId="6239B026" w14:textId="77777777" w:rsidR="00C6474C" w:rsidRPr="00EF1DC4" w:rsidRDefault="00C6474C" w:rsidP="00C6474C">
      <w:pPr>
        <w:pStyle w:val="ParaTab1"/>
        <w:spacing w:line="360" w:lineRule="auto"/>
        <w:ind w:firstLine="0"/>
        <w:rPr>
          <w:rFonts w:ascii="Times New Roman" w:hAnsi="Times New Roman" w:cs="Times New Roman"/>
        </w:rPr>
      </w:pPr>
    </w:p>
    <w:p w14:paraId="5A278E73" w14:textId="77777777" w:rsidR="00C6474C" w:rsidRPr="00EF1DC4" w:rsidRDefault="00C6474C" w:rsidP="00C6474C">
      <w:pPr>
        <w:pStyle w:val="ParaTab1"/>
        <w:spacing w:line="360" w:lineRule="auto"/>
        <w:ind w:firstLine="0"/>
        <w:rPr>
          <w:rFonts w:ascii="Times New Roman" w:hAnsi="Times New Roman" w:cs="Times New Roman"/>
          <w:spacing w:val="-3"/>
        </w:rPr>
      </w:pPr>
      <w:r w:rsidRPr="00EF1DC4">
        <w:rPr>
          <w:rFonts w:ascii="Times New Roman" w:hAnsi="Times New Roman" w:cs="Times New Roman"/>
          <w:spacing w:val="-3"/>
        </w:rPr>
        <w:t xml:space="preserve">52 </w:t>
      </w:r>
      <w:proofErr w:type="spellStart"/>
      <w:proofErr w:type="gramStart"/>
      <w:r w:rsidRPr="00EF1DC4">
        <w:rPr>
          <w:rFonts w:ascii="Times New Roman" w:hAnsi="Times New Roman" w:cs="Times New Roman"/>
          <w:spacing w:val="-3"/>
        </w:rPr>
        <w:t>Pa.Code</w:t>
      </w:r>
      <w:proofErr w:type="spellEnd"/>
      <w:proofErr w:type="gramEnd"/>
      <w:r w:rsidRPr="00EF1DC4">
        <w:rPr>
          <w:rFonts w:ascii="Times New Roman" w:hAnsi="Times New Roman" w:cs="Times New Roman"/>
          <w:spacing w:val="-3"/>
        </w:rPr>
        <w:t xml:space="preserve"> § 1.15(b).</w:t>
      </w:r>
    </w:p>
    <w:p w14:paraId="3A90BA27" w14:textId="77777777" w:rsidR="00C6474C" w:rsidRPr="00EF1DC4" w:rsidRDefault="00C6474C" w:rsidP="00C6474C">
      <w:pPr>
        <w:pStyle w:val="ParaTab1"/>
        <w:spacing w:line="360" w:lineRule="auto"/>
        <w:ind w:firstLine="0"/>
        <w:rPr>
          <w:rFonts w:ascii="Times New Roman" w:hAnsi="Times New Roman" w:cs="Times New Roman"/>
          <w:spacing w:val="-3"/>
        </w:rPr>
      </w:pPr>
    </w:p>
    <w:p w14:paraId="5D4244FB" w14:textId="77777777" w:rsidR="00C6474C" w:rsidRPr="00EF1DC4" w:rsidRDefault="00C6474C" w:rsidP="00C6474C">
      <w:pPr>
        <w:pStyle w:val="ParaTab1"/>
        <w:spacing w:line="360" w:lineRule="auto"/>
        <w:ind w:firstLine="0"/>
        <w:rPr>
          <w:rFonts w:ascii="Times New Roman" w:hAnsi="Times New Roman" w:cs="Times New Roman"/>
          <w:spacing w:val="-3"/>
        </w:rPr>
      </w:pPr>
      <w:r w:rsidRPr="00EF1DC4">
        <w:rPr>
          <w:rFonts w:ascii="Times New Roman" w:hAnsi="Times New Roman" w:cs="Times New Roman"/>
          <w:spacing w:val="-3"/>
        </w:rPr>
        <w:tab/>
      </w:r>
      <w:r w:rsidRPr="00EF1DC4">
        <w:rPr>
          <w:rFonts w:ascii="Times New Roman" w:hAnsi="Times New Roman" w:cs="Times New Roman"/>
          <w:spacing w:val="-3"/>
        </w:rPr>
        <w:tab/>
      </w:r>
      <w:r>
        <w:rPr>
          <w:rFonts w:ascii="Times New Roman" w:hAnsi="Times New Roman" w:cs="Times New Roman"/>
          <w:spacing w:val="-3"/>
        </w:rPr>
        <w:t>Both of the</w:t>
      </w:r>
      <w:r w:rsidRPr="00EF1DC4">
        <w:rPr>
          <w:rFonts w:ascii="Times New Roman" w:hAnsi="Times New Roman" w:cs="Times New Roman"/>
          <w:spacing w:val="-3"/>
        </w:rPr>
        <w:t xml:space="preserve"> Prehearing Order</w:t>
      </w:r>
      <w:r>
        <w:rPr>
          <w:rFonts w:ascii="Times New Roman" w:hAnsi="Times New Roman" w:cs="Times New Roman"/>
          <w:spacing w:val="-3"/>
        </w:rPr>
        <w:t>s issued in this case</w:t>
      </w:r>
      <w:r w:rsidRPr="00EF1DC4">
        <w:rPr>
          <w:rFonts w:ascii="Times New Roman" w:hAnsi="Times New Roman" w:cs="Times New Roman"/>
          <w:spacing w:val="-3"/>
        </w:rPr>
        <w:t xml:space="preserve"> state</w:t>
      </w:r>
      <w:r>
        <w:rPr>
          <w:rFonts w:ascii="Times New Roman" w:hAnsi="Times New Roman" w:cs="Times New Roman"/>
          <w:spacing w:val="-3"/>
        </w:rPr>
        <w:t>, in relevant part,</w:t>
      </w:r>
      <w:r w:rsidRPr="00EF1DC4">
        <w:rPr>
          <w:rFonts w:ascii="Times New Roman" w:hAnsi="Times New Roman" w:cs="Times New Roman"/>
          <w:spacing w:val="-3"/>
        </w:rPr>
        <w:t xml:space="preserve"> the following:</w:t>
      </w:r>
    </w:p>
    <w:p w14:paraId="525D30B7" w14:textId="77777777" w:rsidR="00C6474C" w:rsidRPr="00EF1DC4" w:rsidRDefault="00C6474C" w:rsidP="00C6474C">
      <w:pPr>
        <w:pStyle w:val="ParaTab1"/>
        <w:spacing w:line="360" w:lineRule="auto"/>
        <w:ind w:firstLine="0"/>
        <w:rPr>
          <w:rFonts w:ascii="Times New Roman" w:hAnsi="Times New Roman" w:cs="Times New Roman"/>
          <w:spacing w:val="-3"/>
        </w:rPr>
      </w:pPr>
    </w:p>
    <w:p w14:paraId="5C22CD05" w14:textId="77777777" w:rsidR="00C6474C" w:rsidRPr="00EF1DC4" w:rsidRDefault="00C6474C" w:rsidP="00C6474C">
      <w:pPr>
        <w:pStyle w:val="ParaTab1"/>
        <w:ind w:left="1440" w:firstLine="0"/>
        <w:rPr>
          <w:rFonts w:ascii="Times New Roman" w:hAnsi="Times New Roman" w:cs="Times New Roman"/>
          <w:spacing w:val="-3"/>
        </w:rPr>
      </w:pPr>
      <w:r w:rsidRPr="00EF1DC4">
        <w:rPr>
          <w:rFonts w:ascii="Times New Roman" w:hAnsi="Times New Roman" w:cs="Times New Roman"/>
          <w:spacing w:val="-3"/>
        </w:rPr>
        <w:t xml:space="preserve">2. </w:t>
      </w:r>
      <w:r w:rsidRPr="00EF1DC4">
        <w:rPr>
          <w:rFonts w:ascii="Times New Roman" w:hAnsi="Times New Roman" w:cs="Times New Roman"/>
          <w:spacing w:val="-3"/>
        </w:rPr>
        <w:tab/>
        <w:t xml:space="preserve">A request for a change of the scheduled hearing date must state the agreement or opposition of the other parties </w:t>
      </w:r>
      <w:r w:rsidRPr="00EF1DC4">
        <w:rPr>
          <w:rFonts w:ascii="Times New Roman" w:hAnsi="Times New Roman" w:cs="Times New Roman"/>
          <w:spacing w:val="-3"/>
          <w:u w:val="single"/>
        </w:rPr>
        <w:t>and must be submitted in writing no later than five days prior to the hearing</w:t>
      </w:r>
      <w:r w:rsidRPr="00EF1DC4">
        <w:rPr>
          <w:rFonts w:ascii="Times New Roman" w:hAnsi="Times New Roman" w:cs="Times New Roman"/>
          <w:spacing w:val="-3"/>
        </w:rPr>
        <w:t xml:space="preserve">.  52 </w:t>
      </w:r>
      <w:proofErr w:type="spellStart"/>
      <w:proofErr w:type="gramStart"/>
      <w:r w:rsidRPr="00EF1DC4">
        <w:rPr>
          <w:rFonts w:ascii="Times New Roman" w:hAnsi="Times New Roman" w:cs="Times New Roman"/>
          <w:spacing w:val="-3"/>
        </w:rPr>
        <w:t>Pa.Code</w:t>
      </w:r>
      <w:proofErr w:type="spellEnd"/>
      <w:proofErr w:type="gramEnd"/>
      <w:r w:rsidRPr="00EF1DC4">
        <w:rPr>
          <w:rFonts w:ascii="Times New Roman" w:hAnsi="Times New Roman" w:cs="Times New Roman"/>
          <w:spacing w:val="-3"/>
        </w:rPr>
        <w:t xml:space="preserve"> § 1.15(b).  </w:t>
      </w:r>
      <w:r w:rsidRPr="00EF1DC4">
        <w:rPr>
          <w:rFonts w:ascii="Times New Roman" w:hAnsi="Times New Roman" w:cs="Times New Roman"/>
          <w:b/>
          <w:spacing w:val="-3"/>
        </w:rPr>
        <w:t>Please note that changes are granted only in situations where good cause exists</w:t>
      </w:r>
      <w:r w:rsidRPr="00EF1DC4">
        <w:rPr>
          <w:rFonts w:ascii="Times New Roman" w:hAnsi="Times New Roman" w:cs="Times New Roman"/>
          <w:spacing w:val="-3"/>
        </w:rPr>
        <w:t>.  Requests for changing a hearing date must be sent to me and all parties of record.</w:t>
      </w:r>
    </w:p>
    <w:p w14:paraId="3E203247" w14:textId="77777777" w:rsidR="00C6474C" w:rsidRPr="000C34F1" w:rsidRDefault="00C6474C" w:rsidP="00C6474C">
      <w:pPr>
        <w:autoSpaceDE/>
        <w:autoSpaceDN/>
        <w:spacing w:line="360" w:lineRule="auto"/>
        <w:rPr>
          <w:rFonts w:ascii="Times New Roman" w:hAnsi="Times New Roman" w:cs="Times New Roman"/>
          <w:color w:val="000000"/>
        </w:rPr>
      </w:pPr>
    </w:p>
    <w:p w14:paraId="74359220" w14:textId="77777777" w:rsidR="00C6474C" w:rsidRDefault="00C6474C" w:rsidP="00C6474C">
      <w:pPr>
        <w:autoSpaceDE/>
        <w:autoSpaceDN/>
        <w:spacing w:line="360" w:lineRule="auto"/>
        <w:rPr>
          <w:rFonts w:ascii="Times New Roman" w:hAnsi="Times New Roman" w:cs="Times New Roman"/>
          <w:color w:val="000000"/>
        </w:rPr>
      </w:pPr>
      <w:r w:rsidRPr="000C34F1">
        <w:rPr>
          <w:rFonts w:ascii="Times New Roman" w:hAnsi="Times New Roman" w:cs="Times New Roman"/>
          <w:color w:val="000000"/>
        </w:rPr>
        <w:t>May 1, 2018 Prehearing Order; June 1, 2018 Prehearing Order.</w:t>
      </w:r>
    </w:p>
    <w:p w14:paraId="4633C8A4" w14:textId="77777777" w:rsidR="00C6474C" w:rsidRPr="000C34F1" w:rsidRDefault="00C6474C" w:rsidP="00C6474C">
      <w:pPr>
        <w:autoSpaceDE/>
        <w:autoSpaceDN/>
        <w:spacing w:line="360" w:lineRule="auto"/>
        <w:rPr>
          <w:rFonts w:ascii="Times New Roman" w:hAnsi="Times New Roman" w:cs="Times New Roman"/>
          <w:color w:val="000000"/>
        </w:rPr>
      </w:pPr>
    </w:p>
    <w:p w14:paraId="4BA50E86" w14:textId="77777777" w:rsidR="00C6474C" w:rsidRPr="000C34F1" w:rsidRDefault="00C6474C" w:rsidP="00C6474C">
      <w:pPr>
        <w:autoSpaceDE/>
        <w:autoSpaceDN/>
        <w:spacing w:line="360" w:lineRule="auto"/>
        <w:ind w:firstLine="1440"/>
        <w:rPr>
          <w:rFonts w:ascii="Times New Roman" w:hAnsi="Times New Roman" w:cs="Times New Roman"/>
          <w:color w:val="000000"/>
        </w:rPr>
      </w:pPr>
      <w:r w:rsidRPr="000C34F1">
        <w:rPr>
          <w:rFonts w:ascii="Times New Roman" w:hAnsi="Times New Roman" w:cs="Times New Roman"/>
          <w:color w:val="000000"/>
        </w:rPr>
        <w:t xml:space="preserve">Mr. Black’s oral statement over phone does not comply with the Prehearing Orders or the Commission’s regulations concerning the proper way to request a continuance in any aspects: (1) The “request” was not made in writing, (2) The “request” was timely made in that it was not made 5 days prior to the scheduled hearing, (3) The “request” did not state </w:t>
      </w:r>
      <w:r w:rsidRPr="00EF1DC4">
        <w:rPr>
          <w:rFonts w:ascii="Times New Roman" w:hAnsi="Times New Roman" w:cs="Times New Roman"/>
          <w:color w:val="212121"/>
        </w:rPr>
        <w:t xml:space="preserve">the facts on which the </w:t>
      </w:r>
      <w:r>
        <w:rPr>
          <w:rFonts w:ascii="Times New Roman" w:hAnsi="Times New Roman" w:cs="Times New Roman"/>
          <w:color w:val="212121"/>
        </w:rPr>
        <w:t>request</w:t>
      </w:r>
      <w:r w:rsidRPr="00EF1DC4">
        <w:rPr>
          <w:rFonts w:ascii="Times New Roman" w:hAnsi="Times New Roman" w:cs="Times New Roman"/>
          <w:color w:val="212121"/>
        </w:rPr>
        <w:t xml:space="preserve"> rests</w:t>
      </w:r>
      <w:r>
        <w:rPr>
          <w:rFonts w:ascii="Times New Roman" w:hAnsi="Times New Roman" w:cs="Times New Roman"/>
          <w:color w:val="212121"/>
        </w:rPr>
        <w:t>, (4) The agreement or opposition of PGW was not stated in the “request,” and (5) PGW was not informed of the request.</w:t>
      </w:r>
      <w:r w:rsidRPr="000C34F1">
        <w:rPr>
          <w:rFonts w:ascii="Times New Roman" w:hAnsi="Times New Roman" w:cs="Times New Roman"/>
          <w:color w:val="000000"/>
        </w:rPr>
        <w:t xml:space="preserve">  I informed PGW of the “request” off the record prior to the hearing.</w:t>
      </w:r>
    </w:p>
    <w:p w14:paraId="162B0772" w14:textId="77777777" w:rsidR="00C6474C" w:rsidRPr="000C34F1" w:rsidRDefault="00C6474C" w:rsidP="00C6474C">
      <w:pPr>
        <w:autoSpaceDE/>
        <w:autoSpaceDN/>
        <w:spacing w:line="360" w:lineRule="auto"/>
        <w:ind w:firstLine="1440"/>
        <w:rPr>
          <w:rFonts w:ascii="Times New Roman" w:hAnsi="Times New Roman" w:cs="Times New Roman"/>
          <w:color w:val="000000"/>
        </w:rPr>
      </w:pPr>
    </w:p>
    <w:p w14:paraId="0BC94EF3" w14:textId="77777777" w:rsidR="00C6474C" w:rsidRPr="000C34F1" w:rsidRDefault="00C6474C" w:rsidP="00C6474C">
      <w:pPr>
        <w:autoSpaceDE/>
        <w:autoSpaceDN/>
        <w:spacing w:line="360" w:lineRule="auto"/>
        <w:ind w:firstLine="1440"/>
        <w:rPr>
          <w:rFonts w:ascii="Times New Roman" w:hAnsi="Times New Roman" w:cs="Times New Roman"/>
          <w:color w:val="000000"/>
        </w:rPr>
      </w:pPr>
      <w:r w:rsidRPr="000C34F1">
        <w:rPr>
          <w:rFonts w:ascii="Times New Roman" w:hAnsi="Times New Roman" w:cs="Times New Roman"/>
          <w:color w:val="000000"/>
        </w:rPr>
        <w:t xml:space="preserve">Nevertheless, to provide the Complainant with </w:t>
      </w:r>
      <w:r>
        <w:rPr>
          <w:rFonts w:ascii="Times New Roman" w:hAnsi="Times New Roman" w:cs="Times New Roman"/>
          <w:color w:val="000000"/>
        </w:rPr>
        <w:t xml:space="preserve">the utmost due process in this proceeding, </w:t>
      </w:r>
      <w:r w:rsidRPr="000C34F1">
        <w:rPr>
          <w:rFonts w:ascii="Times New Roman" w:hAnsi="Times New Roman" w:cs="Times New Roman"/>
          <w:color w:val="000000"/>
        </w:rPr>
        <w:t>I decided to treat the Complainant’s phone call as a request for a continuance</w:t>
      </w:r>
      <w:r>
        <w:rPr>
          <w:rFonts w:ascii="Times New Roman" w:hAnsi="Times New Roman" w:cs="Times New Roman"/>
          <w:color w:val="000000"/>
        </w:rPr>
        <w:t>, his second in this matter</w:t>
      </w:r>
      <w:r w:rsidRPr="000C34F1">
        <w:rPr>
          <w:rFonts w:ascii="Times New Roman" w:hAnsi="Times New Roman" w:cs="Times New Roman"/>
          <w:color w:val="000000"/>
        </w:rPr>
        <w:t>.  Section 1.2 of the Commission’s regulations allow me to disregard errors or defects of procedure.</w:t>
      </w:r>
    </w:p>
    <w:p w14:paraId="44E66C09" w14:textId="77777777" w:rsidR="00C6474C" w:rsidRPr="000C34F1" w:rsidRDefault="00C6474C" w:rsidP="00C6474C">
      <w:pPr>
        <w:autoSpaceDE/>
        <w:autoSpaceDN/>
        <w:spacing w:line="360" w:lineRule="auto"/>
        <w:rPr>
          <w:rFonts w:ascii="Times New Roman" w:hAnsi="Times New Roman" w:cs="Times New Roman"/>
          <w:color w:val="000000"/>
        </w:rPr>
      </w:pPr>
    </w:p>
    <w:p w14:paraId="56CB721B" w14:textId="77777777" w:rsidR="00C6474C" w:rsidRPr="00EF1DC4" w:rsidRDefault="00C6474C" w:rsidP="00C6474C">
      <w:pPr>
        <w:pStyle w:val="ParaTab1"/>
        <w:ind w:left="1440" w:firstLine="0"/>
        <w:rPr>
          <w:rFonts w:ascii="Times New Roman" w:hAnsi="Times New Roman" w:cs="Times New Roman"/>
          <w:spacing w:val="-3"/>
        </w:rPr>
      </w:pPr>
      <w:r w:rsidRPr="00EF1DC4">
        <w:rPr>
          <w:rFonts w:ascii="Times New Roman" w:hAnsi="Times New Roman" w:cs="Times New Roman"/>
          <w:spacing w:val="-3"/>
        </w:rPr>
        <w:t>(a) 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p>
    <w:p w14:paraId="55E551AB" w14:textId="77777777" w:rsidR="00C6474C" w:rsidRPr="00EF1DC4" w:rsidRDefault="00C6474C" w:rsidP="00C6474C">
      <w:pPr>
        <w:pStyle w:val="ParaTab1"/>
        <w:ind w:left="1440" w:firstLine="0"/>
        <w:rPr>
          <w:rFonts w:ascii="Times New Roman" w:hAnsi="Times New Roman" w:cs="Times New Roman"/>
          <w:spacing w:val="-3"/>
        </w:rPr>
      </w:pPr>
    </w:p>
    <w:p w14:paraId="597B017C" w14:textId="77777777" w:rsidR="00C6474C" w:rsidRPr="00EF1DC4" w:rsidRDefault="00C6474C" w:rsidP="00C6474C">
      <w:pPr>
        <w:pStyle w:val="ParaTab1"/>
        <w:ind w:left="1440" w:firstLine="0"/>
        <w:rPr>
          <w:rFonts w:ascii="Times New Roman" w:hAnsi="Times New Roman" w:cs="Times New Roman"/>
          <w:spacing w:val="-3"/>
        </w:rPr>
      </w:pPr>
      <w:r w:rsidRPr="00EF1DC4">
        <w:rPr>
          <w:rFonts w:ascii="Times New Roman" w:hAnsi="Times New Roman" w:cs="Times New Roman"/>
          <w:spacing w:val="-3"/>
        </w:rPr>
        <w:t>(c) The Commission or presiding officer at any stage of an action or proceeding may waive a requirement of this subpart when necessary or appropriate, if the waiver does not adversely affect a substantive right of a party.</w:t>
      </w:r>
    </w:p>
    <w:p w14:paraId="5EF4CF42" w14:textId="77777777" w:rsidR="00C6474C" w:rsidRPr="00EF1DC4" w:rsidRDefault="00C6474C" w:rsidP="00C6474C">
      <w:pPr>
        <w:pStyle w:val="ParaTab1"/>
        <w:ind w:left="1440" w:firstLine="0"/>
        <w:rPr>
          <w:rFonts w:ascii="Times New Roman" w:hAnsi="Times New Roman" w:cs="Times New Roman"/>
          <w:spacing w:val="-3"/>
        </w:rPr>
      </w:pPr>
    </w:p>
    <w:p w14:paraId="70BFEF50" w14:textId="77777777" w:rsidR="00C6474C" w:rsidRPr="00EF1DC4" w:rsidRDefault="00C6474C" w:rsidP="00C6474C">
      <w:pPr>
        <w:pStyle w:val="ParaTab1"/>
        <w:ind w:left="1440" w:firstLine="0"/>
        <w:rPr>
          <w:rFonts w:ascii="Times New Roman" w:hAnsi="Times New Roman" w:cs="Times New Roman"/>
          <w:spacing w:val="-3"/>
        </w:rPr>
      </w:pPr>
      <w:r w:rsidRPr="00EF1DC4">
        <w:rPr>
          <w:rFonts w:ascii="Times New Roman" w:hAnsi="Times New Roman" w:cs="Times New Roman"/>
          <w:spacing w:val="-3"/>
        </w:rPr>
        <w:t>(d) These liberal construction provisions apply with particularity in proceedings involving pro se litigants.</w:t>
      </w:r>
    </w:p>
    <w:p w14:paraId="0E4CD630" w14:textId="77777777" w:rsidR="00C6474C" w:rsidRPr="00EF1DC4" w:rsidRDefault="00C6474C" w:rsidP="00C6474C">
      <w:pPr>
        <w:pStyle w:val="ParaTab1"/>
        <w:spacing w:line="360" w:lineRule="auto"/>
        <w:ind w:firstLine="0"/>
        <w:rPr>
          <w:rFonts w:ascii="Times New Roman" w:hAnsi="Times New Roman" w:cs="Times New Roman"/>
          <w:spacing w:val="-3"/>
        </w:rPr>
      </w:pPr>
    </w:p>
    <w:p w14:paraId="34C1A84F" w14:textId="77777777" w:rsidR="00C6474C" w:rsidRPr="00F17ACE" w:rsidRDefault="00C6474C" w:rsidP="00C6474C">
      <w:pPr>
        <w:pStyle w:val="ParaTab1"/>
        <w:ind w:firstLine="0"/>
        <w:rPr>
          <w:rFonts w:ascii="Times New Roman" w:hAnsi="Times New Roman" w:cs="Times New Roman"/>
          <w:spacing w:val="-3"/>
        </w:rPr>
      </w:pPr>
      <w:r w:rsidRPr="00EF1DC4">
        <w:rPr>
          <w:rFonts w:ascii="Times New Roman" w:hAnsi="Times New Roman" w:cs="Times New Roman"/>
          <w:spacing w:val="-3"/>
        </w:rPr>
        <w:t xml:space="preserve">52 </w:t>
      </w:r>
      <w:proofErr w:type="spellStart"/>
      <w:proofErr w:type="gramStart"/>
      <w:r w:rsidRPr="00EF1DC4">
        <w:rPr>
          <w:rFonts w:ascii="Times New Roman" w:hAnsi="Times New Roman" w:cs="Times New Roman"/>
          <w:spacing w:val="-3"/>
        </w:rPr>
        <w:t>Pa.Code</w:t>
      </w:r>
      <w:proofErr w:type="spellEnd"/>
      <w:proofErr w:type="gramEnd"/>
      <w:r w:rsidRPr="00EF1DC4">
        <w:rPr>
          <w:rFonts w:ascii="Times New Roman" w:hAnsi="Times New Roman" w:cs="Times New Roman"/>
          <w:spacing w:val="-3"/>
        </w:rPr>
        <w:t xml:space="preserve"> § 1.2.</w:t>
      </w:r>
      <w:r>
        <w:rPr>
          <w:rFonts w:ascii="Times New Roman" w:hAnsi="Times New Roman" w:cs="Times New Roman"/>
          <w:spacing w:val="-3"/>
        </w:rPr>
        <w:t xml:space="preserve">  I should also note, that I choose to disregard errors contained in the Complainant’s first request for a continuance, which was granted.</w:t>
      </w:r>
    </w:p>
    <w:p w14:paraId="09FAFE42" w14:textId="77777777" w:rsidR="00C6474C" w:rsidRDefault="00C6474C" w:rsidP="000C34F1">
      <w:pPr>
        <w:autoSpaceDE/>
        <w:autoSpaceDN/>
        <w:spacing w:line="360" w:lineRule="auto"/>
        <w:ind w:firstLine="1440"/>
        <w:rPr>
          <w:rFonts w:ascii="Times New Roman" w:hAnsi="Times New Roman" w:cs="Times New Roman"/>
        </w:rPr>
      </w:pPr>
    </w:p>
    <w:p w14:paraId="110ACD20" w14:textId="54B955CC" w:rsidR="000C34F1" w:rsidRDefault="000C34F1" w:rsidP="00155EE3">
      <w:pPr>
        <w:autoSpaceDE/>
        <w:autoSpaceDN/>
        <w:spacing w:line="360" w:lineRule="auto"/>
        <w:ind w:firstLine="1440"/>
        <w:rPr>
          <w:rFonts w:ascii="Times New Roman" w:hAnsi="Times New Roman" w:cs="Times New Roman"/>
        </w:rPr>
      </w:pPr>
      <w:r>
        <w:rPr>
          <w:rFonts w:ascii="Times New Roman" w:hAnsi="Times New Roman" w:cs="Times New Roman"/>
        </w:rPr>
        <w:t xml:space="preserve">Following the hearing, an Interim Order, dated June 19, 2018, was issued to the parties.  The Interim Order </w:t>
      </w:r>
      <w:r w:rsidR="001D36A5">
        <w:rPr>
          <w:rFonts w:ascii="Times New Roman" w:hAnsi="Times New Roman" w:cs="Times New Roman"/>
        </w:rPr>
        <w:t xml:space="preserve">ordered for the record in this matter to remain open and </w:t>
      </w:r>
      <w:r>
        <w:rPr>
          <w:rFonts w:ascii="Times New Roman" w:hAnsi="Times New Roman" w:cs="Times New Roman"/>
        </w:rPr>
        <w:t>directed Mr. Black to submit to the OALJ any documentation that he had evidencing the circumstances that prevented him from attending the June 19, 2018 hearing.</w:t>
      </w:r>
      <w:r>
        <w:rPr>
          <w:rFonts w:ascii="Times New Roman" w:hAnsi="Times New Roman" w:cs="Times New Roman"/>
          <w:b/>
        </w:rPr>
        <w:t xml:space="preserve">  </w:t>
      </w:r>
      <w:r w:rsidR="006264E1" w:rsidRPr="000C34F1">
        <w:rPr>
          <w:rFonts w:ascii="Times New Roman" w:hAnsi="Times New Roman" w:cs="Times New Roman"/>
          <w:color w:val="000000"/>
        </w:rPr>
        <w:t xml:space="preserve">Mr. Black was told in the Interim Order that, </w:t>
      </w:r>
      <w:r w:rsidR="006264E1">
        <w:rPr>
          <w:rFonts w:ascii="Times New Roman" w:hAnsi="Times New Roman" w:cs="Times New Roman"/>
        </w:rPr>
        <w:t>u</w:t>
      </w:r>
      <w:r w:rsidR="006264E1" w:rsidRPr="00BB4E22">
        <w:rPr>
          <w:rFonts w:ascii="Times New Roman" w:hAnsi="Times New Roman" w:cs="Times New Roman"/>
        </w:rPr>
        <w:t xml:space="preserve">pon receiving such documentation, </w:t>
      </w:r>
      <w:r w:rsidR="006264E1">
        <w:rPr>
          <w:rFonts w:ascii="Times New Roman" w:hAnsi="Times New Roman" w:cs="Times New Roman"/>
        </w:rPr>
        <w:t xml:space="preserve">I would </w:t>
      </w:r>
      <w:r w:rsidR="006264E1" w:rsidRPr="00BB4E22">
        <w:rPr>
          <w:rFonts w:ascii="Times New Roman" w:hAnsi="Times New Roman" w:cs="Times New Roman"/>
        </w:rPr>
        <w:t xml:space="preserve">determine if exigent circumstances existed to excuse the Complainant from appearing at the scheduled hearing.  If it </w:t>
      </w:r>
      <w:r w:rsidR="006264E1">
        <w:rPr>
          <w:rFonts w:ascii="Times New Roman" w:hAnsi="Times New Roman" w:cs="Times New Roman"/>
        </w:rPr>
        <w:t xml:space="preserve">was </w:t>
      </w:r>
      <w:r w:rsidR="006264E1" w:rsidRPr="00BB4E22">
        <w:rPr>
          <w:rFonts w:ascii="Times New Roman" w:hAnsi="Times New Roman" w:cs="Times New Roman"/>
        </w:rPr>
        <w:t xml:space="preserve">determined </w:t>
      </w:r>
      <w:r w:rsidR="006264E1" w:rsidRPr="00BB4E22">
        <w:rPr>
          <w:rFonts w:ascii="Times New Roman" w:hAnsi="Times New Roman" w:cs="Times New Roman"/>
        </w:rPr>
        <w:lastRenderedPageBreak/>
        <w:t>that exigent circumstances exist</w:t>
      </w:r>
      <w:r w:rsidR="006264E1">
        <w:rPr>
          <w:rFonts w:ascii="Times New Roman" w:hAnsi="Times New Roman" w:cs="Times New Roman"/>
        </w:rPr>
        <w:t>ed</w:t>
      </w:r>
      <w:r w:rsidR="006264E1" w:rsidRPr="00BB4E22">
        <w:rPr>
          <w:rFonts w:ascii="Times New Roman" w:hAnsi="Times New Roman" w:cs="Times New Roman"/>
        </w:rPr>
        <w:t xml:space="preserve">, then a further telephonic hearing </w:t>
      </w:r>
      <w:r w:rsidR="006264E1">
        <w:rPr>
          <w:rFonts w:ascii="Times New Roman" w:hAnsi="Times New Roman" w:cs="Times New Roman"/>
        </w:rPr>
        <w:t>would</w:t>
      </w:r>
      <w:r w:rsidR="006264E1" w:rsidRPr="00BB4E22">
        <w:rPr>
          <w:rFonts w:ascii="Times New Roman" w:hAnsi="Times New Roman" w:cs="Times New Roman"/>
        </w:rPr>
        <w:t xml:space="preserve"> be scheduled for this matter.  If it </w:t>
      </w:r>
      <w:r w:rsidR="006264E1">
        <w:rPr>
          <w:rFonts w:ascii="Times New Roman" w:hAnsi="Times New Roman" w:cs="Times New Roman"/>
        </w:rPr>
        <w:t>was</w:t>
      </w:r>
      <w:r w:rsidR="006264E1" w:rsidRPr="00BB4E22">
        <w:rPr>
          <w:rFonts w:ascii="Times New Roman" w:hAnsi="Times New Roman" w:cs="Times New Roman"/>
        </w:rPr>
        <w:t xml:space="preserve"> determined that exigent circumstances d</w:t>
      </w:r>
      <w:r w:rsidR="006264E1">
        <w:rPr>
          <w:rFonts w:ascii="Times New Roman" w:hAnsi="Times New Roman" w:cs="Times New Roman"/>
        </w:rPr>
        <w:t>id</w:t>
      </w:r>
      <w:r w:rsidR="006264E1" w:rsidRPr="00BB4E22">
        <w:rPr>
          <w:rFonts w:ascii="Times New Roman" w:hAnsi="Times New Roman" w:cs="Times New Roman"/>
        </w:rPr>
        <w:t xml:space="preserve"> not exist, the record </w:t>
      </w:r>
      <w:r w:rsidR="006264E1">
        <w:rPr>
          <w:rFonts w:ascii="Times New Roman" w:hAnsi="Times New Roman" w:cs="Times New Roman"/>
        </w:rPr>
        <w:t>would</w:t>
      </w:r>
      <w:r w:rsidR="006264E1" w:rsidRPr="00BB4E22">
        <w:rPr>
          <w:rFonts w:ascii="Times New Roman" w:hAnsi="Times New Roman" w:cs="Times New Roman"/>
        </w:rPr>
        <w:t xml:space="preserve"> be </w:t>
      </w:r>
      <w:r w:rsidR="001D36A5" w:rsidRPr="00BB4E22">
        <w:rPr>
          <w:rFonts w:ascii="Times New Roman" w:hAnsi="Times New Roman" w:cs="Times New Roman"/>
        </w:rPr>
        <w:t>closed,</w:t>
      </w:r>
      <w:r w:rsidR="006264E1" w:rsidRPr="00BB4E22">
        <w:rPr>
          <w:rFonts w:ascii="Times New Roman" w:hAnsi="Times New Roman" w:cs="Times New Roman"/>
        </w:rPr>
        <w:t xml:space="preserve"> and an Initial Decision </w:t>
      </w:r>
      <w:r w:rsidR="006264E1">
        <w:rPr>
          <w:rFonts w:ascii="Times New Roman" w:hAnsi="Times New Roman" w:cs="Times New Roman"/>
        </w:rPr>
        <w:t>would</w:t>
      </w:r>
      <w:r w:rsidR="006264E1" w:rsidRPr="00BB4E22">
        <w:rPr>
          <w:rFonts w:ascii="Times New Roman" w:hAnsi="Times New Roman" w:cs="Times New Roman"/>
        </w:rPr>
        <w:t xml:space="preserve"> be issue</w:t>
      </w:r>
      <w:r w:rsidR="006264E1">
        <w:rPr>
          <w:rFonts w:ascii="Times New Roman" w:hAnsi="Times New Roman" w:cs="Times New Roman"/>
        </w:rPr>
        <w:t>d</w:t>
      </w:r>
      <w:r w:rsidR="006264E1" w:rsidRPr="00BB4E22">
        <w:rPr>
          <w:rFonts w:ascii="Times New Roman" w:hAnsi="Times New Roman" w:cs="Times New Roman"/>
        </w:rPr>
        <w:t xml:space="preserve">.  If no documentation </w:t>
      </w:r>
      <w:r w:rsidR="006264E1">
        <w:rPr>
          <w:rFonts w:ascii="Times New Roman" w:hAnsi="Times New Roman" w:cs="Times New Roman"/>
        </w:rPr>
        <w:t>was</w:t>
      </w:r>
      <w:r w:rsidR="006264E1" w:rsidRPr="00BB4E22">
        <w:rPr>
          <w:rFonts w:ascii="Times New Roman" w:hAnsi="Times New Roman" w:cs="Times New Roman"/>
        </w:rPr>
        <w:t xml:space="preserve"> received from the Complainant, then the record </w:t>
      </w:r>
      <w:r w:rsidR="006264E1">
        <w:rPr>
          <w:rFonts w:ascii="Times New Roman" w:hAnsi="Times New Roman" w:cs="Times New Roman"/>
        </w:rPr>
        <w:t>would</w:t>
      </w:r>
      <w:r w:rsidR="006264E1" w:rsidRPr="00BB4E22">
        <w:rPr>
          <w:rFonts w:ascii="Times New Roman" w:hAnsi="Times New Roman" w:cs="Times New Roman"/>
        </w:rPr>
        <w:t xml:space="preserve"> be </w:t>
      </w:r>
      <w:r w:rsidR="001D36A5" w:rsidRPr="00BB4E22">
        <w:rPr>
          <w:rFonts w:ascii="Times New Roman" w:hAnsi="Times New Roman" w:cs="Times New Roman"/>
        </w:rPr>
        <w:t>closed,</w:t>
      </w:r>
      <w:r w:rsidR="006264E1" w:rsidRPr="00BB4E22">
        <w:rPr>
          <w:rFonts w:ascii="Times New Roman" w:hAnsi="Times New Roman" w:cs="Times New Roman"/>
        </w:rPr>
        <w:t xml:space="preserve"> and an Initial Decision </w:t>
      </w:r>
      <w:r w:rsidR="006264E1">
        <w:rPr>
          <w:rFonts w:ascii="Times New Roman" w:hAnsi="Times New Roman" w:cs="Times New Roman"/>
        </w:rPr>
        <w:t>would</w:t>
      </w:r>
      <w:r w:rsidR="006264E1" w:rsidRPr="00BB4E22">
        <w:rPr>
          <w:rFonts w:ascii="Times New Roman" w:hAnsi="Times New Roman" w:cs="Times New Roman"/>
        </w:rPr>
        <w:t xml:space="preserve"> be issued.</w:t>
      </w:r>
      <w:r w:rsidR="006264E1">
        <w:rPr>
          <w:rFonts w:ascii="Times New Roman" w:hAnsi="Times New Roman" w:cs="Times New Roman"/>
        </w:rPr>
        <w:t xml:space="preserve">  Mr. Black was given until 10:00 a.m. June 29, 2018</w:t>
      </w:r>
      <w:r w:rsidR="001D36A5">
        <w:rPr>
          <w:rFonts w:ascii="Times New Roman" w:hAnsi="Times New Roman" w:cs="Times New Roman"/>
        </w:rPr>
        <w:t>,</w:t>
      </w:r>
      <w:r w:rsidR="006264E1">
        <w:rPr>
          <w:rFonts w:ascii="Times New Roman" w:hAnsi="Times New Roman" w:cs="Times New Roman"/>
        </w:rPr>
        <w:t xml:space="preserve"> to provide this documentation.</w:t>
      </w:r>
    </w:p>
    <w:p w14:paraId="651D5112" w14:textId="30BBFC4D" w:rsidR="00D54F35" w:rsidRDefault="00D54F35" w:rsidP="00155EE3">
      <w:pPr>
        <w:autoSpaceDE/>
        <w:autoSpaceDN/>
        <w:spacing w:line="360" w:lineRule="auto"/>
        <w:ind w:firstLine="1440"/>
        <w:rPr>
          <w:rFonts w:ascii="Times New Roman" w:hAnsi="Times New Roman" w:cs="Times New Roman"/>
        </w:rPr>
      </w:pPr>
    </w:p>
    <w:p w14:paraId="3EE55AF7" w14:textId="0462B35F" w:rsidR="00D54F35" w:rsidRDefault="00D54F35" w:rsidP="00D54F35">
      <w:pPr>
        <w:autoSpaceDE/>
        <w:autoSpaceDN/>
        <w:spacing w:line="360" w:lineRule="auto"/>
        <w:ind w:firstLine="1440"/>
        <w:rPr>
          <w:rFonts w:ascii="Times New Roman" w:hAnsi="Times New Roman" w:cs="Times New Roman"/>
        </w:rPr>
      </w:pPr>
      <w:r>
        <w:rPr>
          <w:rFonts w:ascii="Times New Roman" w:hAnsi="Times New Roman" w:cs="Times New Roman"/>
        </w:rPr>
        <w:t xml:space="preserve">On June 28, 2018, the OALJ received a letter from Mr. Black.  The letter states that Mr. Black was unable to be present at the hearing due to the “lost of a </w:t>
      </w:r>
      <w:proofErr w:type="gramStart"/>
      <w:r>
        <w:rPr>
          <w:rFonts w:ascii="Times New Roman" w:hAnsi="Times New Roman" w:cs="Times New Roman"/>
        </w:rPr>
        <w:t>long time</w:t>
      </w:r>
      <w:proofErr w:type="gramEnd"/>
      <w:r>
        <w:rPr>
          <w:rFonts w:ascii="Times New Roman" w:hAnsi="Times New Roman" w:cs="Times New Roman"/>
        </w:rPr>
        <w:t xml:space="preserve"> friend to a tragic accident.”  Attached to the letter was the obituary of the friend.  The friend passed away on June 13, 2018</w:t>
      </w:r>
      <w:r w:rsidR="00C6474C">
        <w:rPr>
          <w:rFonts w:ascii="Times New Roman" w:hAnsi="Times New Roman" w:cs="Times New Roman"/>
        </w:rPr>
        <w:t>,</w:t>
      </w:r>
      <w:r>
        <w:rPr>
          <w:rFonts w:ascii="Times New Roman" w:hAnsi="Times New Roman" w:cs="Times New Roman"/>
        </w:rPr>
        <w:t xml:space="preserve"> and the funeral mass was June 19, 2018, at 10 a.m., the same time and day as the hearing.</w:t>
      </w:r>
      <w:r w:rsidR="004D0298">
        <w:rPr>
          <w:rFonts w:ascii="Times New Roman" w:hAnsi="Times New Roman" w:cs="Times New Roman"/>
        </w:rPr>
        <w:t xml:space="preserve">  Attorney Christlieb was “cc’d” on the letter, but I scanned and emailed the letter and the obituary to Attorney Christlieb in case she did not receive the documents. </w:t>
      </w:r>
    </w:p>
    <w:p w14:paraId="6DFBFD41" w14:textId="772F998D" w:rsidR="00D54F35" w:rsidRDefault="00D54F35" w:rsidP="00D54F35">
      <w:pPr>
        <w:autoSpaceDE/>
        <w:autoSpaceDN/>
        <w:spacing w:line="360" w:lineRule="auto"/>
        <w:rPr>
          <w:rFonts w:ascii="Times New Roman" w:hAnsi="Times New Roman" w:cs="Times New Roman"/>
        </w:rPr>
      </w:pPr>
    </w:p>
    <w:p w14:paraId="7822A8A3" w14:textId="5853CFDE" w:rsidR="00D54F35" w:rsidRDefault="00D54F35" w:rsidP="00D54F35">
      <w:pPr>
        <w:autoSpaceDE/>
        <w:autoSpaceDN/>
        <w:spacing w:line="360" w:lineRule="auto"/>
        <w:ind w:firstLine="1440"/>
        <w:rPr>
          <w:rFonts w:ascii="Times New Roman" w:hAnsi="Times New Roman" w:cs="Times New Roman"/>
        </w:rPr>
      </w:pPr>
      <w:r>
        <w:rPr>
          <w:rFonts w:ascii="Times New Roman" w:hAnsi="Times New Roman" w:cs="Times New Roman"/>
        </w:rPr>
        <w:t xml:space="preserve">As stated, I ordered that Mr. Black submit documentation </w:t>
      </w:r>
      <w:r w:rsidR="00C6474C">
        <w:rPr>
          <w:rFonts w:ascii="Times New Roman" w:hAnsi="Times New Roman" w:cs="Times New Roman"/>
        </w:rPr>
        <w:t>to support his second request for a continuance in this matter</w:t>
      </w:r>
      <w:r>
        <w:rPr>
          <w:rFonts w:ascii="Times New Roman" w:hAnsi="Times New Roman" w:cs="Times New Roman"/>
        </w:rPr>
        <w:t>.</w:t>
      </w:r>
      <w:r w:rsidR="0047721F">
        <w:rPr>
          <w:rFonts w:ascii="Times New Roman" w:hAnsi="Times New Roman" w:cs="Times New Roman"/>
        </w:rPr>
        <w:t xml:space="preserve">  Mr. Black complied with said Order.  The question now becomes, </w:t>
      </w:r>
      <w:r w:rsidR="00C6474C">
        <w:rPr>
          <w:rFonts w:ascii="Times New Roman" w:hAnsi="Times New Roman" w:cs="Times New Roman"/>
        </w:rPr>
        <w:t>whether</w:t>
      </w:r>
      <w:r w:rsidR="0047721F">
        <w:rPr>
          <w:rFonts w:ascii="Times New Roman" w:hAnsi="Times New Roman" w:cs="Times New Roman"/>
        </w:rPr>
        <w:t xml:space="preserve"> attending the funeral of a “</w:t>
      </w:r>
      <w:proofErr w:type="spellStart"/>
      <w:r w:rsidR="0047721F">
        <w:rPr>
          <w:rFonts w:ascii="Times New Roman" w:hAnsi="Times New Roman" w:cs="Times New Roman"/>
        </w:rPr>
        <w:t>long time</w:t>
      </w:r>
      <w:proofErr w:type="spellEnd"/>
      <w:r w:rsidR="0047721F">
        <w:rPr>
          <w:rFonts w:ascii="Times New Roman" w:hAnsi="Times New Roman" w:cs="Times New Roman"/>
        </w:rPr>
        <w:t xml:space="preserve"> friend” was an exigent circumstance that excuses his failure to appear for his hearing.</w:t>
      </w:r>
    </w:p>
    <w:p w14:paraId="48F0D790" w14:textId="3BFFFB54" w:rsidR="004D0298" w:rsidRDefault="004D0298" w:rsidP="00D54F35">
      <w:pPr>
        <w:autoSpaceDE/>
        <w:autoSpaceDN/>
        <w:spacing w:line="360" w:lineRule="auto"/>
        <w:ind w:firstLine="1440"/>
        <w:rPr>
          <w:rFonts w:ascii="Times New Roman" w:hAnsi="Times New Roman" w:cs="Times New Roman"/>
        </w:rPr>
      </w:pPr>
    </w:p>
    <w:p w14:paraId="6659959D" w14:textId="225A5FCD" w:rsidR="004D0298" w:rsidRDefault="004D0298" w:rsidP="00D54F35">
      <w:pPr>
        <w:autoSpaceDE/>
        <w:autoSpaceDN/>
        <w:spacing w:line="360" w:lineRule="auto"/>
        <w:ind w:firstLine="1440"/>
        <w:rPr>
          <w:rFonts w:ascii="Times New Roman" w:hAnsi="Times New Roman" w:cs="Times New Roman"/>
        </w:rPr>
      </w:pPr>
      <w:r>
        <w:rPr>
          <w:rFonts w:ascii="Times New Roman" w:hAnsi="Times New Roman" w:cs="Times New Roman"/>
        </w:rPr>
        <w:t>It is necessary to address the fact that given that Mr. Black’s friend passed</w:t>
      </w:r>
      <w:r w:rsidR="00CD4E35">
        <w:rPr>
          <w:rFonts w:ascii="Times New Roman" w:hAnsi="Times New Roman" w:cs="Times New Roman"/>
        </w:rPr>
        <w:t xml:space="preserve"> away on June 13, 2018, Mr. Black could have contacted the OALJ any of the six days leading up to the hearing on June 19, 2018, to request a continuance.  Instead, Mr. Black choose not to inform the OALJ that he could not make the hearing the morning of the scheduled hearing.  In the letter, Mr. Black states that “I was at his funeral on June 19, 2018 when I got </w:t>
      </w:r>
      <w:proofErr w:type="gramStart"/>
      <w:r w:rsidR="00CD4E35">
        <w:rPr>
          <w:rFonts w:ascii="Times New Roman" w:hAnsi="Times New Roman" w:cs="Times New Roman"/>
        </w:rPr>
        <w:t>a</w:t>
      </w:r>
      <w:proofErr w:type="gramEnd"/>
      <w:r w:rsidR="00CD4E35">
        <w:rPr>
          <w:rFonts w:ascii="Times New Roman" w:hAnsi="Times New Roman" w:cs="Times New Roman"/>
        </w:rPr>
        <w:t xml:space="preserve"> alert on my phone reminding about the 10:00 a.m. hearing.  I got the alert at 8:30 a.m. with everything that was going on the past couple of days prior the hearing was forgotten by me.”  Due to the emotional impact that the loss of a friend might have had on Mr. Black, the lack of timeliness of the request for continuance will be excused.  Furthermore, I have already stated in this Order that Mr. Black’s phone call will be construed to be a properly made second request for a continuance</w:t>
      </w:r>
      <w:r w:rsidR="00C6474C">
        <w:rPr>
          <w:rFonts w:ascii="Times New Roman" w:hAnsi="Times New Roman" w:cs="Times New Roman"/>
        </w:rPr>
        <w:t>.</w:t>
      </w:r>
    </w:p>
    <w:p w14:paraId="720B8014" w14:textId="3E3D83BD" w:rsidR="00CD4E35" w:rsidRDefault="00CD4E35" w:rsidP="00D54F35">
      <w:pPr>
        <w:autoSpaceDE/>
        <w:autoSpaceDN/>
        <w:spacing w:line="360" w:lineRule="auto"/>
        <w:ind w:firstLine="1440"/>
        <w:rPr>
          <w:rFonts w:ascii="Times New Roman" w:hAnsi="Times New Roman" w:cs="Times New Roman"/>
        </w:rPr>
      </w:pPr>
    </w:p>
    <w:p w14:paraId="58F3C8E5" w14:textId="32A363DA" w:rsidR="00CD4E35" w:rsidRDefault="00CD4E35" w:rsidP="00CD4E35">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will find that attending the funeral of a “long time friend” was an exigent circumstance that excuses </w:t>
      </w:r>
      <w:r w:rsidR="00462AE9">
        <w:rPr>
          <w:rFonts w:ascii="Times New Roman" w:hAnsi="Times New Roman" w:cs="Times New Roman"/>
        </w:rPr>
        <w:t>Mr. Black’s</w:t>
      </w:r>
      <w:r>
        <w:rPr>
          <w:rFonts w:ascii="Times New Roman" w:hAnsi="Times New Roman" w:cs="Times New Roman"/>
        </w:rPr>
        <w:t xml:space="preserve"> failure to appear for the June 19, 2018 hearing.</w:t>
      </w:r>
      <w:r w:rsidR="00124434">
        <w:rPr>
          <w:rFonts w:ascii="Times New Roman" w:hAnsi="Times New Roman" w:cs="Times New Roman"/>
        </w:rPr>
        <w:t xml:space="preserve">  This is </w:t>
      </w:r>
      <w:r w:rsidR="00124434">
        <w:rPr>
          <w:rFonts w:ascii="Times New Roman" w:hAnsi="Times New Roman" w:cs="Times New Roman"/>
        </w:rPr>
        <w:lastRenderedPageBreak/>
        <w:t>Mr. Black’s second request for a continuance that is being granted</w:t>
      </w:r>
      <w:r w:rsidR="00462AE9">
        <w:rPr>
          <w:rFonts w:ascii="Times New Roman" w:hAnsi="Times New Roman" w:cs="Times New Roman"/>
        </w:rPr>
        <w:t>.  It will be noted</w:t>
      </w:r>
      <w:r w:rsidR="00C6474C">
        <w:rPr>
          <w:rFonts w:ascii="Times New Roman" w:hAnsi="Times New Roman" w:cs="Times New Roman"/>
        </w:rPr>
        <w:t xml:space="preserve"> again</w:t>
      </w:r>
      <w:r w:rsidR="00462AE9">
        <w:rPr>
          <w:rFonts w:ascii="Times New Roman" w:hAnsi="Times New Roman" w:cs="Times New Roman"/>
        </w:rPr>
        <w:t>,</w:t>
      </w:r>
      <w:r w:rsidR="00C6474C">
        <w:rPr>
          <w:rFonts w:ascii="Times New Roman" w:hAnsi="Times New Roman" w:cs="Times New Roman"/>
        </w:rPr>
        <w:t xml:space="preserve"> as in the previous Order granting a request for continuance,</w:t>
      </w:r>
      <w:r w:rsidR="00462AE9">
        <w:rPr>
          <w:rFonts w:ascii="Times New Roman" w:hAnsi="Times New Roman" w:cs="Times New Roman"/>
        </w:rPr>
        <w:t xml:space="preserve"> that </w:t>
      </w:r>
      <w:r w:rsidR="00124434" w:rsidRPr="00EF1DC4">
        <w:rPr>
          <w:rFonts w:ascii="Times New Roman" w:hAnsi="Times New Roman" w:cs="Times New Roman"/>
          <w:spacing w:val="-3"/>
        </w:rPr>
        <w:t xml:space="preserve">absent exigent circumstances, </w:t>
      </w:r>
      <w:r w:rsidR="00124434" w:rsidRPr="002A3C8B">
        <w:rPr>
          <w:rFonts w:ascii="Times New Roman" w:hAnsi="Times New Roman" w:cs="Times New Roman"/>
          <w:b/>
          <w:spacing w:val="-3"/>
        </w:rPr>
        <w:t>no further continuances</w:t>
      </w:r>
      <w:r w:rsidR="00124434" w:rsidRPr="00EF1DC4">
        <w:rPr>
          <w:rFonts w:ascii="Times New Roman" w:hAnsi="Times New Roman" w:cs="Times New Roman"/>
          <w:spacing w:val="-3"/>
        </w:rPr>
        <w:t xml:space="preserve"> made on Mr. Black’s behalf will be granted.  </w:t>
      </w:r>
      <w:r w:rsidR="00124434">
        <w:rPr>
          <w:rFonts w:ascii="Times New Roman" w:hAnsi="Times New Roman" w:cs="Times New Roman"/>
        </w:rPr>
        <w:t xml:space="preserve">Mr. Black’s second request for a continuance will be granted, and a further hearing in this matter will be scheduled.  </w:t>
      </w:r>
    </w:p>
    <w:p w14:paraId="02B64BA7" w14:textId="73A60B07" w:rsidR="00D54F35" w:rsidRDefault="00D54F35" w:rsidP="00EE4439">
      <w:pPr>
        <w:spacing w:line="360" w:lineRule="auto"/>
        <w:ind w:right="-360"/>
      </w:pPr>
    </w:p>
    <w:p w14:paraId="5F4E4741" w14:textId="1D5DC217" w:rsidR="00EE4439" w:rsidRPr="00EE4439" w:rsidRDefault="00EE4439" w:rsidP="00CA5A53">
      <w:pPr>
        <w:spacing w:line="360" w:lineRule="auto"/>
        <w:ind w:right="-360"/>
        <w:jc w:val="center"/>
        <w:rPr>
          <w:u w:val="single"/>
        </w:rPr>
      </w:pPr>
      <w:r w:rsidRPr="00EE4439">
        <w:rPr>
          <w:u w:val="single"/>
        </w:rPr>
        <w:t>ORDER</w:t>
      </w:r>
    </w:p>
    <w:p w14:paraId="3B2D9FD4" w14:textId="30EBBB1B" w:rsidR="00EE4439" w:rsidRDefault="00EE4439" w:rsidP="00EE4439">
      <w:pPr>
        <w:spacing w:line="360" w:lineRule="auto"/>
        <w:ind w:right="-360"/>
      </w:pPr>
    </w:p>
    <w:p w14:paraId="5E75D0F9" w14:textId="77777777" w:rsidR="00EE4439" w:rsidRDefault="00EE4439" w:rsidP="00EE4439">
      <w:pPr>
        <w:spacing w:line="360" w:lineRule="auto"/>
        <w:ind w:right="-360"/>
      </w:pPr>
    </w:p>
    <w:p w14:paraId="605963CD" w14:textId="77777777" w:rsidR="00EE4439" w:rsidRDefault="00EE4439" w:rsidP="00EE4439">
      <w:pPr>
        <w:spacing w:line="360" w:lineRule="auto"/>
        <w:ind w:right="-360"/>
      </w:pPr>
      <w:r>
        <w:tab/>
      </w:r>
      <w:r>
        <w:tab/>
        <w:t>THEREFORE,</w:t>
      </w:r>
    </w:p>
    <w:p w14:paraId="60569CDE" w14:textId="77777777" w:rsidR="00EE4439" w:rsidRPr="004D771E" w:rsidRDefault="00EE4439" w:rsidP="00EE4439">
      <w:pPr>
        <w:spacing w:line="360" w:lineRule="auto"/>
        <w:ind w:right="-360"/>
      </w:pPr>
    </w:p>
    <w:p w14:paraId="75CCD1FA" w14:textId="77777777" w:rsidR="00EE4439" w:rsidRPr="004D771E" w:rsidRDefault="00EE4439" w:rsidP="00EE4439">
      <w:pPr>
        <w:spacing w:line="360" w:lineRule="auto"/>
        <w:ind w:right="-360"/>
      </w:pPr>
      <w:r w:rsidRPr="004D771E">
        <w:tab/>
      </w:r>
      <w:r w:rsidRPr="004D771E">
        <w:tab/>
        <w:t>IT IS ORDERED:</w:t>
      </w:r>
    </w:p>
    <w:p w14:paraId="4DA06226" w14:textId="77777777" w:rsidR="00EE4439" w:rsidRPr="004D771E" w:rsidRDefault="00EE4439" w:rsidP="00EE4439">
      <w:pPr>
        <w:spacing w:line="360" w:lineRule="auto"/>
        <w:ind w:right="-360"/>
      </w:pPr>
    </w:p>
    <w:p w14:paraId="22AF88FE" w14:textId="70CA2FC4" w:rsidR="00CA5A53" w:rsidRDefault="003E3FF1" w:rsidP="003E3FF1">
      <w:pPr>
        <w:numPr>
          <w:ilvl w:val="0"/>
          <w:numId w:val="9"/>
        </w:numPr>
        <w:tabs>
          <w:tab w:val="clear" w:pos="2160"/>
          <w:tab w:val="num" w:pos="1440"/>
        </w:tabs>
        <w:autoSpaceDE/>
        <w:autoSpaceDN/>
        <w:spacing w:line="360" w:lineRule="auto"/>
        <w:ind w:left="0" w:right="-360" w:firstLine="1440"/>
      </w:pPr>
      <w:r>
        <w:t xml:space="preserve">That the Complainant’s second request for a continuance in the matter of Patrick Black v. Philadelphia Gas Works at Docket No. C-2018-3000864 is </w:t>
      </w:r>
      <w:r w:rsidR="00462AE9">
        <w:t>granted</w:t>
      </w:r>
      <w:r>
        <w:t>.</w:t>
      </w:r>
    </w:p>
    <w:p w14:paraId="17975D34" w14:textId="77777777" w:rsidR="0091593B" w:rsidRDefault="0091593B" w:rsidP="0091593B">
      <w:pPr>
        <w:autoSpaceDE/>
        <w:autoSpaceDN/>
        <w:spacing w:line="360" w:lineRule="auto"/>
        <w:ind w:left="1440" w:right="-360"/>
      </w:pPr>
    </w:p>
    <w:p w14:paraId="37487FF9" w14:textId="36100887" w:rsidR="0091593B" w:rsidRDefault="0091593B" w:rsidP="003E3FF1">
      <w:pPr>
        <w:numPr>
          <w:ilvl w:val="0"/>
          <w:numId w:val="9"/>
        </w:numPr>
        <w:tabs>
          <w:tab w:val="clear" w:pos="2160"/>
          <w:tab w:val="num" w:pos="1440"/>
        </w:tabs>
        <w:autoSpaceDE/>
        <w:autoSpaceDN/>
        <w:spacing w:line="360" w:lineRule="auto"/>
        <w:ind w:left="0" w:right="-360" w:firstLine="1440"/>
      </w:pPr>
      <w:r>
        <w:t>Philadelphia Gas Work’s Motion to Dismiss the Complaint at Docket No. C-2018-3000864 is denied.</w:t>
      </w:r>
    </w:p>
    <w:p w14:paraId="26F51979" w14:textId="77777777" w:rsidR="0091593B" w:rsidRDefault="0091593B" w:rsidP="0091593B">
      <w:pPr>
        <w:autoSpaceDE/>
        <w:autoSpaceDN/>
        <w:spacing w:line="360" w:lineRule="auto"/>
        <w:ind w:right="-360"/>
      </w:pPr>
    </w:p>
    <w:p w14:paraId="099FDEB4" w14:textId="4B0DF058" w:rsidR="0091593B" w:rsidRDefault="0091593B" w:rsidP="003E3FF1">
      <w:pPr>
        <w:numPr>
          <w:ilvl w:val="0"/>
          <w:numId w:val="9"/>
        </w:numPr>
        <w:tabs>
          <w:tab w:val="clear" w:pos="2160"/>
          <w:tab w:val="num" w:pos="1440"/>
        </w:tabs>
        <w:autoSpaceDE/>
        <w:autoSpaceDN/>
        <w:spacing w:line="360" w:lineRule="auto"/>
        <w:ind w:left="0" w:right="-360" w:firstLine="1440"/>
      </w:pPr>
      <w:r>
        <w:t>Philadelphia Gas Work’s Motion to Preclude Patrick Black from filing further Informal or Formal Complaints on his balance is denied.</w:t>
      </w:r>
    </w:p>
    <w:p w14:paraId="48EA6505" w14:textId="1AE58686" w:rsidR="00CA5A53" w:rsidRDefault="00CA5A53" w:rsidP="00CA5A53">
      <w:pPr>
        <w:autoSpaceDE/>
        <w:autoSpaceDN/>
        <w:spacing w:line="360" w:lineRule="auto"/>
        <w:ind w:left="2160" w:right="-360"/>
      </w:pPr>
    </w:p>
    <w:p w14:paraId="6B7EDE6D" w14:textId="0D78BA40" w:rsidR="00EE4439" w:rsidRPr="004D771E" w:rsidRDefault="00462AE9" w:rsidP="00462AE9">
      <w:pPr>
        <w:numPr>
          <w:ilvl w:val="0"/>
          <w:numId w:val="9"/>
        </w:numPr>
        <w:autoSpaceDE/>
        <w:autoSpaceDN/>
        <w:spacing w:line="360" w:lineRule="auto"/>
        <w:ind w:right="-360"/>
      </w:pPr>
      <w:r>
        <w:t>A hearing at</w:t>
      </w:r>
      <w:r w:rsidR="00EE4439" w:rsidRPr="004D771E">
        <w:t xml:space="preserve"> Docket No. </w:t>
      </w:r>
      <w:r w:rsidR="00EE4439">
        <w:t xml:space="preserve">C-2018-3000864 </w:t>
      </w:r>
      <w:r>
        <w:t>will be scheduled for a further date.</w:t>
      </w:r>
    </w:p>
    <w:p w14:paraId="634EEBE0" w14:textId="77777777" w:rsidR="000C34F1" w:rsidRPr="000C34F1" w:rsidRDefault="000C34F1" w:rsidP="000C34F1">
      <w:pPr>
        <w:autoSpaceDE/>
        <w:autoSpaceDN/>
        <w:spacing w:line="360" w:lineRule="auto"/>
        <w:ind w:firstLine="1440"/>
        <w:rPr>
          <w:rFonts w:ascii="Times New Roman" w:hAnsi="Times New Roman" w:cs="Times New Roman"/>
          <w:color w:val="000000"/>
        </w:rPr>
      </w:pPr>
    </w:p>
    <w:p w14:paraId="65BBCBA3" w14:textId="77777777" w:rsidR="000C34F1" w:rsidRDefault="000C34F1" w:rsidP="000C34F1"/>
    <w:p w14:paraId="277B7A6F" w14:textId="77777777" w:rsidR="007C5ED4" w:rsidRPr="00EF1DC4" w:rsidRDefault="007C5ED4" w:rsidP="0075380B">
      <w:pPr>
        <w:pStyle w:val="ParaTab1"/>
        <w:spacing w:line="360" w:lineRule="auto"/>
        <w:ind w:firstLine="0"/>
        <w:rPr>
          <w:rFonts w:ascii="Times New Roman" w:hAnsi="Times New Roman" w:cs="Times New Roman"/>
          <w:spacing w:val="-3"/>
        </w:rPr>
      </w:pPr>
    </w:p>
    <w:p w14:paraId="00535FAE" w14:textId="02580BBD" w:rsidR="0075380B" w:rsidRPr="00EF1DC4" w:rsidRDefault="0075380B" w:rsidP="0075380B">
      <w:pPr>
        <w:pStyle w:val="BodyText"/>
        <w:tabs>
          <w:tab w:val="clear" w:pos="0"/>
          <w:tab w:val="clear" w:pos="1440"/>
        </w:tabs>
        <w:spacing w:line="240" w:lineRule="auto"/>
        <w:jc w:val="left"/>
        <w:rPr>
          <w:szCs w:val="24"/>
          <w:u w:val="single"/>
        </w:rPr>
      </w:pPr>
      <w:r w:rsidRPr="00EF1DC4">
        <w:rPr>
          <w:szCs w:val="24"/>
        </w:rPr>
        <w:t>Date:</w:t>
      </w:r>
      <w:r w:rsidRPr="00EF1DC4">
        <w:rPr>
          <w:szCs w:val="24"/>
        </w:rPr>
        <w:tab/>
      </w:r>
      <w:r w:rsidR="00EE4439">
        <w:rPr>
          <w:szCs w:val="24"/>
          <w:u w:val="single"/>
        </w:rPr>
        <w:t>June</w:t>
      </w:r>
      <w:r w:rsidRPr="00EF1DC4">
        <w:rPr>
          <w:szCs w:val="24"/>
          <w:u w:val="single"/>
        </w:rPr>
        <w:t xml:space="preserve"> </w:t>
      </w:r>
      <w:r w:rsidR="00E57C98" w:rsidRPr="00EF1DC4">
        <w:rPr>
          <w:szCs w:val="24"/>
          <w:u w:val="single"/>
        </w:rPr>
        <w:t>29</w:t>
      </w:r>
      <w:r w:rsidRPr="00EF1DC4">
        <w:rPr>
          <w:szCs w:val="24"/>
          <w:u w:val="single"/>
        </w:rPr>
        <w:t>, 2018</w:t>
      </w:r>
      <w:r w:rsidRPr="00EF1DC4">
        <w:rPr>
          <w:szCs w:val="24"/>
        </w:rPr>
        <w:tab/>
      </w:r>
      <w:r w:rsidRPr="00EF1DC4">
        <w:rPr>
          <w:szCs w:val="24"/>
        </w:rPr>
        <w:tab/>
      </w:r>
      <w:r w:rsidRPr="00EF1DC4">
        <w:rPr>
          <w:szCs w:val="24"/>
        </w:rPr>
        <w:tab/>
      </w:r>
      <w:r w:rsidRPr="00EF1DC4">
        <w:rPr>
          <w:szCs w:val="24"/>
        </w:rPr>
        <w:tab/>
      </w:r>
      <w:r w:rsidRPr="00EF1DC4">
        <w:rPr>
          <w:szCs w:val="24"/>
        </w:rPr>
        <w:tab/>
      </w:r>
      <w:r w:rsidRPr="00EF1DC4">
        <w:rPr>
          <w:szCs w:val="24"/>
          <w:u w:val="single"/>
        </w:rPr>
        <w:tab/>
      </w:r>
      <w:r w:rsidRPr="00EF1DC4">
        <w:rPr>
          <w:szCs w:val="24"/>
          <w:u w:val="single"/>
        </w:rPr>
        <w:tab/>
        <w:t>/s/</w:t>
      </w:r>
      <w:r w:rsidRPr="00EF1DC4">
        <w:rPr>
          <w:szCs w:val="24"/>
          <w:u w:val="single"/>
        </w:rPr>
        <w:tab/>
      </w:r>
      <w:r w:rsidRPr="00EF1DC4">
        <w:rPr>
          <w:szCs w:val="24"/>
          <w:u w:val="single"/>
        </w:rPr>
        <w:tab/>
      </w:r>
      <w:r w:rsidRPr="00EF1DC4">
        <w:rPr>
          <w:szCs w:val="24"/>
          <w:u w:val="single"/>
        </w:rPr>
        <w:tab/>
      </w:r>
    </w:p>
    <w:p w14:paraId="198A4FAF" w14:textId="77777777" w:rsidR="0075380B" w:rsidRPr="00EF1DC4" w:rsidRDefault="0075380B" w:rsidP="0075380B">
      <w:pPr>
        <w:pStyle w:val="BodyText"/>
        <w:tabs>
          <w:tab w:val="clear" w:pos="0"/>
          <w:tab w:val="clear" w:pos="1440"/>
        </w:tabs>
        <w:spacing w:line="240" w:lineRule="auto"/>
        <w:jc w:val="left"/>
        <w:rPr>
          <w:szCs w:val="24"/>
        </w:rPr>
      </w:pPr>
      <w:r w:rsidRPr="00EF1DC4">
        <w:rPr>
          <w:szCs w:val="24"/>
        </w:rPr>
        <w:tab/>
      </w:r>
      <w:r w:rsidRPr="00EF1DC4">
        <w:rPr>
          <w:szCs w:val="24"/>
        </w:rPr>
        <w:tab/>
      </w:r>
      <w:r w:rsidRPr="00EF1DC4">
        <w:rPr>
          <w:szCs w:val="24"/>
        </w:rPr>
        <w:tab/>
      </w:r>
      <w:r w:rsidRPr="00EF1DC4">
        <w:rPr>
          <w:szCs w:val="24"/>
        </w:rPr>
        <w:tab/>
      </w:r>
      <w:r w:rsidRPr="00EF1DC4">
        <w:rPr>
          <w:szCs w:val="24"/>
        </w:rPr>
        <w:tab/>
      </w:r>
      <w:r w:rsidRPr="00EF1DC4">
        <w:rPr>
          <w:szCs w:val="24"/>
        </w:rPr>
        <w:tab/>
      </w:r>
      <w:r w:rsidRPr="00EF1DC4">
        <w:rPr>
          <w:szCs w:val="24"/>
        </w:rPr>
        <w:tab/>
        <w:t>Alphonso Arnold III</w:t>
      </w:r>
    </w:p>
    <w:p w14:paraId="6A1FAC43" w14:textId="77777777" w:rsidR="00E970EE" w:rsidRPr="00EF1DC4" w:rsidRDefault="0075380B" w:rsidP="00CD4221">
      <w:pPr>
        <w:pStyle w:val="BodyText"/>
        <w:spacing w:line="240" w:lineRule="auto"/>
        <w:jc w:val="left"/>
        <w:rPr>
          <w:szCs w:val="24"/>
        </w:rPr>
      </w:pPr>
      <w:r w:rsidRPr="00EF1DC4">
        <w:rPr>
          <w:szCs w:val="24"/>
        </w:rPr>
        <w:tab/>
      </w:r>
      <w:r w:rsidRPr="00EF1DC4">
        <w:rPr>
          <w:szCs w:val="24"/>
        </w:rPr>
        <w:tab/>
      </w:r>
      <w:r w:rsidRPr="00EF1DC4">
        <w:rPr>
          <w:szCs w:val="24"/>
        </w:rPr>
        <w:tab/>
      </w:r>
      <w:r w:rsidRPr="00EF1DC4">
        <w:rPr>
          <w:szCs w:val="24"/>
        </w:rPr>
        <w:tab/>
      </w:r>
      <w:r w:rsidRPr="00EF1DC4">
        <w:rPr>
          <w:szCs w:val="24"/>
        </w:rPr>
        <w:tab/>
      </w:r>
      <w:r w:rsidRPr="00EF1DC4">
        <w:rPr>
          <w:szCs w:val="24"/>
        </w:rPr>
        <w:tab/>
      </w:r>
      <w:r w:rsidRPr="00EF1DC4">
        <w:rPr>
          <w:szCs w:val="24"/>
        </w:rPr>
        <w:tab/>
        <w:t>Special Agent</w:t>
      </w:r>
    </w:p>
    <w:p w14:paraId="5C207DAE" w14:textId="77777777" w:rsidR="008D729B" w:rsidRPr="00EF1DC4" w:rsidRDefault="008D729B" w:rsidP="008D729B">
      <w:pPr>
        <w:tabs>
          <w:tab w:val="left" w:pos="7650"/>
        </w:tabs>
        <w:rPr>
          <w:rFonts w:ascii="Times New Roman" w:hAnsi="Times New Roman" w:cs="Times New Roman"/>
        </w:rPr>
      </w:pPr>
      <w:r w:rsidRPr="00EF1DC4">
        <w:rPr>
          <w:rFonts w:ascii="Times New Roman" w:hAnsi="Times New Roman" w:cs="Times New Roman"/>
        </w:rPr>
        <w:tab/>
      </w:r>
    </w:p>
    <w:p w14:paraId="65826B7A" w14:textId="77777777" w:rsidR="00EF1DC4" w:rsidRPr="00EF1DC4" w:rsidRDefault="00EF1DC4" w:rsidP="008D729B">
      <w:pPr>
        <w:tabs>
          <w:tab w:val="left" w:pos="7650"/>
        </w:tabs>
        <w:rPr>
          <w:rFonts w:ascii="Times New Roman" w:hAnsi="Times New Roman" w:cs="Times New Roman"/>
        </w:rPr>
        <w:sectPr w:rsidR="00EF1DC4" w:rsidRPr="00EF1DC4" w:rsidSect="00FB32A0">
          <w:footerReference w:type="default" r:id="rId8"/>
          <w:footerReference w:type="first" r:id="rId9"/>
          <w:pgSz w:w="12240" w:h="15840" w:code="1"/>
          <w:pgMar w:top="1440" w:right="1440" w:bottom="1440" w:left="1440" w:header="720" w:footer="720" w:gutter="0"/>
          <w:pgNumType w:start="1"/>
          <w:cols w:space="720"/>
          <w:noEndnote/>
          <w:titlePg/>
          <w:docGrid w:linePitch="326"/>
        </w:sectPr>
      </w:pPr>
    </w:p>
    <w:p w14:paraId="57621D68" w14:textId="77777777" w:rsidR="00EF1DC4" w:rsidRPr="009D5463" w:rsidRDefault="00EF1DC4" w:rsidP="00EF1DC4">
      <w:pPr>
        <w:rPr>
          <w:rFonts w:ascii="Microsoft Sans Serif" w:eastAsia="Microsoft Sans Serif" w:hAnsi="Microsoft Sans Serif" w:cs="Microsoft Sans Serif"/>
        </w:rPr>
      </w:pPr>
      <w:r w:rsidRPr="009D5463">
        <w:rPr>
          <w:rFonts w:ascii="Microsoft Sans Serif" w:eastAsia="Microsoft Sans Serif" w:hAnsi="Microsoft Sans Serif" w:cs="Microsoft Sans Serif"/>
          <w:b/>
          <w:u w:val="single"/>
        </w:rPr>
        <w:lastRenderedPageBreak/>
        <w:t>C-2018-3000864 - PATRICK BLACK v. PHILADELPHIA GAS WORKS</w:t>
      </w:r>
      <w:r w:rsidRPr="009D5463">
        <w:rPr>
          <w:rFonts w:ascii="Microsoft Sans Serif" w:eastAsia="Microsoft Sans Serif" w:hAnsi="Microsoft Sans Serif" w:cs="Microsoft Sans Serif"/>
          <w:b/>
          <w:u w:val="single"/>
        </w:rPr>
        <w:cr/>
      </w:r>
      <w:r w:rsidRPr="009D5463">
        <w:rPr>
          <w:rFonts w:ascii="Microsoft Sans Serif" w:eastAsia="Microsoft Sans Serif" w:hAnsi="Microsoft Sans Serif" w:cs="Microsoft Sans Serif"/>
          <w:b/>
          <w:u w:val="single"/>
        </w:rPr>
        <w:cr/>
      </w:r>
      <w:r w:rsidRPr="009D5463">
        <w:rPr>
          <w:rFonts w:ascii="Microsoft Sans Serif" w:eastAsia="Microsoft Sans Serif" w:hAnsi="Microsoft Sans Serif" w:cs="Microsoft Sans Serif"/>
        </w:rPr>
        <w:t>PATRICK BLACK</w:t>
      </w:r>
      <w:r w:rsidRPr="009D5463">
        <w:rPr>
          <w:rFonts w:ascii="Microsoft Sans Serif" w:eastAsia="Microsoft Sans Serif" w:hAnsi="Microsoft Sans Serif" w:cs="Microsoft Sans Serif"/>
        </w:rPr>
        <w:cr/>
        <w:t>3407 VISTA ST</w:t>
      </w:r>
      <w:r w:rsidRPr="009D5463">
        <w:rPr>
          <w:rFonts w:ascii="Microsoft Sans Serif" w:eastAsia="Microsoft Sans Serif" w:hAnsi="Microsoft Sans Serif" w:cs="Microsoft Sans Serif"/>
        </w:rPr>
        <w:cr/>
        <w:t>PHILADELPHIA PA  19136</w:t>
      </w:r>
      <w:r w:rsidRPr="009D5463">
        <w:rPr>
          <w:rFonts w:ascii="Microsoft Sans Serif" w:eastAsia="Microsoft Sans Serif" w:hAnsi="Microsoft Sans Serif" w:cs="Microsoft Sans Serif"/>
        </w:rPr>
        <w:cr/>
      </w:r>
      <w:r w:rsidRPr="009D5463">
        <w:rPr>
          <w:rFonts w:ascii="Microsoft Sans Serif" w:eastAsia="Microsoft Sans Serif" w:hAnsi="Microsoft Sans Serif" w:cs="Microsoft Sans Serif"/>
          <w:b/>
        </w:rPr>
        <w:t>267.505.7645</w:t>
      </w:r>
      <w:r w:rsidRPr="009D5463">
        <w:rPr>
          <w:rFonts w:ascii="Microsoft Sans Serif" w:eastAsia="Microsoft Sans Serif" w:hAnsi="Microsoft Sans Serif" w:cs="Microsoft Sans Serif"/>
          <w:b/>
        </w:rPr>
        <w:cr/>
      </w:r>
      <w:r w:rsidRPr="009D5463">
        <w:rPr>
          <w:rFonts w:ascii="Microsoft Sans Serif" w:eastAsia="Microsoft Sans Serif" w:hAnsi="Microsoft Sans Serif" w:cs="Microsoft Sans Serif"/>
          <w:b/>
          <w:i/>
          <w:u w:val="single"/>
        </w:rPr>
        <w:t>ACCEPTS E-SERVICE</w:t>
      </w:r>
    </w:p>
    <w:p w14:paraId="6A0F02CF" w14:textId="77777777" w:rsidR="008D729B" w:rsidRPr="009D5463" w:rsidRDefault="00EF1DC4" w:rsidP="00EF1DC4">
      <w:pPr>
        <w:rPr>
          <w:rFonts w:ascii="Microsoft Sans Serif" w:hAnsi="Microsoft Sans Serif" w:cs="Microsoft Sans Serif"/>
        </w:rPr>
      </w:pPr>
      <w:r w:rsidRPr="009D5463">
        <w:rPr>
          <w:rFonts w:ascii="Microsoft Sans Serif" w:eastAsia="Microsoft Sans Serif" w:hAnsi="Microsoft Sans Serif" w:cs="Microsoft Sans Serif"/>
        </w:rPr>
        <w:cr/>
        <w:t>GRACIELA CHRISTLIEB ESQUIRE</w:t>
      </w:r>
      <w:r w:rsidRPr="009D5463">
        <w:rPr>
          <w:rFonts w:ascii="Microsoft Sans Serif" w:eastAsia="Microsoft Sans Serif" w:hAnsi="Microsoft Sans Serif" w:cs="Microsoft Sans Serif"/>
        </w:rPr>
        <w:cr/>
        <w:t>PHILADELPHIA GAS WORKS</w:t>
      </w:r>
      <w:r w:rsidRPr="009D5463">
        <w:rPr>
          <w:rFonts w:ascii="Microsoft Sans Serif" w:eastAsia="Microsoft Sans Serif" w:hAnsi="Microsoft Sans Serif" w:cs="Microsoft Sans Serif"/>
        </w:rPr>
        <w:cr/>
      </w:r>
      <w:r w:rsidR="008F2A96" w:rsidRPr="009D5463">
        <w:rPr>
          <w:rFonts w:ascii="Microsoft Sans Serif" w:eastAsia="Microsoft Sans Serif" w:hAnsi="Microsoft Sans Serif" w:cs="Microsoft Sans Serif"/>
        </w:rPr>
        <w:t>800 WEST MONTGOMERY AVENUE</w:t>
      </w:r>
      <w:r w:rsidR="008F2A96" w:rsidRPr="009D5463">
        <w:rPr>
          <w:rFonts w:ascii="Microsoft Sans Serif" w:eastAsia="Microsoft Sans Serif" w:hAnsi="Microsoft Sans Serif" w:cs="Microsoft Sans Serif"/>
        </w:rPr>
        <w:cr/>
      </w:r>
      <w:r w:rsidRPr="009D5463">
        <w:rPr>
          <w:rFonts w:ascii="Microsoft Sans Serif" w:eastAsia="Microsoft Sans Serif" w:hAnsi="Microsoft Sans Serif" w:cs="Microsoft Sans Serif"/>
        </w:rPr>
        <w:t>PHILADELPHIA PA  19122</w:t>
      </w:r>
      <w:r w:rsidRPr="009D5463">
        <w:rPr>
          <w:rFonts w:ascii="Microsoft Sans Serif" w:eastAsia="Microsoft Sans Serif" w:hAnsi="Microsoft Sans Serif" w:cs="Microsoft Sans Serif"/>
        </w:rPr>
        <w:cr/>
      </w:r>
      <w:r w:rsidRPr="009D5463">
        <w:rPr>
          <w:rFonts w:ascii="Microsoft Sans Serif" w:eastAsia="Microsoft Sans Serif" w:hAnsi="Microsoft Sans Serif" w:cs="Microsoft Sans Serif"/>
          <w:b/>
        </w:rPr>
        <w:t>215.684.6164</w:t>
      </w:r>
      <w:r w:rsidRPr="009D5463">
        <w:rPr>
          <w:rFonts w:ascii="Microsoft Sans Serif" w:eastAsia="Microsoft Sans Serif" w:hAnsi="Microsoft Sans Serif" w:cs="Microsoft Sans Serif"/>
          <w:b/>
        </w:rPr>
        <w:cr/>
      </w:r>
      <w:r w:rsidRPr="009D5463">
        <w:rPr>
          <w:rFonts w:ascii="Microsoft Sans Serif" w:eastAsia="Microsoft Sans Serif" w:hAnsi="Microsoft Sans Serif" w:cs="Microsoft Sans Serif"/>
          <w:b/>
          <w:i/>
          <w:u w:val="single"/>
        </w:rPr>
        <w:t>ACCEPTS E-SERVICE</w:t>
      </w:r>
    </w:p>
    <w:sectPr w:rsidR="008D729B" w:rsidRPr="009D5463" w:rsidSect="00EF1DC4">
      <w:footerReference w:type="first" r:id="rId10"/>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95B9B" w14:textId="77777777" w:rsidR="003F23B7" w:rsidRDefault="003F23B7">
      <w:pPr>
        <w:spacing w:line="20" w:lineRule="exact"/>
        <w:rPr>
          <w:sz w:val="23"/>
          <w:szCs w:val="23"/>
        </w:rPr>
      </w:pPr>
    </w:p>
  </w:endnote>
  <w:endnote w:type="continuationSeparator" w:id="0">
    <w:p w14:paraId="5E1CFA29" w14:textId="77777777" w:rsidR="003F23B7" w:rsidRDefault="003F23B7">
      <w:pPr>
        <w:pStyle w:val="ParaTab1"/>
        <w:rPr>
          <w:sz w:val="23"/>
          <w:szCs w:val="23"/>
        </w:rPr>
      </w:pPr>
      <w:r>
        <w:rPr>
          <w:sz w:val="23"/>
          <w:szCs w:val="23"/>
        </w:rPr>
        <w:t xml:space="preserve"> </w:t>
      </w:r>
    </w:p>
  </w:endnote>
  <w:endnote w:type="continuationNotice" w:id="1">
    <w:p w14:paraId="13D8D9AB" w14:textId="77777777" w:rsidR="003F23B7" w:rsidRDefault="003F23B7">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D28F" w14:textId="77777777" w:rsidR="002779BB" w:rsidRPr="009B5279" w:rsidRDefault="002779BB">
    <w:pPr>
      <w:pStyle w:val="Footer"/>
      <w:jc w:val="center"/>
      <w:rPr>
        <w:rFonts w:ascii="Times New Roman" w:hAnsi="Times New Roman" w:cs="Times New Roman"/>
        <w:sz w:val="20"/>
        <w:szCs w:val="20"/>
      </w:rPr>
    </w:pPr>
    <w:r w:rsidRPr="009B5279">
      <w:rPr>
        <w:rFonts w:ascii="Times New Roman" w:hAnsi="Times New Roman" w:cs="Times New Roman"/>
        <w:sz w:val="20"/>
        <w:szCs w:val="20"/>
      </w:rPr>
      <w:fldChar w:fldCharType="begin"/>
    </w:r>
    <w:r w:rsidRPr="009B5279">
      <w:rPr>
        <w:rFonts w:ascii="Times New Roman" w:hAnsi="Times New Roman" w:cs="Times New Roman"/>
        <w:sz w:val="20"/>
        <w:szCs w:val="20"/>
      </w:rPr>
      <w:instrText xml:space="preserve"> PAGE   \* MERGEFORMAT </w:instrText>
    </w:r>
    <w:r w:rsidRPr="009B5279">
      <w:rPr>
        <w:rFonts w:ascii="Times New Roman" w:hAnsi="Times New Roman" w:cs="Times New Roman"/>
        <w:sz w:val="20"/>
        <w:szCs w:val="20"/>
      </w:rPr>
      <w:fldChar w:fldCharType="separate"/>
    </w:r>
    <w:r w:rsidR="00B33DB1">
      <w:rPr>
        <w:rFonts w:ascii="Times New Roman" w:hAnsi="Times New Roman" w:cs="Times New Roman"/>
        <w:noProof/>
        <w:sz w:val="20"/>
        <w:szCs w:val="20"/>
      </w:rPr>
      <w:t>6</w:t>
    </w:r>
    <w:r w:rsidRPr="009B5279">
      <w:rPr>
        <w:rFonts w:ascii="Times New Roman" w:hAnsi="Times New Roman" w:cs="Times New Roman"/>
        <w:noProof/>
        <w:sz w:val="20"/>
        <w:szCs w:val="20"/>
      </w:rPr>
      <w:fldChar w:fldCharType="end"/>
    </w:r>
  </w:p>
  <w:p w14:paraId="22876A4E" w14:textId="77777777" w:rsidR="002779BB" w:rsidRDefault="00277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2A19" w14:textId="77777777" w:rsidR="00EF1DC4" w:rsidRDefault="00EF1DC4">
    <w:pPr>
      <w:pStyle w:val="Footer"/>
      <w:jc w:val="center"/>
    </w:pPr>
  </w:p>
  <w:p w14:paraId="441DC9B0" w14:textId="77777777" w:rsidR="00EF1DC4" w:rsidRDefault="00EF1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8952" w14:textId="77777777" w:rsidR="00EF1DC4" w:rsidRDefault="00EF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A3B1F" w14:textId="77777777" w:rsidR="003F23B7" w:rsidRDefault="003F23B7">
      <w:pPr>
        <w:pStyle w:val="ParaTab1"/>
        <w:rPr>
          <w:sz w:val="23"/>
          <w:szCs w:val="23"/>
        </w:rPr>
      </w:pPr>
      <w:r>
        <w:rPr>
          <w:sz w:val="23"/>
          <w:szCs w:val="23"/>
        </w:rPr>
        <w:separator/>
      </w:r>
    </w:p>
  </w:footnote>
  <w:footnote w:type="continuationSeparator" w:id="0">
    <w:p w14:paraId="77647CF3" w14:textId="77777777" w:rsidR="003F23B7" w:rsidRDefault="003F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30278C"/>
    <w:multiLevelType w:val="hybridMultilevel"/>
    <w:tmpl w:val="3AB2299E"/>
    <w:lvl w:ilvl="0" w:tplc="4D6EEF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03D39"/>
    <w:multiLevelType w:val="hybridMultilevel"/>
    <w:tmpl w:val="E924BC06"/>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3" w15:restartNumberingAfterBreak="0">
    <w:nsid w:val="4D882A0F"/>
    <w:multiLevelType w:val="hybridMultilevel"/>
    <w:tmpl w:val="E3B64AE8"/>
    <w:lvl w:ilvl="0" w:tplc="55F622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C55BD2"/>
    <w:multiLevelType w:val="hybridMultilevel"/>
    <w:tmpl w:val="7EE22A68"/>
    <w:lvl w:ilvl="0" w:tplc="C79C5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2D1055"/>
    <w:multiLevelType w:val="hybridMultilevel"/>
    <w:tmpl w:val="C84C9742"/>
    <w:lvl w:ilvl="0" w:tplc="2FF8A0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D3725AE"/>
    <w:multiLevelType w:val="hybridMultilevel"/>
    <w:tmpl w:val="7FB6EE00"/>
    <w:lvl w:ilvl="0" w:tplc="689822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C877F5"/>
    <w:multiLevelType w:val="hybridMultilevel"/>
    <w:tmpl w:val="17A47580"/>
    <w:lvl w:ilvl="0" w:tplc="75906F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897D5C"/>
    <w:multiLevelType w:val="hybridMultilevel"/>
    <w:tmpl w:val="7466F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
  </w:num>
  <w:num w:numId="5">
    <w:abstractNumId w:val="5"/>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FAF01-CF90-4FCA-9D86-E3955B9D6581}"/>
    <w:docVar w:name="dgnword-eventsink" w:val="3731080"/>
  </w:docVars>
  <w:rsids>
    <w:rsidRoot w:val="006477E9"/>
    <w:rsid w:val="00020DB3"/>
    <w:rsid w:val="0002182B"/>
    <w:rsid w:val="0002541B"/>
    <w:rsid w:val="00030BE7"/>
    <w:rsid w:val="000324BC"/>
    <w:rsid w:val="00035120"/>
    <w:rsid w:val="00041BC8"/>
    <w:rsid w:val="000515F7"/>
    <w:rsid w:val="00052FB5"/>
    <w:rsid w:val="00061EF1"/>
    <w:rsid w:val="00072CF4"/>
    <w:rsid w:val="000732DA"/>
    <w:rsid w:val="00081FEB"/>
    <w:rsid w:val="00090719"/>
    <w:rsid w:val="00094D35"/>
    <w:rsid w:val="00097F48"/>
    <w:rsid w:val="000A0307"/>
    <w:rsid w:val="000A3A28"/>
    <w:rsid w:val="000A6A4C"/>
    <w:rsid w:val="000C0AAC"/>
    <w:rsid w:val="000C34F1"/>
    <w:rsid w:val="000C37CB"/>
    <w:rsid w:val="000C6394"/>
    <w:rsid w:val="000D025D"/>
    <w:rsid w:val="000D0B2D"/>
    <w:rsid w:val="000D1F18"/>
    <w:rsid w:val="000D29D8"/>
    <w:rsid w:val="000E1B8E"/>
    <w:rsid w:val="000E416C"/>
    <w:rsid w:val="000E775C"/>
    <w:rsid w:val="001002F7"/>
    <w:rsid w:val="0010066E"/>
    <w:rsid w:val="00103663"/>
    <w:rsid w:val="00105FB2"/>
    <w:rsid w:val="00106279"/>
    <w:rsid w:val="001155A2"/>
    <w:rsid w:val="00120FD6"/>
    <w:rsid w:val="00121B4B"/>
    <w:rsid w:val="00124434"/>
    <w:rsid w:val="001305DA"/>
    <w:rsid w:val="001340A7"/>
    <w:rsid w:val="0014327E"/>
    <w:rsid w:val="0014505A"/>
    <w:rsid w:val="00147CDD"/>
    <w:rsid w:val="00155EE3"/>
    <w:rsid w:val="001563CA"/>
    <w:rsid w:val="00163F63"/>
    <w:rsid w:val="00171298"/>
    <w:rsid w:val="0017794A"/>
    <w:rsid w:val="00177E9C"/>
    <w:rsid w:val="00181C14"/>
    <w:rsid w:val="00193CC9"/>
    <w:rsid w:val="00194FD1"/>
    <w:rsid w:val="001A39E1"/>
    <w:rsid w:val="001B01D1"/>
    <w:rsid w:val="001B47BF"/>
    <w:rsid w:val="001C0AD8"/>
    <w:rsid w:val="001C0C11"/>
    <w:rsid w:val="001C0E09"/>
    <w:rsid w:val="001C42CB"/>
    <w:rsid w:val="001C55CC"/>
    <w:rsid w:val="001D1A2C"/>
    <w:rsid w:val="001D2F59"/>
    <w:rsid w:val="001D3192"/>
    <w:rsid w:val="001D36A5"/>
    <w:rsid w:val="001D6D1A"/>
    <w:rsid w:val="001D7AC3"/>
    <w:rsid w:val="001F059D"/>
    <w:rsid w:val="001F1DB4"/>
    <w:rsid w:val="001F2EB3"/>
    <w:rsid w:val="001F4687"/>
    <w:rsid w:val="001F6E58"/>
    <w:rsid w:val="00206354"/>
    <w:rsid w:val="0020668F"/>
    <w:rsid w:val="002232DE"/>
    <w:rsid w:val="00224D20"/>
    <w:rsid w:val="00226D44"/>
    <w:rsid w:val="002316A4"/>
    <w:rsid w:val="00247BB6"/>
    <w:rsid w:val="002534C4"/>
    <w:rsid w:val="002616F7"/>
    <w:rsid w:val="00265631"/>
    <w:rsid w:val="00267DCC"/>
    <w:rsid w:val="00270E34"/>
    <w:rsid w:val="00275551"/>
    <w:rsid w:val="002774BA"/>
    <w:rsid w:val="002779BB"/>
    <w:rsid w:val="00281E61"/>
    <w:rsid w:val="00294294"/>
    <w:rsid w:val="00295C28"/>
    <w:rsid w:val="00295D78"/>
    <w:rsid w:val="002A0276"/>
    <w:rsid w:val="002A3C8B"/>
    <w:rsid w:val="002A5BF9"/>
    <w:rsid w:val="002A69ED"/>
    <w:rsid w:val="002C3D8B"/>
    <w:rsid w:val="002D189F"/>
    <w:rsid w:val="002E5F3D"/>
    <w:rsid w:val="002F6516"/>
    <w:rsid w:val="00302CD7"/>
    <w:rsid w:val="00302CF3"/>
    <w:rsid w:val="00314CF4"/>
    <w:rsid w:val="00317558"/>
    <w:rsid w:val="00325725"/>
    <w:rsid w:val="0033321C"/>
    <w:rsid w:val="003354D6"/>
    <w:rsid w:val="003407EC"/>
    <w:rsid w:val="00342A44"/>
    <w:rsid w:val="00355340"/>
    <w:rsid w:val="0035563E"/>
    <w:rsid w:val="003708F6"/>
    <w:rsid w:val="00371AB7"/>
    <w:rsid w:val="003726FF"/>
    <w:rsid w:val="00373017"/>
    <w:rsid w:val="00376664"/>
    <w:rsid w:val="003803E0"/>
    <w:rsid w:val="00382B42"/>
    <w:rsid w:val="003864F7"/>
    <w:rsid w:val="00392AEC"/>
    <w:rsid w:val="00392BA2"/>
    <w:rsid w:val="00392BC7"/>
    <w:rsid w:val="003A5757"/>
    <w:rsid w:val="003B2219"/>
    <w:rsid w:val="003B63C1"/>
    <w:rsid w:val="003B6970"/>
    <w:rsid w:val="003C23FD"/>
    <w:rsid w:val="003C534F"/>
    <w:rsid w:val="003C6C3C"/>
    <w:rsid w:val="003D5DA8"/>
    <w:rsid w:val="003D6EA0"/>
    <w:rsid w:val="003E3FF1"/>
    <w:rsid w:val="003E423B"/>
    <w:rsid w:val="003F23B7"/>
    <w:rsid w:val="003F76DE"/>
    <w:rsid w:val="00400BA7"/>
    <w:rsid w:val="0040357C"/>
    <w:rsid w:val="00406FDB"/>
    <w:rsid w:val="004075BE"/>
    <w:rsid w:val="00411463"/>
    <w:rsid w:val="00424B43"/>
    <w:rsid w:val="0042746A"/>
    <w:rsid w:val="0043086A"/>
    <w:rsid w:val="0043653D"/>
    <w:rsid w:val="0044182A"/>
    <w:rsid w:val="00444715"/>
    <w:rsid w:val="00462AE9"/>
    <w:rsid w:val="00463AB6"/>
    <w:rsid w:val="00473D77"/>
    <w:rsid w:val="004745C1"/>
    <w:rsid w:val="0047721F"/>
    <w:rsid w:val="00481BEC"/>
    <w:rsid w:val="00483F56"/>
    <w:rsid w:val="00492D58"/>
    <w:rsid w:val="004B1A6F"/>
    <w:rsid w:val="004C24BE"/>
    <w:rsid w:val="004D0298"/>
    <w:rsid w:val="004D1722"/>
    <w:rsid w:val="004D1BE1"/>
    <w:rsid w:val="004D1FBC"/>
    <w:rsid w:val="004E615C"/>
    <w:rsid w:val="005007FE"/>
    <w:rsid w:val="00500EE8"/>
    <w:rsid w:val="005062C7"/>
    <w:rsid w:val="00507F7F"/>
    <w:rsid w:val="00510545"/>
    <w:rsid w:val="0051424B"/>
    <w:rsid w:val="00515D15"/>
    <w:rsid w:val="00517F52"/>
    <w:rsid w:val="00520A37"/>
    <w:rsid w:val="00525AA2"/>
    <w:rsid w:val="0053227A"/>
    <w:rsid w:val="00540538"/>
    <w:rsid w:val="0054327C"/>
    <w:rsid w:val="005563EF"/>
    <w:rsid w:val="00562F23"/>
    <w:rsid w:val="00563322"/>
    <w:rsid w:val="00573C41"/>
    <w:rsid w:val="00580547"/>
    <w:rsid w:val="0058304C"/>
    <w:rsid w:val="00584655"/>
    <w:rsid w:val="00591E42"/>
    <w:rsid w:val="00596BD4"/>
    <w:rsid w:val="005A1774"/>
    <w:rsid w:val="005A624E"/>
    <w:rsid w:val="005A6828"/>
    <w:rsid w:val="005B5F35"/>
    <w:rsid w:val="005C1624"/>
    <w:rsid w:val="005C74E7"/>
    <w:rsid w:val="005E093B"/>
    <w:rsid w:val="005E5A16"/>
    <w:rsid w:val="005E5E82"/>
    <w:rsid w:val="005F4B59"/>
    <w:rsid w:val="006144FE"/>
    <w:rsid w:val="00620AF1"/>
    <w:rsid w:val="00621B80"/>
    <w:rsid w:val="006264E1"/>
    <w:rsid w:val="0062725F"/>
    <w:rsid w:val="00632739"/>
    <w:rsid w:val="00632ACC"/>
    <w:rsid w:val="0064128C"/>
    <w:rsid w:val="006427FC"/>
    <w:rsid w:val="006477E9"/>
    <w:rsid w:val="00647A88"/>
    <w:rsid w:val="00653545"/>
    <w:rsid w:val="00656CBD"/>
    <w:rsid w:val="0065795F"/>
    <w:rsid w:val="00662A34"/>
    <w:rsid w:val="00663371"/>
    <w:rsid w:val="00664234"/>
    <w:rsid w:val="00665B26"/>
    <w:rsid w:val="0067036B"/>
    <w:rsid w:val="00673529"/>
    <w:rsid w:val="00674D28"/>
    <w:rsid w:val="006852FD"/>
    <w:rsid w:val="00693B2E"/>
    <w:rsid w:val="006A08FB"/>
    <w:rsid w:val="006A3CBA"/>
    <w:rsid w:val="006A4A39"/>
    <w:rsid w:val="006B09D0"/>
    <w:rsid w:val="006B7330"/>
    <w:rsid w:val="006B7EA4"/>
    <w:rsid w:val="006C1193"/>
    <w:rsid w:val="006C36C2"/>
    <w:rsid w:val="006C5842"/>
    <w:rsid w:val="006D13F7"/>
    <w:rsid w:val="006D36BA"/>
    <w:rsid w:val="006D580B"/>
    <w:rsid w:val="006E5BCD"/>
    <w:rsid w:val="006F1E35"/>
    <w:rsid w:val="006F72C1"/>
    <w:rsid w:val="007024AF"/>
    <w:rsid w:val="00711100"/>
    <w:rsid w:val="0072254C"/>
    <w:rsid w:val="007360B5"/>
    <w:rsid w:val="0073613F"/>
    <w:rsid w:val="0073672B"/>
    <w:rsid w:val="00743BEE"/>
    <w:rsid w:val="00746BCB"/>
    <w:rsid w:val="0075380B"/>
    <w:rsid w:val="00754EFF"/>
    <w:rsid w:val="00791139"/>
    <w:rsid w:val="00795341"/>
    <w:rsid w:val="00795A1B"/>
    <w:rsid w:val="00796895"/>
    <w:rsid w:val="007A129F"/>
    <w:rsid w:val="007A25A2"/>
    <w:rsid w:val="007A2FFA"/>
    <w:rsid w:val="007B0F18"/>
    <w:rsid w:val="007B1B57"/>
    <w:rsid w:val="007B2748"/>
    <w:rsid w:val="007B2B3C"/>
    <w:rsid w:val="007B7E73"/>
    <w:rsid w:val="007C3E1D"/>
    <w:rsid w:val="007C5ED4"/>
    <w:rsid w:val="007E6B50"/>
    <w:rsid w:val="007F154C"/>
    <w:rsid w:val="007F2058"/>
    <w:rsid w:val="007F2B80"/>
    <w:rsid w:val="007F32EA"/>
    <w:rsid w:val="00800ED7"/>
    <w:rsid w:val="00803D81"/>
    <w:rsid w:val="00813940"/>
    <w:rsid w:val="00820D49"/>
    <w:rsid w:val="0082177C"/>
    <w:rsid w:val="00823E24"/>
    <w:rsid w:val="008267AA"/>
    <w:rsid w:val="00827095"/>
    <w:rsid w:val="00827D68"/>
    <w:rsid w:val="00843311"/>
    <w:rsid w:val="0084613D"/>
    <w:rsid w:val="00850030"/>
    <w:rsid w:val="008508D6"/>
    <w:rsid w:val="0085799A"/>
    <w:rsid w:val="008606BC"/>
    <w:rsid w:val="008654DA"/>
    <w:rsid w:val="00867129"/>
    <w:rsid w:val="00872D55"/>
    <w:rsid w:val="00872DD0"/>
    <w:rsid w:val="008805AE"/>
    <w:rsid w:val="00885315"/>
    <w:rsid w:val="008968DE"/>
    <w:rsid w:val="00897798"/>
    <w:rsid w:val="008B5625"/>
    <w:rsid w:val="008B6936"/>
    <w:rsid w:val="008C3F95"/>
    <w:rsid w:val="008D17BB"/>
    <w:rsid w:val="008D408B"/>
    <w:rsid w:val="008D729B"/>
    <w:rsid w:val="008E613B"/>
    <w:rsid w:val="008F0585"/>
    <w:rsid w:val="008F14AE"/>
    <w:rsid w:val="008F1C95"/>
    <w:rsid w:val="008F2A96"/>
    <w:rsid w:val="00901100"/>
    <w:rsid w:val="00905B17"/>
    <w:rsid w:val="00912475"/>
    <w:rsid w:val="0091593B"/>
    <w:rsid w:val="009165AD"/>
    <w:rsid w:val="009226AE"/>
    <w:rsid w:val="00926A11"/>
    <w:rsid w:val="00927961"/>
    <w:rsid w:val="00932F9A"/>
    <w:rsid w:val="009348BF"/>
    <w:rsid w:val="00937F7B"/>
    <w:rsid w:val="00940149"/>
    <w:rsid w:val="00946816"/>
    <w:rsid w:val="009471D6"/>
    <w:rsid w:val="00952081"/>
    <w:rsid w:val="0095407D"/>
    <w:rsid w:val="009569FD"/>
    <w:rsid w:val="00957672"/>
    <w:rsid w:val="00957A76"/>
    <w:rsid w:val="00965122"/>
    <w:rsid w:val="009728CA"/>
    <w:rsid w:val="0098102F"/>
    <w:rsid w:val="00982AB3"/>
    <w:rsid w:val="00983578"/>
    <w:rsid w:val="009909C1"/>
    <w:rsid w:val="009937D3"/>
    <w:rsid w:val="009939F6"/>
    <w:rsid w:val="009A2E19"/>
    <w:rsid w:val="009A6785"/>
    <w:rsid w:val="009B5279"/>
    <w:rsid w:val="009B6815"/>
    <w:rsid w:val="009C2FE9"/>
    <w:rsid w:val="009C6D07"/>
    <w:rsid w:val="009D5463"/>
    <w:rsid w:val="009D7088"/>
    <w:rsid w:val="009D740A"/>
    <w:rsid w:val="009E110A"/>
    <w:rsid w:val="009E235F"/>
    <w:rsid w:val="009E29A7"/>
    <w:rsid w:val="009F1DCB"/>
    <w:rsid w:val="009F26C4"/>
    <w:rsid w:val="009F5E7B"/>
    <w:rsid w:val="00A0128D"/>
    <w:rsid w:val="00A06F10"/>
    <w:rsid w:val="00A233E8"/>
    <w:rsid w:val="00A30BEC"/>
    <w:rsid w:val="00A400BD"/>
    <w:rsid w:val="00A4137D"/>
    <w:rsid w:val="00A42991"/>
    <w:rsid w:val="00A42D89"/>
    <w:rsid w:val="00A45CC7"/>
    <w:rsid w:val="00A46748"/>
    <w:rsid w:val="00A53A38"/>
    <w:rsid w:val="00A6066F"/>
    <w:rsid w:val="00A610D3"/>
    <w:rsid w:val="00A624B9"/>
    <w:rsid w:val="00A6275C"/>
    <w:rsid w:val="00A80738"/>
    <w:rsid w:val="00A839FB"/>
    <w:rsid w:val="00A93241"/>
    <w:rsid w:val="00A94E5C"/>
    <w:rsid w:val="00A959AF"/>
    <w:rsid w:val="00A9665D"/>
    <w:rsid w:val="00A96D28"/>
    <w:rsid w:val="00AA6A77"/>
    <w:rsid w:val="00AB2114"/>
    <w:rsid w:val="00AB74E3"/>
    <w:rsid w:val="00AB7534"/>
    <w:rsid w:val="00AD0EED"/>
    <w:rsid w:val="00AD2BE8"/>
    <w:rsid w:val="00AD4950"/>
    <w:rsid w:val="00AE199E"/>
    <w:rsid w:val="00AE19CF"/>
    <w:rsid w:val="00AE59A1"/>
    <w:rsid w:val="00AF49C3"/>
    <w:rsid w:val="00AF77DB"/>
    <w:rsid w:val="00B035CA"/>
    <w:rsid w:val="00B07E9D"/>
    <w:rsid w:val="00B22A58"/>
    <w:rsid w:val="00B26E9F"/>
    <w:rsid w:val="00B330D0"/>
    <w:rsid w:val="00B33DB1"/>
    <w:rsid w:val="00B45009"/>
    <w:rsid w:val="00B545D4"/>
    <w:rsid w:val="00B57E0F"/>
    <w:rsid w:val="00B607BC"/>
    <w:rsid w:val="00B610AF"/>
    <w:rsid w:val="00B91F61"/>
    <w:rsid w:val="00BB39C3"/>
    <w:rsid w:val="00BC2A1B"/>
    <w:rsid w:val="00BC4E20"/>
    <w:rsid w:val="00BC6D61"/>
    <w:rsid w:val="00BD3E92"/>
    <w:rsid w:val="00BD5A29"/>
    <w:rsid w:val="00C05475"/>
    <w:rsid w:val="00C07C8E"/>
    <w:rsid w:val="00C1200C"/>
    <w:rsid w:val="00C242EE"/>
    <w:rsid w:val="00C30044"/>
    <w:rsid w:val="00C358AF"/>
    <w:rsid w:val="00C46EE4"/>
    <w:rsid w:val="00C55861"/>
    <w:rsid w:val="00C561F0"/>
    <w:rsid w:val="00C6474C"/>
    <w:rsid w:val="00C66CFA"/>
    <w:rsid w:val="00C66D38"/>
    <w:rsid w:val="00C71583"/>
    <w:rsid w:val="00C805C1"/>
    <w:rsid w:val="00C8095C"/>
    <w:rsid w:val="00C814E3"/>
    <w:rsid w:val="00C834E1"/>
    <w:rsid w:val="00C93FD2"/>
    <w:rsid w:val="00C96DAD"/>
    <w:rsid w:val="00CA5A53"/>
    <w:rsid w:val="00CA7F2E"/>
    <w:rsid w:val="00CB017A"/>
    <w:rsid w:val="00CB3F7B"/>
    <w:rsid w:val="00CC12BF"/>
    <w:rsid w:val="00CD0329"/>
    <w:rsid w:val="00CD05F5"/>
    <w:rsid w:val="00CD3CC3"/>
    <w:rsid w:val="00CD4221"/>
    <w:rsid w:val="00CD4E35"/>
    <w:rsid w:val="00CE1B3E"/>
    <w:rsid w:val="00CE3C43"/>
    <w:rsid w:val="00CE46B3"/>
    <w:rsid w:val="00CF0CA9"/>
    <w:rsid w:val="00D023F1"/>
    <w:rsid w:val="00D02B83"/>
    <w:rsid w:val="00D059E7"/>
    <w:rsid w:val="00D121FE"/>
    <w:rsid w:val="00D24088"/>
    <w:rsid w:val="00D44F7F"/>
    <w:rsid w:val="00D47FF4"/>
    <w:rsid w:val="00D54F35"/>
    <w:rsid w:val="00D64E53"/>
    <w:rsid w:val="00D70529"/>
    <w:rsid w:val="00D8255A"/>
    <w:rsid w:val="00D835C0"/>
    <w:rsid w:val="00D85F92"/>
    <w:rsid w:val="00D8749A"/>
    <w:rsid w:val="00D97305"/>
    <w:rsid w:val="00D97ED5"/>
    <w:rsid w:val="00DB53C7"/>
    <w:rsid w:val="00DD2824"/>
    <w:rsid w:val="00DD7D8C"/>
    <w:rsid w:val="00DF4416"/>
    <w:rsid w:val="00E06712"/>
    <w:rsid w:val="00E12DB8"/>
    <w:rsid w:val="00E14654"/>
    <w:rsid w:val="00E15D90"/>
    <w:rsid w:val="00E24253"/>
    <w:rsid w:val="00E30750"/>
    <w:rsid w:val="00E37D4F"/>
    <w:rsid w:val="00E42653"/>
    <w:rsid w:val="00E57C98"/>
    <w:rsid w:val="00E60D06"/>
    <w:rsid w:val="00E645E5"/>
    <w:rsid w:val="00E71E17"/>
    <w:rsid w:val="00E8085E"/>
    <w:rsid w:val="00E84E0F"/>
    <w:rsid w:val="00E86ECE"/>
    <w:rsid w:val="00E92034"/>
    <w:rsid w:val="00E9422F"/>
    <w:rsid w:val="00E970EE"/>
    <w:rsid w:val="00EE377D"/>
    <w:rsid w:val="00EE4439"/>
    <w:rsid w:val="00EF1DC4"/>
    <w:rsid w:val="00EF292B"/>
    <w:rsid w:val="00EF3DF3"/>
    <w:rsid w:val="00EF6D92"/>
    <w:rsid w:val="00F05781"/>
    <w:rsid w:val="00F072BA"/>
    <w:rsid w:val="00F1337B"/>
    <w:rsid w:val="00F307FC"/>
    <w:rsid w:val="00F41FE0"/>
    <w:rsid w:val="00F52592"/>
    <w:rsid w:val="00F52DB1"/>
    <w:rsid w:val="00F52E39"/>
    <w:rsid w:val="00F53CE7"/>
    <w:rsid w:val="00F65D00"/>
    <w:rsid w:val="00F67A83"/>
    <w:rsid w:val="00F71158"/>
    <w:rsid w:val="00F82D9F"/>
    <w:rsid w:val="00F86BBD"/>
    <w:rsid w:val="00F910AC"/>
    <w:rsid w:val="00F9156D"/>
    <w:rsid w:val="00F94B7C"/>
    <w:rsid w:val="00F96D48"/>
    <w:rsid w:val="00FA225B"/>
    <w:rsid w:val="00FA36A5"/>
    <w:rsid w:val="00FA6AA2"/>
    <w:rsid w:val="00FB32A0"/>
    <w:rsid w:val="00FB5127"/>
    <w:rsid w:val="00FC0039"/>
    <w:rsid w:val="00FC1CCA"/>
    <w:rsid w:val="00FC64C5"/>
    <w:rsid w:val="00FC6B9B"/>
    <w:rsid w:val="00FD5404"/>
    <w:rsid w:val="00FD5E97"/>
    <w:rsid w:val="00FD6C91"/>
    <w:rsid w:val="00FF235F"/>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485C4"/>
  <w15:chartTrackingRefBased/>
  <w15:docId w15:val="{094B0A2D-1512-4C28-AE61-2781FF20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0C34F1"/>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97ED5"/>
    <w:pPr>
      <w:ind w:left="720"/>
    </w:pPr>
  </w:style>
  <w:style w:type="character" w:customStyle="1" w:styleId="FooterChar">
    <w:name w:val="Footer Char"/>
    <w:link w:val="Footer"/>
    <w:uiPriority w:val="99"/>
    <w:rsid w:val="002779BB"/>
    <w:rPr>
      <w:rFonts w:ascii="CG Times" w:hAnsi="CG Times" w:cs="CG Times"/>
      <w:sz w:val="24"/>
      <w:szCs w:val="24"/>
    </w:rPr>
  </w:style>
  <w:style w:type="paragraph" w:styleId="BodyText">
    <w:name w:val="Body Text"/>
    <w:basedOn w:val="Normal"/>
    <w:link w:val="BodyTextChar"/>
    <w:rsid w:val="0075380B"/>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75380B"/>
    <w:rPr>
      <w:sz w:val="24"/>
    </w:rPr>
  </w:style>
  <w:style w:type="character" w:customStyle="1" w:styleId="Heading1Char">
    <w:name w:val="Heading 1 Char"/>
    <w:basedOn w:val="DefaultParagraphFont"/>
    <w:link w:val="Heading1"/>
    <w:rsid w:val="000C34F1"/>
    <w:rPr>
      <w:rFonts w:asciiTheme="majorHAnsi" w:eastAsiaTheme="majorEastAsia" w:hAnsiTheme="majorHAnsi" w:cstheme="majorBidi"/>
      <w:b/>
      <w:bCs/>
      <w:kern w:val="32"/>
      <w:sz w:val="32"/>
      <w:szCs w:val="32"/>
    </w:rPr>
  </w:style>
  <w:style w:type="paragraph" w:customStyle="1" w:styleId="Default">
    <w:name w:val="Default"/>
    <w:rsid w:val="000C34F1"/>
    <w:pPr>
      <w:autoSpaceDE w:val="0"/>
      <w:autoSpaceDN w:val="0"/>
      <w:adjustRightInd w:val="0"/>
    </w:pPr>
    <w:rPr>
      <w:color w:val="000000"/>
      <w:sz w:val="24"/>
      <w:szCs w:val="24"/>
    </w:rPr>
  </w:style>
  <w:style w:type="character" w:customStyle="1" w:styleId="FootnoteTextChar">
    <w:name w:val="Footnote Text Char"/>
    <w:link w:val="FootnoteText"/>
    <w:uiPriority w:val="99"/>
    <w:semiHidden/>
    <w:rsid w:val="000C34F1"/>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793443">
      <w:bodyDiv w:val="1"/>
      <w:marLeft w:val="0"/>
      <w:marRight w:val="0"/>
      <w:marTop w:val="0"/>
      <w:marBottom w:val="0"/>
      <w:divBdr>
        <w:top w:val="none" w:sz="0" w:space="0" w:color="auto"/>
        <w:left w:val="none" w:sz="0" w:space="0" w:color="auto"/>
        <w:bottom w:val="none" w:sz="0" w:space="0" w:color="auto"/>
        <w:right w:val="none" w:sz="0" w:space="0" w:color="auto"/>
      </w:divBdr>
    </w:div>
    <w:div w:id="889271546">
      <w:bodyDiv w:val="1"/>
      <w:marLeft w:val="0"/>
      <w:marRight w:val="0"/>
      <w:marTop w:val="0"/>
      <w:marBottom w:val="0"/>
      <w:divBdr>
        <w:top w:val="none" w:sz="0" w:space="0" w:color="auto"/>
        <w:left w:val="none" w:sz="0" w:space="0" w:color="auto"/>
        <w:bottom w:val="none" w:sz="0" w:space="0" w:color="auto"/>
        <w:right w:val="none" w:sz="0" w:space="0" w:color="auto"/>
      </w:divBdr>
    </w:div>
    <w:div w:id="93227462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47527648">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251281351">
      <w:bodyDiv w:val="1"/>
      <w:marLeft w:val="0"/>
      <w:marRight w:val="0"/>
      <w:marTop w:val="0"/>
      <w:marBottom w:val="0"/>
      <w:divBdr>
        <w:top w:val="none" w:sz="0" w:space="0" w:color="auto"/>
        <w:left w:val="none" w:sz="0" w:space="0" w:color="auto"/>
        <w:bottom w:val="none" w:sz="0" w:space="0" w:color="auto"/>
        <w:right w:val="none" w:sz="0" w:space="0" w:color="auto"/>
      </w:divBdr>
    </w:div>
    <w:div w:id="1413506922">
      <w:bodyDiv w:val="1"/>
      <w:marLeft w:val="0"/>
      <w:marRight w:val="0"/>
      <w:marTop w:val="0"/>
      <w:marBottom w:val="0"/>
      <w:divBdr>
        <w:top w:val="none" w:sz="0" w:space="0" w:color="auto"/>
        <w:left w:val="none" w:sz="0" w:space="0" w:color="auto"/>
        <w:bottom w:val="none" w:sz="0" w:space="0" w:color="auto"/>
        <w:right w:val="none" w:sz="0" w:space="0" w:color="auto"/>
      </w:divBdr>
    </w:div>
    <w:div w:id="1854539379">
      <w:bodyDiv w:val="1"/>
      <w:marLeft w:val="0"/>
      <w:marRight w:val="0"/>
      <w:marTop w:val="0"/>
      <w:marBottom w:val="0"/>
      <w:divBdr>
        <w:top w:val="none" w:sz="0" w:space="0" w:color="auto"/>
        <w:left w:val="none" w:sz="0" w:space="0" w:color="auto"/>
        <w:bottom w:val="none" w:sz="0" w:space="0" w:color="auto"/>
        <w:right w:val="none" w:sz="0" w:space="0" w:color="auto"/>
      </w:divBdr>
    </w:div>
    <w:div w:id="19233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5481-CBD4-4699-8AF6-EA454348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Williams, Bobbie Jo</cp:lastModifiedBy>
  <cp:revision>2</cp:revision>
  <cp:lastPrinted>2017-10-31T15:52:00Z</cp:lastPrinted>
  <dcterms:created xsi:type="dcterms:W3CDTF">2018-06-29T15:40:00Z</dcterms:created>
  <dcterms:modified xsi:type="dcterms:W3CDTF">2018-06-29T15:40:00Z</dcterms:modified>
</cp:coreProperties>
</file>