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75D06226" w14:textId="77777777" w:rsidTr="00673B33">
        <w:trPr>
          <w:trHeight w:val="1251"/>
        </w:trPr>
        <w:tc>
          <w:tcPr>
            <w:tcW w:w="1363" w:type="dxa"/>
          </w:tcPr>
          <w:p w14:paraId="74E38D39" w14:textId="77777777" w:rsidR="00C74A51" w:rsidRDefault="00E377C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D358913" wp14:editId="49D87ABD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8ADB2F9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AB7F09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96C866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C92B338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62F22DBA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7FD13639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181A1A0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C643E0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CAD6092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25EB7CD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16BE0991" w14:textId="77777777"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1381CE34" w14:textId="77777777" w:rsidR="00153FD8" w:rsidRPr="006266EC" w:rsidRDefault="00153FD8">
            <w:pPr>
              <w:jc w:val="right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56525406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2F6E4CB6" w14:textId="77777777" w:rsidR="00673B33" w:rsidRDefault="00C74A51">
      <w:r>
        <w:tab/>
      </w:r>
    </w:p>
    <w:p w14:paraId="3581B67D" w14:textId="77777777" w:rsidR="00673B33" w:rsidRDefault="00673B33">
      <w:pPr>
        <w:rPr>
          <w:sz w:val="24"/>
          <w:szCs w:val="24"/>
        </w:rPr>
      </w:pPr>
    </w:p>
    <w:p w14:paraId="4C42A11E" w14:textId="77777777" w:rsidR="00C74A51" w:rsidRPr="00673B33" w:rsidRDefault="00673B33" w:rsidP="00673B33">
      <w:pPr>
        <w:jc w:val="center"/>
        <w:rPr>
          <w:sz w:val="24"/>
          <w:szCs w:val="24"/>
        </w:rPr>
      </w:pPr>
      <w:r w:rsidRPr="00673B33">
        <w:rPr>
          <w:sz w:val="24"/>
          <w:szCs w:val="24"/>
        </w:rPr>
        <w:t>July 6, 2018</w:t>
      </w:r>
    </w:p>
    <w:p w14:paraId="332BCF38" w14:textId="77777777" w:rsidR="006B6701" w:rsidRDefault="006B6701" w:rsidP="004131E7">
      <w:pPr>
        <w:ind w:right="-720"/>
        <w:jc w:val="right"/>
        <w:rPr>
          <w:sz w:val="26"/>
          <w:szCs w:val="26"/>
        </w:rPr>
      </w:pPr>
    </w:p>
    <w:p w14:paraId="32B97096" w14:textId="77777777" w:rsidR="00430047" w:rsidRPr="00D12C93" w:rsidRDefault="00430047" w:rsidP="00E528E4">
      <w:pPr>
        <w:rPr>
          <w:sz w:val="26"/>
          <w:szCs w:val="26"/>
        </w:rPr>
      </w:pPr>
    </w:p>
    <w:p w14:paraId="0F20EAC9" w14:textId="77777777" w:rsidR="00B63792" w:rsidRDefault="00E528E4" w:rsidP="008F35B0">
      <w:pPr>
        <w:spacing w:after="58"/>
        <w:ind w:left="1980" w:hanging="540"/>
        <w:rPr>
          <w:b/>
          <w:sz w:val="26"/>
          <w:szCs w:val="26"/>
        </w:rPr>
      </w:pPr>
      <w:r w:rsidRPr="002E1377">
        <w:rPr>
          <w:b/>
          <w:sz w:val="26"/>
          <w:szCs w:val="26"/>
        </w:rPr>
        <w:t>Re:</w:t>
      </w:r>
      <w:r w:rsidRPr="000E3737">
        <w:rPr>
          <w:b/>
          <w:sz w:val="26"/>
          <w:szCs w:val="26"/>
        </w:rPr>
        <w:tab/>
      </w:r>
      <w:r w:rsidR="00B63792">
        <w:rPr>
          <w:b/>
          <w:sz w:val="26"/>
          <w:szCs w:val="26"/>
        </w:rPr>
        <w:t xml:space="preserve">Andrew </w:t>
      </w:r>
      <w:proofErr w:type="spellStart"/>
      <w:r w:rsidR="00B63792">
        <w:rPr>
          <w:b/>
          <w:sz w:val="26"/>
          <w:szCs w:val="26"/>
        </w:rPr>
        <w:t>Menichino</w:t>
      </w:r>
      <w:proofErr w:type="spellEnd"/>
      <w:r w:rsidR="00B63792">
        <w:rPr>
          <w:b/>
          <w:sz w:val="26"/>
          <w:szCs w:val="26"/>
        </w:rPr>
        <w:t xml:space="preserve"> For Caravan II LLC v. Pennsylvania Power Company </w:t>
      </w:r>
    </w:p>
    <w:p w14:paraId="7CDBCEA6" w14:textId="77777777" w:rsidR="00FA7D17" w:rsidRPr="004562F6" w:rsidRDefault="00E61A32" w:rsidP="008F35B0">
      <w:pPr>
        <w:spacing w:after="58"/>
        <w:ind w:left="720" w:firstLine="1260"/>
        <w:rPr>
          <w:bCs/>
          <w:sz w:val="26"/>
        </w:rPr>
      </w:pPr>
      <w:r>
        <w:rPr>
          <w:b/>
          <w:sz w:val="26"/>
          <w:szCs w:val="26"/>
        </w:rPr>
        <w:t xml:space="preserve">Docket No. </w:t>
      </w:r>
      <w:r w:rsidR="006B502A">
        <w:rPr>
          <w:b/>
          <w:sz w:val="26"/>
          <w:szCs w:val="26"/>
        </w:rPr>
        <w:t>C-2018-2647292</w:t>
      </w:r>
    </w:p>
    <w:p w14:paraId="1793A7E6" w14:textId="77777777" w:rsidR="00E90D5D" w:rsidRDefault="00E90D5D" w:rsidP="00E90D5D">
      <w:pPr>
        <w:ind w:left="720" w:hanging="720"/>
        <w:rPr>
          <w:sz w:val="26"/>
          <w:szCs w:val="26"/>
        </w:rPr>
      </w:pPr>
    </w:p>
    <w:p w14:paraId="169CE41F" w14:textId="77777777" w:rsidR="00E229FE" w:rsidRPr="00D12C93" w:rsidRDefault="00E229FE" w:rsidP="00E528E4">
      <w:pPr>
        <w:rPr>
          <w:sz w:val="26"/>
          <w:szCs w:val="26"/>
        </w:rPr>
      </w:pPr>
    </w:p>
    <w:p w14:paraId="1BE82A44" w14:textId="77777777" w:rsidR="00E528E4" w:rsidRDefault="001C1E78" w:rsidP="00E528E4">
      <w:pPr>
        <w:rPr>
          <w:sz w:val="26"/>
          <w:szCs w:val="26"/>
        </w:rPr>
      </w:pPr>
      <w:r w:rsidRPr="00D12C93">
        <w:rPr>
          <w:sz w:val="26"/>
          <w:szCs w:val="26"/>
        </w:rPr>
        <w:t>TO ALL PARTIES</w:t>
      </w:r>
      <w:r w:rsidR="00430047">
        <w:rPr>
          <w:sz w:val="26"/>
          <w:szCs w:val="26"/>
        </w:rPr>
        <w:t>:</w:t>
      </w:r>
    </w:p>
    <w:p w14:paraId="34AA449A" w14:textId="77777777" w:rsidR="006B6701" w:rsidRDefault="006B6701" w:rsidP="006B6701">
      <w:pPr>
        <w:ind w:firstLine="1440"/>
        <w:rPr>
          <w:sz w:val="26"/>
          <w:szCs w:val="26"/>
        </w:rPr>
      </w:pPr>
    </w:p>
    <w:p w14:paraId="03168FE1" w14:textId="77777777" w:rsidR="00D17649" w:rsidRDefault="00392F08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By Secretarial Letter dated </w:t>
      </w:r>
      <w:r w:rsidR="006B502A">
        <w:rPr>
          <w:sz w:val="26"/>
          <w:szCs w:val="26"/>
        </w:rPr>
        <w:t>June 1, 2018</w:t>
      </w:r>
      <w:r>
        <w:rPr>
          <w:sz w:val="26"/>
          <w:szCs w:val="26"/>
        </w:rPr>
        <w:t xml:space="preserve">, the Commission issued the Initial Decision of </w:t>
      </w:r>
      <w:r w:rsidR="006F6031">
        <w:rPr>
          <w:sz w:val="26"/>
          <w:szCs w:val="26"/>
        </w:rPr>
        <w:t xml:space="preserve">Administrative Law Judge </w:t>
      </w:r>
      <w:r w:rsidR="006B502A">
        <w:rPr>
          <w:sz w:val="26"/>
          <w:szCs w:val="26"/>
        </w:rPr>
        <w:t>Benjamin J. Myers</w:t>
      </w:r>
      <w:r w:rsidR="006F6031">
        <w:rPr>
          <w:sz w:val="26"/>
          <w:szCs w:val="26"/>
        </w:rPr>
        <w:t xml:space="preserve"> in this</w:t>
      </w:r>
      <w:r>
        <w:rPr>
          <w:sz w:val="26"/>
          <w:szCs w:val="26"/>
        </w:rPr>
        <w:t xml:space="preserve"> matter.  Exceptions were due within twenty days of that letter (i.</w:t>
      </w:r>
      <w:r w:rsidR="00E3265B">
        <w:rPr>
          <w:sz w:val="26"/>
          <w:szCs w:val="26"/>
        </w:rPr>
        <w:t xml:space="preserve">e., </w:t>
      </w:r>
      <w:r w:rsidR="006B502A">
        <w:rPr>
          <w:sz w:val="26"/>
          <w:szCs w:val="26"/>
        </w:rPr>
        <w:t>June 21, 2018</w:t>
      </w:r>
      <w:r>
        <w:rPr>
          <w:sz w:val="26"/>
          <w:szCs w:val="26"/>
        </w:rPr>
        <w:t>).</w:t>
      </w:r>
      <w:r w:rsidR="005A11FD">
        <w:rPr>
          <w:sz w:val="26"/>
          <w:szCs w:val="26"/>
        </w:rPr>
        <w:t xml:space="preserve">  Reply Exceptions were due within ten days after th</w:t>
      </w:r>
      <w:r w:rsidR="00A52C46">
        <w:rPr>
          <w:sz w:val="26"/>
          <w:szCs w:val="26"/>
        </w:rPr>
        <w:t>e</w:t>
      </w:r>
      <w:r w:rsidR="005A11FD">
        <w:rPr>
          <w:sz w:val="26"/>
          <w:szCs w:val="26"/>
        </w:rPr>
        <w:t xml:space="preserve"> date </w:t>
      </w:r>
      <w:r w:rsidR="00A52C46">
        <w:rPr>
          <w:sz w:val="26"/>
          <w:szCs w:val="26"/>
        </w:rPr>
        <w:t xml:space="preserve">that Exceptions were due </w:t>
      </w:r>
      <w:r w:rsidR="00F62396">
        <w:rPr>
          <w:sz w:val="26"/>
          <w:szCs w:val="26"/>
        </w:rPr>
        <w:t xml:space="preserve">(i.e., </w:t>
      </w:r>
      <w:r w:rsidR="00B63792">
        <w:rPr>
          <w:sz w:val="26"/>
          <w:szCs w:val="26"/>
        </w:rPr>
        <w:t>July 2, 2018)</w:t>
      </w:r>
      <w:r w:rsidR="005A11FD">
        <w:rPr>
          <w:sz w:val="26"/>
          <w:szCs w:val="26"/>
        </w:rPr>
        <w:t>.</w:t>
      </w:r>
    </w:p>
    <w:p w14:paraId="139A6C9A" w14:textId="77777777" w:rsidR="00B22E7C" w:rsidRDefault="00B22E7C" w:rsidP="006B6701">
      <w:pPr>
        <w:ind w:firstLine="1440"/>
        <w:rPr>
          <w:sz w:val="26"/>
          <w:szCs w:val="26"/>
        </w:rPr>
      </w:pPr>
    </w:p>
    <w:p w14:paraId="26451CD3" w14:textId="77777777" w:rsidR="00A52C46" w:rsidRDefault="000E1AAF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>W</w:t>
      </w:r>
      <w:r w:rsidR="00B63792">
        <w:rPr>
          <w:sz w:val="26"/>
          <w:szCs w:val="26"/>
        </w:rPr>
        <w:t>e not</w:t>
      </w:r>
      <w:r w:rsidR="00CE3E40">
        <w:rPr>
          <w:sz w:val="26"/>
          <w:szCs w:val="26"/>
        </w:rPr>
        <w:t>e</w:t>
      </w:r>
      <w:r w:rsidR="00B63792">
        <w:rPr>
          <w:sz w:val="26"/>
          <w:szCs w:val="26"/>
        </w:rPr>
        <w:t xml:space="preserve"> that the document filed by Mr. </w:t>
      </w:r>
      <w:proofErr w:type="spellStart"/>
      <w:r w:rsidR="00B63792">
        <w:rPr>
          <w:sz w:val="26"/>
          <w:szCs w:val="26"/>
        </w:rPr>
        <w:t>Menichino</w:t>
      </w:r>
      <w:proofErr w:type="spellEnd"/>
      <w:r w:rsidR="00B63792">
        <w:rPr>
          <w:sz w:val="26"/>
          <w:szCs w:val="26"/>
        </w:rPr>
        <w:t xml:space="preserve"> dated June 21, 2018 and received by the Commission on June 26, 2018 was signed by Mr. </w:t>
      </w:r>
      <w:proofErr w:type="spellStart"/>
      <w:r w:rsidR="00B63792">
        <w:rPr>
          <w:sz w:val="26"/>
          <w:szCs w:val="26"/>
        </w:rPr>
        <w:t>Menichino</w:t>
      </w:r>
      <w:proofErr w:type="spellEnd"/>
      <w:r w:rsidR="00B6379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on </w:t>
      </w:r>
      <w:r w:rsidR="00B63792">
        <w:rPr>
          <w:sz w:val="26"/>
          <w:szCs w:val="26"/>
        </w:rPr>
        <w:t xml:space="preserve">behalf of </w:t>
      </w:r>
      <w:r>
        <w:rPr>
          <w:sz w:val="26"/>
          <w:szCs w:val="26"/>
        </w:rPr>
        <w:t xml:space="preserve">Caravan II, LLC.  </w:t>
      </w:r>
      <w:r w:rsidR="00B63792">
        <w:rPr>
          <w:sz w:val="26"/>
          <w:szCs w:val="26"/>
        </w:rPr>
        <w:t>As a limited liability corporation, the document which the Commission considers to be Exceptions needs to be signed and filed by an attorney in accordance with Commission regulations</w:t>
      </w:r>
      <w:r w:rsidR="001E6244">
        <w:rPr>
          <w:sz w:val="26"/>
          <w:szCs w:val="26"/>
        </w:rPr>
        <w:t xml:space="preserve"> at </w:t>
      </w:r>
      <w:r w:rsidR="00B63792">
        <w:rPr>
          <w:sz w:val="26"/>
          <w:szCs w:val="26"/>
        </w:rPr>
        <w:t>52 Pa. Code §1.21(b).  Therefore, we will reject the filing as originally submitted.  However, we will provide a new Exceptions and Reply Exception</w:t>
      </w:r>
      <w:r>
        <w:rPr>
          <w:sz w:val="26"/>
          <w:szCs w:val="26"/>
        </w:rPr>
        <w:t>s</w:t>
      </w:r>
      <w:r w:rsidR="00B63792">
        <w:rPr>
          <w:sz w:val="26"/>
          <w:szCs w:val="26"/>
        </w:rPr>
        <w:t xml:space="preserve"> period to afford Mr. </w:t>
      </w:r>
      <w:proofErr w:type="spellStart"/>
      <w:r w:rsidR="00B63792">
        <w:rPr>
          <w:sz w:val="26"/>
          <w:szCs w:val="26"/>
        </w:rPr>
        <w:t>Menichino</w:t>
      </w:r>
      <w:proofErr w:type="spellEnd"/>
      <w:r w:rsidR="00B63792">
        <w:rPr>
          <w:sz w:val="26"/>
          <w:szCs w:val="26"/>
        </w:rPr>
        <w:t xml:space="preserve"> an opportunity to have his attorney file the </w:t>
      </w:r>
      <w:r w:rsidR="00CE3E40">
        <w:rPr>
          <w:sz w:val="26"/>
          <w:szCs w:val="26"/>
        </w:rPr>
        <w:t>Exceptions</w:t>
      </w:r>
      <w:r w:rsidR="001E6244">
        <w:rPr>
          <w:sz w:val="26"/>
          <w:szCs w:val="26"/>
        </w:rPr>
        <w:t xml:space="preserve"> of Caravan II LLC</w:t>
      </w:r>
      <w:r w:rsidR="00CE3E40">
        <w:rPr>
          <w:sz w:val="26"/>
          <w:szCs w:val="26"/>
        </w:rPr>
        <w:t xml:space="preserve"> and provide </w:t>
      </w:r>
      <w:r w:rsidR="001E6244">
        <w:rPr>
          <w:sz w:val="26"/>
          <w:szCs w:val="26"/>
        </w:rPr>
        <w:t xml:space="preserve">the </w:t>
      </w:r>
      <w:r w:rsidR="00CE3E40">
        <w:rPr>
          <w:sz w:val="26"/>
          <w:szCs w:val="26"/>
        </w:rPr>
        <w:t xml:space="preserve">Pennsylvania Power </w:t>
      </w:r>
      <w:r w:rsidR="00673B33">
        <w:rPr>
          <w:sz w:val="26"/>
          <w:szCs w:val="26"/>
        </w:rPr>
        <w:t xml:space="preserve">Company </w:t>
      </w:r>
      <w:r w:rsidR="00CE3E40">
        <w:rPr>
          <w:sz w:val="26"/>
          <w:szCs w:val="26"/>
        </w:rPr>
        <w:t>with the right to file Replies to Exceptions.</w:t>
      </w:r>
    </w:p>
    <w:p w14:paraId="446FA311" w14:textId="77777777" w:rsidR="00673B33" w:rsidRDefault="00673B33" w:rsidP="006B6701">
      <w:pPr>
        <w:ind w:firstLine="1440"/>
        <w:rPr>
          <w:sz w:val="26"/>
          <w:szCs w:val="26"/>
        </w:rPr>
      </w:pPr>
    </w:p>
    <w:p w14:paraId="09CFA9E8" w14:textId="77777777" w:rsidR="00673B33" w:rsidRDefault="00673B33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>In addition, on July 5, 2018</w:t>
      </w:r>
      <w:r w:rsidR="001E6244">
        <w:rPr>
          <w:sz w:val="26"/>
          <w:szCs w:val="26"/>
        </w:rPr>
        <w:t>,</w:t>
      </w:r>
      <w:r>
        <w:rPr>
          <w:sz w:val="26"/>
          <w:szCs w:val="26"/>
        </w:rPr>
        <w:t xml:space="preserve"> Pennsylvania Power Company filed a request for an extension to file its Repl</w:t>
      </w:r>
      <w:r w:rsidR="001E6244">
        <w:rPr>
          <w:sz w:val="26"/>
          <w:szCs w:val="26"/>
        </w:rPr>
        <w:t>y Exceptions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in light of</w:t>
      </w:r>
      <w:proofErr w:type="gramEnd"/>
      <w:r>
        <w:rPr>
          <w:sz w:val="26"/>
          <w:szCs w:val="26"/>
        </w:rPr>
        <w:t xml:space="preserve"> the fact </w:t>
      </w:r>
      <w:r w:rsidR="001E6244">
        <w:rPr>
          <w:sz w:val="26"/>
          <w:szCs w:val="26"/>
        </w:rPr>
        <w:t>it</w:t>
      </w:r>
      <w:r>
        <w:rPr>
          <w:sz w:val="26"/>
          <w:szCs w:val="26"/>
        </w:rPr>
        <w:t xml:space="preserve"> received the Exceptions on June 27, 2018.  Pennsylvania Power requested that it be granted an extension until July 10, 2018 to file its reply.</w:t>
      </w:r>
    </w:p>
    <w:p w14:paraId="7EB5DDE1" w14:textId="77777777" w:rsidR="00775628" w:rsidRDefault="00775628" w:rsidP="006B6701">
      <w:pPr>
        <w:ind w:firstLine="1440"/>
        <w:rPr>
          <w:sz w:val="26"/>
          <w:szCs w:val="26"/>
        </w:rPr>
      </w:pPr>
    </w:p>
    <w:p w14:paraId="220DEE36" w14:textId="77777777" w:rsidR="00673B33" w:rsidRDefault="00775628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>The Commission’s Regulation at 52 Pa. Code § 1.15 permits the Commission to grant an extension of time</w:t>
      </w:r>
      <w:r w:rsidR="000B3E1D">
        <w:rPr>
          <w:sz w:val="26"/>
          <w:szCs w:val="26"/>
        </w:rPr>
        <w:t xml:space="preserve"> for </w:t>
      </w:r>
      <w:r>
        <w:rPr>
          <w:sz w:val="26"/>
          <w:szCs w:val="26"/>
        </w:rPr>
        <w:t xml:space="preserve">good cause shown before the </w:t>
      </w:r>
      <w:r w:rsidR="000B3E1D">
        <w:rPr>
          <w:sz w:val="26"/>
          <w:szCs w:val="26"/>
        </w:rPr>
        <w:t xml:space="preserve">pertinent </w:t>
      </w:r>
      <w:r>
        <w:rPr>
          <w:sz w:val="26"/>
          <w:szCs w:val="26"/>
        </w:rPr>
        <w:t>time period has expired.</w:t>
      </w:r>
      <w:r w:rsidR="006C5F3C">
        <w:rPr>
          <w:sz w:val="26"/>
          <w:szCs w:val="26"/>
        </w:rPr>
        <w:t xml:space="preserve">  The Commission finds that </w:t>
      </w:r>
      <w:r w:rsidR="00673B33">
        <w:rPr>
          <w:sz w:val="26"/>
          <w:szCs w:val="26"/>
        </w:rPr>
        <w:t xml:space="preserve">Pennsylvania Power </w:t>
      </w:r>
      <w:r w:rsidR="006C5F3C">
        <w:rPr>
          <w:sz w:val="26"/>
          <w:szCs w:val="26"/>
        </w:rPr>
        <w:t>has established good cause for the requested extension of time.</w:t>
      </w:r>
    </w:p>
    <w:p w14:paraId="0B784FA2" w14:textId="77777777" w:rsidR="00673B33" w:rsidRDefault="00673B33" w:rsidP="006B6701">
      <w:pPr>
        <w:ind w:firstLine="1440"/>
        <w:rPr>
          <w:sz w:val="26"/>
          <w:szCs w:val="26"/>
        </w:rPr>
      </w:pPr>
    </w:p>
    <w:p w14:paraId="2193AE4E" w14:textId="77777777" w:rsidR="00105E0E" w:rsidRDefault="00EB5C97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Given </w:t>
      </w:r>
      <w:r w:rsidR="00673B33">
        <w:rPr>
          <w:sz w:val="26"/>
          <w:szCs w:val="26"/>
        </w:rPr>
        <w:t>the facts in this case,</w:t>
      </w:r>
      <w:r w:rsidR="00105E0E">
        <w:rPr>
          <w:sz w:val="26"/>
          <w:szCs w:val="26"/>
        </w:rPr>
        <w:t xml:space="preserve"> the Commission will </w:t>
      </w:r>
      <w:r>
        <w:rPr>
          <w:sz w:val="26"/>
          <w:szCs w:val="26"/>
        </w:rPr>
        <w:t xml:space="preserve">allow the </w:t>
      </w:r>
      <w:r w:rsidR="001E6244">
        <w:rPr>
          <w:sz w:val="26"/>
          <w:szCs w:val="26"/>
        </w:rPr>
        <w:t>P</w:t>
      </w:r>
      <w:r>
        <w:rPr>
          <w:sz w:val="26"/>
          <w:szCs w:val="26"/>
        </w:rPr>
        <w:t xml:space="preserve">arties to submit new filings </w:t>
      </w:r>
      <w:r w:rsidR="000E1AAF">
        <w:rPr>
          <w:sz w:val="26"/>
          <w:szCs w:val="26"/>
        </w:rPr>
        <w:t xml:space="preserve">by setting a new </w:t>
      </w:r>
      <w:r w:rsidR="00673B33">
        <w:rPr>
          <w:sz w:val="26"/>
          <w:szCs w:val="26"/>
        </w:rPr>
        <w:t xml:space="preserve">Exception and Replies to Exceptions period.  </w:t>
      </w:r>
      <w:r>
        <w:rPr>
          <w:sz w:val="26"/>
          <w:szCs w:val="26"/>
        </w:rPr>
        <w:t xml:space="preserve">Therefore, </w:t>
      </w:r>
      <w:r w:rsidR="00105E0E">
        <w:rPr>
          <w:sz w:val="26"/>
          <w:szCs w:val="26"/>
        </w:rPr>
        <w:t xml:space="preserve">Exceptions </w:t>
      </w:r>
      <w:r w:rsidR="00673B33">
        <w:rPr>
          <w:sz w:val="26"/>
          <w:szCs w:val="26"/>
        </w:rPr>
        <w:t xml:space="preserve">shall be </w:t>
      </w:r>
      <w:r w:rsidR="000E1AAF">
        <w:rPr>
          <w:sz w:val="26"/>
          <w:szCs w:val="26"/>
        </w:rPr>
        <w:t>filed with the Commission within twenty (20) days of the date of this letter (by the close of business on July 26, 2018).  Reply</w:t>
      </w:r>
      <w:r w:rsidR="00673B33">
        <w:rPr>
          <w:sz w:val="26"/>
          <w:szCs w:val="26"/>
        </w:rPr>
        <w:t xml:space="preserve"> Exceptions are due </w:t>
      </w:r>
      <w:r w:rsidR="00673B33">
        <w:rPr>
          <w:sz w:val="26"/>
          <w:szCs w:val="26"/>
        </w:rPr>
        <w:lastRenderedPageBreak/>
        <w:t xml:space="preserve">within ten (10) days </w:t>
      </w:r>
      <w:r w:rsidR="001E6244">
        <w:rPr>
          <w:sz w:val="26"/>
          <w:szCs w:val="26"/>
        </w:rPr>
        <w:t xml:space="preserve">later and </w:t>
      </w:r>
      <w:r>
        <w:rPr>
          <w:sz w:val="26"/>
          <w:szCs w:val="26"/>
        </w:rPr>
        <w:t xml:space="preserve">shall be filed on or before </w:t>
      </w:r>
      <w:r w:rsidR="000E1AAF">
        <w:rPr>
          <w:sz w:val="26"/>
          <w:szCs w:val="26"/>
        </w:rPr>
        <w:t xml:space="preserve">the close of business on </w:t>
      </w:r>
      <w:r>
        <w:rPr>
          <w:sz w:val="26"/>
          <w:szCs w:val="26"/>
        </w:rPr>
        <w:t>August 6, 2018</w:t>
      </w:r>
      <w:r w:rsidR="008F35B0">
        <w:rPr>
          <w:sz w:val="26"/>
          <w:szCs w:val="26"/>
        </w:rPr>
        <w:t>.</w:t>
      </w:r>
      <w:r w:rsidR="000E1AAF">
        <w:rPr>
          <w:sz w:val="26"/>
          <w:szCs w:val="26"/>
        </w:rPr>
        <w:t xml:space="preserve">  All filings shall include a Certificate of Service showing all other Parties have been served with a copy of the Exceptions or Reply Exceptions.</w:t>
      </w:r>
    </w:p>
    <w:p w14:paraId="39929F82" w14:textId="14A0079B" w:rsidR="008F35B0" w:rsidRDefault="008F35B0" w:rsidP="006B6701">
      <w:pPr>
        <w:ind w:firstLine="1440"/>
        <w:rPr>
          <w:sz w:val="26"/>
          <w:szCs w:val="26"/>
        </w:rPr>
      </w:pPr>
    </w:p>
    <w:p w14:paraId="48FE0868" w14:textId="5A507CC1" w:rsidR="003A072B" w:rsidRPr="00D12C93" w:rsidRDefault="00F1042D" w:rsidP="00EB6F1D">
      <w:pPr>
        <w:ind w:firstLine="432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318DBFD" wp14:editId="72917866">
            <wp:simplePos x="0" y="0"/>
            <wp:positionH relativeFrom="column">
              <wp:posOffset>2695575</wp:posOffset>
            </wp:positionH>
            <wp:positionV relativeFrom="paragraph">
              <wp:posOffset>113665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AAF">
        <w:rPr>
          <w:sz w:val="26"/>
          <w:szCs w:val="26"/>
        </w:rPr>
        <w:t>Sincerely</w:t>
      </w:r>
      <w:r w:rsidR="003A072B" w:rsidRPr="00D12C93">
        <w:rPr>
          <w:sz w:val="26"/>
          <w:szCs w:val="26"/>
        </w:rPr>
        <w:t>,</w:t>
      </w:r>
    </w:p>
    <w:p w14:paraId="549550E0" w14:textId="77777777" w:rsidR="003A072B" w:rsidRDefault="003A072B" w:rsidP="00E528E4">
      <w:pPr>
        <w:rPr>
          <w:sz w:val="26"/>
          <w:szCs w:val="26"/>
        </w:rPr>
      </w:pPr>
    </w:p>
    <w:p w14:paraId="7F4C8C12" w14:textId="77777777" w:rsidR="00D12C93" w:rsidRPr="00D12C93" w:rsidRDefault="00D12C93" w:rsidP="00E528E4">
      <w:pPr>
        <w:rPr>
          <w:sz w:val="26"/>
          <w:szCs w:val="26"/>
        </w:rPr>
      </w:pPr>
    </w:p>
    <w:p w14:paraId="36A6818E" w14:textId="77777777" w:rsidR="003A072B" w:rsidRPr="00D12C93" w:rsidRDefault="003A072B" w:rsidP="00E528E4">
      <w:pPr>
        <w:rPr>
          <w:sz w:val="26"/>
          <w:szCs w:val="26"/>
        </w:rPr>
      </w:pPr>
      <w:bookmarkStart w:id="0" w:name="_GoBack"/>
      <w:bookmarkEnd w:id="0"/>
    </w:p>
    <w:p w14:paraId="2CC4F788" w14:textId="77777777" w:rsidR="003A072B" w:rsidRPr="00D12C93" w:rsidRDefault="00EB6F1D" w:rsidP="00EB6F1D">
      <w:pPr>
        <w:ind w:firstLine="432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14:paraId="1B58F92C" w14:textId="77777777" w:rsidR="00004D77" w:rsidRDefault="003A072B" w:rsidP="00004D77">
      <w:pPr>
        <w:ind w:firstLine="4320"/>
      </w:pPr>
      <w:r w:rsidRPr="00D12C93">
        <w:rPr>
          <w:sz w:val="26"/>
          <w:szCs w:val="26"/>
        </w:rPr>
        <w:t>Secretary</w:t>
      </w:r>
    </w:p>
    <w:p w14:paraId="3F5BBB84" w14:textId="77777777" w:rsidR="005B5AA7" w:rsidRPr="00D12C93" w:rsidRDefault="005B5AA7" w:rsidP="005B5AA7">
      <w:pPr>
        <w:rPr>
          <w:sz w:val="26"/>
          <w:szCs w:val="26"/>
        </w:rPr>
      </w:pPr>
    </w:p>
    <w:sectPr w:rsidR="005B5AA7" w:rsidRPr="00D12C93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D8C6C" w14:textId="77777777" w:rsidR="001C398E" w:rsidRDefault="001C398E">
      <w:r>
        <w:separator/>
      </w:r>
    </w:p>
  </w:endnote>
  <w:endnote w:type="continuationSeparator" w:id="0">
    <w:p w14:paraId="11E3306A" w14:textId="77777777" w:rsidR="001C398E" w:rsidRDefault="001C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75CB7" w14:textId="77777777" w:rsidR="001C398E" w:rsidRDefault="001C398E">
      <w:r>
        <w:separator/>
      </w:r>
    </w:p>
  </w:footnote>
  <w:footnote w:type="continuationSeparator" w:id="0">
    <w:p w14:paraId="37EE1231" w14:textId="77777777" w:rsidR="001C398E" w:rsidRDefault="001C3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4D77"/>
    <w:rsid w:val="0000719E"/>
    <w:rsid w:val="00016793"/>
    <w:rsid w:val="000A5ADF"/>
    <w:rsid w:val="000A659E"/>
    <w:rsid w:val="000B3E1D"/>
    <w:rsid w:val="000D020B"/>
    <w:rsid w:val="000D26F3"/>
    <w:rsid w:val="000D6753"/>
    <w:rsid w:val="000E1AAF"/>
    <w:rsid w:val="000E32E1"/>
    <w:rsid w:val="000E3737"/>
    <w:rsid w:val="000F03BA"/>
    <w:rsid w:val="00105E0E"/>
    <w:rsid w:val="001147C1"/>
    <w:rsid w:val="001209F1"/>
    <w:rsid w:val="001352D9"/>
    <w:rsid w:val="00136BAB"/>
    <w:rsid w:val="00145471"/>
    <w:rsid w:val="00153FD8"/>
    <w:rsid w:val="00157590"/>
    <w:rsid w:val="001737A8"/>
    <w:rsid w:val="0018285B"/>
    <w:rsid w:val="001A3FDC"/>
    <w:rsid w:val="001C1E78"/>
    <w:rsid w:val="001C398E"/>
    <w:rsid w:val="001E6244"/>
    <w:rsid w:val="00201518"/>
    <w:rsid w:val="0021794B"/>
    <w:rsid w:val="002229C3"/>
    <w:rsid w:val="002462B6"/>
    <w:rsid w:val="00253E27"/>
    <w:rsid w:val="0026602D"/>
    <w:rsid w:val="00280CC0"/>
    <w:rsid w:val="00287550"/>
    <w:rsid w:val="0029471C"/>
    <w:rsid w:val="00295B24"/>
    <w:rsid w:val="002D695B"/>
    <w:rsid w:val="002E1377"/>
    <w:rsid w:val="002E28AA"/>
    <w:rsid w:val="003267D4"/>
    <w:rsid w:val="0033738E"/>
    <w:rsid w:val="0034399B"/>
    <w:rsid w:val="00354FA6"/>
    <w:rsid w:val="003677ED"/>
    <w:rsid w:val="00391858"/>
    <w:rsid w:val="00392F08"/>
    <w:rsid w:val="00395B7C"/>
    <w:rsid w:val="003A072B"/>
    <w:rsid w:val="003A3D25"/>
    <w:rsid w:val="003A50C3"/>
    <w:rsid w:val="003D2057"/>
    <w:rsid w:val="003E3BF1"/>
    <w:rsid w:val="004131E7"/>
    <w:rsid w:val="004219BD"/>
    <w:rsid w:val="00430047"/>
    <w:rsid w:val="00430574"/>
    <w:rsid w:val="004446DC"/>
    <w:rsid w:val="00466663"/>
    <w:rsid w:val="004B01E6"/>
    <w:rsid w:val="004D1180"/>
    <w:rsid w:val="004E1206"/>
    <w:rsid w:val="004E7F64"/>
    <w:rsid w:val="00501CC5"/>
    <w:rsid w:val="00546357"/>
    <w:rsid w:val="005A11FD"/>
    <w:rsid w:val="005A37A2"/>
    <w:rsid w:val="005B5AA7"/>
    <w:rsid w:val="005E25C5"/>
    <w:rsid w:val="0060010C"/>
    <w:rsid w:val="00601B8D"/>
    <w:rsid w:val="006266EC"/>
    <w:rsid w:val="00636D03"/>
    <w:rsid w:val="006430DB"/>
    <w:rsid w:val="006465FA"/>
    <w:rsid w:val="00673B33"/>
    <w:rsid w:val="006755C0"/>
    <w:rsid w:val="00683D7A"/>
    <w:rsid w:val="006A1B5E"/>
    <w:rsid w:val="006B0DE7"/>
    <w:rsid w:val="006B502A"/>
    <w:rsid w:val="006B6701"/>
    <w:rsid w:val="006C5F3C"/>
    <w:rsid w:val="006D0288"/>
    <w:rsid w:val="006D2C48"/>
    <w:rsid w:val="006D3665"/>
    <w:rsid w:val="006F6031"/>
    <w:rsid w:val="00706FBE"/>
    <w:rsid w:val="0071398D"/>
    <w:rsid w:val="00726821"/>
    <w:rsid w:val="00762E1D"/>
    <w:rsid w:val="007726C0"/>
    <w:rsid w:val="00775628"/>
    <w:rsid w:val="00796D7F"/>
    <w:rsid w:val="007A17BA"/>
    <w:rsid w:val="007D1483"/>
    <w:rsid w:val="007D663A"/>
    <w:rsid w:val="00807300"/>
    <w:rsid w:val="00887C03"/>
    <w:rsid w:val="00895AF3"/>
    <w:rsid w:val="008C645A"/>
    <w:rsid w:val="008D17D5"/>
    <w:rsid w:val="008E2BC0"/>
    <w:rsid w:val="008F35B0"/>
    <w:rsid w:val="00914D71"/>
    <w:rsid w:val="009520ED"/>
    <w:rsid w:val="009F5F66"/>
    <w:rsid w:val="009F723A"/>
    <w:rsid w:val="00A16BD8"/>
    <w:rsid w:val="00A27815"/>
    <w:rsid w:val="00A52C46"/>
    <w:rsid w:val="00AA618A"/>
    <w:rsid w:val="00B22E7C"/>
    <w:rsid w:val="00B3131B"/>
    <w:rsid w:val="00B54C9E"/>
    <w:rsid w:val="00B61C25"/>
    <w:rsid w:val="00B63792"/>
    <w:rsid w:val="00B739DA"/>
    <w:rsid w:val="00BC2FB9"/>
    <w:rsid w:val="00BC3334"/>
    <w:rsid w:val="00BD1065"/>
    <w:rsid w:val="00BE5119"/>
    <w:rsid w:val="00BF2F0E"/>
    <w:rsid w:val="00C013A1"/>
    <w:rsid w:val="00C07CF8"/>
    <w:rsid w:val="00C402A0"/>
    <w:rsid w:val="00C50A24"/>
    <w:rsid w:val="00C74A51"/>
    <w:rsid w:val="00CA50D1"/>
    <w:rsid w:val="00CB5738"/>
    <w:rsid w:val="00CB640F"/>
    <w:rsid w:val="00CD4B72"/>
    <w:rsid w:val="00CE3E40"/>
    <w:rsid w:val="00CE751D"/>
    <w:rsid w:val="00CF73EC"/>
    <w:rsid w:val="00D12C93"/>
    <w:rsid w:val="00D17649"/>
    <w:rsid w:val="00D26C3C"/>
    <w:rsid w:val="00D62DCF"/>
    <w:rsid w:val="00DB2119"/>
    <w:rsid w:val="00DB6D5A"/>
    <w:rsid w:val="00DE4157"/>
    <w:rsid w:val="00E06CDF"/>
    <w:rsid w:val="00E229FE"/>
    <w:rsid w:val="00E3265B"/>
    <w:rsid w:val="00E34698"/>
    <w:rsid w:val="00E377C3"/>
    <w:rsid w:val="00E528E4"/>
    <w:rsid w:val="00E57330"/>
    <w:rsid w:val="00E61A32"/>
    <w:rsid w:val="00E63F99"/>
    <w:rsid w:val="00E70913"/>
    <w:rsid w:val="00E87F23"/>
    <w:rsid w:val="00E90D5D"/>
    <w:rsid w:val="00E928F1"/>
    <w:rsid w:val="00EB13E4"/>
    <w:rsid w:val="00EB5C97"/>
    <w:rsid w:val="00EB6F1D"/>
    <w:rsid w:val="00EC7F84"/>
    <w:rsid w:val="00EE7EB6"/>
    <w:rsid w:val="00EF3FBF"/>
    <w:rsid w:val="00EF7F10"/>
    <w:rsid w:val="00F04CF8"/>
    <w:rsid w:val="00F1042D"/>
    <w:rsid w:val="00F10506"/>
    <w:rsid w:val="00F42C1D"/>
    <w:rsid w:val="00F50FDD"/>
    <w:rsid w:val="00F62396"/>
    <w:rsid w:val="00F649C8"/>
    <w:rsid w:val="00F65AE7"/>
    <w:rsid w:val="00F7094C"/>
    <w:rsid w:val="00F90E04"/>
    <w:rsid w:val="00F912E6"/>
    <w:rsid w:val="00F9452A"/>
    <w:rsid w:val="00F9546C"/>
    <w:rsid w:val="00FA08F6"/>
    <w:rsid w:val="00FA2411"/>
    <w:rsid w:val="00FA7D17"/>
    <w:rsid w:val="00FB4936"/>
    <w:rsid w:val="00FD52BB"/>
    <w:rsid w:val="00FE0954"/>
    <w:rsid w:val="00FF6387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00884CC9"/>
  <w15:docId w15:val="{516099D1-0096-4A96-8018-D9641461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F649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D737B-DE0A-440F-BA4D-55C61E719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MARINKO</dc:creator>
  <cp:lastModifiedBy>Wagner, Nathan R</cp:lastModifiedBy>
  <cp:revision>3</cp:revision>
  <cp:lastPrinted>2010-09-30T16:44:00Z</cp:lastPrinted>
  <dcterms:created xsi:type="dcterms:W3CDTF">2018-07-06T18:57:00Z</dcterms:created>
  <dcterms:modified xsi:type="dcterms:W3CDTF">2018-07-06T19:03:00Z</dcterms:modified>
</cp:coreProperties>
</file>