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1D8BF" w14:textId="77777777" w:rsidR="00923AAA" w:rsidRPr="00DC04AC" w:rsidRDefault="00923AAA" w:rsidP="00923AAA">
      <w:pPr>
        <w:tabs>
          <w:tab w:val="left" w:pos="0"/>
        </w:tabs>
        <w:spacing w:line="240" w:lineRule="auto"/>
        <w:jc w:val="center"/>
        <w:rPr>
          <w:b/>
        </w:rPr>
      </w:pPr>
      <w:r w:rsidRPr="00DC04AC">
        <w:rPr>
          <w:b/>
        </w:rPr>
        <w:t>BEFORE THE</w:t>
      </w:r>
    </w:p>
    <w:p w14:paraId="5D95042E" w14:textId="77777777" w:rsidR="00923AAA" w:rsidRPr="00DC04AC" w:rsidRDefault="00923AAA" w:rsidP="00923AAA">
      <w:pPr>
        <w:tabs>
          <w:tab w:val="left" w:pos="0"/>
        </w:tabs>
        <w:spacing w:line="240" w:lineRule="auto"/>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14:paraId="38CE4F06" w14:textId="77777777" w:rsidR="00923AAA" w:rsidRPr="00DC04AC" w:rsidRDefault="00923AAA" w:rsidP="00923AAA">
      <w:pPr>
        <w:tabs>
          <w:tab w:val="left" w:pos="0"/>
        </w:tabs>
        <w:spacing w:line="240" w:lineRule="auto"/>
        <w:jc w:val="both"/>
        <w:rPr>
          <w:b/>
          <w:szCs w:val="24"/>
        </w:rPr>
      </w:pPr>
    </w:p>
    <w:p w14:paraId="5DBA6BC0" w14:textId="77777777" w:rsidR="00923AAA" w:rsidRPr="00DC04AC" w:rsidRDefault="00923AAA" w:rsidP="00923AAA">
      <w:pPr>
        <w:tabs>
          <w:tab w:val="left" w:pos="0"/>
        </w:tabs>
        <w:spacing w:line="240" w:lineRule="auto"/>
        <w:jc w:val="both"/>
        <w:rPr>
          <w:b/>
          <w:szCs w:val="24"/>
        </w:rPr>
      </w:pPr>
    </w:p>
    <w:p w14:paraId="53C48508" w14:textId="77777777" w:rsidR="00923AAA" w:rsidRPr="00DC04AC" w:rsidRDefault="00923AAA" w:rsidP="00923AAA">
      <w:pPr>
        <w:tabs>
          <w:tab w:val="left" w:pos="0"/>
        </w:tabs>
        <w:spacing w:line="240" w:lineRule="auto"/>
        <w:jc w:val="both"/>
        <w:rPr>
          <w:b/>
          <w:szCs w:val="24"/>
        </w:rPr>
      </w:pPr>
    </w:p>
    <w:p w14:paraId="35306D68" w14:textId="77777777" w:rsidR="00923AAA" w:rsidRPr="00DC04AC" w:rsidRDefault="00923AAA" w:rsidP="00923AAA">
      <w:pPr>
        <w:tabs>
          <w:tab w:val="left" w:pos="0"/>
        </w:tabs>
        <w:spacing w:line="240" w:lineRule="auto"/>
        <w:jc w:val="both"/>
        <w:rPr>
          <w:b/>
          <w:szCs w:val="24"/>
        </w:rPr>
      </w:pPr>
      <w:r>
        <w:rPr>
          <w:szCs w:val="24"/>
        </w:rPr>
        <w:t>Mícheál McHugh</w:t>
      </w:r>
      <w:r>
        <w:rPr>
          <w:szCs w:val="24"/>
        </w:rPr>
        <w:tab/>
      </w:r>
      <w:r>
        <w:rPr>
          <w:szCs w:val="24"/>
        </w:rPr>
        <w:tab/>
      </w:r>
      <w:r>
        <w:rPr>
          <w:szCs w:val="24"/>
        </w:rPr>
        <w:tab/>
      </w:r>
      <w:r>
        <w:rPr>
          <w:szCs w:val="24"/>
        </w:rPr>
        <w:tab/>
      </w:r>
      <w:r>
        <w:rPr>
          <w:szCs w:val="24"/>
        </w:rPr>
        <w:tab/>
      </w:r>
      <w:r w:rsidRPr="00DC04AC">
        <w:rPr>
          <w:szCs w:val="24"/>
        </w:rPr>
        <w:t>:</w:t>
      </w:r>
    </w:p>
    <w:p w14:paraId="1DE1FF08" w14:textId="77777777" w:rsidR="00923AAA" w:rsidRPr="00DC04AC" w:rsidRDefault="00923AAA" w:rsidP="00923AAA">
      <w:pPr>
        <w:tabs>
          <w:tab w:val="left" w:pos="0"/>
        </w:tabs>
        <w:spacing w:line="240" w:lineRule="auto"/>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14:paraId="02019DFE" w14:textId="77777777" w:rsidR="00923AAA" w:rsidRPr="00DC04AC" w:rsidRDefault="00923AAA" w:rsidP="00923AAA">
      <w:pPr>
        <w:tabs>
          <w:tab w:val="left" w:pos="0"/>
        </w:tabs>
        <w:spacing w:line="240" w:lineRule="auto"/>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Pr>
          <w:szCs w:val="24"/>
        </w:rPr>
        <w:t>C-2018-3000302</w:t>
      </w:r>
    </w:p>
    <w:p w14:paraId="1316C2B6" w14:textId="77777777" w:rsidR="00923AAA" w:rsidRPr="00DC04AC" w:rsidRDefault="00923AAA" w:rsidP="00923AAA">
      <w:pPr>
        <w:tabs>
          <w:tab w:val="left" w:pos="0"/>
        </w:tabs>
        <w:spacing w:line="240" w:lineRule="auto"/>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14:paraId="6B3884C0" w14:textId="77777777" w:rsidR="00923AAA" w:rsidRPr="00DC04AC" w:rsidRDefault="00923AAA" w:rsidP="00923AAA">
      <w:pPr>
        <w:tabs>
          <w:tab w:val="left" w:pos="0"/>
        </w:tabs>
        <w:spacing w:line="240" w:lineRule="auto"/>
        <w:jc w:val="both"/>
        <w:rPr>
          <w:szCs w:val="24"/>
        </w:rPr>
      </w:pPr>
      <w:r>
        <w:rPr>
          <w:szCs w:val="24"/>
        </w:rPr>
        <w:t>Duquesne Light Company</w:t>
      </w:r>
      <w:r w:rsidRPr="00DC04AC">
        <w:rPr>
          <w:szCs w:val="24"/>
        </w:rPr>
        <w:tab/>
      </w:r>
      <w:r w:rsidRPr="00DC04AC">
        <w:rPr>
          <w:szCs w:val="24"/>
        </w:rPr>
        <w:tab/>
      </w:r>
      <w:r w:rsidRPr="00DC04AC">
        <w:rPr>
          <w:szCs w:val="24"/>
        </w:rPr>
        <w:tab/>
      </w:r>
      <w:r>
        <w:rPr>
          <w:szCs w:val="24"/>
        </w:rPr>
        <w:tab/>
      </w:r>
      <w:r w:rsidRPr="00DC04AC">
        <w:rPr>
          <w:szCs w:val="24"/>
        </w:rPr>
        <w:t>:</w:t>
      </w:r>
    </w:p>
    <w:p w14:paraId="7249B946" w14:textId="77777777" w:rsidR="00923AAA" w:rsidRDefault="00923AAA" w:rsidP="00923AAA"/>
    <w:p w14:paraId="1155B8A1" w14:textId="77777777" w:rsidR="005C5C2C" w:rsidRPr="002F498C" w:rsidRDefault="007F0CA2" w:rsidP="002F498C">
      <w:pPr>
        <w:spacing w:line="240" w:lineRule="auto"/>
        <w:jc w:val="center"/>
        <w:rPr>
          <w:b/>
        </w:rPr>
      </w:pPr>
      <w:r>
        <w:rPr>
          <w:b/>
        </w:rPr>
        <w:t>SECOND</w:t>
      </w:r>
      <w:r w:rsidR="00923AAA">
        <w:rPr>
          <w:b/>
        </w:rPr>
        <w:t xml:space="preserve"> </w:t>
      </w:r>
      <w:r w:rsidR="005C5C2C" w:rsidRPr="002F498C">
        <w:rPr>
          <w:b/>
        </w:rPr>
        <w:t>INTERIM ORDER</w:t>
      </w:r>
    </w:p>
    <w:p w14:paraId="2098B841" w14:textId="77777777" w:rsidR="002F498C" w:rsidRDefault="005C5C2C" w:rsidP="002F498C">
      <w:pPr>
        <w:spacing w:line="240" w:lineRule="auto"/>
        <w:jc w:val="center"/>
        <w:rPr>
          <w:b/>
        </w:rPr>
      </w:pPr>
      <w:r w:rsidRPr="002F498C">
        <w:rPr>
          <w:b/>
        </w:rPr>
        <w:t xml:space="preserve">GRANTING </w:t>
      </w:r>
      <w:r w:rsidR="00923445" w:rsidRPr="002F498C">
        <w:rPr>
          <w:b/>
        </w:rPr>
        <w:t>PRELIMINARY</w:t>
      </w:r>
      <w:r w:rsidRPr="002F498C">
        <w:rPr>
          <w:b/>
        </w:rPr>
        <w:t xml:space="preserve"> OBJECTIONS </w:t>
      </w:r>
    </w:p>
    <w:p w14:paraId="1DE15F32" w14:textId="77777777" w:rsidR="005C5C2C" w:rsidRPr="002F498C" w:rsidRDefault="005C5C2C" w:rsidP="002F498C">
      <w:pPr>
        <w:spacing w:line="240" w:lineRule="auto"/>
        <w:jc w:val="center"/>
        <w:rPr>
          <w:b/>
          <w:u w:val="single"/>
        </w:rPr>
      </w:pPr>
      <w:r w:rsidRPr="002F498C">
        <w:rPr>
          <w:b/>
          <w:u w:val="single"/>
        </w:rPr>
        <w:t>AND DIRECTING A MORE SPECIFIC COMPLAINT</w:t>
      </w:r>
    </w:p>
    <w:p w14:paraId="6A0DC2E0" w14:textId="77777777" w:rsidR="005C5C2C" w:rsidRDefault="005C5C2C"/>
    <w:p w14:paraId="2CF9F0AE" w14:textId="77777777" w:rsidR="005C5C2C" w:rsidRDefault="005C5C2C">
      <w:r>
        <w:tab/>
        <w:t>On March 5, 2018,</w:t>
      </w:r>
      <w:r w:rsidR="00923AAA">
        <w:t xml:space="preserve"> </w:t>
      </w:r>
      <w:r w:rsidR="00923AAA">
        <w:rPr>
          <w:szCs w:val="24"/>
        </w:rPr>
        <w:t>Mícheál</w:t>
      </w:r>
      <w:r>
        <w:t xml:space="preserve"> McHugh (Complainant) filed a formal complaint against Duquesne Light Company (Duquesne Light or Company).  In Section 4 of the formal complaint form provided by the Commission, the Complainant checked all of the boxes:  </w:t>
      </w:r>
    </w:p>
    <w:p w14:paraId="0B930CDE" w14:textId="77777777" w:rsidR="005C5C2C" w:rsidRDefault="005C5C2C"/>
    <w:p w14:paraId="23616955" w14:textId="77777777" w:rsidR="005C5C2C" w:rsidRDefault="005C5C2C" w:rsidP="005C5C2C">
      <w:pPr>
        <w:spacing w:line="240" w:lineRule="auto"/>
        <w:ind w:left="1440" w:right="1440"/>
      </w:pPr>
      <w:r>
        <w:t xml:space="preserve">The utility is threatening to shut off my service or has already shut off my service; </w:t>
      </w:r>
    </w:p>
    <w:p w14:paraId="6B129CB2" w14:textId="77777777" w:rsidR="005C5C2C" w:rsidRDefault="005C5C2C" w:rsidP="005C5C2C">
      <w:pPr>
        <w:spacing w:line="240" w:lineRule="auto"/>
        <w:ind w:left="1440" w:right="1440"/>
      </w:pPr>
    </w:p>
    <w:p w14:paraId="4412490E" w14:textId="77777777" w:rsidR="005C5C2C" w:rsidRDefault="005C5C2C" w:rsidP="005C5C2C">
      <w:pPr>
        <w:spacing w:line="240" w:lineRule="auto"/>
        <w:ind w:left="1440" w:right="1440"/>
      </w:pPr>
      <w:r>
        <w:t>I would like a payment arrangement;</w:t>
      </w:r>
    </w:p>
    <w:p w14:paraId="0C89899D" w14:textId="77777777" w:rsidR="005C5C2C" w:rsidRDefault="005C5C2C" w:rsidP="005C5C2C">
      <w:pPr>
        <w:spacing w:line="240" w:lineRule="auto"/>
        <w:ind w:left="1440" w:right="1440"/>
      </w:pPr>
    </w:p>
    <w:p w14:paraId="1370F240" w14:textId="77777777" w:rsidR="005C5C2C" w:rsidRDefault="005C5C2C" w:rsidP="005C5C2C">
      <w:pPr>
        <w:spacing w:line="240" w:lineRule="auto"/>
        <w:ind w:left="1440" w:right="1440"/>
      </w:pPr>
      <w:r>
        <w:t>Incorrect char</w:t>
      </w:r>
      <w:r w:rsidR="005772B5">
        <w:t>g</w:t>
      </w:r>
      <w:r>
        <w:t>es are on my bill;</w:t>
      </w:r>
    </w:p>
    <w:p w14:paraId="6F0A4D26" w14:textId="77777777" w:rsidR="005C5C2C" w:rsidRDefault="005C5C2C" w:rsidP="005C5C2C">
      <w:pPr>
        <w:spacing w:line="240" w:lineRule="auto"/>
        <w:ind w:left="1440" w:right="1440"/>
      </w:pPr>
    </w:p>
    <w:p w14:paraId="793EAB14" w14:textId="77777777" w:rsidR="005C5C2C" w:rsidRDefault="005C5C2C" w:rsidP="005C5C2C">
      <w:pPr>
        <w:spacing w:line="240" w:lineRule="auto"/>
        <w:ind w:left="1440" w:right="1440"/>
      </w:pPr>
      <w:r>
        <w:t>I am having a reliability, safety or quality problem with my utility service</w:t>
      </w:r>
      <w:r w:rsidR="00451B72">
        <w:t>;</w:t>
      </w:r>
    </w:p>
    <w:p w14:paraId="74361D44" w14:textId="77777777" w:rsidR="00451B72" w:rsidRDefault="00451B72" w:rsidP="005C5C2C">
      <w:pPr>
        <w:spacing w:line="240" w:lineRule="auto"/>
        <w:ind w:left="1440" w:right="1440"/>
      </w:pPr>
    </w:p>
    <w:p w14:paraId="5B0DB569" w14:textId="77777777" w:rsidR="00451B72" w:rsidRDefault="00451B72" w:rsidP="005C5C2C">
      <w:pPr>
        <w:spacing w:line="240" w:lineRule="auto"/>
        <w:ind w:left="1440" w:right="1440"/>
      </w:pPr>
      <w:r>
        <w:t>Other.</w:t>
      </w:r>
    </w:p>
    <w:p w14:paraId="37F552CA" w14:textId="77777777" w:rsidR="005C5C2C" w:rsidRDefault="005C5C2C"/>
    <w:p w14:paraId="5975DA76" w14:textId="77777777" w:rsidR="005C5C2C" w:rsidRDefault="005C5C2C">
      <w:r>
        <w:t>Handwritten under the first box regarding the termination of service, is “2017.”  In the sections relating to incorrect charges on the bill, reliability problems and other, the words “On file” are handwritten.  Section 5, which invites the Complainant to explain what he wants the Commission to do, are the handwritten words “On file.”</w:t>
      </w:r>
    </w:p>
    <w:p w14:paraId="194ABADC" w14:textId="77777777" w:rsidR="00852C61" w:rsidRDefault="00852C61"/>
    <w:p w14:paraId="62EF432A" w14:textId="77777777" w:rsidR="00B22936" w:rsidRDefault="00852C61">
      <w:r>
        <w:tab/>
      </w:r>
      <w:r w:rsidR="00C938EA">
        <w:tab/>
      </w:r>
      <w:r>
        <w:t xml:space="preserve">In lieu of an answer, Duquesne Light filed preliminary objections on </w:t>
      </w:r>
      <w:r w:rsidR="00C36BE9">
        <w:t xml:space="preserve">March 28, 2018, which included a notice to plead instructing the Complainant to file a response to the </w:t>
      </w:r>
      <w:r w:rsidR="00C36BE9">
        <w:lastRenderedPageBreak/>
        <w:t>preliminary objections within ten days.</w:t>
      </w:r>
      <w:r w:rsidR="00B22936">
        <w:t xml:space="preserve">   Duquesne Light states that the complaint is so vague that Duquesne Light cannot properly prepare a meaningful response to it.</w:t>
      </w:r>
    </w:p>
    <w:p w14:paraId="0FF099C6" w14:textId="77777777" w:rsidR="00451B72" w:rsidRDefault="00451B72"/>
    <w:p w14:paraId="1C47E98B" w14:textId="77777777" w:rsidR="00451B72" w:rsidRDefault="00451B72" w:rsidP="00451B72">
      <w:r>
        <w:tab/>
      </w:r>
      <w:r>
        <w:tab/>
        <w:t>By notice dated May 1, 2018, this matter was assigned to me for disposition as a motion judge.</w:t>
      </w:r>
    </w:p>
    <w:p w14:paraId="0DD73E35" w14:textId="77777777" w:rsidR="00FF34F8" w:rsidRDefault="00FF34F8" w:rsidP="00451B72"/>
    <w:p w14:paraId="157A4063" w14:textId="7777DC12" w:rsidR="00923AAA" w:rsidRDefault="00923AAA" w:rsidP="00451B72">
      <w:r>
        <w:tab/>
      </w:r>
      <w:r>
        <w:tab/>
        <w:t xml:space="preserve">On May 14, 2018, the May 3, 2018 Interim Order </w:t>
      </w:r>
      <w:r w:rsidR="00BA676F" w:rsidRPr="00BA676F">
        <w:t xml:space="preserve">Granting Preliminary Objections and Directing a More Specific Complaint </w:t>
      </w:r>
      <w:r>
        <w:t xml:space="preserve">was returned by the U.S. Postal Service.  Handwritten on the envelope were the words “Return Unknown.”  Also, on the envelope was the postal service tag noting that delivery was attempted, but the postal service was unable to forward.  The Commission attempted to contact the Complainant by telephone at the telephone number listed on the complaint.  On July 9, 2018, the Complainant returned the telephone message.  His address was verified.  The Complainant informed the legal assistant for the Office of Administrative Law Judge that if the accent marks or apostrophes in his first name aren’t in the proper placements, the mail will be returned.  Accordingly, </w:t>
      </w:r>
      <w:r w:rsidR="00B56901">
        <w:t>this second order will be served which will grant Duquesne Light’s preliminary objections and direct that the Complainant file a more specific complaint.</w:t>
      </w:r>
      <w:r>
        <w:rPr>
          <w:rStyle w:val="FootnoteReference"/>
        </w:rPr>
        <w:footnoteReference w:id="1"/>
      </w:r>
    </w:p>
    <w:p w14:paraId="0E04D43C" w14:textId="77777777" w:rsidR="00FF34F8" w:rsidRDefault="00FF34F8"/>
    <w:p w14:paraId="6A4EB319" w14:textId="77777777" w:rsidR="00CB1FC0" w:rsidRDefault="00CB1FC0">
      <w:r>
        <w:tab/>
      </w:r>
      <w:r>
        <w:tab/>
        <w:t xml:space="preserve">The time for responding to preliminary objections </w:t>
      </w:r>
      <w:r w:rsidR="00451B72">
        <w:t>has expired.</w:t>
      </w:r>
      <w:r w:rsidR="00451B72">
        <w:rPr>
          <w:rStyle w:val="FootnoteReference"/>
        </w:rPr>
        <w:footnoteReference w:id="2"/>
      </w:r>
      <w:r w:rsidR="00451B72">
        <w:t xml:space="preserve">  To </w:t>
      </w:r>
      <w:r>
        <w:t>date the Complainant has not filed a response.  Duquesne Light’s preliminary objections are ripe for disposition.</w:t>
      </w:r>
    </w:p>
    <w:p w14:paraId="6839B3DA" w14:textId="77777777" w:rsidR="00FF34F8" w:rsidRDefault="00FF34F8" w:rsidP="00B22936"/>
    <w:p w14:paraId="08B59002" w14:textId="77777777" w:rsidR="00B22936" w:rsidRDefault="00B22936" w:rsidP="00B22936">
      <w:r>
        <w:tab/>
      </w:r>
      <w:r>
        <w:tab/>
        <w:t>Preliminary objection practice before the Commission is similar to Pennsylvania civil practice respecting preliminary objections.</w:t>
      </w:r>
      <w:r>
        <w:rPr>
          <w:rStyle w:val="FootnoteReference"/>
        </w:rPr>
        <w:footnoteReference w:id="3"/>
      </w:r>
      <w:r>
        <w:t xml:space="preserve">  In deciding the preliminary objections, the Commission must determine whether, based on well-pleaded factual averments of the </w:t>
      </w:r>
      <w:r w:rsidR="00451B72">
        <w:t>complaint</w:t>
      </w:r>
      <w:r>
        <w:t xml:space="preserve">, </w:t>
      </w:r>
      <w:r>
        <w:lastRenderedPageBreak/>
        <w:t>recovery or relief is possible.</w:t>
      </w:r>
      <w:r>
        <w:rPr>
          <w:rStyle w:val="FootnoteReference"/>
        </w:rPr>
        <w:footnoteReference w:id="4"/>
      </w:r>
      <w:r>
        <w:t xml:space="preserve">  Any doubt must be resolved in favor of the non-moving party by refusing to sustain the preliminary objections.</w:t>
      </w:r>
      <w:r>
        <w:rPr>
          <w:rStyle w:val="FootnoteReference"/>
        </w:rPr>
        <w:footnoteReference w:id="5"/>
      </w:r>
      <w:r>
        <w:t xml:space="preserve">  All of the non-moving party’s averments in the complaint must be viewed as true for purposes of deciding the preliminary objections, and only those facts specifically admitted may be considered against the non-moving party.</w:t>
      </w:r>
      <w:r>
        <w:rPr>
          <w:rStyle w:val="FootnoteReference"/>
        </w:rPr>
        <w:footnoteReference w:id="6"/>
      </w:r>
      <w:r>
        <w:t xml:space="preserve"> </w:t>
      </w:r>
    </w:p>
    <w:p w14:paraId="38626016" w14:textId="77777777" w:rsidR="00B22936" w:rsidRDefault="00B22936" w:rsidP="00B22936"/>
    <w:p w14:paraId="310D1126" w14:textId="77777777" w:rsidR="00B22936" w:rsidRDefault="00B22936" w:rsidP="00B22936">
      <w:r>
        <w:tab/>
      </w:r>
      <w:r w:rsidR="00C938EA">
        <w:tab/>
      </w:r>
      <w:r w:rsidR="00451B72">
        <w:t>Commission regulations provide a</w:t>
      </w:r>
      <w:r w:rsidRPr="00850E69">
        <w:t xml:space="preserve"> person may file a formal complaint claiming violation of a statute that the Commission has jurisdiction to administer.</w:t>
      </w:r>
      <w:r w:rsidR="00451B72">
        <w:rPr>
          <w:rStyle w:val="FootnoteReference"/>
        </w:rPr>
        <w:footnoteReference w:id="7"/>
      </w:r>
      <w:r w:rsidRPr="00850E69">
        <w:t xml:space="preserve">  </w:t>
      </w:r>
      <w:r w:rsidR="00C938EA" w:rsidRPr="00C938EA">
        <w:t>Section 5.22 of the Commission’s regulations require that a formal complaint set forth a clear and concise statement of the act or omission being complained of including the result of any informal complaint or informal investigation, as well as a clear and concise statement of the relief sought.</w:t>
      </w:r>
      <w:r w:rsidR="00C938EA">
        <w:rPr>
          <w:rStyle w:val="FootnoteReference"/>
        </w:rPr>
        <w:footnoteReference w:id="8"/>
      </w:r>
      <w:r w:rsidR="00C938EA" w:rsidRPr="00C938EA">
        <w:t xml:space="preserve">  </w:t>
      </w:r>
      <w:r w:rsidR="00C938EA">
        <w:t>The Commission’s formal complaint form is to aid self-represented individuals in meeting this and other requirements for the filing of formal complaints.</w:t>
      </w:r>
      <w:r w:rsidR="00C938EA">
        <w:rPr>
          <w:rStyle w:val="FootnoteReference"/>
        </w:rPr>
        <w:footnoteReference w:id="9"/>
      </w:r>
      <w:r w:rsidR="00C938EA">
        <w:t xml:space="preserve">  </w:t>
      </w:r>
      <w:r w:rsidR="00451B72">
        <w:t>The</w:t>
      </w:r>
      <w:r w:rsidR="00C938EA">
        <w:t xml:space="preserve"> form includes a series of boxes which can be checked to help frame the basis of a complainant’s dispute</w:t>
      </w:r>
      <w:r w:rsidR="00451B72">
        <w:t xml:space="preserve"> with a public utility</w:t>
      </w:r>
      <w:r w:rsidR="00C938EA">
        <w:t xml:space="preserve">.  </w:t>
      </w:r>
      <w:r w:rsidR="00451B72">
        <w:t>The form also</w:t>
      </w:r>
      <w:r w:rsidR="00C938EA">
        <w:t xml:space="preserve"> includes an instruction to include “relevant details including dates, times and places and any other information that may be important.”  When alleging incorrect charges, the form requests a complainant to provide “dates that are important and an explanation about any amounts or charges that you believe are not correct.”  Similarly, a reliability or safety allegation should “[e]xplain the problem, including dates, times or places and any other relevant details that may </w:t>
      </w:r>
      <w:r w:rsidR="000B383B">
        <w:t xml:space="preserve">be </w:t>
      </w:r>
      <w:r w:rsidR="00C938EA">
        <w:t>important.”</w:t>
      </w:r>
    </w:p>
    <w:p w14:paraId="5D579A85" w14:textId="77777777" w:rsidR="00FF34F8" w:rsidRDefault="00FF34F8" w:rsidP="00B22936"/>
    <w:p w14:paraId="04CFD79B" w14:textId="77777777" w:rsidR="00451B72" w:rsidRDefault="00451B72" w:rsidP="00B22936">
      <w:r>
        <w:tab/>
      </w:r>
      <w:r>
        <w:tab/>
        <w:t>The Commission’s regulation provide that a responding party may file a preliminary objection to a complaint because of “insufficient specificity of a pleading.”</w:t>
      </w:r>
      <w:r>
        <w:rPr>
          <w:rStyle w:val="FootnoteReference"/>
        </w:rPr>
        <w:footnoteReference w:id="10"/>
      </w:r>
      <w:r>
        <w:t xml:space="preserve">  </w:t>
      </w:r>
      <w:r w:rsidRPr="00C938EA">
        <w:t xml:space="preserve">The </w:t>
      </w:r>
      <w:r w:rsidRPr="00C938EA">
        <w:lastRenderedPageBreak/>
        <w:t xml:space="preserve">purpose of requiring a complaint to be sufficiently specific is </w:t>
      </w:r>
      <w:r w:rsidR="00F70CCB" w:rsidRPr="00C938EA">
        <w:t>to ensure that</w:t>
      </w:r>
      <w:r w:rsidRPr="00C938EA">
        <w:t xml:space="preserve"> the respondent’s right and ability to answer and defend the complaint will not be unduly impaired by a vague pleading when stating the ground</w:t>
      </w:r>
      <w:r w:rsidR="00BA676F">
        <w:t>s</w:t>
      </w:r>
      <w:r w:rsidRPr="00C938EA">
        <w:t xml:space="preserve"> of the complaint.  </w:t>
      </w:r>
    </w:p>
    <w:p w14:paraId="348F0F61" w14:textId="77777777" w:rsidR="00C938EA" w:rsidRDefault="00C938EA" w:rsidP="00B22936"/>
    <w:p w14:paraId="6F4DCD4F" w14:textId="477CF3DF" w:rsidR="00C938EA" w:rsidRDefault="00C938EA" w:rsidP="00B22936">
      <w:r>
        <w:tab/>
      </w:r>
      <w:r>
        <w:tab/>
        <w:t xml:space="preserve">In reviewing the formal complaint form filed by the Complainant, </w:t>
      </w:r>
      <w:r w:rsidR="00D717A3">
        <w:t>the complaint fails to conform to the Commission’s requirements.  M</w:t>
      </w:r>
      <w:r>
        <w:t>ore information is needed in order for Duquesne Light to form a meaningful response</w:t>
      </w:r>
      <w:r w:rsidR="00D717A3">
        <w:t xml:space="preserve"> to the complaint</w:t>
      </w:r>
      <w:r>
        <w:t xml:space="preserve">.  Although the service termination section </w:t>
      </w:r>
      <w:r w:rsidR="003E04EE">
        <w:t xml:space="preserve">in Complainant’s complaint </w:t>
      </w:r>
      <w:r>
        <w:t>refers to “2017</w:t>
      </w:r>
      <w:r w:rsidR="00D717A3">
        <w:t>,</w:t>
      </w:r>
      <w:r>
        <w:t>”</w:t>
      </w:r>
      <w:r w:rsidR="00D717A3">
        <w:t xml:space="preserve"> </w:t>
      </w:r>
      <w:r w:rsidR="00451B72">
        <w:t>Duquesne Light</w:t>
      </w:r>
      <w:r w:rsidR="00D717A3">
        <w:t xml:space="preserve"> can only speculate as to what </w:t>
      </w:r>
      <w:r w:rsidR="00451B72">
        <w:t xml:space="preserve">the </w:t>
      </w:r>
      <w:r w:rsidR="00D717A3">
        <w:t>Complainant is referring to and whether the following allegations also relate to 2017.  While the Complainant makes a reference to “on file” it is unclear whether he is referring to Duquesne Light’s files, the Commission’s files or his own files.</w:t>
      </w:r>
      <w:r w:rsidR="00F851B3">
        <w:t xml:space="preserve">  </w:t>
      </w:r>
      <w:r w:rsidR="00155DF7">
        <w:t>Therefore, Duquesne Light’s preliminary objection on the basis of the insufficient specificity of the pleading is granted.</w:t>
      </w:r>
    </w:p>
    <w:p w14:paraId="16CA3E12" w14:textId="77777777" w:rsidR="00CB098B" w:rsidRDefault="00CB098B" w:rsidP="00B22936"/>
    <w:p w14:paraId="67BC0171" w14:textId="77777777" w:rsidR="00CB098B" w:rsidRDefault="00CB098B" w:rsidP="00B22936">
      <w:r>
        <w:tab/>
      </w:r>
      <w:r>
        <w:tab/>
        <w:t>Duquesne Light seeks dismissal of the</w:t>
      </w:r>
      <w:r w:rsidR="00155DF7">
        <w:t xml:space="preserve"> complaint.  When considering a preliminary objection on the basis of an insufficiently specific complaint, it is not appropriate to dismiss a complaint without first providing the Complainant with an opportunity to provide a more detailed account of his dispute with Duquesne Light, as well as a more specific request for relief if he seeks a remedy beyond his request for a payment arrangement.  Therefore, the Complainant will be directed to file an amended complaint with the Commission within </w:t>
      </w:r>
      <w:r w:rsidR="00B24797">
        <w:t>2</w:t>
      </w:r>
      <w:r w:rsidR="00155DF7">
        <w:t xml:space="preserve">0 days of this order.  In the event the Complainant fails to do so, </w:t>
      </w:r>
      <w:r w:rsidR="00923AAA">
        <w:t>his complaint will be dismissed.</w:t>
      </w:r>
    </w:p>
    <w:p w14:paraId="32904224" w14:textId="77777777" w:rsidR="004A472D" w:rsidRDefault="004A472D" w:rsidP="00B22936"/>
    <w:p w14:paraId="63461CBE" w14:textId="77777777" w:rsidR="004A472D" w:rsidRDefault="006B332E" w:rsidP="00B22936">
      <w:r>
        <w:tab/>
      </w:r>
      <w:r>
        <w:tab/>
      </w:r>
      <w:r w:rsidR="004A472D">
        <w:t>THEREFORE</w:t>
      </w:r>
      <w:r>
        <w:t>,</w:t>
      </w:r>
    </w:p>
    <w:p w14:paraId="13C991AC" w14:textId="77777777" w:rsidR="006B332E" w:rsidRDefault="006B332E" w:rsidP="00B22936"/>
    <w:p w14:paraId="36E6357F" w14:textId="77777777" w:rsidR="004A472D" w:rsidRDefault="006B332E" w:rsidP="00B22936">
      <w:r>
        <w:tab/>
      </w:r>
      <w:r>
        <w:tab/>
      </w:r>
      <w:r w:rsidR="004A472D">
        <w:t>IT IS ORDERED:</w:t>
      </w:r>
    </w:p>
    <w:p w14:paraId="389F23F3" w14:textId="77777777" w:rsidR="004A472D" w:rsidRDefault="004A472D" w:rsidP="00B22936"/>
    <w:p w14:paraId="4C3300CF" w14:textId="77777777" w:rsidR="004A472D" w:rsidRDefault="004A472D" w:rsidP="00B22936">
      <w:r>
        <w:tab/>
      </w:r>
      <w:r w:rsidR="009D58F2">
        <w:tab/>
      </w:r>
      <w:r>
        <w:t>1.</w:t>
      </w:r>
      <w:r>
        <w:tab/>
        <w:t xml:space="preserve">That the preliminary objections of Duquesne Light Company to the formal complaint filed by </w:t>
      </w:r>
      <w:r w:rsidR="005772B5" w:rsidRPr="005772B5">
        <w:t>Mícheál</w:t>
      </w:r>
      <w:r>
        <w:t xml:space="preserve"> McHugh at Docket </w:t>
      </w:r>
      <w:r w:rsidR="00284589">
        <w:t xml:space="preserve">No. </w:t>
      </w:r>
      <w:r>
        <w:t>C-2018-3000302 are granted.</w:t>
      </w:r>
    </w:p>
    <w:p w14:paraId="5BB2F5BD" w14:textId="77777777" w:rsidR="004A472D" w:rsidRDefault="004A472D" w:rsidP="00B22936"/>
    <w:p w14:paraId="7B8A4D1E" w14:textId="77777777" w:rsidR="000E5A6A" w:rsidRDefault="004A472D" w:rsidP="000E5A6A">
      <w:r>
        <w:lastRenderedPageBreak/>
        <w:tab/>
      </w:r>
      <w:r w:rsidR="009D58F2">
        <w:tab/>
      </w:r>
      <w:r>
        <w:t>2.</w:t>
      </w:r>
      <w:r>
        <w:tab/>
        <w:t xml:space="preserve">That </w:t>
      </w:r>
      <w:r w:rsidR="005772B5" w:rsidRPr="005772B5">
        <w:t>Mícheál</w:t>
      </w:r>
      <w:r>
        <w:t xml:space="preserve"> McHugh shall file </w:t>
      </w:r>
      <w:r w:rsidR="000E5A6A">
        <w:t xml:space="preserve">and serve </w:t>
      </w:r>
      <w:r>
        <w:t xml:space="preserve">an amended </w:t>
      </w:r>
      <w:bookmarkStart w:id="0" w:name="_GoBack"/>
      <w:r>
        <w:t>complaint</w:t>
      </w:r>
      <w:bookmarkEnd w:id="0"/>
      <w:r>
        <w:t xml:space="preserve"> which sets forth additional facts, consistent with the instructions provided on the Commission’s formal complaint form, in support of his allegations against Duquesne Light </w:t>
      </w:r>
      <w:r w:rsidR="000B383B">
        <w:t xml:space="preserve">Company </w:t>
      </w:r>
      <w:r>
        <w:t xml:space="preserve">within </w:t>
      </w:r>
      <w:r w:rsidR="00B24797">
        <w:rPr>
          <w:b/>
          <w:u w:val="single"/>
        </w:rPr>
        <w:t>2</w:t>
      </w:r>
      <w:r w:rsidRPr="00FB29FA">
        <w:rPr>
          <w:b/>
          <w:u w:val="single"/>
        </w:rPr>
        <w:t>0 days of the date of this order</w:t>
      </w:r>
      <w:r>
        <w:t>.</w:t>
      </w:r>
      <w:r w:rsidR="000E5A6A">
        <w:t xml:space="preserve">  A copy of the amended complaint shall be served on counsel for Duquesne Light </w:t>
      </w:r>
      <w:r w:rsidR="000B383B">
        <w:t xml:space="preserve">Company </w:t>
      </w:r>
      <w:r w:rsidR="000E5A6A">
        <w:t>as well as the undersigned administrative law judge.</w:t>
      </w:r>
    </w:p>
    <w:p w14:paraId="03BD629A" w14:textId="77777777" w:rsidR="000E5A6A" w:rsidRDefault="000E5A6A" w:rsidP="000E5A6A"/>
    <w:p w14:paraId="137C543D" w14:textId="77777777" w:rsidR="000E5A6A" w:rsidRDefault="000E5A6A" w:rsidP="000E5A6A">
      <w:r>
        <w:tab/>
      </w:r>
      <w:r>
        <w:tab/>
      </w:r>
      <w:r w:rsidR="004A472D">
        <w:t>3.</w:t>
      </w:r>
      <w:r w:rsidR="004A472D">
        <w:tab/>
      </w:r>
      <w:r>
        <w:t xml:space="preserve">That upon timely filing and service of an amended complaint by </w:t>
      </w:r>
      <w:r w:rsidR="005772B5" w:rsidRPr="005772B5">
        <w:t>Mícheál</w:t>
      </w:r>
      <w:r>
        <w:t xml:space="preserve"> McHugh, Duquesne Light Company shall timely file and serve a responsive pleading.</w:t>
      </w:r>
    </w:p>
    <w:p w14:paraId="23B854AB" w14:textId="77777777" w:rsidR="00045151" w:rsidRDefault="00045151" w:rsidP="000E5A6A"/>
    <w:p w14:paraId="7194F9E9" w14:textId="77777777" w:rsidR="00045151" w:rsidRDefault="00045151" w:rsidP="000E5A6A"/>
    <w:p w14:paraId="7B445F05" w14:textId="77777777" w:rsidR="00045151" w:rsidRPr="00045151" w:rsidRDefault="00045151" w:rsidP="00045151">
      <w:pPr>
        <w:spacing w:line="240" w:lineRule="auto"/>
        <w:rPr>
          <w:rFonts w:eastAsia="Times New Roman"/>
          <w:szCs w:val="24"/>
        </w:rPr>
      </w:pPr>
      <w:bookmarkStart w:id="1" w:name="_Hlk505862083"/>
      <w:r w:rsidRPr="00045151">
        <w:rPr>
          <w:rFonts w:eastAsia="Times New Roman"/>
          <w:szCs w:val="24"/>
        </w:rPr>
        <w:t xml:space="preserve">Date:  </w:t>
      </w:r>
      <w:r w:rsidR="00B24797">
        <w:rPr>
          <w:rFonts w:eastAsia="Times New Roman"/>
          <w:szCs w:val="24"/>
          <w:u w:val="single"/>
        </w:rPr>
        <w:t xml:space="preserve">July </w:t>
      </w:r>
      <w:r w:rsidR="005772B5">
        <w:rPr>
          <w:rFonts w:eastAsia="Times New Roman"/>
          <w:szCs w:val="24"/>
          <w:u w:val="single"/>
        </w:rPr>
        <w:t>10</w:t>
      </w:r>
      <w:r>
        <w:rPr>
          <w:rFonts w:eastAsia="Times New Roman"/>
          <w:szCs w:val="24"/>
          <w:u w:val="single"/>
        </w:rPr>
        <w:t>, 2018</w:t>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Pr>
          <w:rFonts w:eastAsia="Times New Roman"/>
          <w:szCs w:val="24"/>
        </w:rPr>
        <w:tab/>
      </w:r>
      <w:r w:rsidRPr="00045151">
        <w:rPr>
          <w:rFonts w:eastAsia="Times New Roman"/>
          <w:szCs w:val="24"/>
          <w:u w:val="single"/>
        </w:rPr>
        <w:tab/>
      </w:r>
      <w:r w:rsidRPr="00045151">
        <w:rPr>
          <w:rFonts w:eastAsia="Times New Roman"/>
          <w:szCs w:val="24"/>
          <w:u w:val="single"/>
        </w:rPr>
        <w:tab/>
        <w:t>/s/</w:t>
      </w:r>
      <w:r w:rsidRPr="00045151">
        <w:rPr>
          <w:rFonts w:eastAsia="Times New Roman"/>
          <w:szCs w:val="24"/>
          <w:u w:val="single"/>
        </w:rPr>
        <w:tab/>
      </w:r>
      <w:r w:rsidRPr="00045151">
        <w:rPr>
          <w:rFonts w:eastAsia="Times New Roman"/>
          <w:szCs w:val="24"/>
          <w:u w:val="single"/>
        </w:rPr>
        <w:tab/>
      </w:r>
      <w:r w:rsidRPr="00045151">
        <w:rPr>
          <w:rFonts w:eastAsia="Times New Roman"/>
          <w:szCs w:val="24"/>
          <w:u w:val="single"/>
        </w:rPr>
        <w:tab/>
      </w:r>
      <w:r w:rsidRPr="00045151">
        <w:rPr>
          <w:rFonts w:eastAsia="Times New Roman"/>
          <w:szCs w:val="24"/>
          <w:u w:val="single"/>
        </w:rPr>
        <w:tab/>
      </w:r>
    </w:p>
    <w:p w14:paraId="08FE3AEE" w14:textId="77777777" w:rsidR="00045151" w:rsidRPr="00045151" w:rsidRDefault="00045151" w:rsidP="00045151">
      <w:pPr>
        <w:spacing w:line="240" w:lineRule="auto"/>
        <w:rPr>
          <w:rFonts w:eastAsia="Times New Roman"/>
          <w:szCs w:val="24"/>
        </w:rPr>
      </w:pP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t>Mary D. Long</w:t>
      </w:r>
    </w:p>
    <w:p w14:paraId="1C277688" w14:textId="77777777" w:rsidR="00045151" w:rsidRPr="00045151" w:rsidRDefault="00045151" w:rsidP="00045151">
      <w:pPr>
        <w:spacing w:line="240" w:lineRule="auto"/>
        <w:rPr>
          <w:rFonts w:eastAsia="Times New Roman"/>
          <w:szCs w:val="24"/>
        </w:rPr>
      </w:pP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r>
      <w:r w:rsidRPr="00045151">
        <w:rPr>
          <w:rFonts w:eastAsia="Times New Roman"/>
          <w:szCs w:val="24"/>
        </w:rPr>
        <w:tab/>
        <w:t>Administrative Law Judge</w:t>
      </w:r>
    </w:p>
    <w:bookmarkEnd w:id="1"/>
    <w:p w14:paraId="30FB107B" w14:textId="77777777" w:rsidR="00045151" w:rsidRDefault="00045151" w:rsidP="000E5A6A"/>
    <w:p w14:paraId="2AB406B1" w14:textId="77777777" w:rsidR="00045151" w:rsidRDefault="00045151" w:rsidP="000E5A6A">
      <w:pPr>
        <w:sectPr w:rsidR="00045151" w:rsidSect="00B22936">
          <w:footerReference w:type="default" r:id="rId7"/>
          <w:pgSz w:w="12240" w:h="15840"/>
          <w:pgMar w:top="1440" w:right="1440" w:bottom="1440" w:left="1440" w:header="720" w:footer="720" w:gutter="0"/>
          <w:cols w:space="720"/>
          <w:titlePg/>
          <w:docGrid w:linePitch="360"/>
        </w:sectPr>
      </w:pPr>
    </w:p>
    <w:p w14:paraId="57717D21" w14:textId="77777777" w:rsidR="005772B5" w:rsidRPr="005772B5" w:rsidRDefault="005772B5" w:rsidP="005772B5">
      <w:pPr>
        <w:spacing w:after="160" w:line="259" w:lineRule="auto"/>
        <w:rPr>
          <w:rFonts w:ascii="Microsoft Sans Serif" w:eastAsia="Microsoft Sans Serif" w:hAnsi="Microsoft Sans Serif" w:cs="Microsoft Sans Serif"/>
          <w:i/>
          <w:szCs w:val="22"/>
        </w:rPr>
      </w:pPr>
      <w:r w:rsidRPr="005772B5">
        <w:rPr>
          <w:rFonts w:ascii="Microsoft Sans Serif" w:eastAsia="Microsoft Sans Serif" w:hAnsi="Microsoft Sans Serif" w:cs="Microsoft Sans Serif"/>
          <w:b/>
          <w:szCs w:val="22"/>
          <w:u w:val="single"/>
        </w:rPr>
        <w:lastRenderedPageBreak/>
        <w:t xml:space="preserve">C-2018-3000302 – MÍCHEÁL MCHUGH v. DUQUESNE LIGHT COMPANY </w:t>
      </w:r>
      <w:r w:rsidRPr="005772B5">
        <w:rPr>
          <w:rFonts w:ascii="Microsoft Sans Serif" w:eastAsia="Microsoft Sans Serif" w:hAnsi="Microsoft Sans Serif" w:cs="Microsoft Sans Serif"/>
          <w:b/>
          <w:szCs w:val="22"/>
          <w:u w:val="single"/>
        </w:rPr>
        <w:cr/>
      </w:r>
      <w:r w:rsidRPr="005772B5">
        <w:rPr>
          <w:rFonts w:ascii="Microsoft Sans Serif" w:eastAsia="Microsoft Sans Serif" w:hAnsi="Microsoft Sans Serif" w:cs="Microsoft Sans Serif"/>
          <w:b/>
          <w:szCs w:val="22"/>
          <w:u w:val="single"/>
        </w:rPr>
        <w:cr/>
      </w:r>
      <w:r w:rsidRPr="005772B5">
        <w:rPr>
          <w:rFonts w:ascii="Microsoft Sans Serif" w:eastAsia="Microsoft Sans Serif" w:hAnsi="Microsoft Sans Serif" w:cs="Microsoft Sans Serif"/>
          <w:i/>
          <w:szCs w:val="22"/>
        </w:rPr>
        <w:t>Revised 7/9/18</w:t>
      </w:r>
    </w:p>
    <w:p w14:paraId="37DA4A1C" w14:textId="77777777" w:rsidR="005772B5" w:rsidRPr="005772B5" w:rsidRDefault="005772B5" w:rsidP="005772B5">
      <w:pPr>
        <w:spacing w:after="160" w:line="259" w:lineRule="auto"/>
        <w:rPr>
          <w:rFonts w:ascii="Calibri" w:eastAsia="Times New Roman" w:hAnsi="Calibri"/>
          <w:sz w:val="22"/>
          <w:szCs w:val="22"/>
        </w:rPr>
      </w:pPr>
      <w:bookmarkStart w:id="2" w:name="_Hlk518915472"/>
      <w:r w:rsidRPr="005772B5">
        <w:rPr>
          <w:rFonts w:ascii="Microsoft Sans Serif" w:eastAsia="Microsoft Sans Serif" w:hAnsi="Microsoft Sans Serif" w:cs="Microsoft Sans Serif"/>
          <w:szCs w:val="22"/>
        </w:rPr>
        <w:t>MÍCHEÁL MCHUGH</w:t>
      </w:r>
      <w:r w:rsidRPr="005772B5">
        <w:rPr>
          <w:rFonts w:ascii="Microsoft Sans Serif" w:eastAsia="Microsoft Sans Serif" w:hAnsi="Microsoft Sans Serif" w:cs="Microsoft Sans Serif"/>
          <w:szCs w:val="22"/>
        </w:rPr>
        <w:cr/>
        <w:t>2807 SPRING ST</w:t>
      </w:r>
      <w:r w:rsidRPr="005772B5">
        <w:rPr>
          <w:rFonts w:ascii="Microsoft Sans Serif" w:eastAsia="Microsoft Sans Serif" w:hAnsi="Microsoft Sans Serif" w:cs="Microsoft Sans Serif"/>
          <w:szCs w:val="22"/>
        </w:rPr>
        <w:cr/>
        <w:t>PITTSBURGH PA  15210</w:t>
      </w:r>
      <w:bookmarkEnd w:id="2"/>
      <w:r w:rsidRPr="005772B5">
        <w:rPr>
          <w:rFonts w:ascii="Microsoft Sans Serif" w:eastAsia="Microsoft Sans Serif" w:hAnsi="Microsoft Sans Serif" w:cs="Microsoft Sans Serif"/>
          <w:szCs w:val="22"/>
        </w:rPr>
        <w:cr/>
      </w:r>
      <w:r w:rsidRPr="005772B5">
        <w:rPr>
          <w:rFonts w:ascii="Microsoft Sans Serif" w:eastAsia="Microsoft Sans Serif" w:hAnsi="Microsoft Sans Serif" w:cs="Microsoft Sans Serif"/>
          <w:b/>
          <w:szCs w:val="22"/>
        </w:rPr>
        <w:t>412.377.0330</w:t>
      </w:r>
      <w:r w:rsidRPr="005772B5">
        <w:rPr>
          <w:rFonts w:ascii="Microsoft Sans Serif" w:eastAsia="Microsoft Sans Serif" w:hAnsi="Microsoft Sans Serif" w:cs="Microsoft Sans Serif"/>
          <w:szCs w:val="22"/>
        </w:rPr>
        <w:cr/>
      </w:r>
      <w:r w:rsidRPr="005772B5">
        <w:rPr>
          <w:rFonts w:ascii="Microsoft Sans Serif" w:eastAsia="Microsoft Sans Serif" w:hAnsi="Microsoft Sans Serif" w:cs="Microsoft Sans Serif"/>
          <w:szCs w:val="22"/>
        </w:rPr>
        <w:cr/>
        <w:t>LAUREN N RULLI ESQUIRE</w:t>
      </w:r>
      <w:r w:rsidRPr="005772B5">
        <w:rPr>
          <w:rFonts w:ascii="Microsoft Sans Serif" w:eastAsia="Microsoft Sans Serif" w:hAnsi="Microsoft Sans Serif" w:cs="Microsoft Sans Serif"/>
          <w:szCs w:val="22"/>
        </w:rPr>
        <w:cr/>
        <w:t>TUCKER ARENSBERG PC</w:t>
      </w:r>
      <w:r w:rsidRPr="005772B5">
        <w:rPr>
          <w:rFonts w:ascii="Microsoft Sans Serif" w:eastAsia="Microsoft Sans Serif" w:hAnsi="Microsoft Sans Serif" w:cs="Microsoft Sans Serif"/>
          <w:szCs w:val="22"/>
        </w:rPr>
        <w:cr/>
        <w:t>1500 ONE PPG PLACE</w:t>
      </w:r>
      <w:r w:rsidRPr="005772B5">
        <w:rPr>
          <w:rFonts w:ascii="Microsoft Sans Serif" w:eastAsia="Microsoft Sans Serif" w:hAnsi="Microsoft Sans Serif" w:cs="Microsoft Sans Serif"/>
          <w:szCs w:val="22"/>
        </w:rPr>
        <w:cr/>
        <w:t>PITTSBURGH PA  15222</w:t>
      </w:r>
      <w:r w:rsidRPr="005772B5">
        <w:rPr>
          <w:rFonts w:ascii="Microsoft Sans Serif" w:eastAsia="Microsoft Sans Serif" w:hAnsi="Microsoft Sans Serif" w:cs="Microsoft Sans Serif"/>
          <w:szCs w:val="22"/>
        </w:rPr>
        <w:cr/>
      </w:r>
      <w:r w:rsidRPr="005772B5">
        <w:rPr>
          <w:rFonts w:ascii="Microsoft Sans Serif" w:eastAsia="Microsoft Sans Serif" w:hAnsi="Microsoft Sans Serif" w:cs="Microsoft Sans Serif"/>
          <w:b/>
          <w:szCs w:val="22"/>
        </w:rPr>
        <w:t>412.594.5510</w:t>
      </w:r>
      <w:r w:rsidRPr="005772B5">
        <w:rPr>
          <w:rFonts w:ascii="Microsoft Sans Serif" w:eastAsia="Microsoft Sans Serif" w:hAnsi="Microsoft Sans Serif" w:cs="Microsoft Sans Serif"/>
          <w:szCs w:val="22"/>
        </w:rPr>
        <w:cr/>
      </w:r>
      <w:r w:rsidRPr="005772B5">
        <w:rPr>
          <w:rFonts w:ascii="Microsoft Sans Serif" w:eastAsia="Microsoft Sans Serif" w:hAnsi="Microsoft Sans Serif" w:cs="Microsoft Sans Serif"/>
          <w:b/>
          <w:i/>
          <w:szCs w:val="22"/>
          <w:u w:val="single"/>
        </w:rPr>
        <w:t>ACCEPTS E-SERVICE</w:t>
      </w:r>
    </w:p>
    <w:p w14:paraId="4C59D5F5" w14:textId="77777777" w:rsidR="00045151" w:rsidRPr="00045151" w:rsidRDefault="00045151" w:rsidP="00045151">
      <w:pPr>
        <w:spacing w:line="240" w:lineRule="auto"/>
        <w:rPr>
          <w:rFonts w:eastAsiaTheme="minorHAnsi"/>
          <w:szCs w:val="22"/>
        </w:rPr>
      </w:pPr>
    </w:p>
    <w:p w14:paraId="2D720447" w14:textId="77777777" w:rsidR="00045151" w:rsidRDefault="00045151" w:rsidP="000E5A6A"/>
    <w:p w14:paraId="0A1ADD54" w14:textId="77777777" w:rsidR="004A472D" w:rsidRPr="00850E69" w:rsidRDefault="004A472D" w:rsidP="00B22936"/>
    <w:p w14:paraId="43A9A892" w14:textId="77777777" w:rsidR="00B22936" w:rsidRDefault="00B22936"/>
    <w:p w14:paraId="5EB4C6B3" w14:textId="77777777" w:rsidR="00B22936" w:rsidRDefault="00B22936"/>
    <w:p w14:paraId="58379CD0" w14:textId="77777777" w:rsidR="00B22936" w:rsidRDefault="00B22936"/>
    <w:sectPr w:rsidR="00B22936" w:rsidSect="00B229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C65BE" w14:textId="77777777" w:rsidR="00720786" w:rsidRDefault="00720786" w:rsidP="00B22936">
      <w:pPr>
        <w:spacing w:line="240" w:lineRule="auto"/>
      </w:pPr>
      <w:r>
        <w:separator/>
      </w:r>
    </w:p>
  </w:endnote>
  <w:endnote w:type="continuationSeparator" w:id="0">
    <w:p w14:paraId="14174B5B" w14:textId="77777777" w:rsidR="00720786" w:rsidRDefault="00720786" w:rsidP="00B22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586685"/>
      <w:docPartObj>
        <w:docPartGallery w:val="Page Numbers (Bottom of Page)"/>
        <w:docPartUnique/>
      </w:docPartObj>
    </w:sdtPr>
    <w:sdtEndPr>
      <w:rPr>
        <w:noProof/>
      </w:rPr>
    </w:sdtEndPr>
    <w:sdtContent>
      <w:p w14:paraId="25958770" w14:textId="77777777" w:rsidR="00B22936" w:rsidRDefault="00B22936">
        <w:pPr>
          <w:pStyle w:val="Footer"/>
          <w:jc w:val="center"/>
        </w:pPr>
        <w:r w:rsidRPr="00284589">
          <w:rPr>
            <w:sz w:val="20"/>
          </w:rPr>
          <w:fldChar w:fldCharType="begin"/>
        </w:r>
        <w:r w:rsidRPr="00284589">
          <w:rPr>
            <w:sz w:val="20"/>
          </w:rPr>
          <w:instrText xml:space="preserve"> PAGE   \* MERGEFORMAT </w:instrText>
        </w:r>
        <w:r w:rsidRPr="00284589">
          <w:rPr>
            <w:sz w:val="20"/>
          </w:rPr>
          <w:fldChar w:fldCharType="separate"/>
        </w:r>
        <w:r w:rsidRPr="00284589">
          <w:rPr>
            <w:noProof/>
            <w:sz w:val="20"/>
          </w:rPr>
          <w:t>2</w:t>
        </w:r>
        <w:r w:rsidRPr="00284589">
          <w:rPr>
            <w:noProof/>
            <w:sz w:val="20"/>
          </w:rPr>
          <w:fldChar w:fldCharType="end"/>
        </w:r>
      </w:p>
    </w:sdtContent>
  </w:sdt>
  <w:p w14:paraId="7479940C" w14:textId="77777777" w:rsidR="00B22936" w:rsidRDefault="00B2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3DCE4" w14:textId="77777777" w:rsidR="00720786" w:rsidRDefault="00720786" w:rsidP="00B22936">
      <w:pPr>
        <w:spacing w:line="240" w:lineRule="auto"/>
      </w:pPr>
      <w:r>
        <w:separator/>
      </w:r>
    </w:p>
  </w:footnote>
  <w:footnote w:type="continuationSeparator" w:id="0">
    <w:p w14:paraId="4C58785A" w14:textId="77777777" w:rsidR="00720786" w:rsidRDefault="00720786" w:rsidP="00B22936">
      <w:pPr>
        <w:spacing w:line="240" w:lineRule="auto"/>
      </w:pPr>
      <w:r>
        <w:continuationSeparator/>
      </w:r>
    </w:p>
  </w:footnote>
  <w:footnote w:id="1">
    <w:p w14:paraId="250F521D" w14:textId="77777777" w:rsidR="00923AAA" w:rsidRDefault="00923AAA">
      <w:pPr>
        <w:pStyle w:val="FootnoteText"/>
      </w:pPr>
      <w:r>
        <w:rPr>
          <w:rStyle w:val="FootnoteReference"/>
        </w:rPr>
        <w:footnoteRef/>
      </w:r>
      <w:r>
        <w:t xml:space="preserve">  </w:t>
      </w:r>
      <w:r>
        <w:tab/>
        <w:t>It appears that Duq</w:t>
      </w:r>
      <w:r w:rsidR="00FF34F8">
        <w:t>u</w:t>
      </w:r>
      <w:r>
        <w:t>esne Light included the accent marks on the Complainant’s name on the certificate of service attached to the March 28, 2018 Preliminary Objections.</w:t>
      </w:r>
    </w:p>
    <w:p w14:paraId="57CDF51B" w14:textId="77777777" w:rsidR="00923AAA" w:rsidRDefault="00923AAA">
      <w:pPr>
        <w:pStyle w:val="FootnoteText"/>
      </w:pPr>
    </w:p>
  </w:footnote>
  <w:footnote w:id="2">
    <w:p w14:paraId="1340ED18" w14:textId="77777777" w:rsidR="00451B72" w:rsidRDefault="00451B72">
      <w:pPr>
        <w:pStyle w:val="FootnoteText"/>
      </w:pPr>
      <w:r>
        <w:rPr>
          <w:rStyle w:val="FootnoteReference"/>
        </w:rPr>
        <w:footnoteRef/>
      </w:r>
      <w:r>
        <w:t xml:space="preserve">  </w:t>
      </w:r>
      <w:r>
        <w:tab/>
        <w:t>52 Pa.Code § 5.101(f</w:t>
      </w:r>
      <w:r w:rsidR="00923445">
        <w:t>) (</w:t>
      </w:r>
      <w:r>
        <w:t>answers to preliminary objections must be filed within ten days of service).</w:t>
      </w:r>
    </w:p>
    <w:p w14:paraId="3CD474DB" w14:textId="77777777" w:rsidR="00451B72" w:rsidRDefault="00451B72">
      <w:pPr>
        <w:pStyle w:val="FootnoteText"/>
      </w:pPr>
    </w:p>
  </w:footnote>
  <w:footnote w:id="3">
    <w:p w14:paraId="3D93C5CF" w14:textId="77777777" w:rsidR="00B22936" w:rsidRDefault="00B22936" w:rsidP="00C938EA">
      <w:pPr>
        <w:pStyle w:val="FootnoteText"/>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69185E47" w14:textId="77777777" w:rsidR="00C938EA" w:rsidRDefault="00C938EA" w:rsidP="00C938EA">
      <w:pPr>
        <w:pStyle w:val="FootnoteText"/>
      </w:pPr>
    </w:p>
  </w:footnote>
  <w:footnote w:id="4">
    <w:p w14:paraId="66E5BFF4" w14:textId="77777777" w:rsidR="00B22936" w:rsidRDefault="00B22936" w:rsidP="00C938EA">
      <w:pPr>
        <w:pStyle w:val="FootnoteText"/>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14:paraId="1701DEA4" w14:textId="77777777" w:rsidR="00B22936" w:rsidRDefault="00B22936" w:rsidP="00C938EA">
      <w:pPr>
        <w:pStyle w:val="FootnoteText"/>
      </w:pPr>
    </w:p>
  </w:footnote>
  <w:footnote w:id="5">
    <w:p w14:paraId="3DC6FBBE" w14:textId="77777777" w:rsidR="00B22936" w:rsidRDefault="00B22936" w:rsidP="00C938EA">
      <w:pPr>
        <w:pStyle w:val="FootnoteText"/>
      </w:pPr>
      <w:r>
        <w:rPr>
          <w:rStyle w:val="FootnoteReference"/>
        </w:rPr>
        <w:footnoteRef/>
      </w:r>
      <w:r>
        <w:t xml:space="preserve"> </w:t>
      </w:r>
      <w:r>
        <w:tab/>
      </w:r>
      <w:r w:rsidRPr="00B908F9">
        <w:rPr>
          <w:i/>
        </w:rPr>
        <w:t>Boyd v. Ward</w:t>
      </w:r>
      <w:r>
        <w:t xml:space="preserve">, 802 A.2d 705 (Pa.Cmwlth. 2002).  </w:t>
      </w:r>
    </w:p>
    <w:p w14:paraId="15B46A6A" w14:textId="77777777" w:rsidR="00C938EA" w:rsidRDefault="00C938EA" w:rsidP="00C938EA">
      <w:pPr>
        <w:pStyle w:val="FootnoteText"/>
      </w:pPr>
    </w:p>
  </w:footnote>
  <w:footnote w:id="6">
    <w:p w14:paraId="45631570" w14:textId="77777777" w:rsidR="00B22936" w:rsidRDefault="00B22936" w:rsidP="00C938EA">
      <w:pPr>
        <w:pStyle w:val="FootnoteText"/>
      </w:pPr>
      <w:r>
        <w:rPr>
          <w:rStyle w:val="FootnoteReference"/>
        </w:rPr>
        <w:footnoteRef/>
      </w:r>
      <w:r>
        <w:t xml:space="preserve"> </w:t>
      </w:r>
      <w:r>
        <w:tab/>
      </w:r>
      <w:r w:rsidRPr="00C938EA">
        <w:rPr>
          <w:i/>
        </w:rPr>
        <w:t>Ridge v. State Employees’ Retirement Board</w:t>
      </w:r>
      <w:r>
        <w:t xml:space="preserve">, 690 A.2d 1312 (Pa.Cmwlth. 1997).  </w:t>
      </w:r>
    </w:p>
    <w:p w14:paraId="053A349F" w14:textId="77777777" w:rsidR="00C938EA" w:rsidRDefault="00C938EA" w:rsidP="00C938EA">
      <w:pPr>
        <w:pStyle w:val="FootnoteText"/>
      </w:pPr>
    </w:p>
  </w:footnote>
  <w:footnote w:id="7">
    <w:p w14:paraId="25015D74" w14:textId="77777777" w:rsidR="00451B72" w:rsidRDefault="00451B72">
      <w:pPr>
        <w:pStyle w:val="FootnoteText"/>
      </w:pPr>
      <w:r>
        <w:rPr>
          <w:rStyle w:val="FootnoteReference"/>
        </w:rPr>
        <w:footnoteRef/>
      </w:r>
      <w:r>
        <w:t xml:space="preserve">  </w:t>
      </w:r>
      <w:r>
        <w:tab/>
        <w:t>52 Pa.Code § 5.21(a).</w:t>
      </w:r>
    </w:p>
    <w:p w14:paraId="406AECA1" w14:textId="77777777" w:rsidR="00451B72" w:rsidRDefault="00451B72">
      <w:pPr>
        <w:pStyle w:val="FootnoteText"/>
      </w:pPr>
    </w:p>
  </w:footnote>
  <w:footnote w:id="8">
    <w:p w14:paraId="6104ACE2" w14:textId="77777777" w:rsidR="00C938EA" w:rsidRDefault="00C938EA" w:rsidP="00C938EA">
      <w:pPr>
        <w:pStyle w:val="FootnoteText"/>
      </w:pPr>
      <w:r>
        <w:rPr>
          <w:rStyle w:val="FootnoteReference"/>
        </w:rPr>
        <w:footnoteRef/>
      </w:r>
      <w:r>
        <w:t xml:space="preserve">  </w:t>
      </w:r>
      <w:r>
        <w:tab/>
      </w:r>
      <w:r w:rsidRPr="00C938EA">
        <w:t>52 Pa.Code §§ 5.22(a)(5) and (6).</w:t>
      </w:r>
    </w:p>
    <w:p w14:paraId="0B69567C" w14:textId="77777777" w:rsidR="00DB3148" w:rsidRDefault="00DB3148" w:rsidP="00C938EA">
      <w:pPr>
        <w:pStyle w:val="FootnoteText"/>
      </w:pPr>
    </w:p>
  </w:footnote>
  <w:footnote w:id="9">
    <w:p w14:paraId="63279A9A" w14:textId="64EBAE83" w:rsidR="00C938EA" w:rsidRDefault="00C938EA">
      <w:pPr>
        <w:pStyle w:val="FootnoteText"/>
      </w:pPr>
      <w:r>
        <w:rPr>
          <w:rStyle w:val="FootnoteReference"/>
        </w:rPr>
        <w:footnoteRef/>
      </w:r>
      <w:r>
        <w:t xml:space="preserve">  </w:t>
      </w:r>
      <w:r>
        <w:tab/>
      </w:r>
      <w:r>
        <w:rPr>
          <w:i/>
        </w:rPr>
        <w:t>See Richmond v. PECO Energy Company</w:t>
      </w:r>
      <w:r>
        <w:t xml:space="preserve">, Docket </w:t>
      </w:r>
      <w:r w:rsidR="005645DD">
        <w:t xml:space="preserve">No. </w:t>
      </w:r>
      <w:r>
        <w:t>F-2010-2187305 (Opinion and Order entered December 7, 2011).</w:t>
      </w:r>
    </w:p>
    <w:p w14:paraId="0162F1B2" w14:textId="77777777" w:rsidR="00451B72" w:rsidRPr="00C938EA" w:rsidRDefault="00451B72">
      <w:pPr>
        <w:pStyle w:val="FootnoteText"/>
      </w:pPr>
    </w:p>
  </w:footnote>
  <w:footnote w:id="10">
    <w:p w14:paraId="4BDEF4C8" w14:textId="77777777" w:rsidR="00451B72" w:rsidRDefault="00451B72" w:rsidP="00451B72">
      <w:pPr>
        <w:pStyle w:val="FootnoteText"/>
      </w:pPr>
      <w:r>
        <w:rPr>
          <w:rStyle w:val="FootnoteReference"/>
        </w:rPr>
        <w:footnoteRef/>
      </w:r>
      <w:r>
        <w:t xml:space="preserve">  </w:t>
      </w:r>
      <w:r>
        <w:tab/>
        <w:t>52 Pa.Code § 5.101(a)(4).</w:t>
      </w:r>
    </w:p>
    <w:p w14:paraId="4361828F" w14:textId="77777777" w:rsidR="00451B72" w:rsidRDefault="00451B72" w:rsidP="00451B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E0462DA"/>
    <w:multiLevelType w:val="hybridMultilevel"/>
    <w:tmpl w:val="55227440"/>
    <w:lvl w:ilvl="0" w:tplc="554E2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10"/>
  </w:num>
  <w:num w:numId="6">
    <w:abstractNumId w:val="7"/>
  </w:num>
  <w:num w:numId="7">
    <w:abstractNumId w:val="5"/>
  </w:num>
  <w:num w:numId="8">
    <w:abstractNumId w:val="26"/>
  </w:num>
  <w:num w:numId="9">
    <w:abstractNumId w:val="3"/>
  </w:num>
  <w:num w:numId="10">
    <w:abstractNumId w:val="19"/>
  </w:num>
  <w:num w:numId="11">
    <w:abstractNumId w:val="22"/>
  </w:num>
  <w:num w:numId="12">
    <w:abstractNumId w:val="14"/>
  </w:num>
  <w:num w:numId="13">
    <w:abstractNumId w:val="20"/>
  </w:num>
  <w:num w:numId="14">
    <w:abstractNumId w:val="24"/>
  </w:num>
  <w:num w:numId="15">
    <w:abstractNumId w:val="0"/>
  </w:num>
  <w:num w:numId="16">
    <w:abstractNumId w:val="18"/>
  </w:num>
  <w:num w:numId="17">
    <w:abstractNumId w:val="18"/>
  </w:num>
  <w:num w:numId="18">
    <w:abstractNumId w:val="9"/>
  </w:num>
  <w:num w:numId="19">
    <w:abstractNumId w:val="15"/>
  </w:num>
  <w:num w:numId="20">
    <w:abstractNumId w:val="28"/>
  </w:num>
  <w:num w:numId="21">
    <w:abstractNumId w:val="12"/>
  </w:num>
  <w:num w:numId="22">
    <w:abstractNumId w:val="4"/>
  </w:num>
  <w:num w:numId="23">
    <w:abstractNumId w:val="13"/>
  </w:num>
  <w:num w:numId="24">
    <w:abstractNumId w:val="30"/>
  </w:num>
  <w:num w:numId="25">
    <w:abstractNumId w:val="1"/>
  </w:num>
  <w:num w:numId="26">
    <w:abstractNumId w:val="6"/>
  </w:num>
  <w:num w:numId="27">
    <w:abstractNumId w:val="21"/>
  </w:num>
  <w:num w:numId="28">
    <w:abstractNumId w:val="11"/>
  </w:num>
  <w:num w:numId="29">
    <w:abstractNumId w:val="8"/>
  </w:num>
  <w:num w:numId="30">
    <w:abstractNumId w:val="16"/>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7E"/>
    <w:rsid w:val="00004C37"/>
    <w:rsid w:val="00045151"/>
    <w:rsid w:val="00066D87"/>
    <w:rsid w:val="000702C6"/>
    <w:rsid w:val="000B383B"/>
    <w:rsid w:val="000E3EDE"/>
    <w:rsid w:val="000E5A6A"/>
    <w:rsid w:val="00107E82"/>
    <w:rsid w:val="001159F5"/>
    <w:rsid w:val="001233F3"/>
    <w:rsid w:val="00155DF7"/>
    <w:rsid w:val="001A21B6"/>
    <w:rsid w:val="001B1CBA"/>
    <w:rsid w:val="001D2AF7"/>
    <w:rsid w:val="00207743"/>
    <w:rsid w:val="00213167"/>
    <w:rsid w:val="002512F9"/>
    <w:rsid w:val="00284589"/>
    <w:rsid w:val="002C100B"/>
    <w:rsid w:val="002F498C"/>
    <w:rsid w:val="003145FA"/>
    <w:rsid w:val="00367A41"/>
    <w:rsid w:val="0038194A"/>
    <w:rsid w:val="00393C92"/>
    <w:rsid w:val="003A3E09"/>
    <w:rsid w:val="003E04EE"/>
    <w:rsid w:val="00451B72"/>
    <w:rsid w:val="004A472D"/>
    <w:rsid w:val="004D523C"/>
    <w:rsid w:val="005645DD"/>
    <w:rsid w:val="005772B5"/>
    <w:rsid w:val="005850A7"/>
    <w:rsid w:val="005A1C17"/>
    <w:rsid w:val="005A2ABA"/>
    <w:rsid w:val="005C5C2C"/>
    <w:rsid w:val="005D180A"/>
    <w:rsid w:val="005E7B69"/>
    <w:rsid w:val="0061775F"/>
    <w:rsid w:val="00650942"/>
    <w:rsid w:val="00696C0D"/>
    <w:rsid w:val="006B332E"/>
    <w:rsid w:val="006C2AF7"/>
    <w:rsid w:val="006E513C"/>
    <w:rsid w:val="006F0329"/>
    <w:rsid w:val="00700807"/>
    <w:rsid w:val="00712E58"/>
    <w:rsid w:val="00720786"/>
    <w:rsid w:val="007407AC"/>
    <w:rsid w:val="00755D72"/>
    <w:rsid w:val="00792796"/>
    <w:rsid w:val="00796B64"/>
    <w:rsid w:val="007E6779"/>
    <w:rsid w:val="007F0CA2"/>
    <w:rsid w:val="00820B4C"/>
    <w:rsid w:val="0083239D"/>
    <w:rsid w:val="008529D2"/>
    <w:rsid w:val="00852C61"/>
    <w:rsid w:val="0088105E"/>
    <w:rsid w:val="00917DCA"/>
    <w:rsid w:val="00923445"/>
    <w:rsid w:val="00923AAA"/>
    <w:rsid w:val="00974137"/>
    <w:rsid w:val="00995A6F"/>
    <w:rsid w:val="009D58F2"/>
    <w:rsid w:val="00A47096"/>
    <w:rsid w:val="00AA0F7E"/>
    <w:rsid w:val="00AA2EC5"/>
    <w:rsid w:val="00AB4C73"/>
    <w:rsid w:val="00AE6F47"/>
    <w:rsid w:val="00B22936"/>
    <w:rsid w:val="00B24797"/>
    <w:rsid w:val="00B56901"/>
    <w:rsid w:val="00B73E7F"/>
    <w:rsid w:val="00B7628B"/>
    <w:rsid w:val="00B91E47"/>
    <w:rsid w:val="00BA676F"/>
    <w:rsid w:val="00BC6B21"/>
    <w:rsid w:val="00BE1FEA"/>
    <w:rsid w:val="00C36BE9"/>
    <w:rsid w:val="00C87E57"/>
    <w:rsid w:val="00C938EA"/>
    <w:rsid w:val="00CA5631"/>
    <w:rsid w:val="00CB098B"/>
    <w:rsid w:val="00CB1FC0"/>
    <w:rsid w:val="00CF4AC3"/>
    <w:rsid w:val="00CF6143"/>
    <w:rsid w:val="00D566E1"/>
    <w:rsid w:val="00D717A3"/>
    <w:rsid w:val="00DB3148"/>
    <w:rsid w:val="00DD5C37"/>
    <w:rsid w:val="00E4239A"/>
    <w:rsid w:val="00E554FA"/>
    <w:rsid w:val="00EB027A"/>
    <w:rsid w:val="00EC1CBA"/>
    <w:rsid w:val="00EE0544"/>
    <w:rsid w:val="00EE7801"/>
    <w:rsid w:val="00F11A19"/>
    <w:rsid w:val="00F16554"/>
    <w:rsid w:val="00F544E1"/>
    <w:rsid w:val="00F70CCB"/>
    <w:rsid w:val="00F765FE"/>
    <w:rsid w:val="00F851B3"/>
    <w:rsid w:val="00FB29FA"/>
    <w:rsid w:val="00FD5C10"/>
    <w:rsid w:val="00FF34F8"/>
    <w:rsid w:val="00FF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687DFF"/>
  <w15:chartTrackingRefBased/>
  <w15:docId w15:val="{0665187E-9190-48A9-8BAF-71650CA2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aliases w:val="Car"/>
    <w:link w:val="FootnoteTextChar"/>
    <w:autoRedefine/>
    <w:unhideWhenUsed/>
    <w:qFormat/>
    <w:rsid w:val="00C938EA"/>
    <w:pPr>
      <w:spacing w:line="240" w:lineRule="auto"/>
    </w:pPr>
    <w:rPr>
      <w:sz w:val="20"/>
    </w:rPr>
  </w:style>
  <w:style w:type="character" w:customStyle="1" w:styleId="FootnoteTextChar">
    <w:name w:val="Footnote Text Char"/>
    <w:aliases w:val="Car Char"/>
    <w:basedOn w:val="DefaultParagraphFont"/>
    <w:link w:val="FootnoteText"/>
    <w:rsid w:val="00C938EA"/>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B22936"/>
    <w:pPr>
      <w:tabs>
        <w:tab w:val="center" w:pos="4680"/>
        <w:tab w:val="right" w:pos="9360"/>
      </w:tabs>
      <w:spacing w:line="240" w:lineRule="auto"/>
    </w:pPr>
  </w:style>
  <w:style w:type="character" w:customStyle="1" w:styleId="HeaderChar">
    <w:name w:val="Header Char"/>
    <w:basedOn w:val="DefaultParagraphFont"/>
    <w:link w:val="Header"/>
    <w:uiPriority w:val="99"/>
    <w:rsid w:val="00B22936"/>
    <w:rPr>
      <w:rFonts w:eastAsia="SimSun"/>
    </w:rPr>
  </w:style>
  <w:style w:type="paragraph" w:styleId="Footer">
    <w:name w:val="footer"/>
    <w:basedOn w:val="Normal"/>
    <w:link w:val="FooterChar"/>
    <w:uiPriority w:val="99"/>
    <w:unhideWhenUsed/>
    <w:rsid w:val="00B22936"/>
    <w:pPr>
      <w:tabs>
        <w:tab w:val="center" w:pos="4680"/>
        <w:tab w:val="right" w:pos="9360"/>
      </w:tabs>
      <w:spacing w:line="240" w:lineRule="auto"/>
    </w:pPr>
  </w:style>
  <w:style w:type="character" w:customStyle="1" w:styleId="FooterChar">
    <w:name w:val="Footer Char"/>
    <w:basedOn w:val="DefaultParagraphFont"/>
    <w:link w:val="Footer"/>
    <w:uiPriority w:val="99"/>
    <w:rsid w:val="00B22936"/>
    <w:rPr>
      <w:rFonts w:eastAsia="SimSun"/>
    </w:rPr>
  </w:style>
  <w:style w:type="character" w:styleId="FootnoteReference">
    <w:name w:val="footnote reference"/>
    <w:basedOn w:val="DefaultParagraphFont"/>
    <w:uiPriority w:val="99"/>
    <w:unhideWhenUsed/>
    <w:rsid w:val="00B22936"/>
    <w:rPr>
      <w:rFonts w:ascii="Times New Roman" w:hAnsi="Times New Roman"/>
      <w:vertAlign w:val="superscript"/>
    </w:rPr>
  </w:style>
  <w:style w:type="paragraph" w:customStyle="1" w:styleId="ParaTab1">
    <w:name w:val="ParaTab 1"/>
    <w:rsid w:val="000E5A6A"/>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styleId="BalloonText">
    <w:name w:val="Balloon Text"/>
    <w:basedOn w:val="Normal"/>
    <w:link w:val="BalloonTextChar"/>
    <w:uiPriority w:val="99"/>
    <w:semiHidden/>
    <w:unhideWhenUsed/>
    <w:rsid w:val="002845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58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2018-07-09T20:01:00Z</cp:lastPrinted>
  <dcterms:created xsi:type="dcterms:W3CDTF">2018-07-09T19:59:00Z</dcterms:created>
  <dcterms:modified xsi:type="dcterms:W3CDTF">2018-07-10T12:24:00Z</dcterms:modified>
</cp:coreProperties>
</file>