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34F9DF81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C329CFB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3081627" wp14:editId="2846B2DB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3CBD5560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681180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618350FB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5C68CDF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2D16F8C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552420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BCF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07D936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C8BC04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85BA3E0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EAACAE6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936C394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7100306D" w14:textId="77777777" w:rsidR="00991607" w:rsidRDefault="00991607" w:rsidP="00722527">
      <w:pPr>
        <w:jc w:val="center"/>
        <w:rPr>
          <w:color w:val="000000" w:themeColor="text1"/>
          <w:szCs w:val="24"/>
        </w:rPr>
      </w:pPr>
    </w:p>
    <w:p w14:paraId="2F4EBA43" w14:textId="619C91E5" w:rsidR="00722527" w:rsidRPr="002122BB" w:rsidRDefault="008A7458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July 11, 2018</w:t>
      </w:r>
    </w:p>
    <w:p w14:paraId="7A4C6F22" w14:textId="77777777" w:rsidR="00285156" w:rsidRPr="008F7A83" w:rsidRDefault="00285156" w:rsidP="00B91634">
      <w:pPr>
        <w:jc w:val="right"/>
        <w:rPr>
          <w:color w:val="000000" w:themeColor="text1"/>
          <w:szCs w:val="24"/>
        </w:rPr>
      </w:pPr>
    </w:p>
    <w:p w14:paraId="6150608A" w14:textId="04A91B18" w:rsidR="002F1645" w:rsidRDefault="00722527" w:rsidP="00B91634">
      <w:pPr>
        <w:jc w:val="right"/>
        <w:rPr>
          <w:color w:val="000000" w:themeColor="text1"/>
          <w:szCs w:val="24"/>
        </w:rPr>
      </w:pPr>
      <w:r w:rsidRPr="008F7A83">
        <w:rPr>
          <w:color w:val="000000" w:themeColor="text1"/>
          <w:szCs w:val="24"/>
        </w:rPr>
        <w:t>Docket No</w:t>
      </w:r>
      <w:r w:rsidR="00EB2DE2">
        <w:rPr>
          <w:color w:val="000000" w:themeColor="text1"/>
          <w:szCs w:val="24"/>
        </w:rPr>
        <w:t>s. M-2018-26408</w:t>
      </w:r>
      <w:r w:rsidR="00C9510C">
        <w:rPr>
          <w:color w:val="000000" w:themeColor="text1"/>
          <w:szCs w:val="24"/>
        </w:rPr>
        <w:t>02</w:t>
      </w:r>
    </w:p>
    <w:p w14:paraId="44E71E7E" w14:textId="668114C0" w:rsidR="00EB2DE2" w:rsidRPr="008F7A83" w:rsidRDefault="00EB2DE2" w:rsidP="00B91634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M-2018-2640803</w:t>
      </w:r>
    </w:p>
    <w:p w14:paraId="63946B44" w14:textId="77777777" w:rsidR="00B91634" w:rsidRPr="008F7A83" w:rsidRDefault="00B91634" w:rsidP="00B91634">
      <w:pPr>
        <w:jc w:val="right"/>
        <w:rPr>
          <w:color w:val="000000" w:themeColor="text1"/>
          <w:szCs w:val="24"/>
        </w:rPr>
      </w:pPr>
    </w:p>
    <w:p w14:paraId="4FE40770" w14:textId="67FCF3E1" w:rsidR="005553D3" w:rsidRDefault="00EB2DE2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Deanne O’Dell, Esq.</w:t>
      </w:r>
    </w:p>
    <w:p w14:paraId="6E24DD85" w14:textId="629B89F2" w:rsidR="00EB2DE2" w:rsidRDefault="00EB2DE2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Eckert Seamans </w:t>
      </w:r>
      <w:proofErr w:type="spellStart"/>
      <w:r>
        <w:rPr>
          <w:color w:val="000000" w:themeColor="text1"/>
          <w:szCs w:val="24"/>
        </w:rPr>
        <w:t>Cherin</w:t>
      </w:r>
      <w:proofErr w:type="spellEnd"/>
      <w:r>
        <w:rPr>
          <w:color w:val="000000" w:themeColor="text1"/>
          <w:szCs w:val="24"/>
        </w:rPr>
        <w:t xml:space="preserve"> &amp; </w:t>
      </w:r>
      <w:proofErr w:type="spellStart"/>
      <w:r>
        <w:rPr>
          <w:color w:val="000000" w:themeColor="text1"/>
          <w:szCs w:val="24"/>
        </w:rPr>
        <w:t>Mellot</w:t>
      </w:r>
      <w:proofErr w:type="spellEnd"/>
      <w:r>
        <w:rPr>
          <w:color w:val="000000" w:themeColor="text1"/>
          <w:szCs w:val="24"/>
        </w:rPr>
        <w:t>, LLC</w:t>
      </w:r>
    </w:p>
    <w:p w14:paraId="0407EBAC" w14:textId="48146F7A" w:rsidR="00EB2DE2" w:rsidRDefault="00EB2DE2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213 Market Street, 8</w:t>
      </w:r>
      <w:r w:rsidRPr="00EB2DE2">
        <w:rPr>
          <w:color w:val="000000" w:themeColor="text1"/>
          <w:szCs w:val="24"/>
          <w:vertAlign w:val="superscript"/>
        </w:rPr>
        <w:t>th</w:t>
      </w:r>
      <w:r>
        <w:rPr>
          <w:color w:val="000000" w:themeColor="text1"/>
          <w:szCs w:val="24"/>
        </w:rPr>
        <w:t xml:space="preserve"> Floor</w:t>
      </w:r>
    </w:p>
    <w:p w14:paraId="49365FBF" w14:textId="756ED05C" w:rsidR="00EB2DE2" w:rsidRDefault="00EB2DE2" w:rsidP="002F164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Harrisburg, PA  17101</w:t>
      </w:r>
    </w:p>
    <w:p w14:paraId="373C5966" w14:textId="213E8130" w:rsidR="00EB2DE2" w:rsidRDefault="00EB2DE2" w:rsidP="002F1645">
      <w:pPr>
        <w:rPr>
          <w:color w:val="000000" w:themeColor="text1"/>
          <w:szCs w:val="24"/>
        </w:rPr>
      </w:pPr>
    </w:p>
    <w:p w14:paraId="2F59503F" w14:textId="19C0B041" w:rsidR="00EB2DE2" w:rsidRDefault="00BE2798" w:rsidP="00D06E76">
      <w:pPr>
        <w:rPr>
          <w:szCs w:val="24"/>
        </w:rPr>
      </w:pPr>
      <w:r w:rsidRPr="008F7A83">
        <w:rPr>
          <w:szCs w:val="24"/>
        </w:rPr>
        <w:t>R</w:t>
      </w:r>
      <w:r w:rsidR="00EA759B">
        <w:rPr>
          <w:szCs w:val="24"/>
        </w:rPr>
        <w:t>e</w:t>
      </w:r>
      <w:r w:rsidRPr="008F7A83">
        <w:rPr>
          <w:szCs w:val="24"/>
        </w:rPr>
        <w:t>:</w:t>
      </w:r>
      <w:r w:rsidR="005553D3">
        <w:rPr>
          <w:szCs w:val="24"/>
        </w:rPr>
        <w:tab/>
      </w:r>
      <w:r w:rsidR="00EB2DE2">
        <w:rPr>
          <w:szCs w:val="24"/>
        </w:rPr>
        <w:t>Implementation of Chapter 23 of the Public Utility Code</w:t>
      </w:r>
    </w:p>
    <w:p w14:paraId="0CD6C533" w14:textId="483F7F28" w:rsidR="00EB2DE2" w:rsidRDefault="00EB2DE2" w:rsidP="00D06E76">
      <w:pPr>
        <w:rPr>
          <w:szCs w:val="24"/>
        </w:rPr>
      </w:pPr>
      <w:r>
        <w:rPr>
          <w:szCs w:val="24"/>
        </w:rPr>
        <w:t xml:space="preserve">            Regarding Pittsburgh Water and Sewer Authority </w:t>
      </w:r>
    </w:p>
    <w:p w14:paraId="42A2BF20" w14:textId="676F6F01" w:rsidR="00285156" w:rsidRDefault="005553D3" w:rsidP="00285156">
      <w:pPr>
        <w:rPr>
          <w:szCs w:val="24"/>
        </w:rPr>
      </w:pPr>
      <w:r>
        <w:rPr>
          <w:szCs w:val="24"/>
        </w:rPr>
        <w:tab/>
      </w:r>
      <w:r w:rsidR="00EB2DE2">
        <w:rPr>
          <w:szCs w:val="24"/>
        </w:rPr>
        <w:t>Revised pages to Official Prior Tariff</w:t>
      </w:r>
    </w:p>
    <w:p w14:paraId="788B162C" w14:textId="77777777" w:rsidR="002122BB" w:rsidRPr="008F7A83" w:rsidRDefault="002122BB" w:rsidP="00285156">
      <w:pPr>
        <w:rPr>
          <w:szCs w:val="24"/>
        </w:rPr>
      </w:pPr>
    </w:p>
    <w:p w14:paraId="0ADE973D" w14:textId="3BB57EBB" w:rsidR="00285156" w:rsidRDefault="005553D3" w:rsidP="00285156">
      <w:pPr>
        <w:rPr>
          <w:szCs w:val="24"/>
        </w:rPr>
      </w:pPr>
      <w:r>
        <w:rPr>
          <w:szCs w:val="24"/>
        </w:rPr>
        <w:t xml:space="preserve">Dear </w:t>
      </w:r>
      <w:r w:rsidR="00EB2DE2">
        <w:rPr>
          <w:szCs w:val="24"/>
        </w:rPr>
        <w:t>Ms. Dell:</w:t>
      </w:r>
    </w:p>
    <w:p w14:paraId="3CCB9C08" w14:textId="6A2DBF69" w:rsidR="00EB2DE2" w:rsidRDefault="00EB2DE2" w:rsidP="00285156">
      <w:pPr>
        <w:rPr>
          <w:szCs w:val="24"/>
        </w:rPr>
      </w:pPr>
    </w:p>
    <w:p w14:paraId="392692E7" w14:textId="0F7E19E7" w:rsidR="00285156" w:rsidRPr="008F7A83" w:rsidRDefault="00285156" w:rsidP="00285156">
      <w:pPr>
        <w:rPr>
          <w:szCs w:val="24"/>
        </w:rPr>
      </w:pPr>
      <w:r w:rsidRPr="008F7A83">
        <w:rPr>
          <w:szCs w:val="24"/>
        </w:rPr>
        <w:tab/>
      </w:r>
      <w:r w:rsidR="00EB2DE2">
        <w:rPr>
          <w:szCs w:val="24"/>
        </w:rPr>
        <w:t>Consistent with Ordering Paragraph 2 of the Final Implementation Order entered March</w:t>
      </w:r>
      <w:r w:rsidR="009B570F">
        <w:rPr>
          <w:szCs w:val="24"/>
        </w:rPr>
        <w:t> </w:t>
      </w:r>
      <w:r w:rsidR="00EB2DE2">
        <w:rPr>
          <w:szCs w:val="24"/>
        </w:rPr>
        <w:t xml:space="preserve">15, 2018 at the above referenced docket numbers, the Pittsburgh Water and Sewer Authority (“PWSA”) filed, on March 30, 2018, its “Official Prior Tariff.”  On June 22, 2018, your office filed </w:t>
      </w:r>
      <w:r w:rsidR="00EB2DE2" w:rsidRPr="00E2759F">
        <w:rPr>
          <w:b/>
          <w:szCs w:val="24"/>
        </w:rPr>
        <w:t>revised</w:t>
      </w:r>
      <w:r w:rsidR="00EB2DE2">
        <w:rPr>
          <w:szCs w:val="24"/>
        </w:rPr>
        <w:t xml:space="preserve"> pages 3-6 and 3-7 of the Official Prior Tariff because the originally filed pages erroneously did not update the minimum charge for Hydrants (located in Section 305.2(3)(c)(</w:t>
      </w:r>
      <w:proofErr w:type="spellStart"/>
      <w:r w:rsidR="00EB2DE2">
        <w:rPr>
          <w:szCs w:val="24"/>
        </w:rPr>
        <w:t>i</w:t>
      </w:r>
      <w:proofErr w:type="spellEnd"/>
      <w:r w:rsidR="00EB2DE2">
        <w:rPr>
          <w:szCs w:val="24"/>
        </w:rPr>
        <w:t>) and Fire systems (located in Section 305.3.2).</w:t>
      </w:r>
    </w:p>
    <w:p w14:paraId="17DE7745" w14:textId="77777777" w:rsidR="00285156" w:rsidRPr="008F7A83" w:rsidRDefault="00285156" w:rsidP="00285156">
      <w:pPr>
        <w:rPr>
          <w:szCs w:val="24"/>
        </w:rPr>
      </w:pPr>
    </w:p>
    <w:p w14:paraId="2490BF81" w14:textId="35A0E09E" w:rsidR="00285156" w:rsidRDefault="00285156" w:rsidP="00285156">
      <w:pPr>
        <w:rPr>
          <w:szCs w:val="24"/>
        </w:rPr>
      </w:pPr>
      <w:r w:rsidRPr="008F7A83">
        <w:rPr>
          <w:szCs w:val="24"/>
        </w:rPr>
        <w:tab/>
        <w:t xml:space="preserve">Commission Staff has reviewed the </w:t>
      </w:r>
      <w:r w:rsidR="00E2759F">
        <w:rPr>
          <w:szCs w:val="24"/>
        </w:rPr>
        <w:t xml:space="preserve">revised pages and </w:t>
      </w:r>
      <w:r w:rsidR="00E017C8">
        <w:rPr>
          <w:szCs w:val="24"/>
        </w:rPr>
        <w:t xml:space="preserve">supporting materials and </w:t>
      </w:r>
      <w:r w:rsidRPr="008F7A83">
        <w:rPr>
          <w:szCs w:val="24"/>
        </w:rPr>
        <w:t xml:space="preserve">found that </w:t>
      </w:r>
      <w:r w:rsidR="00E017C8">
        <w:rPr>
          <w:szCs w:val="24"/>
        </w:rPr>
        <w:t xml:space="preserve">the Hydrants and Fire systems information in the Official Prior Tariff did not reflect continuing PWSA service pursuant to 66 Pa. C.S. § 3203 and was in error regarding rates </w:t>
      </w:r>
      <w:proofErr w:type="gramStart"/>
      <w:r w:rsidR="00E017C8">
        <w:rPr>
          <w:szCs w:val="24"/>
        </w:rPr>
        <w:t>actually charged</w:t>
      </w:r>
      <w:proofErr w:type="gramEnd"/>
      <w:r w:rsidR="00E017C8">
        <w:rPr>
          <w:szCs w:val="24"/>
        </w:rPr>
        <w:t xml:space="preserve">.  </w:t>
      </w:r>
      <w:r w:rsidR="009B570F">
        <w:rPr>
          <w:szCs w:val="24"/>
        </w:rPr>
        <w:t>S</w:t>
      </w:r>
      <w:r w:rsidRPr="008F7A83">
        <w:rPr>
          <w:szCs w:val="24"/>
        </w:rPr>
        <w:t>uspension or further investig</w:t>
      </w:r>
      <w:r w:rsidR="005553D3">
        <w:rPr>
          <w:szCs w:val="24"/>
        </w:rPr>
        <w:t xml:space="preserve">ation does not appear warranted </w:t>
      </w:r>
      <w:proofErr w:type="gramStart"/>
      <w:r w:rsidRPr="008F7A83">
        <w:rPr>
          <w:szCs w:val="24"/>
        </w:rPr>
        <w:t>at this time</w:t>
      </w:r>
      <w:proofErr w:type="gramEnd"/>
      <w:r w:rsidRPr="008F7A83">
        <w:rPr>
          <w:szCs w:val="24"/>
        </w:rPr>
        <w:t xml:space="preserve">.  </w:t>
      </w:r>
      <w:r w:rsidR="009B570F">
        <w:rPr>
          <w:szCs w:val="24"/>
        </w:rPr>
        <w:t>Therefore, i</w:t>
      </w:r>
      <w:r w:rsidRPr="008F7A83">
        <w:rPr>
          <w:szCs w:val="24"/>
        </w:rPr>
        <w:t xml:space="preserve">n accordance with 52 Pa. Code, </w:t>
      </w:r>
      <w:r w:rsidR="00E2759F">
        <w:rPr>
          <w:szCs w:val="24"/>
        </w:rPr>
        <w:t xml:space="preserve">the revised pages are </w:t>
      </w:r>
      <w:r w:rsidRPr="008F7A83">
        <w:rPr>
          <w:szCs w:val="24"/>
        </w:rPr>
        <w:t xml:space="preserve">effective </w:t>
      </w:r>
      <w:r w:rsidR="00EA759B">
        <w:rPr>
          <w:szCs w:val="24"/>
        </w:rPr>
        <w:t xml:space="preserve">as of the filing date of the Official Prior Tariff, which is April 1, 2018.  </w:t>
      </w:r>
    </w:p>
    <w:p w14:paraId="2BB413E1" w14:textId="7DC03652" w:rsidR="00E2759F" w:rsidRPr="008F7A83" w:rsidRDefault="00E2759F" w:rsidP="00285156">
      <w:pPr>
        <w:rPr>
          <w:szCs w:val="24"/>
        </w:rPr>
      </w:pPr>
    </w:p>
    <w:p w14:paraId="600F7800" w14:textId="3EBAA0F8" w:rsidR="00285156" w:rsidRPr="008F7A83" w:rsidRDefault="00285156" w:rsidP="00285156">
      <w:pPr>
        <w:rPr>
          <w:szCs w:val="24"/>
        </w:rPr>
      </w:pPr>
      <w:r w:rsidRPr="008F7A83">
        <w:rPr>
          <w:szCs w:val="24"/>
        </w:rPr>
        <w:tab/>
        <w:t>If you have any questions in this matter, please contact Marie Intrieri, Bureau of Technical Utility Services, at (717) 214-9114 or maintrieri@pa.gov.</w:t>
      </w:r>
    </w:p>
    <w:p w14:paraId="4C7B846C" w14:textId="5318105B" w:rsidR="00285156" w:rsidRPr="008F7A83" w:rsidRDefault="00285156" w:rsidP="00285156">
      <w:pPr>
        <w:rPr>
          <w:szCs w:val="24"/>
        </w:rPr>
      </w:pPr>
    </w:p>
    <w:p w14:paraId="3993F6B5" w14:textId="51F0F2A1" w:rsidR="00285156" w:rsidRPr="008F7A83" w:rsidRDefault="008A7458" w:rsidP="00285156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E38E5C" wp14:editId="47BD99DB">
            <wp:simplePos x="0" y="0"/>
            <wp:positionH relativeFrom="column">
              <wp:posOffset>2743200</wp:posOffset>
            </wp:positionH>
            <wp:positionV relativeFrom="paragraph">
              <wp:posOffset>80010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8F7A83">
        <w:rPr>
          <w:szCs w:val="24"/>
        </w:rPr>
        <w:tab/>
      </w:r>
      <w:r w:rsidR="00285156" w:rsidRPr="008F7A83">
        <w:rPr>
          <w:szCs w:val="24"/>
        </w:rPr>
        <w:tab/>
      </w:r>
      <w:r w:rsidR="00285156" w:rsidRPr="008F7A83">
        <w:rPr>
          <w:szCs w:val="24"/>
        </w:rPr>
        <w:tab/>
      </w:r>
      <w:r w:rsidR="00285156" w:rsidRPr="008F7A83">
        <w:rPr>
          <w:szCs w:val="24"/>
        </w:rPr>
        <w:tab/>
      </w:r>
      <w:r w:rsidR="00285156" w:rsidRPr="008F7A83">
        <w:rPr>
          <w:szCs w:val="24"/>
        </w:rPr>
        <w:tab/>
      </w:r>
      <w:r w:rsidR="00285156" w:rsidRPr="008F7A83">
        <w:rPr>
          <w:szCs w:val="24"/>
        </w:rPr>
        <w:tab/>
        <w:t>Sincerely,</w:t>
      </w:r>
    </w:p>
    <w:p w14:paraId="7C6C3E90" w14:textId="78DBF1B3" w:rsidR="00285156" w:rsidRPr="008F7A83" w:rsidRDefault="00285156" w:rsidP="00285156">
      <w:pPr>
        <w:rPr>
          <w:szCs w:val="24"/>
        </w:rPr>
      </w:pPr>
      <w:bookmarkStart w:id="0" w:name="_GoBack"/>
      <w:bookmarkEnd w:id="0"/>
    </w:p>
    <w:p w14:paraId="5FA91F15" w14:textId="77777777" w:rsidR="00285156" w:rsidRPr="008F7A83" w:rsidRDefault="00285156" w:rsidP="00285156">
      <w:pPr>
        <w:rPr>
          <w:szCs w:val="24"/>
        </w:rPr>
      </w:pPr>
    </w:p>
    <w:p w14:paraId="761A63BC" w14:textId="77777777" w:rsidR="00285156" w:rsidRPr="008F7A83" w:rsidRDefault="00285156" w:rsidP="00285156">
      <w:pPr>
        <w:rPr>
          <w:szCs w:val="24"/>
        </w:rPr>
      </w:pPr>
    </w:p>
    <w:p w14:paraId="6D710DD8" w14:textId="77777777" w:rsidR="00285156" w:rsidRPr="008F7A83" w:rsidRDefault="00285156" w:rsidP="00285156">
      <w:pPr>
        <w:rPr>
          <w:szCs w:val="24"/>
        </w:rPr>
      </w:pP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  <w:t>Rosemary Chiavetta</w:t>
      </w:r>
    </w:p>
    <w:p w14:paraId="252CFCB3" w14:textId="77777777" w:rsidR="00285156" w:rsidRPr="008F7A83" w:rsidRDefault="00285156" w:rsidP="00285156">
      <w:pPr>
        <w:rPr>
          <w:szCs w:val="24"/>
        </w:rPr>
      </w:pP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</w:r>
      <w:r w:rsidRPr="008F7A83">
        <w:rPr>
          <w:szCs w:val="24"/>
        </w:rPr>
        <w:tab/>
        <w:t>Secretary</w:t>
      </w:r>
    </w:p>
    <w:p w14:paraId="49E721CA" w14:textId="77777777" w:rsidR="00722527" w:rsidRPr="008F7A83" w:rsidRDefault="00722527" w:rsidP="00722527">
      <w:pPr>
        <w:rPr>
          <w:color w:val="000000" w:themeColor="text1"/>
          <w:szCs w:val="24"/>
        </w:rPr>
      </w:pPr>
    </w:p>
    <w:sectPr w:rsidR="00722527" w:rsidRPr="008F7A83" w:rsidSect="008B162F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6366" w14:textId="77777777" w:rsidR="00BE65B6" w:rsidRDefault="00BE65B6">
      <w:r>
        <w:separator/>
      </w:r>
    </w:p>
  </w:endnote>
  <w:endnote w:type="continuationSeparator" w:id="0">
    <w:p w14:paraId="64C3CD04" w14:textId="77777777" w:rsidR="00BE65B6" w:rsidRDefault="00BE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3E82" w14:textId="77777777" w:rsidR="00982D60" w:rsidRDefault="00982D60">
    <w:pPr>
      <w:pStyle w:val="Footer"/>
      <w:jc w:val="center"/>
    </w:pPr>
  </w:p>
  <w:p w14:paraId="7528053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4226C" w14:textId="77777777" w:rsidR="00BE65B6" w:rsidRDefault="00BE65B6">
      <w:r>
        <w:separator/>
      </w:r>
    </w:p>
  </w:footnote>
  <w:footnote w:type="continuationSeparator" w:id="0">
    <w:p w14:paraId="2CC3771A" w14:textId="77777777" w:rsidR="00BE65B6" w:rsidRDefault="00BE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85156"/>
    <w:rsid w:val="002876B3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1C9D"/>
    <w:rsid w:val="00332B99"/>
    <w:rsid w:val="0033489B"/>
    <w:rsid w:val="003437D2"/>
    <w:rsid w:val="0034777A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23B81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A7458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570F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419B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643"/>
    <w:rsid w:val="00B8278F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46FD"/>
    <w:rsid w:val="00BE51E5"/>
    <w:rsid w:val="00BE65B6"/>
    <w:rsid w:val="00BE7C84"/>
    <w:rsid w:val="00BF0CE9"/>
    <w:rsid w:val="00C124FD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510C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578"/>
    <w:rsid w:val="00CF7CEF"/>
    <w:rsid w:val="00D02C14"/>
    <w:rsid w:val="00D06E76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17C8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2759F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A759B"/>
    <w:rsid w:val="00EB2DE2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3436F"/>
    <w:rsid w:val="00F408CF"/>
    <w:rsid w:val="00F50CBC"/>
    <w:rsid w:val="00F5665E"/>
    <w:rsid w:val="00F61260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AAD9E"/>
  <w15:docId w15:val="{B96BC100-461A-4529-81C3-B187AB1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5A56-1C82-4F49-9CA3-DAD167D8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1732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5</cp:revision>
  <cp:lastPrinted>2018-07-10T14:42:00Z</cp:lastPrinted>
  <dcterms:created xsi:type="dcterms:W3CDTF">2018-07-10T15:13:00Z</dcterms:created>
  <dcterms:modified xsi:type="dcterms:W3CDTF">2018-07-11T18:00:00Z</dcterms:modified>
</cp:coreProperties>
</file>