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A9787D" w:rsidRDefault="00F514FB" w:rsidP="00DF2CE9">
      <w:pPr>
        <w:widowControl/>
        <w:tabs>
          <w:tab w:val="center" w:pos="4680"/>
        </w:tabs>
        <w:jc w:val="center"/>
        <w:rPr>
          <w:b/>
          <w:sz w:val="26"/>
          <w:szCs w:val="26"/>
        </w:rPr>
      </w:pPr>
      <w:r w:rsidRPr="00A9787D">
        <w:rPr>
          <w:b/>
          <w:sz w:val="26"/>
          <w:szCs w:val="26"/>
        </w:rPr>
        <w:t>PENNSYLVANIA</w:t>
      </w:r>
    </w:p>
    <w:p w:rsidR="00F514FB" w:rsidRPr="00A9787D" w:rsidRDefault="00F514FB" w:rsidP="00DF2CE9">
      <w:pPr>
        <w:widowControl/>
        <w:tabs>
          <w:tab w:val="center" w:pos="4680"/>
        </w:tabs>
        <w:jc w:val="center"/>
        <w:rPr>
          <w:sz w:val="26"/>
          <w:szCs w:val="26"/>
        </w:rPr>
      </w:pPr>
      <w:r w:rsidRPr="00A9787D">
        <w:rPr>
          <w:b/>
          <w:sz w:val="26"/>
          <w:szCs w:val="26"/>
        </w:rPr>
        <w:t>PUBLIC UTILITY COMMISSION</w:t>
      </w:r>
    </w:p>
    <w:p w:rsidR="00F514FB" w:rsidRPr="00A9787D" w:rsidRDefault="00F514FB" w:rsidP="00DF2CE9">
      <w:pPr>
        <w:widowControl/>
        <w:tabs>
          <w:tab w:val="center" w:pos="4680"/>
        </w:tabs>
        <w:jc w:val="center"/>
        <w:rPr>
          <w:sz w:val="26"/>
          <w:szCs w:val="26"/>
        </w:rPr>
      </w:pPr>
      <w:r w:rsidRPr="00A9787D">
        <w:rPr>
          <w:b/>
          <w:sz w:val="26"/>
          <w:szCs w:val="26"/>
        </w:rPr>
        <w:t>Harrisburg, PA 17105-3265</w:t>
      </w:r>
    </w:p>
    <w:p w:rsidR="00F514FB" w:rsidRPr="00A9787D" w:rsidRDefault="00F514FB" w:rsidP="00DF2CE9">
      <w:pPr>
        <w:widowControl/>
        <w:tabs>
          <w:tab w:val="left" w:pos="-720"/>
        </w:tabs>
        <w:rPr>
          <w:sz w:val="26"/>
          <w:szCs w:val="26"/>
        </w:rPr>
      </w:pPr>
    </w:p>
    <w:p w:rsidR="00F514FB" w:rsidRPr="00A9787D" w:rsidRDefault="00F514FB" w:rsidP="00DF2CE9">
      <w:pPr>
        <w:widowControl/>
        <w:rPr>
          <w:sz w:val="26"/>
          <w:szCs w:val="2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3912"/>
      </w:tblGrid>
      <w:tr w:rsidR="00D365A7" w:rsidRPr="00A9787D" w:rsidTr="00B01700">
        <w:trPr>
          <w:trHeight w:val="1488"/>
        </w:trPr>
        <w:tc>
          <w:tcPr>
            <w:tcW w:w="5268" w:type="dxa"/>
          </w:tcPr>
          <w:p w:rsidR="00F514FB" w:rsidRPr="00A9787D" w:rsidRDefault="00F514FB" w:rsidP="00DF2CE9">
            <w:pPr>
              <w:widowControl/>
              <w:rPr>
                <w:sz w:val="26"/>
                <w:szCs w:val="26"/>
              </w:rPr>
            </w:pPr>
          </w:p>
        </w:tc>
        <w:tc>
          <w:tcPr>
            <w:tcW w:w="3912" w:type="dxa"/>
          </w:tcPr>
          <w:p w:rsidR="00F514FB" w:rsidRPr="00A9787D" w:rsidRDefault="007405C2" w:rsidP="00DF2CE9">
            <w:pPr>
              <w:widowControl/>
              <w:rPr>
                <w:sz w:val="26"/>
                <w:szCs w:val="26"/>
              </w:rPr>
            </w:pPr>
            <w:r>
              <w:rPr>
                <w:sz w:val="26"/>
                <w:szCs w:val="26"/>
              </w:rPr>
              <w:t>Public Meeting held</w:t>
            </w:r>
            <w:r w:rsidR="008F73B2">
              <w:rPr>
                <w:sz w:val="26"/>
                <w:szCs w:val="26"/>
              </w:rPr>
              <w:t xml:space="preserve"> July 12</w:t>
            </w:r>
            <w:r w:rsidR="007C44C2">
              <w:rPr>
                <w:sz w:val="26"/>
                <w:szCs w:val="26"/>
              </w:rPr>
              <w:t>, 2018</w:t>
            </w:r>
          </w:p>
        </w:tc>
      </w:tr>
      <w:tr w:rsidR="00D365A7" w:rsidRPr="00A9787D" w:rsidTr="00B01700">
        <w:trPr>
          <w:trHeight w:val="2663"/>
        </w:trPr>
        <w:tc>
          <w:tcPr>
            <w:tcW w:w="5268" w:type="dxa"/>
          </w:tcPr>
          <w:p w:rsidR="0053115E" w:rsidRDefault="0053115E" w:rsidP="00DF2CE9">
            <w:pPr>
              <w:widowControl/>
              <w:rPr>
                <w:sz w:val="26"/>
                <w:szCs w:val="26"/>
              </w:rPr>
            </w:pPr>
          </w:p>
          <w:p w:rsidR="0053115E" w:rsidRDefault="0053115E" w:rsidP="00DF2CE9">
            <w:pPr>
              <w:widowControl/>
              <w:rPr>
                <w:sz w:val="26"/>
                <w:szCs w:val="26"/>
              </w:rPr>
            </w:pPr>
          </w:p>
          <w:p w:rsidR="00F514FB" w:rsidRDefault="00F514FB" w:rsidP="00DF2CE9">
            <w:pPr>
              <w:widowControl/>
              <w:rPr>
                <w:sz w:val="26"/>
                <w:szCs w:val="26"/>
              </w:rPr>
            </w:pPr>
            <w:r w:rsidRPr="00A9787D">
              <w:rPr>
                <w:sz w:val="26"/>
                <w:szCs w:val="26"/>
              </w:rPr>
              <w:t>Commissioners Present:</w:t>
            </w:r>
          </w:p>
          <w:p w:rsidR="003D0DCD" w:rsidRPr="00A9787D" w:rsidRDefault="003D0DCD" w:rsidP="00DF2CE9">
            <w:pPr>
              <w:widowControl/>
              <w:rPr>
                <w:sz w:val="26"/>
                <w:szCs w:val="26"/>
              </w:rPr>
            </w:pPr>
          </w:p>
          <w:p w:rsidR="003D0DCD" w:rsidRPr="003D0DCD" w:rsidRDefault="003D0DCD" w:rsidP="00DF2CE9">
            <w:pPr>
              <w:widowControl/>
              <w:tabs>
                <w:tab w:val="left" w:pos="705"/>
              </w:tabs>
              <w:ind w:firstLine="720"/>
              <w:contextualSpacing/>
              <w:rPr>
                <w:sz w:val="26"/>
                <w:szCs w:val="26"/>
              </w:rPr>
            </w:pPr>
            <w:r w:rsidRPr="003D0DCD">
              <w:rPr>
                <w:sz w:val="26"/>
                <w:szCs w:val="26"/>
              </w:rPr>
              <w:t>Gladys M. Brown, Chairman</w:t>
            </w:r>
          </w:p>
          <w:p w:rsidR="003D0DCD" w:rsidRDefault="003D0DCD" w:rsidP="00DF2CE9">
            <w:pPr>
              <w:widowControl/>
              <w:tabs>
                <w:tab w:val="left" w:pos="705"/>
              </w:tabs>
              <w:ind w:firstLine="720"/>
              <w:contextualSpacing/>
              <w:rPr>
                <w:sz w:val="26"/>
                <w:szCs w:val="26"/>
              </w:rPr>
            </w:pPr>
            <w:r w:rsidRPr="003D0DCD">
              <w:rPr>
                <w:sz w:val="26"/>
                <w:szCs w:val="26"/>
              </w:rPr>
              <w:t>Andrew G. Place, Vice Chairman</w:t>
            </w:r>
          </w:p>
          <w:p w:rsidR="00D3058C" w:rsidRDefault="00D3058C" w:rsidP="00DF2CE9">
            <w:pPr>
              <w:widowControl/>
              <w:ind w:firstLine="720"/>
              <w:rPr>
                <w:color w:val="000000"/>
                <w:sz w:val="26"/>
                <w:szCs w:val="26"/>
              </w:rPr>
            </w:pPr>
            <w:r>
              <w:rPr>
                <w:color w:val="000000"/>
                <w:sz w:val="26"/>
                <w:szCs w:val="26"/>
              </w:rPr>
              <w:t>Norman J. Kennard</w:t>
            </w:r>
          </w:p>
          <w:p w:rsidR="003D0DCD" w:rsidRPr="003D0DCD" w:rsidRDefault="003D0DCD" w:rsidP="00DF2CE9">
            <w:pPr>
              <w:widowControl/>
              <w:tabs>
                <w:tab w:val="left" w:pos="705"/>
              </w:tabs>
              <w:ind w:firstLine="720"/>
              <w:contextualSpacing/>
              <w:rPr>
                <w:sz w:val="26"/>
                <w:szCs w:val="26"/>
              </w:rPr>
            </w:pPr>
            <w:r w:rsidRPr="003D0DCD">
              <w:rPr>
                <w:sz w:val="26"/>
                <w:szCs w:val="26"/>
              </w:rPr>
              <w:t>David W. Sweet</w:t>
            </w:r>
          </w:p>
          <w:p w:rsidR="00F514FB" w:rsidRPr="00A9787D" w:rsidRDefault="00635CEA" w:rsidP="00DF2CE9">
            <w:pPr>
              <w:widowControl/>
              <w:tabs>
                <w:tab w:val="left" w:pos="705"/>
              </w:tabs>
              <w:ind w:firstLine="720"/>
              <w:contextualSpacing/>
              <w:rPr>
                <w:sz w:val="26"/>
                <w:szCs w:val="26"/>
              </w:rPr>
            </w:pPr>
            <w:r>
              <w:rPr>
                <w:sz w:val="26"/>
                <w:szCs w:val="26"/>
              </w:rPr>
              <w:t>John F. Coleman, Jr.</w:t>
            </w:r>
          </w:p>
          <w:p w:rsidR="00F514FB" w:rsidRPr="00A9787D" w:rsidRDefault="00F514FB" w:rsidP="00DF2CE9">
            <w:pPr>
              <w:widowControl/>
              <w:rPr>
                <w:sz w:val="26"/>
                <w:szCs w:val="26"/>
              </w:rPr>
            </w:pPr>
          </w:p>
        </w:tc>
        <w:tc>
          <w:tcPr>
            <w:tcW w:w="3912" w:type="dxa"/>
          </w:tcPr>
          <w:p w:rsidR="00F514FB" w:rsidRPr="00A9787D" w:rsidRDefault="00F514FB" w:rsidP="00DF2CE9">
            <w:pPr>
              <w:widowControl/>
              <w:jc w:val="right"/>
              <w:rPr>
                <w:sz w:val="26"/>
                <w:szCs w:val="26"/>
              </w:rPr>
            </w:pPr>
          </w:p>
          <w:p w:rsidR="00F514FB" w:rsidRPr="00A9787D" w:rsidRDefault="00F514FB" w:rsidP="00DF2CE9">
            <w:pPr>
              <w:widowControl/>
              <w:jc w:val="right"/>
              <w:rPr>
                <w:sz w:val="26"/>
                <w:szCs w:val="26"/>
              </w:rPr>
            </w:pPr>
          </w:p>
        </w:tc>
      </w:tr>
      <w:tr w:rsidR="00D365A7" w:rsidRPr="00A9787D" w:rsidTr="00B01700">
        <w:trPr>
          <w:trHeight w:val="669"/>
        </w:trPr>
        <w:tc>
          <w:tcPr>
            <w:tcW w:w="5268" w:type="dxa"/>
          </w:tcPr>
          <w:p w:rsidR="00F514FB" w:rsidRPr="00A9787D" w:rsidRDefault="008F73B2" w:rsidP="00DF2CE9">
            <w:pPr>
              <w:widowControl/>
              <w:rPr>
                <w:sz w:val="26"/>
                <w:szCs w:val="26"/>
              </w:rPr>
            </w:pPr>
            <w:r>
              <w:rPr>
                <w:sz w:val="26"/>
                <w:szCs w:val="26"/>
              </w:rPr>
              <w:t>John McGee</w:t>
            </w:r>
          </w:p>
          <w:p w:rsidR="00F514FB" w:rsidRPr="00A9787D" w:rsidRDefault="00F514FB" w:rsidP="00DF2CE9">
            <w:pPr>
              <w:widowControl/>
              <w:rPr>
                <w:sz w:val="26"/>
                <w:szCs w:val="26"/>
              </w:rPr>
            </w:pPr>
          </w:p>
        </w:tc>
        <w:tc>
          <w:tcPr>
            <w:tcW w:w="3912" w:type="dxa"/>
          </w:tcPr>
          <w:p w:rsidR="00F514FB" w:rsidRPr="00A9787D" w:rsidRDefault="000B1D37" w:rsidP="00DF2CE9">
            <w:pPr>
              <w:widowControl/>
              <w:jc w:val="right"/>
              <w:rPr>
                <w:sz w:val="26"/>
                <w:szCs w:val="26"/>
              </w:rPr>
            </w:pPr>
            <w:r>
              <w:rPr>
                <w:sz w:val="26"/>
                <w:szCs w:val="26"/>
              </w:rPr>
              <w:t>C</w:t>
            </w:r>
            <w:r w:rsidR="00992D66" w:rsidRPr="00A9787D">
              <w:rPr>
                <w:sz w:val="26"/>
                <w:szCs w:val="26"/>
              </w:rPr>
              <w:t>-201</w:t>
            </w:r>
            <w:r w:rsidR="00B01700">
              <w:rPr>
                <w:sz w:val="26"/>
                <w:szCs w:val="26"/>
              </w:rPr>
              <w:t>6</w:t>
            </w:r>
            <w:r w:rsidR="00992D66" w:rsidRPr="00A9787D">
              <w:rPr>
                <w:sz w:val="26"/>
                <w:szCs w:val="26"/>
              </w:rPr>
              <w:t>-</w:t>
            </w:r>
            <w:r w:rsidR="00977584">
              <w:rPr>
                <w:sz w:val="26"/>
                <w:szCs w:val="26"/>
              </w:rPr>
              <w:t>2</w:t>
            </w:r>
            <w:r w:rsidR="008F73B2">
              <w:rPr>
                <w:sz w:val="26"/>
                <w:szCs w:val="26"/>
              </w:rPr>
              <w:t>549952</w:t>
            </w:r>
          </w:p>
        </w:tc>
      </w:tr>
      <w:tr w:rsidR="00D365A7" w:rsidRPr="00A9787D" w:rsidTr="00B01700">
        <w:trPr>
          <w:trHeight w:val="595"/>
        </w:trPr>
        <w:tc>
          <w:tcPr>
            <w:tcW w:w="5268" w:type="dxa"/>
          </w:tcPr>
          <w:p w:rsidR="00F514FB" w:rsidRPr="00A9787D" w:rsidRDefault="00F514FB" w:rsidP="00DF2CE9">
            <w:pPr>
              <w:widowControl/>
              <w:ind w:firstLine="900"/>
              <w:rPr>
                <w:sz w:val="26"/>
                <w:szCs w:val="26"/>
              </w:rPr>
            </w:pPr>
            <w:r w:rsidRPr="00A9787D">
              <w:rPr>
                <w:sz w:val="26"/>
                <w:szCs w:val="26"/>
              </w:rPr>
              <w:t>v.</w:t>
            </w:r>
          </w:p>
          <w:p w:rsidR="00F514FB" w:rsidRPr="00A9787D" w:rsidRDefault="00F514FB" w:rsidP="00DF2CE9">
            <w:pPr>
              <w:widowControl/>
              <w:ind w:firstLine="1440"/>
              <w:rPr>
                <w:sz w:val="26"/>
                <w:szCs w:val="26"/>
              </w:rPr>
            </w:pPr>
          </w:p>
        </w:tc>
        <w:tc>
          <w:tcPr>
            <w:tcW w:w="3912" w:type="dxa"/>
          </w:tcPr>
          <w:p w:rsidR="00F514FB" w:rsidRPr="00A9787D" w:rsidRDefault="00F514FB" w:rsidP="00DF2CE9">
            <w:pPr>
              <w:widowControl/>
              <w:rPr>
                <w:sz w:val="26"/>
                <w:szCs w:val="26"/>
              </w:rPr>
            </w:pPr>
          </w:p>
        </w:tc>
      </w:tr>
      <w:tr w:rsidR="00F514FB" w:rsidRPr="00A9787D" w:rsidTr="00B01700">
        <w:trPr>
          <w:trHeight w:val="297"/>
        </w:trPr>
        <w:tc>
          <w:tcPr>
            <w:tcW w:w="5268" w:type="dxa"/>
          </w:tcPr>
          <w:p w:rsidR="00F514FB" w:rsidRPr="00A9787D" w:rsidRDefault="008F73B2" w:rsidP="00DF2CE9">
            <w:pPr>
              <w:widowControl/>
              <w:rPr>
                <w:sz w:val="26"/>
                <w:szCs w:val="26"/>
              </w:rPr>
            </w:pPr>
            <w:r>
              <w:rPr>
                <w:sz w:val="26"/>
                <w:szCs w:val="26"/>
              </w:rPr>
              <w:t>PPL Electric Utilities Corporation</w:t>
            </w:r>
          </w:p>
        </w:tc>
        <w:tc>
          <w:tcPr>
            <w:tcW w:w="3912" w:type="dxa"/>
          </w:tcPr>
          <w:p w:rsidR="00F514FB" w:rsidRPr="00A9787D" w:rsidRDefault="00F514FB" w:rsidP="00DF2CE9">
            <w:pPr>
              <w:widowControl/>
              <w:rPr>
                <w:sz w:val="26"/>
                <w:szCs w:val="26"/>
              </w:rPr>
            </w:pPr>
          </w:p>
        </w:tc>
      </w:tr>
    </w:tbl>
    <w:p w:rsidR="00F514FB" w:rsidRDefault="00F514FB" w:rsidP="00DF2CE9">
      <w:pPr>
        <w:widowControl/>
        <w:rPr>
          <w:sz w:val="26"/>
          <w:szCs w:val="26"/>
        </w:rPr>
      </w:pPr>
    </w:p>
    <w:p w:rsidR="006D6995" w:rsidRDefault="006D6995" w:rsidP="00DF2CE9">
      <w:pPr>
        <w:widowControl/>
        <w:rPr>
          <w:sz w:val="26"/>
          <w:szCs w:val="26"/>
        </w:rPr>
      </w:pPr>
    </w:p>
    <w:p w:rsidR="0053115E" w:rsidRDefault="0053115E" w:rsidP="00DF2CE9">
      <w:pPr>
        <w:widowControl/>
        <w:rPr>
          <w:sz w:val="26"/>
          <w:szCs w:val="26"/>
        </w:rPr>
      </w:pPr>
    </w:p>
    <w:p w:rsidR="0053115E" w:rsidRPr="00A9787D" w:rsidRDefault="0053115E" w:rsidP="00DF2CE9">
      <w:pPr>
        <w:widowControl/>
        <w:rPr>
          <w:sz w:val="26"/>
          <w:szCs w:val="26"/>
        </w:rPr>
      </w:pPr>
    </w:p>
    <w:p w:rsidR="00F514FB" w:rsidRPr="00A9787D" w:rsidRDefault="00F514FB" w:rsidP="00DF2CE9">
      <w:pPr>
        <w:widowControl/>
        <w:jc w:val="center"/>
        <w:rPr>
          <w:b/>
          <w:sz w:val="26"/>
          <w:szCs w:val="26"/>
        </w:rPr>
      </w:pPr>
      <w:r w:rsidRPr="00A9787D">
        <w:rPr>
          <w:b/>
          <w:sz w:val="26"/>
          <w:szCs w:val="26"/>
        </w:rPr>
        <w:t>OPINION AND ORDER</w:t>
      </w:r>
    </w:p>
    <w:p w:rsidR="00F514FB" w:rsidRDefault="00F514FB" w:rsidP="00DF2CE9">
      <w:pPr>
        <w:widowControl/>
        <w:jc w:val="center"/>
        <w:rPr>
          <w:b/>
          <w:sz w:val="26"/>
          <w:szCs w:val="26"/>
        </w:rPr>
      </w:pPr>
    </w:p>
    <w:p w:rsidR="0053115E" w:rsidRDefault="0053115E" w:rsidP="00DF2CE9">
      <w:pPr>
        <w:widowControl/>
        <w:jc w:val="center"/>
        <w:rPr>
          <w:b/>
          <w:sz w:val="26"/>
          <w:szCs w:val="26"/>
        </w:rPr>
      </w:pPr>
    </w:p>
    <w:p w:rsidR="0053115E" w:rsidRDefault="0053115E" w:rsidP="00DF2CE9">
      <w:pPr>
        <w:widowControl/>
        <w:jc w:val="center"/>
        <w:rPr>
          <w:b/>
          <w:sz w:val="26"/>
          <w:szCs w:val="26"/>
        </w:rPr>
      </w:pPr>
    </w:p>
    <w:p w:rsidR="006D6995" w:rsidRPr="00A9787D" w:rsidRDefault="006D6995" w:rsidP="00DF2CE9">
      <w:pPr>
        <w:widowControl/>
        <w:jc w:val="center"/>
        <w:rPr>
          <w:b/>
          <w:sz w:val="26"/>
          <w:szCs w:val="26"/>
        </w:rPr>
      </w:pPr>
    </w:p>
    <w:p w:rsidR="00F514FB" w:rsidRPr="00A9787D" w:rsidRDefault="00F514FB" w:rsidP="008116A4">
      <w:pPr>
        <w:widowControl/>
        <w:spacing w:line="360" w:lineRule="auto"/>
        <w:rPr>
          <w:b/>
          <w:sz w:val="26"/>
          <w:szCs w:val="26"/>
        </w:rPr>
      </w:pPr>
      <w:r w:rsidRPr="00A9787D">
        <w:rPr>
          <w:b/>
          <w:sz w:val="26"/>
          <w:szCs w:val="26"/>
        </w:rPr>
        <w:t>BY THE COMMISSION:</w:t>
      </w:r>
    </w:p>
    <w:p w:rsidR="008116A4" w:rsidRPr="00A9787D" w:rsidRDefault="008116A4" w:rsidP="008116A4">
      <w:pPr>
        <w:widowControl/>
        <w:spacing w:line="360" w:lineRule="auto"/>
        <w:rPr>
          <w:sz w:val="26"/>
          <w:szCs w:val="26"/>
        </w:rPr>
      </w:pPr>
    </w:p>
    <w:p w:rsidR="005700A9" w:rsidRPr="00FD56D4" w:rsidRDefault="00CA43A5" w:rsidP="00DF2CE9">
      <w:pPr>
        <w:widowControl/>
        <w:spacing w:line="360" w:lineRule="auto"/>
        <w:ind w:firstLine="1440"/>
        <w:rPr>
          <w:sz w:val="26"/>
          <w:szCs w:val="26"/>
        </w:rPr>
      </w:pPr>
      <w:r w:rsidRPr="00A9787D">
        <w:rPr>
          <w:sz w:val="26"/>
          <w:szCs w:val="26"/>
        </w:rPr>
        <w:t xml:space="preserve">Before the Pennsylvania Public Utility Commission (Commission) for consideration and disposition </w:t>
      </w:r>
      <w:r w:rsidR="00671E4C" w:rsidRPr="00A9787D">
        <w:rPr>
          <w:sz w:val="26"/>
          <w:szCs w:val="26"/>
        </w:rPr>
        <w:t xml:space="preserve">are the Exceptions </w:t>
      </w:r>
      <w:r w:rsidR="00A16587" w:rsidRPr="00A9787D">
        <w:rPr>
          <w:sz w:val="26"/>
          <w:szCs w:val="26"/>
        </w:rPr>
        <w:t xml:space="preserve">of </w:t>
      </w:r>
      <w:r w:rsidR="009F6E77">
        <w:rPr>
          <w:sz w:val="26"/>
          <w:szCs w:val="26"/>
        </w:rPr>
        <w:t>John McGee</w:t>
      </w:r>
      <w:r w:rsidR="00FF5CDE">
        <w:rPr>
          <w:sz w:val="26"/>
          <w:szCs w:val="26"/>
        </w:rPr>
        <w:t xml:space="preserve"> </w:t>
      </w:r>
      <w:r w:rsidR="00671E4C" w:rsidRPr="00A9787D">
        <w:rPr>
          <w:sz w:val="26"/>
          <w:szCs w:val="26"/>
        </w:rPr>
        <w:t>(</w:t>
      </w:r>
      <w:r w:rsidR="00EF4058" w:rsidRPr="00A9787D">
        <w:rPr>
          <w:sz w:val="26"/>
          <w:szCs w:val="26"/>
        </w:rPr>
        <w:t>C</w:t>
      </w:r>
      <w:r w:rsidR="00346C47" w:rsidRPr="00A9787D">
        <w:rPr>
          <w:sz w:val="26"/>
          <w:szCs w:val="26"/>
        </w:rPr>
        <w:t>omplainant</w:t>
      </w:r>
      <w:r w:rsidR="00FF5CDE">
        <w:rPr>
          <w:sz w:val="26"/>
          <w:szCs w:val="26"/>
        </w:rPr>
        <w:t xml:space="preserve"> </w:t>
      </w:r>
      <w:r w:rsidR="00977584">
        <w:rPr>
          <w:sz w:val="26"/>
          <w:szCs w:val="26"/>
        </w:rPr>
        <w:t>or Ms.</w:t>
      </w:r>
      <w:r w:rsidR="004770EB">
        <w:rPr>
          <w:sz w:val="26"/>
          <w:szCs w:val="26"/>
        </w:rPr>
        <w:t> </w:t>
      </w:r>
      <w:r w:rsidR="006E4236">
        <w:rPr>
          <w:sz w:val="26"/>
          <w:szCs w:val="26"/>
        </w:rPr>
        <w:t>McGee</w:t>
      </w:r>
      <w:r w:rsidR="00977584">
        <w:rPr>
          <w:sz w:val="26"/>
          <w:szCs w:val="26"/>
        </w:rPr>
        <w:t xml:space="preserve">) filed on </w:t>
      </w:r>
      <w:r w:rsidR="005700A9">
        <w:rPr>
          <w:sz w:val="26"/>
          <w:szCs w:val="26"/>
        </w:rPr>
        <w:t>June 9</w:t>
      </w:r>
      <w:r w:rsidR="004064EA" w:rsidRPr="00A9787D">
        <w:rPr>
          <w:sz w:val="26"/>
          <w:szCs w:val="26"/>
        </w:rPr>
        <w:t>,</w:t>
      </w:r>
      <w:r w:rsidR="00FF5CDE">
        <w:rPr>
          <w:sz w:val="26"/>
          <w:szCs w:val="26"/>
        </w:rPr>
        <w:t xml:space="preserve"> 201</w:t>
      </w:r>
      <w:r w:rsidR="008B6D30">
        <w:rPr>
          <w:sz w:val="26"/>
          <w:szCs w:val="26"/>
        </w:rPr>
        <w:t>7</w:t>
      </w:r>
      <w:r w:rsidR="007E2AAF" w:rsidRPr="00A9787D">
        <w:rPr>
          <w:sz w:val="26"/>
          <w:szCs w:val="26"/>
        </w:rPr>
        <w:t>,</w:t>
      </w:r>
      <w:r w:rsidR="00671E4C" w:rsidRPr="00A9787D">
        <w:rPr>
          <w:sz w:val="26"/>
          <w:szCs w:val="26"/>
        </w:rPr>
        <w:t xml:space="preserve"> to the Initial Decision (I.D.) of Administrative </w:t>
      </w:r>
      <w:r w:rsidR="00E609DF" w:rsidRPr="00A9787D">
        <w:rPr>
          <w:sz w:val="26"/>
          <w:szCs w:val="26"/>
        </w:rPr>
        <w:t xml:space="preserve">Law Judge </w:t>
      </w:r>
      <w:r w:rsidR="00FF5CDE">
        <w:rPr>
          <w:sz w:val="26"/>
          <w:szCs w:val="26"/>
        </w:rPr>
        <w:t xml:space="preserve">(ALJ) </w:t>
      </w:r>
      <w:r w:rsidR="005700A9">
        <w:rPr>
          <w:sz w:val="26"/>
          <w:szCs w:val="26"/>
        </w:rPr>
        <w:t>Conrad A. Johnson,</w:t>
      </w:r>
      <w:r w:rsidR="00DB71D6" w:rsidRPr="00A9787D">
        <w:rPr>
          <w:sz w:val="26"/>
          <w:szCs w:val="26"/>
        </w:rPr>
        <w:t xml:space="preserve"> </w:t>
      </w:r>
      <w:r w:rsidR="009A0ABC" w:rsidRPr="00A9787D">
        <w:rPr>
          <w:sz w:val="26"/>
          <w:szCs w:val="26"/>
        </w:rPr>
        <w:t>issued</w:t>
      </w:r>
      <w:r w:rsidR="00FF5CDE">
        <w:rPr>
          <w:sz w:val="26"/>
          <w:szCs w:val="26"/>
        </w:rPr>
        <w:t xml:space="preserve"> on </w:t>
      </w:r>
      <w:r w:rsidR="005700A9">
        <w:rPr>
          <w:sz w:val="26"/>
          <w:szCs w:val="26"/>
        </w:rPr>
        <w:t>May 4</w:t>
      </w:r>
      <w:r w:rsidR="00FF5CDE">
        <w:rPr>
          <w:sz w:val="26"/>
          <w:szCs w:val="26"/>
        </w:rPr>
        <w:t>, 201</w:t>
      </w:r>
      <w:r w:rsidR="008B6D30">
        <w:rPr>
          <w:sz w:val="26"/>
          <w:szCs w:val="26"/>
        </w:rPr>
        <w:t>7</w:t>
      </w:r>
      <w:r w:rsidR="00671E4C" w:rsidRPr="00A9787D">
        <w:rPr>
          <w:sz w:val="26"/>
          <w:szCs w:val="26"/>
        </w:rPr>
        <w:t>, in</w:t>
      </w:r>
      <w:r w:rsidR="0035728C" w:rsidRPr="00A9787D">
        <w:rPr>
          <w:sz w:val="26"/>
          <w:szCs w:val="26"/>
        </w:rPr>
        <w:t xml:space="preserve"> the above-captioned </w:t>
      </w:r>
      <w:r w:rsidR="000318E7" w:rsidRPr="00A9787D">
        <w:rPr>
          <w:sz w:val="26"/>
          <w:szCs w:val="26"/>
        </w:rPr>
        <w:lastRenderedPageBreak/>
        <w:t>P</w:t>
      </w:r>
      <w:r w:rsidR="0035728C" w:rsidRPr="00A9787D">
        <w:rPr>
          <w:sz w:val="26"/>
          <w:szCs w:val="26"/>
        </w:rPr>
        <w:t>roceeding</w:t>
      </w:r>
      <w:r w:rsidR="000318E7">
        <w:rPr>
          <w:sz w:val="26"/>
          <w:szCs w:val="26"/>
        </w:rPr>
        <w:t xml:space="preserve">.  </w:t>
      </w:r>
      <w:r w:rsidR="00671E4C" w:rsidRPr="00A9787D">
        <w:rPr>
          <w:sz w:val="26"/>
          <w:szCs w:val="26"/>
        </w:rPr>
        <w:t xml:space="preserve">Replies to Exceptions </w:t>
      </w:r>
      <w:r w:rsidR="00A61C8F" w:rsidRPr="00A9787D">
        <w:rPr>
          <w:sz w:val="26"/>
          <w:szCs w:val="26"/>
        </w:rPr>
        <w:t>w</w:t>
      </w:r>
      <w:r w:rsidR="00D43DC1" w:rsidRPr="00A9787D">
        <w:rPr>
          <w:sz w:val="26"/>
          <w:szCs w:val="26"/>
        </w:rPr>
        <w:t xml:space="preserve">ere filed by </w:t>
      </w:r>
      <w:r w:rsidR="005700A9">
        <w:rPr>
          <w:sz w:val="26"/>
          <w:szCs w:val="26"/>
        </w:rPr>
        <w:t>PPL Electric Utilities Corporation</w:t>
      </w:r>
      <w:r w:rsidR="00BB19A9" w:rsidRPr="00A9787D">
        <w:rPr>
          <w:sz w:val="26"/>
          <w:szCs w:val="26"/>
        </w:rPr>
        <w:t xml:space="preserve"> (</w:t>
      </w:r>
      <w:r w:rsidR="005700A9">
        <w:rPr>
          <w:sz w:val="26"/>
          <w:szCs w:val="26"/>
        </w:rPr>
        <w:t>PPL</w:t>
      </w:r>
      <w:r w:rsidR="00347832">
        <w:rPr>
          <w:sz w:val="26"/>
          <w:szCs w:val="26"/>
        </w:rPr>
        <w:t xml:space="preserve">, </w:t>
      </w:r>
      <w:r w:rsidR="005700A9">
        <w:rPr>
          <w:sz w:val="26"/>
          <w:szCs w:val="26"/>
        </w:rPr>
        <w:t>Respondent or Company</w:t>
      </w:r>
      <w:r w:rsidR="00977584">
        <w:rPr>
          <w:sz w:val="26"/>
          <w:szCs w:val="26"/>
        </w:rPr>
        <w:t xml:space="preserve">) on </w:t>
      </w:r>
      <w:r w:rsidR="005700A9">
        <w:rPr>
          <w:sz w:val="26"/>
          <w:szCs w:val="26"/>
        </w:rPr>
        <w:t>June 20</w:t>
      </w:r>
      <w:r w:rsidR="004B68E4">
        <w:rPr>
          <w:sz w:val="26"/>
          <w:szCs w:val="26"/>
        </w:rPr>
        <w:t>, 201</w:t>
      </w:r>
      <w:r w:rsidR="0050074B">
        <w:rPr>
          <w:sz w:val="26"/>
          <w:szCs w:val="26"/>
        </w:rPr>
        <w:t>7</w:t>
      </w:r>
      <w:r w:rsidR="00671E4C" w:rsidRPr="00A9787D">
        <w:rPr>
          <w:sz w:val="26"/>
          <w:szCs w:val="26"/>
        </w:rPr>
        <w:t>.</w:t>
      </w:r>
      <w:r w:rsidR="0050074B">
        <w:rPr>
          <w:sz w:val="26"/>
          <w:szCs w:val="26"/>
        </w:rPr>
        <w:t xml:space="preserve"> </w:t>
      </w:r>
      <w:r w:rsidR="00671E4C" w:rsidRPr="00A9787D">
        <w:rPr>
          <w:sz w:val="26"/>
          <w:szCs w:val="26"/>
        </w:rPr>
        <w:t xml:space="preserve"> </w:t>
      </w:r>
      <w:r w:rsidR="005700A9">
        <w:rPr>
          <w:sz w:val="26"/>
          <w:szCs w:val="26"/>
        </w:rPr>
        <w:t xml:space="preserve">The Initial Decision of ALJ Johnson dismissed the </w:t>
      </w:r>
      <w:r w:rsidR="006E4236">
        <w:rPr>
          <w:sz w:val="26"/>
          <w:szCs w:val="26"/>
        </w:rPr>
        <w:t xml:space="preserve">Formal </w:t>
      </w:r>
      <w:r w:rsidR="005700A9">
        <w:rPr>
          <w:sz w:val="26"/>
          <w:szCs w:val="26"/>
        </w:rPr>
        <w:t>Complaint</w:t>
      </w:r>
      <w:r w:rsidR="006E4236">
        <w:rPr>
          <w:sz w:val="26"/>
          <w:szCs w:val="26"/>
        </w:rPr>
        <w:t xml:space="preserve"> </w:t>
      </w:r>
      <w:r w:rsidR="00347832">
        <w:rPr>
          <w:sz w:val="26"/>
          <w:szCs w:val="26"/>
        </w:rPr>
        <w:t xml:space="preserve">(Complaint) </w:t>
      </w:r>
      <w:r w:rsidR="006E4236">
        <w:rPr>
          <w:sz w:val="26"/>
          <w:szCs w:val="26"/>
        </w:rPr>
        <w:t>filed by Mr. McGee on May 18, 2016</w:t>
      </w:r>
      <w:r w:rsidR="00F4584E">
        <w:rPr>
          <w:sz w:val="26"/>
          <w:szCs w:val="26"/>
        </w:rPr>
        <w:t xml:space="preserve"> </w:t>
      </w:r>
      <w:r w:rsidR="00F4584E" w:rsidRPr="00B5256C">
        <w:rPr>
          <w:sz w:val="26"/>
          <w:szCs w:val="26"/>
        </w:rPr>
        <w:t>(Compl</w:t>
      </w:r>
      <w:r w:rsidR="00F4584E">
        <w:rPr>
          <w:sz w:val="26"/>
          <w:szCs w:val="26"/>
        </w:rPr>
        <w:t>aint)</w:t>
      </w:r>
      <w:r w:rsidR="006E4236">
        <w:rPr>
          <w:sz w:val="26"/>
          <w:szCs w:val="26"/>
        </w:rPr>
        <w:t xml:space="preserve"> and concluded that the</w:t>
      </w:r>
      <w:r w:rsidR="005700A9">
        <w:rPr>
          <w:sz w:val="26"/>
          <w:szCs w:val="26"/>
        </w:rPr>
        <w:t xml:space="preserve"> Complainant fail</w:t>
      </w:r>
      <w:r w:rsidR="006E4236">
        <w:rPr>
          <w:sz w:val="26"/>
          <w:szCs w:val="26"/>
        </w:rPr>
        <w:t>ed</w:t>
      </w:r>
      <w:r w:rsidR="005700A9">
        <w:rPr>
          <w:sz w:val="26"/>
          <w:szCs w:val="26"/>
        </w:rPr>
        <w:t xml:space="preserve"> to carry his burden of pro</w:t>
      </w:r>
      <w:r w:rsidR="006E4236">
        <w:rPr>
          <w:sz w:val="26"/>
          <w:szCs w:val="26"/>
        </w:rPr>
        <w:t>of in showing</w:t>
      </w:r>
      <w:r w:rsidR="005700A9">
        <w:rPr>
          <w:sz w:val="26"/>
          <w:szCs w:val="26"/>
        </w:rPr>
        <w:t xml:space="preserve"> that the Respondent violated </w:t>
      </w:r>
      <w:r w:rsidR="006E4236">
        <w:rPr>
          <w:sz w:val="26"/>
          <w:szCs w:val="26"/>
        </w:rPr>
        <w:t>applicable law</w:t>
      </w:r>
      <w:r w:rsidR="005700A9">
        <w:rPr>
          <w:sz w:val="26"/>
          <w:szCs w:val="26"/>
        </w:rPr>
        <w:t xml:space="preserve"> by transferring </w:t>
      </w:r>
      <w:r w:rsidR="00347832">
        <w:rPr>
          <w:sz w:val="26"/>
          <w:szCs w:val="26"/>
        </w:rPr>
        <w:t>the</w:t>
      </w:r>
      <w:r w:rsidR="005700A9">
        <w:rPr>
          <w:sz w:val="26"/>
          <w:szCs w:val="26"/>
        </w:rPr>
        <w:t xml:space="preserve"> tenants’ arrearages to the Complainan</w:t>
      </w:r>
      <w:r w:rsidR="00347832">
        <w:rPr>
          <w:sz w:val="26"/>
          <w:szCs w:val="26"/>
        </w:rPr>
        <w:t>t upon discovering foreign load</w:t>
      </w:r>
      <w:r w:rsidR="005700A9">
        <w:rPr>
          <w:sz w:val="26"/>
          <w:szCs w:val="26"/>
        </w:rPr>
        <w:t xml:space="preserve"> at t</w:t>
      </w:r>
      <w:r w:rsidR="006E4236">
        <w:rPr>
          <w:sz w:val="26"/>
          <w:szCs w:val="26"/>
        </w:rPr>
        <w:t>he service addresses for which the Complainant</w:t>
      </w:r>
      <w:r w:rsidR="005700A9">
        <w:rPr>
          <w:sz w:val="26"/>
          <w:szCs w:val="26"/>
        </w:rPr>
        <w:t xml:space="preserve"> was the owner of record.  </w:t>
      </w:r>
      <w:r w:rsidR="005700A9" w:rsidRPr="00780F14">
        <w:rPr>
          <w:sz w:val="26"/>
          <w:szCs w:val="26"/>
        </w:rPr>
        <w:t>For the reasons stated below, we shall deny</w:t>
      </w:r>
      <w:r w:rsidR="002A437B">
        <w:rPr>
          <w:sz w:val="26"/>
          <w:szCs w:val="26"/>
        </w:rPr>
        <w:t xml:space="preserve"> </w:t>
      </w:r>
      <w:r w:rsidR="005700A9" w:rsidRPr="00780F14">
        <w:rPr>
          <w:sz w:val="26"/>
          <w:szCs w:val="26"/>
        </w:rPr>
        <w:t>the Complainant’s Exceptions</w:t>
      </w:r>
      <w:r w:rsidR="00780F14" w:rsidRPr="00780F14">
        <w:rPr>
          <w:sz w:val="26"/>
          <w:szCs w:val="26"/>
        </w:rPr>
        <w:t xml:space="preserve">, </w:t>
      </w:r>
      <w:r w:rsidR="005700A9" w:rsidRPr="00780F14">
        <w:rPr>
          <w:sz w:val="26"/>
          <w:szCs w:val="26"/>
        </w:rPr>
        <w:t>a</w:t>
      </w:r>
      <w:r w:rsidR="00780F14" w:rsidRPr="00780F14">
        <w:rPr>
          <w:sz w:val="26"/>
          <w:szCs w:val="26"/>
        </w:rPr>
        <w:t>dopt the ALJ’s Initial Decision and dismiss the Complaint.</w:t>
      </w:r>
    </w:p>
    <w:p w:rsidR="00CA43A5" w:rsidRPr="00A9787D" w:rsidRDefault="00CA43A5" w:rsidP="00DF2CE9">
      <w:pPr>
        <w:widowControl/>
        <w:spacing w:line="360" w:lineRule="auto"/>
        <w:rPr>
          <w:sz w:val="26"/>
          <w:szCs w:val="26"/>
        </w:rPr>
      </w:pPr>
    </w:p>
    <w:p w:rsidR="000C31E4" w:rsidRPr="00CF63A2" w:rsidRDefault="004064EA" w:rsidP="00DF2CE9">
      <w:pPr>
        <w:pStyle w:val="ListParagraph"/>
        <w:keepNext/>
        <w:widowControl/>
        <w:numPr>
          <w:ilvl w:val="0"/>
          <w:numId w:val="9"/>
        </w:numPr>
        <w:spacing w:line="360" w:lineRule="auto"/>
        <w:jc w:val="center"/>
        <w:rPr>
          <w:b/>
          <w:sz w:val="26"/>
          <w:szCs w:val="26"/>
        </w:rPr>
      </w:pPr>
      <w:bookmarkStart w:id="0" w:name="OLE_LINK1"/>
      <w:bookmarkStart w:id="1" w:name="OLE_LINK2"/>
      <w:r w:rsidRPr="00CF63A2">
        <w:rPr>
          <w:b/>
          <w:sz w:val="26"/>
          <w:szCs w:val="26"/>
        </w:rPr>
        <w:t>History of the Proceeding</w:t>
      </w:r>
    </w:p>
    <w:p w:rsidR="000C31E4" w:rsidRPr="00A9787D" w:rsidRDefault="000C31E4" w:rsidP="00DF2CE9">
      <w:pPr>
        <w:keepNext/>
        <w:widowControl/>
        <w:spacing w:line="360" w:lineRule="auto"/>
        <w:rPr>
          <w:sz w:val="26"/>
          <w:szCs w:val="26"/>
        </w:rPr>
      </w:pPr>
    </w:p>
    <w:p w:rsidR="00F4584E" w:rsidRPr="00F4584E" w:rsidRDefault="00585FDF" w:rsidP="00DF2CE9">
      <w:pPr>
        <w:pStyle w:val="ParaTab1"/>
        <w:tabs>
          <w:tab w:val="num" w:pos="0"/>
          <w:tab w:val="left" w:pos="2070"/>
        </w:tabs>
        <w:suppressAutoHyphens w:val="0"/>
        <w:spacing w:line="360" w:lineRule="auto"/>
        <w:rPr>
          <w:rFonts w:ascii="Times New Roman" w:hAnsi="Times New Roman" w:cs="Times New Roman"/>
          <w:sz w:val="26"/>
          <w:szCs w:val="26"/>
        </w:rPr>
      </w:pPr>
      <w:r w:rsidRPr="00B5256C">
        <w:rPr>
          <w:sz w:val="26"/>
          <w:szCs w:val="26"/>
        </w:rPr>
        <w:t>On</w:t>
      </w:r>
      <w:r w:rsidR="00FA720B">
        <w:rPr>
          <w:sz w:val="26"/>
          <w:szCs w:val="26"/>
        </w:rPr>
        <w:t xml:space="preserve"> </w:t>
      </w:r>
      <w:r w:rsidR="006E4236">
        <w:rPr>
          <w:sz w:val="26"/>
          <w:szCs w:val="26"/>
        </w:rPr>
        <w:t>May 18</w:t>
      </w:r>
      <w:r w:rsidR="006033E9" w:rsidRPr="00B5256C">
        <w:rPr>
          <w:sz w:val="26"/>
          <w:szCs w:val="26"/>
        </w:rPr>
        <w:t>, 201</w:t>
      </w:r>
      <w:r w:rsidR="006E4236">
        <w:rPr>
          <w:sz w:val="26"/>
          <w:szCs w:val="26"/>
        </w:rPr>
        <w:t>6</w:t>
      </w:r>
      <w:r w:rsidR="004765F6" w:rsidRPr="00B5256C">
        <w:rPr>
          <w:sz w:val="26"/>
          <w:szCs w:val="26"/>
        </w:rPr>
        <w:t xml:space="preserve">, the Complainant filed </w:t>
      </w:r>
      <w:r w:rsidR="00F4584E">
        <w:rPr>
          <w:sz w:val="26"/>
          <w:szCs w:val="26"/>
        </w:rPr>
        <w:t xml:space="preserve">the instant </w:t>
      </w:r>
      <w:r w:rsidR="004765F6" w:rsidRPr="00B5256C">
        <w:rPr>
          <w:sz w:val="26"/>
          <w:szCs w:val="26"/>
        </w:rPr>
        <w:t>C</w:t>
      </w:r>
      <w:r w:rsidR="00EF59CA" w:rsidRPr="00B5256C">
        <w:rPr>
          <w:sz w:val="26"/>
          <w:szCs w:val="26"/>
        </w:rPr>
        <w:t xml:space="preserve">omplaint </w:t>
      </w:r>
      <w:r w:rsidR="00D04ACF">
        <w:rPr>
          <w:sz w:val="26"/>
          <w:szCs w:val="26"/>
        </w:rPr>
        <w:t xml:space="preserve">against </w:t>
      </w:r>
      <w:r w:rsidR="00FA720B">
        <w:rPr>
          <w:sz w:val="26"/>
          <w:szCs w:val="26"/>
        </w:rPr>
        <w:t>P</w:t>
      </w:r>
      <w:r w:rsidR="00F4584E">
        <w:rPr>
          <w:sz w:val="26"/>
          <w:szCs w:val="26"/>
        </w:rPr>
        <w:t>PL</w:t>
      </w:r>
      <w:r w:rsidR="00D04ACF">
        <w:rPr>
          <w:sz w:val="26"/>
          <w:szCs w:val="26"/>
        </w:rPr>
        <w:t xml:space="preserve"> </w:t>
      </w:r>
      <w:r w:rsidR="001B6DA6">
        <w:rPr>
          <w:sz w:val="26"/>
          <w:szCs w:val="26"/>
        </w:rPr>
        <w:t xml:space="preserve">alleging </w:t>
      </w:r>
      <w:r w:rsidR="00F4584E">
        <w:rPr>
          <w:rFonts w:ascii="Times New Roman" w:hAnsi="Times New Roman" w:cs="Times New Roman"/>
          <w:sz w:val="26"/>
          <w:szCs w:val="26"/>
        </w:rPr>
        <w:t xml:space="preserve">that </w:t>
      </w:r>
      <w:r w:rsidR="00F4584E" w:rsidRPr="00F4584E">
        <w:rPr>
          <w:rFonts w:ascii="Times New Roman" w:hAnsi="Times New Roman" w:cs="Times New Roman"/>
          <w:sz w:val="26"/>
          <w:szCs w:val="26"/>
        </w:rPr>
        <w:t>PPL</w:t>
      </w:r>
      <w:r w:rsidR="00F4584E" w:rsidRPr="00F4584E">
        <w:rPr>
          <w:sz w:val="26"/>
          <w:szCs w:val="26"/>
        </w:rPr>
        <w:t xml:space="preserve"> repeatedly changed the billing name of the responsible party to him in error by placing the outstanding prior delinquent bills of tenants into his name when the tenants moved into the service addresses. </w:t>
      </w:r>
      <w:r w:rsidR="00347832">
        <w:rPr>
          <w:sz w:val="26"/>
          <w:szCs w:val="26"/>
        </w:rPr>
        <w:t xml:space="preserve"> </w:t>
      </w:r>
      <w:r w:rsidR="00F4584E" w:rsidRPr="00F4584E">
        <w:rPr>
          <w:sz w:val="26"/>
          <w:szCs w:val="26"/>
        </w:rPr>
        <w:t xml:space="preserve">As relief, Mr. McGee requested that the Commission order PPL to “apply the billing to the correct responsible party.”  I.D. at 1; </w:t>
      </w:r>
      <w:r w:rsidR="00F4584E" w:rsidRPr="00522B60">
        <w:rPr>
          <w:sz w:val="26"/>
          <w:szCs w:val="26"/>
        </w:rPr>
        <w:t>Complaint at ¶</w:t>
      </w:r>
      <w:r w:rsidR="00522B60" w:rsidRPr="00522B60">
        <w:rPr>
          <w:sz w:val="26"/>
          <w:szCs w:val="26"/>
        </w:rPr>
        <w:t>¶ 1, 4 and Attachments.</w:t>
      </w:r>
    </w:p>
    <w:p w:rsidR="00361DD8" w:rsidRPr="00A9787D" w:rsidRDefault="00361DD8" w:rsidP="00DF2CE9">
      <w:pPr>
        <w:widowControl/>
        <w:spacing w:line="360" w:lineRule="auto"/>
        <w:rPr>
          <w:sz w:val="26"/>
          <w:szCs w:val="26"/>
        </w:rPr>
      </w:pPr>
    </w:p>
    <w:p w:rsidR="003250C7" w:rsidRDefault="00F4584E" w:rsidP="00DF2CE9">
      <w:pPr>
        <w:widowControl/>
        <w:spacing w:line="360" w:lineRule="auto"/>
        <w:ind w:firstLine="1440"/>
        <w:rPr>
          <w:sz w:val="26"/>
          <w:szCs w:val="26"/>
        </w:rPr>
      </w:pPr>
      <w:r w:rsidRPr="00F4584E">
        <w:rPr>
          <w:sz w:val="26"/>
          <w:szCs w:val="26"/>
        </w:rPr>
        <w:t xml:space="preserve">On June 29, 2016, PPL filed an Answer denying that electric service for </w:t>
      </w:r>
      <w:r>
        <w:rPr>
          <w:sz w:val="26"/>
          <w:szCs w:val="26"/>
        </w:rPr>
        <w:t xml:space="preserve">the </w:t>
      </w:r>
      <w:r w:rsidRPr="00F4584E">
        <w:rPr>
          <w:sz w:val="26"/>
          <w:szCs w:val="26"/>
        </w:rPr>
        <w:t xml:space="preserve">Complainant’s rental properties was improperly </w:t>
      </w:r>
      <w:r>
        <w:rPr>
          <w:sz w:val="26"/>
          <w:szCs w:val="26"/>
        </w:rPr>
        <w:t>placed in his name and asserted that a representative of PPL performed an in-person investigation and discovered foreign wiring at</w:t>
      </w:r>
      <w:r w:rsidRPr="00F4584E">
        <w:rPr>
          <w:sz w:val="26"/>
          <w:szCs w:val="26"/>
        </w:rPr>
        <w:t xml:space="preserve"> the</w:t>
      </w:r>
      <w:r w:rsidR="00704D22">
        <w:rPr>
          <w:sz w:val="26"/>
          <w:szCs w:val="26"/>
        </w:rPr>
        <w:t xml:space="preserve"> following</w:t>
      </w:r>
      <w:r w:rsidRPr="00F4584E">
        <w:rPr>
          <w:sz w:val="26"/>
          <w:szCs w:val="26"/>
        </w:rPr>
        <w:t xml:space="preserve"> properties located at</w:t>
      </w:r>
      <w:r w:rsidR="00704D22">
        <w:rPr>
          <w:sz w:val="26"/>
          <w:szCs w:val="26"/>
        </w:rPr>
        <w:t>:</w:t>
      </w:r>
      <w:r w:rsidRPr="00F4584E">
        <w:rPr>
          <w:sz w:val="26"/>
          <w:szCs w:val="26"/>
        </w:rPr>
        <w:t xml:space="preserve"> 1100 Centre Street, Ashland, Pennsylvania; 1001 Centre Street, Ashland, Pennsylvania; and 6 North </w:t>
      </w:r>
      <w:r w:rsidR="00347832">
        <w:rPr>
          <w:sz w:val="26"/>
          <w:szCs w:val="26"/>
        </w:rPr>
        <w:t>1</w:t>
      </w:r>
      <w:r w:rsidRPr="00F4584E">
        <w:rPr>
          <w:sz w:val="26"/>
          <w:szCs w:val="26"/>
        </w:rPr>
        <w:t xml:space="preserve">0th </w:t>
      </w:r>
      <w:r>
        <w:rPr>
          <w:sz w:val="26"/>
          <w:szCs w:val="26"/>
        </w:rPr>
        <w:t>Street, Ashland, Pennsylvania</w:t>
      </w:r>
      <w:r w:rsidRPr="00F4584E">
        <w:rPr>
          <w:sz w:val="26"/>
          <w:szCs w:val="26"/>
        </w:rPr>
        <w:t xml:space="preserve">. </w:t>
      </w:r>
      <w:r>
        <w:rPr>
          <w:sz w:val="26"/>
          <w:szCs w:val="26"/>
        </w:rPr>
        <w:t xml:space="preserve"> </w:t>
      </w:r>
      <w:r w:rsidRPr="00F4584E">
        <w:rPr>
          <w:sz w:val="26"/>
          <w:szCs w:val="26"/>
        </w:rPr>
        <w:t xml:space="preserve">PPL further averred that at all relevant times Mr. McGee was the record owner of the properties. </w:t>
      </w:r>
      <w:r w:rsidR="00347832">
        <w:rPr>
          <w:sz w:val="26"/>
          <w:szCs w:val="26"/>
        </w:rPr>
        <w:t xml:space="preserve"> </w:t>
      </w:r>
      <w:r w:rsidRPr="00F4584E">
        <w:rPr>
          <w:sz w:val="26"/>
          <w:szCs w:val="26"/>
        </w:rPr>
        <w:t xml:space="preserve">As relief, PPL requested that the Commission deny the Complaint.  I.D. at 2; </w:t>
      </w:r>
      <w:r w:rsidR="003250C7" w:rsidRPr="00522B60">
        <w:rPr>
          <w:sz w:val="26"/>
          <w:szCs w:val="26"/>
        </w:rPr>
        <w:t xml:space="preserve">Answer at </w:t>
      </w:r>
      <w:r w:rsidR="00522B60" w:rsidRPr="00522B60">
        <w:rPr>
          <w:sz w:val="26"/>
          <w:szCs w:val="26"/>
        </w:rPr>
        <w:t>¶ 4</w:t>
      </w:r>
      <w:r w:rsidR="003250C7" w:rsidRPr="00990E70">
        <w:rPr>
          <w:sz w:val="26"/>
          <w:szCs w:val="26"/>
        </w:rPr>
        <w:t>.</w:t>
      </w:r>
    </w:p>
    <w:p w:rsidR="00990E70" w:rsidRPr="00990E70" w:rsidRDefault="00990E70" w:rsidP="00DF2CE9">
      <w:pPr>
        <w:widowControl/>
        <w:spacing w:line="360" w:lineRule="auto"/>
        <w:ind w:firstLine="1440"/>
        <w:rPr>
          <w:sz w:val="26"/>
          <w:szCs w:val="26"/>
        </w:rPr>
      </w:pPr>
    </w:p>
    <w:p w:rsidR="00990E70" w:rsidRPr="00990E70" w:rsidRDefault="00990E70" w:rsidP="00DF2CE9">
      <w:pPr>
        <w:pStyle w:val="Default"/>
        <w:keepNext/>
        <w:keepLines/>
        <w:spacing w:line="360" w:lineRule="auto"/>
        <w:ind w:firstLine="1440"/>
        <w:rPr>
          <w:sz w:val="26"/>
          <w:szCs w:val="26"/>
        </w:rPr>
      </w:pPr>
      <w:r w:rsidRPr="00990E70">
        <w:rPr>
          <w:sz w:val="26"/>
          <w:szCs w:val="26"/>
        </w:rPr>
        <w:lastRenderedPageBreak/>
        <w:t xml:space="preserve">By Hearing Notice dated August 1, 2016, the Commission informed </w:t>
      </w:r>
      <w:r>
        <w:rPr>
          <w:sz w:val="26"/>
          <w:szCs w:val="26"/>
        </w:rPr>
        <w:t xml:space="preserve">the </w:t>
      </w:r>
      <w:r w:rsidRPr="00990E70">
        <w:rPr>
          <w:sz w:val="26"/>
          <w:szCs w:val="26"/>
        </w:rPr>
        <w:t xml:space="preserve">Complainant and </w:t>
      </w:r>
      <w:r>
        <w:rPr>
          <w:sz w:val="26"/>
          <w:szCs w:val="26"/>
        </w:rPr>
        <w:t xml:space="preserve">the </w:t>
      </w:r>
      <w:r w:rsidRPr="00990E70">
        <w:rPr>
          <w:sz w:val="26"/>
          <w:szCs w:val="26"/>
        </w:rPr>
        <w:t xml:space="preserve">Respondent that a Call-In Telephonic Hearing was scheduled before </w:t>
      </w:r>
      <w:r>
        <w:rPr>
          <w:sz w:val="26"/>
          <w:szCs w:val="26"/>
        </w:rPr>
        <w:t>ALJ Johnson</w:t>
      </w:r>
      <w:r w:rsidRPr="00990E70">
        <w:rPr>
          <w:sz w:val="26"/>
          <w:szCs w:val="26"/>
        </w:rPr>
        <w:t xml:space="preserve"> on Tuesday, September 6, 2016, at 10:00 a.m. </w:t>
      </w:r>
      <w:r>
        <w:rPr>
          <w:sz w:val="26"/>
          <w:szCs w:val="26"/>
        </w:rPr>
        <w:t xml:space="preserve"> </w:t>
      </w:r>
      <w:r w:rsidRPr="00990E70">
        <w:rPr>
          <w:sz w:val="26"/>
          <w:szCs w:val="26"/>
        </w:rPr>
        <w:t xml:space="preserve">A Prehearing Order was issued on August 2, 2016, informing the Parties of the applicable procedural rules for the hearing. </w:t>
      </w:r>
      <w:r>
        <w:rPr>
          <w:sz w:val="26"/>
          <w:szCs w:val="26"/>
        </w:rPr>
        <w:t xml:space="preserve"> I.D. at 2. </w:t>
      </w:r>
    </w:p>
    <w:p w:rsidR="00990E70" w:rsidRPr="00990E70" w:rsidRDefault="00990E70" w:rsidP="00DF2CE9">
      <w:pPr>
        <w:pStyle w:val="Default"/>
        <w:spacing w:line="360" w:lineRule="auto"/>
        <w:ind w:firstLine="1440"/>
        <w:rPr>
          <w:sz w:val="26"/>
          <w:szCs w:val="26"/>
        </w:rPr>
      </w:pPr>
    </w:p>
    <w:p w:rsidR="00990E70" w:rsidRPr="00990E70" w:rsidRDefault="00990E70" w:rsidP="00DF2CE9">
      <w:pPr>
        <w:pStyle w:val="Default"/>
        <w:spacing w:line="360" w:lineRule="auto"/>
        <w:ind w:firstLine="1440"/>
        <w:rPr>
          <w:sz w:val="26"/>
          <w:szCs w:val="26"/>
        </w:rPr>
      </w:pPr>
      <w:r w:rsidRPr="00990E70">
        <w:rPr>
          <w:sz w:val="26"/>
          <w:szCs w:val="26"/>
        </w:rPr>
        <w:t>By correspondence dated August 5, 2016, counsel for Mr. McGee, Edward</w:t>
      </w:r>
      <w:r w:rsidR="00E70708">
        <w:rPr>
          <w:sz w:val="26"/>
          <w:szCs w:val="26"/>
        </w:rPr>
        <w:t> </w:t>
      </w:r>
      <w:r w:rsidRPr="00990E70">
        <w:rPr>
          <w:sz w:val="26"/>
          <w:szCs w:val="26"/>
        </w:rPr>
        <w:t xml:space="preserve">C. Greco, Esquire, requested a hearing continuance because the hearing date conflicted with his appearance in another previously-scheduled court proceeding. </w:t>
      </w:r>
      <w:r w:rsidR="00347832">
        <w:rPr>
          <w:sz w:val="26"/>
          <w:szCs w:val="26"/>
        </w:rPr>
        <w:t xml:space="preserve"> </w:t>
      </w:r>
      <w:r w:rsidRPr="00990E70">
        <w:rPr>
          <w:sz w:val="26"/>
          <w:szCs w:val="26"/>
        </w:rPr>
        <w:t xml:space="preserve">Attorney Greco further represented that there was no opposition to the continuance request. </w:t>
      </w:r>
      <w:r>
        <w:rPr>
          <w:sz w:val="26"/>
          <w:szCs w:val="26"/>
        </w:rPr>
        <w:t xml:space="preserve"> </w:t>
      </w:r>
      <w:r w:rsidRPr="00990E70">
        <w:rPr>
          <w:sz w:val="26"/>
          <w:szCs w:val="26"/>
        </w:rPr>
        <w:t>The continuance request was granted by First Interim Order issued on August</w:t>
      </w:r>
      <w:r w:rsidR="00740950">
        <w:rPr>
          <w:sz w:val="26"/>
          <w:szCs w:val="26"/>
        </w:rPr>
        <w:t> </w:t>
      </w:r>
      <w:r w:rsidRPr="00990E70">
        <w:rPr>
          <w:sz w:val="26"/>
          <w:szCs w:val="26"/>
        </w:rPr>
        <w:t xml:space="preserve">19, 2016. </w:t>
      </w:r>
      <w:r>
        <w:rPr>
          <w:sz w:val="26"/>
          <w:szCs w:val="26"/>
        </w:rPr>
        <w:t xml:space="preserve"> I.D. at 2.</w:t>
      </w:r>
    </w:p>
    <w:p w:rsidR="00990E70" w:rsidRPr="00990E70" w:rsidRDefault="00990E70" w:rsidP="00DF2CE9">
      <w:pPr>
        <w:pStyle w:val="Default"/>
        <w:spacing w:line="360" w:lineRule="auto"/>
        <w:ind w:firstLine="1440"/>
        <w:rPr>
          <w:sz w:val="26"/>
          <w:szCs w:val="26"/>
        </w:rPr>
      </w:pPr>
    </w:p>
    <w:p w:rsidR="00990E70" w:rsidRPr="00990E70" w:rsidRDefault="00990E70" w:rsidP="00DF2CE9">
      <w:pPr>
        <w:pStyle w:val="Default"/>
        <w:spacing w:line="360" w:lineRule="auto"/>
        <w:ind w:firstLine="1440"/>
        <w:rPr>
          <w:sz w:val="26"/>
          <w:szCs w:val="26"/>
        </w:rPr>
      </w:pPr>
      <w:r w:rsidRPr="00990E70">
        <w:rPr>
          <w:sz w:val="26"/>
          <w:szCs w:val="26"/>
        </w:rPr>
        <w:t xml:space="preserve">By Cancellation/Reschedule Hearing Notice dated August 30, 2016, the Commission informed </w:t>
      </w:r>
      <w:r>
        <w:rPr>
          <w:sz w:val="26"/>
          <w:szCs w:val="26"/>
        </w:rPr>
        <w:t xml:space="preserve">the </w:t>
      </w:r>
      <w:r w:rsidRPr="00990E70">
        <w:rPr>
          <w:sz w:val="26"/>
          <w:szCs w:val="26"/>
        </w:rPr>
        <w:t xml:space="preserve">Complainant and </w:t>
      </w:r>
      <w:r>
        <w:rPr>
          <w:sz w:val="26"/>
          <w:szCs w:val="26"/>
        </w:rPr>
        <w:t xml:space="preserve">the </w:t>
      </w:r>
      <w:r w:rsidRPr="00990E70">
        <w:rPr>
          <w:sz w:val="26"/>
          <w:szCs w:val="26"/>
        </w:rPr>
        <w:t xml:space="preserve">Respondent that a Call-In Telephonic Hearing was scheduled before </w:t>
      </w:r>
      <w:r>
        <w:rPr>
          <w:sz w:val="26"/>
          <w:szCs w:val="26"/>
        </w:rPr>
        <w:t>ALJ Johnson</w:t>
      </w:r>
      <w:r w:rsidRPr="00990E70">
        <w:rPr>
          <w:sz w:val="26"/>
          <w:szCs w:val="26"/>
        </w:rPr>
        <w:t xml:space="preserve"> on Wednesday, October 5, 2016, at 10:00 a.m. </w:t>
      </w:r>
      <w:r>
        <w:rPr>
          <w:sz w:val="26"/>
          <w:szCs w:val="26"/>
        </w:rPr>
        <w:t xml:space="preserve"> I.D. at 2.</w:t>
      </w:r>
    </w:p>
    <w:p w:rsidR="00990E70" w:rsidRPr="00990E70" w:rsidRDefault="00990E70" w:rsidP="00DF2CE9">
      <w:pPr>
        <w:pStyle w:val="Default"/>
        <w:spacing w:line="360" w:lineRule="auto"/>
        <w:ind w:firstLine="1440"/>
        <w:rPr>
          <w:sz w:val="26"/>
          <w:szCs w:val="26"/>
        </w:rPr>
      </w:pPr>
    </w:p>
    <w:p w:rsidR="00990E70" w:rsidRPr="00990E70" w:rsidRDefault="00990E70" w:rsidP="00DF2CE9">
      <w:pPr>
        <w:pStyle w:val="Default"/>
        <w:spacing w:line="360" w:lineRule="auto"/>
        <w:ind w:firstLine="1440"/>
        <w:rPr>
          <w:sz w:val="26"/>
          <w:szCs w:val="26"/>
        </w:rPr>
      </w:pPr>
      <w:r w:rsidRPr="00990E70">
        <w:rPr>
          <w:sz w:val="26"/>
          <w:szCs w:val="26"/>
        </w:rPr>
        <w:t xml:space="preserve">On October 4, 2016, via email, </w:t>
      </w:r>
      <w:r>
        <w:rPr>
          <w:sz w:val="26"/>
          <w:szCs w:val="26"/>
        </w:rPr>
        <w:t>ALJ Johnson</w:t>
      </w:r>
      <w:r w:rsidRPr="00990E70">
        <w:rPr>
          <w:sz w:val="26"/>
          <w:szCs w:val="26"/>
        </w:rPr>
        <w:t xml:space="preserve"> received </w:t>
      </w:r>
      <w:r w:rsidR="00A61B78">
        <w:rPr>
          <w:sz w:val="26"/>
          <w:szCs w:val="26"/>
        </w:rPr>
        <w:t xml:space="preserve">the </w:t>
      </w:r>
      <w:r w:rsidRPr="00990E70">
        <w:rPr>
          <w:sz w:val="26"/>
          <w:szCs w:val="26"/>
        </w:rPr>
        <w:t xml:space="preserve">Respondent’s Motion for Continuance of the hearing scheduled for October 5, 2016, in order for its witness to attend a family funeral on October 5, 2016. </w:t>
      </w:r>
      <w:r>
        <w:rPr>
          <w:sz w:val="26"/>
          <w:szCs w:val="26"/>
        </w:rPr>
        <w:t xml:space="preserve"> The </w:t>
      </w:r>
      <w:r w:rsidRPr="00990E70">
        <w:rPr>
          <w:sz w:val="26"/>
          <w:szCs w:val="26"/>
        </w:rPr>
        <w:t xml:space="preserve">Respondent represented that </w:t>
      </w:r>
      <w:r w:rsidR="00740950">
        <w:rPr>
          <w:sz w:val="26"/>
          <w:szCs w:val="26"/>
        </w:rPr>
        <w:t xml:space="preserve">the </w:t>
      </w:r>
      <w:r w:rsidRPr="00990E70">
        <w:rPr>
          <w:sz w:val="26"/>
          <w:szCs w:val="26"/>
        </w:rPr>
        <w:t xml:space="preserve">Complainant’s counsel did not object to the Motion. </w:t>
      </w:r>
      <w:r>
        <w:rPr>
          <w:sz w:val="26"/>
          <w:szCs w:val="26"/>
        </w:rPr>
        <w:t xml:space="preserve"> </w:t>
      </w:r>
      <w:r w:rsidRPr="00990E70">
        <w:rPr>
          <w:sz w:val="26"/>
          <w:szCs w:val="26"/>
        </w:rPr>
        <w:t xml:space="preserve">By email dated October 4, 2016, </w:t>
      </w:r>
      <w:r>
        <w:rPr>
          <w:sz w:val="26"/>
          <w:szCs w:val="26"/>
        </w:rPr>
        <w:t>ALJ Johnson</w:t>
      </w:r>
      <w:r w:rsidRPr="00990E70">
        <w:rPr>
          <w:sz w:val="26"/>
          <w:szCs w:val="26"/>
        </w:rPr>
        <w:t xml:space="preserve"> informed the Parties that the Motion was granted, and the hearing would be rescheduled.</w:t>
      </w:r>
      <w:r>
        <w:rPr>
          <w:sz w:val="26"/>
          <w:szCs w:val="26"/>
        </w:rPr>
        <w:t xml:space="preserve">  I.D. at 2.</w:t>
      </w:r>
    </w:p>
    <w:p w:rsidR="00990E70" w:rsidRPr="00990E70" w:rsidRDefault="00990E70" w:rsidP="00DF2CE9">
      <w:pPr>
        <w:pStyle w:val="Default"/>
        <w:spacing w:line="360" w:lineRule="auto"/>
        <w:ind w:firstLine="1440"/>
        <w:rPr>
          <w:sz w:val="26"/>
          <w:szCs w:val="26"/>
        </w:rPr>
      </w:pPr>
    </w:p>
    <w:p w:rsidR="00990E70" w:rsidRPr="00990E70" w:rsidRDefault="00990E70" w:rsidP="00DF2CE9">
      <w:pPr>
        <w:widowControl/>
        <w:spacing w:line="360" w:lineRule="auto"/>
        <w:ind w:firstLine="1440"/>
        <w:rPr>
          <w:sz w:val="26"/>
          <w:szCs w:val="26"/>
        </w:rPr>
      </w:pPr>
      <w:r w:rsidRPr="00990E70">
        <w:rPr>
          <w:sz w:val="26"/>
          <w:szCs w:val="26"/>
        </w:rPr>
        <w:t>By Cancellation/Reschedule Hearing Notice dated November 21, 2016, the Commission informed the Complainant and the Respondent that a Call-In Telephonic Hearing was rescheduled before ALJ Johnson on Wednesday, December 7, 2016, at 10:00 a.m.</w:t>
      </w:r>
      <w:r>
        <w:rPr>
          <w:sz w:val="26"/>
          <w:szCs w:val="26"/>
        </w:rPr>
        <w:t xml:space="preserve">  I.D. at 3.</w:t>
      </w:r>
    </w:p>
    <w:p w:rsidR="00990E70" w:rsidRPr="00990E70" w:rsidRDefault="00990E70" w:rsidP="00DF2CE9">
      <w:pPr>
        <w:widowControl/>
        <w:spacing w:line="360" w:lineRule="auto"/>
        <w:ind w:firstLine="1440"/>
        <w:rPr>
          <w:sz w:val="26"/>
          <w:szCs w:val="26"/>
        </w:rPr>
      </w:pPr>
    </w:p>
    <w:p w:rsidR="00990E70" w:rsidRPr="00990E70" w:rsidRDefault="00752C37" w:rsidP="00DF2CE9">
      <w:pPr>
        <w:widowControl/>
        <w:spacing w:line="360" w:lineRule="auto"/>
        <w:ind w:firstLine="1440"/>
        <w:rPr>
          <w:sz w:val="26"/>
          <w:szCs w:val="26"/>
        </w:rPr>
      </w:pPr>
      <w:r w:rsidRPr="00990E70">
        <w:rPr>
          <w:sz w:val="26"/>
          <w:szCs w:val="26"/>
        </w:rPr>
        <w:t>On</w:t>
      </w:r>
      <w:r w:rsidR="00BD141D" w:rsidRPr="00990E70">
        <w:rPr>
          <w:sz w:val="26"/>
          <w:szCs w:val="26"/>
        </w:rPr>
        <w:t xml:space="preserve"> </w:t>
      </w:r>
      <w:r w:rsidR="00990E70" w:rsidRPr="00990E70">
        <w:rPr>
          <w:sz w:val="26"/>
          <w:szCs w:val="26"/>
        </w:rPr>
        <w:t>December 7, 2016</w:t>
      </w:r>
      <w:r w:rsidR="00E55B3A" w:rsidRPr="00990E70">
        <w:rPr>
          <w:sz w:val="26"/>
          <w:szCs w:val="26"/>
        </w:rPr>
        <w:t>, a</w:t>
      </w:r>
      <w:r w:rsidR="00D02B7D" w:rsidRPr="00990E70">
        <w:rPr>
          <w:sz w:val="26"/>
          <w:szCs w:val="26"/>
        </w:rPr>
        <w:t xml:space="preserve"> </w:t>
      </w:r>
      <w:r w:rsidR="006C1271" w:rsidRPr="00990E70">
        <w:rPr>
          <w:sz w:val="26"/>
          <w:szCs w:val="26"/>
        </w:rPr>
        <w:t>hearing was held in this matter</w:t>
      </w:r>
      <w:r w:rsidR="00990E70" w:rsidRPr="00990E70">
        <w:rPr>
          <w:sz w:val="26"/>
          <w:szCs w:val="26"/>
        </w:rPr>
        <w:t>, as scheduled</w:t>
      </w:r>
      <w:r w:rsidR="006C1271" w:rsidRPr="00990E70">
        <w:rPr>
          <w:sz w:val="26"/>
          <w:szCs w:val="26"/>
        </w:rPr>
        <w:t xml:space="preserve">.  </w:t>
      </w:r>
      <w:r w:rsidR="00990E70" w:rsidRPr="00990E70">
        <w:rPr>
          <w:sz w:val="26"/>
          <w:szCs w:val="26"/>
        </w:rPr>
        <w:t xml:space="preserve">Mr. McGee appeared and was represented by Attorney Greco. </w:t>
      </w:r>
      <w:r w:rsidR="00A61B78">
        <w:rPr>
          <w:sz w:val="26"/>
          <w:szCs w:val="26"/>
        </w:rPr>
        <w:t xml:space="preserve"> </w:t>
      </w:r>
      <w:r w:rsidR="00990E70" w:rsidRPr="00990E70">
        <w:rPr>
          <w:sz w:val="26"/>
          <w:szCs w:val="26"/>
        </w:rPr>
        <w:t xml:space="preserve">Mr. McGee testified, but he did not sponsor any exhibits. </w:t>
      </w:r>
      <w:r w:rsidR="00A61B78">
        <w:rPr>
          <w:sz w:val="26"/>
          <w:szCs w:val="26"/>
        </w:rPr>
        <w:t xml:space="preserve"> </w:t>
      </w:r>
      <w:r w:rsidR="00990E70" w:rsidRPr="00990E70">
        <w:rPr>
          <w:sz w:val="26"/>
          <w:szCs w:val="26"/>
        </w:rPr>
        <w:t xml:space="preserve">PPL was represented by Attorney Kimberly G. Krupka, who on behalf of Respondent called one witness, Ronald Hoffman, who sponsored thirty-eight exhibits, all of which were admitted into the record.  </w:t>
      </w:r>
      <w:r w:rsidR="00855F77" w:rsidRPr="00990E70">
        <w:rPr>
          <w:sz w:val="26"/>
          <w:szCs w:val="26"/>
        </w:rPr>
        <w:t>T</w:t>
      </w:r>
      <w:r w:rsidR="00B07FED" w:rsidRPr="00990E70">
        <w:rPr>
          <w:sz w:val="26"/>
          <w:szCs w:val="26"/>
        </w:rPr>
        <w:t>he</w:t>
      </w:r>
      <w:r w:rsidR="00990E70" w:rsidRPr="00990E70">
        <w:rPr>
          <w:sz w:val="26"/>
          <w:szCs w:val="26"/>
        </w:rPr>
        <w:t xml:space="preserve"> hearing generated a 121</w:t>
      </w:r>
      <w:r w:rsidR="008A4460">
        <w:rPr>
          <w:sz w:val="26"/>
          <w:szCs w:val="26"/>
        </w:rPr>
        <w:noBreakHyphen/>
      </w:r>
      <w:r w:rsidR="00990E70" w:rsidRPr="00990E70">
        <w:rPr>
          <w:sz w:val="26"/>
          <w:szCs w:val="26"/>
        </w:rPr>
        <w:t>page transcript.  I.D. at 3.</w:t>
      </w:r>
    </w:p>
    <w:p w:rsidR="00990E70" w:rsidRPr="00990E70" w:rsidRDefault="00990E70" w:rsidP="00DF2CE9">
      <w:pPr>
        <w:widowControl/>
        <w:spacing w:line="360" w:lineRule="auto"/>
        <w:ind w:firstLine="1440"/>
        <w:rPr>
          <w:sz w:val="26"/>
          <w:szCs w:val="26"/>
        </w:rPr>
      </w:pPr>
    </w:p>
    <w:p w:rsidR="00B07FED" w:rsidRDefault="00990E70" w:rsidP="00DF2CE9">
      <w:pPr>
        <w:widowControl/>
        <w:spacing w:line="360" w:lineRule="auto"/>
        <w:ind w:firstLine="1440"/>
        <w:rPr>
          <w:sz w:val="26"/>
          <w:szCs w:val="26"/>
        </w:rPr>
      </w:pPr>
      <w:r w:rsidRPr="00990E70">
        <w:rPr>
          <w:sz w:val="26"/>
          <w:szCs w:val="26"/>
        </w:rPr>
        <w:t xml:space="preserve">The Complainant and the Respondent filed Main Briefs </w:t>
      </w:r>
      <w:r>
        <w:rPr>
          <w:sz w:val="26"/>
          <w:szCs w:val="26"/>
        </w:rPr>
        <w:t>on January 20, 2017, and February 6, 2017, respectively.</w:t>
      </w:r>
      <w:r w:rsidR="00DD09C6">
        <w:rPr>
          <w:rStyle w:val="FootnoteReference"/>
          <w:sz w:val="26"/>
          <w:szCs w:val="26"/>
        </w:rPr>
        <w:footnoteReference w:id="2"/>
      </w:r>
      <w:r>
        <w:rPr>
          <w:sz w:val="26"/>
          <w:szCs w:val="26"/>
        </w:rPr>
        <w:t xml:space="preserve">  </w:t>
      </w:r>
      <w:r w:rsidR="00B07FED" w:rsidRPr="00B41799">
        <w:rPr>
          <w:sz w:val="26"/>
          <w:szCs w:val="26"/>
        </w:rPr>
        <w:t>T</w:t>
      </w:r>
      <w:r w:rsidR="00400634" w:rsidRPr="00B41799">
        <w:rPr>
          <w:sz w:val="26"/>
          <w:szCs w:val="26"/>
        </w:rPr>
        <w:t xml:space="preserve">he record was closed on </w:t>
      </w:r>
      <w:r w:rsidR="00DD09C6">
        <w:rPr>
          <w:sz w:val="26"/>
          <w:szCs w:val="26"/>
        </w:rPr>
        <w:t>February 7</w:t>
      </w:r>
      <w:r w:rsidR="00400634" w:rsidRPr="00B41799">
        <w:rPr>
          <w:sz w:val="26"/>
          <w:szCs w:val="26"/>
        </w:rPr>
        <w:t>, 201</w:t>
      </w:r>
      <w:r w:rsidR="00480B95">
        <w:rPr>
          <w:sz w:val="26"/>
          <w:szCs w:val="26"/>
        </w:rPr>
        <w:t>7</w:t>
      </w:r>
      <w:r w:rsidR="00234273" w:rsidRPr="00B41799">
        <w:rPr>
          <w:sz w:val="26"/>
          <w:szCs w:val="26"/>
        </w:rPr>
        <w:t xml:space="preserve">, </w:t>
      </w:r>
      <w:r w:rsidR="00DD09C6">
        <w:rPr>
          <w:sz w:val="26"/>
          <w:szCs w:val="26"/>
        </w:rPr>
        <w:t xml:space="preserve">by Interim Order entered on the same date. </w:t>
      </w:r>
      <w:r w:rsidR="00347832">
        <w:rPr>
          <w:sz w:val="26"/>
          <w:szCs w:val="26"/>
        </w:rPr>
        <w:t xml:space="preserve"> </w:t>
      </w:r>
      <w:r w:rsidR="00B07FED" w:rsidRPr="00B41799">
        <w:rPr>
          <w:sz w:val="26"/>
          <w:szCs w:val="26"/>
        </w:rPr>
        <w:t>I.D</w:t>
      </w:r>
      <w:r w:rsidR="003141F1" w:rsidRPr="00B41799">
        <w:rPr>
          <w:sz w:val="26"/>
          <w:szCs w:val="26"/>
        </w:rPr>
        <w:t xml:space="preserve">. at </w:t>
      </w:r>
      <w:r w:rsidR="00DD09C6">
        <w:rPr>
          <w:sz w:val="26"/>
          <w:szCs w:val="26"/>
        </w:rPr>
        <w:t>3</w:t>
      </w:r>
      <w:r w:rsidR="00B07FED" w:rsidRPr="00B41799">
        <w:rPr>
          <w:sz w:val="26"/>
          <w:szCs w:val="26"/>
        </w:rPr>
        <w:t>.</w:t>
      </w:r>
    </w:p>
    <w:p w:rsidR="008A4460" w:rsidRPr="00B41799" w:rsidRDefault="008A4460" w:rsidP="00DF2CE9">
      <w:pPr>
        <w:widowControl/>
        <w:spacing w:line="360" w:lineRule="auto"/>
        <w:ind w:firstLine="1440"/>
        <w:rPr>
          <w:sz w:val="26"/>
          <w:szCs w:val="26"/>
        </w:rPr>
      </w:pPr>
    </w:p>
    <w:p w:rsidR="00D10384" w:rsidRDefault="00B7619A" w:rsidP="00DF2CE9">
      <w:pPr>
        <w:widowControl/>
        <w:spacing w:line="360" w:lineRule="auto"/>
        <w:rPr>
          <w:rFonts w:eastAsiaTheme="minorHAnsi"/>
          <w:color w:val="000000"/>
          <w:sz w:val="26"/>
          <w:szCs w:val="26"/>
        </w:rPr>
      </w:pPr>
      <w:r w:rsidRPr="00A9787D">
        <w:rPr>
          <w:sz w:val="26"/>
          <w:szCs w:val="26"/>
        </w:rPr>
        <w:tab/>
      </w:r>
      <w:r w:rsidRPr="00A9787D">
        <w:rPr>
          <w:sz w:val="26"/>
          <w:szCs w:val="26"/>
        </w:rPr>
        <w:tab/>
      </w:r>
      <w:r w:rsidR="00DD09C6">
        <w:rPr>
          <w:sz w:val="26"/>
          <w:szCs w:val="26"/>
        </w:rPr>
        <w:t xml:space="preserve">On May 4, 2017, </w:t>
      </w:r>
      <w:r w:rsidR="00DD09C6" w:rsidRPr="00A9787D">
        <w:rPr>
          <w:sz w:val="26"/>
          <w:szCs w:val="26"/>
        </w:rPr>
        <w:t xml:space="preserve">the Initial Decision of </w:t>
      </w:r>
      <w:r w:rsidR="00DD09C6">
        <w:rPr>
          <w:sz w:val="26"/>
          <w:szCs w:val="26"/>
        </w:rPr>
        <w:t xml:space="preserve">ALJ Conrad A. Johnson was </w:t>
      </w:r>
      <w:r w:rsidR="00DD09C6" w:rsidRPr="00A9787D">
        <w:rPr>
          <w:sz w:val="26"/>
          <w:szCs w:val="26"/>
        </w:rPr>
        <w:t>issued</w:t>
      </w:r>
      <w:r w:rsidR="00DD09C6">
        <w:rPr>
          <w:sz w:val="26"/>
          <w:szCs w:val="26"/>
        </w:rPr>
        <w:t xml:space="preserve"> via Commission Secretarial Letter.  </w:t>
      </w:r>
      <w:r w:rsidR="00704D22">
        <w:rPr>
          <w:sz w:val="26"/>
          <w:szCs w:val="26"/>
        </w:rPr>
        <w:t>In t</w:t>
      </w:r>
      <w:r w:rsidR="00DD09C6">
        <w:rPr>
          <w:sz w:val="26"/>
          <w:szCs w:val="26"/>
        </w:rPr>
        <w:t>he Initial Decision</w:t>
      </w:r>
      <w:r w:rsidR="00704D22">
        <w:rPr>
          <w:sz w:val="26"/>
          <w:szCs w:val="26"/>
        </w:rPr>
        <w:t>, the ALJ</w:t>
      </w:r>
      <w:r w:rsidR="00DD09C6">
        <w:rPr>
          <w:sz w:val="26"/>
          <w:szCs w:val="26"/>
        </w:rPr>
        <w:t xml:space="preserve"> dismissed the </w:t>
      </w:r>
      <w:r w:rsidR="00DD09C6" w:rsidRPr="00B5256C">
        <w:rPr>
          <w:sz w:val="26"/>
          <w:szCs w:val="26"/>
        </w:rPr>
        <w:t>Compl</w:t>
      </w:r>
      <w:r w:rsidR="00DD09C6">
        <w:rPr>
          <w:sz w:val="26"/>
          <w:szCs w:val="26"/>
        </w:rPr>
        <w:t xml:space="preserve">aint and concluded that the Complainant failed to carry his burden of proof in showing that the Respondent violated applicable law by transferring the tenants’ arrearages to the Complainant upon discovering foreign loads at the service addresses for which the Complainant was the owner of record.  </w:t>
      </w:r>
      <w:r w:rsidR="00DD09C6">
        <w:rPr>
          <w:rFonts w:eastAsiaTheme="minorHAnsi"/>
          <w:color w:val="000000"/>
          <w:sz w:val="26"/>
          <w:szCs w:val="26"/>
        </w:rPr>
        <w:t xml:space="preserve">The Commission’s Secretarial Letter directed Exceptions to be filed within </w:t>
      </w:r>
      <w:r w:rsidR="00084EAF">
        <w:rPr>
          <w:rFonts w:eastAsiaTheme="minorHAnsi"/>
          <w:color w:val="000000"/>
          <w:sz w:val="26"/>
          <w:szCs w:val="26"/>
        </w:rPr>
        <w:t>twenty</w:t>
      </w:r>
      <w:r w:rsidR="00DD09C6">
        <w:rPr>
          <w:rFonts w:eastAsiaTheme="minorHAnsi"/>
          <w:color w:val="000000"/>
          <w:sz w:val="26"/>
          <w:szCs w:val="26"/>
        </w:rPr>
        <w:t xml:space="preserve"> days of the date of the Secretarial Letter and Replies to Exceptions be filed within </w:t>
      </w:r>
      <w:r w:rsidR="00084EAF">
        <w:rPr>
          <w:rFonts w:eastAsiaTheme="minorHAnsi"/>
          <w:color w:val="000000"/>
          <w:sz w:val="26"/>
          <w:szCs w:val="26"/>
        </w:rPr>
        <w:t>ten</w:t>
      </w:r>
      <w:r w:rsidR="00DD09C6">
        <w:rPr>
          <w:rFonts w:eastAsiaTheme="minorHAnsi"/>
          <w:color w:val="000000"/>
          <w:sz w:val="26"/>
          <w:szCs w:val="26"/>
        </w:rPr>
        <w:t xml:space="preserve"> days of the due date for E</w:t>
      </w:r>
      <w:r w:rsidR="00D10384">
        <w:rPr>
          <w:rFonts w:eastAsiaTheme="minorHAnsi"/>
          <w:color w:val="000000"/>
          <w:sz w:val="26"/>
          <w:szCs w:val="26"/>
        </w:rPr>
        <w:t>xceptions.</w:t>
      </w:r>
    </w:p>
    <w:p w:rsidR="00D10384" w:rsidRDefault="00D10384" w:rsidP="00DF2CE9">
      <w:pPr>
        <w:widowControl/>
        <w:spacing w:line="360" w:lineRule="auto"/>
        <w:rPr>
          <w:rFonts w:eastAsiaTheme="minorHAnsi"/>
          <w:color w:val="000000"/>
          <w:sz w:val="26"/>
          <w:szCs w:val="26"/>
        </w:rPr>
      </w:pPr>
    </w:p>
    <w:p w:rsidR="00786FB0" w:rsidRDefault="00D10384" w:rsidP="00A769FB">
      <w:pPr>
        <w:keepNext/>
        <w:keepLines/>
        <w:widowControl/>
        <w:spacing w:line="360" w:lineRule="auto"/>
        <w:ind w:firstLine="1440"/>
        <w:rPr>
          <w:sz w:val="26"/>
          <w:szCs w:val="26"/>
        </w:rPr>
      </w:pPr>
      <w:r w:rsidRPr="00D10384">
        <w:rPr>
          <w:sz w:val="26"/>
          <w:szCs w:val="26"/>
        </w:rPr>
        <w:lastRenderedPageBreak/>
        <w:t xml:space="preserve">On May 17, 2017, Counsel for the Complainant contacted </w:t>
      </w:r>
      <w:r>
        <w:rPr>
          <w:sz w:val="26"/>
          <w:szCs w:val="26"/>
        </w:rPr>
        <w:t xml:space="preserve">the </w:t>
      </w:r>
      <w:r w:rsidRPr="00D10384">
        <w:rPr>
          <w:sz w:val="26"/>
          <w:szCs w:val="26"/>
        </w:rPr>
        <w:t>Commission</w:t>
      </w:r>
      <w:r>
        <w:rPr>
          <w:sz w:val="26"/>
          <w:szCs w:val="26"/>
        </w:rPr>
        <w:t>’s</w:t>
      </w:r>
      <w:r w:rsidRPr="00D10384">
        <w:rPr>
          <w:sz w:val="26"/>
          <w:szCs w:val="26"/>
        </w:rPr>
        <w:t xml:space="preserve"> </w:t>
      </w:r>
      <w:r>
        <w:rPr>
          <w:sz w:val="26"/>
          <w:szCs w:val="26"/>
        </w:rPr>
        <w:t>S</w:t>
      </w:r>
      <w:r w:rsidRPr="00D10384">
        <w:rPr>
          <w:sz w:val="26"/>
          <w:szCs w:val="26"/>
        </w:rPr>
        <w:t xml:space="preserve">taff to request an extension of twenty days in which to file Exceptions.  </w:t>
      </w:r>
    </w:p>
    <w:p w:rsidR="00D10384" w:rsidRDefault="00D10384" w:rsidP="00DF2CE9">
      <w:pPr>
        <w:keepNext/>
        <w:keepLines/>
        <w:widowControl/>
        <w:spacing w:line="360" w:lineRule="auto"/>
        <w:rPr>
          <w:rFonts w:eastAsiaTheme="minorHAnsi"/>
          <w:color w:val="000000"/>
          <w:sz w:val="26"/>
          <w:szCs w:val="26"/>
        </w:rPr>
      </w:pPr>
      <w:r w:rsidRPr="00D10384">
        <w:rPr>
          <w:sz w:val="26"/>
          <w:szCs w:val="26"/>
        </w:rPr>
        <w:t>Due to a prior commitment, Counsel</w:t>
      </w:r>
      <w:r>
        <w:rPr>
          <w:sz w:val="26"/>
          <w:szCs w:val="26"/>
        </w:rPr>
        <w:t xml:space="preserve"> indicated he would </w:t>
      </w:r>
      <w:r w:rsidRPr="00D10384">
        <w:rPr>
          <w:sz w:val="26"/>
          <w:szCs w:val="26"/>
        </w:rPr>
        <w:t xml:space="preserve">be out of the </w:t>
      </w:r>
      <w:r>
        <w:rPr>
          <w:sz w:val="26"/>
          <w:szCs w:val="26"/>
        </w:rPr>
        <w:t>office for several days and unable</w:t>
      </w:r>
      <w:r w:rsidRPr="00D10384">
        <w:rPr>
          <w:sz w:val="26"/>
          <w:szCs w:val="26"/>
        </w:rPr>
        <w:t xml:space="preserve"> to file the Exceptions by the original due date.  </w:t>
      </w:r>
      <w:r>
        <w:rPr>
          <w:sz w:val="26"/>
          <w:szCs w:val="26"/>
        </w:rPr>
        <w:t xml:space="preserve">The </w:t>
      </w:r>
      <w:r w:rsidRPr="00D10384">
        <w:rPr>
          <w:sz w:val="26"/>
          <w:szCs w:val="26"/>
        </w:rPr>
        <w:t>Commission</w:t>
      </w:r>
      <w:r>
        <w:rPr>
          <w:sz w:val="26"/>
          <w:szCs w:val="26"/>
        </w:rPr>
        <w:t>’s S</w:t>
      </w:r>
      <w:r w:rsidRPr="00D10384">
        <w:rPr>
          <w:sz w:val="26"/>
          <w:szCs w:val="26"/>
        </w:rPr>
        <w:t>taff was advised that the request had been discussed with Counsel for PPL, who had no objection to the requested extension.</w:t>
      </w:r>
      <w:r>
        <w:rPr>
          <w:sz w:val="26"/>
          <w:szCs w:val="26"/>
        </w:rPr>
        <w:t xml:space="preserve">  </w:t>
      </w:r>
      <w:r w:rsidR="00DD09C6">
        <w:rPr>
          <w:rFonts w:eastAsiaTheme="minorHAnsi"/>
          <w:color w:val="000000"/>
          <w:sz w:val="26"/>
          <w:szCs w:val="26"/>
        </w:rPr>
        <w:t xml:space="preserve">On May 17, 2017, </w:t>
      </w:r>
      <w:r>
        <w:rPr>
          <w:rFonts w:eastAsiaTheme="minorHAnsi"/>
          <w:color w:val="000000"/>
          <w:sz w:val="26"/>
          <w:szCs w:val="26"/>
        </w:rPr>
        <w:t>a Secretarial Letter</w:t>
      </w:r>
      <w:r w:rsidR="00A61B78">
        <w:rPr>
          <w:rFonts w:eastAsiaTheme="minorHAnsi"/>
          <w:color w:val="000000"/>
          <w:sz w:val="26"/>
          <w:szCs w:val="26"/>
        </w:rPr>
        <w:t xml:space="preserve"> was issued</w:t>
      </w:r>
      <w:r>
        <w:rPr>
          <w:rFonts w:eastAsiaTheme="minorHAnsi"/>
          <w:color w:val="000000"/>
          <w:sz w:val="26"/>
          <w:szCs w:val="26"/>
        </w:rPr>
        <w:t>,</w:t>
      </w:r>
      <w:r w:rsidR="00A61B78">
        <w:rPr>
          <w:rFonts w:eastAsiaTheme="minorHAnsi"/>
          <w:color w:val="000000"/>
          <w:sz w:val="26"/>
          <w:szCs w:val="26"/>
        </w:rPr>
        <w:t xml:space="preserve"> stating </w:t>
      </w:r>
      <w:r>
        <w:rPr>
          <w:rFonts w:eastAsiaTheme="minorHAnsi"/>
          <w:color w:val="000000"/>
          <w:sz w:val="26"/>
          <w:szCs w:val="26"/>
        </w:rPr>
        <w:t>that the Complainant had established good cause for the requested extension of time pursuant t</w:t>
      </w:r>
      <w:r w:rsidR="00A61B78">
        <w:rPr>
          <w:rFonts w:eastAsiaTheme="minorHAnsi"/>
          <w:color w:val="000000"/>
          <w:sz w:val="26"/>
          <w:szCs w:val="26"/>
        </w:rPr>
        <w:t>o 52 Pa. Code § 1.15, and granting</w:t>
      </w:r>
      <w:r>
        <w:rPr>
          <w:rFonts w:eastAsiaTheme="minorHAnsi"/>
          <w:color w:val="000000"/>
          <w:sz w:val="26"/>
          <w:szCs w:val="26"/>
        </w:rPr>
        <w:t xml:space="preserve"> the extension.  The Parties were directed to file Exceptions on or before June 13, 2017, and to file Replies to Exceptions on or before June 23, 2017. </w:t>
      </w:r>
    </w:p>
    <w:p w:rsidR="00E353D0" w:rsidRDefault="00E353D0" w:rsidP="00DF2CE9">
      <w:pPr>
        <w:widowControl/>
        <w:ind w:firstLine="1440"/>
        <w:rPr>
          <w:rFonts w:eastAsiaTheme="minorHAnsi"/>
          <w:color w:val="000000"/>
          <w:sz w:val="26"/>
          <w:szCs w:val="26"/>
        </w:rPr>
      </w:pPr>
    </w:p>
    <w:p w:rsidR="00DD09C6" w:rsidRPr="00E353D0" w:rsidRDefault="00D10384" w:rsidP="00DF2CE9">
      <w:pPr>
        <w:widowControl/>
        <w:spacing w:line="360" w:lineRule="auto"/>
        <w:ind w:firstLine="1440"/>
        <w:rPr>
          <w:rFonts w:eastAsiaTheme="minorHAnsi"/>
          <w:color w:val="000000"/>
          <w:sz w:val="26"/>
          <w:szCs w:val="26"/>
        </w:rPr>
      </w:pPr>
      <w:r>
        <w:rPr>
          <w:rFonts w:eastAsiaTheme="minorHAnsi"/>
          <w:color w:val="000000"/>
          <w:sz w:val="26"/>
          <w:szCs w:val="26"/>
        </w:rPr>
        <w:t xml:space="preserve">On </w:t>
      </w:r>
      <w:r w:rsidR="00E353D0">
        <w:rPr>
          <w:rFonts w:eastAsiaTheme="minorHAnsi"/>
          <w:color w:val="000000"/>
          <w:sz w:val="26"/>
          <w:szCs w:val="26"/>
        </w:rPr>
        <w:t xml:space="preserve">June 9, 2017, the Complainant filed Exceptions to the Initial Decision.  </w:t>
      </w:r>
      <w:r w:rsidR="00084EAF" w:rsidRPr="00A9787D">
        <w:rPr>
          <w:sz w:val="26"/>
          <w:szCs w:val="26"/>
        </w:rPr>
        <w:t>Replies to Exceptions</w:t>
      </w:r>
      <w:r w:rsidR="00084EAF">
        <w:rPr>
          <w:rFonts w:eastAsiaTheme="minorHAnsi"/>
          <w:color w:val="000000"/>
          <w:sz w:val="26"/>
          <w:szCs w:val="26"/>
        </w:rPr>
        <w:t xml:space="preserve"> </w:t>
      </w:r>
      <w:r w:rsidR="0053115E">
        <w:rPr>
          <w:rFonts w:eastAsiaTheme="minorHAnsi"/>
          <w:color w:val="000000"/>
          <w:sz w:val="26"/>
          <w:szCs w:val="26"/>
        </w:rPr>
        <w:t xml:space="preserve">were filed by PPL on </w:t>
      </w:r>
      <w:r w:rsidR="00E353D0">
        <w:rPr>
          <w:rFonts w:eastAsiaTheme="minorHAnsi"/>
          <w:color w:val="000000"/>
          <w:sz w:val="26"/>
          <w:szCs w:val="26"/>
        </w:rPr>
        <w:t>June 20, 2017</w:t>
      </w:r>
      <w:r w:rsidR="0053115E">
        <w:rPr>
          <w:rFonts w:eastAsiaTheme="minorHAnsi"/>
          <w:color w:val="000000"/>
          <w:sz w:val="26"/>
          <w:szCs w:val="26"/>
        </w:rPr>
        <w:t>.</w:t>
      </w:r>
      <w:r w:rsidR="00DD09C6" w:rsidRPr="00A9787D">
        <w:rPr>
          <w:sz w:val="26"/>
          <w:szCs w:val="26"/>
        </w:rPr>
        <w:t xml:space="preserve"> </w:t>
      </w:r>
    </w:p>
    <w:p w:rsidR="006C3AA0" w:rsidRDefault="006C3AA0" w:rsidP="00DF2CE9">
      <w:pPr>
        <w:widowControl/>
        <w:spacing w:line="360" w:lineRule="auto"/>
        <w:rPr>
          <w:b/>
          <w:sz w:val="26"/>
          <w:szCs w:val="26"/>
        </w:rPr>
      </w:pPr>
    </w:p>
    <w:p w:rsidR="00502F00" w:rsidRPr="00CF63A2" w:rsidRDefault="00502F00" w:rsidP="00DF2CE9">
      <w:pPr>
        <w:pStyle w:val="ListParagraph"/>
        <w:keepNext/>
        <w:widowControl/>
        <w:numPr>
          <w:ilvl w:val="0"/>
          <w:numId w:val="9"/>
        </w:numPr>
        <w:spacing w:line="360" w:lineRule="auto"/>
        <w:jc w:val="center"/>
        <w:rPr>
          <w:b/>
          <w:sz w:val="26"/>
          <w:szCs w:val="26"/>
        </w:rPr>
      </w:pPr>
      <w:r w:rsidRPr="00CF63A2">
        <w:rPr>
          <w:b/>
          <w:sz w:val="26"/>
          <w:szCs w:val="26"/>
        </w:rPr>
        <w:t>Discussion</w:t>
      </w:r>
    </w:p>
    <w:p w:rsidR="005337CF" w:rsidRPr="005337CF" w:rsidRDefault="005337CF" w:rsidP="00DF2CE9">
      <w:pPr>
        <w:widowControl/>
        <w:spacing w:line="360" w:lineRule="auto"/>
        <w:contextualSpacing/>
        <w:rPr>
          <w:sz w:val="26"/>
          <w:szCs w:val="26"/>
        </w:rPr>
      </w:pPr>
    </w:p>
    <w:p w:rsidR="007D0C12" w:rsidRPr="00CF63A2" w:rsidRDefault="007D0C12" w:rsidP="00DF2CE9">
      <w:pPr>
        <w:pStyle w:val="ListParagraph"/>
        <w:keepNext/>
        <w:keepLines/>
        <w:widowControl/>
        <w:numPr>
          <w:ilvl w:val="0"/>
          <w:numId w:val="10"/>
        </w:numPr>
        <w:spacing w:line="360" w:lineRule="auto"/>
        <w:contextualSpacing w:val="0"/>
        <w:rPr>
          <w:b/>
          <w:sz w:val="26"/>
          <w:szCs w:val="26"/>
        </w:rPr>
      </w:pPr>
      <w:r w:rsidRPr="00CF63A2">
        <w:rPr>
          <w:b/>
          <w:sz w:val="26"/>
          <w:szCs w:val="26"/>
        </w:rPr>
        <w:t>Legal Standards</w:t>
      </w:r>
    </w:p>
    <w:p w:rsidR="007D0C12" w:rsidRDefault="007D0C12" w:rsidP="00DF2CE9">
      <w:pPr>
        <w:keepNext/>
        <w:keepLines/>
        <w:widowControl/>
        <w:spacing w:line="360" w:lineRule="auto"/>
        <w:rPr>
          <w:b/>
          <w:sz w:val="26"/>
          <w:szCs w:val="26"/>
        </w:rPr>
      </w:pPr>
    </w:p>
    <w:p w:rsidR="00FD56D4" w:rsidRPr="00FD56D4" w:rsidRDefault="00FD56D4" w:rsidP="00DF2CE9">
      <w:pPr>
        <w:pStyle w:val="ListParagraph"/>
        <w:keepNext/>
        <w:keepLines/>
        <w:widowControl/>
        <w:numPr>
          <w:ilvl w:val="0"/>
          <w:numId w:val="12"/>
        </w:numPr>
        <w:spacing w:line="360" w:lineRule="auto"/>
        <w:rPr>
          <w:b/>
          <w:sz w:val="26"/>
          <w:szCs w:val="26"/>
        </w:rPr>
      </w:pPr>
      <w:r w:rsidRPr="00FD56D4">
        <w:rPr>
          <w:b/>
          <w:sz w:val="26"/>
          <w:szCs w:val="26"/>
        </w:rPr>
        <w:t>Foreign Load</w:t>
      </w:r>
    </w:p>
    <w:p w:rsidR="00FD56D4" w:rsidRDefault="00FD56D4" w:rsidP="00DF2CE9">
      <w:pPr>
        <w:keepNext/>
        <w:keepLines/>
        <w:widowControl/>
        <w:spacing w:line="360" w:lineRule="auto"/>
        <w:rPr>
          <w:sz w:val="26"/>
          <w:szCs w:val="26"/>
        </w:rPr>
      </w:pPr>
    </w:p>
    <w:p w:rsidR="00A73E48" w:rsidRDefault="00FD56D4" w:rsidP="00DF2CE9">
      <w:pPr>
        <w:widowControl/>
        <w:spacing w:line="360" w:lineRule="auto"/>
        <w:ind w:firstLine="1440"/>
        <w:rPr>
          <w:sz w:val="26"/>
          <w:szCs w:val="26"/>
        </w:rPr>
      </w:pPr>
      <w:bookmarkStart w:id="2" w:name="_Hlk505935272"/>
      <w:r>
        <w:rPr>
          <w:sz w:val="26"/>
          <w:szCs w:val="26"/>
        </w:rPr>
        <w:t>The term “f</w:t>
      </w:r>
      <w:r w:rsidRPr="00687B34">
        <w:rPr>
          <w:sz w:val="26"/>
          <w:szCs w:val="26"/>
        </w:rPr>
        <w:t>oreign load</w:t>
      </w:r>
      <w:r>
        <w:rPr>
          <w:sz w:val="26"/>
          <w:szCs w:val="26"/>
        </w:rPr>
        <w:t>”</w:t>
      </w:r>
      <w:r w:rsidRPr="00687B34">
        <w:rPr>
          <w:sz w:val="26"/>
          <w:szCs w:val="26"/>
        </w:rPr>
        <w:t xml:space="preserve"> refers to the situation </w:t>
      </w:r>
      <w:r w:rsidRPr="00687B34">
        <w:rPr>
          <w:color w:val="000000"/>
          <w:sz w:val="26"/>
          <w:szCs w:val="26"/>
        </w:rPr>
        <w:t xml:space="preserve">where a </w:t>
      </w:r>
      <w:r>
        <w:rPr>
          <w:color w:val="000000"/>
          <w:sz w:val="26"/>
          <w:szCs w:val="26"/>
        </w:rPr>
        <w:t>customer</w:t>
      </w:r>
      <w:r w:rsidR="00694B7B">
        <w:rPr>
          <w:color w:val="000000"/>
          <w:sz w:val="26"/>
          <w:szCs w:val="26"/>
        </w:rPr>
        <w:t>’</w:t>
      </w:r>
      <w:r w:rsidRPr="00687B34">
        <w:rPr>
          <w:color w:val="000000"/>
          <w:sz w:val="26"/>
          <w:szCs w:val="26"/>
        </w:rPr>
        <w:t xml:space="preserve">s meter registers utility usage not </w:t>
      </w:r>
      <w:r w:rsidRPr="00687B34">
        <w:rPr>
          <w:sz w:val="26"/>
          <w:szCs w:val="26"/>
        </w:rPr>
        <w:t xml:space="preserve">exclusive to the </w:t>
      </w:r>
      <w:r>
        <w:rPr>
          <w:sz w:val="26"/>
          <w:szCs w:val="26"/>
        </w:rPr>
        <w:t>customer</w:t>
      </w:r>
      <w:r w:rsidR="00694B7B">
        <w:rPr>
          <w:sz w:val="26"/>
          <w:szCs w:val="26"/>
        </w:rPr>
        <w:t>’</w:t>
      </w:r>
      <w:r w:rsidRPr="00687B34">
        <w:rPr>
          <w:sz w:val="26"/>
          <w:szCs w:val="26"/>
        </w:rPr>
        <w:t xml:space="preserve">s dwelling unit or its occupants.  In 1993, the General Assembly amended the </w:t>
      </w:r>
      <w:r w:rsidR="00A6670C">
        <w:rPr>
          <w:sz w:val="26"/>
          <w:szCs w:val="26"/>
        </w:rPr>
        <w:t>Public Utility Code (</w:t>
      </w:r>
      <w:r w:rsidRPr="00687B34">
        <w:rPr>
          <w:sz w:val="26"/>
          <w:szCs w:val="26"/>
        </w:rPr>
        <w:t>Code</w:t>
      </w:r>
      <w:r w:rsidR="00A6670C">
        <w:rPr>
          <w:sz w:val="26"/>
          <w:szCs w:val="26"/>
        </w:rPr>
        <w:t>)</w:t>
      </w:r>
      <w:r w:rsidRPr="00687B34">
        <w:rPr>
          <w:sz w:val="26"/>
          <w:szCs w:val="26"/>
        </w:rPr>
        <w:t xml:space="preserve"> to include 66 Pa. C.S. §</w:t>
      </w:r>
      <w:r w:rsidR="00A6670C">
        <w:rPr>
          <w:sz w:val="26"/>
          <w:szCs w:val="26"/>
        </w:rPr>
        <w:t> </w:t>
      </w:r>
      <w:r w:rsidRPr="00687B34">
        <w:rPr>
          <w:sz w:val="26"/>
          <w:szCs w:val="26"/>
        </w:rPr>
        <w:t>1529.1 to address foreign load issues.</w:t>
      </w:r>
      <w:r w:rsidRPr="00687B34">
        <w:rPr>
          <w:rStyle w:val="FootnoteReference"/>
          <w:sz w:val="26"/>
          <w:szCs w:val="26"/>
        </w:rPr>
        <w:footnoteReference w:id="3"/>
      </w:r>
      <w:r w:rsidRPr="00687B34">
        <w:rPr>
          <w:sz w:val="26"/>
          <w:szCs w:val="26"/>
        </w:rPr>
        <w:t xml:space="preserve">  </w:t>
      </w:r>
      <w:r>
        <w:rPr>
          <w:sz w:val="26"/>
          <w:szCs w:val="26"/>
        </w:rPr>
        <w:t>Section 1529.1 provides as follows (emphasis added):</w:t>
      </w:r>
    </w:p>
    <w:p w:rsidR="0099020B" w:rsidRPr="00687B34" w:rsidRDefault="0099020B" w:rsidP="00DF2CE9">
      <w:pPr>
        <w:widowControl/>
        <w:spacing w:line="360" w:lineRule="auto"/>
        <w:ind w:firstLine="1440"/>
        <w:rPr>
          <w:sz w:val="26"/>
          <w:szCs w:val="26"/>
        </w:rPr>
      </w:pPr>
    </w:p>
    <w:p w:rsidR="00FD56D4" w:rsidRDefault="00FD56D4" w:rsidP="00DF2CE9">
      <w:pPr>
        <w:pStyle w:val="Default"/>
        <w:keepNext/>
        <w:keepLines/>
        <w:ind w:left="1440" w:right="1440"/>
        <w:rPr>
          <w:sz w:val="26"/>
          <w:szCs w:val="26"/>
        </w:rPr>
      </w:pPr>
      <w:r w:rsidRPr="00687B34">
        <w:rPr>
          <w:sz w:val="26"/>
          <w:szCs w:val="26"/>
        </w:rPr>
        <w:lastRenderedPageBreak/>
        <w:t xml:space="preserve">§ 1529.1. Duty of owners of rental property </w:t>
      </w:r>
    </w:p>
    <w:p w:rsidR="006D6995" w:rsidRPr="00687B34" w:rsidRDefault="006D6995" w:rsidP="00DF2CE9">
      <w:pPr>
        <w:pStyle w:val="Default"/>
        <w:keepNext/>
        <w:keepLines/>
        <w:ind w:left="1440" w:right="1440"/>
        <w:rPr>
          <w:sz w:val="26"/>
          <w:szCs w:val="26"/>
        </w:rPr>
      </w:pPr>
    </w:p>
    <w:p w:rsidR="00FD56D4" w:rsidRDefault="00FD56D4" w:rsidP="00DF2CE9">
      <w:pPr>
        <w:pStyle w:val="Default"/>
        <w:keepNext/>
        <w:keepLines/>
        <w:ind w:left="1440" w:right="1440"/>
        <w:rPr>
          <w:bCs/>
          <w:i/>
          <w:sz w:val="26"/>
          <w:szCs w:val="26"/>
        </w:rPr>
      </w:pPr>
      <w:bookmarkStart w:id="3" w:name="_Hlk505937745"/>
      <w:r w:rsidRPr="00687B34">
        <w:rPr>
          <w:sz w:val="26"/>
          <w:szCs w:val="26"/>
        </w:rPr>
        <w:t xml:space="preserve">(a) </w:t>
      </w:r>
      <w:r w:rsidRPr="00687B34">
        <w:rPr>
          <w:b/>
          <w:iCs/>
          <w:sz w:val="26"/>
          <w:szCs w:val="26"/>
        </w:rPr>
        <w:t>Notice to public utility</w:t>
      </w:r>
      <w:r w:rsidRPr="00687B34">
        <w:rPr>
          <w:i/>
          <w:iCs/>
          <w:sz w:val="26"/>
          <w:szCs w:val="26"/>
        </w:rPr>
        <w:t>.</w:t>
      </w:r>
      <w:r w:rsidR="006D6995">
        <w:rPr>
          <w:i/>
          <w:iCs/>
          <w:sz w:val="26"/>
          <w:szCs w:val="26"/>
        </w:rPr>
        <w:t>—</w:t>
      </w:r>
      <w:r w:rsidRPr="00687B34">
        <w:rPr>
          <w:sz w:val="26"/>
          <w:szCs w:val="26"/>
        </w:rPr>
        <w:t>It is the duty of every owner of a residential building</w:t>
      </w:r>
      <w:r w:rsidR="006D6995">
        <w:rPr>
          <w:sz w:val="26"/>
          <w:szCs w:val="26"/>
        </w:rPr>
        <w:t xml:space="preserve"> . . .</w:t>
      </w:r>
      <w:r w:rsidRPr="00687B34">
        <w:rPr>
          <w:sz w:val="26"/>
          <w:szCs w:val="26"/>
        </w:rPr>
        <w:t xml:space="preserve">, which contains one or more dwelling units, </w:t>
      </w:r>
      <w:r w:rsidRPr="00687B34">
        <w:rPr>
          <w:bCs/>
          <w:i/>
          <w:sz w:val="26"/>
          <w:szCs w:val="26"/>
        </w:rPr>
        <w:t>not individually metered</w:t>
      </w:r>
      <w:r w:rsidRPr="00687B34">
        <w:rPr>
          <w:bCs/>
          <w:sz w:val="26"/>
          <w:szCs w:val="26"/>
        </w:rPr>
        <w:t>, to notify each public utility from whom utility service is received of their ownership and the fact that the premises served are used for rental purposes</w:t>
      </w:r>
      <w:r w:rsidRPr="00687B34">
        <w:rPr>
          <w:bCs/>
          <w:i/>
          <w:sz w:val="26"/>
          <w:szCs w:val="26"/>
        </w:rPr>
        <w:t>.</w:t>
      </w:r>
    </w:p>
    <w:p w:rsidR="00A6670C" w:rsidRPr="006D6995" w:rsidRDefault="00A6670C" w:rsidP="00DF2CE9">
      <w:pPr>
        <w:pStyle w:val="Default"/>
        <w:ind w:left="1440" w:right="1440"/>
        <w:rPr>
          <w:i/>
          <w:iCs/>
          <w:sz w:val="26"/>
          <w:szCs w:val="26"/>
        </w:rPr>
      </w:pPr>
    </w:p>
    <w:p w:rsidR="00FD56D4" w:rsidRPr="00687B34" w:rsidRDefault="00FD56D4" w:rsidP="00DF2CE9">
      <w:pPr>
        <w:pStyle w:val="Default"/>
        <w:spacing w:after="240"/>
        <w:ind w:left="1440" w:right="1440"/>
        <w:rPr>
          <w:sz w:val="26"/>
          <w:szCs w:val="26"/>
        </w:rPr>
      </w:pPr>
      <w:r w:rsidRPr="00687B34">
        <w:rPr>
          <w:sz w:val="26"/>
          <w:szCs w:val="26"/>
        </w:rPr>
        <w:t xml:space="preserve">(b) </w:t>
      </w:r>
      <w:r w:rsidRPr="00687B34">
        <w:rPr>
          <w:b/>
          <w:sz w:val="26"/>
          <w:szCs w:val="26"/>
        </w:rPr>
        <w:t>H</w:t>
      </w:r>
      <w:r w:rsidRPr="00687B34">
        <w:rPr>
          <w:b/>
          <w:iCs/>
          <w:sz w:val="26"/>
          <w:szCs w:val="26"/>
        </w:rPr>
        <w:t>istory of account</w:t>
      </w:r>
      <w:r w:rsidRPr="00687B34">
        <w:rPr>
          <w:i/>
          <w:iCs/>
          <w:sz w:val="26"/>
          <w:szCs w:val="26"/>
        </w:rPr>
        <w:t xml:space="preserve">.-- </w:t>
      </w:r>
      <w:r w:rsidRPr="00687B34">
        <w:rPr>
          <w:sz w:val="26"/>
          <w:szCs w:val="26"/>
        </w:rPr>
        <w:t>Upon receipt of the notice provided in this section, if the</w:t>
      </w:r>
      <w:r w:rsidR="006D6995">
        <w:rPr>
          <w:sz w:val="26"/>
          <w:szCs w:val="26"/>
        </w:rPr>
        <w:t xml:space="preserve"> . . . </w:t>
      </w:r>
      <w:r w:rsidRPr="00687B34">
        <w:rPr>
          <w:sz w:val="26"/>
          <w:szCs w:val="26"/>
        </w:rPr>
        <w:t xml:space="preserve">residential building contains </w:t>
      </w:r>
      <w:r w:rsidRPr="00687B34">
        <w:rPr>
          <w:bCs/>
          <w:sz w:val="26"/>
          <w:szCs w:val="26"/>
        </w:rPr>
        <w:t xml:space="preserve">one or more dwelling units </w:t>
      </w:r>
      <w:r w:rsidRPr="001E6995">
        <w:rPr>
          <w:bCs/>
          <w:i/>
          <w:sz w:val="26"/>
          <w:szCs w:val="26"/>
        </w:rPr>
        <w:t>not individually metered</w:t>
      </w:r>
      <w:r w:rsidRPr="00687B34">
        <w:rPr>
          <w:bCs/>
          <w:sz w:val="26"/>
          <w:szCs w:val="26"/>
        </w:rPr>
        <w:t>, an affected public utility shall forthwith list the account for the premises in question in the name of the owner, and the owner shall thereafter be responsible for the payment for the utility services rendered thereunto</w:t>
      </w:r>
      <w:r w:rsidR="006D6995">
        <w:rPr>
          <w:bCs/>
          <w:sz w:val="26"/>
          <w:szCs w:val="26"/>
        </w:rPr>
        <w:t xml:space="preserve"> . . . </w:t>
      </w:r>
    </w:p>
    <w:p w:rsidR="00744E80" w:rsidRDefault="00FD56D4" w:rsidP="00DF2CE9">
      <w:pPr>
        <w:pStyle w:val="Default"/>
        <w:ind w:left="1440" w:right="1440"/>
        <w:rPr>
          <w:bCs/>
          <w:i/>
          <w:sz w:val="26"/>
          <w:szCs w:val="26"/>
        </w:rPr>
      </w:pPr>
      <w:r w:rsidRPr="00687B34">
        <w:rPr>
          <w:sz w:val="26"/>
          <w:szCs w:val="26"/>
        </w:rPr>
        <w:t xml:space="preserve">(c) </w:t>
      </w:r>
      <w:r w:rsidRPr="00687B34">
        <w:rPr>
          <w:b/>
          <w:iCs/>
          <w:sz w:val="26"/>
          <w:szCs w:val="26"/>
        </w:rPr>
        <w:t>Failure to give notice</w:t>
      </w:r>
      <w:r w:rsidRPr="00687B34">
        <w:rPr>
          <w:i/>
          <w:iCs/>
          <w:sz w:val="26"/>
          <w:szCs w:val="26"/>
        </w:rPr>
        <w:t>.</w:t>
      </w:r>
      <w:r w:rsidR="006D6995">
        <w:rPr>
          <w:i/>
          <w:iCs/>
          <w:sz w:val="26"/>
          <w:szCs w:val="26"/>
        </w:rPr>
        <w:t>—</w:t>
      </w:r>
      <w:r w:rsidRPr="00687B34">
        <w:rPr>
          <w:bCs/>
          <w:sz w:val="26"/>
          <w:szCs w:val="26"/>
        </w:rPr>
        <w:t>Any owner of a residential building</w:t>
      </w:r>
      <w:r w:rsidR="006D6995">
        <w:rPr>
          <w:bCs/>
          <w:sz w:val="26"/>
          <w:szCs w:val="26"/>
        </w:rPr>
        <w:t xml:space="preserve"> . . . </w:t>
      </w:r>
      <w:r w:rsidRPr="00687B34">
        <w:rPr>
          <w:bCs/>
          <w:sz w:val="26"/>
          <w:szCs w:val="26"/>
        </w:rPr>
        <w:t>failing to notify affected public utilities as required by this section shall nonetheless be responsible for payment of the utility services as if the required notice had been given</w:t>
      </w:r>
      <w:r w:rsidRPr="00687B34">
        <w:rPr>
          <w:bCs/>
          <w:i/>
          <w:sz w:val="26"/>
          <w:szCs w:val="26"/>
        </w:rPr>
        <w:t>.</w:t>
      </w:r>
      <w:bookmarkEnd w:id="3"/>
    </w:p>
    <w:p w:rsidR="00A6670C" w:rsidRPr="006D6995" w:rsidRDefault="00A6670C" w:rsidP="00DF2CE9">
      <w:pPr>
        <w:pStyle w:val="Default"/>
        <w:ind w:left="1440" w:right="1440"/>
        <w:rPr>
          <w:i/>
          <w:iCs/>
          <w:sz w:val="26"/>
          <w:szCs w:val="26"/>
        </w:rPr>
      </w:pPr>
    </w:p>
    <w:p w:rsidR="0002018B" w:rsidRDefault="0002018B" w:rsidP="00DF2CE9">
      <w:pPr>
        <w:widowControl/>
        <w:ind w:firstLine="1440"/>
        <w:rPr>
          <w:sz w:val="26"/>
          <w:szCs w:val="26"/>
        </w:rPr>
      </w:pPr>
    </w:p>
    <w:p w:rsidR="00FD56D4" w:rsidRDefault="00FD56D4" w:rsidP="00DF2CE9">
      <w:pPr>
        <w:widowControl/>
        <w:spacing w:line="360" w:lineRule="auto"/>
        <w:ind w:firstLine="1440"/>
        <w:rPr>
          <w:sz w:val="26"/>
          <w:szCs w:val="26"/>
        </w:rPr>
      </w:pPr>
      <w:r w:rsidRPr="00687B34">
        <w:rPr>
          <w:sz w:val="26"/>
          <w:szCs w:val="26"/>
        </w:rPr>
        <w:t xml:space="preserve">The phrase “not individually metered,” as used in Section 1529.1, is not defined in the Code or </w:t>
      </w:r>
      <w:r w:rsidR="006D6995">
        <w:rPr>
          <w:sz w:val="26"/>
          <w:szCs w:val="26"/>
        </w:rPr>
        <w:t>our</w:t>
      </w:r>
      <w:r w:rsidRPr="00687B34">
        <w:rPr>
          <w:sz w:val="26"/>
          <w:szCs w:val="26"/>
        </w:rPr>
        <w:t xml:space="preserve"> Regulations.  </w:t>
      </w:r>
      <w:r w:rsidRPr="00687B34">
        <w:rPr>
          <w:i/>
          <w:sz w:val="26"/>
          <w:szCs w:val="26"/>
        </w:rPr>
        <w:t>See 1-A Realty v. Pa. PUC</w:t>
      </w:r>
      <w:r w:rsidRPr="00687B34">
        <w:rPr>
          <w:sz w:val="26"/>
          <w:szCs w:val="26"/>
        </w:rPr>
        <w:t>, 63 A.3d 480, 483 (Pa. Cmwlth. 2013)</w:t>
      </w:r>
      <w:r w:rsidR="001441A8">
        <w:rPr>
          <w:sz w:val="26"/>
          <w:szCs w:val="26"/>
        </w:rPr>
        <w:t xml:space="preserve"> (</w:t>
      </w:r>
      <w:r w:rsidR="001441A8" w:rsidRPr="001441A8">
        <w:rPr>
          <w:i/>
          <w:sz w:val="26"/>
          <w:szCs w:val="26"/>
        </w:rPr>
        <w:t>1-A Realty</w:t>
      </w:r>
      <w:r w:rsidR="001441A8">
        <w:rPr>
          <w:sz w:val="26"/>
          <w:szCs w:val="26"/>
        </w:rPr>
        <w:t>)</w:t>
      </w:r>
      <w:r w:rsidRPr="00687B34">
        <w:rPr>
          <w:sz w:val="26"/>
          <w:szCs w:val="26"/>
        </w:rPr>
        <w:t>.  However, s</w:t>
      </w:r>
      <w:r w:rsidRPr="00687B34">
        <w:rPr>
          <w:color w:val="000000"/>
          <w:sz w:val="26"/>
          <w:szCs w:val="26"/>
        </w:rPr>
        <w:t xml:space="preserve">ince the enactment of Section 1529.1 of the Code in 1993, </w:t>
      </w:r>
      <w:r w:rsidR="006D6995">
        <w:rPr>
          <w:color w:val="000000"/>
          <w:sz w:val="26"/>
          <w:szCs w:val="26"/>
        </w:rPr>
        <w:t xml:space="preserve">we consistently have </w:t>
      </w:r>
      <w:r w:rsidRPr="00687B34">
        <w:rPr>
          <w:color w:val="000000"/>
          <w:sz w:val="26"/>
          <w:szCs w:val="26"/>
        </w:rPr>
        <w:t xml:space="preserve">defined “not individually metered” in </w:t>
      </w:r>
      <w:r w:rsidR="006D6995">
        <w:rPr>
          <w:color w:val="000000"/>
          <w:sz w:val="26"/>
          <w:szCs w:val="26"/>
        </w:rPr>
        <w:t>our</w:t>
      </w:r>
      <w:r w:rsidRPr="00687B34">
        <w:rPr>
          <w:color w:val="000000"/>
          <w:sz w:val="26"/>
          <w:szCs w:val="26"/>
        </w:rPr>
        <w:t xml:space="preserve"> decisions </w:t>
      </w:r>
      <w:r w:rsidRPr="00687B34">
        <w:rPr>
          <w:color w:val="000000"/>
          <w:sz w:val="26"/>
          <w:szCs w:val="26"/>
        </w:rPr>
        <w:lastRenderedPageBreak/>
        <w:t xml:space="preserve">as the “utility meter for the unit is registering a foreign load, or usage not </w:t>
      </w:r>
      <w:r w:rsidRPr="00687B34">
        <w:rPr>
          <w:sz w:val="26"/>
          <w:szCs w:val="26"/>
        </w:rPr>
        <w:t xml:space="preserve">exclusive to the dwelling unit or its occupants.”  </w:t>
      </w:r>
      <w:r w:rsidRPr="00687B34">
        <w:rPr>
          <w:i/>
          <w:sz w:val="26"/>
          <w:szCs w:val="26"/>
        </w:rPr>
        <w:t>Id</w:t>
      </w:r>
      <w:r w:rsidRPr="00687B34">
        <w:rPr>
          <w:sz w:val="26"/>
          <w:szCs w:val="26"/>
        </w:rPr>
        <w:t>. at 483 (citations omitted).</w:t>
      </w:r>
      <w:r w:rsidRPr="00687B34">
        <w:rPr>
          <w:rStyle w:val="FootnoteReference"/>
          <w:sz w:val="26"/>
          <w:szCs w:val="26"/>
        </w:rPr>
        <w:footnoteReference w:id="4"/>
      </w:r>
    </w:p>
    <w:p w:rsidR="00786FB0" w:rsidRDefault="00786FB0" w:rsidP="00DF2CE9">
      <w:pPr>
        <w:widowControl/>
        <w:spacing w:line="360" w:lineRule="auto"/>
        <w:ind w:firstLine="1440"/>
        <w:rPr>
          <w:sz w:val="26"/>
          <w:szCs w:val="26"/>
        </w:rPr>
      </w:pPr>
    </w:p>
    <w:p w:rsidR="00FD56D4" w:rsidRDefault="00FD56D4" w:rsidP="00DF2CE9">
      <w:pPr>
        <w:widowControl/>
        <w:spacing w:line="360" w:lineRule="auto"/>
        <w:ind w:firstLine="1440"/>
        <w:rPr>
          <w:sz w:val="26"/>
          <w:szCs w:val="26"/>
        </w:rPr>
      </w:pPr>
      <w:bookmarkStart w:id="4" w:name="_Hlk505159165"/>
      <w:r w:rsidRPr="007C4F87">
        <w:rPr>
          <w:sz w:val="26"/>
          <w:szCs w:val="26"/>
        </w:rPr>
        <w:t>In</w:t>
      </w:r>
      <w:r w:rsidRPr="00687B34">
        <w:rPr>
          <w:i/>
          <w:sz w:val="26"/>
          <w:szCs w:val="26"/>
        </w:rPr>
        <w:t xml:space="preserve"> </w:t>
      </w:r>
      <w:r w:rsidR="007C4F87">
        <w:rPr>
          <w:i/>
          <w:sz w:val="26"/>
          <w:szCs w:val="26"/>
        </w:rPr>
        <w:t xml:space="preserve">Ace Check Cashing, </w:t>
      </w:r>
      <w:r w:rsidR="006D6995">
        <w:rPr>
          <w:sz w:val="26"/>
          <w:szCs w:val="26"/>
        </w:rPr>
        <w:t>we</w:t>
      </w:r>
      <w:r w:rsidRPr="00687B34">
        <w:rPr>
          <w:sz w:val="26"/>
          <w:szCs w:val="26"/>
        </w:rPr>
        <w:t xml:space="preserve"> explained the operation of Section 1529.1.  Specifically, Subsection (a) of Section 1529.1 establishes an affirmative duty on the owner of a property to notify the utility if a residential building contains “one or more </w:t>
      </w:r>
      <w:r w:rsidRPr="00687B34">
        <w:rPr>
          <w:sz w:val="26"/>
          <w:szCs w:val="26"/>
        </w:rPr>
        <w:lastRenderedPageBreak/>
        <w:t>dwelling units, not</w:t>
      </w:r>
      <w:r w:rsidR="00EF0443">
        <w:rPr>
          <w:sz w:val="26"/>
          <w:szCs w:val="26"/>
        </w:rPr>
        <w:t xml:space="preserve"> individually metered.”</w:t>
      </w:r>
      <w:r w:rsidRPr="00687B34">
        <w:rPr>
          <w:sz w:val="26"/>
          <w:szCs w:val="26"/>
        </w:rPr>
        <w:t xml:space="preserve">  If the landlord provides the required notice, Subsection (b) requires the utility to list the account with the foreign load in</w:t>
      </w:r>
      <w:r w:rsidR="003E6D0D">
        <w:rPr>
          <w:sz w:val="26"/>
          <w:szCs w:val="26"/>
        </w:rPr>
        <w:t xml:space="preserve"> the landlord</w:t>
      </w:r>
      <w:r w:rsidR="00694B7B">
        <w:rPr>
          <w:sz w:val="26"/>
          <w:szCs w:val="26"/>
        </w:rPr>
        <w:t>’</w:t>
      </w:r>
      <w:r w:rsidR="003E6D0D">
        <w:rPr>
          <w:sz w:val="26"/>
          <w:szCs w:val="26"/>
        </w:rPr>
        <w:t>s name and hold</w:t>
      </w:r>
      <w:r w:rsidRPr="00687B34">
        <w:rPr>
          <w:sz w:val="26"/>
          <w:szCs w:val="26"/>
        </w:rPr>
        <w:t xml:space="preserve"> the landlord responsible for the payment for utility services rendered to the account.</w:t>
      </w:r>
      <w:r w:rsidR="00744E80">
        <w:rPr>
          <w:rStyle w:val="FootnoteReference"/>
          <w:sz w:val="26"/>
          <w:szCs w:val="26"/>
        </w:rPr>
        <w:footnoteReference w:id="5"/>
      </w:r>
      <w:r w:rsidRPr="00687B34">
        <w:rPr>
          <w:sz w:val="26"/>
          <w:szCs w:val="26"/>
        </w:rPr>
        <w:t xml:space="preserve">  If the landlord fails to provide the required notice, Subsection (c) </w:t>
      </w:r>
      <w:r w:rsidR="00B431DE">
        <w:rPr>
          <w:sz w:val="26"/>
          <w:szCs w:val="26"/>
        </w:rPr>
        <w:t>places an affirmative duty on</w:t>
      </w:r>
      <w:r w:rsidRPr="00687B34">
        <w:rPr>
          <w:sz w:val="26"/>
          <w:szCs w:val="26"/>
        </w:rPr>
        <w:t xml:space="preserve"> the utility</w:t>
      </w:r>
      <w:r w:rsidR="00B431DE">
        <w:rPr>
          <w:sz w:val="26"/>
          <w:szCs w:val="26"/>
        </w:rPr>
        <w:t xml:space="preserve"> to</w:t>
      </w:r>
      <w:r w:rsidRPr="00687B34">
        <w:rPr>
          <w:sz w:val="26"/>
          <w:szCs w:val="26"/>
        </w:rPr>
        <w:t xml:space="preserve"> proceed as if the notice had been provided.  </w:t>
      </w:r>
      <w:r w:rsidR="00B431DE">
        <w:rPr>
          <w:sz w:val="26"/>
          <w:szCs w:val="26"/>
        </w:rPr>
        <w:t>Thus</w:t>
      </w:r>
      <w:r w:rsidR="00ED361E">
        <w:rPr>
          <w:sz w:val="26"/>
          <w:szCs w:val="26"/>
        </w:rPr>
        <w:t>,</w:t>
      </w:r>
      <w:r w:rsidR="00B431DE">
        <w:rPr>
          <w:sz w:val="26"/>
          <w:szCs w:val="26"/>
        </w:rPr>
        <w:t xml:space="preserve"> a utility has an affirmative duty to investigate a foreign load or high bill complaint, and </w:t>
      </w:r>
      <w:r w:rsidR="00AE401A">
        <w:rPr>
          <w:sz w:val="26"/>
          <w:szCs w:val="26"/>
        </w:rPr>
        <w:t>i</w:t>
      </w:r>
      <w:r w:rsidRPr="00687B34">
        <w:rPr>
          <w:sz w:val="26"/>
          <w:szCs w:val="26"/>
        </w:rPr>
        <w:t xml:space="preserve">f the utility discovers </w:t>
      </w:r>
      <w:r w:rsidR="00B431DE">
        <w:rPr>
          <w:sz w:val="26"/>
          <w:szCs w:val="26"/>
        </w:rPr>
        <w:t>the presence of a foreign load</w:t>
      </w:r>
      <w:r w:rsidR="00AE401A">
        <w:rPr>
          <w:sz w:val="26"/>
          <w:szCs w:val="26"/>
        </w:rPr>
        <w:t>, the utility is required to</w:t>
      </w:r>
      <w:r w:rsidRPr="00687B34">
        <w:rPr>
          <w:sz w:val="26"/>
          <w:szCs w:val="26"/>
        </w:rPr>
        <w:t xml:space="preserve"> list the account in the landlord</w:t>
      </w:r>
      <w:r w:rsidR="00694B7B">
        <w:rPr>
          <w:sz w:val="26"/>
          <w:szCs w:val="26"/>
        </w:rPr>
        <w:t>’</w:t>
      </w:r>
      <w:r w:rsidRPr="00687B34">
        <w:rPr>
          <w:sz w:val="26"/>
          <w:szCs w:val="26"/>
        </w:rPr>
        <w:t xml:space="preserve">s name and hold the landlord responsible for the payment for utility services rendered to the account.  </w:t>
      </w:r>
      <w:bookmarkStart w:id="5" w:name="_Hlk505164331"/>
      <w:r w:rsidRPr="00687B34">
        <w:rPr>
          <w:i/>
          <w:sz w:val="26"/>
          <w:szCs w:val="26"/>
        </w:rPr>
        <w:t>See Ace Check Cashing</w:t>
      </w:r>
      <w:r w:rsidRPr="00687B34">
        <w:rPr>
          <w:sz w:val="26"/>
          <w:szCs w:val="26"/>
        </w:rPr>
        <w:t>.</w:t>
      </w:r>
      <w:bookmarkEnd w:id="2"/>
      <w:bookmarkEnd w:id="4"/>
      <w:bookmarkEnd w:id="5"/>
    </w:p>
    <w:p w:rsidR="00581E5F" w:rsidRDefault="00581E5F" w:rsidP="00DF2CE9">
      <w:pPr>
        <w:widowControl/>
        <w:spacing w:line="360" w:lineRule="auto"/>
        <w:ind w:firstLine="1440"/>
        <w:rPr>
          <w:sz w:val="26"/>
          <w:szCs w:val="26"/>
        </w:rPr>
      </w:pPr>
    </w:p>
    <w:p w:rsidR="000066AF" w:rsidRDefault="006D6995" w:rsidP="00DF2CE9">
      <w:pPr>
        <w:widowControl/>
        <w:spacing w:line="360" w:lineRule="auto"/>
        <w:ind w:firstLine="1440"/>
        <w:rPr>
          <w:sz w:val="26"/>
          <w:szCs w:val="26"/>
        </w:rPr>
      </w:pPr>
      <w:r>
        <w:rPr>
          <w:sz w:val="26"/>
          <w:szCs w:val="26"/>
        </w:rPr>
        <w:t>Our</w:t>
      </w:r>
      <w:r w:rsidR="003677FB">
        <w:rPr>
          <w:sz w:val="26"/>
          <w:szCs w:val="26"/>
        </w:rPr>
        <w:t xml:space="preserve"> f</w:t>
      </w:r>
      <w:r w:rsidR="00581E5F">
        <w:rPr>
          <w:sz w:val="26"/>
          <w:szCs w:val="26"/>
        </w:rPr>
        <w:t>oreign load</w:t>
      </w:r>
      <w:r w:rsidR="003677FB">
        <w:rPr>
          <w:sz w:val="26"/>
          <w:szCs w:val="26"/>
        </w:rPr>
        <w:t xml:space="preserve"> policy</w:t>
      </w:r>
      <w:r w:rsidR="00581E5F">
        <w:rPr>
          <w:sz w:val="26"/>
          <w:szCs w:val="26"/>
        </w:rPr>
        <w:t xml:space="preserve"> </w:t>
      </w:r>
      <w:r w:rsidR="00766CCF">
        <w:rPr>
          <w:sz w:val="26"/>
          <w:szCs w:val="26"/>
        </w:rPr>
        <w:t xml:space="preserve">in implementing Section 1529.1 </w:t>
      </w:r>
      <w:r w:rsidR="00581E5F">
        <w:rPr>
          <w:sz w:val="26"/>
          <w:szCs w:val="26"/>
        </w:rPr>
        <w:t>is</w:t>
      </w:r>
      <w:r w:rsidR="003677FB">
        <w:rPr>
          <w:sz w:val="26"/>
          <w:szCs w:val="26"/>
        </w:rPr>
        <w:t xml:space="preserve"> well-settled. </w:t>
      </w:r>
      <w:r w:rsidR="006B5355">
        <w:rPr>
          <w:sz w:val="26"/>
          <w:szCs w:val="26"/>
        </w:rPr>
        <w:t xml:space="preserve"> </w:t>
      </w:r>
      <w:r w:rsidR="000066AF" w:rsidRPr="005E1849">
        <w:rPr>
          <w:sz w:val="26"/>
          <w:szCs w:val="26"/>
        </w:rPr>
        <w:t xml:space="preserve">That long-standing policy, as articulated in </w:t>
      </w:r>
      <w:r w:rsidR="000066AF" w:rsidRPr="005E1849">
        <w:rPr>
          <w:i/>
          <w:sz w:val="26"/>
          <w:szCs w:val="26"/>
        </w:rPr>
        <w:t>Ace Check Cashing</w:t>
      </w:r>
      <w:r w:rsidR="000066AF">
        <w:rPr>
          <w:sz w:val="26"/>
          <w:szCs w:val="26"/>
        </w:rPr>
        <w:t xml:space="preserve"> (citing </w:t>
      </w:r>
      <w:r w:rsidR="000066AF" w:rsidRPr="000066AF">
        <w:rPr>
          <w:i/>
          <w:sz w:val="26"/>
          <w:szCs w:val="26"/>
        </w:rPr>
        <w:t>Santos</w:t>
      </w:r>
      <w:r w:rsidR="000066AF">
        <w:rPr>
          <w:sz w:val="26"/>
          <w:szCs w:val="26"/>
        </w:rPr>
        <w:t>)</w:t>
      </w:r>
      <w:r w:rsidR="000066AF" w:rsidRPr="005E1849">
        <w:rPr>
          <w:i/>
          <w:sz w:val="26"/>
          <w:szCs w:val="26"/>
        </w:rPr>
        <w:t>,</w:t>
      </w:r>
      <w:r w:rsidR="000066AF" w:rsidRPr="005E1849">
        <w:rPr>
          <w:sz w:val="26"/>
          <w:szCs w:val="26"/>
        </w:rPr>
        <w:t xml:space="preserve"> is as follows: </w:t>
      </w:r>
    </w:p>
    <w:p w:rsidR="000066AF" w:rsidRPr="005E1849" w:rsidRDefault="000066AF" w:rsidP="00DF2CE9">
      <w:pPr>
        <w:widowControl/>
        <w:spacing w:line="360" w:lineRule="auto"/>
        <w:ind w:firstLine="1440"/>
        <w:rPr>
          <w:sz w:val="26"/>
          <w:szCs w:val="26"/>
        </w:rPr>
      </w:pPr>
    </w:p>
    <w:p w:rsidR="00D20C80" w:rsidRDefault="000066AF" w:rsidP="00DF2CE9">
      <w:pPr>
        <w:widowControl/>
        <w:ind w:left="1440" w:right="1440"/>
        <w:rPr>
          <w:sz w:val="26"/>
          <w:szCs w:val="26"/>
        </w:rPr>
      </w:pPr>
      <w:r w:rsidRPr="005E1849">
        <w:rPr>
          <w:sz w:val="26"/>
          <w:szCs w:val="26"/>
        </w:rPr>
        <w:t xml:space="preserve">Upon the finding of foreign load, the utility would list the account, </w:t>
      </w:r>
      <w:r w:rsidRPr="000066AF">
        <w:rPr>
          <w:sz w:val="26"/>
          <w:szCs w:val="26"/>
        </w:rPr>
        <w:t>including any arrearages,</w:t>
      </w:r>
      <w:r w:rsidRPr="005E1849">
        <w:rPr>
          <w:sz w:val="26"/>
          <w:szCs w:val="26"/>
        </w:rPr>
        <w:t xml:space="preserve"> in the name of the landlord.  The landlord had the responsibility to pay the utility bills until the foreign load was corrected.  Once the foreign load was corrected by the landlord and verified by the utility, the utility would place the account back in the name of the tenant.  However, </w:t>
      </w:r>
      <w:r w:rsidRPr="000066AF">
        <w:rPr>
          <w:sz w:val="26"/>
          <w:szCs w:val="26"/>
        </w:rPr>
        <w:t xml:space="preserve">the arrearage, if any, was to remain with the landlord.  </w:t>
      </w:r>
      <w:r w:rsidRPr="005E1849">
        <w:rPr>
          <w:sz w:val="26"/>
          <w:szCs w:val="26"/>
        </w:rPr>
        <w:t xml:space="preserve">There was no </w:t>
      </w:r>
      <w:r w:rsidRPr="005E1849">
        <w:rPr>
          <w:i/>
          <w:sz w:val="26"/>
          <w:szCs w:val="26"/>
        </w:rPr>
        <w:t>de minimus</w:t>
      </w:r>
      <w:r w:rsidRPr="005E1849">
        <w:rPr>
          <w:sz w:val="26"/>
          <w:szCs w:val="26"/>
        </w:rPr>
        <w:t xml:space="preserve"> exception, and any dispute regarding the financial responsibilities of the parties </w:t>
      </w:r>
    </w:p>
    <w:p w:rsidR="000066AF" w:rsidRDefault="000066AF" w:rsidP="00DF2CE9">
      <w:pPr>
        <w:keepNext/>
        <w:keepLines/>
        <w:widowControl/>
        <w:ind w:left="1440" w:right="1440"/>
        <w:rPr>
          <w:sz w:val="26"/>
          <w:szCs w:val="26"/>
        </w:rPr>
      </w:pPr>
      <w:r w:rsidRPr="005E1849">
        <w:rPr>
          <w:sz w:val="26"/>
          <w:szCs w:val="26"/>
        </w:rPr>
        <w:lastRenderedPageBreak/>
        <w:t>[as between landlord and tenant] was a matter to be resolved in the Court of Common Pleas and outside this Commission</w:t>
      </w:r>
      <w:r w:rsidR="00694B7B">
        <w:rPr>
          <w:sz w:val="26"/>
          <w:szCs w:val="26"/>
        </w:rPr>
        <w:t>’</w:t>
      </w:r>
      <w:r w:rsidRPr="005E1849">
        <w:rPr>
          <w:sz w:val="26"/>
          <w:szCs w:val="26"/>
        </w:rPr>
        <w:t>s jurisdiction.</w:t>
      </w:r>
    </w:p>
    <w:p w:rsidR="00A6670C" w:rsidRDefault="00A6670C" w:rsidP="00DF2CE9">
      <w:pPr>
        <w:keepNext/>
        <w:keepLines/>
        <w:widowControl/>
        <w:ind w:left="1440" w:right="1440"/>
        <w:rPr>
          <w:sz w:val="26"/>
          <w:szCs w:val="26"/>
        </w:rPr>
      </w:pPr>
    </w:p>
    <w:p w:rsidR="00705EDC" w:rsidRDefault="00705EDC" w:rsidP="00DF2CE9">
      <w:pPr>
        <w:keepNext/>
        <w:keepLines/>
        <w:widowControl/>
        <w:ind w:left="1440" w:right="1440"/>
        <w:rPr>
          <w:sz w:val="26"/>
          <w:szCs w:val="26"/>
        </w:rPr>
      </w:pPr>
    </w:p>
    <w:p w:rsidR="000066AF" w:rsidRDefault="00347832" w:rsidP="00DF2CE9">
      <w:pPr>
        <w:widowControl/>
        <w:spacing w:line="360" w:lineRule="auto"/>
        <w:ind w:right="1440"/>
        <w:rPr>
          <w:sz w:val="26"/>
          <w:szCs w:val="26"/>
        </w:rPr>
      </w:pPr>
      <w:r w:rsidRPr="005E1849">
        <w:rPr>
          <w:i/>
          <w:sz w:val="26"/>
          <w:szCs w:val="26"/>
        </w:rPr>
        <w:t>Ace Check Cashing</w:t>
      </w:r>
      <w:r>
        <w:rPr>
          <w:sz w:val="26"/>
          <w:szCs w:val="26"/>
        </w:rPr>
        <w:t xml:space="preserve"> (citing </w:t>
      </w:r>
      <w:r w:rsidRPr="000066AF">
        <w:rPr>
          <w:i/>
          <w:sz w:val="26"/>
          <w:szCs w:val="26"/>
        </w:rPr>
        <w:t>Santos</w:t>
      </w:r>
      <w:r>
        <w:rPr>
          <w:sz w:val="26"/>
          <w:szCs w:val="26"/>
        </w:rPr>
        <w:t>)</w:t>
      </w:r>
      <w:r>
        <w:rPr>
          <w:i/>
          <w:sz w:val="26"/>
          <w:szCs w:val="26"/>
        </w:rPr>
        <w:t>.</w:t>
      </w:r>
    </w:p>
    <w:p w:rsidR="00347832" w:rsidRPr="00347832" w:rsidRDefault="00347832" w:rsidP="00DF2CE9">
      <w:pPr>
        <w:widowControl/>
        <w:spacing w:line="360" w:lineRule="auto"/>
        <w:ind w:right="1440"/>
        <w:rPr>
          <w:sz w:val="26"/>
          <w:szCs w:val="26"/>
        </w:rPr>
      </w:pPr>
    </w:p>
    <w:p w:rsidR="00581E5F" w:rsidRDefault="009B60F9" w:rsidP="00DF2CE9">
      <w:pPr>
        <w:widowControl/>
        <w:spacing w:line="360" w:lineRule="auto"/>
        <w:ind w:firstLine="1440"/>
        <w:contextualSpacing/>
        <w:rPr>
          <w:sz w:val="26"/>
          <w:szCs w:val="26"/>
        </w:rPr>
      </w:pPr>
      <w:r>
        <w:rPr>
          <w:sz w:val="26"/>
          <w:szCs w:val="26"/>
        </w:rPr>
        <w:t>Accordingly</w:t>
      </w:r>
      <w:r w:rsidR="002669CA">
        <w:rPr>
          <w:sz w:val="26"/>
          <w:szCs w:val="26"/>
        </w:rPr>
        <w:t>, o</w:t>
      </w:r>
      <w:r w:rsidR="003677FB">
        <w:rPr>
          <w:sz w:val="26"/>
          <w:szCs w:val="26"/>
        </w:rPr>
        <w:t>nce a foreign load is</w:t>
      </w:r>
      <w:r w:rsidR="00581E5F">
        <w:rPr>
          <w:sz w:val="26"/>
          <w:szCs w:val="26"/>
        </w:rPr>
        <w:t xml:space="preserve"> verified on </w:t>
      </w:r>
      <w:r w:rsidR="00B74E9A">
        <w:rPr>
          <w:sz w:val="26"/>
          <w:szCs w:val="26"/>
        </w:rPr>
        <w:t>a</w:t>
      </w:r>
      <w:r w:rsidR="00581E5F">
        <w:rPr>
          <w:sz w:val="26"/>
          <w:szCs w:val="26"/>
        </w:rPr>
        <w:t xml:space="preserve"> tenant</w:t>
      </w:r>
      <w:r w:rsidR="00694B7B">
        <w:rPr>
          <w:sz w:val="26"/>
          <w:szCs w:val="26"/>
        </w:rPr>
        <w:t>’</w:t>
      </w:r>
      <w:r w:rsidR="00581E5F">
        <w:rPr>
          <w:sz w:val="26"/>
          <w:szCs w:val="26"/>
        </w:rPr>
        <w:t>s service, the</w:t>
      </w:r>
      <w:r w:rsidR="003677FB">
        <w:rPr>
          <w:sz w:val="26"/>
          <w:szCs w:val="26"/>
        </w:rPr>
        <w:t xml:space="preserve"> utility is to</w:t>
      </w:r>
      <w:r w:rsidR="003677FB" w:rsidRPr="003677FB">
        <w:rPr>
          <w:sz w:val="26"/>
          <w:szCs w:val="26"/>
        </w:rPr>
        <w:t xml:space="preserve"> </w:t>
      </w:r>
      <w:r w:rsidR="003677FB" w:rsidRPr="00687B34">
        <w:rPr>
          <w:sz w:val="26"/>
          <w:szCs w:val="26"/>
        </w:rPr>
        <w:t xml:space="preserve">list the account in the </w:t>
      </w:r>
      <w:r w:rsidR="003677FB">
        <w:rPr>
          <w:sz w:val="26"/>
          <w:szCs w:val="26"/>
        </w:rPr>
        <w:t>property owner</w:t>
      </w:r>
      <w:r w:rsidR="00694B7B">
        <w:rPr>
          <w:sz w:val="26"/>
          <w:szCs w:val="26"/>
        </w:rPr>
        <w:t>’</w:t>
      </w:r>
      <w:r w:rsidR="003677FB">
        <w:rPr>
          <w:sz w:val="26"/>
          <w:szCs w:val="26"/>
        </w:rPr>
        <w:t xml:space="preserve">s </w:t>
      </w:r>
      <w:r w:rsidR="003677FB" w:rsidRPr="00687B34">
        <w:rPr>
          <w:sz w:val="26"/>
          <w:szCs w:val="26"/>
        </w:rPr>
        <w:t>name</w:t>
      </w:r>
      <w:r w:rsidR="003677FB">
        <w:rPr>
          <w:sz w:val="26"/>
          <w:szCs w:val="26"/>
        </w:rPr>
        <w:t xml:space="preserve"> and hold the</w:t>
      </w:r>
      <w:r w:rsidR="00581E5F">
        <w:rPr>
          <w:sz w:val="26"/>
          <w:szCs w:val="26"/>
        </w:rPr>
        <w:t xml:space="preserve"> property owner financially responsible for the</w:t>
      </w:r>
      <w:r w:rsidR="003677FB">
        <w:rPr>
          <w:sz w:val="26"/>
          <w:szCs w:val="26"/>
        </w:rPr>
        <w:t xml:space="preserve"> current balance and any arrearages</w:t>
      </w:r>
      <w:r w:rsidR="00197829">
        <w:rPr>
          <w:rStyle w:val="FootnoteReference"/>
          <w:sz w:val="26"/>
          <w:szCs w:val="26"/>
        </w:rPr>
        <w:footnoteReference w:id="6"/>
      </w:r>
      <w:r w:rsidR="003677FB">
        <w:rPr>
          <w:sz w:val="26"/>
          <w:szCs w:val="26"/>
        </w:rPr>
        <w:t xml:space="preserve"> on the</w:t>
      </w:r>
      <w:r w:rsidR="00581E5F">
        <w:rPr>
          <w:sz w:val="26"/>
          <w:szCs w:val="26"/>
        </w:rPr>
        <w:t xml:space="preserve"> account.  It is only after the landlord corrects the foreign load, as verified by the utility, that the utility must re-list the account back in the name of the tenant; however, the landlord remains responsible for any arrearage on the tenant</w:t>
      </w:r>
      <w:r w:rsidR="00694B7B">
        <w:rPr>
          <w:sz w:val="26"/>
          <w:szCs w:val="26"/>
        </w:rPr>
        <w:t>’</w:t>
      </w:r>
      <w:r w:rsidR="00581E5F">
        <w:rPr>
          <w:sz w:val="26"/>
          <w:szCs w:val="26"/>
        </w:rPr>
        <w:t xml:space="preserve">s account that existed prior to when the utility verified that the foreign load was corrected.  </w:t>
      </w:r>
      <w:r w:rsidR="00581E5F" w:rsidRPr="00EC7444">
        <w:rPr>
          <w:i/>
          <w:sz w:val="26"/>
          <w:szCs w:val="26"/>
        </w:rPr>
        <w:t>Ace Check</w:t>
      </w:r>
      <w:r w:rsidR="00581E5F">
        <w:rPr>
          <w:i/>
          <w:sz w:val="26"/>
          <w:szCs w:val="26"/>
        </w:rPr>
        <w:t xml:space="preserve"> Cashing</w:t>
      </w:r>
      <w:r w:rsidR="00197829">
        <w:rPr>
          <w:sz w:val="26"/>
          <w:szCs w:val="26"/>
        </w:rPr>
        <w:t>;</w:t>
      </w:r>
      <w:r w:rsidR="00197829" w:rsidRPr="00197829">
        <w:rPr>
          <w:i/>
          <w:sz w:val="26"/>
          <w:szCs w:val="26"/>
        </w:rPr>
        <w:t xml:space="preserve"> </w:t>
      </w:r>
      <w:r w:rsidR="00197829" w:rsidRPr="00EC7444">
        <w:rPr>
          <w:i/>
          <w:sz w:val="26"/>
          <w:szCs w:val="26"/>
        </w:rPr>
        <w:t>Kopf</w:t>
      </w:r>
      <w:r w:rsidR="00581E5F">
        <w:rPr>
          <w:sz w:val="26"/>
          <w:szCs w:val="26"/>
        </w:rPr>
        <w:t>.  The utility must pursue collection of any unpaid amounts</w:t>
      </w:r>
      <w:r w:rsidR="00A61B78">
        <w:rPr>
          <w:sz w:val="26"/>
          <w:szCs w:val="26"/>
        </w:rPr>
        <w:t xml:space="preserve"> on the foreign </w:t>
      </w:r>
      <w:r w:rsidR="00581E5F">
        <w:rPr>
          <w:sz w:val="26"/>
          <w:szCs w:val="26"/>
        </w:rPr>
        <w:t>load</w:t>
      </w:r>
      <w:r w:rsidR="00A61B78">
        <w:rPr>
          <w:sz w:val="26"/>
          <w:szCs w:val="26"/>
        </w:rPr>
        <w:t>-</w:t>
      </w:r>
      <w:r w:rsidR="00581E5F">
        <w:rPr>
          <w:sz w:val="26"/>
          <w:szCs w:val="26"/>
        </w:rPr>
        <w:t xml:space="preserve">affected account from the landlord, and not from the tenant.  </w:t>
      </w:r>
      <w:r w:rsidR="00581E5F" w:rsidRPr="00A55132">
        <w:rPr>
          <w:i/>
          <w:sz w:val="26"/>
          <w:szCs w:val="26"/>
        </w:rPr>
        <w:t>Santos</w:t>
      </w:r>
      <w:r w:rsidR="00581E5F">
        <w:rPr>
          <w:sz w:val="26"/>
          <w:szCs w:val="26"/>
        </w:rPr>
        <w:t>.</w:t>
      </w:r>
    </w:p>
    <w:p w:rsidR="0099020B" w:rsidRDefault="0099020B" w:rsidP="00DF2CE9">
      <w:pPr>
        <w:widowControl/>
        <w:spacing w:line="360" w:lineRule="auto"/>
        <w:ind w:firstLine="1440"/>
        <w:contextualSpacing/>
        <w:rPr>
          <w:sz w:val="26"/>
          <w:szCs w:val="26"/>
        </w:rPr>
      </w:pPr>
    </w:p>
    <w:p w:rsidR="00581E5F" w:rsidRDefault="0099020B" w:rsidP="00DF2CE9">
      <w:pPr>
        <w:widowControl/>
        <w:spacing w:line="360" w:lineRule="auto"/>
        <w:ind w:firstLine="1440"/>
        <w:rPr>
          <w:sz w:val="26"/>
          <w:szCs w:val="26"/>
        </w:rPr>
      </w:pPr>
      <w:r w:rsidRPr="00744E80">
        <w:rPr>
          <w:sz w:val="26"/>
          <w:szCs w:val="26"/>
        </w:rPr>
        <w:t xml:space="preserve">Section 1529.1 </w:t>
      </w:r>
      <w:r>
        <w:rPr>
          <w:sz w:val="26"/>
          <w:szCs w:val="26"/>
        </w:rPr>
        <w:t xml:space="preserve">is intended to </w:t>
      </w:r>
      <w:r w:rsidRPr="00744E80">
        <w:rPr>
          <w:sz w:val="26"/>
          <w:szCs w:val="26"/>
        </w:rPr>
        <w:t xml:space="preserve">protect residential tenants from the loss of utility service because another </w:t>
      </w:r>
      <w:r>
        <w:rPr>
          <w:sz w:val="26"/>
          <w:szCs w:val="26"/>
        </w:rPr>
        <w:t>customer</w:t>
      </w:r>
      <w:r w:rsidRPr="00744E80">
        <w:rPr>
          <w:sz w:val="26"/>
          <w:szCs w:val="26"/>
        </w:rPr>
        <w:t xml:space="preserve"> has service terminated by the utility.  </w:t>
      </w:r>
      <w:r w:rsidRPr="00744E80">
        <w:rPr>
          <w:i/>
          <w:sz w:val="26"/>
          <w:szCs w:val="26"/>
        </w:rPr>
        <w:t>See Santos</w:t>
      </w:r>
      <w:r w:rsidRPr="00744E80">
        <w:rPr>
          <w:sz w:val="26"/>
          <w:szCs w:val="26"/>
        </w:rPr>
        <w:t xml:space="preserve">.  Additionally, Section 1529.1 </w:t>
      </w:r>
      <w:r>
        <w:rPr>
          <w:sz w:val="26"/>
          <w:szCs w:val="26"/>
        </w:rPr>
        <w:t>recognizes</w:t>
      </w:r>
      <w:r w:rsidRPr="00744E80">
        <w:rPr>
          <w:sz w:val="26"/>
          <w:szCs w:val="26"/>
        </w:rPr>
        <w:t xml:space="preserve"> that the property owner is in a better position to know about and correct the existence of the foreign load than a tenant.  </w:t>
      </w:r>
      <w:r w:rsidRPr="00744E80">
        <w:rPr>
          <w:i/>
          <w:sz w:val="26"/>
          <w:szCs w:val="26"/>
        </w:rPr>
        <w:t xml:space="preserve">See </w:t>
      </w:r>
      <w:r w:rsidRPr="00687B34">
        <w:rPr>
          <w:i/>
          <w:iCs/>
          <w:sz w:val="26"/>
          <w:szCs w:val="26"/>
        </w:rPr>
        <w:t>Albright</w:t>
      </w:r>
      <w:r w:rsidR="007C4F87" w:rsidRPr="007C4F87">
        <w:rPr>
          <w:iCs/>
          <w:sz w:val="26"/>
          <w:szCs w:val="26"/>
        </w:rPr>
        <w:t>;</w:t>
      </w:r>
      <w:r w:rsidRPr="00687B34">
        <w:rPr>
          <w:sz w:val="26"/>
          <w:szCs w:val="26"/>
        </w:rPr>
        <w:t xml:space="preserve"> </w:t>
      </w:r>
      <w:r w:rsidRPr="00744E80">
        <w:rPr>
          <w:i/>
          <w:sz w:val="26"/>
          <w:szCs w:val="26"/>
        </w:rPr>
        <w:t>Ace Check Cashing</w:t>
      </w:r>
      <w:r w:rsidRPr="00744E80">
        <w:rPr>
          <w:sz w:val="26"/>
          <w:szCs w:val="26"/>
        </w:rPr>
        <w:t xml:space="preserve">.  </w:t>
      </w:r>
      <w:r>
        <w:rPr>
          <w:sz w:val="26"/>
          <w:szCs w:val="26"/>
        </w:rPr>
        <w:t>Th</w:t>
      </w:r>
      <w:r w:rsidRPr="00744E80">
        <w:rPr>
          <w:sz w:val="26"/>
          <w:szCs w:val="26"/>
        </w:rPr>
        <w:t>e operation of Section 1529.1 provides a</w:t>
      </w:r>
      <w:r>
        <w:rPr>
          <w:sz w:val="26"/>
          <w:szCs w:val="26"/>
        </w:rPr>
        <w:t>n</w:t>
      </w:r>
      <w:r w:rsidRPr="00744E80">
        <w:rPr>
          <w:sz w:val="26"/>
          <w:szCs w:val="26"/>
        </w:rPr>
        <w:t xml:space="preserve"> incentive for the landlord to correct the foreign load situation resulting from the wiring, plum</w:t>
      </w:r>
      <w:r>
        <w:rPr>
          <w:sz w:val="26"/>
          <w:szCs w:val="26"/>
        </w:rPr>
        <w:t>b</w:t>
      </w:r>
      <w:r w:rsidRPr="00744E80">
        <w:rPr>
          <w:sz w:val="26"/>
          <w:szCs w:val="26"/>
        </w:rPr>
        <w:t xml:space="preserve">ing or piping for which the landlord is responsible.  </w:t>
      </w:r>
      <w:r w:rsidRPr="00744E80">
        <w:rPr>
          <w:i/>
          <w:sz w:val="26"/>
          <w:szCs w:val="26"/>
        </w:rPr>
        <w:t>See</w:t>
      </w:r>
      <w:r w:rsidRPr="00744E80">
        <w:rPr>
          <w:sz w:val="26"/>
          <w:szCs w:val="26"/>
        </w:rPr>
        <w:t xml:space="preserve"> </w:t>
      </w:r>
      <w:r w:rsidRPr="00744E80">
        <w:rPr>
          <w:i/>
          <w:sz w:val="26"/>
          <w:szCs w:val="26"/>
        </w:rPr>
        <w:t>Ace Check Cashing</w:t>
      </w:r>
      <w:r w:rsidR="00A6670C">
        <w:rPr>
          <w:sz w:val="26"/>
          <w:szCs w:val="26"/>
        </w:rPr>
        <w:t>.</w:t>
      </w:r>
    </w:p>
    <w:p w:rsidR="0002018B" w:rsidRDefault="0002018B" w:rsidP="00DF2CE9">
      <w:pPr>
        <w:widowControl/>
        <w:spacing w:line="360" w:lineRule="auto"/>
        <w:ind w:firstLine="1440"/>
        <w:rPr>
          <w:sz w:val="26"/>
          <w:szCs w:val="26"/>
        </w:rPr>
      </w:pPr>
    </w:p>
    <w:p w:rsidR="00922CFE" w:rsidRPr="00744E80" w:rsidRDefault="00922CFE" w:rsidP="00DF2CE9">
      <w:pPr>
        <w:pStyle w:val="ListParagraph"/>
        <w:keepNext/>
        <w:widowControl/>
        <w:numPr>
          <w:ilvl w:val="0"/>
          <w:numId w:val="12"/>
        </w:numPr>
        <w:spacing w:line="360" w:lineRule="auto"/>
        <w:rPr>
          <w:b/>
          <w:sz w:val="26"/>
          <w:szCs w:val="26"/>
        </w:rPr>
      </w:pPr>
      <w:r w:rsidRPr="00744E80">
        <w:rPr>
          <w:b/>
          <w:sz w:val="26"/>
          <w:szCs w:val="26"/>
        </w:rPr>
        <w:t>Burden of Proof</w:t>
      </w:r>
    </w:p>
    <w:p w:rsidR="00922CFE" w:rsidRPr="00A9787D" w:rsidRDefault="00922CFE" w:rsidP="00DF2CE9">
      <w:pPr>
        <w:keepNext/>
        <w:widowControl/>
        <w:spacing w:line="360" w:lineRule="auto"/>
        <w:rPr>
          <w:b/>
          <w:sz w:val="26"/>
          <w:szCs w:val="26"/>
        </w:rPr>
      </w:pPr>
    </w:p>
    <w:p w:rsidR="000D60AA" w:rsidRPr="00BC7E17" w:rsidRDefault="000D60AA" w:rsidP="00DF2CE9">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in order to prevail.  </w:t>
      </w:r>
      <w:r w:rsidRPr="00BC7E17">
        <w:rPr>
          <w:i/>
          <w:sz w:val="26"/>
          <w:szCs w:val="26"/>
        </w:rPr>
        <w:t>Patterson v. The Bell Telephone Company of Pennsylvania</w:t>
      </w:r>
      <w:r w:rsidRPr="00BC7E17">
        <w:rPr>
          <w:sz w:val="26"/>
          <w:szCs w:val="26"/>
        </w:rPr>
        <w:t>, 72 Pa. P.U.C. 196 (1990).  The offense must be a violation of the Public Utility Code</w:t>
      </w:r>
      <w:r>
        <w:rPr>
          <w:sz w:val="26"/>
          <w:szCs w:val="26"/>
        </w:rPr>
        <w:t xml:space="preserve"> (Code)</w:t>
      </w:r>
      <w:r w:rsidRPr="00BC7E17">
        <w:rPr>
          <w:sz w:val="26"/>
          <w:szCs w:val="26"/>
        </w:rPr>
        <w:t xml:space="preserve">, a Commission Regulation or Order or a violation of a Commission-approved tariff.  66 Pa. C.S. § 701.  </w:t>
      </w:r>
    </w:p>
    <w:p w:rsidR="000D60AA" w:rsidRPr="00BC7E17" w:rsidRDefault="000D60AA" w:rsidP="00DF2CE9">
      <w:pPr>
        <w:widowControl/>
        <w:spacing w:line="360" w:lineRule="auto"/>
        <w:ind w:firstLine="1440"/>
        <w:rPr>
          <w:sz w:val="26"/>
          <w:szCs w:val="26"/>
        </w:rPr>
      </w:pPr>
    </w:p>
    <w:p w:rsidR="00502F00" w:rsidRPr="000D60AA" w:rsidRDefault="000D60AA" w:rsidP="00DF2CE9">
      <w:pPr>
        <w:widowControl/>
        <w:spacing w:line="360" w:lineRule="auto"/>
        <w:ind w:firstLine="1440"/>
        <w:rPr>
          <w:rFonts w:ascii="Arial" w:hAnsi="Arial" w:cs="Arial"/>
          <w:sz w:val="21"/>
          <w:szCs w:val="21"/>
        </w:rPr>
      </w:pPr>
      <w:r w:rsidRPr="00BC7E17">
        <w:rPr>
          <w:sz w:val="26"/>
          <w:szCs w:val="26"/>
        </w:rPr>
        <w:t>Section 332(a) of the Code provides that a complainant, as the party seeking affirmative relief from the Commission, has the burden of proof.  66 Pa. C.S. §</w:t>
      </w:r>
      <w:r w:rsidR="00A6670C">
        <w:rPr>
          <w:sz w:val="26"/>
          <w:szCs w:val="26"/>
        </w:rPr>
        <w:t> </w:t>
      </w:r>
      <w:r w:rsidRPr="00BC7E17">
        <w:rPr>
          <w:sz w:val="26"/>
          <w:szCs w:val="26"/>
        </w:rPr>
        <w:t xml:space="preserve">332(a).  The </w:t>
      </w:r>
      <w:r>
        <w:rPr>
          <w:sz w:val="26"/>
          <w:szCs w:val="26"/>
        </w:rPr>
        <w:t xml:space="preserve">evidentiary </w:t>
      </w:r>
      <w:r w:rsidRPr="00BC7E17">
        <w:rPr>
          <w:sz w:val="26"/>
          <w:szCs w:val="26"/>
        </w:rPr>
        <w:t xml:space="preserve">burden of proof for actions before the Commission is the “preponderance of the evidence” standard.  </w:t>
      </w:r>
      <w:r w:rsidRPr="00BC7E17">
        <w:rPr>
          <w:i/>
          <w:sz w:val="26"/>
          <w:szCs w:val="26"/>
        </w:rPr>
        <w:t>Suber v. Pennsylvania Com</w:t>
      </w:r>
      <w:r w:rsidR="00694B7B">
        <w:rPr>
          <w:i/>
          <w:sz w:val="26"/>
          <w:szCs w:val="26"/>
        </w:rPr>
        <w:t>’</w:t>
      </w:r>
      <w:r w:rsidRPr="00BC7E17">
        <w:rPr>
          <w:i/>
          <w:sz w:val="26"/>
          <w:szCs w:val="26"/>
        </w:rPr>
        <w:t>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w:t>
      </w:r>
      <w:r w:rsidR="00A6670C">
        <w:rPr>
          <w:sz w:val="26"/>
          <w:szCs w:val="26"/>
        </w:rPr>
        <w:t> </w:t>
      </w:r>
      <w:r w:rsidRPr="00BC7E17">
        <w:rPr>
          <w:sz w:val="26"/>
          <w:szCs w:val="26"/>
        </w:rPr>
        <w:t>45, 48-49, 70 A.2d 854, 855 (1950).</w:t>
      </w:r>
      <w:r w:rsidRPr="00BC7E17">
        <w:rPr>
          <w:rFonts w:ascii="Arial" w:hAnsi="Arial" w:cs="Arial"/>
          <w:sz w:val="21"/>
          <w:szCs w:val="21"/>
        </w:rPr>
        <w:t xml:space="preserve">  </w:t>
      </w:r>
    </w:p>
    <w:p w:rsidR="00C65B65" w:rsidRDefault="00C65B65" w:rsidP="00DF2CE9">
      <w:pPr>
        <w:widowControl/>
        <w:spacing w:line="360" w:lineRule="auto"/>
        <w:ind w:firstLine="1440"/>
        <w:rPr>
          <w:sz w:val="26"/>
          <w:szCs w:val="26"/>
        </w:rPr>
      </w:pPr>
    </w:p>
    <w:p w:rsidR="00FD56D4" w:rsidRDefault="00FD56D4" w:rsidP="00DF2CE9">
      <w:pPr>
        <w:pStyle w:val="ListParagraph"/>
        <w:keepNext/>
        <w:keepLines/>
        <w:widowControl/>
        <w:numPr>
          <w:ilvl w:val="0"/>
          <w:numId w:val="12"/>
        </w:numPr>
        <w:spacing w:line="360" w:lineRule="auto"/>
        <w:rPr>
          <w:b/>
          <w:sz w:val="26"/>
          <w:szCs w:val="26"/>
        </w:rPr>
      </w:pPr>
      <w:r>
        <w:rPr>
          <w:b/>
          <w:sz w:val="26"/>
          <w:szCs w:val="26"/>
        </w:rPr>
        <w:t>Substantial Evidence</w:t>
      </w:r>
    </w:p>
    <w:p w:rsidR="00FD56D4" w:rsidRDefault="00FD56D4" w:rsidP="00DF2CE9">
      <w:pPr>
        <w:keepNext/>
        <w:keepLines/>
        <w:widowControl/>
        <w:spacing w:line="360" w:lineRule="auto"/>
        <w:rPr>
          <w:b/>
          <w:sz w:val="26"/>
          <w:szCs w:val="26"/>
        </w:rPr>
      </w:pPr>
    </w:p>
    <w:p w:rsidR="00FD56D4" w:rsidRDefault="00FD56D4" w:rsidP="00DF2CE9">
      <w:pPr>
        <w:widowControl/>
        <w:spacing w:line="360" w:lineRule="auto"/>
        <w:ind w:firstLine="1440"/>
        <w:rPr>
          <w:sz w:val="26"/>
          <w:szCs w:val="26"/>
        </w:rPr>
      </w:pPr>
      <w:r>
        <w:rPr>
          <w:rFonts w:eastAsiaTheme="minorHAnsi"/>
          <w:sz w:val="26"/>
          <w:szCs w:val="26"/>
        </w:rPr>
        <w:t>A</w:t>
      </w:r>
      <w:r w:rsidRPr="00AF3DB9">
        <w:rPr>
          <w:rFonts w:eastAsiaTheme="minorHAnsi"/>
          <w:sz w:val="26"/>
          <w:szCs w:val="26"/>
        </w:rPr>
        <w:t>djudications by the Commission must be supported by substantial evidence in the record.  2 Pa.</w:t>
      </w:r>
      <w:r w:rsidR="00016B6D">
        <w:rPr>
          <w:rFonts w:eastAsiaTheme="minorHAnsi"/>
          <w:sz w:val="26"/>
          <w:szCs w:val="26"/>
        </w:rPr>
        <w:t xml:space="preserve"> </w:t>
      </w:r>
      <w:r w:rsidRPr="00AF3DB9">
        <w:rPr>
          <w:rFonts w:eastAsiaTheme="minorHAnsi"/>
          <w:sz w:val="26"/>
          <w:szCs w:val="26"/>
        </w:rPr>
        <w:t>C.S. § 704.</w:t>
      </w:r>
      <w:r w:rsidRPr="00AF3DB9">
        <w:rPr>
          <w:rFonts w:eastAsiaTheme="minorHAnsi"/>
          <w:szCs w:val="26"/>
        </w:rPr>
        <w:t xml:space="preserve">  </w:t>
      </w:r>
      <w:r w:rsidR="00744E80" w:rsidRPr="00914F3C">
        <w:rPr>
          <w:rFonts w:eastAsiaTheme="minorHAnsi"/>
          <w:sz w:val="26"/>
          <w:szCs w:val="26"/>
        </w:rPr>
        <w:t xml:space="preserve">“Substantial evidence” is an appellate standard of review and not a standard of evidence.  </w:t>
      </w:r>
      <w:r w:rsidR="00744E80" w:rsidRPr="00914F3C">
        <w:rPr>
          <w:rFonts w:eastAsiaTheme="minorHAnsi"/>
          <w:i/>
          <w:sz w:val="26"/>
          <w:szCs w:val="26"/>
        </w:rPr>
        <w:t>Lansberry</w:t>
      </w:r>
      <w:r w:rsidR="00744E80" w:rsidRPr="00914F3C">
        <w:rPr>
          <w:rFonts w:eastAsiaTheme="minorHAnsi"/>
          <w:sz w:val="26"/>
          <w:szCs w:val="26"/>
        </w:rPr>
        <w:t xml:space="preserve">, 578 A.2d at 602.  </w:t>
      </w:r>
      <w:r w:rsidRPr="00AF3DB9">
        <w:rPr>
          <w:rFonts w:eastAsiaTheme="minorHAnsi"/>
          <w:szCs w:val="26"/>
        </w:rPr>
        <w:t>“</w:t>
      </w:r>
      <w:r w:rsidRPr="00AF3DB9">
        <w:rPr>
          <w:sz w:val="26"/>
          <w:szCs w:val="26"/>
        </w:rPr>
        <w:t xml:space="preserve">Substantial evidence” is such relevant evidence that a reasonable mind might accept as adequate to </w:t>
      </w:r>
      <w:r w:rsidRPr="00AF3DB9">
        <w:rPr>
          <w:sz w:val="26"/>
          <w:szCs w:val="26"/>
        </w:rPr>
        <w:lastRenderedPageBreak/>
        <w:t xml:space="preserve">support a conclusion.  </w:t>
      </w:r>
      <w:r w:rsidRPr="00AF3DB9">
        <w:rPr>
          <w:i/>
          <w:sz w:val="26"/>
          <w:szCs w:val="26"/>
        </w:rPr>
        <w:t>Consolidated Edison Company of New York v. National Labor Relations Board</w:t>
      </w:r>
      <w:r w:rsidRPr="00AF3DB9">
        <w:rPr>
          <w:sz w:val="26"/>
          <w:szCs w:val="26"/>
        </w:rPr>
        <w:t xml:space="preserve">, 305 U.S. 197, 229, 59 S.Ct. 206, 217.  More is required than a mere trace of evidence or a suspicion of the existence of a fact sought to be established.  </w:t>
      </w:r>
      <w:r w:rsidRPr="00AF3DB9">
        <w:rPr>
          <w:i/>
          <w:sz w:val="26"/>
          <w:szCs w:val="26"/>
        </w:rPr>
        <w:t xml:space="preserve">Norfolk &amp; Western Ry. Co. v. Pa. PUC, </w:t>
      </w:r>
      <w:r w:rsidRPr="00AF3DB9">
        <w:rPr>
          <w:sz w:val="26"/>
          <w:szCs w:val="26"/>
        </w:rPr>
        <w:t xml:space="preserve">489 Pa. 109, 413 A.2d 1037 (1980); </w:t>
      </w:r>
      <w:r w:rsidRPr="00AF3DB9">
        <w:rPr>
          <w:i/>
          <w:sz w:val="26"/>
          <w:szCs w:val="26"/>
        </w:rPr>
        <w:t>Erie Resistor Corp. v. Unemployment Comp. Bd. of Review</w:t>
      </w:r>
      <w:r w:rsidRPr="00AF3DB9">
        <w:rPr>
          <w:sz w:val="26"/>
          <w:szCs w:val="26"/>
        </w:rPr>
        <w:t xml:space="preserve">, 166 A.2d 96 (Pa. Super. 1961); </w:t>
      </w:r>
      <w:r w:rsidRPr="00AF3DB9">
        <w:rPr>
          <w:i/>
          <w:sz w:val="26"/>
          <w:szCs w:val="26"/>
        </w:rPr>
        <w:t>Murphy v. Comm. Dept. of Public Welfare, White Haven Center</w:t>
      </w:r>
      <w:r w:rsidRPr="00AF3DB9">
        <w:rPr>
          <w:sz w:val="26"/>
          <w:szCs w:val="26"/>
        </w:rPr>
        <w:t>, 480 A.2d 382 (Pa. Cmwlth. 1984).</w:t>
      </w:r>
    </w:p>
    <w:bookmarkEnd w:id="0"/>
    <w:bookmarkEnd w:id="1"/>
    <w:p w:rsidR="00425200" w:rsidRDefault="00425200" w:rsidP="00DF2CE9">
      <w:pPr>
        <w:widowControl/>
        <w:spacing w:line="360" w:lineRule="auto"/>
        <w:rPr>
          <w:sz w:val="26"/>
          <w:szCs w:val="26"/>
        </w:rPr>
      </w:pPr>
    </w:p>
    <w:p w:rsidR="00ED60FB" w:rsidRPr="00CF63A2" w:rsidRDefault="00ED60FB" w:rsidP="00DF2CE9">
      <w:pPr>
        <w:pStyle w:val="ListParagraph"/>
        <w:keepNext/>
        <w:keepLines/>
        <w:widowControl/>
        <w:numPr>
          <w:ilvl w:val="0"/>
          <w:numId w:val="10"/>
        </w:numPr>
        <w:spacing w:line="360" w:lineRule="auto"/>
        <w:rPr>
          <w:b/>
          <w:sz w:val="26"/>
          <w:szCs w:val="26"/>
        </w:rPr>
      </w:pPr>
      <w:r w:rsidRPr="00CF63A2">
        <w:rPr>
          <w:b/>
          <w:sz w:val="26"/>
          <w:szCs w:val="26"/>
        </w:rPr>
        <w:t>ALJ</w:t>
      </w:r>
      <w:r w:rsidR="00694B7B">
        <w:rPr>
          <w:b/>
          <w:sz w:val="26"/>
          <w:szCs w:val="26"/>
        </w:rPr>
        <w:t>’</w:t>
      </w:r>
      <w:r w:rsidRPr="00CF63A2">
        <w:rPr>
          <w:b/>
          <w:sz w:val="26"/>
          <w:szCs w:val="26"/>
        </w:rPr>
        <w:t>s Initial Decision</w:t>
      </w:r>
    </w:p>
    <w:p w:rsidR="00ED60FB" w:rsidRPr="00A9787D" w:rsidRDefault="00ED60FB" w:rsidP="00DF2CE9">
      <w:pPr>
        <w:keepNext/>
        <w:keepLines/>
        <w:widowControl/>
        <w:spacing w:line="360" w:lineRule="auto"/>
        <w:rPr>
          <w:sz w:val="26"/>
          <w:szCs w:val="26"/>
        </w:rPr>
      </w:pPr>
    </w:p>
    <w:p w:rsidR="00300D18" w:rsidRPr="00A9787D" w:rsidRDefault="00300D18" w:rsidP="00DF2CE9">
      <w:pPr>
        <w:widowControl/>
        <w:spacing w:line="360" w:lineRule="auto"/>
        <w:ind w:firstLine="1440"/>
        <w:rPr>
          <w:sz w:val="26"/>
          <w:szCs w:val="26"/>
        </w:rPr>
      </w:pPr>
      <w:r w:rsidRPr="00A9787D">
        <w:rPr>
          <w:sz w:val="26"/>
          <w:szCs w:val="26"/>
        </w:rPr>
        <w:t xml:space="preserve">ALJ </w:t>
      </w:r>
      <w:r w:rsidR="00AE628E">
        <w:rPr>
          <w:sz w:val="26"/>
          <w:szCs w:val="26"/>
        </w:rPr>
        <w:t xml:space="preserve">Johnson </w:t>
      </w:r>
      <w:r>
        <w:rPr>
          <w:sz w:val="26"/>
          <w:szCs w:val="26"/>
        </w:rPr>
        <w:t xml:space="preserve">made </w:t>
      </w:r>
      <w:r w:rsidR="00AE628E">
        <w:rPr>
          <w:sz w:val="26"/>
          <w:szCs w:val="26"/>
        </w:rPr>
        <w:t xml:space="preserve">fifty-one </w:t>
      </w:r>
      <w:r w:rsidRPr="00A9787D">
        <w:rPr>
          <w:sz w:val="26"/>
          <w:szCs w:val="26"/>
        </w:rPr>
        <w:t>Find</w:t>
      </w:r>
      <w:r w:rsidR="00AE628E">
        <w:rPr>
          <w:sz w:val="26"/>
          <w:szCs w:val="26"/>
        </w:rPr>
        <w:t>ings of Fact</w:t>
      </w:r>
      <w:r w:rsidRPr="00A9787D">
        <w:rPr>
          <w:sz w:val="26"/>
          <w:szCs w:val="26"/>
        </w:rPr>
        <w:t xml:space="preserve">.  I.D. at </w:t>
      </w:r>
      <w:r w:rsidR="00AE628E">
        <w:rPr>
          <w:sz w:val="26"/>
          <w:szCs w:val="26"/>
        </w:rPr>
        <w:t>3-11</w:t>
      </w:r>
      <w:r w:rsidRPr="00A9787D">
        <w:rPr>
          <w:sz w:val="26"/>
          <w:szCs w:val="26"/>
        </w:rPr>
        <w:t>.  The Findings of Fact are incorporated herein by reference and are adopted without comment unless they are either expressly or by necessary implication rejected or modified by this Opinion and Order.</w:t>
      </w:r>
    </w:p>
    <w:p w:rsidR="00300D18" w:rsidRDefault="00300D18" w:rsidP="00DF2CE9">
      <w:pPr>
        <w:widowControl/>
        <w:spacing w:line="360" w:lineRule="auto"/>
        <w:rPr>
          <w:sz w:val="26"/>
          <w:szCs w:val="26"/>
        </w:rPr>
      </w:pPr>
    </w:p>
    <w:p w:rsidR="003C583F" w:rsidRDefault="007F40C4" w:rsidP="00DF2CE9">
      <w:pPr>
        <w:widowControl/>
        <w:spacing w:line="360" w:lineRule="auto"/>
        <w:ind w:firstLine="1440"/>
        <w:rPr>
          <w:sz w:val="26"/>
          <w:szCs w:val="26"/>
        </w:rPr>
      </w:pPr>
      <w:r>
        <w:rPr>
          <w:sz w:val="26"/>
          <w:szCs w:val="26"/>
        </w:rPr>
        <w:t>In</w:t>
      </w:r>
      <w:r w:rsidR="00522B60">
        <w:rPr>
          <w:sz w:val="26"/>
          <w:szCs w:val="26"/>
        </w:rPr>
        <w:t xml:space="preserve"> </w:t>
      </w:r>
      <w:r w:rsidR="00522B60" w:rsidRPr="004A4D88">
        <w:rPr>
          <w:sz w:val="26"/>
          <w:szCs w:val="26"/>
        </w:rPr>
        <w:t xml:space="preserve">his </w:t>
      </w:r>
      <w:r w:rsidR="008C5691" w:rsidRPr="004A4D88">
        <w:rPr>
          <w:sz w:val="26"/>
          <w:szCs w:val="26"/>
        </w:rPr>
        <w:t>analysis</w:t>
      </w:r>
      <w:r w:rsidRPr="004A4D88">
        <w:rPr>
          <w:sz w:val="26"/>
          <w:szCs w:val="26"/>
        </w:rPr>
        <w:t xml:space="preserve">, the ALJ </w:t>
      </w:r>
      <w:r w:rsidR="00F92800" w:rsidRPr="004A4D88">
        <w:rPr>
          <w:sz w:val="26"/>
          <w:szCs w:val="26"/>
        </w:rPr>
        <w:t xml:space="preserve">explained </w:t>
      </w:r>
      <w:r w:rsidR="004A4D88">
        <w:rPr>
          <w:sz w:val="26"/>
          <w:szCs w:val="26"/>
        </w:rPr>
        <w:t xml:space="preserve">that </w:t>
      </w:r>
      <w:r w:rsidR="003C583F" w:rsidRPr="004A4D88">
        <w:rPr>
          <w:sz w:val="26"/>
          <w:szCs w:val="26"/>
        </w:rPr>
        <w:t xml:space="preserve">Mr. McGee seeks a ruling from the Commission that he is not responsible for the outstanding bills at several rental properties because some of the properties were under contract for sale to </w:t>
      </w:r>
      <w:r w:rsidR="004A4D88">
        <w:rPr>
          <w:sz w:val="26"/>
          <w:szCs w:val="26"/>
        </w:rPr>
        <w:t>a third-party (Mr.</w:t>
      </w:r>
      <w:r w:rsidR="001160F4">
        <w:rPr>
          <w:sz w:val="26"/>
          <w:szCs w:val="26"/>
        </w:rPr>
        <w:t> </w:t>
      </w:r>
      <w:r w:rsidR="004A4D88">
        <w:rPr>
          <w:sz w:val="26"/>
          <w:szCs w:val="26"/>
        </w:rPr>
        <w:t xml:space="preserve"> </w:t>
      </w:r>
      <w:r w:rsidR="003C583F" w:rsidRPr="004A4D88">
        <w:rPr>
          <w:sz w:val="26"/>
          <w:szCs w:val="26"/>
        </w:rPr>
        <w:t>Stanley</w:t>
      </w:r>
      <w:r w:rsidR="004A5152">
        <w:rPr>
          <w:sz w:val="26"/>
          <w:szCs w:val="26"/>
        </w:rPr>
        <w:t> </w:t>
      </w:r>
      <w:r w:rsidR="003C583F" w:rsidRPr="004A4D88">
        <w:rPr>
          <w:sz w:val="26"/>
          <w:szCs w:val="26"/>
        </w:rPr>
        <w:t>A.</w:t>
      </w:r>
      <w:r w:rsidR="001160F4">
        <w:rPr>
          <w:sz w:val="26"/>
          <w:szCs w:val="26"/>
        </w:rPr>
        <w:t> </w:t>
      </w:r>
      <w:r w:rsidR="003C583F" w:rsidRPr="004A4D88">
        <w:rPr>
          <w:sz w:val="26"/>
          <w:szCs w:val="26"/>
        </w:rPr>
        <w:t>Grebas</w:t>
      </w:r>
      <w:r w:rsidR="004A4D88">
        <w:rPr>
          <w:sz w:val="26"/>
          <w:szCs w:val="26"/>
        </w:rPr>
        <w:t>)</w:t>
      </w:r>
      <w:r w:rsidR="003C583F" w:rsidRPr="004A4D88">
        <w:rPr>
          <w:sz w:val="26"/>
          <w:szCs w:val="26"/>
        </w:rPr>
        <w:t xml:space="preserve">, who agreed to take over ownership of the properties. </w:t>
      </w:r>
      <w:r w:rsidR="004A4D88">
        <w:rPr>
          <w:sz w:val="26"/>
          <w:szCs w:val="26"/>
        </w:rPr>
        <w:t xml:space="preserve"> I.D. at 15 (citing </w:t>
      </w:r>
      <w:r w:rsidR="003C583F" w:rsidRPr="004A4D88">
        <w:rPr>
          <w:sz w:val="26"/>
          <w:szCs w:val="26"/>
        </w:rPr>
        <w:t xml:space="preserve">Tr. </w:t>
      </w:r>
      <w:r w:rsidR="004A4D88">
        <w:rPr>
          <w:sz w:val="26"/>
          <w:szCs w:val="26"/>
        </w:rPr>
        <w:t xml:space="preserve">at </w:t>
      </w:r>
      <w:r w:rsidR="003C583F" w:rsidRPr="004A4D88">
        <w:rPr>
          <w:sz w:val="26"/>
          <w:szCs w:val="26"/>
        </w:rPr>
        <w:t xml:space="preserve">13; Complainant’s </w:t>
      </w:r>
      <w:r w:rsidR="004A4D88">
        <w:rPr>
          <w:sz w:val="26"/>
          <w:szCs w:val="26"/>
        </w:rPr>
        <w:t>Main Brief</w:t>
      </w:r>
      <w:r w:rsidR="003C583F" w:rsidRPr="004A4D88">
        <w:rPr>
          <w:sz w:val="26"/>
          <w:szCs w:val="26"/>
        </w:rPr>
        <w:t xml:space="preserve"> at 1</w:t>
      </w:r>
      <w:r w:rsidR="004A4D88">
        <w:rPr>
          <w:sz w:val="26"/>
          <w:szCs w:val="26"/>
        </w:rPr>
        <w:t>)</w:t>
      </w:r>
      <w:r w:rsidR="003C583F" w:rsidRPr="004A4D88">
        <w:rPr>
          <w:sz w:val="26"/>
          <w:szCs w:val="26"/>
        </w:rPr>
        <w:t xml:space="preserve">. </w:t>
      </w:r>
      <w:r w:rsidR="00705EDC">
        <w:rPr>
          <w:sz w:val="26"/>
          <w:szCs w:val="26"/>
        </w:rPr>
        <w:t xml:space="preserve"> </w:t>
      </w:r>
      <w:r w:rsidR="003C583F" w:rsidRPr="004A4D88">
        <w:rPr>
          <w:sz w:val="26"/>
          <w:szCs w:val="26"/>
        </w:rPr>
        <w:t>The sales agreement contract was entered into by Mr.</w:t>
      </w:r>
      <w:r w:rsidR="00705EDC">
        <w:rPr>
          <w:sz w:val="26"/>
          <w:szCs w:val="26"/>
        </w:rPr>
        <w:t> </w:t>
      </w:r>
      <w:r w:rsidR="003C583F" w:rsidRPr="004A4D88">
        <w:rPr>
          <w:sz w:val="26"/>
          <w:szCs w:val="26"/>
        </w:rPr>
        <w:t xml:space="preserve">McGee and Mr. Grebas on May 1, 2013. </w:t>
      </w:r>
      <w:r w:rsidR="004A4D88">
        <w:rPr>
          <w:sz w:val="26"/>
          <w:szCs w:val="26"/>
        </w:rPr>
        <w:t xml:space="preserve"> I.D. at 15 (citing </w:t>
      </w:r>
      <w:r w:rsidR="003C583F" w:rsidRPr="004A4D88">
        <w:rPr>
          <w:sz w:val="26"/>
          <w:szCs w:val="26"/>
        </w:rPr>
        <w:t xml:space="preserve">Tr. </w:t>
      </w:r>
      <w:r w:rsidR="004A4D88">
        <w:rPr>
          <w:sz w:val="26"/>
          <w:szCs w:val="26"/>
        </w:rPr>
        <w:t xml:space="preserve">at </w:t>
      </w:r>
      <w:r w:rsidR="003C583F" w:rsidRPr="004A4D88">
        <w:rPr>
          <w:sz w:val="26"/>
          <w:szCs w:val="26"/>
        </w:rPr>
        <w:t>12</w:t>
      </w:r>
      <w:r w:rsidR="004A4D88">
        <w:rPr>
          <w:sz w:val="26"/>
          <w:szCs w:val="26"/>
        </w:rPr>
        <w:t>)</w:t>
      </w:r>
      <w:r w:rsidR="003C583F" w:rsidRPr="004A4D88">
        <w:rPr>
          <w:sz w:val="26"/>
          <w:szCs w:val="26"/>
        </w:rPr>
        <w:t xml:space="preserve">. </w:t>
      </w:r>
      <w:r w:rsidR="004A4D88">
        <w:rPr>
          <w:sz w:val="26"/>
          <w:szCs w:val="26"/>
        </w:rPr>
        <w:t xml:space="preserve"> </w:t>
      </w:r>
      <w:r w:rsidR="003C583F" w:rsidRPr="004A4D88">
        <w:rPr>
          <w:sz w:val="26"/>
          <w:szCs w:val="26"/>
        </w:rPr>
        <w:t xml:space="preserve">According to Mr. McGee, he did not collect any rents from tenants between 2013 and 2014. </w:t>
      </w:r>
      <w:r w:rsidR="004A4D88">
        <w:rPr>
          <w:sz w:val="26"/>
          <w:szCs w:val="26"/>
        </w:rPr>
        <w:t xml:space="preserve"> I.D. at 15 (citing </w:t>
      </w:r>
      <w:r w:rsidR="003C583F" w:rsidRPr="004A4D88">
        <w:rPr>
          <w:sz w:val="26"/>
          <w:szCs w:val="26"/>
        </w:rPr>
        <w:t xml:space="preserve">Tr. </w:t>
      </w:r>
      <w:r w:rsidR="004A4D88">
        <w:rPr>
          <w:sz w:val="26"/>
          <w:szCs w:val="26"/>
        </w:rPr>
        <w:t xml:space="preserve">at </w:t>
      </w:r>
      <w:r w:rsidR="003C583F" w:rsidRPr="004A4D88">
        <w:rPr>
          <w:sz w:val="26"/>
          <w:szCs w:val="26"/>
        </w:rPr>
        <w:t>16</w:t>
      </w:r>
      <w:r w:rsidR="004A4D88">
        <w:rPr>
          <w:sz w:val="26"/>
          <w:szCs w:val="26"/>
        </w:rPr>
        <w:t>)</w:t>
      </w:r>
      <w:r w:rsidR="003C583F" w:rsidRPr="004A4D88">
        <w:rPr>
          <w:sz w:val="26"/>
          <w:szCs w:val="26"/>
        </w:rPr>
        <w:t xml:space="preserve">. </w:t>
      </w:r>
      <w:r w:rsidR="004A4D88">
        <w:rPr>
          <w:sz w:val="26"/>
          <w:szCs w:val="26"/>
        </w:rPr>
        <w:t xml:space="preserve"> Mr. McGee argued</w:t>
      </w:r>
      <w:r w:rsidR="003C583F" w:rsidRPr="004A4D88">
        <w:rPr>
          <w:sz w:val="26"/>
          <w:szCs w:val="26"/>
        </w:rPr>
        <w:t xml:space="preserve"> he should not be responsible for the tenants’ bills because he was not their landlord. </w:t>
      </w:r>
      <w:r w:rsidR="004A4D88">
        <w:rPr>
          <w:sz w:val="26"/>
          <w:szCs w:val="26"/>
        </w:rPr>
        <w:t xml:space="preserve"> I.D. at 15</w:t>
      </w:r>
      <w:r w:rsidR="00CE0CAB">
        <w:rPr>
          <w:sz w:val="26"/>
          <w:szCs w:val="26"/>
        </w:rPr>
        <w:t xml:space="preserve">; </w:t>
      </w:r>
      <w:r w:rsidR="003C583F" w:rsidRPr="004A4D88">
        <w:rPr>
          <w:sz w:val="26"/>
          <w:szCs w:val="26"/>
        </w:rPr>
        <w:t xml:space="preserve">Tr. </w:t>
      </w:r>
      <w:r w:rsidR="004A4D88">
        <w:rPr>
          <w:sz w:val="26"/>
          <w:szCs w:val="26"/>
        </w:rPr>
        <w:t xml:space="preserve">at </w:t>
      </w:r>
      <w:r w:rsidR="003C583F" w:rsidRPr="004A4D88">
        <w:rPr>
          <w:sz w:val="26"/>
          <w:szCs w:val="26"/>
        </w:rPr>
        <w:t xml:space="preserve">108. </w:t>
      </w:r>
      <w:r w:rsidR="004A4D88">
        <w:rPr>
          <w:sz w:val="26"/>
          <w:szCs w:val="26"/>
        </w:rPr>
        <w:t xml:space="preserve"> However, Mr. McGee admitted</w:t>
      </w:r>
      <w:r w:rsidR="003C583F" w:rsidRPr="004A4D88">
        <w:rPr>
          <w:sz w:val="26"/>
          <w:szCs w:val="26"/>
        </w:rPr>
        <w:t xml:space="preserve"> that he was the owner of record for the rental properties in dispute. </w:t>
      </w:r>
      <w:r w:rsidR="004A4D88">
        <w:rPr>
          <w:sz w:val="26"/>
          <w:szCs w:val="26"/>
        </w:rPr>
        <w:t xml:space="preserve"> I.D. at</w:t>
      </w:r>
      <w:r w:rsidR="001160F4">
        <w:rPr>
          <w:sz w:val="26"/>
          <w:szCs w:val="26"/>
        </w:rPr>
        <w:t> </w:t>
      </w:r>
      <w:r w:rsidR="004A4D88">
        <w:rPr>
          <w:sz w:val="26"/>
          <w:szCs w:val="26"/>
        </w:rPr>
        <w:t xml:space="preserve">15 (citing </w:t>
      </w:r>
      <w:r w:rsidR="003C583F" w:rsidRPr="004A4D88">
        <w:rPr>
          <w:sz w:val="26"/>
          <w:szCs w:val="26"/>
        </w:rPr>
        <w:t>Tr.</w:t>
      </w:r>
      <w:r w:rsidR="00CE0CAB">
        <w:rPr>
          <w:sz w:val="26"/>
          <w:szCs w:val="26"/>
        </w:rPr>
        <w:t> </w:t>
      </w:r>
      <w:r w:rsidR="004A4D88">
        <w:rPr>
          <w:sz w:val="26"/>
          <w:szCs w:val="26"/>
        </w:rPr>
        <w:t xml:space="preserve">at </w:t>
      </w:r>
      <w:r w:rsidR="003C583F" w:rsidRPr="004A4D88">
        <w:rPr>
          <w:sz w:val="26"/>
          <w:szCs w:val="26"/>
        </w:rPr>
        <w:t>31-32, 105-107</w:t>
      </w:r>
      <w:r w:rsidR="004A4D88">
        <w:rPr>
          <w:sz w:val="26"/>
          <w:szCs w:val="26"/>
        </w:rPr>
        <w:t>)</w:t>
      </w:r>
      <w:r w:rsidR="003C583F" w:rsidRPr="004A4D88">
        <w:rPr>
          <w:sz w:val="26"/>
          <w:szCs w:val="26"/>
        </w:rPr>
        <w:t>.</w:t>
      </w:r>
    </w:p>
    <w:p w:rsidR="004A4D88" w:rsidRDefault="004A4D88" w:rsidP="00DF2CE9">
      <w:pPr>
        <w:widowControl/>
        <w:spacing w:line="360" w:lineRule="auto"/>
        <w:ind w:firstLine="1440"/>
        <w:rPr>
          <w:sz w:val="26"/>
          <w:szCs w:val="26"/>
        </w:rPr>
      </w:pPr>
    </w:p>
    <w:p w:rsidR="004A4D88" w:rsidRDefault="004A4D88" w:rsidP="00DF2CE9">
      <w:pPr>
        <w:keepNext/>
        <w:keepLines/>
        <w:widowControl/>
        <w:spacing w:line="360" w:lineRule="auto"/>
        <w:ind w:firstLine="1440"/>
        <w:rPr>
          <w:sz w:val="26"/>
          <w:szCs w:val="26"/>
        </w:rPr>
      </w:pPr>
      <w:r w:rsidRPr="00F632FB">
        <w:rPr>
          <w:sz w:val="26"/>
          <w:szCs w:val="26"/>
        </w:rPr>
        <w:lastRenderedPageBreak/>
        <w:t xml:space="preserve">The ALJ further explained that Mr. McGee did not identify </w:t>
      </w:r>
      <w:r w:rsidR="00CE0CAB" w:rsidRPr="00F632FB">
        <w:rPr>
          <w:sz w:val="26"/>
          <w:szCs w:val="26"/>
        </w:rPr>
        <w:t xml:space="preserve">in his testimony </w:t>
      </w:r>
      <w:r w:rsidRPr="00F632FB">
        <w:rPr>
          <w:sz w:val="26"/>
          <w:szCs w:val="26"/>
        </w:rPr>
        <w:t xml:space="preserve">which properties were subject to the sales agreement with Mr. Grebas.  I.D. at 15. </w:t>
      </w:r>
      <w:r w:rsidR="00F632FB">
        <w:rPr>
          <w:sz w:val="26"/>
          <w:szCs w:val="26"/>
        </w:rPr>
        <w:t xml:space="preserve"> The ALJ explained that </w:t>
      </w:r>
      <w:r w:rsidRPr="00F632FB">
        <w:rPr>
          <w:sz w:val="26"/>
          <w:szCs w:val="26"/>
        </w:rPr>
        <w:t>Mr. McGee argued</w:t>
      </w:r>
      <w:r w:rsidR="00CE0CAB">
        <w:rPr>
          <w:sz w:val="26"/>
          <w:szCs w:val="26"/>
        </w:rPr>
        <w:t xml:space="preserve"> i</w:t>
      </w:r>
      <w:r w:rsidR="00CE0CAB" w:rsidRPr="00F632FB">
        <w:rPr>
          <w:sz w:val="26"/>
          <w:szCs w:val="26"/>
        </w:rPr>
        <w:t>n his Main Brief</w:t>
      </w:r>
      <w:r w:rsidR="00CA1152">
        <w:rPr>
          <w:sz w:val="26"/>
          <w:szCs w:val="26"/>
        </w:rPr>
        <w:t xml:space="preserve"> that</w:t>
      </w:r>
      <w:r w:rsidRPr="00F632FB">
        <w:rPr>
          <w:sz w:val="26"/>
          <w:szCs w:val="26"/>
        </w:rPr>
        <w:t xml:space="preserve"> “</w:t>
      </w:r>
      <w:r w:rsidR="00CA1152">
        <w:rPr>
          <w:sz w:val="26"/>
          <w:szCs w:val="26"/>
        </w:rPr>
        <w:t>[t]</w:t>
      </w:r>
      <w:r w:rsidRPr="00F632FB">
        <w:rPr>
          <w:sz w:val="26"/>
          <w:szCs w:val="26"/>
        </w:rPr>
        <w:t xml:space="preserve">he record did show that Plaintiff was the “owner of record” of the properties but some of the properties were subject to an Installment Sales Agreement, whereby the Purchaser assumed any and all liability with respect to utility services.”  I.D. at 15 (citing Complainant’s M.B. at 1). </w:t>
      </w:r>
      <w:r w:rsidR="00F632FB">
        <w:rPr>
          <w:sz w:val="26"/>
          <w:szCs w:val="26"/>
        </w:rPr>
        <w:t xml:space="preserve"> Additionally, i</w:t>
      </w:r>
      <w:r w:rsidRPr="00F632FB">
        <w:rPr>
          <w:sz w:val="26"/>
          <w:szCs w:val="26"/>
        </w:rPr>
        <w:t>n his M</w:t>
      </w:r>
      <w:r w:rsidR="00F632FB">
        <w:rPr>
          <w:sz w:val="26"/>
          <w:szCs w:val="26"/>
        </w:rPr>
        <w:t>ain Brief</w:t>
      </w:r>
      <w:r w:rsidRPr="00F632FB">
        <w:rPr>
          <w:sz w:val="26"/>
          <w:szCs w:val="26"/>
        </w:rPr>
        <w:t xml:space="preserve">, Mr. McGee did not identify which of his properties were subject to a sales agreement. </w:t>
      </w:r>
      <w:r w:rsidR="00F632FB">
        <w:rPr>
          <w:sz w:val="26"/>
          <w:szCs w:val="26"/>
        </w:rPr>
        <w:t xml:space="preserve"> I.D. at 15.  Notwithstanding the foregoing</w:t>
      </w:r>
      <w:r w:rsidRPr="00F632FB">
        <w:rPr>
          <w:sz w:val="26"/>
          <w:szCs w:val="26"/>
        </w:rPr>
        <w:t xml:space="preserve">, </w:t>
      </w:r>
      <w:r w:rsidR="00F632FB">
        <w:rPr>
          <w:sz w:val="26"/>
          <w:szCs w:val="26"/>
        </w:rPr>
        <w:t xml:space="preserve">the ALJ stated that </w:t>
      </w:r>
      <w:r w:rsidRPr="00F632FB">
        <w:rPr>
          <w:sz w:val="26"/>
          <w:szCs w:val="26"/>
        </w:rPr>
        <w:t>whether any or all of the rental properties were subject to a sales agreement is irrelevant to the outcome of this case</w:t>
      </w:r>
      <w:r w:rsidR="00F632FB">
        <w:rPr>
          <w:sz w:val="26"/>
          <w:szCs w:val="26"/>
        </w:rPr>
        <w:t xml:space="preserve"> because </w:t>
      </w:r>
      <w:r w:rsidR="00705940">
        <w:rPr>
          <w:sz w:val="26"/>
          <w:szCs w:val="26"/>
        </w:rPr>
        <w:t>Section 1529.1 of the</w:t>
      </w:r>
      <w:r w:rsidRPr="00F632FB">
        <w:rPr>
          <w:sz w:val="26"/>
          <w:szCs w:val="26"/>
        </w:rPr>
        <w:t xml:space="preserve"> Code holds the owner of the property responsible for the service account when foreign wiring is found at a rental unit.</w:t>
      </w:r>
      <w:r w:rsidR="00F632FB">
        <w:rPr>
          <w:sz w:val="26"/>
          <w:szCs w:val="26"/>
        </w:rPr>
        <w:t xml:space="preserve">  I.D. at 15. </w:t>
      </w:r>
    </w:p>
    <w:p w:rsidR="00F632FB" w:rsidRPr="00F632FB" w:rsidRDefault="00F632FB" w:rsidP="00DF2CE9">
      <w:pPr>
        <w:widowControl/>
        <w:spacing w:line="360" w:lineRule="auto"/>
        <w:ind w:firstLine="1440"/>
        <w:rPr>
          <w:sz w:val="26"/>
          <w:szCs w:val="26"/>
        </w:rPr>
      </w:pPr>
    </w:p>
    <w:p w:rsidR="00F632FB" w:rsidRPr="000C2C37" w:rsidRDefault="00F632FB" w:rsidP="00DF2CE9">
      <w:pPr>
        <w:widowControl/>
        <w:spacing w:line="360" w:lineRule="auto"/>
        <w:ind w:firstLine="1440"/>
        <w:rPr>
          <w:sz w:val="26"/>
          <w:szCs w:val="26"/>
        </w:rPr>
      </w:pPr>
      <w:r w:rsidRPr="00F632FB">
        <w:rPr>
          <w:sz w:val="26"/>
          <w:szCs w:val="26"/>
        </w:rPr>
        <w:t>The ALJ further explained that there were discrepancies and conflicts in Mr.</w:t>
      </w:r>
      <w:r w:rsidR="00CA1152">
        <w:rPr>
          <w:sz w:val="26"/>
          <w:szCs w:val="26"/>
        </w:rPr>
        <w:t> </w:t>
      </w:r>
      <w:r w:rsidRPr="00F632FB">
        <w:rPr>
          <w:sz w:val="26"/>
          <w:szCs w:val="26"/>
        </w:rPr>
        <w:t>McGee’s testimony.  I.D. at 16.  Specifically, Mr. McGee initially testified he received notice of foreign loads at the rental properties and that he immediately took corrective action.  I.D. at 16 (citing Tr. at 19-20, 23, 27).  Mr. McGee also testified that PPL sent him forms to note the corrective action, and as a matter of course, he sent the forms to PPL.  I.D. at 16 (citing Tr. at 20).</w:t>
      </w:r>
      <w:r w:rsidR="00347832">
        <w:rPr>
          <w:sz w:val="26"/>
          <w:szCs w:val="26"/>
        </w:rPr>
        <w:t xml:space="preserve">  The Complainant</w:t>
      </w:r>
      <w:r>
        <w:rPr>
          <w:sz w:val="26"/>
          <w:szCs w:val="26"/>
        </w:rPr>
        <w:t xml:space="preserve"> testified that two tenants (Mr. John Hubler and Mr. Robert Martin) had been evicted and did not sign the forms</w:t>
      </w:r>
      <w:r w:rsidR="00D120A0">
        <w:rPr>
          <w:sz w:val="26"/>
          <w:szCs w:val="26"/>
        </w:rPr>
        <w:t xml:space="preserve"> to prove corrective action had been taken</w:t>
      </w:r>
      <w:r w:rsidR="00CA1152">
        <w:rPr>
          <w:sz w:val="26"/>
          <w:szCs w:val="26"/>
        </w:rPr>
        <w:t>,</w:t>
      </w:r>
      <w:r>
        <w:rPr>
          <w:sz w:val="26"/>
          <w:szCs w:val="26"/>
        </w:rPr>
        <w:t xml:space="preserve"> as requested by PPL.  He testified that a third tenant (Mr. Steve Bakum) signed the form</w:t>
      </w:r>
      <w:r w:rsidR="00D120A0">
        <w:rPr>
          <w:sz w:val="26"/>
          <w:szCs w:val="26"/>
        </w:rPr>
        <w:t xml:space="preserve"> that the foreign load had been </w:t>
      </w:r>
      <w:r w:rsidR="00F04413">
        <w:rPr>
          <w:sz w:val="26"/>
          <w:szCs w:val="26"/>
        </w:rPr>
        <w:t>corrected</w:t>
      </w:r>
      <w:r>
        <w:rPr>
          <w:sz w:val="26"/>
          <w:szCs w:val="26"/>
        </w:rPr>
        <w:t xml:space="preserve">, and that he returned it to PPL, but that he is still receiving bills from PPL for the rental unit.  I.D. at 16-17 (citations omitted).  Notwithstanding the foregoing, Mr. McGee also testified that it is his </w:t>
      </w:r>
      <w:r w:rsidRPr="000C2C37">
        <w:rPr>
          <w:sz w:val="26"/>
          <w:szCs w:val="26"/>
        </w:rPr>
        <w:t>position that there was no foreign load at the rental properties.  I.D. at</w:t>
      </w:r>
      <w:r w:rsidR="00002255">
        <w:rPr>
          <w:sz w:val="26"/>
          <w:szCs w:val="26"/>
        </w:rPr>
        <w:t> </w:t>
      </w:r>
      <w:r w:rsidRPr="000C2C37">
        <w:rPr>
          <w:sz w:val="26"/>
          <w:szCs w:val="26"/>
        </w:rPr>
        <w:t>1</w:t>
      </w:r>
      <w:r w:rsidR="000C2C37" w:rsidRPr="000C2C37">
        <w:rPr>
          <w:sz w:val="26"/>
          <w:szCs w:val="26"/>
        </w:rPr>
        <w:t>7</w:t>
      </w:r>
      <w:r w:rsidRPr="000C2C37">
        <w:rPr>
          <w:sz w:val="26"/>
          <w:szCs w:val="26"/>
        </w:rPr>
        <w:t xml:space="preserve"> (citing Tr. at 109).</w:t>
      </w:r>
    </w:p>
    <w:p w:rsidR="00036509" w:rsidRPr="000C2C37" w:rsidRDefault="00036509" w:rsidP="00DF2CE9">
      <w:pPr>
        <w:widowControl/>
        <w:spacing w:line="360" w:lineRule="auto"/>
        <w:ind w:firstLine="1440"/>
        <w:rPr>
          <w:sz w:val="26"/>
          <w:szCs w:val="26"/>
        </w:rPr>
      </w:pPr>
    </w:p>
    <w:p w:rsidR="000C2C37" w:rsidRPr="000C2C37" w:rsidRDefault="000C2C37" w:rsidP="008116A4">
      <w:pPr>
        <w:keepNext/>
        <w:keepLines/>
        <w:widowControl/>
        <w:spacing w:line="360" w:lineRule="auto"/>
        <w:ind w:firstLine="1440"/>
        <w:rPr>
          <w:sz w:val="26"/>
          <w:szCs w:val="26"/>
        </w:rPr>
      </w:pPr>
      <w:r w:rsidRPr="000C2C37">
        <w:rPr>
          <w:sz w:val="26"/>
          <w:szCs w:val="26"/>
        </w:rPr>
        <w:lastRenderedPageBreak/>
        <w:t xml:space="preserve">Additionally, the ALJ explained that Mr. McGee testified that PPL failed to provide him with itemized bills for the properties.  I.D. at 17 (citing Tr. at 17). </w:t>
      </w:r>
      <w:r w:rsidR="00002255">
        <w:rPr>
          <w:sz w:val="26"/>
          <w:szCs w:val="26"/>
        </w:rPr>
        <w:t xml:space="preserve"> </w:t>
      </w:r>
      <w:r w:rsidRPr="000C2C37">
        <w:rPr>
          <w:sz w:val="26"/>
          <w:szCs w:val="26"/>
        </w:rPr>
        <w:t xml:space="preserve">However, </w:t>
      </w:r>
      <w:r>
        <w:rPr>
          <w:sz w:val="26"/>
          <w:szCs w:val="26"/>
        </w:rPr>
        <w:t xml:space="preserve">the ALJ noted that </w:t>
      </w:r>
      <w:r w:rsidRPr="000C2C37">
        <w:rPr>
          <w:sz w:val="26"/>
          <w:szCs w:val="26"/>
        </w:rPr>
        <w:t xml:space="preserve">he attached copies of bills for the properties to his Complaint and testified that a collection agency provided him with the itemized bills. </w:t>
      </w:r>
      <w:r>
        <w:rPr>
          <w:sz w:val="26"/>
          <w:szCs w:val="26"/>
        </w:rPr>
        <w:t xml:space="preserve"> I.D. at 17 (citing Tr. at 17). </w:t>
      </w:r>
      <w:r>
        <w:rPr>
          <w:i/>
          <w:iCs/>
          <w:sz w:val="26"/>
          <w:szCs w:val="26"/>
        </w:rPr>
        <w:t xml:space="preserve"> </w:t>
      </w:r>
      <w:r>
        <w:rPr>
          <w:sz w:val="26"/>
          <w:szCs w:val="26"/>
        </w:rPr>
        <w:t>Mr. McGee</w:t>
      </w:r>
      <w:r w:rsidRPr="000C2C37">
        <w:rPr>
          <w:sz w:val="26"/>
          <w:szCs w:val="26"/>
        </w:rPr>
        <w:t xml:space="preserve"> claimed he was not the landlord for the rental </w:t>
      </w:r>
      <w:r w:rsidR="001160F4" w:rsidRPr="000C2C37">
        <w:rPr>
          <w:sz w:val="26"/>
          <w:szCs w:val="26"/>
        </w:rPr>
        <w:t>properties but</w:t>
      </w:r>
      <w:r w:rsidRPr="000C2C37">
        <w:rPr>
          <w:sz w:val="26"/>
          <w:szCs w:val="26"/>
        </w:rPr>
        <w:t xml:space="preserve"> testified that he evicted tenants. </w:t>
      </w:r>
      <w:r>
        <w:rPr>
          <w:sz w:val="26"/>
          <w:szCs w:val="26"/>
        </w:rPr>
        <w:t xml:space="preserve"> I.D. at 17 (citing </w:t>
      </w:r>
      <w:r w:rsidRPr="000C2C37">
        <w:rPr>
          <w:sz w:val="26"/>
          <w:szCs w:val="26"/>
        </w:rPr>
        <w:t xml:space="preserve">Tr. </w:t>
      </w:r>
      <w:r>
        <w:rPr>
          <w:sz w:val="26"/>
          <w:szCs w:val="26"/>
        </w:rPr>
        <w:t xml:space="preserve">at </w:t>
      </w:r>
      <w:r w:rsidRPr="000C2C37">
        <w:rPr>
          <w:sz w:val="26"/>
          <w:szCs w:val="26"/>
        </w:rPr>
        <w:t>19</w:t>
      </w:r>
      <w:r>
        <w:rPr>
          <w:sz w:val="26"/>
          <w:szCs w:val="26"/>
        </w:rPr>
        <w:t>)</w:t>
      </w:r>
      <w:r w:rsidRPr="000C2C37">
        <w:rPr>
          <w:sz w:val="26"/>
          <w:szCs w:val="26"/>
        </w:rPr>
        <w:t xml:space="preserve">. </w:t>
      </w:r>
      <w:r>
        <w:rPr>
          <w:sz w:val="26"/>
          <w:szCs w:val="26"/>
        </w:rPr>
        <w:t xml:space="preserve"> The ALJ concluded that </w:t>
      </w:r>
      <w:r w:rsidRPr="000C2C37">
        <w:rPr>
          <w:sz w:val="26"/>
          <w:szCs w:val="26"/>
        </w:rPr>
        <w:t>Mr. McGee’s conflicting testimony challenged his credibility.  The ALJ stated he was compelled to conclude that much of his testimony in relevant part lacked credibility.  I.D. at 17.</w:t>
      </w:r>
    </w:p>
    <w:p w:rsidR="000C2C37" w:rsidRPr="000C2C37" w:rsidRDefault="000C2C37" w:rsidP="00DF2CE9">
      <w:pPr>
        <w:widowControl/>
        <w:spacing w:line="360" w:lineRule="auto"/>
        <w:ind w:firstLine="1440"/>
        <w:rPr>
          <w:sz w:val="26"/>
          <w:szCs w:val="26"/>
        </w:rPr>
      </w:pPr>
    </w:p>
    <w:p w:rsidR="002869B5" w:rsidRDefault="000C2C37" w:rsidP="00DF2CE9">
      <w:pPr>
        <w:widowControl/>
        <w:spacing w:line="360" w:lineRule="auto"/>
        <w:ind w:firstLine="1440"/>
        <w:rPr>
          <w:sz w:val="26"/>
          <w:szCs w:val="26"/>
        </w:rPr>
      </w:pPr>
      <w:r w:rsidRPr="000C2C37">
        <w:rPr>
          <w:sz w:val="26"/>
          <w:szCs w:val="26"/>
        </w:rPr>
        <w:t>Furthermore, the ALJ explained that Mr. McGee testified, “I still continue to get bills every month for all the properties and account numbers in question.”  I.D. at</w:t>
      </w:r>
      <w:r w:rsidR="00002255">
        <w:rPr>
          <w:sz w:val="26"/>
          <w:szCs w:val="26"/>
        </w:rPr>
        <w:t> </w:t>
      </w:r>
      <w:r w:rsidRPr="000C2C37">
        <w:rPr>
          <w:sz w:val="26"/>
          <w:szCs w:val="26"/>
        </w:rPr>
        <w:t xml:space="preserve">17 (citing Tr. at 27).  Yet he did not offer any bills into evidence to establish the amount of the alleged incorrect charges. </w:t>
      </w:r>
      <w:r w:rsidR="00B40358">
        <w:rPr>
          <w:sz w:val="26"/>
          <w:szCs w:val="26"/>
        </w:rPr>
        <w:t xml:space="preserve"> </w:t>
      </w:r>
      <w:r w:rsidRPr="000C2C37">
        <w:rPr>
          <w:sz w:val="26"/>
          <w:szCs w:val="26"/>
        </w:rPr>
        <w:t>“Without getting into each specific bill,” Mr. McGee broadly testified that the bills were outrageous. I.D. at 17 (citing Tr. at 28). He estimated the bi</w:t>
      </w:r>
      <w:r w:rsidR="00705940">
        <w:rPr>
          <w:sz w:val="26"/>
          <w:szCs w:val="26"/>
        </w:rPr>
        <w:t>lls were in excess of $20,000</w:t>
      </w:r>
      <w:r w:rsidRPr="000C2C37">
        <w:rPr>
          <w:sz w:val="26"/>
          <w:szCs w:val="26"/>
        </w:rPr>
        <w:t>.  I.D. at 17-18.  Considering Mr. McGee’s testimony as a whole, the ALJ concluded that, at best, Mr. McGee’s testimony was vague and inconsistent.</w:t>
      </w:r>
      <w:r>
        <w:rPr>
          <w:sz w:val="26"/>
          <w:szCs w:val="26"/>
        </w:rPr>
        <w:t xml:space="preserve">  I.D. at 18.</w:t>
      </w:r>
    </w:p>
    <w:p w:rsidR="004F79E8" w:rsidRDefault="004F79E8" w:rsidP="00DF2CE9">
      <w:pPr>
        <w:widowControl/>
        <w:spacing w:line="360" w:lineRule="auto"/>
        <w:ind w:firstLine="1440"/>
        <w:rPr>
          <w:sz w:val="26"/>
          <w:szCs w:val="26"/>
        </w:rPr>
      </w:pPr>
    </w:p>
    <w:p w:rsidR="00C822ED" w:rsidRDefault="004F79E8" w:rsidP="00DF2CE9">
      <w:pPr>
        <w:widowControl/>
        <w:spacing w:line="360" w:lineRule="auto"/>
        <w:ind w:firstLine="1440"/>
        <w:rPr>
          <w:sz w:val="26"/>
          <w:szCs w:val="26"/>
        </w:rPr>
      </w:pPr>
      <w:r>
        <w:rPr>
          <w:sz w:val="26"/>
          <w:szCs w:val="26"/>
        </w:rPr>
        <w:t>The ALJ next examined PPL’s rebuttal evidence.  The ALJ explained that PPL’s witness, Mr. Hoffman, testified that he conducted investigations at the rental properties owned by Mr. McGee and upon discover</w:t>
      </w:r>
      <w:r w:rsidR="00C822ED">
        <w:rPr>
          <w:sz w:val="26"/>
          <w:szCs w:val="26"/>
        </w:rPr>
        <w:t xml:space="preserve">ing </w:t>
      </w:r>
      <w:r w:rsidR="00347832">
        <w:rPr>
          <w:sz w:val="26"/>
          <w:szCs w:val="26"/>
        </w:rPr>
        <w:t xml:space="preserve">the multiple </w:t>
      </w:r>
      <w:r w:rsidR="00C822ED">
        <w:rPr>
          <w:sz w:val="26"/>
          <w:szCs w:val="26"/>
        </w:rPr>
        <w:t>forei</w:t>
      </w:r>
      <w:r>
        <w:rPr>
          <w:sz w:val="26"/>
          <w:szCs w:val="26"/>
        </w:rPr>
        <w:t>g</w:t>
      </w:r>
      <w:r w:rsidR="00C822ED">
        <w:rPr>
          <w:sz w:val="26"/>
          <w:szCs w:val="26"/>
        </w:rPr>
        <w:t>n</w:t>
      </w:r>
      <w:r w:rsidR="00347832">
        <w:rPr>
          <w:sz w:val="26"/>
          <w:szCs w:val="26"/>
        </w:rPr>
        <w:t xml:space="preserve"> load</w:t>
      </w:r>
      <w:r>
        <w:rPr>
          <w:sz w:val="26"/>
          <w:szCs w:val="26"/>
        </w:rPr>
        <w:t>, PPL transferred account balances to Mr. McGee</w:t>
      </w:r>
      <w:r w:rsidR="00C822ED">
        <w:rPr>
          <w:sz w:val="26"/>
          <w:szCs w:val="26"/>
        </w:rPr>
        <w:t xml:space="preserve">.  I.D. at 18.  The </w:t>
      </w:r>
      <w:r>
        <w:rPr>
          <w:sz w:val="26"/>
          <w:szCs w:val="26"/>
        </w:rPr>
        <w:t>Table below</w:t>
      </w:r>
      <w:r w:rsidR="008C2D3B">
        <w:rPr>
          <w:sz w:val="26"/>
          <w:szCs w:val="26"/>
        </w:rPr>
        <w:t>, as shown as Table 2 in the Initial Decision,</w:t>
      </w:r>
      <w:r w:rsidR="00C822ED">
        <w:rPr>
          <w:sz w:val="26"/>
          <w:szCs w:val="26"/>
        </w:rPr>
        <w:t xml:space="preserve"> summarizes the date the foreign load was determined</w:t>
      </w:r>
      <w:r w:rsidR="00D41D41">
        <w:rPr>
          <w:sz w:val="26"/>
          <w:szCs w:val="26"/>
        </w:rPr>
        <w:t xml:space="preserve">, </w:t>
      </w:r>
      <w:r w:rsidR="00C822ED">
        <w:rPr>
          <w:sz w:val="26"/>
          <w:szCs w:val="26"/>
        </w:rPr>
        <w:t xml:space="preserve">the date the owner was notified and the amount that was transferred to the owner, as well as the date and amount of </w:t>
      </w:r>
      <w:r w:rsidR="00D41D41">
        <w:rPr>
          <w:sz w:val="26"/>
          <w:szCs w:val="26"/>
        </w:rPr>
        <w:t xml:space="preserve">the </w:t>
      </w:r>
      <w:r w:rsidR="00C822ED">
        <w:rPr>
          <w:sz w:val="26"/>
          <w:szCs w:val="26"/>
        </w:rPr>
        <w:t xml:space="preserve">account balance as of </w:t>
      </w:r>
      <w:r w:rsidR="00D41D41">
        <w:rPr>
          <w:sz w:val="26"/>
          <w:szCs w:val="26"/>
        </w:rPr>
        <w:t xml:space="preserve">the date of the </w:t>
      </w:r>
      <w:r w:rsidR="00C822ED">
        <w:rPr>
          <w:sz w:val="26"/>
          <w:szCs w:val="26"/>
        </w:rPr>
        <w:t>hearing</w:t>
      </w:r>
      <w:r>
        <w:rPr>
          <w:sz w:val="26"/>
          <w:szCs w:val="26"/>
        </w:rPr>
        <w:t>:</w:t>
      </w:r>
    </w:p>
    <w:p w:rsidR="00C822ED" w:rsidRPr="00D10D6F" w:rsidRDefault="00C822ED" w:rsidP="00DF2CE9">
      <w:pPr>
        <w:keepNext/>
        <w:keepLines/>
        <w:widowControl/>
        <w:spacing w:line="360" w:lineRule="auto"/>
      </w:pPr>
    </w:p>
    <w:tbl>
      <w:tblPr>
        <w:tblStyle w:val="TableGrid"/>
        <w:tblW w:w="0" w:type="auto"/>
        <w:tblInd w:w="108" w:type="dxa"/>
        <w:tblLook w:val="04A0" w:firstRow="1" w:lastRow="0" w:firstColumn="1" w:lastColumn="0" w:noHBand="0" w:noVBand="1"/>
      </w:tblPr>
      <w:tblGrid>
        <w:gridCol w:w="1741"/>
        <w:gridCol w:w="1502"/>
        <w:gridCol w:w="1242"/>
        <w:gridCol w:w="1584"/>
        <w:gridCol w:w="1748"/>
        <w:gridCol w:w="1425"/>
      </w:tblGrid>
      <w:tr w:rsidR="00C822ED" w:rsidRPr="00D10D6F" w:rsidTr="00A416C0">
        <w:tc>
          <w:tcPr>
            <w:tcW w:w="1800" w:type="dxa"/>
            <w:vAlign w:val="center"/>
          </w:tcPr>
          <w:p w:rsidR="00C822ED" w:rsidRPr="00D10D6F" w:rsidRDefault="00C822ED" w:rsidP="00DF2CE9">
            <w:pPr>
              <w:keepNext/>
              <w:keepLines/>
              <w:widowControl/>
            </w:pPr>
            <w:r w:rsidRPr="00D10D6F">
              <w:t>Service Addresses in Ashland, PA</w:t>
            </w:r>
          </w:p>
        </w:tc>
        <w:tc>
          <w:tcPr>
            <w:tcW w:w="1530" w:type="dxa"/>
            <w:vAlign w:val="center"/>
          </w:tcPr>
          <w:p w:rsidR="00C822ED" w:rsidRPr="00D10D6F" w:rsidRDefault="00C822ED" w:rsidP="00DF2CE9">
            <w:pPr>
              <w:keepNext/>
              <w:keepLines/>
              <w:widowControl/>
            </w:pPr>
            <w:r w:rsidRPr="00D10D6F">
              <w:t>Date Foreign Load Determined</w:t>
            </w:r>
          </w:p>
        </w:tc>
        <w:tc>
          <w:tcPr>
            <w:tcW w:w="1260" w:type="dxa"/>
            <w:vAlign w:val="center"/>
          </w:tcPr>
          <w:p w:rsidR="00C822ED" w:rsidRPr="00D10D6F" w:rsidRDefault="00C822ED" w:rsidP="00DF2CE9">
            <w:pPr>
              <w:keepNext/>
              <w:keepLines/>
              <w:widowControl/>
            </w:pPr>
            <w:r w:rsidRPr="00D10D6F">
              <w:t>Date Owner Notified</w:t>
            </w:r>
          </w:p>
        </w:tc>
        <w:tc>
          <w:tcPr>
            <w:tcW w:w="1620" w:type="dxa"/>
            <w:vAlign w:val="center"/>
          </w:tcPr>
          <w:p w:rsidR="00C822ED" w:rsidRPr="00D10D6F" w:rsidRDefault="00C822ED" w:rsidP="00DF2CE9">
            <w:pPr>
              <w:keepNext/>
              <w:keepLines/>
              <w:widowControl/>
            </w:pPr>
            <w:r w:rsidRPr="00D10D6F">
              <w:t>Amount Transferred to Owner</w:t>
            </w:r>
          </w:p>
        </w:tc>
        <w:tc>
          <w:tcPr>
            <w:tcW w:w="1800" w:type="dxa"/>
            <w:vAlign w:val="center"/>
          </w:tcPr>
          <w:p w:rsidR="00C822ED" w:rsidRPr="00D10D6F" w:rsidRDefault="00C822ED" w:rsidP="00DF2CE9">
            <w:pPr>
              <w:keepNext/>
              <w:keepLines/>
              <w:widowControl/>
            </w:pPr>
            <w:r w:rsidRPr="00D10D6F">
              <w:t>Date and Amount of Account Balance</w:t>
            </w:r>
          </w:p>
        </w:tc>
        <w:tc>
          <w:tcPr>
            <w:tcW w:w="1458" w:type="dxa"/>
            <w:vAlign w:val="center"/>
          </w:tcPr>
          <w:p w:rsidR="00C822ED" w:rsidRPr="00D10D6F" w:rsidRDefault="00C822ED" w:rsidP="00DF2CE9">
            <w:pPr>
              <w:keepNext/>
              <w:keepLines/>
              <w:widowControl/>
            </w:pPr>
            <w:r w:rsidRPr="00D10D6F">
              <w:t>Date and Amount of Last Billing</w:t>
            </w:r>
          </w:p>
        </w:tc>
      </w:tr>
      <w:tr w:rsidR="00C822ED" w:rsidRPr="00D10D6F" w:rsidTr="00A416C0">
        <w:tc>
          <w:tcPr>
            <w:tcW w:w="1800" w:type="dxa"/>
            <w:vAlign w:val="center"/>
          </w:tcPr>
          <w:p w:rsidR="00C822ED" w:rsidRPr="00D10D6F" w:rsidRDefault="00C822ED" w:rsidP="00DF2CE9">
            <w:pPr>
              <w:keepNext/>
              <w:keepLines/>
              <w:widowControl/>
            </w:pPr>
            <w:r w:rsidRPr="00D10D6F">
              <w:t>1001 Centre St.</w:t>
            </w:r>
          </w:p>
        </w:tc>
        <w:tc>
          <w:tcPr>
            <w:tcW w:w="1530" w:type="dxa"/>
            <w:vAlign w:val="center"/>
          </w:tcPr>
          <w:p w:rsidR="00C822ED" w:rsidRPr="00012C9D" w:rsidRDefault="00C822ED" w:rsidP="00DF2CE9">
            <w:pPr>
              <w:keepNext/>
              <w:keepLines/>
              <w:widowControl/>
            </w:pPr>
            <w:r w:rsidRPr="00012C9D">
              <w:t>12/14/2013</w:t>
            </w:r>
          </w:p>
        </w:tc>
        <w:tc>
          <w:tcPr>
            <w:tcW w:w="1260" w:type="dxa"/>
            <w:vAlign w:val="center"/>
          </w:tcPr>
          <w:p w:rsidR="00C822ED" w:rsidRPr="00012C9D" w:rsidRDefault="00C822ED" w:rsidP="00DF2CE9">
            <w:pPr>
              <w:keepNext/>
              <w:keepLines/>
              <w:widowControl/>
            </w:pPr>
            <w:r w:rsidRPr="00012C9D">
              <w:t>6/27/2014</w:t>
            </w:r>
          </w:p>
        </w:tc>
        <w:tc>
          <w:tcPr>
            <w:tcW w:w="1620" w:type="dxa"/>
            <w:vAlign w:val="center"/>
          </w:tcPr>
          <w:p w:rsidR="00C822ED" w:rsidRPr="00012C9D" w:rsidRDefault="00C822ED" w:rsidP="00DF2CE9">
            <w:pPr>
              <w:keepNext/>
              <w:keepLines/>
              <w:widowControl/>
            </w:pPr>
            <w:r w:rsidRPr="00012C9D">
              <w:t>$848.40</w:t>
            </w:r>
          </w:p>
        </w:tc>
        <w:tc>
          <w:tcPr>
            <w:tcW w:w="1800" w:type="dxa"/>
            <w:vAlign w:val="center"/>
          </w:tcPr>
          <w:p w:rsidR="00C822ED" w:rsidRPr="00D10D6F" w:rsidRDefault="00C822ED" w:rsidP="00DF2CE9">
            <w:pPr>
              <w:keepNext/>
              <w:keepLines/>
              <w:widowControl/>
              <w:jc w:val="center"/>
            </w:pPr>
            <w:r w:rsidRPr="00D10D6F">
              <w:t>9/8/2016</w:t>
            </w:r>
          </w:p>
          <w:p w:rsidR="00C822ED" w:rsidRPr="00D10D6F" w:rsidRDefault="00C822ED" w:rsidP="00DF2CE9">
            <w:pPr>
              <w:keepNext/>
              <w:keepLines/>
              <w:widowControl/>
              <w:jc w:val="center"/>
            </w:pPr>
            <w:r w:rsidRPr="00D10D6F">
              <w:t>$13,432.03</w:t>
            </w:r>
          </w:p>
        </w:tc>
        <w:tc>
          <w:tcPr>
            <w:tcW w:w="1458" w:type="dxa"/>
            <w:vAlign w:val="center"/>
          </w:tcPr>
          <w:p w:rsidR="00C822ED" w:rsidRPr="00D10D6F" w:rsidRDefault="00C822ED" w:rsidP="00DF2CE9">
            <w:pPr>
              <w:keepNext/>
              <w:keepLines/>
              <w:widowControl/>
            </w:pPr>
          </w:p>
        </w:tc>
      </w:tr>
      <w:tr w:rsidR="00C822ED" w:rsidRPr="00D10D6F" w:rsidTr="00A416C0">
        <w:tc>
          <w:tcPr>
            <w:tcW w:w="1800" w:type="dxa"/>
            <w:vAlign w:val="center"/>
          </w:tcPr>
          <w:p w:rsidR="00C822ED" w:rsidRPr="00D10D6F" w:rsidRDefault="00C822ED" w:rsidP="00DF2CE9">
            <w:pPr>
              <w:keepNext/>
              <w:keepLines/>
              <w:widowControl/>
            </w:pPr>
            <w:r w:rsidRPr="00D10D6F">
              <w:t>6 North 10</w:t>
            </w:r>
            <w:r w:rsidRPr="00D10D6F">
              <w:rPr>
                <w:vertAlign w:val="superscript"/>
              </w:rPr>
              <w:t>th</w:t>
            </w:r>
            <w:r w:rsidRPr="00D10D6F">
              <w:t xml:space="preserve"> St.</w:t>
            </w:r>
          </w:p>
          <w:p w:rsidR="00C822ED" w:rsidRPr="00D10D6F" w:rsidRDefault="00C822ED" w:rsidP="00DF2CE9">
            <w:pPr>
              <w:keepNext/>
              <w:keepLines/>
              <w:widowControl/>
            </w:pPr>
            <w:r w:rsidRPr="00D10D6F">
              <w:t>Apt. 2</w:t>
            </w:r>
            <w:r w:rsidRPr="00D10D6F">
              <w:rPr>
                <w:vertAlign w:val="superscript"/>
              </w:rPr>
              <w:t>nd</w:t>
            </w:r>
            <w:r w:rsidRPr="00D10D6F">
              <w:t xml:space="preserve"> Floor</w:t>
            </w:r>
          </w:p>
        </w:tc>
        <w:tc>
          <w:tcPr>
            <w:tcW w:w="1530" w:type="dxa"/>
            <w:vAlign w:val="center"/>
          </w:tcPr>
          <w:p w:rsidR="00C822ED" w:rsidRPr="00012C9D" w:rsidRDefault="00C822ED" w:rsidP="00DF2CE9">
            <w:pPr>
              <w:keepNext/>
              <w:keepLines/>
              <w:widowControl/>
            </w:pPr>
            <w:r w:rsidRPr="00012C9D">
              <w:t>12/14/2013</w:t>
            </w:r>
          </w:p>
        </w:tc>
        <w:tc>
          <w:tcPr>
            <w:tcW w:w="1260" w:type="dxa"/>
            <w:vAlign w:val="center"/>
          </w:tcPr>
          <w:p w:rsidR="00C822ED" w:rsidRPr="00012C9D" w:rsidRDefault="00C822ED" w:rsidP="00DF2CE9">
            <w:pPr>
              <w:keepNext/>
              <w:keepLines/>
              <w:widowControl/>
            </w:pPr>
            <w:r w:rsidRPr="00012C9D">
              <w:t>1/23/2015</w:t>
            </w:r>
          </w:p>
        </w:tc>
        <w:tc>
          <w:tcPr>
            <w:tcW w:w="1620" w:type="dxa"/>
            <w:vAlign w:val="center"/>
          </w:tcPr>
          <w:p w:rsidR="00C822ED" w:rsidRPr="00012C9D" w:rsidRDefault="00C822ED" w:rsidP="00DF2CE9">
            <w:pPr>
              <w:keepNext/>
              <w:keepLines/>
              <w:widowControl/>
            </w:pPr>
            <w:r w:rsidRPr="00012C9D">
              <w:t>$1,033.80</w:t>
            </w:r>
          </w:p>
        </w:tc>
        <w:tc>
          <w:tcPr>
            <w:tcW w:w="1800" w:type="dxa"/>
            <w:vAlign w:val="center"/>
          </w:tcPr>
          <w:p w:rsidR="00C822ED" w:rsidRPr="00D10D6F" w:rsidRDefault="00C822ED" w:rsidP="00DF2CE9">
            <w:pPr>
              <w:keepNext/>
              <w:keepLines/>
              <w:widowControl/>
              <w:jc w:val="center"/>
            </w:pPr>
            <w:r w:rsidRPr="00D10D6F">
              <w:t>9/8/2016</w:t>
            </w:r>
          </w:p>
          <w:p w:rsidR="00C822ED" w:rsidRPr="00D10D6F" w:rsidRDefault="00C822ED" w:rsidP="00DF2CE9">
            <w:pPr>
              <w:keepNext/>
              <w:keepLines/>
              <w:widowControl/>
              <w:jc w:val="center"/>
            </w:pPr>
            <w:r w:rsidRPr="00D10D6F">
              <w:t>$3,695.92</w:t>
            </w:r>
          </w:p>
        </w:tc>
        <w:tc>
          <w:tcPr>
            <w:tcW w:w="1458" w:type="dxa"/>
            <w:vAlign w:val="center"/>
          </w:tcPr>
          <w:p w:rsidR="00C822ED" w:rsidRPr="00D10D6F" w:rsidRDefault="00C822ED" w:rsidP="00DF2CE9">
            <w:pPr>
              <w:keepNext/>
              <w:keepLines/>
              <w:widowControl/>
            </w:pPr>
          </w:p>
        </w:tc>
      </w:tr>
      <w:tr w:rsidR="00C822ED" w:rsidRPr="00D10D6F" w:rsidTr="00A416C0">
        <w:tc>
          <w:tcPr>
            <w:tcW w:w="1800" w:type="dxa"/>
            <w:vAlign w:val="center"/>
          </w:tcPr>
          <w:p w:rsidR="00C822ED" w:rsidRPr="00D10D6F" w:rsidRDefault="00C822ED" w:rsidP="00DF2CE9">
            <w:pPr>
              <w:keepNext/>
              <w:keepLines/>
              <w:widowControl/>
            </w:pPr>
            <w:r w:rsidRPr="00D10D6F">
              <w:t>8 North 10</w:t>
            </w:r>
            <w:r w:rsidRPr="00D10D6F">
              <w:rPr>
                <w:vertAlign w:val="superscript"/>
              </w:rPr>
              <w:t>th</w:t>
            </w:r>
            <w:r w:rsidRPr="00D10D6F">
              <w:t xml:space="preserve"> St.</w:t>
            </w:r>
          </w:p>
          <w:p w:rsidR="00C822ED" w:rsidRPr="00D10D6F" w:rsidRDefault="00C822ED" w:rsidP="00DF2CE9">
            <w:pPr>
              <w:keepNext/>
              <w:keepLines/>
              <w:widowControl/>
            </w:pPr>
            <w:r w:rsidRPr="00D10D6F">
              <w:t>Apt. 3</w:t>
            </w:r>
            <w:r w:rsidRPr="00D10D6F">
              <w:rPr>
                <w:vertAlign w:val="superscript"/>
              </w:rPr>
              <w:t>rd</w:t>
            </w:r>
            <w:r w:rsidRPr="00D10D6F">
              <w:t xml:space="preserve"> Floor</w:t>
            </w:r>
          </w:p>
        </w:tc>
        <w:tc>
          <w:tcPr>
            <w:tcW w:w="1530" w:type="dxa"/>
            <w:vAlign w:val="center"/>
          </w:tcPr>
          <w:p w:rsidR="00C822ED" w:rsidRPr="00D10D6F" w:rsidRDefault="00C822ED" w:rsidP="00DF2CE9">
            <w:pPr>
              <w:keepNext/>
              <w:keepLines/>
              <w:widowControl/>
            </w:pPr>
            <w:r w:rsidRPr="00D10D6F">
              <w:t>1/3/2015</w:t>
            </w:r>
          </w:p>
        </w:tc>
        <w:tc>
          <w:tcPr>
            <w:tcW w:w="1260" w:type="dxa"/>
            <w:vAlign w:val="center"/>
          </w:tcPr>
          <w:p w:rsidR="00C822ED" w:rsidRPr="00D10D6F" w:rsidRDefault="00C822ED" w:rsidP="00DF2CE9">
            <w:pPr>
              <w:keepNext/>
              <w:keepLines/>
              <w:widowControl/>
            </w:pPr>
            <w:r w:rsidRPr="00D10D6F">
              <w:t>1/3/2015</w:t>
            </w:r>
          </w:p>
        </w:tc>
        <w:tc>
          <w:tcPr>
            <w:tcW w:w="1620" w:type="dxa"/>
            <w:vAlign w:val="center"/>
          </w:tcPr>
          <w:p w:rsidR="00C822ED" w:rsidRPr="00D10D6F" w:rsidRDefault="00C822ED" w:rsidP="00DF2CE9">
            <w:pPr>
              <w:keepNext/>
              <w:keepLines/>
              <w:widowControl/>
            </w:pPr>
            <w:r w:rsidRPr="00D10D6F">
              <w:t>$84.63</w:t>
            </w:r>
          </w:p>
        </w:tc>
        <w:tc>
          <w:tcPr>
            <w:tcW w:w="1800" w:type="dxa"/>
            <w:vAlign w:val="center"/>
          </w:tcPr>
          <w:p w:rsidR="00C822ED" w:rsidRPr="00D10D6F" w:rsidRDefault="00C822ED" w:rsidP="00DF2CE9">
            <w:pPr>
              <w:keepNext/>
              <w:keepLines/>
              <w:widowControl/>
              <w:jc w:val="center"/>
            </w:pPr>
            <w:r w:rsidRPr="00D10D6F">
              <w:t>12/7/</w:t>
            </w:r>
            <w:r>
              <w:t>20</w:t>
            </w:r>
            <w:r w:rsidRPr="00D10D6F">
              <w:t>16</w:t>
            </w:r>
          </w:p>
          <w:p w:rsidR="00C822ED" w:rsidRPr="00D10D6F" w:rsidRDefault="00C822ED" w:rsidP="00DF2CE9">
            <w:pPr>
              <w:keepNext/>
              <w:keepLines/>
              <w:widowControl/>
              <w:jc w:val="center"/>
            </w:pPr>
            <w:r w:rsidRPr="00D10D6F">
              <w:t>$1,172.87</w:t>
            </w:r>
          </w:p>
        </w:tc>
        <w:tc>
          <w:tcPr>
            <w:tcW w:w="1458" w:type="dxa"/>
            <w:vAlign w:val="center"/>
          </w:tcPr>
          <w:p w:rsidR="00C822ED" w:rsidRPr="00D10D6F" w:rsidRDefault="00C822ED" w:rsidP="00DF2CE9">
            <w:pPr>
              <w:keepNext/>
              <w:keepLines/>
              <w:widowControl/>
              <w:jc w:val="center"/>
            </w:pPr>
          </w:p>
        </w:tc>
      </w:tr>
      <w:tr w:rsidR="00C822ED" w:rsidRPr="00D10D6F" w:rsidTr="00A416C0">
        <w:tc>
          <w:tcPr>
            <w:tcW w:w="1800" w:type="dxa"/>
            <w:vAlign w:val="center"/>
          </w:tcPr>
          <w:p w:rsidR="00C822ED" w:rsidRPr="00D10D6F" w:rsidRDefault="00C822ED" w:rsidP="00DF2CE9">
            <w:pPr>
              <w:keepNext/>
              <w:keepLines/>
              <w:widowControl/>
            </w:pPr>
            <w:r w:rsidRPr="00D10D6F">
              <w:t>1100 Centre St.</w:t>
            </w:r>
          </w:p>
          <w:p w:rsidR="00C822ED" w:rsidRPr="00D10D6F" w:rsidRDefault="00C822ED" w:rsidP="00DF2CE9">
            <w:pPr>
              <w:keepNext/>
              <w:keepLines/>
              <w:widowControl/>
            </w:pPr>
            <w:r>
              <w:t>Apt.</w:t>
            </w:r>
            <w:r w:rsidRPr="00D10D6F">
              <w:t xml:space="preserve"> 2</w:t>
            </w:r>
          </w:p>
        </w:tc>
        <w:tc>
          <w:tcPr>
            <w:tcW w:w="1530" w:type="dxa"/>
            <w:vAlign w:val="center"/>
          </w:tcPr>
          <w:p w:rsidR="00C822ED" w:rsidRPr="00D10D6F" w:rsidRDefault="00C822ED" w:rsidP="00DF2CE9">
            <w:pPr>
              <w:keepNext/>
              <w:keepLines/>
              <w:widowControl/>
            </w:pPr>
            <w:r w:rsidRPr="00D10D6F">
              <w:t>6/3/2015</w:t>
            </w:r>
          </w:p>
        </w:tc>
        <w:tc>
          <w:tcPr>
            <w:tcW w:w="1260" w:type="dxa"/>
            <w:vAlign w:val="center"/>
          </w:tcPr>
          <w:p w:rsidR="00C822ED" w:rsidRPr="00D10D6F" w:rsidRDefault="00C822ED" w:rsidP="00DF2CE9">
            <w:pPr>
              <w:keepNext/>
              <w:keepLines/>
              <w:widowControl/>
            </w:pPr>
            <w:r w:rsidRPr="00D10D6F">
              <w:t>6/17/2015</w:t>
            </w:r>
          </w:p>
        </w:tc>
        <w:tc>
          <w:tcPr>
            <w:tcW w:w="1620" w:type="dxa"/>
            <w:vAlign w:val="center"/>
          </w:tcPr>
          <w:p w:rsidR="00C822ED" w:rsidRPr="00D10D6F" w:rsidRDefault="00C822ED" w:rsidP="00DF2CE9">
            <w:pPr>
              <w:keepNext/>
              <w:keepLines/>
              <w:widowControl/>
            </w:pPr>
            <w:r w:rsidRPr="00D10D6F">
              <w:t>$1,757.44</w:t>
            </w:r>
          </w:p>
        </w:tc>
        <w:tc>
          <w:tcPr>
            <w:tcW w:w="1800" w:type="dxa"/>
            <w:vAlign w:val="center"/>
          </w:tcPr>
          <w:p w:rsidR="00C822ED" w:rsidRPr="00D10D6F" w:rsidRDefault="00C822ED" w:rsidP="00DF2CE9">
            <w:pPr>
              <w:keepNext/>
              <w:keepLines/>
              <w:widowControl/>
              <w:jc w:val="center"/>
            </w:pPr>
          </w:p>
        </w:tc>
        <w:tc>
          <w:tcPr>
            <w:tcW w:w="1458" w:type="dxa"/>
            <w:vAlign w:val="center"/>
          </w:tcPr>
          <w:p w:rsidR="00C822ED" w:rsidRPr="00D10D6F" w:rsidRDefault="00C822ED" w:rsidP="00DF2CE9">
            <w:pPr>
              <w:keepNext/>
              <w:keepLines/>
              <w:widowControl/>
              <w:jc w:val="center"/>
            </w:pPr>
            <w:r w:rsidRPr="00D10D6F">
              <w:t>9/1/</w:t>
            </w:r>
            <w:r>
              <w:t>20</w:t>
            </w:r>
            <w:r w:rsidRPr="00D10D6F">
              <w:t>15</w:t>
            </w:r>
          </w:p>
          <w:p w:rsidR="00C822ED" w:rsidRPr="00D10D6F" w:rsidRDefault="00C822ED" w:rsidP="00DF2CE9">
            <w:pPr>
              <w:keepNext/>
              <w:keepLines/>
              <w:widowControl/>
              <w:jc w:val="center"/>
            </w:pPr>
            <w:r w:rsidRPr="00D10D6F">
              <w:t>$2,080.81</w:t>
            </w:r>
          </w:p>
        </w:tc>
      </w:tr>
      <w:tr w:rsidR="00C822ED" w:rsidRPr="00D10D6F" w:rsidTr="00A416C0">
        <w:tc>
          <w:tcPr>
            <w:tcW w:w="1800" w:type="dxa"/>
            <w:vAlign w:val="center"/>
          </w:tcPr>
          <w:p w:rsidR="00C822ED" w:rsidRPr="00D10D6F" w:rsidRDefault="00C822ED" w:rsidP="00DF2CE9">
            <w:pPr>
              <w:keepNext/>
              <w:keepLines/>
              <w:widowControl/>
            </w:pPr>
            <w:r w:rsidRPr="00D10D6F">
              <w:t>1100 Centre St.</w:t>
            </w:r>
          </w:p>
          <w:p w:rsidR="00C822ED" w:rsidRPr="00D10D6F" w:rsidRDefault="00C822ED" w:rsidP="00DF2CE9">
            <w:pPr>
              <w:keepNext/>
              <w:keepLines/>
              <w:widowControl/>
            </w:pPr>
            <w:r w:rsidRPr="00D10D6F">
              <w:t>Apt. 1</w:t>
            </w:r>
            <w:r w:rsidRPr="00D10D6F">
              <w:rPr>
                <w:vertAlign w:val="superscript"/>
              </w:rPr>
              <w:t>st</w:t>
            </w:r>
            <w:r w:rsidRPr="00D10D6F">
              <w:t xml:space="preserve"> Floor</w:t>
            </w:r>
          </w:p>
        </w:tc>
        <w:tc>
          <w:tcPr>
            <w:tcW w:w="1530" w:type="dxa"/>
            <w:vAlign w:val="center"/>
          </w:tcPr>
          <w:p w:rsidR="00C822ED" w:rsidRPr="00D10D6F" w:rsidRDefault="00C822ED" w:rsidP="00DF2CE9">
            <w:pPr>
              <w:keepNext/>
              <w:keepLines/>
              <w:widowControl/>
            </w:pPr>
            <w:r w:rsidRPr="00D10D6F">
              <w:t>6/3/2015</w:t>
            </w:r>
          </w:p>
        </w:tc>
        <w:tc>
          <w:tcPr>
            <w:tcW w:w="1260" w:type="dxa"/>
            <w:vAlign w:val="center"/>
          </w:tcPr>
          <w:p w:rsidR="00C822ED" w:rsidRPr="00D10D6F" w:rsidRDefault="00C822ED" w:rsidP="00DF2CE9">
            <w:pPr>
              <w:keepNext/>
              <w:keepLines/>
              <w:widowControl/>
            </w:pPr>
            <w:r w:rsidRPr="00D10D6F">
              <w:t>6/17/2015</w:t>
            </w:r>
          </w:p>
        </w:tc>
        <w:tc>
          <w:tcPr>
            <w:tcW w:w="1620" w:type="dxa"/>
            <w:vAlign w:val="center"/>
          </w:tcPr>
          <w:p w:rsidR="00C822ED" w:rsidRPr="00D10D6F" w:rsidRDefault="00C822ED" w:rsidP="00DF2CE9">
            <w:pPr>
              <w:keepNext/>
              <w:keepLines/>
              <w:widowControl/>
            </w:pPr>
            <w:r w:rsidRPr="00D10D6F">
              <w:t>$3,702.01</w:t>
            </w:r>
          </w:p>
        </w:tc>
        <w:tc>
          <w:tcPr>
            <w:tcW w:w="1800" w:type="dxa"/>
            <w:vAlign w:val="center"/>
          </w:tcPr>
          <w:p w:rsidR="00C822ED" w:rsidRPr="00D10D6F" w:rsidRDefault="00C822ED" w:rsidP="00DF2CE9">
            <w:pPr>
              <w:keepNext/>
              <w:keepLines/>
              <w:widowControl/>
              <w:jc w:val="center"/>
            </w:pPr>
          </w:p>
        </w:tc>
        <w:tc>
          <w:tcPr>
            <w:tcW w:w="1458" w:type="dxa"/>
            <w:vAlign w:val="center"/>
          </w:tcPr>
          <w:p w:rsidR="00C822ED" w:rsidRPr="00D10D6F" w:rsidRDefault="00C822ED" w:rsidP="00DF2CE9">
            <w:pPr>
              <w:keepNext/>
              <w:keepLines/>
              <w:widowControl/>
              <w:jc w:val="center"/>
            </w:pPr>
            <w:r w:rsidRPr="00D10D6F">
              <w:t>8/28/</w:t>
            </w:r>
            <w:r>
              <w:t>20</w:t>
            </w:r>
            <w:r w:rsidRPr="00D10D6F">
              <w:t>15</w:t>
            </w:r>
          </w:p>
          <w:p w:rsidR="00C822ED" w:rsidRPr="00D10D6F" w:rsidRDefault="00C822ED" w:rsidP="00DF2CE9">
            <w:pPr>
              <w:keepNext/>
              <w:keepLines/>
              <w:widowControl/>
              <w:jc w:val="center"/>
            </w:pPr>
            <w:r w:rsidRPr="00D10D6F">
              <w:t>$3,829.61</w:t>
            </w:r>
          </w:p>
        </w:tc>
      </w:tr>
    </w:tbl>
    <w:p w:rsidR="00C822ED" w:rsidRPr="00601801" w:rsidRDefault="00C822ED" w:rsidP="00DF2CE9">
      <w:pPr>
        <w:keepNext/>
        <w:keepLines/>
        <w:widowControl/>
        <w:spacing w:line="360" w:lineRule="auto"/>
        <w:rPr>
          <w:sz w:val="26"/>
          <w:szCs w:val="26"/>
        </w:rPr>
      </w:pPr>
    </w:p>
    <w:p w:rsidR="00C822ED" w:rsidRPr="00601801" w:rsidRDefault="00C822ED" w:rsidP="00DF2CE9">
      <w:pPr>
        <w:widowControl/>
        <w:spacing w:line="360" w:lineRule="auto"/>
        <w:rPr>
          <w:sz w:val="26"/>
          <w:szCs w:val="26"/>
        </w:rPr>
      </w:pPr>
      <w:r w:rsidRPr="00601801">
        <w:rPr>
          <w:sz w:val="26"/>
          <w:szCs w:val="26"/>
        </w:rPr>
        <w:t>I.D. at 18.</w:t>
      </w:r>
    </w:p>
    <w:p w:rsidR="00C822ED" w:rsidRPr="00601801" w:rsidRDefault="00C822ED" w:rsidP="00DF2CE9">
      <w:pPr>
        <w:widowControl/>
        <w:spacing w:line="360" w:lineRule="auto"/>
        <w:rPr>
          <w:sz w:val="26"/>
          <w:szCs w:val="26"/>
        </w:rPr>
      </w:pPr>
    </w:p>
    <w:p w:rsidR="000C2C37" w:rsidRDefault="00C822ED" w:rsidP="00DF2CE9">
      <w:pPr>
        <w:widowControl/>
        <w:spacing w:line="360" w:lineRule="auto"/>
        <w:ind w:firstLine="1440"/>
        <w:rPr>
          <w:sz w:val="26"/>
          <w:szCs w:val="26"/>
        </w:rPr>
      </w:pPr>
      <w:r w:rsidRPr="00C822ED">
        <w:rPr>
          <w:sz w:val="26"/>
          <w:szCs w:val="26"/>
        </w:rPr>
        <w:t>The ALJ explained that PPL’s position is that</w:t>
      </w:r>
      <w:r w:rsidR="00601801">
        <w:rPr>
          <w:sz w:val="26"/>
          <w:szCs w:val="26"/>
        </w:rPr>
        <w:t xml:space="preserve"> it was </w:t>
      </w:r>
      <w:r w:rsidR="00601801" w:rsidRPr="00C822ED">
        <w:rPr>
          <w:sz w:val="26"/>
          <w:szCs w:val="26"/>
        </w:rPr>
        <w:t xml:space="preserve">required to place the service account in </w:t>
      </w:r>
      <w:r w:rsidR="00601801">
        <w:rPr>
          <w:sz w:val="26"/>
          <w:szCs w:val="26"/>
        </w:rPr>
        <w:t xml:space="preserve">Mr. McGee’s </w:t>
      </w:r>
      <w:r w:rsidR="00601801" w:rsidRPr="00C822ED">
        <w:rPr>
          <w:sz w:val="26"/>
          <w:szCs w:val="26"/>
        </w:rPr>
        <w:t>name</w:t>
      </w:r>
      <w:r w:rsidRPr="00C822ED">
        <w:rPr>
          <w:sz w:val="26"/>
          <w:szCs w:val="26"/>
        </w:rPr>
        <w:t xml:space="preserve">, upon finding foreign wiring at Mr. McGee’s properties, notwithstanding Mr. McGee’s claim that he was not the landlord. </w:t>
      </w:r>
      <w:r w:rsidR="00A731DA">
        <w:rPr>
          <w:sz w:val="26"/>
          <w:szCs w:val="26"/>
        </w:rPr>
        <w:t xml:space="preserve"> I.D. at 18 (citing </w:t>
      </w:r>
      <w:r w:rsidRPr="00C822ED">
        <w:rPr>
          <w:sz w:val="26"/>
          <w:szCs w:val="26"/>
        </w:rPr>
        <w:t xml:space="preserve">Tr. </w:t>
      </w:r>
      <w:r w:rsidR="00A731DA">
        <w:rPr>
          <w:sz w:val="26"/>
          <w:szCs w:val="26"/>
        </w:rPr>
        <w:t xml:space="preserve">at </w:t>
      </w:r>
      <w:r w:rsidRPr="00C822ED">
        <w:rPr>
          <w:sz w:val="26"/>
          <w:szCs w:val="26"/>
        </w:rPr>
        <w:t>89</w:t>
      </w:r>
      <w:r w:rsidR="00A731DA">
        <w:rPr>
          <w:sz w:val="26"/>
          <w:szCs w:val="26"/>
        </w:rPr>
        <w:t>)</w:t>
      </w:r>
      <w:r w:rsidRPr="00C822ED">
        <w:rPr>
          <w:sz w:val="26"/>
          <w:szCs w:val="26"/>
        </w:rPr>
        <w:t xml:space="preserve">. </w:t>
      </w:r>
      <w:r w:rsidR="00A731DA">
        <w:rPr>
          <w:sz w:val="26"/>
          <w:szCs w:val="26"/>
        </w:rPr>
        <w:t xml:space="preserve"> </w:t>
      </w:r>
      <w:r w:rsidRPr="00C822ED">
        <w:rPr>
          <w:sz w:val="26"/>
          <w:szCs w:val="26"/>
        </w:rPr>
        <w:t xml:space="preserve">Mr. Hoffman </w:t>
      </w:r>
      <w:r w:rsidR="00A731DA">
        <w:rPr>
          <w:sz w:val="26"/>
          <w:szCs w:val="26"/>
        </w:rPr>
        <w:t xml:space="preserve">testified </w:t>
      </w:r>
      <w:r w:rsidRPr="00C822ED">
        <w:rPr>
          <w:sz w:val="26"/>
          <w:szCs w:val="26"/>
        </w:rPr>
        <w:t>that alth</w:t>
      </w:r>
      <w:r w:rsidR="00347832">
        <w:rPr>
          <w:sz w:val="26"/>
          <w:szCs w:val="26"/>
        </w:rPr>
        <w:t>ough notice of the foreign load</w:t>
      </w:r>
      <w:r w:rsidRPr="00C822ED">
        <w:rPr>
          <w:sz w:val="26"/>
          <w:szCs w:val="26"/>
        </w:rPr>
        <w:t xml:space="preserve"> at 1001 Centre Street and 6 North 10th Street, Apartment 2nd Floor</w:t>
      </w:r>
      <w:r w:rsidR="00A41075">
        <w:rPr>
          <w:sz w:val="26"/>
          <w:szCs w:val="26"/>
        </w:rPr>
        <w:t>,</w:t>
      </w:r>
      <w:r w:rsidRPr="00C822ED">
        <w:rPr>
          <w:sz w:val="26"/>
          <w:szCs w:val="26"/>
        </w:rPr>
        <w:t xml:space="preserve"> were initially sent to Mr.</w:t>
      </w:r>
      <w:r w:rsidR="00A41075">
        <w:rPr>
          <w:sz w:val="26"/>
          <w:szCs w:val="26"/>
        </w:rPr>
        <w:t> </w:t>
      </w:r>
      <w:r w:rsidRPr="00C822ED">
        <w:rPr>
          <w:sz w:val="26"/>
          <w:szCs w:val="26"/>
        </w:rPr>
        <w:t>Grebas, Mr. McGee, by statute, rem</w:t>
      </w:r>
      <w:r w:rsidR="00A731DA">
        <w:rPr>
          <w:sz w:val="26"/>
          <w:szCs w:val="26"/>
        </w:rPr>
        <w:t xml:space="preserve">ained responsible as the owner.  I.D. at 18 (citing Tr. at 89).  </w:t>
      </w:r>
      <w:r w:rsidRPr="00C822ED">
        <w:rPr>
          <w:sz w:val="26"/>
          <w:szCs w:val="26"/>
        </w:rPr>
        <w:t xml:space="preserve">Mr. Hoffman further explained </w:t>
      </w:r>
      <w:r w:rsidR="008C2D3B">
        <w:rPr>
          <w:sz w:val="26"/>
          <w:szCs w:val="26"/>
        </w:rPr>
        <w:t xml:space="preserve">that </w:t>
      </w:r>
      <w:r w:rsidRPr="00C822ED">
        <w:rPr>
          <w:sz w:val="26"/>
          <w:szCs w:val="26"/>
        </w:rPr>
        <w:t>when a tenant complains of a foreign load and PPL cannot gain access to the utility’s facility</w:t>
      </w:r>
      <w:r w:rsidR="008C2D3B">
        <w:rPr>
          <w:sz w:val="26"/>
          <w:szCs w:val="26"/>
        </w:rPr>
        <w:t>,</w:t>
      </w:r>
      <w:r w:rsidRPr="00C822ED">
        <w:rPr>
          <w:sz w:val="26"/>
          <w:szCs w:val="26"/>
        </w:rPr>
        <w:t xml:space="preserve"> a non-access letter is sent to the property owner. </w:t>
      </w:r>
      <w:r w:rsidR="008C2D3B">
        <w:rPr>
          <w:sz w:val="26"/>
          <w:szCs w:val="26"/>
        </w:rPr>
        <w:t xml:space="preserve"> </w:t>
      </w:r>
      <w:r w:rsidRPr="00C822ED">
        <w:rPr>
          <w:sz w:val="26"/>
          <w:szCs w:val="26"/>
        </w:rPr>
        <w:t xml:space="preserve">Afterwards the service account is placed in the name of the owner. </w:t>
      </w:r>
      <w:r w:rsidR="00A731DA">
        <w:rPr>
          <w:sz w:val="26"/>
          <w:szCs w:val="26"/>
        </w:rPr>
        <w:t xml:space="preserve"> I.D. at</w:t>
      </w:r>
      <w:r w:rsidR="00A41075">
        <w:rPr>
          <w:sz w:val="26"/>
          <w:szCs w:val="26"/>
        </w:rPr>
        <w:t> </w:t>
      </w:r>
      <w:r w:rsidR="00A731DA">
        <w:rPr>
          <w:sz w:val="26"/>
          <w:szCs w:val="26"/>
        </w:rPr>
        <w:t xml:space="preserve">18 (citing </w:t>
      </w:r>
      <w:r w:rsidRPr="00C822ED">
        <w:rPr>
          <w:sz w:val="26"/>
          <w:szCs w:val="26"/>
        </w:rPr>
        <w:t xml:space="preserve">Tr. </w:t>
      </w:r>
      <w:r w:rsidR="00A731DA">
        <w:rPr>
          <w:sz w:val="26"/>
          <w:szCs w:val="26"/>
        </w:rPr>
        <w:t xml:space="preserve">at </w:t>
      </w:r>
      <w:r w:rsidRPr="00C822ED">
        <w:rPr>
          <w:sz w:val="26"/>
          <w:szCs w:val="26"/>
        </w:rPr>
        <w:t>56-57</w:t>
      </w:r>
      <w:r w:rsidR="00A731DA">
        <w:rPr>
          <w:sz w:val="26"/>
          <w:szCs w:val="26"/>
        </w:rPr>
        <w:t>)</w:t>
      </w:r>
      <w:r w:rsidRPr="00C822ED">
        <w:rPr>
          <w:sz w:val="26"/>
          <w:szCs w:val="26"/>
        </w:rPr>
        <w:t xml:space="preserve">. </w:t>
      </w:r>
      <w:r w:rsidR="00A731DA">
        <w:rPr>
          <w:sz w:val="26"/>
          <w:szCs w:val="26"/>
        </w:rPr>
        <w:t xml:space="preserve"> </w:t>
      </w:r>
      <w:r w:rsidRPr="00C822ED">
        <w:rPr>
          <w:sz w:val="26"/>
          <w:szCs w:val="26"/>
        </w:rPr>
        <w:t xml:space="preserve">This was done with respect to the property at 8 North 10th </w:t>
      </w:r>
      <w:r w:rsidR="00A731DA">
        <w:rPr>
          <w:sz w:val="26"/>
          <w:szCs w:val="26"/>
        </w:rPr>
        <w:t xml:space="preserve">Street.  I.D. at 18 (citing </w:t>
      </w:r>
      <w:r w:rsidR="00A731DA" w:rsidRPr="00C822ED">
        <w:rPr>
          <w:sz w:val="26"/>
          <w:szCs w:val="26"/>
        </w:rPr>
        <w:t xml:space="preserve">Tr. </w:t>
      </w:r>
      <w:r w:rsidR="00A731DA">
        <w:rPr>
          <w:sz w:val="26"/>
          <w:szCs w:val="26"/>
        </w:rPr>
        <w:t xml:space="preserve">at </w:t>
      </w:r>
      <w:r w:rsidR="00A731DA" w:rsidRPr="00C822ED">
        <w:rPr>
          <w:sz w:val="26"/>
          <w:szCs w:val="26"/>
        </w:rPr>
        <w:t>56-57</w:t>
      </w:r>
      <w:r w:rsidR="00A731DA">
        <w:rPr>
          <w:sz w:val="26"/>
          <w:szCs w:val="26"/>
        </w:rPr>
        <w:t>)</w:t>
      </w:r>
      <w:r w:rsidR="00A731DA" w:rsidRPr="00C822ED">
        <w:rPr>
          <w:sz w:val="26"/>
          <w:szCs w:val="26"/>
        </w:rPr>
        <w:t xml:space="preserve">. </w:t>
      </w:r>
      <w:r w:rsidR="00A731DA">
        <w:rPr>
          <w:sz w:val="26"/>
          <w:szCs w:val="26"/>
        </w:rPr>
        <w:t xml:space="preserve"> </w:t>
      </w:r>
      <w:r w:rsidRPr="00C822ED">
        <w:rPr>
          <w:sz w:val="26"/>
          <w:szCs w:val="26"/>
        </w:rPr>
        <w:t>Mr. McGee confirmed that he did not grant PPL access to his properties, and some areas of his properties were locked</w:t>
      </w:r>
      <w:r w:rsidR="008C2D3B">
        <w:rPr>
          <w:sz w:val="26"/>
          <w:szCs w:val="26"/>
        </w:rPr>
        <w:t>,</w:t>
      </w:r>
      <w:r w:rsidRPr="00C822ED">
        <w:rPr>
          <w:sz w:val="26"/>
          <w:szCs w:val="26"/>
        </w:rPr>
        <w:t xml:space="preserve"> thereby preventing access. </w:t>
      </w:r>
      <w:r w:rsidR="00A731DA">
        <w:rPr>
          <w:sz w:val="26"/>
          <w:szCs w:val="26"/>
        </w:rPr>
        <w:t xml:space="preserve"> I.D. at 18 (citing </w:t>
      </w:r>
      <w:r w:rsidR="00A731DA" w:rsidRPr="00C822ED">
        <w:rPr>
          <w:sz w:val="26"/>
          <w:szCs w:val="26"/>
        </w:rPr>
        <w:t xml:space="preserve">Tr. </w:t>
      </w:r>
      <w:r w:rsidR="00A731DA">
        <w:rPr>
          <w:sz w:val="26"/>
          <w:szCs w:val="26"/>
        </w:rPr>
        <w:t>at 18</w:t>
      </w:r>
      <w:r w:rsidR="00A731DA" w:rsidRPr="00A731DA">
        <w:rPr>
          <w:sz w:val="26"/>
          <w:szCs w:val="26"/>
        </w:rPr>
        <w:t>).  PPL concluded that the subject rental properties will remain in Mr. McGe</w:t>
      </w:r>
      <w:r w:rsidR="00347832">
        <w:rPr>
          <w:sz w:val="26"/>
          <w:szCs w:val="26"/>
        </w:rPr>
        <w:t>e’s name until the foreign load conditions are</w:t>
      </w:r>
      <w:r w:rsidR="00A731DA" w:rsidRPr="00A731DA">
        <w:rPr>
          <w:sz w:val="26"/>
          <w:szCs w:val="26"/>
        </w:rPr>
        <w:t xml:space="preserve"> remedied.  I.D. at 18.</w:t>
      </w:r>
    </w:p>
    <w:p w:rsidR="00A731DA" w:rsidRDefault="00A731DA" w:rsidP="00DF2CE9">
      <w:pPr>
        <w:widowControl/>
        <w:spacing w:line="360" w:lineRule="auto"/>
        <w:ind w:firstLine="1440"/>
        <w:rPr>
          <w:sz w:val="26"/>
          <w:szCs w:val="26"/>
        </w:rPr>
      </w:pPr>
    </w:p>
    <w:p w:rsidR="00A731DA" w:rsidRPr="00A731DA" w:rsidRDefault="00A731DA" w:rsidP="00DF2CE9">
      <w:pPr>
        <w:widowControl/>
        <w:spacing w:line="360" w:lineRule="auto"/>
        <w:ind w:firstLine="1440"/>
        <w:rPr>
          <w:sz w:val="26"/>
          <w:szCs w:val="26"/>
        </w:rPr>
      </w:pPr>
      <w:r w:rsidRPr="00A731DA">
        <w:rPr>
          <w:sz w:val="26"/>
          <w:szCs w:val="26"/>
        </w:rPr>
        <w:t xml:space="preserve">The ALJ noted that Mr. McGee did not offer any documentary evidence to </w:t>
      </w:r>
      <w:r w:rsidR="00347832">
        <w:rPr>
          <w:sz w:val="26"/>
          <w:szCs w:val="26"/>
        </w:rPr>
        <w:t>establish that the foreign load conditions</w:t>
      </w:r>
      <w:r w:rsidRPr="00A731DA">
        <w:rPr>
          <w:sz w:val="26"/>
          <w:szCs w:val="26"/>
        </w:rPr>
        <w:t xml:space="preserve"> had been corrected, and further noted that Mr. McGee admitted that he is the owner of the rental units.  Importantly, the ALJ explained, </w:t>
      </w:r>
      <w:r w:rsidRPr="00A731DA">
        <w:rPr>
          <w:sz w:val="26"/>
          <w:szCs w:val="26"/>
        </w:rPr>
        <w:lastRenderedPageBreak/>
        <w:t xml:space="preserve">the statute is very clear: All of the tenant’s account balance, including arrearages, must be transferred to the property owner until the foreign load is corrected.  I.D. at 19 (citing </w:t>
      </w:r>
      <w:r w:rsidRPr="00A731DA">
        <w:rPr>
          <w:i/>
          <w:sz w:val="26"/>
          <w:szCs w:val="26"/>
        </w:rPr>
        <w:t>Kopf</w:t>
      </w:r>
      <w:r w:rsidRPr="00A731DA">
        <w:rPr>
          <w:sz w:val="26"/>
          <w:szCs w:val="26"/>
        </w:rPr>
        <w:t xml:space="preserve">). </w:t>
      </w:r>
    </w:p>
    <w:p w:rsidR="00A731DA" w:rsidRPr="00A731DA" w:rsidRDefault="00A731DA" w:rsidP="00DF2CE9">
      <w:pPr>
        <w:widowControl/>
        <w:spacing w:line="360" w:lineRule="auto"/>
        <w:ind w:firstLine="1440"/>
        <w:rPr>
          <w:sz w:val="26"/>
          <w:szCs w:val="26"/>
        </w:rPr>
      </w:pPr>
    </w:p>
    <w:p w:rsidR="00966D15" w:rsidRDefault="00A731DA" w:rsidP="00DF2CE9">
      <w:pPr>
        <w:widowControl/>
        <w:spacing w:line="360" w:lineRule="auto"/>
        <w:ind w:firstLine="1440"/>
        <w:rPr>
          <w:sz w:val="26"/>
          <w:szCs w:val="26"/>
        </w:rPr>
      </w:pPr>
      <w:r w:rsidRPr="00A731DA">
        <w:rPr>
          <w:sz w:val="26"/>
          <w:szCs w:val="26"/>
        </w:rPr>
        <w:t xml:space="preserve">Considering the Findings of Fact, applicable statutory provisions and his analysis, the ALJ stated that he is compelled to conclude that Mr. McGee failed to establish that there are incorrect charges on his bill and that PPL improperly transferred tenant accounts to his name. I.D. at 19.  Therefore, Mr. McGee failed to carry his burden of proving that PPL in some manner violated the provisions of the Code, the Commission’s regulations or an order in the course of billing him for the tenants’ </w:t>
      </w:r>
      <w:r w:rsidR="00A416C0">
        <w:rPr>
          <w:sz w:val="26"/>
          <w:szCs w:val="26"/>
        </w:rPr>
        <w:t>electric</w:t>
      </w:r>
      <w:r w:rsidR="00A416C0">
        <w:rPr>
          <w:rStyle w:val="FootnoteReference"/>
          <w:sz w:val="26"/>
          <w:szCs w:val="26"/>
        </w:rPr>
        <w:footnoteReference w:id="7"/>
      </w:r>
      <w:r w:rsidR="00A416C0">
        <w:rPr>
          <w:sz w:val="26"/>
          <w:szCs w:val="26"/>
        </w:rPr>
        <w:t xml:space="preserve"> </w:t>
      </w:r>
      <w:r w:rsidRPr="00A731DA">
        <w:rPr>
          <w:sz w:val="26"/>
          <w:szCs w:val="26"/>
        </w:rPr>
        <w:t>usage at the service address. 66 Pa.</w:t>
      </w:r>
      <w:r w:rsidR="00135F03">
        <w:rPr>
          <w:sz w:val="26"/>
          <w:szCs w:val="26"/>
        </w:rPr>
        <w:t xml:space="preserve"> </w:t>
      </w:r>
      <w:r w:rsidRPr="00A731DA">
        <w:rPr>
          <w:sz w:val="26"/>
          <w:szCs w:val="26"/>
        </w:rPr>
        <w:t>C</w:t>
      </w:r>
      <w:r w:rsidR="00135F03">
        <w:rPr>
          <w:sz w:val="26"/>
          <w:szCs w:val="26"/>
        </w:rPr>
        <w:t>.S.</w:t>
      </w:r>
      <w:r w:rsidRPr="00A731DA">
        <w:rPr>
          <w:sz w:val="26"/>
          <w:szCs w:val="26"/>
        </w:rPr>
        <w:t xml:space="preserve"> § 332(a).  I.D. at 19-20.  Accordingly, the ALJ ruled to dismiss the Complaint.  I.D. at 20.</w:t>
      </w:r>
    </w:p>
    <w:p w:rsidR="00135F03" w:rsidRDefault="00135F03" w:rsidP="00DF2CE9">
      <w:pPr>
        <w:widowControl/>
        <w:spacing w:line="360" w:lineRule="auto"/>
        <w:ind w:firstLine="1440"/>
        <w:rPr>
          <w:sz w:val="26"/>
          <w:szCs w:val="26"/>
        </w:rPr>
      </w:pPr>
    </w:p>
    <w:p w:rsidR="00880C6F" w:rsidRDefault="00ED60FB" w:rsidP="00DF2CE9">
      <w:pPr>
        <w:pStyle w:val="ListParagraph"/>
        <w:keepNext/>
        <w:keepLines/>
        <w:widowControl/>
        <w:numPr>
          <w:ilvl w:val="0"/>
          <w:numId w:val="10"/>
        </w:numPr>
        <w:spacing w:line="360" w:lineRule="auto"/>
        <w:contextualSpacing w:val="0"/>
        <w:rPr>
          <w:rFonts w:eastAsia="Calibri"/>
          <w:b/>
          <w:sz w:val="26"/>
          <w:szCs w:val="26"/>
        </w:rPr>
      </w:pPr>
      <w:r w:rsidRPr="00CF63A2">
        <w:rPr>
          <w:rFonts w:eastAsia="Calibri"/>
          <w:b/>
          <w:sz w:val="26"/>
          <w:szCs w:val="26"/>
        </w:rPr>
        <w:t>Exceptions</w:t>
      </w:r>
      <w:r w:rsidR="00704D22">
        <w:rPr>
          <w:rFonts w:eastAsia="Calibri"/>
          <w:b/>
          <w:sz w:val="26"/>
          <w:szCs w:val="26"/>
        </w:rPr>
        <w:t xml:space="preserve">, </w:t>
      </w:r>
      <w:r w:rsidR="00EC4322">
        <w:rPr>
          <w:rFonts w:eastAsia="Calibri"/>
          <w:b/>
          <w:sz w:val="26"/>
          <w:szCs w:val="26"/>
        </w:rPr>
        <w:t>Replies</w:t>
      </w:r>
      <w:r w:rsidR="00704D22">
        <w:rPr>
          <w:rFonts w:eastAsia="Calibri"/>
          <w:b/>
          <w:sz w:val="26"/>
          <w:szCs w:val="26"/>
        </w:rPr>
        <w:t xml:space="preserve"> and Disposition Related Thereto</w:t>
      </w:r>
      <w:r w:rsidR="00EC4322">
        <w:rPr>
          <w:rFonts w:eastAsia="Calibri"/>
          <w:b/>
          <w:sz w:val="26"/>
          <w:szCs w:val="26"/>
        </w:rPr>
        <w:t xml:space="preserve"> </w:t>
      </w:r>
    </w:p>
    <w:p w:rsidR="00EC4322" w:rsidRDefault="00EC4322" w:rsidP="00DF2CE9">
      <w:pPr>
        <w:widowControl/>
        <w:spacing w:line="360" w:lineRule="auto"/>
        <w:rPr>
          <w:rFonts w:eastAsia="Calibri"/>
          <w:sz w:val="26"/>
          <w:szCs w:val="26"/>
        </w:rPr>
      </w:pPr>
    </w:p>
    <w:p w:rsidR="008F7585" w:rsidRDefault="00EC4322" w:rsidP="00DF2CE9">
      <w:pPr>
        <w:widowControl/>
        <w:spacing w:line="360" w:lineRule="auto"/>
        <w:ind w:firstLine="1440"/>
        <w:rPr>
          <w:rFonts w:eastAsia="Calibri"/>
          <w:sz w:val="26"/>
          <w:szCs w:val="26"/>
        </w:rPr>
      </w:pPr>
      <w:r w:rsidRPr="00880C6F">
        <w:rPr>
          <w:rFonts w:eastAsia="Calibri"/>
          <w:sz w:val="26"/>
          <w:szCs w:val="26"/>
        </w:rPr>
        <w:t>The Comp</w:t>
      </w:r>
      <w:r w:rsidR="008F7585">
        <w:rPr>
          <w:rFonts w:eastAsia="Calibri"/>
          <w:sz w:val="26"/>
          <w:szCs w:val="26"/>
        </w:rPr>
        <w:t xml:space="preserve">lainant filed three Exceptions, </w:t>
      </w:r>
      <w:r w:rsidR="00663B46">
        <w:rPr>
          <w:rFonts w:eastAsia="Calibri"/>
          <w:sz w:val="26"/>
          <w:szCs w:val="26"/>
        </w:rPr>
        <w:t>requesting</w:t>
      </w:r>
      <w:r w:rsidR="008F7585">
        <w:rPr>
          <w:rFonts w:eastAsia="Calibri"/>
          <w:sz w:val="26"/>
          <w:szCs w:val="26"/>
        </w:rPr>
        <w:t xml:space="preserve"> that the Commission either provide the Complainant the relief requested therein (as discussed further below) or remand the matter to the ALJ to take additional testimony.  In its Replies, PPL requests that the Commission deny the Complainant</w:t>
      </w:r>
      <w:r w:rsidR="00663B46">
        <w:rPr>
          <w:rFonts w:eastAsia="Calibri"/>
          <w:sz w:val="26"/>
          <w:szCs w:val="26"/>
        </w:rPr>
        <w:t>’</w:t>
      </w:r>
      <w:r w:rsidR="008F7585">
        <w:rPr>
          <w:rFonts w:eastAsia="Calibri"/>
          <w:sz w:val="26"/>
          <w:szCs w:val="26"/>
        </w:rPr>
        <w:t>s Exceptions.</w:t>
      </w:r>
    </w:p>
    <w:p w:rsidR="008F7585" w:rsidRDefault="008F7585" w:rsidP="00DF2CE9">
      <w:pPr>
        <w:widowControl/>
        <w:spacing w:line="360" w:lineRule="auto"/>
        <w:ind w:firstLine="1440"/>
        <w:rPr>
          <w:rFonts w:eastAsia="Calibri"/>
          <w:sz w:val="26"/>
          <w:szCs w:val="26"/>
        </w:rPr>
      </w:pPr>
    </w:p>
    <w:p w:rsidR="00EC4322" w:rsidRPr="00EC4322" w:rsidRDefault="00EC4322" w:rsidP="00DF2CE9">
      <w:pPr>
        <w:widowControl/>
        <w:spacing w:line="360" w:lineRule="auto"/>
        <w:ind w:firstLine="1440"/>
        <w:rPr>
          <w:sz w:val="26"/>
          <w:szCs w:val="26"/>
        </w:rPr>
      </w:pPr>
      <w:r w:rsidRPr="00EC4322">
        <w:rPr>
          <w:sz w:val="26"/>
          <w:szCs w:val="26"/>
        </w:rPr>
        <w:t xml:space="preserve">As a preliminary matter, we note that we are not required to consider expressly or at length each contention or argument raised by the parties.  </w:t>
      </w:r>
      <w:hyperlink r:id="rId8" w:history="1">
        <w:r w:rsidRPr="00EC4322">
          <w:rPr>
            <w:rStyle w:val="Emphasis"/>
            <w:color w:val="000000"/>
            <w:sz w:val="26"/>
            <w:szCs w:val="26"/>
          </w:rPr>
          <w:t xml:space="preserve">Consolidated Rail Corp. v. Pa. PUC, </w:t>
        </w:r>
        <w:r w:rsidRPr="00EC4322">
          <w:rPr>
            <w:rStyle w:val="Hyperlink"/>
            <w:color w:val="000000"/>
            <w:sz w:val="26"/>
            <w:szCs w:val="26"/>
            <w:u w:val="none"/>
          </w:rPr>
          <w:t>625 A.2d 741 (Pa. Cmwlth. 1993);</w:t>
        </w:r>
      </w:hyperlink>
      <w:r w:rsidRPr="00EC4322">
        <w:rPr>
          <w:color w:val="000000"/>
          <w:sz w:val="26"/>
          <w:szCs w:val="26"/>
        </w:rPr>
        <w:t xml:space="preserve"> </w:t>
      </w:r>
      <w:r w:rsidRPr="00EC4322">
        <w:rPr>
          <w:i/>
          <w:color w:val="000000"/>
          <w:sz w:val="26"/>
          <w:szCs w:val="26"/>
        </w:rPr>
        <w:t xml:space="preserve">also </w:t>
      </w:r>
      <w:r w:rsidRPr="00EC4322">
        <w:rPr>
          <w:rStyle w:val="Emphasis"/>
          <w:color w:val="000000"/>
          <w:sz w:val="26"/>
          <w:szCs w:val="26"/>
        </w:rPr>
        <w:t xml:space="preserve">see, generally, </w:t>
      </w:r>
      <w:hyperlink r:id="rId9" w:history="1">
        <w:r w:rsidRPr="00EC4322">
          <w:rPr>
            <w:rStyle w:val="Emphasis"/>
            <w:color w:val="000000"/>
            <w:sz w:val="26"/>
            <w:szCs w:val="26"/>
          </w:rPr>
          <w:t>University of Pennsylvania v. Pa. PUC</w:t>
        </w:r>
        <w:r w:rsidRPr="00EC4322">
          <w:rPr>
            <w:rStyle w:val="Hyperlink"/>
            <w:color w:val="000000"/>
            <w:sz w:val="26"/>
            <w:szCs w:val="26"/>
            <w:u w:val="none"/>
          </w:rPr>
          <w:t>, 485 A.2d 1217 (Pa. Cmwlth. 1984).</w:t>
        </w:r>
      </w:hyperlink>
      <w:r w:rsidRPr="00EC4322">
        <w:rPr>
          <w:rStyle w:val="Hyperlink"/>
          <w:color w:val="000000"/>
          <w:sz w:val="26"/>
          <w:szCs w:val="26"/>
          <w:u w:val="none"/>
        </w:rPr>
        <w:t xml:space="preserve">  Therefore,</w:t>
      </w:r>
      <w:r w:rsidRPr="00EC4322">
        <w:rPr>
          <w:sz w:val="26"/>
          <w:szCs w:val="26"/>
        </w:rPr>
        <w:t xml:space="preserve"> any issue that we did not specifically address or delineate in this Order shall be deemed to have been duly considered and denied without further discussion.</w:t>
      </w:r>
    </w:p>
    <w:p w:rsidR="003C583F" w:rsidRPr="00EC4322" w:rsidRDefault="003C583F" w:rsidP="00DF2CE9">
      <w:pPr>
        <w:widowControl/>
        <w:spacing w:line="360" w:lineRule="auto"/>
        <w:rPr>
          <w:rFonts w:eastAsia="Calibri"/>
          <w:b/>
          <w:sz w:val="26"/>
          <w:szCs w:val="26"/>
        </w:rPr>
      </w:pPr>
    </w:p>
    <w:p w:rsidR="00880C6F" w:rsidRDefault="00880C6F" w:rsidP="00DF2CE9">
      <w:pPr>
        <w:pStyle w:val="ListParagraph"/>
        <w:keepNext/>
        <w:keepLines/>
        <w:widowControl/>
        <w:numPr>
          <w:ilvl w:val="1"/>
          <w:numId w:val="10"/>
        </w:numPr>
        <w:spacing w:line="360" w:lineRule="auto"/>
        <w:contextualSpacing w:val="0"/>
        <w:rPr>
          <w:rFonts w:eastAsia="Calibri"/>
          <w:b/>
          <w:sz w:val="26"/>
          <w:szCs w:val="26"/>
        </w:rPr>
      </w:pPr>
      <w:r>
        <w:rPr>
          <w:rFonts w:eastAsia="Calibri"/>
          <w:b/>
          <w:sz w:val="26"/>
          <w:szCs w:val="26"/>
        </w:rPr>
        <w:t>Exception No. 1</w:t>
      </w:r>
    </w:p>
    <w:p w:rsidR="00880C6F" w:rsidRDefault="00880C6F" w:rsidP="00DF2CE9">
      <w:pPr>
        <w:keepNext/>
        <w:keepLines/>
        <w:widowControl/>
        <w:spacing w:line="360" w:lineRule="auto"/>
        <w:ind w:firstLine="1440"/>
        <w:rPr>
          <w:rFonts w:eastAsia="Calibri"/>
          <w:sz w:val="26"/>
          <w:szCs w:val="26"/>
        </w:rPr>
      </w:pPr>
    </w:p>
    <w:p w:rsidR="00880C6F" w:rsidRDefault="00EC4322" w:rsidP="00DF2CE9">
      <w:pPr>
        <w:widowControl/>
        <w:spacing w:line="360" w:lineRule="auto"/>
        <w:ind w:firstLine="1440"/>
        <w:rPr>
          <w:rFonts w:eastAsia="Calibri"/>
          <w:sz w:val="26"/>
          <w:szCs w:val="26"/>
        </w:rPr>
      </w:pPr>
      <w:r>
        <w:rPr>
          <w:rFonts w:eastAsia="Calibri"/>
          <w:sz w:val="26"/>
          <w:szCs w:val="26"/>
        </w:rPr>
        <w:t>The Complainant’s first</w:t>
      </w:r>
      <w:r w:rsidR="00880C6F" w:rsidRPr="00880C6F">
        <w:rPr>
          <w:rFonts w:eastAsia="Calibri"/>
          <w:sz w:val="26"/>
          <w:szCs w:val="26"/>
        </w:rPr>
        <w:t xml:space="preserve"> Exception </w:t>
      </w:r>
      <w:r>
        <w:rPr>
          <w:rFonts w:eastAsia="Calibri"/>
          <w:sz w:val="26"/>
          <w:szCs w:val="26"/>
        </w:rPr>
        <w:t xml:space="preserve">appears to except to the ALJ’s typographical error on pages 19-20 of the Initial Decision and argues that because the ALJ used the word </w:t>
      </w:r>
      <w:r w:rsidR="001B244F">
        <w:rPr>
          <w:rFonts w:eastAsia="Calibri"/>
          <w:sz w:val="26"/>
          <w:szCs w:val="26"/>
        </w:rPr>
        <w:t>“</w:t>
      </w:r>
      <w:r>
        <w:rPr>
          <w:rFonts w:eastAsia="Calibri"/>
          <w:sz w:val="26"/>
          <w:szCs w:val="26"/>
        </w:rPr>
        <w:t>gas</w:t>
      </w:r>
      <w:r w:rsidR="001B244F">
        <w:rPr>
          <w:rFonts w:eastAsia="Calibri"/>
          <w:sz w:val="26"/>
          <w:szCs w:val="26"/>
        </w:rPr>
        <w:t>”</w:t>
      </w:r>
      <w:r>
        <w:rPr>
          <w:rFonts w:eastAsia="Calibri"/>
          <w:sz w:val="26"/>
          <w:szCs w:val="26"/>
        </w:rPr>
        <w:t xml:space="preserve"> rather than </w:t>
      </w:r>
      <w:r w:rsidR="001B244F">
        <w:rPr>
          <w:rFonts w:eastAsia="Calibri"/>
          <w:sz w:val="26"/>
          <w:szCs w:val="26"/>
        </w:rPr>
        <w:t>“</w:t>
      </w:r>
      <w:r>
        <w:rPr>
          <w:rFonts w:eastAsia="Calibri"/>
          <w:sz w:val="26"/>
          <w:szCs w:val="26"/>
        </w:rPr>
        <w:t>electric</w:t>
      </w:r>
      <w:r w:rsidR="001B244F">
        <w:rPr>
          <w:rFonts w:eastAsia="Calibri"/>
          <w:sz w:val="26"/>
          <w:szCs w:val="26"/>
        </w:rPr>
        <w:t>”</w:t>
      </w:r>
      <w:r>
        <w:rPr>
          <w:rFonts w:eastAsia="Calibri"/>
          <w:sz w:val="26"/>
          <w:szCs w:val="26"/>
        </w:rPr>
        <w:t xml:space="preserve"> that the ALJ was not giving the correct ruling to the facts of this case and may have confused facts from other matters pending before him.   </w:t>
      </w:r>
      <w:r w:rsidR="00E079C2">
        <w:rPr>
          <w:rFonts w:eastAsia="Calibri"/>
          <w:sz w:val="26"/>
          <w:szCs w:val="26"/>
        </w:rPr>
        <w:t>In its Replies, PPL argues</w:t>
      </w:r>
      <w:r w:rsidR="00663B46">
        <w:rPr>
          <w:rFonts w:eastAsia="Calibri"/>
          <w:sz w:val="26"/>
          <w:szCs w:val="26"/>
        </w:rPr>
        <w:t xml:space="preserve"> that</w:t>
      </w:r>
      <w:r w:rsidR="00E079C2">
        <w:rPr>
          <w:rFonts w:eastAsia="Calibri"/>
          <w:sz w:val="26"/>
          <w:szCs w:val="26"/>
        </w:rPr>
        <w:t xml:space="preserve"> when the Initial Decision is read in its entirety, </w:t>
      </w:r>
      <w:r w:rsidR="001B244F">
        <w:rPr>
          <w:rFonts w:eastAsia="Calibri"/>
          <w:sz w:val="26"/>
          <w:szCs w:val="26"/>
        </w:rPr>
        <w:t>it is clear the</w:t>
      </w:r>
      <w:r w:rsidR="00E079C2">
        <w:rPr>
          <w:rFonts w:eastAsia="Calibri"/>
          <w:sz w:val="26"/>
          <w:szCs w:val="26"/>
        </w:rPr>
        <w:t xml:space="preserve"> error was just a simple </w:t>
      </w:r>
      <w:r w:rsidR="001B244F">
        <w:rPr>
          <w:rFonts w:eastAsia="Calibri"/>
          <w:sz w:val="26"/>
          <w:szCs w:val="26"/>
        </w:rPr>
        <w:t>typographical error.</w:t>
      </w:r>
      <w:r w:rsidR="00E079C2">
        <w:rPr>
          <w:rFonts w:eastAsia="Calibri"/>
          <w:sz w:val="26"/>
          <w:szCs w:val="26"/>
        </w:rPr>
        <w:t xml:space="preserve">  </w:t>
      </w:r>
    </w:p>
    <w:p w:rsidR="00704D22" w:rsidRDefault="00704D22" w:rsidP="00DF2CE9">
      <w:pPr>
        <w:widowControl/>
        <w:spacing w:line="360" w:lineRule="auto"/>
        <w:ind w:firstLine="1440"/>
        <w:rPr>
          <w:rFonts w:eastAsia="Calibri"/>
          <w:sz w:val="26"/>
          <w:szCs w:val="26"/>
        </w:rPr>
      </w:pPr>
    </w:p>
    <w:p w:rsidR="00704D22" w:rsidRPr="00704D22" w:rsidRDefault="00704D22" w:rsidP="00DF2CE9">
      <w:pPr>
        <w:widowControl/>
        <w:spacing w:line="360" w:lineRule="auto"/>
        <w:ind w:firstLine="1440"/>
        <w:rPr>
          <w:rFonts w:eastAsia="Calibri"/>
          <w:b/>
          <w:sz w:val="26"/>
          <w:szCs w:val="26"/>
          <w:u w:val="single"/>
        </w:rPr>
      </w:pPr>
      <w:r w:rsidRPr="00704D22">
        <w:rPr>
          <w:rFonts w:eastAsia="Calibri"/>
          <w:b/>
          <w:sz w:val="26"/>
          <w:szCs w:val="26"/>
          <w:u w:val="single"/>
        </w:rPr>
        <w:t>Disposition</w:t>
      </w:r>
    </w:p>
    <w:p w:rsidR="00880C6F" w:rsidRDefault="00880C6F" w:rsidP="00DF2CE9">
      <w:pPr>
        <w:keepNext/>
        <w:keepLines/>
        <w:widowControl/>
        <w:spacing w:line="360" w:lineRule="auto"/>
        <w:rPr>
          <w:rFonts w:eastAsia="Calibri"/>
          <w:b/>
          <w:sz w:val="26"/>
          <w:szCs w:val="26"/>
        </w:rPr>
      </w:pPr>
    </w:p>
    <w:p w:rsidR="00704D22" w:rsidRDefault="00704D22" w:rsidP="00DF2CE9">
      <w:pPr>
        <w:widowControl/>
        <w:spacing w:line="360" w:lineRule="auto"/>
        <w:ind w:firstLine="1440"/>
        <w:rPr>
          <w:rFonts w:eastAsia="Calibri"/>
          <w:sz w:val="26"/>
          <w:szCs w:val="26"/>
        </w:rPr>
      </w:pPr>
      <w:r>
        <w:rPr>
          <w:rFonts w:eastAsia="Calibri"/>
          <w:sz w:val="26"/>
          <w:szCs w:val="26"/>
        </w:rPr>
        <w:t xml:space="preserve">As for the Complainant’s first Exception, the typographical error referred to in the Complainants Exceptions </w:t>
      </w:r>
      <w:r w:rsidRPr="00880C6F">
        <w:rPr>
          <w:rFonts w:eastAsia="Calibri"/>
          <w:sz w:val="26"/>
          <w:szCs w:val="26"/>
        </w:rPr>
        <w:t>is</w:t>
      </w:r>
      <w:r>
        <w:rPr>
          <w:rFonts w:eastAsia="Calibri"/>
          <w:sz w:val="26"/>
          <w:szCs w:val="26"/>
        </w:rPr>
        <w:t xml:space="preserve"> sufficiently</w:t>
      </w:r>
      <w:r w:rsidRPr="00880C6F">
        <w:rPr>
          <w:rFonts w:eastAsia="Calibri"/>
          <w:sz w:val="26"/>
          <w:szCs w:val="26"/>
        </w:rPr>
        <w:t xml:space="preserve"> addressed by footnote six in this</w:t>
      </w:r>
      <w:r w:rsidR="00347832">
        <w:rPr>
          <w:rFonts w:eastAsia="Calibri"/>
          <w:sz w:val="26"/>
          <w:szCs w:val="26"/>
        </w:rPr>
        <w:t xml:space="preserve"> Opinion and</w:t>
      </w:r>
      <w:r w:rsidRPr="00880C6F">
        <w:rPr>
          <w:rFonts w:eastAsia="Calibri"/>
          <w:sz w:val="26"/>
          <w:szCs w:val="26"/>
        </w:rPr>
        <w:t xml:space="preserve"> Order</w:t>
      </w:r>
      <w:r>
        <w:rPr>
          <w:rFonts w:eastAsia="Calibri"/>
          <w:sz w:val="26"/>
          <w:szCs w:val="26"/>
        </w:rPr>
        <w:t xml:space="preserve">.  We agree with PPL’s Replies that it is quite clear that when the Initial Decision is read in its entirety, that this error was just a simple typographical error appearing a single time.  Accordingly, </w:t>
      </w:r>
      <w:r w:rsidRPr="00880C6F">
        <w:rPr>
          <w:rFonts w:eastAsia="Calibri"/>
          <w:sz w:val="26"/>
          <w:szCs w:val="26"/>
        </w:rPr>
        <w:t xml:space="preserve">we will </w:t>
      </w:r>
      <w:r>
        <w:rPr>
          <w:rFonts w:eastAsia="Calibri"/>
          <w:sz w:val="26"/>
          <w:szCs w:val="26"/>
        </w:rPr>
        <w:t>devote no further attention to it</w:t>
      </w:r>
      <w:r w:rsidRPr="00880C6F">
        <w:rPr>
          <w:rFonts w:eastAsia="Calibri"/>
          <w:sz w:val="26"/>
          <w:szCs w:val="26"/>
        </w:rPr>
        <w:t xml:space="preserve"> in this </w:t>
      </w:r>
      <w:r w:rsidR="00347832">
        <w:rPr>
          <w:rFonts w:eastAsia="Calibri"/>
          <w:sz w:val="26"/>
          <w:szCs w:val="26"/>
        </w:rPr>
        <w:t xml:space="preserve">Opinion and </w:t>
      </w:r>
      <w:r w:rsidRPr="00880C6F">
        <w:rPr>
          <w:rFonts w:eastAsia="Calibri"/>
          <w:sz w:val="26"/>
          <w:szCs w:val="26"/>
        </w:rPr>
        <w:t xml:space="preserve">Order. </w:t>
      </w:r>
      <w:r>
        <w:rPr>
          <w:rFonts w:eastAsia="Calibri"/>
          <w:sz w:val="26"/>
          <w:szCs w:val="26"/>
        </w:rPr>
        <w:t xml:space="preserve"> Therefore, the Complainant’s first Exception is denied.</w:t>
      </w:r>
    </w:p>
    <w:p w:rsidR="00704D22" w:rsidRPr="00880C6F" w:rsidRDefault="00704D22" w:rsidP="00DF2CE9">
      <w:pPr>
        <w:keepNext/>
        <w:keepLines/>
        <w:widowControl/>
        <w:spacing w:line="360" w:lineRule="auto"/>
        <w:rPr>
          <w:rFonts w:eastAsia="Calibri"/>
          <w:b/>
          <w:sz w:val="26"/>
          <w:szCs w:val="26"/>
        </w:rPr>
      </w:pPr>
    </w:p>
    <w:p w:rsidR="00880C6F" w:rsidRDefault="00880C6F" w:rsidP="00DF2CE9">
      <w:pPr>
        <w:pStyle w:val="ListParagraph"/>
        <w:keepNext/>
        <w:keepLines/>
        <w:widowControl/>
        <w:numPr>
          <w:ilvl w:val="1"/>
          <w:numId w:val="10"/>
        </w:numPr>
        <w:spacing w:line="360" w:lineRule="auto"/>
        <w:contextualSpacing w:val="0"/>
        <w:rPr>
          <w:rFonts w:eastAsia="Calibri"/>
          <w:b/>
          <w:sz w:val="26"/>
          <w:szCs w:val="26"/>
        </w:rPr>
      </w:pPr>
      <w:r>
        <w:rPr>
          <w:rFonts w:eastAsia="Calibri"/>
          <w:b/>
          <w:sz w:val="26"/>
          <w:szCs w:val="26"/>
        </w:rPr>
        <w:t>Exception No. 2</w:t>
      </w:r>
    </w:p>
    <w:p w:rsidR="00880C6F" w:rsidRDefault="00880C6F" w:rsidP="00DF2CE9">
      <w:pPr>
        <w:widowControl/>
        <w:spacing w:line="360" w:lineRule="auto"/>
        <w:rPr>
          <w:rFonts w:eastAsia="Calibri"/>
          <w:sz w:val="26"/>
          <w:szCs w:val="26"/>
        </w:rPr>
      </w:pPr>
    </w:p>
    <w:p w:rsidR="00880C6F" w:rsidRPr="00880C6F" w:rsidRDefault="00880C6F" w:rsidP="00DF2CE9">
      <w:pPr>
        <w:widowControl/>
        <w:spacing w:line="360" w:lineRule="auto"/>
        <w:ind w:firstLine="1440"/>
        <w:rPr>
          <w:rFonts w:eastAsia="Calibri"/>
          <w:sz w:val="26"/>
          <w:szCs w:val="26"/>
        </w:rPr>
      </w:pPr>
      <w:r w:rsidRPr="00880C6F">
        <w:rPr>
          <w:rFonts w:eastAsia="Calibri"/>
          <w:sz w:val="26"/>
          <w:szCs w:val="26"/>
        </w:rPr>
        <w:t>In his second Exception, the Complainant argues that the ALJ imposed an additional duty on the consumer landlord (that does not exist under existing applicable law) to prove information in the possession of the utility that the foreign load was corrected.  Exc. at 2 (citing I.D. at 19).  The Complainant explains that he testified that on</w:t>
      </w:r>
      <w:r w:rsidR="0068752B">
        <w:rPr>
          <w:rFonts w:eastAsia="Calibri"/>
          <w:sz w:val="26"/>
          <w:szCs w:val="26"/>
        </w:rPr>
        <w:t>c</w:t>
      </w:r>
      <w:r w:rsidRPr="00880C6F">
        <w:rPr>
          <w:rFonts w:eastAsia="Calibri"/>
          <w:sz w:val="26"/>
          <w:szCs w:val="26"/>
        </w:rPr>
        <w:t xml:space="preserve">e he received notice of the foreign load, he rectified the problem, notified PPL and then waited for the utility to either change the billing back to the tenant or inspect the property.  Exc. at 3 (citing Tr. at 28).  The Complainant argues that the Code only requires that the foreign load be fixed and that the notification of such be sent to the </w:t>
      </w:r>
      <w:r w:rsidRPr="00880C6F">
        <w:rPr>
          <w:rFonts w:eastAsia="Calibri"/>
          <w:sz w:val="26"/>
          <w:szCs w:val="26"/>
        </w:rPr>
        <w:lastRenderedPageBreak/>
        <w:t>utility.  The Complainant further argues that there is no obligation under applicable law for the consumer landlord to send such notice via certified mail or to call and request that the utility come and verify that the repairs were made.  Exc. at 3.</w:t>
      </w:r>
    </w:p>
    <w:p w:rsidR="00880C6F" w:rsidRPr="00880C6F" w:rsidRDefault="00880C6F" w:rsidP="00DF2CE9">
      <w:pPr>
        <w:widowControl/>
        <w:spacing w:line="360" w:lineRule="auto"/>
        <w:ind w:firstLine="1440"/>
        <w:rPr>
          <w:rFonts w:eastAsia="Calibri"/>
          <w:sz w:val="26"/>
          <w:szCs w:val="26"/>
        </w:rPr>
      </w:pPr>
    </w:p>
    <w:p w:rsidR="00880C6F" w:rsidRPr="00880C6F" w:rsidRDefault="003C3F53" w:rsidP="00DF2CE9">
      <w:pPr>
        <w:widowControl/>
        <w:spacing w:line="360" w:lineRule="auto"/>
        <w:ind w:firstLine="1440"/>
        <w:rPr>
          <w:rFonts w:eastAsia="Calibri"/>
          <w:sz w:val="26"/>
          <w:szCs w:val="26"/>
        </w:rPr>
      </w:pPr>
      <w:r>
        <w:rPr>
          <w:rFonts w:eastAsia="Calibri"/>
          <w:sz w:val="26"/>
          <w:szCs w:val="26"/>
        </w:rPr>
        <w:t>Additionally, t</w:t>
      </w:r>
      <w:r w:rsidR="00880C6F" w:rsidRPr="00880C6F">
        <w:rPr>
          <w:rFonts w:eastAsia="Calibri"/>
          <w:sz w:val="26"/>
          <w:szCs w:val="26"/>
        </w:rPr>
        <w:t>he Complainant states that he testified that at the time the repairs were made, many tenants were either evicted or moved out and, in one instance, passed away.  Exc. at 3 (citing Tr. at 19, 21, 23, 26).  Due to these circumstances, the Complainant was no</w:t>
      </w:r>
      <w:r w:rsidR="0068752B">
        <w:rPr>
          <w:rFonts w:eastAsia="Calibri"/>
          <w:sz w:val="26"/>
          <w:szCs w:val="26"/>
        </w:rPr>
        <w:t>t able to get these individual t</w:t>
      </w:r>
      <w:r w:rsidR="00880C6F" w:rsidRPr="00880C6F">
        <w:rPr>
          <w:rFonts w:eastAsia="Calibri"/>
          <w:sz w:val="26"/>
          <w:szCs w:val="26"/>
        </w:rPr>
        <w:t>enants to sign PPL’s form to verify that the repairs were made.  Exc. at 3.  However, the Complainant testified that he was able to obtain the signatures of two tenants, and that he sent these forms to the utility in the envelope provided by PPL.  Exc. at 3 (citing Tr. at 19, 21</w:t>
      </w:r>
      <w:r w:rsidR="00113E03">
        <w:rPr>
          <w:rFonts w:eastAsia="Calibri"/>
          <w:sz w:val="26"/>
          <w:szCs w:val="26"/>
        </w:rPr>
        <w:t>, Exhibit 3D-31</w:t>
      </w:r>
      <w:r w:rsidR="00880C6F" w:rsidRPr="00880C6F">
        <w:rPr>
          <w:rFonts w:eastAsia="Calibri"/>
          <w:sz w:val="26"/>
          <w:szCs w:val="26"/>
        </w:rPr>
        <w:t xml:space="preserve">).  The Complainant argues that upon receipt of the verification form, it should be the burden of the utility to inspect and verify the repairs were performed, and not place any additional burden on the consumer to contact PPL to request inspection.  Exc. at 3. </w:t>
      </w:r>
    </w:p>
    <w:p w:rsidR="00880C6F" w:rsidRPr="00880C6F" w:rsidRDefault="00880C6F" w:rsidP="00DF2CE9">
      <w:pPr>
        <w:widowControl/>
        <w:spacing w:line="360" w:lineRule="auto"/>
        <w:ind w:firstLine="1440"/>
        <w:rPr>
          <w:rFonts w:eastAsia="Calibri"/>
          <w:sz w:val="26"/>
          <w:szCs w:val="26"/>
        </w:rPr>
      </w:pPr>
    </w:p>
    <w:p w:rsidR="00880C6F" w:rsidRDefault="0068752B" w:rsidP="00DF2CE9">
      <w:pPr>
        <w:widowControl/>
        <w:spacing w:line="360" w:lineRule="auto"/>
        <w:ind w:firstLine="1440"/>
        <w:rPr>
          <w:rFonts w:eastAsia="Calibri"/>
          <w:sz w:val="26"/>
          <w:szCs w:val="26"/>
        </w:rPr>
      </w:pPr>
      <w:r>
        <w:rPr>
          <w:rFonts w:eastAsia="Calibri"/>
          <w:sz w:val="26"/>
          <w:szCs w:val="26"/>
        </w:rPr>
        <w:t>Furthermore, the Complainant argues that t</w:t>
      </w:r>
      <w:r w:rsidR="00880C6F" w:rsidRPr="00880C6F">
        <w:rPr>
          <w:rFonts w:eastAsia="Calibri"/>
          <w:sz w:val="26"/>
          <w:szCs w:val="26"/>
        </w:rPr>
        <w:t>he additional burden placed onto consumer landlords</w:t>
      </w:r>
      <w:r>
        <w:rPr>
          <w:rFonts w:eastAsia="Calibri"/>
          <w:sz w:val="26"/>
          <w:szCs w:val="26"/>
        </w:rPr>
        <w:t xml:space="preserve"> by the ALJ’s Initial Decision</w:t>
      </w:r>
      <w:r w:rsidR="00880C6F" w:rsidRPr="00880C6F">
        <w:rPr>
          <w:rFonts w:eastAsia="Calibri"/>
          <w:sz w:val="26"/>
          <w:szCs w:val="26"/>
        </w:rPr>
        <w:t xml:space="preserve"> is unjust and unprecedented.  The Complainant states that the record reflects that he mailed the verification forms to PPL.  However, PPL took no action to acknowledge receipt of the forms or any action to inspect the subject properties to verify the remedial action was taken.  The Complainant states that PPL’s witness event testified that at one location, he was aware that PPL received the notice </w:t>
      </w:r>
      <w:r w:rsidR="00DF2CE9">
        <w:rPr>
          <w:rFonts w:eastAsia="Calibri"/>
          <w:sz w:val="26"/>
          <w:szCs w:val="26"/>
        </w:rPr>
        <w:t xml:space="preserve">that the wiring was corrected </w:t>
      </w:r>
      <w:r w:rsidR="00880C6F" w:rsidRPr="00880C6F">
        <w:rPr>
          <w:rFonts w:eastAsia="Calibri"/>
          <w:sz w:val="26"/>
          <w:szCs w:val="26"/>
        </w:rPr>
        <w:t xml:space="preserve">but that PPL nevertheless continued to bill </w:t>
      </w:r>
      <w:r w:rsidR="00DF2CE9">
        <w:rPr>
          <w:rFonts w:eastAsia="Calibri"/>
          <w:sz w:val="26"/>
          <w:szCs w:val="26"/>
        </w:rPr>
        <w:t>him</w:t>
      </w:r>
      <w:r w:rsidR="00880C6F" w:rsidRPr="00880C6F">
        <w:rPr>
          <w:rFonts w:eastAsia="Calibri"/>
          <w:sz w:val="26"/>
          <w:szCs w:val="26"/>
        </w:rPr>
        <w:t xml:space="preserve"> for service to the rental unit.  Exc. at 3 (citing Tr. at 104).</w:t>
      </w:r>
    </w:p>
    <w:p w:rsidR="00113E03" w:rsidRDefault="00113E03" w:rsidP="00DF2CE9">
      <w:pPr>
        <w:widowControl/>
        <w:spacing w:line="360" w:lineRule="auto"/>
        <w:ind w:firstLine="1440"/>
        <w:rPr>
          <w:rFonts w:eastAsia="Calibri"/>
          <w:sz w:val="26"/>
          <w:szCs w:val="26"/>
        </w:rPr>
      </w:pPr>
    </w:p>
    <w:p w:rsidR="00113E03" w:rsidRDefault="00113E03" w:rsidP="00DF2CE9">
      <w:pPr>
        <w:widowControl/>
        <w:spacing w:line="360" w:lineRule="auto"/>
        <w:ind w:firstLine="1440"/>
        <w:rPr>
          <w:rFonts w:eastAsia="Calibri"/>
          <w:sz w:val="26"/>
          <w:szCs w:val="26"/>
        </w:rPr>
      </w:pPr>
      <w:r>
        <w:rPr>
          <w:rFonts w:eastAsia="Calibri"/>
          <w:sz w:val="26"/>
          <w:szCs w:val="26"/>
        </w:rPr>
        <w:t xml:space="preserve">In its Replies, PPL notes that it is important to note that the ALJ did not impose any requirements on the Complainant other than the duty to rectify the foreign wiring and notify the Company of the fix.  R. Exc. at 3 (citing I.D. at 13).  After reviewing the evidence in totality, the ALJ simply found that “Mr. McGee did not offer any documentary evidence to establish that the foreign loads have been corrected, and he </w:t>
      </w:r>
      <w:r>
        <w:rPr>
          <w:rFonts w:eastAsia="Calibri"/>
          <w:sz w:val="26"/>
          <w:szCs w:val="26"/>
        </w:rPr>
        <w:lastRenderedPageBreak/>
        <w:t>admits he is the owner of the rental units.”  R. Exc. at 3 (citing FOF No. 50, I.D. at</w:t>
      </w:r>
      <w:r w:rsidR="008116A4">
        <w:rPr>
          <w:rFonts w:eastAsia="Calibri"/>
          <w:sz w:val="26"/>
          <w:szCs w:val="26"/>
        </w:rPr>
        <w:t> </w:t>
      </w:r>
      <w:r>
        <w:rPr>
          <w:rFonts w:eastAsia="Calibri"/>
          <w:sz w:val="26"/>
          <w:szCs w:val="26"/>
        </w:rPr>
        <w:t>11,</w:t>
      </w:r>
      <w:r w:rsidR="008116A4">
        <w:rPr>
          <w:rFonts w:eastAsia="Calibri"/>
          <w:sz w:val="26"/>
          <w:szCs w:val="26"/>
        </w:rPr>
        <w:t> </w:t>
      </w:r>
      <w:r>
        <w:rPr>
          <w:rFonts w:eastAsia="Calibri"/>
          <w:sz w:val="26"/>
          <w:szCs w:val="26"/>
        </w:rPr>
        <w:t>19).</w:t>
      </w:r>
    </w:p>
    <w:p w:rsidR="00113E03" w:rsidRDefault="00113E03" w:rsidP="00DF2CE9">
      <w:pPr>
        <w:widowControl/>
        <w:spacing w:line="360" w:lineRule="auto"/>
        <w:ind w:firstLine="1440"/>
        <w:rPr>
          <w:rFonts w:eastAsia="Calibri"/>
          <w:sz w:val="26"/>
          <w:szCs w:val="26"/>
        </w:rPr>
      </w:pPr>
    </w:p>
    <w:p w:rsidR="00113E03" w:rsidRDefault="00113E03" w:rsidP="00DF2CE9">
      <w:pPr>
        <w:widowControl/>
        <w:spacing w:line="360" w:lineRule="auto"/>
        <w:ind w:firstLine="1440"/>
        <w:rPr>
          <w:rFonts w:eastAsia="Calibri"/>
          <w:sz w:val="26"/>
          <w:szCs w:val="26"/>
        </w:rPr>
      </w:pPr>
      <w:r>
        <w:rPr>
          <w:rFonts w:eastAsia="Calibri"/>
          <w:sz w:val="26"/>
          <w:szCs w:val="26"/>
        </w:rPr>
        <w:t>PPL acknowledges that the Complainant cites to the Transcript at pages 19, 21 and 104, and to Exhibit 3D-31, and challenges the balances transferred from the tenant accounts of Mr. Hubler, Mr. Martin, Mr. Bakum, and Ms. Ennis, as well as the property located at 6 North Street, Ashland, P</w:t>
      </w:r>
      <w:r w:rsidR="00FE1AD2">
        <w:rPr>
          <w:rFonts w:eastAsia="Calibri"/>
          <w:sz w:val="26"/>
          <w:szCs w:val="26"/>
        </w:rPr>
        <w:t>A</w:t>
      </w:r>
      <w:r>
        <w:rPr>
          <w:rFonts w:eastAsia="Calibri"/>
          <w:sz w:val="26"/>
          <w:szCs w:val="26"/>
        </w:rPr>
        <w:t>.  R. Exc. at 3 (citing Exc. at 3).  However, PPL states that the record does not contain an Exhibit 3D-31, and accordingly the same cannot be relied upon.  Moreover, PPL explained, that while the burden of production and p</w:t>
      </w:r>
      <w:r w:rsidR="008C2D3B">
        <w:rPr>
          <w:rFonts w:eastAsia="Calibri"/>
          <w:sz w:val="26"/>
          <w:szCs w:val="26"/>
        </w:rPr>
        <w:t>roof</w:t>
      </w:r>
      <w:r>
        <w:rPr>
          <w:rFonts w:eastAsia="Calibri"/>
          <w:sz w:val="26"/>
          <w:szCs w:val="26"/>
        </w:rPr>
        <w:t xml:space="preserve"> rested with the Complainant, the Complainant never presented evidence of which tenants were associated with which accounts.  Due to the number of inconsistencies in and vagueness of the Complainant’s case, </w:t>
      </w:r>
      <w:r w:rsidR="008C2D3B">
        <w:rPr>
          <w:rFonts w:eastAsia="Calibri"/>
          <w:sz w:val="26"/>
          <w:szCs w:val="26"/>
        </w:rPr>
        <w:t xml:space="preserve">PPL argues that </w:t>
      </w:r>
      <w:r>
        <w:rPr>
          <w:rFonts w:eastAsia="Calibri"/>
          <w:sz w:val="26"/>
          <w:szCs w:val="26"/>
        </w:rPr>
        <w:t xml:space="preserve">the ALJ acted within his discretion to find such testimony non-credible.  R. Exc. at 3 (citing I.D. at 17). </w:t>
      </w:r>
    </w:p>
    <w:p w:rsidR="00083F79" w:rsidRDefault="00083F79" w:rsidP="00DF2CE9">
      <w:pPr>
        <w:widowControl/>
        <w:spacing w:line="360" w:lineRule="auto"/>
        <w:ind w:firstLine="1440"/>
        <w:rPr>
          <w:rFonts w:eastAsia="Calibri"/>
          <w:sz w:val="26"/>
          <w:szCs w:val="26"/>
        </w:rPr>
      </w:pPr>
    </w:p>
    <w:p w:rsidR="00CB3593" w:rsidRDefault="008C2D3B" w:rsidP="00DF2CE9">
      <w:pPr>
        <w:widowControl/>
        <w:spacing w:line="360" w:lineRule="auto"/>
        <w:ind w:firstLine="1440"/>
        <w:rPr>
          <w:rFonts w:eastAsia="Calibri"/>
          <w:sz w:val="26"/>
          <w:szCs w:val="26"/>
        </w:rPr>
      </w:pPr>
      <w:r>
        <w:rPr>
          <w:rFonts w:eastAsia="Calibri"/>
          <w:sz w:val="26"/>
          <w:szCs w:val="26"/>
        </w:rPr>
        <w:t xml:space="preserve">Additionally, </w:t>
      </w:r>
      <w:r w:rsidR="00CB3593">
        <w:rPr>
          <w:rFonts w:eastAsia="Calibri"/>
          <w:sz w:val="26"/>
          <w:szCs w:val="26"/>
        </w:rPr>
        <w:t>PPL asserts the following regarding each tenant</w:t>
      </w:r>
      <w:r>
        <w:rPr>
          <w:rFonts w:eastAsia="Calibri"/>
          <w:sz w:val="26"/>
          <w:szCs w:val="26"/>
        </w:rPr>
        <w:t>/rental property, as challenged by the Complainant</w:t>
      </w:r>
      <w:r w:rsidR="00CB3593">
        <w:rPr>
          <w:rFonts w:eastAsia="Calibri"/>
          <w:sz w:val="26"/>
          <w:szCs w:val="26"/>
        </w:rPr>
        <w:t>:</w:t>
      </w:r>
    </w:p>
    <w:p w:rsidR="00CB3593" w:rsidRDefault="00CB3593" w:rsidP="00DF2CE9">
      <w:pPr>
        <w:widowControl/>
        <w:spacing w:line="360" w:lineRule="auto"/>
        <w:ind w:firstLine="1440"/>
        <w:rPr>
          <w:rFonts w:eastAsia="Calibri"/>
          <w:sz w:val="26"/>
          <w:szCs w:val="26"/>
        </w:rPr>
      </w:pPr>
    </w:p>
    <w:p w:rsidR="00CB3593" w:rsidRDefault="00CB3593" w:rsidP="00DF2CE9">
      <w:pPr>
        <w:pStyle w:val="ListParagraph"/>
        <w:widowControl/>
        <w:numPr>
          <w:ilvl w:val="0"/>
          <w:numId w:val="14"/>
        </w:numPr>
        <w:spacing w:line="360" w:lineRule="auto"/>
        <w:rPr>
          <w:rFonts w:eastAsia="Calibri"/>
          <w:sz w:val="26"/>
          <w:szCs w:val="26"/>
        </w:rPr>
      </w:pPr>
      <w:r w:rsidRPr="00CB3593">
        <w:rPr>
          <w:rFonts w:eastAsia="Calibri"/>
          <w:sz w:val="26"/>
          <w:szCs w:val="26"/>
        </w:rPr>
        <w:t xml:space="preserve">Tenant </w:t>
      </w:r>
      <w:r w:rsidR="00083F79" w:rsidRPr="00CB3593">
        <w:rPr>
          <w:rFonts w:eastAsia="Calibri"/>
          <w:sz w:val="26"/>
          <w:szCs w:val="26"/>
        </w:rPr>
        <w:t xml:space="preserve">Hubler, at </w:t>
      </w:r>
      <w:r w:rsidR="0031079C">
        <w:rPr>
          <w:rFonts w:eastAsia="Calibri"/>
          <w:sz w:val="26"/>
          <w:szCs w:val="26"/>
        </w:rPr>
        <w:t>1100 Centre Street, Apartment 1</w:t>
      </w:r>
      <w:r w:rsidR="00083F79" w:rsidRPr="00CB3593">
        <w:rPr>
          <w:rFonts w:eastAsia="Calibri"/>
          <w:sz w:val="26"/>
          <w:szCs w:val="26"/>
        </w:rPr>
        <w:t>, Ashland, PA</w:t>
      </w:r>
      <w:r w:rsidRPr="00CB3593">
        <w:rPr>
          <w:rFonts w:eastAsia="Calibri"/>
          <w:sz w:val="26"/>
          <w:szCs w:val="26"/>
        </w:rPr>
        <w:t>:</w:t>
      </w:r>
      <w:r w:rsidR="00083F79" w:rsidRPr="00CB3593">
        <w:rPr>
          <w:rFonts w:eastAsia="Calibri"/>
          <w:sz w:val="26"/>
          <w:szCs w:val="26"/>
        </w:rPr>
        <w:t xml:space="preserve"> </w:t>
      </w:r>
      <w:r w:rsidR="008F7585">
        <w:rPr>
          <w:rFonts w:eastAsia="Calibri"/>
          <w:sz w:val="26"/>
          <w:szCs w:val="26"/>
        </w:rPr>
        <w:t xml:space="preserve"> T</w:t>
      </w:r>
      <w:r w:rsidR="00083F79" w:rsidRPr="00CB3593">
        <w:rPr>
          <w:rFonts w:eastAsia="Calibri"/>
          <w:sz w:val="26"/>
          <w:szCs w:val="26"/>
        </w:rPr>
        <w:t xml:space="preserve">he Complainant testified that he evicted the tenant on March 25, 2015, and notified PPL Electric of the same on June 6, 2015. </w:t>
      </w:r>
      <w:r w:rsidR="000431A0" w:rsidRPr="00CB3593">
        <w:rPr>
          <w:rFonts w:eastAsia="Calibri"/>
          <w:sz w:val="26"/>
          <w:szCs w:val="26"/>
        </w:rPr>
        <w:t xml:space="preserve">R. Exc. at 4 (citing </w:t>
      </w:r>
      <w:r w:rsidR="00E8357E" w:rsidRPr="00CB3593">
        <w:rPr>
          <w:rFonts w:eastAsia="Calibri"/>
          <w:sz w:val="26"/>
          <w:szCs w:val="26"/>
        </w:rPr>
        <w:t>Tr. at 19-20).  However, PPL asserts that notification of the eviction of a tenant does not alter the bill being the landlord’s name.</w:t>
      </w:r>
      <w:r w:rsidR="008C2D3B">
        <w:rPr>
          <w:rStyle w:val="FootnoteReference"/>
          <w:rFonts w:eastAsia="Calibri"/>
          <w:sz w:val="26"/>
          <w:szCs w:val="26"/>
        </w:rPr>
        <w:footnoteReference w:id="8"/>
      </w:r>
      <w:r w:rsidR="00E8357E" w:rsidRPr="00CB3593">
        <w:rPr>
          <w:rFonts w:eastAsia="Calibri"/>
          <w:sz w:val="26"/>
          <w:szCs w:val="26"/>
        </w:rPr>
        <w:t xml:space="preserve">  PPL argues that if the tenant in fact had been evicted, and no tenant called PPL to establish service, the landlord would remain </w:t>
      </w:r>
      <w:r w:rsidR="00E8357E" w:rsidRPr="00CB3593">
        <w:rPr>
          <w:rFonts w:eastAsia="Calibri"/>
          <w:sz w:val="26"/>
          <w:szCs w:val="26"/>
        </w:rPr>
        <w:lastRenderedPageBreak/>
        <w:t>the ratepayer of record.  The Complainant provided no evidence of how he fixed the foreign wiring, a copy of the fixed wiring form, or notification to PPL that the wiring had been fixed and that a new ratepayer moved into the premises.  R. Ex. at</w:t>
      </w:r>
      <w:r w:rsidR="00585783">
        <w:rPr>
          <w:rFonts w:eastAsia="Calibri"/>
          <w:sz w:val="26"/>
          <w:szCs w:val="26"/>
        </w:rPr>
        <w:t> </w:t>
      </w:r>
      <w:r w:rsidR="00E8357E" w:rsidRPr="00CB3593">
        <w:rPr>
          <w:rFonts w:eastAsia="Calibri"/>
          <w:sz w:val="26"/>
          <w:szCs w:val="26"/>
        </w:rPr>
        <w:t xml:space="preserve">4. </w:t>
      </w:r>
      <w:r w:rsidR="0031079C">
        <w:rPr>
          <w:rFonts w:eastAsia="Calibri"/>
          <w:sz w:val="26"/>
          <w:szCs w:val="26"/>
        </w:rPr>
        <w:t xml:space="preserve"> PPL further explains that Mr. Hoffman inspected the property on June 3, 2015, and discovered the foreign load, which was a </w:t>
      </w:r>
      <w:r w:rsidR="00EA7911">
        <w:rPr>
          <w:rFonts w:eastAsia="Calibri"/>
          <w:sz w:val="26"/>
          <w:szCs w:val="26"/>
        </w:rPr>
        <w:t>third-floor</w:t>
      </w:r>
      <w:r w:rsidR="0031079C">
        <w:rPr>
          <w:rFonts w:eastAsia="Calibri"/>
          <w:sz w:val="26"/>
          <w:szCs w:val="26"/>
        </w:rPr>
        <w:t xml:space="preserve"> light billed to the tenant’s meter for a </w:t>
      </w:r>
      <w:r w:rsidR="00EA7911">
        <w:rPr>
          <w:rFonts w:eastAsia="Calibri"/>
          <w:sz w:val="26"/>
          <w:szCs w:val="26"/>
        </w:rPr>
        <w:t>first-floor</w:t>
      </w:r>
      <w:r w:rsidR="0031079C">
        <w:rPr>
          <w:rFonts w:eastAsia="Calibri"/>
          <w:sz w:val="26"/>
          <w:szCs w:val="26"/>
        </w:rPr>
        <w:t xml:space="preserve"> rear apartment.  Notification was sent to Mr. McGee on June 17, 2015, advising him of the nature of the load, the transfer of the account and balance into his name, and provided instructions for fixing the foreign load and having the account placed back into the name of the tenant.  R. Exc. at 4, n. 1</w:t>
      </w:r>
      <w:r w:rsidR="00310D8A">
        <w:rPr>
          <w:rFonts w:eastAsia="Calibri"/>
          <w:sz w:val="26"/>
          <w:szCs w:val="26"/>
        </w:rPr>
        <w:t xml:space="preserve"> (citing Tr. at 72, Exh. 3A-3, 3A-4).  Additionally, PPL supplied Mr. McGee with a fixed wiring form and a copy of Section 1529.1 of the Code.  R. Exc. at 4, n. 1 (citing Exh. 3A-5, 3A-6 and 3A-7).</w:t>
      </w:r>
      <w:r w:rsidR="0031079C">
        <w:rPr>
          <w:rFonts w:eastAsia="Calibri"/>
          <w:sz w:val="26"/>
          <w:szCs w:val="26"/>
        </w:rPr>
        <w:t xml:space="preserve"> </w:t>
      </w:r>
      <w:r w:rsidR="00310D8A">
        <w:rPr>
          <w:rFonts w:eastAsia="Calibri"/>
          <w:sz w:val="26"/>
          <w:szCs w:val="26"/>
        </w:rPr>
        <w:t xml:space="preserve"> At the time the account was removed from Tenant Hubler and placed into the Complainant’s name, the balance was $3,702.01.  PPL explains </w:t>
      </w:r>
      <w:r w:rsidR="0031079C">
        <w:rPr>
          <w:rFonts w:eastAsia="Calibri"/>
          <w:sz w:val="26"/>
          <w:szCs w:val="26"/>
        </w:rPr>
        <w:t xml:space="preserve">the account was </w:t>
      </w:r>
      <w:r w:rsidR="00310D8A">
        <w:rPr>
          <w:rFonts w:eastAsia="Calibri"/>
          <w:sz w:val="26"/>
          <w:szCs w:val="26"/>
        </w:rPr>
        <w:t xml:space="preserve">then </w:t>
      </w:r>
      <w:r w:rsidR="0031079C">
        <w:rPr>
          <w:rFonts w:eastAsia="Calibri"/>
          <w:sz w:val="26"/>
          <w:szCs w:val="26"/>
        </w:rPr>
        <w:t>removed from the Complainant’s name as of August 28, 2015,</w:t>
      </w:r>
      <w:r w:rsidR="00703006">
        <w:rPr>
          <w:rStyle w:val="FootnoteReference"/>
          <w:rFonts w:eastAsia="Calibri"/>
          <w:sz w:val="26"/>
          <w:szCs w:val="26"/>
        </w:rPr>
        <w:footnoteReference w:id="9"/>
      </w:r>
      <w:r w:rsidR="0031079C">
        <w:rPr>
          <w:rFonts w:eastAsia="Calibri"/>
          <w:sz w:val="26"/>
          <w:szCs w:val="26"/>
        </w:rPr>
        <w:t xml:space="preserve"> with an outstanding balance of $3,829.61</w:t>
      </w:r>
      <w:r w:rsidR="00310D8A">
        <w:rPr>
          <w:rFonts w:eastAsia="Calibri"/>
          <w:sz w:val="26"/>
          <w:szCs w:val="26"/>
        </w:rPr>
        <w:t>.</w:t>
      </w:r>
      <w:r w:rsidR="0031079C">
        <w:rPr>
          <w:rFonts w:eastAsia="Calibri"/>
          <w:sz w:val="26"/>
          <w:szCs w:val="26"/>
        </w:rPr>
        <w:t xml:space="preserve"> </w:t>
      </w:r>
      <w:r w:rsidR="00310D8A">
        <w:rPr>
          <w:rFonts w:eastAsia="Calibri"/>
          <w:sz w:val="26"/>
          <w:szCs w:val="26"/>
        </w:rPr>
        <w:t xml:space="preserve"> </w:t>
      </w:r>
      <w:r w:rsidR="0031079C">
        <w:rPr>
          <w:rFonts w:eastAsia="Calibri"/>
          <w:sz w:val="26"/>
          <w:szCs w:val="26"/>
        </w:rPr>
        <w:t>R. Exc. at 4, n. 1 (citing Tr. at 76, Exhibit 7).  PPL asserts that the Complainant continues to owe this amount to PPL, although no further charges are being incurred.  R.</w:t>
      </w:r>
      <w:r w:rsidR="00585783">
        <w:rPr>
          <w:rFonts w:eastAsia="Calibri"/>
          <w:sz w:val="26"/>
          <w:szCs w:val="26"/>
        </w:rPr>
        <w:t> </w:t>
      </w:r>
      <w:r w:rsidR="0031079C">
        <w:rPr>
          <w:rFonts w:eastAsia="Calibri"/>
          <w:sz w:val="26"/>
          <w:szCs w:val="26"/>
        </w:rPr>
        <w:t xml:space="preserve">Exc. at 4, n. 1. </w:t>
      </w:r>
    </w:p>
    <w:p w:rsidR="00CB3593" w:rsidRDefault="00CB3593" w:rsidP="00DF2CE9">
      <w:pPr>
        <w:pStyle w:val="ListParagraph"/>
        <w:widowControl/>
        <w:spacing w:line="360" w:lineRule="auto"/>
        <w:rPr>
          <w:rFonts w:eastAsia="Calibri"/>
          <w:sz w:val="26"/>
          <w:szCs w:val="26"/>
        </w:rPr>
      </w:pPr>
    </w:p>
    <w:p w:rsidR="0031079C" w:rsidRDefault="00CB3593" w:rsidP="00DF2CE9">
      <w:pPr>
        <w:pStyle w:val="ListParagraph"/>
        <w:widowControl/>
        <w:numPr>
          <w:ilvl w:val="0"/>
          <w:numId w:val="14"/>
        </w:numPr>
        <w:spacing w:line="360" w:lineRule="auto"/>
        <w:rPr>
          <w:rFonts w:eastAsia="Calibri"/>
          <w:sz w:val="26"/>
          <w:szCs w:val="26"/>
        </w:rPr>
      </w:pPr>
      <w:r w:rsidRPr="00CB3593">
        <w:rPr>
          <w:rFonts w:eastAsia="Calibri"/>
          <w:sz w:val="26"/>
          <w:szCs w:val="26"/>
        </w:rPr>
        <w:t>Tenant</w:t>
      </w:r>
      <w:r w:rsidR="00E8357E" w:rsidRPr="00CB3593">
        <w:rPr>
          <w:rFonts w:eastAsia="Calibri"/>
          <w:sz w:val="26"/>
          <w:szCs w:val="26"/>
        </w:rPr>
        <w:t xml:space="preserve"> Mar</w:t>
      </w:r>
      <w:r>
        <w:rPr>
          <w:rFonts w:eastAsia="Calibri"/>
          <w:sz w:val="26"/>
          <w:szCs w:val="26"/>
        </w:rPr>
        <w:t>tin:</w:t>
      </w:r>
      <w:r w:rsidR="00E8357E" w:rsidRPr="00CB3593">
        <w:rPr>
          <w:rFonts w:eastAsia="Calibri"/>
          <w:sz w:val="26"/>
          <w:szCs w:val="26"/>
        </w:rPr>
        <w:t xml:space="preserve"> </w:t>
      </w:r>
      <w:r w:rsidR="008F7585">
        <w:rPr>
          <w:rFonts w:eastAsia="Calibri"/>
          <w:sz w:val="26"/>
          <w:szCs w:val="26"/>
        </w:rPr>
        <w:t xml:space="preserve"> T</w:t>
      </w:r>
      <w:r>
        <w:rPr>
          <w:rFonts w:eastAsia="Calibri"/>
          <w:sz w:val="26"/>
          <w:szCs w:val="26"/>
        </w:rPr>
        <w:t xml:space="preserve">he Complainant testified that he submitted a fixed wiring form signed by the </w:t>
      </w:r>
      <w:r w:rsidR="00347832">
        <w:rPr>
          <w:rFonts w:eastAsia="Calibri"/>
          <w:sz w:val="26"/>
          <w:szCs w:val="26"/>
        </w:rPr>
        <w:t>t</w:t>
      </w:r>
      <w:r>
        <w:rPr>
          <w:rFonts w:eastAsia="Calibri"/>
          <w:sz w:val="26"/>
          <w:szCs w:val="26"/>
        </w:rPr>
        <w:t xml:space="preserve">enant on or about July 1, 2014.  R. Exc. at 4 (citing Tr. at 21-22).  However, the Complainant failed to associate an address or account number with Ms. Martin.  Therefore, PPL argues that the Complainant cannot meet his burden of proving that the Complainant provided PPL with notification of fixed foreign wiring or that the account remains in the Complainant’s name.  Alternatively, PPL believes that the Complainant is referring to the property at 1001 Centre Street, </w:t>
      </w:r>
      <w:r>
        <w:rPr>
          <w:rFonts w:eastAsia="Calibri"/>
          <w:sz w:val="26"/>
          <w:szCs w:val="26"/>
        </w:rPr>
        <w:lastRenderedPageBreak/>
        <w:t>Ashland, PA.  However, as the Complainant provided no specific</w:t>
      </w:r>
      <w:r w:rsidR="00C869E8">
        <w:rPr>
          <w:rFonts w:eastAsia="Calibri"/>
          <w:sz w:val="26"/>
          <w:szCs w:val="26"/>
        </w:rPr>
        <w:t xml:space="preserve"> details on </w:t>
      </w:r>
      <w:r>
        <w:rPr>
          <w:rFonts w:eastAsia="Calibri"/>
          <w:sz w:val="26"/>
          <w:szCs w:val="26"/>
        </w:rPr>
        <w:t xml:space="preserve">how he fixed the foreign wiring or a copy of the form he submitted, PPL states it was appropriate for the ALJ to reject his testimony.  R. Exc. at 5.  Additionally, PPL explains that at the time the foreign wiring was discovered, tenant Martin had a balance of $1,357.09.  R. Exc. at 4, n. 2 (citing Exhibit 8).  However, only $848.40 was accumulated at the foreign load-affected service address and, therefore, only the $848.40 was transferred to Mr. Grebas and then to the Complainant upon discovery of Mr. McGee’s ownership of the property. R. Exc. at 4, n. 2.  PPL explains that the account remains in the name of the Complainant.  PPL explains it has no documentation of a fixed wiring form submitted on this account and cannot take the account out of the name of the Complainant until it receives it.  PPL states that although the Complainant appears to contend that he provided such a form to PPL, PPL contends that the Complainant provided no specifics in the record concerning the provision of the form, a copy of the form, or anything in support of his claim. </w:t>
      </w:r>
      <w:r w:rsidR="009333D5">
        <w:rPr>
          <w:rFonts w:eastAsia="Calibri"/>
          <w:sz w:val="26"/>
          <w:szCs w:val="26"/>
        </w:rPr>
        <w:t>R. Exc. at 4, n. 2.</w:t>
      </w:r>
    </w:p>
    <w:p w:rsidR="0031079C" w:rsidRDefault="0031079C" w:rsidP="00DF2CE9">
      <w:pPr>
        <w:pStyle w:val="ListParagraph"/>
        <w:widowControl/>
        <w:spacing w:line="360" w:lineRule="auto"/>
        <w:rPr>
          <w:rFonts w:eastAsia="Calibri"/>
          <w:sz w:val="26"/>
          <w:szCs w:val="26"/>
        </w:rPr>
      </w:pPr>
    </w:p>
    <w:p w:rsidR="0031079C" w:rsidRDefault="0031079C" w:rsidP="00DF2CE9">
      <w:pPr>
        <w:pStyle w:val="ListParagraph"/>
        <w:widowControl/>
        <w:numPr>
          <w:ilvl w:val="0"/>
          <w:numId w:val="14"/>
        </w:numPr>
        <w:spacing w:line="360" w:lineRule="auto"/>
        <w:rPr>
          <w:rFonts w:eastAsia="Calibri"/>
          <w:sz w:val="26"/>
          <w:szCs w:val="26"/>
        </w:rPr>
      </w:pPr>
      <w:r>
        <w:rPr>
          <w:rFonts w:eastAsia="Calibri"/>
          <w:sz w:val="26"/>
          <w:szCs w:val="26"/>
        </w:rPr>
        <w:t xml:space="preserve">Tenant Bakum:  The Complainant testified that he submitted a fixed wiring form signed by tenant Bakum on or about July 1, 2014.  R. Exc. at 5 (citing Tr. at 22).  However, as noted by the ALJ, </w:t>
      </w:r>
      <w:r w:rsidR="002A5FE5">
        <w:rPr>
          <w:rFonts w:eastAsia="Calibri"/>
          <w:sz w:val="26"/>
          <w:szCs w:val="26"/>
        </w:rPr>
        <w:t xml:space="preserve">PPL states that </w:t>
      </w:r>
      <w:r>
        <w:rPr>
          <w:rFonts w:eastAsia="Calibri"/>
          <w:sz w:val="26"/>
          <w:szCs w:val="26"/>
        </w:rPr>
        <w:t>the Complainant failed to ever provide a service address for Mr. Bakum (or account number).  Accordingly,</w:t>
      </w:r>
      <w:r w:rsidR="002A5FE5">
        <w:rPr>
          <w:rFonts w:eastAsia="Calibri"/>
          <w:sz w:val="26"/>
          <w:szCs w:val="26"/>
        </w:rPr>
        <w:t xml:space="preserve"> PPL argues,</w:t>
      </w:r>
      <w:r>
        <w:rPr>
          <w:rFonts w:eastAsia="Calibri"/>
          <w:sz w:val="26"/>
          <w:szCs w:val="26"/>
        </w:rPr>
        <w:t xml:space="preserve"> there is simply no evidence that this account is part of the Complainant’s Complaint or that the Complainant is still receiving bills on this account.  R. Exc. at</w:t>
      </w:r>
      <w:r w:rsidR="00C869E8">
        <w:rPr>
          <w:rFonts w:eastAsia="Calibri"/>
          <w:sz w:val="26"/>
          <w:szCs w:val="26"/>
        </w:rPr>
        <w:t> </w:t>
      </w:r>
      <w:r>
        <w:rPr>
          <w:rFonts w:eastAsia="Calibri"/>
          <w:sz w:val="26"/>
          <w:szCs w:val="26"/>
        </w:rPr>
        <w:t>5.  Without more information, PPL asserts that there can be no finding of wrongdoing by PPL.  R. Exc. at 5, n. 3.  PPL argues that if the Complainant is in fact still receiving bills for this account, he should have provided the same at the hearing.  R. Exc. at 5, n. 3.</w:t>
      </w:r>
    </w:p>
    <w:p w:rsidR="0031079C" w:rsidRPr="0031079C" w:rsidRDefault="0031079C" w:rsidP="00DF2CE9">
      <w:pPr>
        <w:pStyle w:val="ListParagraph"/>
        <w:widowControl/>
        <w:rPr>
          <w:rFonts w:eastAsia="Calibri"/>
          <w:sz w:val="26"/>
          <w:szCs w:val="26"/>
        </w:rPr>
      </w:pPr>
    </w:p>
    <w:p w:rsidR="00A112B4" w:rsidRDefault="0031079C" w:rsidP="00DF2CE9">
      <w:pPr>
        <w:pStyle w:val="ListParagraph"/>
        <w:widowControl/>
        <w:numPr>
          <w:ilvl w:val="0"/>
          <w:numId w:val="14"/>
        </w:numPr>
        <w:spacing w:line="360" w:lineRule="auto"/>
        <w:rPr>
          <w:rFonts w:eastAsia="Calibri"/>
          <w:sz w:val="26"/>
          <w:szCs w:val="26"/>
        </w:rPr>
      </w:pPr>
      <w:r>
        <w:rPr>
          <w:rFonts w:eastAsia="Calibri"/>
          <w:sz w:val="26"/>
          <w:szCs w:val="26"/>
        </w:rPr>
        <w:t xml:space="preserve">Tenant Ennis, 1100 Centre Street, Apartment 2, Ashland, PA:  </w:t>
      </w:r>
      <w:r w:rsidR="008F7585">
        <w:rPr>
          <w:rFonts w:eastAsia="Calibri"/>
          <w:sz w:val="26"/>
          <w:szCs w:val="26"/>
        </w:rPr>
        <w:t>T</w:t>
      </w:r>
      <w:r>
        <w:rPr>
          <w:rFonts w:eastAsia="Calibri"/>
          <w:sz w:val="26"/>
          <w:szCs w:val="26"/>
        </w:rPr>
        <w:t>he Complainant contended that he has corrected the foreign wiring in the pro</w:t>
      </w:r>
      <w:r w:rsidR="00310D8A">
        <w:rPr>
          <w:rFonts w:eastAsia="Calibri"/>
          <w:sz w:val="26"/>
          <w:szCs w:val="26"/>
        </w:rPr>
        <w:t xml:space="preserve">perty servicing </w:t>
      </w:r>
      <w:r>
        <w:rPr>
          <w:rFonts w:eastAsia="Calibri"/>
          <w:sz w:val="26"/>
          <w:szCs w:val="26"/>
        </w:rPr>
        <w:t xml:space="preserve">this </w:t>
      </w:r>
      <w:r>
        <w:rPr>
          <w:rFonts w:eastAsia="Calibri"/>
          <w:sz w:val="26"/>
          <w:szCs w:val="26"/>
        </w:rPr>
        <w:lastRenderedPageBreak/>
        <w:t xml:space="preserve">tenant.  </w:t>
      </w:r>
      <w:r w:rsidR="00310D8A">
        <w:rPr>
          <w:rFonts w:eastAsia="Calibri"/>
          <w:sz w:val="26"/>
          <w:szCs w:val="26"/>
        </w:rPr>
        <w:t xml:space="preserve">However, the Complainant was unable to provide a date on which he provided PPL with the fixed wiring form or a copy of the fixed wiring form.  Accordingly, PPL asserts it was proper for the ALJ to reject this testimony as not credible.  </w:t>
      </w:r>
      <w:r w:rsidR="0087456C">
        <w:rPr>
          <w:rFonts w:eastAsia="Calibri"/>
          <w:sz w:val="26"/>
          <w:szCs w:val="26"/>
        </w:rPr>
        <w:t xml:space="preserve">R. Exc. at 5. </w:t>
      </w:r>
      <w:r w:rsidR="00585783">
        <w:rPr>
          <w:rFonts w:eastAsia="Calibri"/>
          <w:sz w:val="26"/>
          <w:szCs w:val="26"/>
        </w:rPr>
        <w:t xml:space="preserve"> </w:t>
      </w:r>
      <w:r w:rsidR="00310D8A">
        <w:rPr>
          <w:rFonts w:eastAsia="Calibri"/>
          <w:sz w:val="26"/>
          <w:szCs w:val="26"/>
        </w:rPr>
        <w:t xml:space="preserve">Furthermore, PPL explains that Mr. </w:t>
      </w:r>
      <w:r w:rsidR="0087456C">
        <w:rPr>
          <w:rFonts w:eastAsia="Calibri"/>
          <w:sz w:val="26"/>
          <w:szCs w:val="26"/>
        </w:rPr>
        <w:t xml:space="preserve">Hoffman performed the foreign load investigation on June 3, 2015.  R. Exc. at 5, n. 4 (citing Tr. at 37, Exh. 3B-1).  He found wiring for the first and second floor hallway light connected to the meter servicing Apartment 2.  R. Exc. at 5, n. 4 (citing Tr. at 38, Exh. 3B-1).  At this time, Mr. Ennis’ total outstanding bill to PPL was $4,726.68, but only $1,757.44 was accumulated at the foreign load-affected service address, so only $1,757.44 was transferred to Mr. McGee.  R. Exc. at 5, n. 4 (citing Tr. at 38, 39, Exh. 13, Exh. 3B-3).  </w:t>
      </w:r>
      <w:r w:rsidR="008A039E">
        <w:rPr>
          <w:rFonts w:eastAsia="Calibri"/>
          <w:sz w:val="26"/>
          <w:szCs w:val="26"/>
        </w:rPr>
        <w:t>The account was last billed to the Complainant on September 1, 2015, with a total outstanding balance of $2,080.81.  R. Exc. at 5, n.</w:t>
      </w:r>
      <w:r w:rsidR="00C869E8">
        <w:rPr>
          <w:rFonts w:eastAsia="Calibri"/>
          <w:sz w:val="26"/>
          <w:szCs w:val="26"/>
        </w:rPr>
        <w:t> </w:t>
      </w:r>
      <w:r w:rsidR="008A039E">
        <w:rPr>
          <w:rFonts w:eastAsia="Calibri"/>
          <w:sz w:val="26"/>
          <w:szCs w:val="26"/>
        </w:rPr>
        <w:t>4 (citing Tr. at 40, Exh. 1D).</w:t>
      </w:r>
    </w:p>
    <w:p w:rsidR="00A112B4" w:rsidRDefault="00A112B4" w:rsidP="00DF2CE9">
      <w:pPr>
        <w:pStyle w:val="ListParagraph"/>
        <w:widowControl/>
        <w:spacing w:line="360" w:lineRule="auto"/>
        <w:rPr>
          <w:rFonts w:eastAsia="Calibri"/>
          <w:sz w:val="26"/>
          <w:szCs w:val="26"/>
        </w:rPr>
      </w:pPr>
    </w:p>
    <w:p w:rsidR="00A112B4" w:rsidRDefault="00A112B4" w:rsidP="00DF2CE9">
      <w:pPr>
        <w:pStyle w:val="ListParagraph"/>
        <w:widowControl/>
        <w:numPr>
          <w:ilvl w:val="0"/>
          <w:numId w:val="14"/>
        </w:numPr>
        <w:spacing w:line="360" w:lineRule="auto"/>
        <w:rPr>
          <w:rFonts w:eastAsia="Calibri"/>
          <w:sz w:val="26"/>
          <w:szCs w:val="26"/>
        </w:rPr>
      </w:pPr>
      <w:r>
        <w:rPr>
          <w:rFonts w:eastAsia="Calibri"/>
          <w:sz w:val="26"/>
          <w:szCs w:val="26"/>
        </w:rPr>
        <w:t>6 North 10</w:t>
      </w:r>
      <w:r w:rsidRPr="00A112B4">
        <w:rPr>
          <w:rFonts w:eastAsia="Calibri"/>
          <w:sz w:val="26"/>
          <w:szCs w:val="26"/>
          <w:vertAlign w:val="superscript"/>
        </w:rPr>
        <w:t>th</w:t>
      </w:r>
      <w:r>
        <w:rPr>
          <w:rFonts w:eastAsia="Calibri"/>
          <w:sz w:val="26"/>
          <w:szCs w:val="26"/>
        </w:rPr>
        <w:t xml:space="preserve"> Street, Ashland, PA:  </w:t>
      </w:r>
      <w:r w:rsidR="008F7585">
        <w:rPr>
          <w:rFonts w:eastAsia="Calibri"/>
          <w:sz w:val="26"/>
          <w:szCs w:val="26"/>
        </w:rPr>
        <w:t>T</w:t>
      </w:r>
      <w:r>
        <w:rPr>
          <w:rFonts w:eastAsia="Calibri"/>
          <w:sz w:val="26"/>
          <w:szCs w:val="26"/>
        </w:rPr>
        <w:t>he Complainant testified that he notified PPL of fixed wiring in the premises on vacant property at this location.  Mr. McGee testified that he “believes” the prior tenant for that property was Mr. Martinez.  R.</w:t>
      </w:r>
      <w:r w:rsidR="00C869E8">
        <w:rPr>
          <w:rFonts w:eastAsia="Calibri"/>
          <w:sz w:val="26"/>
          <w:szCs w:val="26"/>
        </w:rPr>
        <w:t> </w:t>
      </w:r>
      <w:r>
        <w:rPr>
          <w:rFonts w:eastAsia="Calibri"/>
          <w:sz w:val="26"/>
          <w:szCs w:val="26"/>
        </w:rPr>
        <w:t xml:space="preserve">Exc. at 6 (citing Tr. at 24).  However, the Complainant was unable to provide a date on which he provided PPL with the fixed wiring form or a copy of the fixed wiring form.  R. Exc. at 6. </w:t>
      </w:r>
      <w:r w:rsidR="00140C62">
        <w:rPr>
          <w:rFonts w:eastAsia="Calibri"/>
          <w:sz w:val="26"/>
          <w:szCs w:val="26"/>
        </w:rPr>
        <w:t xml:space="preserve"> Additionally, PPL explains that Mr. Hoffman performed the foreign load investigation on December 14, 2013.  The information pertaining to the foreign load was sent to Mr. Grebas because the tenant advised Mr. Hoffman that Mr. Grebas was the property owner.  Upon receipt of information that Mr. McGee was the actual owner, all foreign wiring information was sent to and the account was placed in the name of Mr. McGee on January 3, 2015.  R. Exc. at 6, n. 5 (citing Tr. at 43-44).  PPL also sent an access letter to Mr. McGee on January 3, 2015, to confirm whether or not the foreign wiring remains, but Mr. McGee did not respond to PPL and did not provide access to PPL to inspect whether the foreign wiring had been fixed.  Because Mr. McGee has not </w:t>
      </w:r>
      <w:r w:rsidR="00140C62">
        <w:rPr>
          <w:rFonts w:eastAsia="Calibri"/>
          <w:sz w:val="26"/>
          <w:szCs w:val="26"/>
        </w:rPr>
        <w:lastRenderedPageBreak/>
        <w:t xml:space="preserve">notified </w:t>
      </w:r>
      <w:r w:rsidR="00347832">
        <w:rPr>
          <w:rFonts w:eastAsia="Calibri"/>
          <w:sz w:val="26"/>
          <w:szCs w:val="26"/>
        </w:rPr>
        <w:t>PPL</w:t>
      </w:r>
      <w:r w:rsidR="00CA406D">
        <w:rPr>
          <w:rFonts w:eastAsia="Calibri"/>
          <w:sz w:val="26"/>
          <w:szCs w:val="26"/>
        </w:rPr>
        <w:t xml:space="preserve"> that the foreign wiring has been fixed and has </w:t>
      </w:r>
      <w:r w:rsidR="00347832">
        <w:rPr>
          <w:rFonts w:eastAsia="Calibri"/>
          <w:sz w:val="26"/>
          <w:szCs w:val="26"/>
        </w:rPr>
        <w:t>failed</w:t>
      </w:r>
      <w:r w:rsidR="00CA406D">
        <w:rPr>
          <w:rFonts w:eastAsia="Calibri"/>
          <w:sz w:val="26"/>
          <w:szCs w:val="26"/>
        </w:rPr>
        <w:t xml:space="preserve"> to respond to PPL’s requests to</w:t>
      </w:r>
      <w:r w:rsidR="00347832">
        <w:rPr>
          <w:rFonts w:eastAsia="Calibri"/>
          <w:sz w:val="26"/>
          <w:szCs w:val="26"/>
        </w:rPr>
        <w:t xml:space="preserve"> gain</w:t>
      </w:r>
      <w:r w:rsidR="00CA406D">
        <w:rPr>
          <w:rFonts w:eastAsia="Calibri"/>
          <w:sz w:val="26"/>
          <w:szCs w:val="26"/>
        </w:rPr>
        <w:t xml:space="preserve"> access</w:t>
      </w:r>
      <w:r w:rsidR="00347832">
        <w:rPr>
          <w:rFonts w:eastAsia="Calibri"/>
          <w:sz w:val="26"/>
          <w:szCs w:val="26"/>
        </w:rPr>
        <w:t xml:space="preserve"> to</w:t>
      </w:r>
      <w:r w:rsidR="00CA406D">
        <w:rPr>
          <w:rFonts w:eastAsia="Calibri"/>
          <w:sz w:val="26"/>
          <w:szCs w:val="26"/>
        </w:rPr>
        <w:t xml:space="preserve"> the property, the account remains in his name with a balance of $3,695.92.  R. Exc. at 6, n. 5.</w:t>
      </w:r>
    </w:p>
    <w:p w:rsidR="00A112B4" w:rsidRDefault="00A112B4" w:rsidP="00DF2CE9">
      <w:pPr>
        <w:widowControl/>
        <w:spacing w:line="360" w:lineRule="auto"/>
        <w:rPr>
          <w:rFonts w:eastAsia="Calibri"/>
          <w:sz w:val="26"/>
          <w:szCs w:val="26"/>
        </w:rPr>
      </w:pPr>
    </w:p>
    <w:p w:rsidR="00A112B4" w:rsidRDefault="00A112B4" w:rsidP="00DF2CE9">
      <w:pPr>
        <w:widowControl/>
        <w:spacing w:line="360" w:lineRule="auto"/>
        <w:ind w:firstLine="1440"/>
        <w:rPr>
          <w:rFonts w:eastAsia="Calibri"/>
          <w:sz w:val="26"/>
          <w:szCs w:val="26"/>
        </w:rPr>
      </w:pPr>
      <w:r>
        <w:rPr>
          <w:rFonts w:eastAsia="Calibri"/>
          <w:sz w:val="26"/>
          <w:szCs w:val="26"/>
        </w:rPr>
        <w:t>In summary, PPL states that it is well-established that the burden of proof rested with the Complainant to present evidence to establish that PPL violated the Code, a Commission Regulation or Order.  PPL argues that the Complainant was represented by well-respected counsel at the hearing</w:t>
      </w:r>
      <w:r w:rsidR="00A31AB2">
        <w:rPr>
          <w:rFonts w:eastAsia="Calibri"/>
          <w:sz w:val="26"/>
          <w:szCs w:val="26"/>
        </w:rPr>
        <w:t>,</w:t>
      </w:r>
      <w:r>
        <w:rPr>
          <w:rFonts w:eastAsia="Calibri"/>
          <w:sz w:val="26"/>
          <w:szCs w:val="26"/>
        </w:rPr>
        <w:t xml:space="preserve"> and that he had full rights to engage in discovery prior to the hearing if he required additional information to prosecute his case.  PPL avers that</w:t>
      </w:r>
      <w:r w:rsidR="00DA7BAB">
        <w:rPr>
          <w:rFonts w:eastAsia="Calibri"/>
          <w:sz w:val="26"/>
          <w:szCs w:val="26"/>
        </w:rPr>
        <w:t xml:space="preserve"> during the hearing that commenced at 1:00 p.m. and concluded at 3:33 p.m.,</w:t>
      </w:r>
      <w:r>
        <w:rPr>
          <w:rFonts w:eastAsia="Calibri"/>
          <w:sz w:val="26"/>
          <w:szCs w:val="26"/>
        </w:rPr>
        <w:t xml:space="preserve"> the Complainant failed to avail himself of any discovery, and rather provided no documents and relied only on </w:t>
      </w:r>
      <w:r w:rsidR="00050DA3">
        <w:rPr>
          <w:rFonts w:eastAsia="Calibri"/>
          <w:sz w:val="26"/>
          <w:szCs w:val="26"/>
        </w:rPr>
        <w:t xml:space="preserve">his </w:t>
      </w:r>
      <w:r>
        <w:rPr>
          <w:rFonts w:eastAsia="Calibri"/>
          <w:sz w:val="26"/>
          <w:szCs w:val="26"/>
        </w:rPr>
        <w:t>vague testimony</w:t>
      </w:r>
      <w:r w:rsidR="00050DA3">
        <w:rPr>
          <w:rFonts w:eastAsia="Calibri"/>
          <w:sz w:val="26"/>
          <w:szCs w:val="26"/>
        </w:rPr>
        <w:t>.</w:t>
      </w:r>
      <w:r>
        <w:rPr>
          <w:rFonts w:eastAsia="Calibri"/>
          <w:sz w:val="26"/>
          <w:szCs w:val="26"/>
        </w:rPr>
        <w:t xml:space="preserve">  PPL </w:t>
      </w:r>
      <w:r w:rsidR="00772B2C">
        <w:rPr>
          <w:rFonts w:eastAsia="Calibri"/>
          <w:sz w:val="26"/>
          <w:szCs w:val="26"/>
        </w:rPr>
        <w:t>avers</w:t>
      </w:r>
      <w:r>
        <w:rPr>
          <w:rFonts w:eastAsia="Calibri"/>
          <w:sz w:val="26"/>
          <w:szCs w:val="26"/>
        </w:rPr>
        <w:t xml:space="preserve"> that the burden of proof rested with the Complainant to present evidence of which specific accounts he was contesting, when and how he fixed the foreign wiring, when and how he notified PPL of the fix, and that he was still receiving bills on the same.  Instead, PPL argues, the Complainant simply presented vague and general testimony and failed to establish such facts.  Accordingly, PPL asserts, the ALJ appropriately found he could not meet his burden of proof.   R. Exc. at</w:t>
      </w:r>
      <w:r w:rsidR="00772B2C">
        <w:rPr>
          <w:rFonts w:eastAsia="Calibri"/>
          <w:sz w:val="26"/>
          <w:szCs w:val="26"/>
        </w:rPr>
        <w:t> </w:t>
      </w:r>
      <w:r>
        <w:rPr>
          <w:rFonts w:eastAsia="Calibri"/>
          <w:sz w:val="26"/>
          <w:szCs w:val="26"/>
        </w:rPr>
        <w:t>6.</w:t>
      </w:r>
    </w:p>
    <w:p w:rsidR="00704D22" w:rsidRDefault="00704D22" w:rsidP="00DF2CE9">
      <w:pPr>
        <w:widowControl/>
        <w:spacing w:line="360" w:lineRule="auto"/>
        <w:ind w:firstLine="1440"/>
        <w:rPr>
          <w:rFonts w:eastAsia="Calibri"/>
          <w:sz w:val="26"/>
          <w:szCs w:val="26"/>
        </w:rPr>
      </w:pPr>
    </w:p>
    <w:p w:rsidR="00704D22" w:rsidRDefault="00704D22" w:rsidP="00DF2CE9">
      <w:pPr>
        <w:widowControl/>
        <w:spacing w:line="360" w:lineRule="auto"/>
        <w:ind w:firstLine="1440"/>
        <w:rPr>
          <w:rFonts w:eastAsia="Calibri"/>
          <w:b/>
          <w:sz w:val="26"/>
          <w:szCs w:val="26"/>
          <w:u w:val="single"/>
        </w:rPr>
      </w:pPr>
      <w:r w:rsidRPr="00704D22">
        <w:rPr>
          <w:rFonts w:eastAsia="Calibri"/>
          <w:b/>
          <w:sz w:val="26"/>
          <w:szCs w:val="26"/>
          <w:u w:val="single"/>
        </w:rPr>
        <w:t>Disposition</w:t>
      </w:r>
    </w:p>
    <w:p w:rsidR="00704D22" w:rsidRPr="00704D22" w:rsidRDefault="00704D22" w:rsidP="00DF2CE9">
      <w:pPr>
        <w:widowControl/>
        <w:spacing w:line="360" w:lineRule="auto"/>
        <w:ind w:firstLine="1440"/>
        <w:rPr>
          <w:rFonts w:eastAsia="Calibri"/>
          <w:b/>
          <w:sz w:val="26"/>
          <w:szCs w:val="26"/>
          <w:u w:val="single"/>
        </w:rPr>
      </w:pPr>
    </w:p>
    <w:p w:rsidR="00704D22" w:rsidRDefault="00704D22" w:rsidP="00DF2CE9">
      <w:pPr>
        <w:widowControl/>
        <w:spacing w:line="360" w:lineRule="auto"/>
        <w:ind w:firstLine="1440"/>
        <w:rPr>
          <w:sz w:val="26"/>
          <w:szCs w:val="26"/>
        </w:rPr>
      </w:pPr>
      <w:r>
        <w:rPr>
          <w:sz w:val="26"/>
          <w:szCs w:val="26"/>
        </w:rPr>
        <w:t xml:space="preserve">The Complainant raises two issues in his second Exception that cause us concern.  Our first issue of concern is that the Complainant states he testified to sending PPL’s requested forms to PPL to notify PPL that he had fixed the foreign wiring at various properties.  PPL disputes this, however, stating that it never received the completed certification forms.  PPL further asserts that the Complainant, who is represented by counsel in this case, </w:t>
      </w:r>
      <w:r>
        <w:rPr>
          <w:rFonts w:eastAsia="Calibri"/>
          <w:sz w:val="26"/>
          <w:szCs w:val="26"/>
        </w:rPr>
        <w:t>failed to avail himself of any discovery and provided no documents as evidence at the hearing and relied only on the vague testimony of the Complainant</w:t>
      </w:r>
      <w:r>
        <w:rPr>
          <w:sz w:val="26"/>
          <w:szCs w:val="26"/>
        </w:rPr>
        <w:t xml:space="preserve">.   </w:t>
      </w:r>
      <w:r w:rsidR="0068752B">
        <w:rPr>
          <w:sz w:val="26"/>
          <w:szCs w:val="26"/>
        </w:rPr>
        <w:t>On this point,</w:t>
      </w:r>
      <w:r>
        <w:rPr>
          <w:sz w:val="26"/>
          <w:szCs w:val="26"/>
        </w:rPr>
        <w:t xml:space="preserve"> t</w:t>
      </w:r>
      <w:r w:rsidRPr="00A731DA">
        <w:rPr>
          <w:sz w:val="26"/>
          <w:szCs w:val="26"/>
        </w:rPr>
        <w:t>he ALJ</w:t>
      </w:r>
      <w:r>
        <w:rPr>
          <w:sz w:val="26"/>
          <w:szCs w:val="26"/>
        </w:rPr>
        <w:t xml:space="preserve"> </w:t>
      </w:r>
      <w:r w:rsidRPr="00A731DA">
        <w:rPr>
          <w:sz w:val="26"/>
          <w:szCs w:val="26"/>
        </w:rPr>
        <w:t xml:space="preserve">noted that </w:t>
      </w:r>
      <w:r>
        <w:rPr>
          <w:sz w:val="26"/>
          <w:szCs w:val="26"/>
        </w:rPr>
        <w:t xml:space="preserve">the Complainant </w:t>
      </w:r>
      <w:r w:rsidRPr="00A731DA">
        <w:rPr>
          <w:sz w:val="26"/>
          <w:szCs w:val="26"/>
        </w:rPr>
        <w:t xml:space="preserve">did not offer any </w:t>
      </w:r>
      <w:r w:rsidRPr="00A731DA">
        <w:rPr>
          <w:sz w:val="26"/>
          <w:szCs w:val="26"/>
        </w:rPr>
        <w:lastRenderedPageBreak/>
        <w:t xml:space="preserve">documentary evidence to establish that the foreign loads had been corrected, and further noted that </w:t>
      </w:r>
      <w:r>
        <w:rPr>
          <w:sz w:val="26"/>
          <w:szCs w:val="26"/>
        </w:rPr>
        <w:t>the Complainant</w:t>
      </w:r>
      <w:r w:rsidRPr="00A731DA">
        <w:rPr>
          <w:sz w:val="26"/>
          <w:szCs w:val="26"/>
        </w:rPr>
        <w:t xml:space="preserve"> admitted that he is the owner of the rental units.  </w:t>
      </w:r>
      <w:r>
        <w:rPr>
          <w:sz w:val="26"/>
          <w:szCs w:val="26"/>
        </w:rPr>
        <w:t>I.D. at 19.</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sz w:val="26"/>
          <w:szCs w:val="26"/>
        </w:rPr>
      </w:pPr>
      <w:r>
        <w:rPr>
          <w:sz w:val="26"/>
          <w:szCs w:val="26"/>
        </w:rPr>
        <w:t xml:space="preserve">Our first issue of concern centers on the questions of fact surrounding the Complainant’s testimony in which he claimed he fixed the foreign wiring and sent the completed forms to PPL notifying PPL of such.  If PPL had, in fact, received the forms notifying it that the Complainant corrected the foreign loads, </w:t>
      </w:r>
      <w:r w:rsidR="0068752B">
        <w:rPr>
          <w:sz w:val="26"/>
          <w:szCs w:val="26"/>
        </w:rPr>
        <w:t xml:space="preserve">in accordance with our foreign load policy, </w:t>
      </w:r>
      <w:r>
        <w:rPr>
          <w:sz w:val="26"/>
          <w:szCs w:val="26"/>
        </w:rPr>
        <w:t>the duty would</w:t>
      </w:r>
      <w:r w:rsidR="0068752B">
        <w:rPr>
          <w:sz w:val="26"/>
          <w:szCs w:val="26"/>
        </w:rPr>
        <w:t xml:space="preserve"> then</w:t>
      </w:r>
      <w:r>
        <w:rPr>
          <w:sz w:val="26"/>
          <w:szCs w:val="26"/>
        </w:rPr>
        <w:t xml:space="preserve"> shift to PPL to perform an inspection to verify the landlord’s corrections within a reasonable time after it received such notice.  As we have previously stated, pursuant to 66 Pa. C.S. § 1529.1, once the landlord corrects the foreign load, the utility </w:t>
      </w:r>
      <w:r w:rsidR="0068752B">
        <w:rPr>
          <w:sz w:val="26"/>
          <w:szCs w:val="26"/>
        </w:rPr>
        <w:t>should</w:t>
      </w:r>
      <w:r>
        <w:rPr>
          <w:sz w:val="26"/>
          <w:szCs w:val="26"/>
        </w:rPr>
        <w:t xml:space="preserve"> verify the correction, and once the fix is verified by the utility, the utility must re-list the account back in the name of the tenant.  </w:t>
      </w:r>
      <w:r w:rsidRPr="00EC7444">
        <w:rPr>
          <w:i/>
          <w:sz w:val="26"/>
          <w:szCs w:val="26"/>
        </w:rPr>
        <w:t>Ace Check</w:t>
      </w:r>
      <w:r>
        <w:rPr>
          <w:i/>
          <w:sz w:val="26"/>
          <w:szCs w:val="26"/>
        </w:rPr>
        <w:t xml:space="preserve"> Cashing</w:t>
      </w:r>
      <w:r>
        <w:rPr>
          <w:sz w:val="26"/>
          <w:szCs w:val="26"/>
        </w:rPr>
        <w:t>;</w:t>
      </w:r>
      <w:r w:rsidRPr="00197829">
        <w:rPr>
          <w:i/>
          <w:sz w:val="26"/>
          <w:szCs w:val="26"/>
        </w:rPr>
        <w:t xml:space="preserve"> </w:t>
      </w:r>
      <w:r w:rsidRPr="00EC7444">
        <w:rPr>
          <w:i/>
          <w:sz w:val="26"/>
          <w:szCs w:val="26"/>
        </w:rPr>
        <w:t>Kopf</w:t>
      </w:r>
      <w:r>
        <w:rPr>
          <w:sz w:val="26"/>
          <w:szCs w:val="26"/>
        </w:rPr>
        <w:t>.</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sz w:val="26"/>
          <w:szCs w:val="26"/>
        </w:rPr>
      </w:pPr>
      <w:r>
        <w:rPr>
          <w:sz w:val="26"/>
          <w:szCs w:val="26"/>
        </w:rPr>
        <w:t xml:space="preserve">Nevertheless, based on our review of the record, we </w:t>
      </w:r>
      <w:r w:rsidR="00B41BBA">
        <w:rPr>
          <w:sz w:val="26"/>
          <w:szCs w:val="26"/>
        </w:rPr>
        <w:t>acknowledge</w:t>
      </w:r>
      <w:r>
        <w:rPr>
          <w:sz w:val="26"/>
          <w:szCs w:val="26"/>
        </w:rPr>
        <w:t xml:space="preserve"> that the ALJ, as the presiding officer at the hearing, </w:t>
      </w:r>
      <w:r w:rsidR="00B41BBA">
        <w:rPr>
          <w:sz w:val="26"/>
          <w:szCs w:val="26"/>
        </w:rPr>
        <w:t>determined that</w:t>
      </w:r>
      <w:r>
        <w:rPr>
          <w:sz w:val="26"/>
          <w:szCs w:val="26"/>
        </w:rPr>
        <w:t xml:space="preserve"> the Complainant’s testimony was vague and inconsistent and therefore lack</w:t>
      </w:r>
      <w:r w:rsidR="00382FBA">
        <w:rPr>
          <w:sz w:val="26"/>
          <w:szCs w:val="26"/>
        </w:rPr>
        <w:t>s</w:t>
      </w:r>
      <w:r>
        <w:rPr>
          <w:sz w:val="26"/>
          <w:szCs w:val="26"/>
        </w:rPr>
        <w:t xml:space="preserve"> credibility to a significant degree.  </w:t>
      </w:r>
      <w:r w:rsidRPr="00DF0983">
        <w:rPr>
          <w:i/>
          <w:sz w:val="26"/>
          <w:szCs w:val="26"/>
        </w:rPr>
        <w:t>See</w:t>
      </w:r>
      <w:r>
        <w:rPr>
          <w:sz w:val="26"/>
          <w:szCs w:val="26"/>
        </w:rPr>
        <w:t xml:space="preserve"> I.D. at 17.  We concur with the ALJ that the Complainant failed to offer any documentary evidence to substantiate (or corroborate) his testimony that he, in fact, fixed the foreign load wirings at the various properties.  We also agree that the Complainant failed to offer any documentary evidence to substantiate his testimony that he returned the completed certification forms to PPL, which would have placed PPL on notice that he fixed the wiring.  The burden of proof rested with the Complainant in this case under 66 Pa. C.S. §</w:t>
      </w:r>
      <w:r w:rsidR="006110D4">
        <w:rPr>
          <w:sz w:val="26"/>
          <w:szCs w:val="26"/>
        </w:rPr>
        <w:t> </w:t>
      </w:r>
      <w:r>
        <w:rPr>
          <w:sz w:val="26"/>
          <w:szCs w:val="26"/>
        </w:rPr>
        <w:t>332(a)</w:t>
      </w:r>
      <w:r w:rsidR="00962931">
        <w:rPr>
          <w:sz w:val="26"/>
          <w:szCs w:val="26"/>
        </w:rPr>
        <w:t>;</w:t>
      </w:r>
      <w:r>
        <w:rPr>
          <w:sz w:val="26"/>
          <w:szCs w:val="26"/>
        </w:rPr>
        <w:t xml:space="preserve"> and given that he failed to establish these two crucial facts at hearing, we must refrain from considering the next </w:t>
      </w:r>
      <w:r w:rsidR="003E1997">
        <w:rPr>
          <w:sz w:val="26"/>
          <w:szCs w:val="26"/>
        </w:rPr>
        <w:t>question</w:t>
      </w:r>
      <w:r w:rsidR="00382FBA">
        <w:rPr>
          <w:sz w:val="26"/>
          <w:szCs w:val="26"/>
        </w:rPr>
        <w:t xml:space="preserve"> </w:t>
      </w:r>
      <w:r>
        <w:rPr>
          <w:sz w:val="26"/>
          <w:szCs w:val="26"/>
        </w:rPr>
        <w:t xml:space="preserve">of whether PPL failed to verify the correction within a reasonable time after it had received notice </w:t>
      </w:r>
      <w:r w:rsidR="00962931">
        <w:rPr>
          <w:sz w:val="26"/>
          <w:szCs w:val="26"/>
        </w:rPr>
        <w:t>that the foreign wiring had been rectified.</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sz w:val="26"/>
          <w:szCs w:val="26"/>
        </w:rPr>
      </w:pPr>
      <w:r w:rsidRPr="00DD2EFB">
        <w:rPr>
          <w:sz w:val="26"/>
          <w:szCs w:val="26"/>
        </w:rPr>
        <w:lastRenderedPageBreak/>
        <w:t>Based o</w:t>
      </w:r>
      <w:r w:rsidR="002A437B">
        <w:rPr>
          <w:sz w:val="26"/>
          <w:szCs w:val="26"/>
        </w:rPr>
        <w:t xml:space="preserve">n the foregoing, we will deny </w:t>
      </w:r>
      <w:r w:rsidRPr="00DD2EFB">
        <w:rPr>
          <w:sz w:val="26"/>
          <w:szCs w:val="26"/>
        </w:rPr>
        <w:t xml:space="preserve">the Complainant’s second Exception.  </w:t>
      </w:r>
      <w:r>
        <w:rPr>
          <w:sz w:val="26"/>
          <w:szCs w:val="26"/>
        </w:rPr>
        <w:t xml:space="preserve">The Complainant failed to </w:t>
      </w:r>
      <w:r w:rsidR="00B41BBA">
        <w:rPr>
          <w:sz w:val="26"/>
          <w:szCs w:val="26"/>
        </w:rPr>
        <w:t>meet his burden of production and burden of persuasion on the issue of whether and when he fixed the foreign load conditions and whether and when</w:t>
      </w:r>
      <w:r>
        <w:rPr>
          <w:sz w:val="26"/>
          <w:szCs w:val="26"/>
        </w:rPr>
        <w:t xml:space="preserve"> he </w:t>
      </w:r>
      <w:r w:rsidR="00B41BBA">
        <w:rPr>
          <w:sz w:val="26"/>
          <w:szCs w:val="26"/>
        </w:rPr>
        <w:t>sent</w:t>
      </w:r>
      <w:r>
        <w:rPr>
          <w:sz w:val="26"/>
          <w:szCs w:val="26"/>
        </w:rPr>
        <w:t xml:space="preserve"> notice to PPL indicating that the foreign load </w:t>
      </w:r>
      <w:r w:rsidR="00B41BBA">
        <w:rPr>
          <w:sz w:val="26"/>
          <w:szCs w:val="26"/>
        </w:rPr>
        <w:t>conditions were</w:t>
      </w:r>
      <w:r>
        <w:rPr>
          <w:sz w:val="26"/>
          <w:szCs w:val="26"/>
        </w:rPr>
        <w:t xml:space="preserve"> fixed.  Therefore, we concur with the ALJ that the Complainant failed to establish that there are incorrect charges on his bill.</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rFonts w:eastAsia="Calibri"/>
          <w:sz w:val="26"/>
          <w:szCs w:val="26"/>
        </w:rPr>
      </w:pPr>
      <w:r>
        <w:rPr>
          <w:sz w:val="26"/>
          <w:szCs w:val="26"/>
        </w:rPr>
        <w:t xml:space="preserve">Our second issue of concern, as raised in the Complainant’s second Exception, is that </w:t>
      </w:r>
      <w:r w:rsidRPr="00880C6F">
        <w:rPr>
          <w:rFonts w:eastAsia="Calibri"/>
          <w:sz w:val="26"/>
          <w:szCs w:val="26"/>
        </w:rPr>
        <w:t xml:space="preserve">the Complainant </w:t>
      </w:r>
      <w:r>
        <w:rPr>
          <w:rFonts w:eastAsia="Calibri"/>
          <w:sz w:val="26"/>
          <w:szCs w:val="26"/>
        </w:rPr>
        <w:t>stated he was not able to get his evicted t</w:t>
      </w:r>
      <w:r w:rsidRPr="00880C6F">
        <w:rPr>
          <w:rFonts w:eastAsia="Calibri"/>
          <w:sz w:val="26"/>
          <w:szCs w:val="26"/>
        </w:rPr>
        <w:t xml:space="preserve">enants to sign PPL’s form to verify that the </w:t>
      </w:r>
      <w:r>
        <w:rPr>
          <w:rFonts w:eastAsia="Calibri"/>
          <w:sz w:val="26"/>
          <w:szCs w:val="26"/>
        </w:rPr>
        <w:t xml:space="preserve">foreign wiring </w:t>
      </w:r>
      <w:r w:rsidRPr="00880C6F">
        <w:rPr>
          <w:rFonts w:eastAsia="Calibri"/>
          <w:sz w:val="26"/>
          <w:szCs w:val="26"/>
        </w:rPr>
        <w:t xml:space="preserve">repairs </w:t>
      </w:r>
      <w:r>
        <w:rPr>
          <w:rFonts w:eastAsia="Calibri"/>
          <w:sz w:val="26"/>
          <w:szCs w:val="26"/>
        </w:rPr>
        <w:t>had been</w:t>
      </w:r>
      <w:r w:rsidRPr="00880C6F">
        <w:rPr>
          <w:rFonts w:eastAsia="Calibri"/>
          <w:sz w:val="26"/>
          <w:szCs w:val="26"/>
        </w:rPr>
        <w:t xml:space="preserve"> made.</w:t>
      </w:r>
    </w:p>
    <w:p w:rsidR="00704D22" w:rsidRDefault="00704D22" w:rsidP="00DF2CE9">
      <w:pPr>
        <w:widowControl/>
        <w:spacing w:line="360" w:lineRule="auto"/>
        <w:ind w:firstLine="1440"/>
        <w:rPr>
          <w:rFonts w:eastAsia="Calibri"/>
          <w:sz w:val="26"/>
          <w:szCs w:val="26"/>
        </w:rPr>
      </w:pPr>
    </w:p>
    <w:p w:rsidR="00704D22" w:rsidRDefault="00704D22" w:rsidP="00DF2CE9">
      <w:pPr>
        <w:widowControl/>
        <w:spacing w:line="360" w:lineRule="auto"/>
        <w:ind w:firstLine="1440"/>
        <w:rPr>
          <w:sz w:val="26"/>
          <w:szCs w:val="26"/>
        </w:rPr>
      </w:pPr>
      <w:r>
        <w:rPr>
          <w:sz w:val="26"/>
          <w:szCs w:val="26"/>
        </w:rPr>
        <w:t>PPL’s certification form is titled as “</w:t>
      </w:r>
      <w:r w:rsidRPr="00B0552D">
        <w:rPr>
          <w:caps/>
          <w:sz w:val="26"/>
          <w:szCs w:val="26"/>
        </w:rPr>
        <w:t>PA Act 54 of 1993 Property Owner’s Notification Foreign Load/Wiring Fixed</w:t>
      </w:r>
      <w:r w:rsidRPr="00B0552D">
        <w:rPr>
          <w:sz w:val="26"/>
          <w:szCs w:val="26"/>
        </w:rPr>
        <w:t xml:space="preserve">.”  </w:t>
      </w:r>
      <w:r>
        <w:rPr>
          <w:sz w:val="26"/>
          <w:szCs w:val="26"/>
        </w:rPr>
        <w:t>See Exhibits 3A-7, 3A</w:t>
      </w:r>
      <w:r w:rsidR="00556093">
        <w:rPr>
          <w:sz w:val="26"/>
          <w:szCs w:val="26"/>
        </w:rPr>
        <w:noBreakHyphen/>
      </w:r>
      <w:r>
        <w:rPr>
          <w:sz w:val="26"/>
          <w:szCs w:val="26"/>
        </w:rPr>
        <w:t xml:space="preserve">8, 3C-6, 3C-7, 3D-9, 3D-10.  </w:t>
      </w:r>
      <w:r w:rsidR="00B41BBA">
        <w:rPr>
          <w:sz w:val="26"/>
          <w:szCs w:val="26"/>
        </w:rPr>
        <w:t>We note that we have not required PPL to utilize this form.  The form</w:t>
      </w:r>
      <w:r>
        <w:rPr>
          <w:sz w:val="26"/>
          <w:szCs w:val="26"/>
        </w:rPr>
        <w:t xml:space="preserve"> consists of two pages.  On the second page</w:t>
      </w:r>
      <w:r w:rsidR="00B41BBA">
        <w:rPr>
          <w:sz w:val="26"/>
          <w:szCs w:val="26"/>
        </w:rPr>
        <w:t>,</w:t>
      </w:r>
      <w:r>
        <w:rPr>
          <w:sz w:val="26"/>
          <w:szCs w:val="26"/>
        </w:rPr>
        <w:t xml:space="preserve"> upper part, </w:t>
      </w:r>
      <w:r w:rsidR="00B41BBA">
        <w:rPr>
          <w:sz w:val="26"/>
          <w:szCs w:val="26"/>
        </w:rPr>
        <w:t xml:space="preserve">of the form, </w:t>
      </w:r>
      <w:r>
        <w:rPr>
          <w:sz w:val="26"/>
          <w:szCs w:val="26"/>
        </w:rPr>
        <w:t>the landlord is required to certify that the foreign load wiring has been fixed and to provide further relevant attestations related to the foreign load on the account.  On the</w:t>
      </w:r>
      <w:r w:rsidR="00B41BBA">
        <w:rPr>
          <w:sz w:val="26"/>
          <w:szCs w:val="26"/>
        </w:rPr>
        <w:t xml:space="preserve"> second page,</w:t>
      </w:r>
      <w:r>
        <w:rPr>
          <w:sz w:val="26"/>
          <w:szCs w:val="26"/>
        </w:rPr>
        <w:t xml:space="preserve"> bottom part</w:t>
      </w:r>
      <w:r w:rsidR="00B41BBA">
        <w:rPr>
          <w:sz w:val="26"/>
          <w:szCs w:val="26"/>
        </w:rPr>
        <w:t>,</w:t>
      </w:r>
      <w:r>
        <w:rPr>
          <w:sz w:val="26"/>
          <w:szCs w:val="26"/>
        </w:rPr>
        <w:t xml:space="preserve"> of the</w:t>
      </w:r>
      <w:r w:rsidR="00B41BBA">
        <w:rPr>
          <w:sz w:val="26"/>
          <w:szCs w:val="26"/>
        </w:rPr>
        <w:t xml:space="preserve"> form</w:t>
      </w:r>
      <w:r>
        <w:rPr>
          <w:sz w:val="26"/>
          <w:szCs w:val="26"/>
        </w:rPr>
        <w:t>, the tenant is required to make various attestations and request that electric service be placed into his/her name.</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sz w:val="26"/>
          <w:szCs w:val="26"/>
        </w:rPr>
      </w:pPr>
      <w:r>
        <w:rPr>
          <w:sz w:val="26"/>
          <w:szCs w:val="26"/>
        </w:rPr>
        <w:t xml:space="preserve">Specifically, the tenant is required to sign his/her name stating the following: </w:t>
      </w:r>
      <w:r w:rsidRPr="00B0552D">
        <w:rPr>
          <w:sz w:val="26"/>
          <w:szCs w:val="26"/>
        </w:rPr>
        <w:t>“</w:t>
      </w:r>
      <w:r w:rsidRPr="00B0552D">
        <w:rPr>
          <w:i/>
          <w:sz w:val="26"/>
          <w:szCs w:val="26"/>
        </w:rPr>
        <w:t>I, the tenant, agree that the property owner has fixed the internal wiring</w:t>
      </w:r>
      <w:r w:rsidRPr="00B0552D">
        <w:rPr>
          <w:sz w:val="26"/>
          <w:szCs w:val="26"/>
        </w:rPr>
        <w:t>.”</w:t>
      </w:r>
      <w:r>
        <w:rPr>
          <w:sz w:val="26"/>
          <w:szCs w:val="26"/>
        </w:rPr>
        <w:t xml:space="preserve">  Exhibits 3A-8, 3C-7, 3D-10 (emphasis added).  The above statement contained in PPL’s certification form imposes a requirement on the landlord to seek the tenant’s agreement to a statement that the wiring has been fixed.  However, we recognize that a tenant may not possess full information or knowledge to be able to agree to such a statement.</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sz w:val="26"/>
          <w:szCs w:val="26"/>
        </w:rPr>
      </w:pPr>
      <w:r>
        <w:rPr>
          <w:sz w:val="26"/>
          <w:szCs w:val="26"/>
        </w:rPr>
        <w:t xml:space="preserve">PPL’s form also requires the tenant to state: </w:t>
      </w:r>
      <w:r w:rsidRPr="00B0552D">
        <w:rPr>
          <w:sz w:val="26"/>
          <w:szCs w:val="26"/>
        </w:rPr>
        <w:t>“</w:t>
      </w:r>
      <w:r w:rsidRPr="00B0552D">
        <w:rPr>
          <w:i/>
          <w:sz w:val="26"/>
          <w:szCs w:val="26"/>
        </w:rPr>
        <w:t>I, the tenant, request electric serv</w:t>
      </w:r>
      <w:r w:rsidR="00320887">
        <w:rPr>
          <w:i/>
          <w:sz w:val="26"/>
          <w:szCs w:val="26"/>
        </w:rPr>
        <w:t>ic</w:t>
      </w:r>
      <w:r w:rsidRPr="00B0552D">
        <w:rPr>
          <w:i/>
          <w:sz w:val="26"/>
          <w:szCs w:val="26"/>
        </w:rPr>
        <w:t xml:space="preserve">e at [the premise address] billed to me and assume responsibility as ratepayer </w:t>
      </w:r>
      <w:r w:rsidRPr="00B0552D">
        <w:rPr>
          <w:i/>
          <w:sz w:val="26"/>
          <w:szCs w:val="26"/>
        </w:rPr>
        <w:lastRenderedPageBreak/>
        <w:t>effective [connect date]</w:t>
      </w:r>
      <w:r w:rsidRPr="00B0552D">
        <w:rPr>
          <w:sz w:val="26"/>
          <w:szCs w:val="26"/>
        </w:rPr>
        <w:t>.”</w:t>
      </w:r>
      <w:r>
        <w:rPr>
          <w:sz w:val="26"/>
          <w:szCs w:val="26"/>
        </w:rPr>
        <w:t xml:space="preserve">  Exhibits 3A-8, 3C-7, 3D-10 (emphasis added).  The foregoing statement contained in PPL’s certification form imposes a requirement on the landlord to seek the tenant’s agreement to have service put back in the tenant’s name.  We recognize, however, that a tenant may be reluctant to do so, to the frustration of the property owner. </w:t>
      </w:r>
    </w:p>
    <w:p w:rsidR="00704D22" w:rsidRDefault="00704D22" w:rsidP="00DF2CE9">
      <w:pPr>
        <w:widowControl/>
        <w:spacing w:line="360" w:lineRule="auto"/>
        <w:ind w:firstLine="1440"/>
        <w:rPr>
          <w:sz w:val="26"/>
          <w:szCs w:val="26"/>
        </w:rPr>
      </w:pPr>
    </w:p>
    <w:p w:rsidR="00704D22" w:rsidRDefault="00704D22" w:rsidP="00DF2CE9">
      <w:pPr>
        <w:widowControl/>
        <w:spacing w:line="360" w:lineRule="auto"/>
        <w:ind w:firstLine="1440"/>
        <w:rPr>
          <w:sz w:val="26"/>
          <w:szCs w:val="26"/>
        </w:rPr>
      </w:pPr>
      <w:r>
        <w:rPr>
          <w:sz w:val="26"/>
          <w:szCs w:val="26"/>
        </w:rPr>
        <w:t xml:space="preserve">The above statements in PPL’s form remind us of our prior decision in </w:t>
      </w:r>
      <w:r w:rsidRPr="00AF0EEA">
        <w:rPr>
          <w:i/>
          <w:iCs/>
          <w:sz w:val="26"/>
          <w:szCs w:val="26"/>
        </w:rPr>
        <w:t>Franckowiak v. PPL Electric Utilities Corp.,</w:t>
      </w:r>
      <w:r w:rsidRPr="00AF0EEA">
        <w:rPr>
          <w:sz w:val="26"/>
          <w:szCs w:val="26"/>
        </w:rPr>
        <w:t xml:space="preserve"> Docket No. C</w:t>
      </w:r>
      <w:r w:rsidRPr="0060705B">
        <w:rPr>
          <w:sz w:val="26"/>
          <w:szCs w:val="26"/>
        </w:rPr>
        <w:t>- 20054687, 101 Pa. P.U</w:t>
      </w:r>
      <w:r w:rsidRPr="00AF0EEA">
        <w:rPr>
          <w:sz w:val="26"/>
          <w:szCs w:val="26"/>
        </w:rPr>
        <w:t>.C. 630 (Order entered July 3, 2006) (</w:t>
      </w:r>
      <w:r w:rsidRPr="00AF0EEA">
        <w:rPr>
          <w:i/>
          <w:iCs/>
          <w:sz w:val="26"/>
          <w:szCs w:val="26"/>
        </w:rPr>
        <w:t>Franckowiak</w:t>
      </w:r>
      <w:r>
        <w:rPr>
          <w:sz w:val="26"/>
          <w:szCs w:val="26"/>
        </w:rPr>
        <w:t xml:space="preserve">), in which we stated that a </w:t>
      </w:r>
      <w:r w:rsidRPr="00AF0EEA">
        <w:rPr>
          <w:sz w:val="26"/>
          <w:szCs w:val="26"/>
        </w:rPr>
        <w:t xml:space="preserve">utility is not required to </w:t>
      </w:r>
      <w:r>
        <w:rPr>
          <w:sz w:val="26"/>
          <w:szCs w:val="26"/>
        </w:rPr>
        <w:t xml:space="preserve">coordinate with a landlord in carrying out its obligations under Section 1529.1 to perform a foreign load investigation, noting that </w:t>
      </w:r>
      <w:r w:rsidRPr="00AF0EEA">
        <w:rPr>
          <w:sz w:val="26"/>
          <w:szCs w:val="26"/>
        </w:rPr>
        <w:t xml:space="preserve">such a requirement </w:t>
      </w:r>
      <w:r>
        <w:rPr>
          <w:sz w:val="26"/>
          <w:szCs w:val="26"/>
        </w:rPr>
        <w:t xml:space="preserve">could </w:t>
      </w:r>
      <w:r w:rsidRPr="00AF0EEA">
        <w:rPr>
          <w:bCs/>
          <w:sz w:val="26"/>
          <w:szCs w:val="26"/>
        </w:rPr>
        <w:t>encourage</w:t>
      </w:r>
      <w:r w:rsidRPr="00AF0EEA">
        <w:rPr>
          <w:sz w:val="26"/>
          <w:szCs w:val="26"/>
        </w:rPr>
        <w:t xml:space="preserve"> dilatory behavior </w:t>
      </w:r>
      <w:r>
        <w:rPr>
          <w:sz w:val="26"/>
          <w:szCs w:val="26"/>
        </w:rPr>
        <w:t xml:space="preserve">on behalf of the </w:t>
      </w:r>
      <w:r w:rsidRPr="00AF0EEA">
        <w:rPr>
          <w:bCs/>
          <w:sz w:val="26"/>
          <w:szCs w:val="26"/>
        </w:rPr>
        <w:t>landlord</w:t>
      </w:r>
      <w:r w:rsidRPr="00AF0EEA">
        <w:rPr>
          <w:sz w:val="26"/>
          <w:szCs w:val="26"/>
        </w:rPr>
        <w:t xml:space="preserve"> </w:t>
      </w:r>
      <w:r>
        <w:rPr>
          <w:sz w:val="26"/>
          <w:szCs w:val="26"/>
        </w:rPr>
        <w:t>to the frustration of the lessees</w:t>
      </w:r>
      <w:r w:rsidRPr="00AF0EEA">
        <w:rPr>
          <w:color w:val="212121"/>
          <w:sz w:val="26"/>
          <w:szCs w:val="26"/>
        </w:rPr>
        <w:t>.</w:t>
      </w:r>
      <w:r>
        <w:rPr>
          <w:color w:val="212121"/>
          <w:sz w:val="26"/>
          <w:szCs w:val="26"/>
        </w:rPr>
        <w:t xml:space="preserve">  </w:t>
      </w:r>
      <w:r>
        <w:rPr>
          <w:iCs/>
          <w:sz w:val="26"/>
          <w:szCs w:val="26"/>
        </w:rPr>
        <w:t xml:space="preserve">Upon review, it would strike us that the inverse of the logic in </w:t>
      </w:r>
      <w:r w:rsidRPr="00E019A4">
        <w:rPr>
          <w:i/>
          <w:iCs/>
          <w:sz w:val="26"/>
          <w:szCs w:val="26"/>
        </w:rPr>
        <w:t>Franckowiak</w:t>
      </w:r>
      <w:r>
        <w:rPr>
          <w:iCs/>
          <w:sz w:val="26"/>
          <w:szCs w:val="26"/>
        </w:rPr>
        <w:t xml:space="preserve"> would be consistent with Section 1529.1 of the Code as well, and therefore should apply in foreign load situations.  That is –</w:t>
      </w:r>
      <w:r>
        <w:rPr>
          <w:sz w:val="26"/>
          <w:szCs w:val="26"/>
        </w:rPr>
        <w:t xml:space="preserve"> neither the landlord nor the utility is required to seek the agreement of the tenant that the foreign load wiring is fixed or the agreement of the tenant for the utility to re-list the account in the name of the tenant after the foreign load correction is verified by the utility.  </w:t>
      </w:r>
      <w:r w:rsidR="00E43103">
        <w:rPr>
          <w:sz w:val="26"/>
          <w:szCs w:val="26"/>
        </w:rPr>
        <w:t>To require otherwise, as PPL’s form does, could frustrate the process for property owners.</w:t>
      </w:r>
    </w:p>
    <w:p w:rsidR="00704D22" w:rsidRDefault="00704D22" w:rsidP="00DF2CE9">
      <w:pPr>
        <w:widowControl/>
        <w:spacing w:line="360" w:lineRule="auto"/>
        <w:ind w:firstLine="1440"/>
        <w:rPr>
          <w:sz w:val="26"/>
          <w:szCs w:val="26"/>
        </w:rPr>
      </w:pPr>
    </w:p>
    <w:p w:rsidR="00704D22" w:rsidRDefault="00320887" w:rsidP="00DF2CE9">
      <w:pPr>
        <w:widowControl/>
        <w:spacing w:line="360" w:lineRule="auto"/>
        <w:ind w:firstLine="1440"/>
        <w:rPr>
          <w:sz w:val="26"/>
          <w:szCs w:val="26"/>
        </w:rPr>
      </w:pPr>
      <w:r>
        <w:rPr>
          <w:sz w:val="26"/>
          <w:szCs w:val="26"/>
        </w:rPr>
        <w:t xml:space="preserve">We encourage </w:t>
      </w:r>
      <w:r w:rsidR="00E24EEE">
        <w:rPr>
          <w:sz w:val="26"/>
          <w:szCs w:val="26"/>
        </w:rPr>
        <w:t xml:space="preserve">PPL </w:t>
      </w:r>
      <w:r>
        <w:rPr>
          <w:sz w:val="26"/>
          <w:szCs w:val="26"/>
        </w:rPr>
        <w:t>to follow our</w:t>
      </w:r>
      <w:r w:rsidR="00704D22" w:rsidRPr="005E1849">
        <w:rPr>
          <w:sz w:val="26"/>
          <w:szCs w:val="26"/>
        </w:rPr>
        <w:t xml:space="preserve"> long-standing </w:t>
      </w:r>
      <w:r>
        <w:rPr>
          <w:sz w:val="26"/>
          <w:szCs w:val="26"/>
        </w:rPr>
        <w:t xml:space="preserve">foreign load </w:t>
      </w:r>
      <w:r w:rsidR="00704D22" w:rsidRPr="005E1849">
        <w:rPr>
          <w:sz w:val="26"/>
          <w:szCs w:val="26"/>
        </w:rPr>
        <w:t xml:space="preserve">policy, as articulated in </w:t>
      </w:r>
      <w:r w:rsidR="00704D22" w:rsidRPr="005E1849">
        <w:rPr>
          <w:i/>
          <w:sz w:val="26"/>
          <w:szCs w:val="26"/>
        </w:rPr>
        <w:t>Ace Check Cashing</w:t>
      </w:r>
      <w:r w:rsidR="00704D22">
        <w:rPr>
          <w:sz w:val="26"/>
          <w:szCs w:val="26"/>
        </w:rPr>
        <w:t xml:space="preserve">.  That is, after the landlord corrects the foreign load, the utility </w:t>
      </w:r>
      <w:r>
        <w:rPr>
          <w:sz w:val="26"/>
          <w:szCs w:val="26"/>
        </w:rPr>
        <w:t xml:space="preserve">should </w:t>
      </w:r>
      <w:r w:rsidR="00704D22">
        <w:rPr>
          <w:sz w:val="26"/>
          <w:szCs w:val="26"/>
        </w:rPr>
        <w:t xml:space="preserve">verify the corrected wiring, and once verified, the utility thereafter shall re-list the account back in the name of the tenant.  </w:t>
      </w:r>
      <w:r w:rsidR="00704D22" w:rsidRPr="005E1849">
        <w:rPr>
          <w:i/>
          <w:sz w:val="26"/>
          <w:szCs w:val="26"/>
        </w:rPr>
        <w:t>Ace Check Cashing</w:t>
      </w:r>
      <w:r w:rsidR="00704D22">
        <w:rPr>
          <w:sz w:val="26"/>
          <w:szCs w:val="26"/>
        </w:rPr>
        <w:t>.  The utility shall hold the landlord responsible for any arrearage</w:t>
      </w:r>
      <w:r w:rsidR="00704D22">
        <w:rPr>
          <w:rStyle w:val="FootnoteReference"/>
          <w:sz w:val="26"/>
          <w:szCs w:val="26"/>
        </w:rPr>
        <w:footnoteReference w:id="10"/>
      </w:r>
      <w:r w:rsidR="00704D22">
        <w:rPr>
          <w:sz w:val="26"/>
          <w:szCs w:val="26"/>
        </w:rPr>
        <w:t xml:space="preserve"> on the account that existed prior to when </w:t>
      </w:r>
      <w:r w:rsidR="00704D22">
        <w:rPr>
          <w:sz w:val="26"/>
          <w:szCs w:val="26"/>
        </w:rPr>
        <w:lastRenderedPageBreak/>
        <w:t xml:space="preserve">the utility verified that the foreign load was corrected.  </w:t>
      </w:r>
      <w:r w:rsidR="00704D22" w:rsidRPr="00EC7444">
        <w:rPr>
          <w:i/>
          <w:sz w:val="26"/>
          <w:szCs w:val="26"/>
        </w:rPr>
        <w:t>Ace Check</w:t>
      </w:r>
      <w:r w:rsidR="00704D22">
        <w:rPr>
          <w:i/>
          <w:sz w:val="26"/>
          <w:szCs w:val="26"/>
        </w:rPr>
        <w:t xml:space="preserve"> Cashing</w:t>
      </w:r>
      <w:r w:rsidR="00704D22">
        <w:rPr>
          <w:sz w:val="26"/>
          <w:szCs w:val="26"/>
        </w:rPr>
        <w:t>;</w:t>
      </w:r>
      <w:r w:rsidR="00704D22" w:rsidRPr="00197829">
        <w:rPr>
          <w:i/>
          <w:sz w:val="26"/>
          <w:szCs w:val="26"/>
        </w:rPr>
        <w:t xml:space="preserve"> </w:t>
      </w:r>
      <w:r w:rsidR="00704D22" w:rsidRPr="00EC7444">
        <w:rPr>
          <w:i/>
          <w:sz w:val="26"/>
          <w:szCs w:val="26"/>
        </w:rPr>
        <w:t>Kopf</w:t>
      </w:r>
      <w:r w:rsidR="00704D22">
        <w:rPr>
          <w:sz w:val="26"/>
          <w:szCs w:val="26"/>
        </w:rPr>
        <w:t>.  However, after the utility re-lists the account in the tenant’s name, the tenant is responsible for any services rendered to the account from that point forward.</w:t>
      </w:r>
    </w:p>
    <w:p w:rsidR="00704D22" w:rsidRDefault="00704D22" w:rsidP="00DF2CE9">
      <w:pPr>
        <w:widowControl/>
        <w:spacing w:line="360" w:lineRule="auto"/>
        <w:ind w:firstLine="1440"/>
        <w:contextualSpacing/>
        <w:rPr>
          <w:sz w:val="26"/>
          <w:szCs w:val="26"/>
        </w:rPr>
      </w:pPr>
    </w:p>
    <w:p w:rsidR="00704D22" w:rsidRPr="00DD2EFB" w:rsidRDefault="00704D22" w:rsidP="00DF2CE9">
      <w:pPr>
        <w:widowControl/>
        <w:spacing w:line="360" w:lineRule="auto"/>
        <w:ind w:firstLine="1440"/>
        <w:contextualSpacing/>
        <w:rPr>
          <w:sz w:val="26"/>
          <w:szCs w:val="26"/>
        </w:rPr>
      </w:pPr>
      <w:r>
        <w:rPr>
          <w:sz w:val="26"/>
          <w:szCs w:val="26"/>
        </w:rPr>
        <w:t>Based on the foregoing, w</w:t>
      </w:r>
      <w:r w:rsidR="0036444F">
        <w:rPr>
          <w:sz w:val="26"/>
          <w:szCs w:val="26"/>
        </w:rPr>
        <w:t>e</w:t>
      </w:r>
      <w:r w:rsidR="002A437B">
        <w:rPr>
          <w:sz w:val="26"/>
          <w:szCs w:val="26"/>
        </w:rPr>
        <w:t xml:space="preserve"> recommend that PPL modify its </w:t>
      </w:r>
      <w:r>
        <w:rPr>
          <w:sz w:val="26"/>
          <w:szCs w:val="26"/>
        </w:rPr>
        <w:t>certification form, titled “</w:t>
      </w:r>
      <w:r w:rsidRPr="00B0552D">
        <w:rPr>
          <w:caps/>
          <w:sz w:val="26"/>
          <w:szCs w:val="26"/>
        </w:rPr>
        <w:t>PA Act 54 of 1993 Property Owner’s Notification Foreign Load/Wiring Fixed</w:t>
      </w:r>
      <w:r w:rsidR="002A437B">
        <w:rPr>
          <w:sz w:val="26"/>
          <w:szCs w:val="26"/>
        </w:rPr>
        <w:t>,</w:t>
      </w:r>
      <w:r w:rsidRPr="00B0552D">
        <w:rPr>
          <w:sz w:val="26"/>
          <w:szCs w:val="26"/>
        </w:rPr>
        <w:t>”</w:t>
      </w:r>
      <w:r w:rsidR="002A437B">
        <w:rPr>
          <w:sz w:val="26"/>
          <w:szCs w:val="26"/>
        </w:rPr>
        <w:t xml:space="preserve"> and its related notification practices.</w:t>
      </w:r>
      <w:r>
        <w:rPr>
          <w:sz w:val="26"/>
          <w:szCs w:val="26"/>
        </w:rPr>
        <w:t xml:space="preserve">  </w:t>
      </w:r>
      <w:r w:rsidR="0036444F">
        <w:rPr>
          <w:sz w:val="26"/>
          <w:szCs w:val="26"/>
        </w:rPr>
        <w:t>Specifically, i</w:t>
      </w:r>
      <w:r w:rsidR="002A437B">
        <w:rPr>
          <w:sz w:val="26"/>
          <w:szCs w:val="26"/>
        </w:rPr>
        <w:t>t is recommended that</w:t>
      </w:r>
      <w:r>
        <w:rPr>
          <w:sz w:val="26"/>
          <w:szCs w:val="26"/>
        </w:rPr>
        <w:t xml:space="preserve"> PPL </w:t>
      </w:r>
      <w:r w:rsidRPr="00DD2EFB">
        <w:rPr>
          <w:sz w:val="26"/>
          <w:szCs w:val="26"/>
        </w:rPr>
        <w:t xml:space="preserve">modify </w:t>
      </w:r>
      <w:r w:rsidR="0036444F">
        <w:rPr>
          <w:sz w:val="26"/>
          <w:szCs w:val="26"/>
        </w:rPr>
        <w:t>this</w:t>
      </w:r>
      <w:r w:rsidRPr="00DD2EFB">
        <w:rPr>
          <w:sz w:val="26"/>
          <w:szCs w:val="26"/>
        </w:rPr>
        <w:t xml:space="preserve"> form</w:t>
      </w:r>
      <w:r>
        <w:rPr>
          <w:sz w:val="26"/>
          <w:szCs w:val="26"/>
        </w:rPr>
        <w:t xml:space="preserve"> </w:t>
      </w:r>
      <w:r w:rsidRPr="00DD2EFB">
        <w:rPr>
          <w:sz w:val="26"/>
          <w:szCs w:val="26"/>
        </w:rPr>
        <w:t xml:space="preserve">to remove any </w:t>
      </w:r>
      <w:r>
        <w:rPr>
          <w:sz w:val="26"/>
          <w:szCs w:val="26"/>
        </w:rPr>
        <w:t xml:space="preserve">and all </w:t>
      </w:r>
      <w:r w:rsidRPr="00DD2EFB">
        <w:rPr>
          <w:sz w:val="26"/>
          <w:szCs w:val="26"/>
        </w:rPr>
        <w:t>attestations and agreements from the tenant</w:t>
      </w:r>
      <w:r>
        <w:rPr>
          <w:sz w:val="26"/>
          <w:szCs w:val="26"/>
        </w:rPr>
        <w:t xml:space="preserve">.  </w:t>
      </w:r>
      <w:r w:rsidR="002A437B">
        <w:rPr>
          <w:sz w:val="26"/>
          <w:szCs w:val="26"/>
        </w:rPr>
        <w:t xml:space="preserve">It is also recommended that </w:t>
      </w:r>
      <w:r>
        <w:rPr>
          <w:sz w:val="26"/>
          <w:szCs w:val="26"/>
        </w:rPr>
        <w:t xml:space="preserve">PPL modify its </w:t>
      </w:r>
      <w:r w:rsidR="002A437B">
        <w:rPr>
          <w:sz w:val="26"/>
          <w:szCs w:val="26"/>
        </w:rPr>
        <w:t xml:space="preserve">notification </w:t>
      </w:r>
      <w:r>
        <w:rPr>
          <w:sz w:val="26"/>
          <w:szCs w:val="26"/>
        </w:rPr>
        <w:t xml:space="preserve">practices to be consistent with the foregoing directive.  </w:t>
      </w:r>
      <w:r w:rsidR="002A437B">
        <w:rPr>
          <w:sz w:val="26"/>
          <w:szCs w:val="26"/>
        </w:rPr>
        <w:t xml:space="preserve">For example, </w:t>
      </w:r>
      <w:r>
        <w:rPr>
          <w:sz w:val="26"/>
          <w:szCs w:val="26"/>
        </w:rPr>
        <w:t xml:space="preserve">PPL should provide timely and sufficient notice to the tenant when the account is removed from the tenant’s name and placed into the property owner’s name due to the </w:t>
      </w:r>
      <w:r w:rsidR="00F13750">
        <w:rPr>
          <w:sz w:val="26"/>
          <w:szCs w:val="26"/>
        </w:rPr>
        <w:t xml:space="preserve">utility’s discovery </w:t>
      </w:r>
      <w:r>
        <w:rPr>
          <w:sz w:val="26"/>
          <w:szCs w:val="26"/>
        </w:rPr>
        <w:t>of a foreign load</w:t>
      </w:r>
      <w:r w:rsidR="00F13750">
        <w:rPr>
          <w:sz w:val="26"/>
          <w:szCs w:val="26"/>
        </w:rPr>
        <w:t>.  In addition, PPL should provide timely and sufficient notice to the tenant when the foreign load has been correct</w:t>
      </w:r>
      <w:r w:rsidR="00E43103">
        <w:rPr>
          <w:sz w:val="26"/>
          <w:szCs w:val="26"/>
        </w:rPr>
        <w:t>ed</w:t>
      </w:r>
      <w:r>
        <w:rPr>
          <w:sz w:val="26"/>
          <w:szCs w:val="26"/>
        </w:rPr>
        <w:t xml:space="preserve"> and </w:t>
      </w:r>
      <w:r w:rsidR="00F13750">
        <w:rPr>
          <w:sz w:val="26"/>
          <w:szCs w:val="26"/>
        </w:rPr>
        <w:t xml:space="preserve">when </w:t>
      </w:r>
      <w:r>
        <w:rPr>
          <w:sz w:val="26"/>
          <w:szCs w:val="26"/>
        </w:rPr>
        <w:t xml:space="preserve">the account is re-listed in the tenant’s name.  We believe these </w:t>
      </w:r>
      <w:r w:rsidR="002A437B">
        <w:rPr>
          <w:sz w:val="26"/>
          <w:szCs w:val="26"/>
        </w:rPr>
        <w:t>recommendations</w:t>
      </w:r>
      <w:r>
        <w:rPr>
          <w:sz w:val="26"/>
          <w:szCs w:val="26"/>
        </w:rPr>
        <w:t xml:space="preserve"> will help remove any future potential impediments to the foreign load correction process and ensure fairness to property owners, tenants, and utilities, as contemplated under Section 1529.1 of the Code and the Commission’s Orders in </w:t>
      </w:r>
      <w:r w:rsidRPr="00EC7444">
        <w:rPr>
          <w:i/>
          <w:sz w:val="26"/>
          <w:szCs w:val="26"/>
        </w:rPr>
        <w:t>Ace Check</w:t>
      </w:r>
      <w:r>
        <w:rPr>
          <w:i/>
          <w:sz w:val="26"/>
          <w:szCs w:val="26"/>
        </w:rPr>
        <w:t xml:space="preserve"> Cashing</w:t>
      </w:r>
      <w:r>
        <w:rPr>
          <w:sz w:val="26"/>
          <w:szCs w:val="26"/>
        </w:rPr>
        <w:t xml:space="preserve"> and</w:t>
      </w:r>
      <w:r w:rsidRPr="00197829">
        <w:rPr>
          <w:i/>
          <w:sz w:val="26"/>
          <w:szCs w:val="26"/>
        </w:rPr>
        <w:t xml:space="preserve"> </w:t>
      </w:r>
      <w:r w:rsidRPr="00EC7444">
        <w:rPr>
          <w:i/>
          <w:sz w:val="26"/>
          <w:szCs w:val="26"/>
        </w:rPr>
        <w:t>Kopf</w:t>
      </w:r>
      <w:r>
        <w:rPr>
          <w:sz w:val="26"/>
          <w:szCs w:val="26"/>
        </w:rPr>
        <w:t xml:space="preserve">.  </w:t>
      </w:r>
    </w:p>
    <w:p w:rsidR="00880C6F" w:rsidRPr="00880C6F" w:rsidRDefault="00880C6F" w:rsidP="008B171F">
      <w:pPr>
        <w:widowControl/>
        <w:spacing w:line="360" w:lineRule="auto"/>
        <w:rPr>
          <w:rFonts w:eastAsia="Calibri"/>
          <w:b/>
          <w:sz w:val="26"/>
          <w:szCs w:val="26"/>
        </w:rPr>
      </w:pPr>
    </w:p>
    <w:p w:rsidR="00880C6F" w:rsidRDefault="00880C6F" w:rsidP="008B171F">
      <w:pPr>
        <w:pStyle w:val="ListParagraph"/>
        <w:widowControl/>
        <w:numPr>
          <w:ilvl w:val="1"/>
          <w:numId w:val="10"/>
        </w:numPr>
        <w:spacing w:line="360" w:lineRule="auto"/>
        <w:contextualSpacing w:val="0"/>
        <w:rPr>
          <w:rFonts w:eastAsia="Calibri"/>
          <w:b/>
          <w:sz w:val="26"/>
          <w:szCs w:val="26"/>
        </w:rPr>
      </w:pPr>
      <w:r>
        <w:rPr>
          <w:rFonts w:eastAsia="Calibri"/>
          <w:b/>
          <w:sz w:val="26"/>
          <w:szCs w:val="26"/>
        </w:rPr>
        <w:t>Exception No. 3</w:t>
      </w:r>
    </w:p>
    <w:p w:rsidR="00880C6F" w:rsidRDefault="00880C6F" w:rsidP="008B171F">
      <w:pPr>
        <w:widowControl/>
        <w:spacing w:line="360" w:lineRule="auto"/>
        <w:rPr>
          <w:rFonts w:eastAsia="Calibri"/>
          <w:sz w:val="26"/>
          <w:szCs w:val="26"/>
        </w:rPr>
      </w:pPr>
    </w:p>
    <w:p w:rsidR="00DF63B2" w:rsidRDefault="00880C6F" w:rsidP="00DF2CE9">
      <w:pPr>
        <w:widowControl/>
        <w:spacing w:line="360" w:lineRule="auto"/>
        <w:ind w:firstLine="1440"/>
        <w:rPr>
          <w:rFonts w:eastAsia="Calibri"/>
          <w:sz w:val="26"/>
          <w:szCs w:val="26"/>
        </w:rPr>
      </w:pPr>
      <w:r>
        <w:rPr>
          <w:rFonts w:eastAsia="Calibri"/>
          <w:sz w:val="26"/>
          <w:szCs w:val="26"/>
        </w:rPr>
        <w:t xml:space="preserve">In his third Exception, the Complainant takes exception to being held responsible for the tenant bills in the instance where PPL sent notice of the foreign load and transferred the account to the wrong party (Mr. Grebas) rather than the Complainant. The Complainant asserts that the record shows that in </w:t>
      </w:r>
      <w:r w:rsidR="00F07E5B">
        <w:rPr>
          <w:rFonts w:eastAsia="Calibri"/>
          <w:sz w:val="26"/>
          <w:szCs w:val="26"/>
        </w:rPr>
        <w:t>“</w:t>
      </w:r>
      <w:r>
        <w:rPr>
          <w:rFonts w:eastAsia="Calibri"/>
          <w:sz w:val="26"/>
          <w:szCs w:val="26"/>
        </w:rPr>
        <w:t>one particular property</w:t>
      </w:r>
      <w:r w:rsidR="00F07E5B">
        <w:rPr>
          <w:rFonts w:eastAsia="Calibri"/>
          <w:sz w:val="26"/>
          <w:szCs w:val="26"/>
        </w:rPr>
        <w:t>”</w:t>
      </w:r>
      <w:r>
        <w:rPr>
          <w:rFonts w:eastAsia="Calibri"/>
          <w:sz w:val="26"/>
          <w:szCs w:val="26"/>
        </w:rPr>
        <w:t xml:space="preserve"> owned by the Complainant, after notice was sent to the wrong party, the Complainant was sent the same notice after almost an entire</w:t>
      </w:r>
      <w:r w:rsidR="002A5FE5">
        <w:rPr>
          <w:rFonts w:eastAsia="Calibri"/>
          <w:sz w:val="26"/>
          <w:szCs w:val="26"/>
        </w:rPr>
        <w:t xml:space="preserve"> year</w:t>
      </w:r>
      <w:r>
        <w:rPr>
          <w:rFonts w:eastAsia="Calibri"/>
          <w:sz w:val="26"/>
          <w:szCs w:val="26"/>
        </w:rPr>
        <w:t xml:space="preserve">.  The Complainant argues it is unjust to allow the bill that was incurred during that year to assess against </w:t>
      </w:r>
      <w:r w:rsidR="006D2DD9">
        <w:rPr>
          <w:rFonts w:eastAsia="Calibri"/>
          <w:sz w:val="26"/>
          <w:szCs w:val="26"/>
        </w:rPr>
        <w:t>him</w:t>
      </w:r>
      <w:r w:rsidR="002A5FE5">
        <w:rPr>
          <w:rFonts w:eastAsia="Calibri"/>
          <w:sz w:val="26"/>
          <w:szCs w:val="26"/>
        </w:rPr>
        <w:t xml:space="preserve"> since he</w:t>
      </w:r>
      <w:r w:rsidR="006D2DD9">
        <w:rPr>
          <w:rFonts w:eastAsia="Calibri"/>
          <w:sz w:val="26"/>
          <w:szCs w:val="26"/>
        </w:rPr>
        <w:t>, as the landlord,</w:t>
      </w:r>
      <w:r w:rsidR="002A5FE5">
        <w:rPr>
          <w:rFonts w:eastAsia="Calibri"/>
          <w:sz w:val="26"/>
          <w:szCs w:val="26"/>
        </w:rPr>
        <w:t xml:space="preserve"> had no</w:t>
      </w:r>
      <w:r>
        <w:rPr>
          <w:rFonts w:eastAsia="Calibri"/>
          <w:sz w:val="26"/>
          <w:szCs w:val="26"/>
        </w:rPr>
        <w:t xml:space="preserve"> opportunity to cure the alleged foreign load.  Exc. at 4.</w:t>
      </w:r>
    </w:p>
    <w:p w:rsidR="00DF63B2" w:rsidRDefault="00DF63B2" w:rsidP="00DF2CE9">
      <w:pPr>
        <w:widowControl/>
        <w:spacing w:line="360" w:lineRule="auto"/>
        <w:ind w:firstLine="1440"/>
        <w:rPr>
          <w:rFonts w:eastAsia="Calibri"/>
          <w:sz w:val="26"/>
          <w:szCs w:val="26"/>
        </w:rPr>
      </w:pPr>
    </w:p>
    <w:p w:rsidR="00F07E5B" w:rsidRDefault="00DF63B2" w:rsidP="00DF2CE9">
      <w:pPr>
        <w:widowControl/>
        <w:spacing w:line="360" w:lineRule="auto"/>
        <w:ind w:firstLine="1440"/>
        <w:rPr>
          <w:rFonts w:eastAsia="Calibri"/>
          <w:sz w:val="26"/>
          <w:szCs w:val="26"/>
        </w:rPr>
      </w:pPr>
      <w:r>
        <w:rPr>
          <w:rFonts w:eastAsia="Calibri"/>
          <w:sz w:val="26"/>
          <w:szCs w:val="26"/>
        </w:rPr>
        <w:t>In its Replies to the Complainant’</w:t>
      </w:r>
      <w:r w:rsidR="00F07E5B">
        <w:rPr>
          <w:rFonts w:eastAsia="Calibri"/>
          <w:sz w:val="26"/>
          <w:szCs w:val="26"/>
        </w:rPr>
        <w:t>s third Exception, PPL asserts that this particular Exception displays the vagueness that permeated the entire case; the Complainant does not even identify which property to which the wrong notice was sent, but rather states that it was “one particular property.”  R. Exc. at 7.</w:t>
      </w:r>
    </w:p>
    <w:p w:rsidR="00F07E5B" w:rsidRDefault="00F07E5B" w:rsidP="00DF2CE9">
      <w:pPr>
        <w:widowControl/>
        <w:spacing w:line="360" w:lineRule="auto"/>
        <w:ind w:firstLine="1440"/>
        <w:rPr>
          <w:rFonts w:eastAsia="Calibri"/>
          <w:sz w:val="26"/>
          <w:szCs w:val="26"/>
        </w:rPr>
      </w:pPr>
    </w:p>
    <w:p w:rsidR="00555A8E" w:rsidRDefault="006D2DD9" w:rsidP="00DF2CE9">
      <w:pPr>
        <w:widowControl/>
        <w:spacing w:line="360" w:lineRule="auto"/>
        <w:ind w:firstLine="1440"/>
        <w:rPr>
          <w:rFonts w:eastAsia="Calibri"/>
          <w:sz w:val="26"/>
          <w:szCs w:val="26"/>
        </w:rPr>
      </w:pPr>
      <w:r>
        <w:rPr>
          <w:rFonts w:eastAsia="Calibri"/>
          <w:sz w:val="26"/>
          <w:szCs w:val="26"/>
        </w:rPr>
        <w:t xml:space="preserve">Nevertheless, </w:t>
      </w:r>
      <w:r w:rsidR="00F07E5B">
        <w:rPr>
          <w:rFonts w:eastAsia="Calibri"/>
          <w:sz w:val="26"/>
          <w:szCs w:val="26"/>
        </w:rPr>
        <w:t xml:space="preserve">PPL asserts that the wording of Section 1529.1 </w:t>
      </w:r>
      <w:r w:rsidR="00ED09E7">
        <w:rPr>
          <w:rFonts w:eastAsia="Calibri"/>
          <w:sz w:val="26"/>
          <w:szCs w:val="26"/>
        </w:rPr>
        <w:t xml:space="preserve">of the Code, </w:t>
      </w:r>
      <w:r w:rsidR="00F07E5B">
        <w:rPr>
          <w:rFonts w:eastAsia="Calibri"/>
          <w:sz w:val="26"/>
          <w:szCs w:val="26"/>
        </w:rPr>
        <w:t>as well as the intent thereof</w:t>
      </w:r>
      <w:r w:rsidR="00ED09E7">
        <w:rPr>
          <w:rFonts w:eastAsia="Calibri"/>
          <w:sz w:val="26"/>
          <w:szCs w:val="26"/>
        </w:rPr>
        <w:t>,</w:t>
      </w:r>
      <w:r w:rsidR="00F07E5B">
        <w:rPr>
          <w:rFonts w:eastAsia="Calibri"/>
          <w:sz w:val="26"/>
          <w:szCs w:val="26"/>
        </w:rPr>
        <w:t xml:space="preserve"> make it clear that the Complainant must be held responsible for the charges incurred while foreign wiring existed.  PPL </w:t>
      </w:r>
      <w:r w:rsidR="006C6025">
        <w:rPr>
          <w:rFonts w:eastAsia="Calibri"/>
          <w:sz w:val="26"/>
          <w:szCs w:val="26"/>
        </w:rPr>
        <w:t>submits</w:t>
      </w:r>
      <w:r w:rsidR="00F07E5B">
        <w:rPr>
          <w:rFonts w:eastAsia="Calibri"/>
          <w:sz w:val="26"/>
          <w:szCs w:val="26"/>
        </w:rPr>
        <w:t xml:space="preserve"> that the Complainant never complied with his burden to notify PPL of the existence of the foreign load, in accordance with his obligation as the property owner under Section 1529.1(a).  </w:t>
      </w:r>
      <w:r w:rsidR="002D4B7A">
        <w:rPr>
          <w:rFonts w:eastAsia="Calibri"/>
          <w:sz w:val="26"/>
          <w:szCs w:val="26"/>
        </w:rPr>
        <w:t>R. Exc. at</w:t>
      </w:r>
      <w:r w:rsidR="00ED09E7">
        <w:rPr>
          <w:rFonts w:eastAsia="Calibri"/>
          <w:sz w:val="26"/>
          <w:szCs w:val="26"/>
        </w:rPr>
        <w:t> </w:t>
      </w:r>
      <w:r w:rsidR="002D4B7A">
        <w:rPr>
          <w:rFonts w:eastAsia="Calibri"/>
          <w:sz w:val="26"/>
          <w:szCs w:val="26"/>
        </w:rPr>
        <w:t xml:space="preserve">7.  Furthermore, PPL asserts that the provision of Section 1529.1(c) </w:t>
      </w:r>
      <w:r w:rsidR="00347832">
        <w:rPr>
          <w:rFonts w:eastAsia="Calibri"/>
          <w:sz w:val="26"/>
          <w:szCs w:val="26"/>
        </w:rPr>
        <w:t xml:space="preserve">of the Code </w:t>
      </w:r>
      <w:r w:rsidR="002D4B7A">
        <w:rPr>
          <w:rFonts w:eastAsia="Calibri"/>
          <w:sz w:val="26"/>
          <w:szCs w:val="26"/>
        </w:rPr>
        <w:t>make</w:t>
      </w:r>
      <w:r w:rsidR="00347832">
        <w:rPr>
          <w:rFonts w:eastAsia="Calibri"/>
          <w:sz w:val="26"/>
          <w:szCs w:val="26"/>
        </w:rPr>
        <w:t>s</w:t>
      </w:r>
      <w:r w:rsidR="002D4B7A">
        <w:rPr>
          <w:rFonts w:eastAsia="Calibri"/>
          <w:sz w:val="26"/>
          <w:szCs w:val="26"/>
        </w:rPr>
        <w:t xml:space="preserve"> clear that the duty to notify the utility rests with the landlord and the failure of the landlord to so notify PPL does not relieve the landlord of responsibility.  R. Exc. at 9.  </w:t>
      </w:r>
      <w:r w:rsidR="004B47B7">
        <w:rPr>
          <w:rFonts w:eastAsia="Calibri"/>
          <w:sz w:val="26"/>
          <w:szCs w:val="26"/>
        </w:rPr>
        <w:t>PPL acknowledges that t</w:t>
      </w:r>
      <w:r w:rsidR="002D4B7A">
        <w:rPr>
          <w:rFonts w:eastAsia="Calibri"/>
          <w:sz w:val="26"/>
          <w:szCs w:val="26"/>
        </w:rPr>
        <w:t xml:space="preserve">he Complainant </w:t>
      </w:r>
      <w:r w:rsidR="006C6025">
        <w:rPr>
          <w:rFonts w:eastAsia="Calibri"/>
          <w:sz w:val="26"/>
          <w:szCs w:val="26"/>
        </w:rPr>
        <w:t xml:space="preserve">asserts </w:t>
      </w:r>
      <w:r w:rsidR="002D4B7A">
        <w:rPr>
          <w:rFonts w:eastAsia="Calibri"/>
          <w:sz w:val="26"/>
          <w:szCs w:val="26"/>
        </w:rPr>
        <w:t>he should not be</w:t>
      </w:r>
      <w:r w:rsidR="00347832">
        <w:rPr>
          <w:rFonts w:eastAsia="Calibri"/>
          <w:sz w:val="26"/>
          <w:szCs w:val="26"/>
        </w:rPr>
        <w:t xml:space="preserve"> held</w:t>
      </w:r>
      <w:r w:rsidR="002D4B7A">
        <w:rPr>
          <w:rFonts w:eastAsia="Calibri"/>
          <w:sz w:val="26"/>
          <w:szCs w:val="26"/>
        </w:rPr>
        <w:t xml:space="preserve"> responsible fo</w:t>
      </w:r>
      <w:r w:rsidR="00347832">
        <w:rPr>
          <w:rFonts w:eastAsia="Calibri"/>
          <w:sz w:val="26"/>
          <w:szCs w:val="26"/>
        </w:rPr>
        <w:t>r</w:t>
      </w:r>
      <w:r w:rsidR="002D4B7A">
        <w:rPr>
          <w:rFonts w:eastAsia="Calibri"/>
          <w:sz w:val="26"/>
          <w:szCs w:val="26"/>
        </w:rPr>
        <w:t xml:space="preserve"> some of the balances </w:t>
      </w:r>
      <w:r w:rsidR="00EF2678">
        <w:rPr>
          <w:rFonts w:eastAsia="Calibri"/>
          <w:sz w:val="26"/>
          <w:szCs w:val="26"/>
        </w:rPr>
        <w:t xml:space="preserve">because the </w:t>
      </w:r>
      <w:r w:rsidR="002D4B7A">
        <w:rPr>
          <w:rFonts w:eastAsia="Calibri"/>
          <w:sz w:val="26"/>
          <w:szCs w:val="26"/>
        </w:rPr>
        <w:t xml:space="preserve">initial notifications of foreign load and </w:t>
      </w:r>
      <w:r w:rsidR="00EF2678">
        <w:rPr>
          <w:rFonts w:eastAsia="Calibri"/>
          <w:sz w:val="26"/>
          <w:szCs w:val="26"/>
        </w:rPr>
        <w:t xml:space="preserve">the </w:t>
      </w:r>
      <w:r w:rsidR="002D4B7A">
        <w:rPr>
          <w:rFonts w:eastAsia="Calibri"/>
          <w:sz w:val="26"/>
          <w:szCs w:val="26"/>
        </w:rPr>
        <w:t>transfer of the account balances w</w:t>
      </w:r>
      <w:r w:rsidR="00347832">
        <w:rPr>
          <w:rFonts w:eastAsia="Calibri"/>
          <w:sz w:val="26"/>
          <w:szCs w:val="26"/>
        </w:rPr>
        <w:t>ere</w:t>
      </w:r>
      <w:r w:rsidR="002D4B7A">
        <w:rPr>
          <w:rFonts w:eastAsia="Calibri"/>
          <w:sz w:val="26"/>
          <w:szCs w:val="26"/>
        </w:rPr>
        <w:t xml:space="preserve"> sent to Mr. Grebas, </w:t>
      </w:r>
      <w:r w:rsidR="00EF2678">
        <w:rPr>
          <w:rFonts w:eastAsia="Calibri"/>
          <w:sz w:val="26"/>
          <w:szCs w:val="26"/>
        </w:rPr>
        <w:t>and not to him</w:t>
      </w:r>
      <w:r w:rsidR="002D4B7A">
        <w:rPr>
          <w:rFonts w:eastAsia="Calibri"/>
          <w:sz w:val="26"/>
          <w:szCs w:val="26"/>
        </w:rPr>
        <w:t xml:space="preserve">.  However, </w:t>
      </w:r>
      <w:r w:rsidR="00ED09E7">
        <w:rPr>
          <w:rFonts w:eastAsia="Calibri"/>
          <w:sz w:val="26"/>
          <w:szCs w:val="26"/>
        </w:rPr>
        <w:t xml:space="preserve">PPL contends that </w:t>
      </w:r>
      <w:r w:rsidR="002D4B7A">
        <w:rPr>
          <w:rFonts w:eastAsia="Calibri"/>
          <w:sz w:val="26"/>
          <w:szCs w:val="26"/>
        </w:rPr>
        <w:t xml:space="preserve">such </w:t>
      </w:r>
      <w:r w:rsidR="00ED09E7">
        <w:rPr>
          <w:rFonts w:eastAsia="Calibri"/>
          <w:sz w:val="26"/>
          <w:szCs w:val="26"/>
        </w:rPr>
        <w:t xml:space="preserve">an </w:t>
      </w:r>
      <w:r w:rsidR="006C6025">
        <w:rPr>
          <w:rFonts w:eastAsia="Calibri"/>
          <w:sz w:val="26"/>
          <w:szCs w:val="26"/>
        </w:rPr>
        <w:t>arg</w:t>
      </w:r>
      <w:r w:rsidR="002D4B7A">
        <w:rPr>
          <w:rFonts w:eastAsia="Calibri"/>
          <w:sz w:val="26"/>
          <w:szCs w:val="26"/>
        </w:rPr>
        <w:t xml:space="preserve">ument ignores the landlord’s responsibility, as </w:t>
      </w:r>
      <w:r w:rsidR="00347832">
        <w:rPr>
          <w:rFonts w:eastAsia="Calibri"/>
          <w:sz w:val="26"/>
          <w:szCs w:val="26"/>
        </w:rPr>
        <w:t>owner of record</w:t>
      </w:r>
      <w:r w:rsidR="002D4B7A">
        <w:rPr>
          <w:rFonts w:eastAsia="Calibri"/>
          <w:sz w:val="26"/>
          <w:szCs w:val="26"/>
        </w:rPr>
        <w:t xml:space="preserve">, to comply with the law.  </w:t>
      </w:r>
      <w:r w:rsidR="00852C33">
        <w:rPr>
          <w:rFonts w:eastAsia="Calibri"/>
          <w:sz w:val="26"/>
          <w:szCs w:val="26"/>
        </w:rPr>
        <w:t xml:space="preserve">PPL notes that there is zero evidence that </w:t>
      </w:r>
      <w:r w:rsidR="0033288B">
        <w:rPr>
          <w:rFonts w:eastAsia="Calibri"/>
          <w:sz w:val="26"/>
          <w:szCs w:val="26"/>
        </w:rPr>
        <w:t xml:space="preserve">the Complainant ever </w:t>
      </w:r>
      <w:r w:rsidR="00EF2678">
        <w:rPr>
          <w:rFonts w:eastAsia="Calibri"/>
          <w:sz w:val="26"/>
          <w:szCs w:val="26"/>
        </w:rPr>
        <w:t xml:space="preserve">notified </w:t>
      </w:r>
      <w:r w:rsidR="0033288B">
        <w:rPr>
          <w:rFonts w:eastAsia="Calibri"/>
          <w:sz w:val="26"/>
          <w:szCs w:val="26"/>
        </w:rPr>
        <w:t xml:space="preserve">PPL that he was the owner of the buildings that were not individually metered.  </w:t>
      </w:r>
      <w:r w:rsidR="00852C33">
        <w:rPr>
          <w:rFonts w:eastAsia="Calibri"/>
          <w:sz w:val="26"/>
          <w:szCs w:val="26"/>
        </w:rPr>
        <w:t>Rather, it was the tenants who notified PPL</w:t>
      </w:r>
      <w:r w:rsidR="0033288B">
        <w:rPr>
          <w:rFonts w:eastAsia="Calibri"/>
          <w:sz w:val="26"/>
          <w:szCs w:val="26"/>
        </w:rPr>
        <w:t xml:space="preserve"> about the foreign load</w:t>
      </w:r>
      <w:r w:rsidR="00852C33">
        <w:rPr>
          <w:rFonts w:eastAsia="Calibri"/>
          <w:sz w:val="26"/>
          <w:szCs w:val="26"/>
        </w:rPr>
        <w:t xml:space="preserve">.  </w:t>
      </w:r>
      <w:r w:rsidR="00555A8E">
        <w:rPr>
          <w:rFonts w:eastAsia="Calibri"/>
          <w:sz w:val="26"/>
          <w:szCs w:val="26"/>
        </w:rPr>
        <w:t>R. Exc. at 9.</w:t>
      </w:r>
    </w:p>
    <w:p w:rsidR="00555A8E" w:rsidRDefault="00555A8E" w:rsidP="00DF2CE9">
      <w:pPr>
        <w:widowControl/>
        <w:spacing w:line="360" w:lineRule="auto"/>
        <w:ind w:firstLine="1440"/>
        <w:rPr>
          <w:rFonts w:eastAsia="Calibri"/>
          <w:sz w:val="26"/>
          <w:szCs w:val="26"/>
        </w:rPr>
      </w:pPr>
    </w:p>
    <w:p w:rsidR="002D4B7A" w:rsidRDefault="00852C33" w:rsidP="00DF2CE9">
      <w:pPr>
        <w:widowControl/>
        <w:spacing w:line="360" w:lineRule="auto"/>
        <w:ind w:firstLine="1440"/>
        <w:rPr>
          <w:rFonts w:eastAsia="Calibri"/>
          <w:sz w:val="26"/>
          <w:szCs w:val="26"/>
        </w:rPr>
      </w:pPr>
      <w:r>
        <w:rPr>
          <w:rFonts w:eastAsia="Calibri"/>
          <w:sz w:val="26"/>
          <w:szCs w:val="26"/>
        </w:rPr>
        <w:t xml:space="preserve">PPL </w:t>
      </w:r>
      <w:r w:rsidR="00555A8E">
        <w:rPr>
          <w:rFonts w:eastAsia="Calibri"/>
          <w:sz w:val="26"/>
          <w:szCs w:val="26"/>
        </w:rPr>
        <w:t xml:space="preserve">further </w:t>
      </w:r>
      <w:r>
        <w:rPr>
          <w:rFonts w:eastAsia="Calibri"/>
          <w:sz w:val="26"/>
          <w:szCs w:val="26"/>
        </w:rPr>
        <w:t>states that</w:t>
      </w:r>
      <w:r w:rsidR="004E7668">
        <w:rPr>
          <w:rFonts w:eastAsia="Calibri"/>
          <w:sz w:val="26"/>
          <w:szCs w:val="26"/>
        </w:rPr>
        <w:t xml:space="preserve"> it was unfortunate that </w:t>
      </w:r>
      <w:r>
        <w:rPr>
          <w:rFonts w:eastAsia="Calibri"/>
          <w:sz w:val="26"/>
          <w:szCs w:val="26"/>
        </w:rPr>
        <w:t>several of the tenants provided the name and contact information of Mr. Grebas as thei</w:t>
      </w:r>
      <w:r w:rsidR="004B47B7">
        <w:rPr>
          <w:rFonts w:eastAsia="Calibri"/>
          <w:sz w:val="26"/>
          <w:szCs w:val="26"/>
        </w:rPr>
        <w:t>r landlord</w:t>
      </w:r>
      <w:r w:rsidR="004E7668">
        <w:rPr>
          <w:rFonts w:eastAsia="Calibri"/>
          <w:sz w:val="26"/>
          <w:szCs w:val="26"/>
        </w:rPr>
        <w:t xml:space="preserve"> because PPL </w:t>
      </w:r>
      <w:r w:rsidR="004B47B7">
        <w:rPr>
          <w:rFonts w:eastAsia="Calibri"/>
          <w:sz w:val="26"/>
          <w:szCs w:val="26"/>
        </w:rPr>
        <w:t>relied on th</w:t>
      </w:r>
      <w:r w:rsidR="004E7668">
        <w:rPr>
          <w:rFonts w:eastAsia="Calibri"/>
          <w:sz w:val="26"/>
          <w:szCs w:val="26"/>
        </w:rPr>
        <w:t xml:space="preserve">at contact </w:t>
      </w:r>
      <w:r>
        <w:rPr>
          <w:rFonts w:eastAsia="Calibri"/>
          <w:sz w:val="26"/>
          <w:szCs w:val="26"/>
        </w:rPr>
        <w:t xml:space="preserve">information </w:t>
      </w:r>
      <w:r w:rsidR="004E7668">
        <w:rPr>
          <w:rFonts w:eastAsia="Calibri"/>
          <w:sz w:val="26"/>
          <w:szCs w:val="26"/>
        </w:rPr>
        <w:t xml:space="preserve">that was </w:t>
      </w:r>
      <w:r>
        <w:rPr>
          <w:rFonts w:eastAsia="Calibri"/>
          <w:sz w:val="26"/>
          <w:szCs w:val="26"/>
        </w:rPr>
        <w:t xml:space="preserve">provided by the tenants and </w:t>
      </w:r>
      <w:r w:rsidR="00C72F87">
        <w:rPr>
          <w:rFonts w:eastAsia="Calibri"/>
          <w:sz w:val="26"/>
          <w:szCs w:val="26"/>
        </w:rPr>
        <w:t xml:space="preserve">accordingly </w:t>
      </w:r>
      <w:r>
        <w:rPr>
          <w:rFonts w:eastAsia="Calibri"/>
          <w:sz w:val="26"/>
          <w:szCs w:val="26"/>
        </w:rPr>
        <w:t xml:space="preserve">sent the notifications to Mr. Grebas.  PPL argues it is reasonable for a utility to rely upon a tenant to know the identity of their landlord, specifically where the landlord has failed to notify the utility in compliance with Section 1529.1(a).  R. Exc. at 9.  PPL </w:t>
      </w:r>
      <w:r w:rsidR="00550AF7">
        <w:rPr>
          <w:rFonts w:eastAsia="Calibri"/>
          <w:sz w:val="26"/>
          <w:szCs w:val="26"/>
        </w:rPr>
        <w:t xml:space="preserve">notes, however, </w:t>
      </w:r>
      <w:r>
        <w:rPr>
          <w:rFonts w:eastAsia="Calibri"/>
          <w:sz w:val="26"/>
          <w:szCs w:val="26"/>
        </w:rPr>
        <w:t xml:space="preserve">that its </w:t>
      </w:r>
      <w:r w:rsidR="004B47B7">
        <w:rPr>
          <w:rFonts w:eastAsia="Calibri"/>
          <w:sz w:val="26"/>
          <w:szCs w:val="26"/>
        </w:rPr>
        <w:t>Act 54 notice letter</w:t>
      </w:r>
      <w:r>
        <w:rPr>
          <w:rFonts w:eastAsia="Calibri"/>
          <w:sz w:val="26"/>
          <w:szCs w:val="26"/>
        </w:rPr>
        <w:t xml:space="preserve"> clearly </w:t>
      </w:r>
      <w:r w:rsidR="00550AF7">
        <w:rPr>
          <w:rFonts w:eastAsia="Calibri"/>
          <w:sz w:val="26"/>
          <w:szCs w:val="26"/>
        </w:rPr>
        <w:t xml:space="preserve">advises </w:t>
      </w:r>
      <w:r>
        <w:rPr>
          <w:rFonts w:eastAsia="Calibri"/>
          <w:sz w:val="26"/>
          <w:szCs w:val="26"/>
        </w:rPr>
        <w:t xml:space="preserve">the recipient to notify PPL if the </w:t>
      </w:r>
      <w:r>
        <w:rPr>
          <w:rFonts w:eastAsia="Calibri"/>
          <w:sz w:val="26"/>
          <w:szCs w:val="26"/>
        </w:rPr>
        <w:lastRenderedPageBreak/>
        <w:t>recipient is not the owner of the property.  R. Exc. at 9-10 (citing Exhibit 3A-3).</w:t>
      </w:r>
      <w:r w:rsidR="00A8105F">
        <w:rPr>
          <w:rFonts w:eastAsia="Calibri"/>
          <w:sz w:val="26"/>
          <w:szCs w:val="26"/>
        </w:rPr>
        <w:t xml:space="preserve">  </w:t>
      </w:r>
      <w:r w:rsidR="004B47B7">
        <w:rPr>
          <w:rFonts w:eastAsia="Calibri"/>
          <w:sz w:val="26"/>
          <w:szCs w:val="26"/>
        </w:rPr>
        <w:t xml:space="preserve">In summary, </w:t>
      </w:r>
      <w:r w:rsidR="00A8105F">
        <w:rPr>
          <w:rFonts w:eastAsia="Calibri"/>
          <w:sz w:val="26"/>
          <w:szCs w:val="26"/>
        </w:rPr>
        <w:t>PPL argues that the affirmative duty of notification rests with the Complainant</w:t>
      </w:r>
      <w:r w:rsidR="004B47B7">
        <w:rPr>
          <w:rFonts w:eastAsia="Calibri"/>
          <w:sz w:val="26"/>
          <w:szCs w:val="26"/>
        </w:rPr>
        <w:t xml:space="preserve"> under Section 1529.1</w:t>
      </w:r>
      <w:r w:rsidR="009B24DF">
        <w:rPr>
          <w:rFonts w:eastAsia="Calibri"/>
          <w:sz w:val="26"/>
          <w:szCs w:val="26"/>
        </w:rPr>
        <w:t xml:space="preserve">.  In this case, PPL avers that </w:t>
      </w:r>
      <w:r w:rsidR="00A8105F">
        <w:rPr>
          <w:rFonts w:eastAsia="Calibri"/>
          <w:sz w:val="26"/>
          <w:szCs w:val="26"/>
        </w:rPr>
        <w:t>the Complainant clearly failed to comply with this notification requirement and now seeks to shift the responsibility to PPL</w:t>
      </w:r>
      <w:r w:rsidR="009B24DF">
        <w:rPr>
          <w:rFonts w:eastAsia="Calibri"/>
          <w:sz w:val="26"/>
          <w:szCs w:val="26"/>
        </w:rPr>
        <w:t xml:space="preserve"> contrary to the requirements of the </w:t>
      </w:r>
      <w:r w:rsidR="00A8105F">
        <w:rPr>
          <w:rFonts w:eastAsia="Calibri"/>
          <w:sz w:val="26"/>
          <w:szCs w:val="26"/>
        </w:rPr>
        <w:t>Code</w:t>
      </w:r>
      <w:r w:rsidR="009B24DF">
        <w:rPr>
          <w:rFonts w:eastAsia="Calibri"/>
          <w:sz w:val="26"/>
          <w:szCs w:val="26"/>
        </w:rPr>
        <w:t>.</w:t>
      </w:r>
      <w:r w:rsidR="00A8105F">
        <w:rPr>
          <w:rFonts w:eastAsia="Calibri"/>
          <w:sz w:val="26"/>
          <w:szCs w:val="26"/>
        </w:rPr>
        <w:t xml:space="preserve">  R. Exc. at 10.</w:t>
      </w:r>
    </w:p>
    <w:p w:rsidR="002D4B7A" w:rsidRDefault="002D4B7A" w:rsidP="00DF2CE9">
      <w:pPr>
        <w:widowControl/>
        <w:spacing w:line="360" w:lineRule="auto"/>
        <w:ind w:firstLine="1440"/>
        <w:rPr>
          <w:rFonts w:eastAsia="Calibri"/>
          <w:sz w:val="26"/>
          <w:szCs w:val="26"/>
        </w:rPr>
      </w:pPr>
    </w:p>
    <w:p w:rsidR="00F07E5B" w:rsidRDefault="00F07E5B" w:rsidP="00DF2CE9">
      <w:pPr>
        <w:widowControl/>
        <w:spacing w:line="360" w:lineRule="auto"/>
        <w:ind w:firstLine="1440"/>
        <w:rPr>
          <w:rFonts w:eastAsia="Calibri"/>
          <w:sz w:val="26"/>
          <w:szCs w:val="26"/>
        </w:rPr>
      </w:pPr>
      <w:r>
        <w:rPr>
          <w:rFonts w:eastAsia="Calibri"/>
          <w:sz w:val="26"/>
          <w:szCs w:val="26"/>
        </w:rPr>
        <w:t xml:space="preserve">Additionally, PPL asserts that it cannot be disputed that the residences owned by the Complainant are “residential buildings” under the definition appearing in 66 Pa. C.S. § 1521, which defines it as “[a] building containing one or more dwelling units occupied by one or more tenants.”  R. Exc. at 7.  PPL </w:t>
      </w:r>
      <w:r w:rsidR="00E62CE3">
        <w:rPr>
          <w:rFonts w:eastAsia="Calibri"/>
          <w:sz w:val="26"/>
          <w:szCs w:val="26"/>
        </w:rPr>
        <w:t xml:space="preserve">maintains </w:t>
      </w:r>
      <w:r>
        <w:rPr>
          <w:rFonts w:eastAsia="Calibri"/>
          <w:sz w:val="26"/>
          <w:szCs w:val="26"/>
        </w:rPr>
        <w:t xml:space="preserve">that the Pennsylvania Superior Court, in </w:t>
      </w:r>
      <w:r w:rsidRPr="00F07E5B">
        <w:rPr>
          <w:rFonts w:eastAsia="Calibri"/>
          <w:i/>
          <w:sz w:val="26"/>
          <w:szCs w:val="26"/>
        </w:rPr>
        <w:t>Equitable Gas Co. V. Schwartzmiller</w:t>
      </w:r>
      <w:r>
        <w:rPr>
          <w:rFonts w:eastAsia="Calibri"/>
          <w:sz w:val="26"/>
          <w:szCs w:val="26"/>
        </w:rPr>
        <w:t>, 744 A. 2d 277 (Pa. Super. 1999) (</w:t>
      </w:r>
      <w:r w:rsidRPr="00F07E5B">
        <w:rPr>
          <w:rFonts w:eastAsia="Calibri"/>
          <w:i/>
          <w:sz w:val="26"/>
          <w:szCs w:val="26"/>
        </w:rPr>
        <w:t>Equitable Gas Co</w:t>
      </w:r>
      <w:r>
        <w:rPr>
          <w:rFonts w:eastAsia="Calibri"/>
          <w:sz w:val="26"/>
          <w:szCs w:val="26"/>
        </w:rPr>
        <w:t>.) has specifically addressed who the owner of a residential building is in the instance of an installment agreement of sale.  The Court found that where the deed owner retains all ownership in the property until the sales installment contract is completed, the deed owner is the “landlord” for purposes of Section 1529.1 of the Code.  Accordingly, in the instant case, PPL argues that the fact that the Complainant may have entered into an installment agreement of sale with Steven Grebas is irrelevant</w:t>
      </w:r>
      <w:r w:rsidR="00A02E6B">
        <w:rPr>
          <w:rFonts w:eastAsia="Calibri"/>
          <w:sz w:val="26"/>
          <w:szCs w:val="26"/>
        </w:rPr>
        <w:t xml:space="preserve"> because </w:t>
      </w:r>
      <w:r>
        <w:rPr>
          <w:rFonts w:eastAsia="Calibri"/>
          <w:sz w:val="26"/>
          <w:szCs w:val="26"/>
        </w:rPr>
        <w:t>the Complainant remained the landlord for purposes of Section 1529.1 of the Code</w:t>
      </w:r>
      <w:r w:rsidR="00947B95">
        <w:rPr>
          <w:rFonts w:eastAsia="Calibri"/>
          <w:sz w:val="26"/>
          <w:szCs w:val="26"/>
        </w:rPr>
        <w:t xml:space="preserve"> until such time that the installment agreement of sale was satisfied (which it never was)</w:t>
      </w:r>
      <w:r>
        <w:rPr>
          <w:rFonts w:eastAsia="Calibri"/>
          <w:sz w:val="26"/>
          <w:szCs w:val="26"/>
        </w:rPr>
        <w:t xml:space="preserve">.  R. Exc. at 7-8. </w:t>
      </w:r>
    </w:p>
    <w:p w:rsidR="00F07E5B" w:rsidRDefault="00F07E5B" w:rsidP="00DF2CE9">
      <w:pPr>
        <w:widowControl/>
        <w:spacing w:line="360" w:lineRule="auto"/>
        <w:ind w:firstLine="1440"/>
        <w:rPr>
          <w:rFonts w:eastAsia="Calibri"/>
          <w:sz w:val="26"/>
          <w:szCs w:val="26"/>
        </w:rPr>
      </w:pPr>
    </w:p>
    <w:p w:rsidR="00704D22" w:rsidRPr="00704D22" w:rsidRDefault="00704D22" w:rsidP="00DF2CE9">
      <w:pPr>
        <w:widowControl/>
        <w:spacing w:line="360" w:lineRule="auto"/>
        <w:ind w:firstLine="1440"/>
        <w:rPr>
          <w:rFonts w:eastAsia="Calibri"/>
          <w:b/>
          <w:sz w:val="26"/>
          <w:szCs w:val="26"/>
          <w:u w:val="single"/>
        </w:rPr>
      </w:pPr>
      <w:r w:rsidRPr="00704D22">
        <w:rPr>
          <w:rFonts w:eastAsia="Calibri"/>
          <w:b/>
          <w:sz w:val="26"/>
          <w:szCs w:val="26"/>
          <w:u w:val="single"/>
        </w:rPr>
        <w:t>Disposition</w:t>
      </w:r>
    </w:p>
    <w:p w:rsidR="00704D22" w:rsidRDefault="00704D22" w:rsidP="00DF2CE9">
      <w:pPr>
        <w:widowControl/>
        <w:spacing w:line="360" w:lineRule="auto"/>
        <w:ind w:firstLine="1440"/>
        <w:rPr>
          <w:rFonts w:eastAsia="Calibri"/>
          <w:sz w:val="26"/>
          <w:szCs w:val="26"/>
        </w:rPr>
      </w:pPr>
    </w:p>
    <w:p w:rsidR="003026B1" w:rsidRDefault="00704D22" w:rsidP="00DF2CE9">
      <w:pPr>
        <w:widowControl/>
        <w:spacing w:line="360" w:lineRule="auto"/>
        <w:ind w:firstLine="1440"/>
        <w:rPr>
          <w:sz w:val="26"/>
          <w:szCs w:val="26"/>
        </w:rPr>
      </w:pPr>
      <w:r>
        <w:rPr>
          <w:sz w:val="26"/>
          <w:szCs w:val="26"/>
        </w:rPr>
        <w:t>The Complainant raises an</w:t>
      </w:r>
      <w:r w:rsidR="00E847DE">
        <w:rPr>
          <w:sz w:val="26"/>
          <w:szCs w:val="26"/>
        </w:rPr>
        <w:t xml:space="preserve"> </w:t>
      </w:r>
      <w:r>
        <w:rPr>
          <w:sz w:val="26"/>
          <w:szCs w:val="26"/>
        </w:rPr>
        <w:t xml:space="preserve">issue of concern for us </w:t>
      </w:r>
      <w:r w:rsidR="003026B1">
        <w:rPr>
          <w:sz w:val="26"/>
          <w:szCs w:val="26"/>
        </w:rPr>
        <w:t xml:space="preserve">in </w:t>
      </w:r>
      <w:r>
        <w:rPr>
          <w:sz w:val="26"/>
          <w:szCs w:val="26"/>
        </w:rPr>
        <w:t>his</w:t>
      </w:r>
      <w:r w:rsidR="00E847DE">
        <w:rPr>
          <w:sz w:val="26"/>
          <w:szCs w:val="26"/>
        </w:rPr>
        <w:t xml:space="preserve"> third Exception –</w:t>
      </w:r>
      <w:r>
        <w:rPr>
          <w:sz w:val="26"/>
          <w:szCs w:val="26"/>
        </w:rPr>
        <w:t xml:space="preserve"> </w:t>
      </w:r>
      <w:r w:rsidR="003026B1">
        <w:rPr>
          <w:sz w:val="26"/>
          <w:szCs w:val="26"/>
        </w:rPr>
        <w:t>that</w:t>
      </w:r>
      <w:r w:rsidR="00E847DE">
        <w:rPr>
          <w:sz w:val="26"/>
          <w:szCs w:val="26"/>
        </w:rPr>
        <w:t xml:space="preserve"> is</w:t>
      </w:r>
      <w:r>
        <w:rPr>
          <w:sz w:val="26"/>
          <w:szCs w:val="26"/>
        </w:rPr>
        <w:t>,</w:t>
      </w:r>
      <w:r w:rsidR="003026B1">
        <w:rPr>
          <w:sz w:val="26"/>
          <w:szCs w:val="26"/>
        </w:rPr>
        <w:t xml:space="preserve"> after </w:t>
      </w:r>
      <w:r w:rsidR="00F003BB">
        <w:rPr>
          <w:sz w:val="26"/>
          <w:szCs w:val="26"/>
        </w:rPr>
        <w:t>PPL</w:t>
      </w:r>
      <w:r w:rsidR="003026B1">
        <w:rPr>
          <w:sz w:val="26"/>
          <w:szCs w:val="26"/>
        </w:rPr>
        <w:t xml:space="preserve"> performed the investigation and discovered the foreign load at the rental property located at 6 North 10</w:t>
      </w:r>
      <w:r w:rsidR="003026B1" w:rsidRPr="003026B1">
        <w:rPr>
          <w:sz w:val="26"/>
          <w:szCs w:val="26"/>
          <w:vertAlign w:val="superscript"/>
        </w:rPr>
        <w:t>th</w:t>
      </w:r>
      <w:r w:rsidR="003026B1">
        <w:rPr>
          <w:sz w:val="26"/>
          <w:szCs w:val="26"/>
        </w:rPr>
        <w:t xml:space="preserve"> Street, it too</w:t>
      </w:r>
      <w:r w:rsidR="009A1678">
        <w:rPr>
          <w:sz w:val="26"/>
          <w:szCs w:val="26"/>
        </w:rPr>
        <w:t>k PPL over a year to notify the</w:t>
      </w:r>
      <w:r w:rsidR="003026B1">
        <w:rPr>
          <w:sz w:val="26"/>
          <w:szCs w:val="26"/>
        </w:rPr>
        <w:t xml:space="preserve"> Complainant of the foreign load and to transfer the account into the Complainant’s name.  Based on our review of the record, we also note that for the rental property at 1001 Centre Street, it </w:t>
      </w:r>
      <w:r w:rsidR="003026B1">
        <w:rPr>
          <w:sz w:val="26"/>
          <w:szCs w:val="26"/>
        </w:rPr>
        <w:lastRenderedPageBreak/>
        <w:t>took PPL a little over six months to notify the</w:t>
      </w:r>
      <w:r w:rsidR="008B1EB6">
        <w:rPr>
          <w:sz w:val="26"/>
          <w:szCs w:val="26"/>
        </w:rPr>
        <w:t xml:space="preserve"> Complainant, as the</w:t>
      </w:r>
      <w:r w:rsidR="003026B1">
        <w:rPr>
          <w:sz w:val="26"/>
          <w:szCs w:val="26"/>
        </w:rPr>
        <w:t xml:space="preserve"> actual property owner</w:t>
      </w:r>
      <w:r w:rsidR="008B1EB6">
        <w:rPr>
          <w:sz w:val="26"/>
          <w:szCs w:val="26"/>
        </w:rPr>
        <w:t>,</w:t>
      </w:r>
      <w:r w:rsidR="003026B1">
        <w:rPr>
          <w:sz w:val="26"/>
          <w:szCs w:val="26"/>
        </w:rPr>
        <w:t xml:space="preserve"> of the foreign after it performed the investigation. </w:t>
      </w:r>
      <w:r w:rsidR="003026B1" w:rsidRPr="003026B1">
        <w:rPr>
          <w:i/>
          <w:sz w:val="26"/>
          <w:szCs w:val="26"/>
        </w:rPr>
        <w:t xml:space="preserve"> See</w:t>
      </w:r>
      <w:r w:rsidR="003026B1">
        <w:rPr>
          <w:sz w:val="26"/>
          <w:szCs w:val="26"/>
        </w:rPr>
        <w:t xml:space="preserve"> I.D. at 18, Table 2. </w:t>
      </w:r>
    </w:p>
    <w:p w:rsidR="00083210" w:rsidRDefault="00083210" w:rsidP="00DF2CE9">
      <w:pPr>
        <w:widowControl/>
        <w:spacing w:line="360" w:lineRule="auto"/>
        <w:ind w:firstLine="1440"/>
        <w:rPr>
          <w:sz w:val="26"/>
          <w:szCs w:val="26"/>
        </w:rPr>
      </w:pPr>
    </w:p>
    <w:p w:rsidR="00FD519E" w:rsidRDefault="00E07A91" w:rsidP="00DF2CE9">
      <w:pPr>
        <w:widowControl/>
        <w:spacing w:line="360" w:lineRule="auto"/>
        <w:ind w:firstLine="1440"/>
        <w:rPr>
          <w:sz w:val="26"/>
          <w:szCs w:val="26"/>
        </w:rPr>
      </w:pPr>
      <w:r>
        <w:rPr>
          <w:sz w:val="26"/>
          <w:szCs w:val="26"/>
        </w:rPr>
        <w:t>PPL argued</w:t>
      </w:r>
      <w:r w:rsidR="001D720F">
        <w:rPr>
          <w:sz w:val="26"/>
          <w:szCs w:val="26"/>
        </w:rPr>
        <w:t xml:space="preserve"> that </w:t>
      </w:r>
      <w:r>
        <w:rPr>
          <w:sz w:val="26"/>
          <w:szCs w:val="26"/>
        </w:rPr>
        <w:t>t</w:t>
      </w:r>
      <w:r w:rsidR="00FD519E">
        <w:rPr>
          <w:sz w:val="26"/>
          <w:szCs w:val="26"/>
        </w:rPr>
        <w:t xml:space="preserve">he Complainant had an affirmative duty under Section 1529.1 </w:t>
      </w:r>
      <w:r w:rsidR="00FD519E" w:rsidRPr="00687B34">
        <w:rPr>
          <w:sz w:val="26"/>
          <w:szCs w:val="26"/>
        </w:rPr>
        <w:t xml:space="preserve">to notify </w:t>
      </w:r>
      <w:r>
        <w:rPr>
          <w:sz w:val="26"/>
          <w:szCs w:val="26"/>
        </w:rPr>
        <w:t xml:space="preserve">PPL of the foreign load.  </w:t>
      </w:r>
      <w:r w:rsidR="00FD519E">
        <w:rPr>
          <w:sz w:val="26"/>
          <w:szCs w:val="26"/>
        </w:rPr>
        <w:t>However, Section 1529.1 does not operate to provide the Commission with enforcement authority over the property owner</w:t>
      </w:r>
      <w:r>
        <w:rPr>
          <w:sz w:val="26"/>
          <w:szCs w:val="26"/>
        </w:rPr>
        <w:t>.  Rather, the Commission has regulatory oversight of a utility’s compliance with Section 1529.1.  I</w:t>
      </w:r>
      <w:r w:rsidR="00FD519E">
        <w:rPr>
          <w:sz w:val="26"/>
          <w:szCs w:val="26"/>
        </w:rPr>
        <w:t>f the landlord fails to notify the utility of such a situation, the utility has an affirmative duty to investigate a premise upon receiving a foreign load o</w:t>
      </w:r>
      <w:r>
        <w:rPr>
          <w:sz w:val="26"/>
          <w:szCs w:val="26"/>
        </w:rPr>
        <w:t>r high bill complaint, which PPL</w:t>
      </w:r>
      <w:r w:rsidR="00FD519E">
        <w:rPr>
          <w:sz w:val="26"/>
          <w:szCs w:val="26"/>
        </w:rPr>
        <w:t xml:space="preserve"> did in this case</w:t>
      </w:r>
      <w:r>
        <w:rPr>
          <w:sz w:val="26"/>
          <w:szCs w:val="26"/>
        </w:rPr>
        <w:t>.  If the utility verifies the presence of a foreign load on a tenant’s se</w:t>
      </w:r>
      <w:r w:rsidR="008B1EB6">
        <w:rPr>
          <w:sz w:val="26"/>
          <w:szCs w:val="26"/>
        </w:rPr>
        <w:t xml:space="preserve">rvice, the utility is required </w:t>
      </w:r>
      <w:r>
        <w:rPr>
          <w:sz w:val="26"/>
          <w:szCs w:val="26"/>
        </w:rPr>
        <w:t>to</w:t>
      </w:r>
      <w:r w:rsidRPr="003677FB">
        <w:rPr>
          <w:sz w:val="26"/>
          <w:szCs w:val="26"/>
        </w:rPr>
        <w:t xml:space="preserve"> </w:t>
      </w:r>
      <w:r w:rsidRPr="00687B34">
        <w:rPr>
          <w:sz w:val="26"/>
          <w:szCs w:val="26"/>
        </w:rPr>
        <w:t xml:space="preserve">list the account in the </w:t>
      </w:r>
      <w:r>
        <w:rPr>
          <w:sz w:val="26"/>
          <w:szCs w:val="26"/>
        </w:rPr>
        <w:t xml:space="preserve">property owner’s </w:t>
      </w:r>
      <w:r w:rsidRPr="00687B34">
        <w:rPr>
          <w:sz w:val="26"/>
          <w:szCs w:val="26"/>
        </w:rPr>
        <w:t>name</w:t>
      </w:r>
      <w:r>
        <w:rPr>
          <w:sz w:val="26"/>
          <w:szCs w:val="26"/>
        </w:rPr>
        <w:t xml:space="preserve"> and hold the property owner financially responsible for the current balance and any arrearages on the account.  </w:t>
      </w:r>
      <w:r w:rsidRPr="00EC7444">
        <w:rPr>
          <w:i/>
          <w:sz w:val="26"/>
          <w:szCs w:val="26"/>
        </w:rPr>
        <w:t>Ace Check</w:t>
      </w:r>
      <w:r>
        <w:rPr>
          <w:i/>
          <w:sz w:val="26"/>
          <w:szCs w:val="26"/>
        </w:rPr>
        <w:t xml:space="preserve"> Cashing</w:t>
      </w:r>
      <w:r>
        <w:rPr>
          <w:sz w:val="26"/>
          <w:szCs w:val="26"/>
        </w:rPr>
        <w:t xml:space="preserve">.  </w:t>
      </w:r>
      <w:r w:rsidR="008B1EB6">
        <w:rPr>
          <w:sz w:val="26"/>
          <w:szCs w:val="26"/>
        </w:rPr>
        <w:t>We are concerned with the significant amount of time it took PPL to notify the Complainant – as the property owner – of the presence of the foreign load at the two properties stated above</w:t>
      </w:r>
      <w:r w:rsidR="00E847DE">
        <w:rPr>
          <w:sz w:val="26"/>
          <w:szCs w:val="26"/>
        </w:rPr>
        <w:t>.</w:t>
      </w:r>
    </w:p>
    <w:p w:rsidR="00560446" w:rsidRDefault="00560446" w:rsidP="00DF2CE9">
      <w:pPr>
        <w:widowControl/>
        <w:spacing w:line="360" w:lineRule="auto"/>
        <w:ind w:firstLine="1440"/>
        <w:rPr>
          <w:sz w:val="26"/>
          <w:szCs w:val="26"/>
        </w:rPr>
      </w:pPr>
    </w:p>
    <w:p w:rsidR="00560446" w:rsidRDefault="00560446" w:rsidP="00DF2CE9">
      <w:pPr>
        <w:widowControl/>
        <w:spacing w:line="360" w:lineRule="auto"/>
        <w:ind w:firstLine="1440"/>
        <w:rPr>
          <w:rFonts w:eastAsia="Calibri"/>
          <w:sz w:val="26"/>
          <w:szCs w:val="26"/>
        </w:rPr>
      </w:pPr>
      <w:r>
        <w:rPr>
          <w:rFonts w:eastAsia="Calibri"/>
          <w:sz w:val="26"/>
          <w:szCs w:val="26"/>
        </w:rPr>
        <w:t xml:space="preserve">PPL explains that </w:t>
      </w:r>
      <w:r w:rsidR="00D17374">
        <w:rPr>
          <w:rFonts w:eastAsia="Calibri"/>
          <w:sz w:val="26"/>
          <w:szCs w:val="26"/>
        </w:rPr>
        <w:t xml:space="preserve">its delay </w:t>
      </w:r>
      <w:r>
        <w:rPr>
          <w:rFonts w:eastAsia="Calibri"/>
          <w:sz w:val="26"/>
          <w:szCs w:val="26"/>
        </w:rPr>
        <w:t>in providing</w:t>
      </w:r>
      <w:r w:rsidR="003236DF">
        <w:rPr>
          <w:rFonts w:eastAsia="Calibri"/>
          <w:sz w:val="26"/>
          <w:szCs w:val="26"/>
        </w:rPr>
        <w:t xml:space="preserve"> notice to and listing the</w:t>
      </w:r>
      <w:r>
        <w:rPr>
          <w:rFonts w:eastAsia="Calibri"/>
          <w:sz w:val="26"/>
          <w:szCs w:val="26"/>
        </w:rPr>
        <w:t xml:space="preserve"> account </w:t>
      </w:r>
      <w:r w:rsidR="003236DF">
        <w:rPr>
          <w:rFonts w:eastAsia="Calibri"/>
          <w:sz w:val="26"/>
          <w:szCs w:val="26"/>
        </w:rPr>
        <w:t>in the name of the</w:t>
      </w:r>
      <w:r>
        <w:rPr>
          <w:rFonts w:eastAsia="Calibri"/>
          <w:sz w:val="26"/>
          <w:szCs w:val="26"/>
        </w:rPr>
        <w:t xml:space="preserve"> property owner was the result of PPL receiving misinformation from the tenants about the identity of the landlord.  Based on this misinformation, PPL sent the </w:t>
      </w:r>
      <w:r w:rsidR="00EF612F">
        <w:rPr>
          <w:rFonts w:eastAsia="Calibri"/>
          <w:sz w:val="26"/>
          <w:szCs w:val="26"/>
        </w:rPr>
        <w:t>no</w:t>
      </w:r>
      <w:r>
        <w:rPr>
          <w:rFonts w:eastAsia="Calibri"/>
          <w:sz w:val="26"/>
          <w:szCs w:val="26"/>
        </w:rPr>
        <w:t>tice to</w:t>
      </w:r>
      <w:r w:rsidR="00EF612F">
        <w:rPr>
          <w:rFonts w:eastAsia="Calibri"/>
          <w:sz w:val="26"/>
          <w:szCs w:val="26"/>
        </w:rPr>
        <w:t xml:space="preserve"> and transferred the account in the name of</w:t>
      </w:r>
      <w:r>
        <w:rPr>
          <w:rFonts w:eastAsia="Calibri"/>
          <w:sz w:val="26"/>
          <w:szCs w:val="26"/>
        </w:rPr>
        <w:t xml:space="preserve"> the wrong party</w:t>
      </w:r>
      <w:r w:rsidR="00EF612F">
        <w:rPr>
          <w:rFonts w:eastAsia="Calibri"/>
          <w:sz w:val="26"/>
          <w:szCs w:val="26"/>
        </w:rPr>
        <w:t>,</w:t>
      </w:r>
      <w:r w:rsidR="008B1EB6">
        <w:rPr>
          <w:rFonts w:eastAsia="Calibri"/>
          <w:sz w:val="26"/>
          <w:szCs w:val="26"/>
        </w:rPr>
        <w:t xml:space="preserve"> Mr. Grebas,</w:t>
      </w:r>
      <w:r w:rsidR="00EF612F">
        <w:rPr>
          <w:rFonts w:eastAsia="Calibri"/>
          <w:sz w:val="26"/>
          <w:szCs w:val="26"/>
        </w:rPr>
        <w:t xml:space="preserve"> </w:t>
      </w:r>
      <w:r w:rsidR="003236DF">
        <w:rPr>
          <w:rFonts w:eastAsia="Calibri"/>
          <w:sz w:val="26"/>
          <w:szCs w:val="26"/>
        </w:rPr>
        <w:t>in error</w:t>
      </w:r>
      <w:r>
        <w:rPr>
          <w:rFonts w:eastAsia="Calibri"/>
          <w:sz w:val="26"/>
          <w:szCs w:val="26"/>
        </w:rPr>
        <w:t>.  PPL argues it was reasonable for it to rely upon a tenant to know the identity of their landlord, specifically where the landlord has failed to notify the utility in com</w:t>
      </w:r>
      <w:r w:rsidR="008B1EB6">
        <w:rPr>
          <w:rFonts w:eastAsia="Calibri"/>
          <w:sz w:val="26"/>
          <w:szCs w:val="26"/>
        </w:rPr>
        <w:t xml:space="preserve">pliance with Section 1529.1(a).  At the same time, PPL acknowledges that the installment agreement of sale between the Complainant and Mr. Grebas was irrelevant for determining who the property owner-of-record, or deed owner, was at that time.  R. Exc. at 7-8 (citing </w:t>
      </w:r>
      <w:r w:rsidR="008B1EB6" w:rsidRPr="008B1EB6">
        <w:rPr>
          <w:rFonts w:eastAsia="Calibri"/>
          <w:i/>
          <w:sz w:val="26"/>
          <w:szCs w:val="26"/>
        </w:rPr>
        <w:t>Equitable Gas Co</w:t>
      </w:r>
      <w:r w:rsidR="008B1EB6">
        <w:rPr>
          <w:rFonts w:eastAsia="Calibri"/>
          <w:sz w:val="26"/>
          <w:szCs w:val="26"/>
        </w:rPr>
        <w:t xml:space="preserve">., </w:t>
      </w:r>
      <w:r w:rsidR="008B1EB6" w:rsidRPr="008B1EB6">
        <w:rPr>
          <w:rFonts w:eastAsia="Calibri"/>
          <w:i/>
          <w:sz w:val="26"/>
          <w:szCs w:val="26"/>
        </w:rPr>
        <w:t>supra</w:t>
      </w:r>
      <w:r w:rsidR="008B1EB6">
        <w:rPr>
          <w:rFonts w:eastAsia="Calibri"/>
          <w:sz w:val="26"/>
          <w:szCs w:val="26"/>
        </w:rPr>
        <w:t>).</w:t>
      </w:r>
    </w:p>
    <w:p w:rsidR="00F003BB" w:rsidRDefault="00F003BB" w:rsidP="00DF2CE9">
      <w:pPr>
        <w:widowControl/>
        <w:spacing w:line="360" w:lineRule="auto"/>
        <w:ind w:firstLine="1440"/>
        <w:rPr>
          <w:sz w:val="26"/>
          <w:szCs w:val="26"/>
        </w:rPr>
      </w:pPr>
    </w:p>
    <w:p w:rsidR="0097174A" w:rsidRDefault="00BD7C69" w:rsidP="00DF2CE9">
      <w:pPr>
        <w:widowControl/>
        <w:spacing w:line="360" w:lineRule="auto"/>
        <w:ind w:firstLine="1440"/>
        <w:rPr>
          <w:sz w:val="26"/>
          <w:szCs w:val="26"/>
        </w:rPr>
      </w:pPr>
      <w:r>
        <w:rPr>
          <w:sz w:val="26"/>
          <w:szCs w:val="26"/>
        </w:rPr>
        <w:t>In our opinion, a</w:t>
      </w:r>
      <w:r w:rsidR="00D17374">
        <w:rPr>
          <w:sz w:val="26"/>
          <w:szCs w:val="26"/>
        </w:rPr>
        <w:t xml:space="preserve"> delay of</w:t>
      </w:r>
      <w:r w:rsidR="007744F3">
        <w:rPr>
          <w:sz w:val="26"/>
          <w:szCs w:val="26"/>
        </w:rPr>
        <w:t xml:space="preserve"> six months</w:t>
      </w:r>
      <w:r w:rsidR="005D0D57">
        <w:rPr>
          <w:sz w:val="26"/>
          <w:szCs w:val="26"/>
        </w:rPr>
        <w:t xml:space="preserve"> or longer</w:t>
      </w:r>
      <w:r w:rsidR="007744F3">
        <w:rPr>
          <w:sz w:val="26"/>
          <w:szCs w:val="26"/>
        </w:rPr>
        <w:t xml:space="preserve"> to properly notify the property owner </w:t>
      </w:r>
      <w:r w:rsidR="008B1EB6">
        <w:rPr>
          <w:sz w:val="26"/>
          <w:szCs w:val="26"/>
        </w:rPr>
        <w:t xml:space="preserve">of a foreign load discovered by the utility </w:t>
      </w:r>
      <w:r w:rsidR="007744F3">
        <w:rPr>
          <w:sz w:val="26"/>
          <w:szCs w:val="26"/>
        </w:rPr>
        <w:t>is simply</w:t>
      </w:r>
      <w:r w:rsidR="00F8175D">
        <w:rPr>
          <w:sz w:val="26"/>
          <w:szCs w:val="26"/>
        </w:rPr>
        <w:t xml:space="preserve"> </w:t>
      </w:r>
      <w:r w:rsidR="007744F3">
        <w:rPr>
          <w:sz w:val="26"/>
          <w:szCs w:val="26"/>
        </w:rPr>
        <w:t>too long</w:t>
      </w:r>
      <w:r w:rsidR="00D17374">
        <w:rPr>
          <w:sz w:val="26"/>
          <w:szCs w:val="26"/>
        </w:rPr>
        <w:t xml:space="preserve"> </w:t>
      </w:r>
      <w:r w:rsidR="00EE34B7">
        <w:rPr>
          <w:sz w:val="26"/>
          <w:szCs w:val="26"/>
        </w:rPr>
        <w:t xml:space="preserve">and </w:t>
      </w:r>
      <w:r w:rsidR="00F8175D">
        <w:rPr>
          <w:sz w:val="26"/>
          <w:szCs w:val="26"/>
        </w:rPr>
        <w:lastRenderedPageBreak/>
        <w:t xml:space="preserve">potentially </w:t>
      </w:r>
      <w:r w:rsidR="00EE34B7">
        <w:rPr>
          <w:sz w:val="26"/>
          <w:szCs w:val="26"/>
        </w:rPr>
        <w:t>prejudicial to a property owner</w:t>
      </w:r>
      <w:r>
        <w:rPr>
          <w:sz w:val="26"/>
          <w:szCs w:val="26"/>
        </w:rPr>
        <w:t xml:space="preserve">.  </w:t>
      </w:r>
      <w:r w:rsidR="00EF612F">
        <w:rPr>
          <w:sz w:val="26"/>
          <w:szCs w:val="26"/>
        </w:rPr>
        <w:t>PPL’s</w:t>
      </w:r>
      <w:r w:rsidR="00560446">
        <w:rPr>
          <w:sz w:val="26"/>
          <w:szCs w:val="26"/>
        </w:rPr>
        <w:t xml:space="preserve"> failure to provide timely notice and to timely transfer the account into the actual property owner’s name </w:t>
      </w:r>
      <w:r w:rsidR="00D17374">
        <w:rPr>
          <w:sz w:val="26"/>
          <w:szCs w:val="26"/>
        </w:rPr>
        <w:t xml:space="preserve">raises the question of whether </w:t>
      </w:r>
      <w:r w:rsidR="00E847DE">
        <w:rPr>
          <w:sz w:val="26"/>
          <w:szCs w:val="26"/>
        </w:rPr>
        <w:t xml:space="preserve">its </w:t>
      </w:r>
      <w:r w:rsidR="00E847DE" w:rsidRPr="00E847DE">
        <w:rPr>
          <w:sz w:val="26"/>
          <w:szCs w:val="26"/>
        </w:rPr>
        <w:t xml:space="preserve">actions </w:t>
      </w:r>
      <w:r w:rsidR="00560446" w:rsidRPr="00E847DE">
        <w:rPr>
          <w:sz w:val="26"/>
          <w:szCs w:val="26"/>
        </w:rPr>
        <w:t xml:space="preserve">constitute </w:t>
      </w:r>
      <w:r w:rsidR="00E847DE" w:rsidRPr="00E847DE">
        <w:rPr>
          <w:sz w:val="26"/>
          <w:szCs w:val="26"/>
        </w:rPr>
        <w:t>r</w:t>
      </w:r>
      <w:r w:rsidR="00560446" w:rsidRPr="00E847DE">
        <w:rPr>
          <w:sz w:val="26"/>
          <w:szCs w:val="26"/>
        </w:rPr>
        <w:t xml:space="preserve">easonable service under 66 Pa. C.S. § 1501.  </w:t>
      </w:r>
      <w:r w:rsidR="0097174A" w:rsidRPr="00E847DE">
        <w:rPr>
          <w:sz w:val="26"/>
          <w:szCs w:val="26"/>
        </w:rPr>
        <w:t>Indeed, PPL has a duty to furnish and maintain reasonable service to its customers.  66 Pa. C.S. §</w:t>
      </w:r>
      <w:r w:rsidR="00D20C80">
        <w:rPr>
          <w:sz w:val="26"/>
          <w:szCs w:val="26"/>
        </w:rPr>
        <w:t> </w:t>
      </w:r>
      <w:r w:rsidR="0097174A" w:rsidRPr="00E847DE">
        <w:rPr>
          <w:sz w:val="26"/>
          <w:szCs w:val="26"/>
        </w:rPr>
        <w:t>1501.  The term “service” is defined under Section 102 of the Code, in relevant part, as follows: “Used in its broadest and most inclusive sense, includes any and all acts done, rendered, or performed</w:t>
      </w:r>
      <w:r w:rsidR="005E1200">
        <w:rPr>
          <w:sz w:val="26"/>
          <w:szCs w:val="26"/>
        </w:rPr>
        <w:t xml:space="preserve"> . . . </w:t>
      </w:r>
      <w:r w:rsidR="0097174A" w:rsidRPr="00E847DE">
        <w:rPr>
          <w:sz w:val="26"/>
          <w:szCs w:val="26"/>
        </w:rPr>
        <w:t>by public utilities</w:t>
      </w:r>
      <w:r w:rsidR="005E1200">
        <w:rPr>
          <w:sz w:val="26"/>
          <w:szCs w:val="26"/>
        </w:rPr>
        <w:t xml:space="preserve"> </w:t>
      </w:r>
      <w:r w:rsidR="0097174A" w:rsidRPr="00E847DE">
        <w:rPr>
          <w:sz w:val="26"/>
          <w:szCs w:val="26"/>
        </w:rPr>
        <w:t>. . .</w:t>
      </w:r>
      <w:r w:rsidR="005E1200">
        <w:rPr>
          <w:sz w:val="26"/>
          <w:szCs w:val="26"/>
        </w:rPr>
        <w:t xml:space="preserve"> </w:t>
      </w:r>
      <w:r w:rsidR="0097174A" w:rsidRPr="00E847DE">
        <w:rPr>
          <w:sz w:val="26"/>
          <w:szCs w:val="26"/>
        </w:rPr>
        <w:t>in the performance of their duties under this part to their patrons</w:t>
      </w:r>
      <w:r w:rsidR="005E1200">
        <w:rPr>
          <w:sz w:val="26"/>
          <w:szCs w:val="26"/>
        </w:rPr>
        <w:t xml:space="preserve"> . . .”</w:t>
      </w:r>
      <w:r w:rsidR="0097174A" w:rsidRPr="00E847DE">
        <w:rPr>
          <w:sz w:val="26"/>
          <w:szCs w:val="26"/>
        </w:rPr>
        <w:t xml:space="preserve">  66 Pa. C.S.§ 102.  Here, PPL’s furnishing of the notice and transferring the account, in accordance with the requirements of 6</w:t>
      </w:r>
      <w:r w:rsidR="00F003BB" w:rsidRPr="00E847DE">
        <w:rPr>
          <w:sz w:val="26"/>
          <w:szCs w:val="26"/>
        </w:rPr>
        <w:t>6 Pa. C.S. §</w:t>
      </w:r>
      <w:r w:rsidR="00D20C80">
        <w:rPr>
          <w:sz w:val="26"/>
          <w:szCs w:val="26"/>
        </w:rPr>
        <w:t> </w:t>
      </w:r>
      <w:r w:rsidR="00F003BB" w:rsidRPr="00E847DE">
        <w:rPr>
          <w:sz w:val="26"/>
          <w:szCs w:val="26"/>
        </w:rPr>
        <w:t>1529.1, constitute</w:t>
      </w:r>
      <w:r w:rsidR="0097174A" w:rsidRPr="00E847DE">
        <w:rPr>
          <w:sz w:val="26"/>
          <w:szCs w:val="26"/>
        </w:rPr>
        <w:t xml:space="preserve"> “service” under 66 Pa. C.</w:t>
      </w:r>
      <w:r w:rsidR="0097174A">
        <w:rPr>
          <w:sz w:val="26"/>
          <w:szCs w:val="26"/>
        </w:rPr>
        <w:t>S. §§ 1501, 102.</w:t>
      </w:r>
    </w:p>
    <w:p w:rsidR="0097174A" w:rsidRDefault="0097174A" w:rsidP="00DF2CE9">
      <w:pPr>
        <w:widowControl/>
        <w:spacing w:line="360" w:lineRule="auto"/>
        <w:ind w:firstLine="1440"/>
        <w:rPr>
          <w:sz w:val="26"/>
          <w:szCs w:val="26"/>
        </w:rPr>
      </w:pPr>
    </w:p>
    <w:p w:rsidR="00B53CA7" w:rsidRDefault="005E1200" w:rsidP="00DF2CE9">
      <w:pPr>
        <w:widowControl/>
        <w:spacing w:line="360" w:lineRule="auto"/>
        <w:ind w:firstLine="1440"/>
        <w:rPr>
          <w:sz w:val="26"/>
          <w:szCs w:val="26"/>
        </w:rPr>
      </w:pPr>
      <w:r>
        <w:rPr>
          <w:sz w:val="26"/>
          <w:szCs w:val="26"/>
        </w:rPr>
        <w:t xml:space="preserve">We admonish </w:t>
      </w:r>
      <w:r w:rsidR="00EF612F">
        <w:rPr>
          <w:sz w:val="26"/>
          <w:szCs w:val="26"/>
        </w:rPr>
        <w:t xml:space="preserve">PPL </w:t>
      </w:r>
      <w:r>
        <w:rPr>
          <w:sz w:val="26"/>
          <w:szCs w:val="26"/>
        </w:rPr>
        <w:t xml:space="preserve">to </w:t>
      </w:r>
      <w:r w:rsidR="00EE34B7">
        <w:rPr>
          <w:sz w:val="26"/>
          <w:szCs w:val="26"/>
        </w:rPr>
        <w:t xml:space="preserve">exercise diligence </w:t>
      </w:r>
      <w:r>
        <w:rPr>
          <w:sz w:val="26"/>
          <w:szCs w:val="26"/>
        </w:rPr>
        <w:t xml:space="preserve">in </w:t>
      </w:r>
      <w:r w:rsidR="00EF612F">
        <w:rPr>
          <w:sz w:val="26"/>
          <w:szCs w:val="26"/>
        </w:rPr>
        <w:t>verify</w:t>
      </w:r>
      <w:r>
        <w:rPr>
          <w:sz w:val="26"/>
          <w:szCs w:val="26"/>
        </w:rPr>
        <w:t>ing</w:t>
      </w:r>
      <w:r w:rsidR="00560446">
        <w:rPr>
          <w:sz w:val="26"/>
          <w:szCs w:val="26"/>
        </w:rPr>
        <w:t xml:space="preserve"> the name of </w:t>
      </w:r>
      <w:r w:rsidR="00EE34B7">
        <w:rPr>
          <w:sz w:val="26"/>
          <w:szCs w:val="26"/>
        </w:rPr>
        <w:t xml:space="preserve">a </w:t>
      </w:r>
      <w:r w:rsidR="00560446">
        <w:rPr>
          <w:sz w:val="26"/>
          <w:szCs w:val="26"/>
        </w:rPr>
        <w:t>property owner through available means (such as checking publicly-available property records)</w:t>
      </w:r>
      <w:r w:rsidR="00EF612F">
        <w:rPr>
          <w:sz w:val="26"/>
          <w:szCs w:val="26"/>
        </w:rPr>
        <w:t xml:space="preserve"> to substant</w:t>
      </w:r>
      <w:r w:rsidR="00EE34B7">
        <w:rPr>
          <w:sz w:val="26"/>
          <w:szCs w:val="26"/>
        </w:rPr>
        <w:t>iate the information it receives</w:t>
      </w:r>
      <w:r w:rsidR="00EF612F">
        <w:rPr>
          <w:sz w:val="26"/>
          <w:szCs w:val="26"/>
        </w:rPr>
        <w:t xml:space="preserve"> from </w:t>
      </w:r>
      <w:r w:rsidR="00EE34B7">
        <w:rPr>
          <w:sz w:val="26"/>
          <w:szCs w:val="26"/>
        </w:rPr>
        <w:t>a</w:t>
      </w:r>
      <w:r w:rsidR="00EF612F">
        <w:rPr>
          <w:sz w:val="26"/>
          <w:szCs w:val="26"/>
        </w:rPr>
        <w:t xml:space="preserve"> tenant,</w:t>
      </w:r>
      <w:r w:rsidR="00560446">
        <w:rPr>
          <w:sz w:val="26"/>
          <w:szCs w:val="26"/>
        </w:rPr>
        <w:t xml:space="preserve"> </w:t>
      </w:r>
      <w:r w:rsidR="00EE34B7">
        <w:rPr>
          <w:sz w:val="26"/>
          <w:szCs w:val="26"/>
        </w:rPr>
        <w:t>in a timely manner</w:t>
      </w:r>
      <w:r w:rsidR="00560446">
        <w:rPr>
          <w:sz w:val="26"/>
          <w:szCs w:val="26"/>
        </w:rPr>
        <w:t xml:space="preserve">.  </w:t>
      </w:r>
      <w:r w:rsidR="005D0D57">
        <w:rPr>
          <w:sz w:val="26"/>
          <w:szCs w:val="26"/>
        </w:rPr>
        <w:t>To be clear</w:t>
      </w:r>
      <w:r w:rsidR="00D17374">
        <w:rPr>
          <w:sz w:val="26"/>
          <w:szCs w:val="26"/>
        </w:rPr>
        <w:t>,</w:t>
      </w:r>
      <w:r w:rsidR="005D0D57">
        <w:rPr>
          <w:sz w:val="26"/>
          <w:szCs w:val="26"/>
        </w:rPr>
        <w:t xml:space="preserve"> however,</w:t>
      </w:r>
      <w:r w:rsidR="00D17374">
        <w:rPr>
          <w:sz w:val="26"/>
          <w:szCs w:val="26"/>
        </w:rPr>
        <w:t xml:space="preserve"> </w:t>
      </w:r>
      <w:r w:rsidR="00EF612F">
        <w:rPr>
          <w:sz w:val="26"/>
          <w:szCs w:val="26"/>
        </w:rPr>
        <w:t>PPL’</w:t>
      </w:r>
      <w:r w:rsidR="00D17374">
        <w:rPr>
          <w:sz w:val="26"/>
          <w:szCs w:val="26"/>
        </w:rPr>
        <w:t xml:space="preserve">s </w:t>
      </w:r>
      <w:r w:rsidR="00EE34B7">
        <w:rPr>
          <w:sz w:val="26"/>
          <w:szCs w:val="26"/>
        </w:rPr>
        <w:t>lack of timeliness</w:t>
      </w:r>
      <w:r w:rsidR="00373989">
        <w:rPr>
          <w:sz w:val="26"/>
          <w:szCs w:val="26"/>
        </w:rPr>
        <w:t>,</w:t>
      </w:r>
      <w:r w:rsidR="00EE34B7">
        <w:rPr>
          <w:sz w:val="26"/>
          <w:szCs w:val="26"/>
        </w:rPr>
        <w:t xml:space="preserve"> in</w:t>
      </w:r>
      <w:r w:rsidR="00D17374">
        <w:rPr>
          <w:sz w:val="26"/>
          <w:szCs w:val="26"/>
        </w:rPr>
        <w:t xml:space="preserve"> </w:t>
      </w:r>
      <w:r w:rsidR="00EE34B7">
        <w:rPr>
          <w:sz w:val="26"/>
          <w:szCs w:val="26"/>
        </w:rPr>
        <w:t>this case</w:t>
      </w:r>
      <w:r w:rsidR="00373989">
        <w:rPr>
          <w:sz w:val="26"/>
          <w:szCs w:val="26"/>
        </w:rPr>
        <w:t>,</w:t>
      </w:r>
      <w:r w:rsidR="00EE34B7">
        <w:rPr>
          <w:sz w:val="26"/>
          <w:szCs w:val="26"/>
        </w:rPr>
        <w:t xml:space="preserve"> in </w:t>
      </w:r>
      <w:r w:rsidR="00A1412F">
        <w:rPr>
          <w:sz w:val="26"/>
          <w:szCs w:val="26"/>
        </w:rPr>
        <w:t xml:space="preserve">failing to </w:t>
      </w:r>
      <w:r w:rsidR="00EE34B7">
        <w:rPr>
          <w:sz w:val="26"/>
          <w:szCs w:val="26"/>
        </w:rPr>
        <w:t xml:space="preserve">promptly </w:t>
      </w:r>
      <w:r w:rsidR="00A1412F">
        <w:rPr>
          <w:sz w:val="26"/>
          <w:szCs w:val="26"/>
        </w:rPr>
        <w:t>notify the property owner</w:t>
      </w:r>
      <w:r w:rsidR="00EF612F">
        <w:rPr>
          <w:sz w:val="26"/>
          <w:szCs w:val="26"/>
        </w:rPr>
        <w:t xml:space="preserve"> would not relieve the Complainant of his financial responsibility for the arrearage on the foreign load-affected account </w:t>
      </w:r>
      <w:r w:rsidR="00A1412F">
        <w:rPr>
          <w:sz w:val="26"/>
          <w:szCs w:val="26"/>
        </w:rPr>
        <w:t>under</w:t>
      </w:r>
      <w:r w:rsidR="00EF612F">
        <w:rPr>
          <w:sz w:val="26"/>
          <w:szCs w:val="26"/>
        </w:rPr>
        <w:t xml:space="preserve"> 66 Pa. C.S. 1529.1, which is the remedy the Complainant seeks.</w:t>
      </w:r>
      <w:r w:rsidR="00A1412F">
        <w:rPr>
          <w:sz w:val="26"/>
          <w:szCs w:val="26"/>
        </w:rPr>
        <w:t xml:space="preserve">  We do not read Section 1529.1 as</w:t>
      </w:r>
      <w:r w:rsidR="0097174A">
        <w:rPr>
          <w:sz w:val="26"/>
          <w:szCs w:val="26"/>
        </w:rPr>
        <w:t>,</w:t>
      </w:r>
      <w:r w:rsidR="008B1EB6">
        <w:rPr>
          <w:sz w:val="26"/>
          <w:szCs w:val="26"/>
        </w:rPr>
        <w:t xml:space="preserve"> either</w:t>
      </w:r>
      <w:r w:rsidR="00A1412F">
        <w:rPr>
          <w:sz w:val="26"/>
          <w:szCs w:val="26"/>
        </w:rPr>
        <w:t xml:space="preserve"> expressly or impliedly</w:t>
      </w:r>
      <w:r w:rsidR="0097174A">
        <w:rPr>
          <w:sz w:val="26"/>
          <w:szCs w:val="26"/>
        </w:rPr>
        <w:t>,</w:t>
      </w:r>
      <w:r w:rsidR="00A1412F">
        <w:rPr>
          <w:sz w:val="26"/>
          <w:szCs w:val="26"/>
        </w:rPr>
        <w:t xml:space="preserve"> providing such a remedy.  </w:t>
      </w:r>
      <w:r w:rsidR="00EE34B7">
        <w:rPr>
          <w:rFonts w:eastAsia="Calibri"/>
          <w:sz w:val="26"/>
          <w:szCs w:val="26"/>
        </w:rPr>
        <w:t>Indeed, t</w:t>
      </w:r>
      <w:r w:rsidR="00E847DE">
        <w:rPr>
          <w:rFonts w:eastAsia="Calibri"/>
          <w:sz w:val="26"/>
          <w:szCs w:val="26"/>
        </w:rPr>
        <w:t>he provision of Section 1529.1(c) make</w:t>
      </w:r>
      <w:r w:rsidR="00EE34B7">
        <w:rPr>
          <w:rFonts w:eastAsia="Calibri"/>
          <w:sz w:val="26"/>
          <w:szCs w:val="26"/>
        </w:rPr>
        <w:t>s</w:t>
      </w:r>
      <w:r w:rsidR="00E847DE">
        <w:rPr>
          <w:rFonts w:eastAsia="Calibri"/>
          <w:sz w:val="26"/>
          <w:szCs w:val="26"/>
        </w:rPr>
        <w:t xml:space="preserve"> clear that the duty to notify the utility rests with the </w:t>
      </w:r>
      <w:r w:rsidR="00EE34B7">
        <w:rPr>
          <w:rFonts w:eastAsia="Calibri"/>
          <w:sz w:val="26"/>
          <w:szCs w:val="26"/>
        </w:rPr>
        <w:t>property owner</w:t>
      </w:r>
      <w:r w:rsidR="00E847DE">
        <w:rPr>
          <w:rFonts w:eastAsia="Calibri"/>
          <w:sz w:val="26"/>
          <w:szCs w:val="26"/>
        </w:rPr>
        <w:t xml:space="preserve"> and the failure of the </w:t>
      </w:r>
      <w:r w:rsidR="00EE34B7">
        <w:rPr>
          <w:rFonts w:eastAsia="Calibri"/>
          <w:sz w:val="26"/>
          <w:szCs w:val="26"/>
        </w:rPr>
        <w:t>property owner</w:t>
      </w:r>
      <w:r w:rsidR="00E847DE">
        <w:rPr>
          <w:rFonts w:eastAsia="Calibri"/>
          <w:sz w:val="26"/>
          <w:szCs w:val="26"/>
        </w:rPr>
        <w:t xml:space="preserve"> to so notify </w:t>
      </w:r>
      <w:r w:rsidR="00EE34B7">
        <w:rPr>
          <w:rFonts w:eastAsia="Calibri"/>
          <w:sz w:val="26"/>
          <w:szCs w:val="26"/>
        </w:rPr>
        <w:t xml:space="preserve">a utility </w:t>
      </w:r>
      <w:r w:rsidR="00E847DE">
        <w:rPr>
          <w:rFonts w:eastAsia="Calibri"/>
          <w:sz w:val="26"/>
          <w:szCs w:val="26"/>
        </w:rPr>
        <w:t xml:space="preserve">does not relieve </w:t>
      </w:r>
      <w:r w:rsidR="00EE34B7">
        <w:rPr>
          <w:rFonts w:eastAsia="Calibri"/>
          <w:sz w:val="26"/>
          <w:szCs w:val="26"/>
        </w:rPr>
        <w:t xml:space="preserve">it </w:t>
      </w:r>
      <w:r w:rsidR="00E847DE">
        <w:rPr>
          <w:rFonts w:eastAsia="Calibri"/>
          <w:sz w:val="26"/>
          <w:szCs w:val="26"/>
        </w:rPr>
        <w:t>of responsibility</w:t>
      </w:r>
      <w:r w:rsidR="00EE34B7">
        <w:rPr>
          <w:rFonts w:eastAsia="Calibri"/>
          <w:sz w:val="26"/>
          <w:szCs w:val="26"/>
        </w:rPr>
        <w:t xml:space="preserve"> for</w:t>
      </w:r>
      <w:r w:rsidR="00E847DE">
        <w:rPr>
          <w:rFonts w:eastAsia="Calibri"/>
          <w:sz w:val="26"/>
          <w:szCs w:val="26"/>
        </w:rPr>
        <w:t xml:space="preserve"> the affected account.  </w:t>
      </w:r>
      <w:r w:rsidR="00EF612F">
        <w:rPr>
          <w:sz w:val="26"/>
          <w:szCs w:val="26"/>
        </w:rPr>
        <w:t xml:space="preserve">Rather, the question would be whether </w:t>
      </w:r>
      <w:r w:rsidR="00D17374">
        <w:rPr>
          <w:sz w:val="26"/>
          <w:szCs w:val="26"/>
        </w:rPr>
        <w:t xml:space="preserve">it would be appropriate to find </w:t>
      </w:r>
      <w:r w:rsidR="00A1412F">
        <w:rPr>
          <w:sz w:val="26"/>
          <w:szCs w:val="26"/>
        </w:rPr>
        <w:t>PPL in</w:t>
      </w:r>
      <w:r w:rsidR="00D17374">
        <w:rPr>
          <w:sz w:val="26"/>
          <w:szCs w:val="26"/>
        </w:rPr>
        <w:t xml:space="preserve"> violation of</w:t>
      </w:r>
      <w:r w:rsidR="00A1412F">
        <w:rPr>
          <w:sz w:val="26"/>
          <w:szCs w:val="26"/>
        </w:rPr>
        <w:t xml:space="preserve"> its </w:t>
      </w:r>
      <w:r w:rsidR="00E847DE">
        <w:rPr>
          <w:sz w:val="26"/>
          <w:szCs w:val="26"/>
        </w:rPr>
        <w:t>obligation</w:t>
      </w:r>
      <w:r w:rsidR="00D17374">
        <w:rPr>
          <w:sz w:val="26"/>
          <w:szCs w:val="26"/>
        </w:rPr>
        <w:t xml:space="preserve"> to provide reasonable service under 66 Pa. C.S. 1501 and</w:t>
      </w:r>
      <w:r w:rsidR="00A1412F">
        <w:rPr>
          <w:sz w:val="26"/>
          <w:szCs w:val="26"/>
        </w:rPr>
        <w:t xml:space="preserve"> whether the appropriate grounds exist</w:t>
      </w:r>
      <w:r w:rsidR="00D17374">
        <w:rPr>
          <w:sz w:val="26"/>
          <w:szCs w:val="26"/>
        </w:rPr>
        <w:t xml:space="preserve"> </w:t>
      </w:r>
      <w:r w:rsidR="00A1412F">
        <w:rPr>
          <w:sz w:val="26"/>
          <w:szCs w:val="26"/>
        </w:rPr>
        <w:t>to im</w:t>
      </w:r>
      <w:r w:rsidR="00D17374">
        <w:rPr>
          <w:sz w:val="26"/>
          <w:szCs w:val="26"/>
        </w:rPr>
        <w:t>pose a civil penalty und</w:t>
      </w:r>
      <w:r w:rsidR="00EF612F">
        <w:rPr>
          <w:sz w:val="26"/>
          <w:szCs w:val="26"/>
        </w:rPr>
        <w:t>er 66 Pa. C.S. §</w:t>
      </w:r>
      <w:r w:rsidR="00D20C80">
        <w:t> </w:t>
      </w:r>
      <w:r w:rsidR="00EF612F">
        <w:rPr>
          <w:sz w:val="26"/>
          <w:szCs w:val="26"/>
        </w:rPr>
        <w:t xml:space="preserve">3301.  </w:t>
      </w:r>
      <w:r w:rsidR="00D56AB2">
        <w:rPr>
          <w:sz w:val="26"/>
          <w:szCs w:val="26"/>
        </w:rPr>
        <w:t>H</w:t>
      </w:r>
      <w:r w:rsidR="00EF612F">
        <w:rPr>
          <w:sz w:val="26"/>
          <w:szCs w:val="26"/>
        </w:rPr>
        <w:t>owever, because the Complainant failed to carry his burden of showing that he</w:t>
      </w:r>
      <w:r w:rsidR="00A1412F">
        <w:rPr>
          <w:sz w:val="26"/>
          <w:szCs w:val="26"/>
        </w:rPr>
        <w:t xml:space="preserve"> </w:t>
      </w:r>
      <w:r w:rsidR="005D0D57">
        <w:rPr>
          <w:sz w:val="26"/>
          <w:szCs w:val="26"/>
        </w:rPr>
        <w:t>corrected</w:t>
      </w:r>
      <w:r w:rsidR="00EF612F">
        <w:rPr>
          <w:sz w:val="26"/>
          <w:szCs w:val="26"/>
        </w:rPr>
        <w:t xml:space="preserve"> the foreign wiring, </w:t>
      </w:r>
      <w:r w:rsidR="005D0D57">
        <w:rPr>
          <w:sz w:val="26"/>
          <w:szCs w:val="26"/>
        </w:rPr>
        <w:t xml:space="preserve">or how PPL’s delay </w:t>
      </w:r>
      <w:r w:rsidR="0097174A">
        <w:rPr>
          <w:sz w:val="26"/>
          <w:szCs w:val="26"/>
        </w:rPr>
        <w:t xml:space="preserve">in notifying him </w:t>
      </w:r>
      <w:r w:rsidR="005D0D57">
        <w:rPr>
          <w:sz w:val="26"/>
          <w:szCs w:val="26"/>
        </w:rPr>
        <w:t xml:space="preserve">caused him undue burden in fixing the foreign wiring, </w:t>
      </w:r>
      <w:r w:rsidR="00EF612F">
        <w:rPr>
          <w:sz w:val="26"/>
          <w:szCs w:val="26"/>
        </w:rPr>
        <w:t>we ar</w:t>
      </w:r>
      <w:r w:rsidR="00D17374">
        <w:rPr>
          <w:sz w:val="26"/>
          <w:szCs w:val="26"/>
        </w:rPr>
        <w:t xml:space="preserve">e not compelled </w:t>
      </w:r>
      <w:r w:rsidR="00D56AB2">
        <w:rPr>
          <w:sz w:val="26"/>
          <w:szCs w:val="26"/>
        </w:rPr>
        <w:t xml:space="preserve">in this case </w:t>
      </w:r>
      <w:r w:rsidR="00D17374">
        <w:rPr>
          <w:sz w:val="26"/>
          <w:szCs w:val="26"/>
        </w:rPr>
        <w:t>to</w:t>
      </w:r>
      <w:r w:rsidR="00D56AB2">
        <w:rPr>
          <w:sz w:val="26"/>
          <w:szCs w:val="26"/>
        </w:rPr>
        <w:t xml:space="preserve"> rule </w:t>
      </w:r>
      <w:r w:rsidR="00E9539C">
        <w:rPr>
          <w:sz w:val="26"/>
          <w:szCs w:val="26"/>
        </w:rPr>
        <w:t>on this issue.</w:t>
      </w:r>
      <w:r w:rsidR="00EF612F">
        <w:rPr>
          <w:sz w:val="26"/>
          <w:szCs w:val="26"/>
        </w:rPr>
        <w:t xml:space="preserve">  </w:t>
      </w:r>
      <w:r w:rsidR="007744F3">
        <w:rPr>
          <w:sz w:val="26"/>
          <w:szCs w:val="26"/>
        </w:rPr>
        <w:t>Accordingly, we will deny the Complainant’s third Exception.</w:t>
      </w:r>
    </w:p>
    <w:p w:rsidR="007744F3" w:rsidRDefault="007744F3" w:rsidP="00DF2CE9">
      <w:pPr>
        <w:widowControl/>
        <w:spacing w:line="360" w:lineRule="auto"/>
        <w:ind w:firstLine="1440"/>
        <w:rPr>
          <w:sz w:val="26"/>
          <w:szCs w:val="26"/>
        </w:rPr>
      </w:pPr>
    </w:p>
    <w:p w:rsidR="00ED60FB" w:rsidRPr="00A9787D" w:rsidRDefault="00ED60FB" w:rsidP="00DF2CE9">
      <w:pPr>
        <w:keepNext/>
        <w:widowControl/>
        <w:spacing w:line="360" w:lineRule="auto"/>
        <w:jc w:val="center"/>
        <w:rPr>
          <w:b/>
          <w:sz w:val="26"/>
          <w:szCs w:val="26"/>
        </w:rPr>
      </w:pPr>
      <w:r w:rsidRPr="00A9787D">
        <w:rPr>
          <w:b/>
          <w:sz w:val="26"/>
          <w:szCs w:val="26"/>
        </w:rPr>
        <w:lastRenderedPageBreak/>
        <w:t>Conclusion</w:t>
      </w:r>
    </w:p>
    <w:p w:rsidR="00ED60FB" w:rsidRPr="00A9787D" w:rsidRDefault="00ED60FB" w:rsidP="00DF2CE9">
      <w:pPr>
        <w:keepNext/>
        <w:widowControl/>
        <w:ind w:firstLine="1440"/>
        <w:rPr>
          <w:sz w:val="26"/>
          <w:szCs w:val="26"/>
        </w:rPr>
      </w:pPr>
    </w:p>
    <w:p w:rsidR="00ED60FB" w:rsidRPr="00A9787D" w:rsidRDefault="00ED60FB" w:rsidP="00DF2CE9">
      <w:pPr>
        <w:keepNext/>
        <w:widowControl/>
        <w:spacing w:line="360" w:lineRule="auto"/>
        <w:ind w:firstLine="1440"/>
        <w:rPr>
          <w:sz w:val="26"/>
          <w:szCs w:val="26"/>
        </w:rPr>
      </w:pPr>
      <w:r w:rsidRPr="00A9787D">
        <w:rPr>
          <w:sz w:val="26"/>
          <w:szCs w:val="26"/>
        </w:rPr>
        <w:t xml:space="preserve">Consistent with the foregoing discussion, we shall </w:t>
      </w:r>
      <w:r w:rsidR="00F62471">
        <w:rPr>
          <w:sz w:val="26"/>
          <w:szCs w:val="26"/>
        </w:rPr>
        <w:t>deny</w:t>
      </w:r>
      <w:r w:rsidR="003823FA">
        <w:rPr>
          <w:sz w:val="26"/>
          <w:szCs w:val="26"/>
        </w:rPr>
        <w:t xml:space="preserve"> the Complainant’s Exceptions</w:t>
      </w:r>
      <w:r w:rsidR="00D56AB2">
        <w:rPr>
          <w:sz w:val="26"/>
          <w:szCs w:val="26"/>
        </w:rPr>
        <w:t xml:space="preserve"> and </w:t>
      </w:r>
      <w:r w:rsidR="00780F14">
        <w:rPr>
          <w:sz w:val="26"/>
          <w:szCs w:val="26"/>
        </w:rPr>
        <w:t>adopt the</w:t>
      </w:r>
      <w:r w:rsidR="00644358">
        <w:rPr>
          <w:sz w:val="26"/>
          <w:szCs w:val="26"/>
        </w:rPr>
        <w:t xml:space="preserve"> Initial Decision of ALJ</w:t>
      </w:r>
      <w:r w:rsidR="00F62471">
        <w:rPr>
          <w:sz w:val="26"/>
          <w:szCs w:val="26"/>
        </w:rPr>
        <w:t xml:space="preserve"> </w:t>
      </w:r>
      <w:r w:rsidR="00780F14">
        <w:rPr>
          <w:sz w:val="26"/>
          <w:szCs w:val="26"/>
        </w:rPr>
        <w:t>Conrad A. Johnson</w:t>
      </w:r>
      <w:r w:rsidR="00AD2522">
        <w:rPr>
          <w:sz w:val="26"/>
          <w:szCs w:val="26"/>
        </w:rPr>
        <w:t xml:space="preserve"> which dismisses </w:t>
      </w:r>
      <w:r w:rsidRPr="00A9787D">
        <w:rPr>
          <w:sz w:val="26"/>
          <w:szCs w:val="26"/>
        </w:rPr>
        <w:t xml:space="preserve">the Complaint; </w:t>
      </w:r>
      <w:r w:rsidRPr="00A9787D">
        <w:rPr>
          <w:b/>
          <w:sz w:val="26"/>
          <w:szCs w:val="26"/>
        </w:rPr>
        <w:t>THEREFORE,</w:t>
      </w:r>
    </w:p>
    <w:p w:rsidR="009C6EB0" w:rsidRPr="00A9787D" w:rsidRDefault="009C6EB0" w:rsidP="00DF2CE9">
      <w:pPr>
        <w:widowControl/>
        <w:spacing w:line="360" w:lineRule="auto"/>
        <w:ind w:left="90"/>
        <w:rPr>
          <w:sz w:val="26"/>
          <w:szCs w:val="26"/>
        </w:rPr>
      </w:pPr>
    </w:p>
    <w:p w:rsidR="00CA43A5" w:rsidRDefault="00CA43A5" w:rsidP="00DF2CE9">
      <w:pPr>
        <w:widowControl/>
        <w:ind w:firstLine="1440"/>
        <w:rPr>
          <w:b/>
          <w:sz w:val="26"/>
          <w:szCs w:val="26"/>
        </w:rPr>
      </w:pPr>
      <w:r w:rsidRPr="00A9787D">
        <w:rPr>
          <w:b/>
          <w:sz w:val="26"/>
          <w:szCs w:val="26"/>
        </w:rPr>
        <w:t>IT IS ORDERED:</w:t>
      </w:r>
    </w:p>
    <w:p w:rsidR="00306602" w:rsidRPr="00A9787D" w:rsidRDefault="00306602" w:rsidP="00DF2CE9">
      <w:pPr>
        <w:widowControl/>
        <w:ind w:firstLine="1440"/>
        <w:rPr>
          <w:b/>
          <w:sz w:val="26"/>
          <w:szCs w:val="26"/>
        </w:rPr>
      </w:pPr>
    </w:p>
    <w:p w:rsidR="00CA43A5" w:rsidRPr="00A9787D" w:rsidRDefault="00CA43A5" w:rsidP="00DF2CE9">
      <w:pPr>
        <w:keepNext/>
        <w:widowControl/>
        <w:rPr>
          <w:sz w:val="26"/>
          <w:szCs w:val="26"/>
        </w:rPr>
      </w:pPr>
    </w:p>
    <w:p w:rsidR="00AD2B10" w:rsidRDefault="009155F7" w:rsidP="00DF2CE9">
      <w:pPr>
        <w:widowControl/>
        <w:numPr>
          <w:ilvl w:val="0"/>
          <w:numId w:val="1"/>
        </w:numPr>
        <w:tabs>
          <w:tab w:val="clear" w:pos="2160"/>
          <w:tab w:val="num" w:pos="0"/>
        </w:tabs>
        <w:spacing w:line="360" w:lineRule="auto"/>
        <w:ind w:left="0" w:firstLine="1440"/>
        <w:rPr>
          <w:sz w:val="26"/>
          <w:szCs w:val="26"/>
        </w:rPr>
      </w:pPr>
      <w:r w:rsidRPr="00A9787D">
        <w:rPr>
          <w:sz w:val="26"/>
          <w:szCs w:val="26"/>
        </w:rPr>
        <w:t>That the</w:t>
      </w:r>
      <w:r w:rsidR="00AD2B10">
        <w:rPr>
          <w:sz w:val="26"/>
          <w:szCs w:val="26"/>
        </w:rPr>
        <w:t xml:space="preserve"> </w:t>
      </w:r>
      <w:r w:rsidRPr="00A9787D">
        <w:rPr>
          <w:sz w:val="26"/>
          <w:szCs w:val="26"/>
        </w:rPr>
        <w:t>Exceptions of</w:t>
      </w:r>
      <w:r w:rsidR="00426FA7">
        <w:rPr>
          <w:sz w:val="26"/>
          <w:szCs w:val="26"/>
        </w:rPr>
        <w:t xml:space="preserve"> </w:t>
      </w:r>
      <w:r w:rsidR="00780F14">
        <w:rPr>
          <w:sz w:val="26"/>
          <w:szCs w:val="26"/>
        </w:rPr>
        <w:t>John McGee</w:t>
      </w:r>
      <w:r w:rsidR="00B92D7C" w:rsidRPr="00A9787D">
        <w:rPr>
          <w:sz w:val="26"/>
          <w:szCs w:val="26"/>
        </w:rPr>
        <w:t>,</w:t>
      </w:r>
      <w:r w:rsidR="00426FA7">
        <w:rPr>
          <w:sz w:val="26"/>
          <w:szCs w:val="26"/>
        </w:rPr>
        <w:t xml:space="preserve"> filed on </w:t>
      </w:r>
      <w:r w:rsidR="00555A8E">
        <w:rPr>
          <w:sz w:val="26"/>
          <w:szCs w:val="26"/>
        </w:rPr>
        <w:t>June 9</w:t>
      </w:r>
      <w:r w:rsidR="00DE77FA">
        <w:rPr>
          <w:sz w:val="26"/>
          <w:szCs w:val="26"/>
        </w:rPr>
        <w:t>, 201</w:t>
      </w:r>
      <w:r w:rsidR="003125E3">
        <w:rPr>
          <w:sz w:val="26"/>
          <w:szCs w:val="26"/>
        </w:rPr>
        <w:t>7</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181696" w:rsidRPr="00A9787D">
        <w:rPr>
          <w:sz w:val="26"/>
          <w:szCs w:val="26"/>
        </w:rPr>
        <w:t>ve Law Judge</w:t>
      </w:r>
      <w:r w:rsidR="003125E3">
        <w:rPr>
          <w:sz w:val="26"/>
          <w:szCs w:val="26"/>
        </w:rPr>
        <w:t xml:space="preserve"> </w:t>
      </w:r>
      <w:r w:rsidR="00780F14">
        <w:rPr>
          <w:sz w:val="26"/>
          <w:szCs w:val="26"/>
        </w:rPr>
        <w:t>Conrad A. Johnson</w:t>
      </w:r>
      <w:r w:rsidR="00426FA7">
        <w:rPr>
          <w:sz w:val="26"/>
          <w:szCs w:val="26"/>
        </w:rPr>
        <w:t xml:space="preserve">, </w:t>
      </w:r>
      <w:r w:rsidR="00AD2522">
        <w:rPr>
          <w:sz w:val="26"/>
          <w:szCs w:val="26"/>
        </w:rPr>
        <w:t xml:space="preserve">which was issued on </w:t>
      </w:r>
      <w:r w:rsidR="004A5152">
        <w:rPr>
          <w:sz w:val="26"/>
          <w:szCs w:val="26"/>
        </w:rPr>
        <w:t xml:space="preserve">May 4, 2017, </w:t>
      </w:r>
      <w:r w:rsidR="00704C1A">
        <w:rPr>
          <w:sz w:val="26"/>
          <w:szCs w:val="26"/>
        </w:rPr>
        <w:t>are</w:t>
      </w:r>
      <w:r w:rsidR="00F61D83">
        <w:rPr>
          <w:sz w:val="26"/>
          <w:szCs w:val="26"/>
        </w:rPr>
        <w:t xml:space="preserve"> </w:t>
      </w:r>
      <w:r w:rsidR="00251918" w:rsidRPr="00A9787D">
        <w:rPr>
          <w:sz w:val="26"/>
          <w:szCs w:val="26"/>
        </w:rPr>
        <w:t>denied</w:t>
      </w:r>
      <w:r w:rsidR="00780F14">
        <w:rPr>
          <w:sz w:val="26"/>
          <w:szCs w:val="26"/>
        </w:rPr>
        <w:t xml:space="preserve">, </w:t>
      </w:r>
      <w:r w:rsidR="003F51F4" w:rsidRPr="00A9787D">
        <w:rPr>
          <w:sz w:val="26"/>
          <w:szCs w:val="26"/>
        </w:rPr>
        <w:t xml:space="preserve">consistent with this Opinion </w:t>
      </w:r>
      <w:r w:rsidR="00B80C43" w:rsidRPr="00A9787D">
        <w:rPr>
          <w:sz w:val="26"/>
          <w:szCs w:val="26"/>
        </w:rPr>
        <w:t>and Order</w:t>
      </w:r>
      <w:r w:rsidRPr="00A9787D">
        <w:rPr>
          <w:sz w:val="26"/>
          <w:szCs w:val="26"/>
        </w:rPr>
        <w:t>.</w:t>
      </w:r>
    </w:p>
    <w:p w:rsidR="00AD2B10" w:rsidRPr="002A437B" w:rsidRDefault="00AD2B10" w:rsidP="00DF2CE9">
      <w:pPr>
        <w:widowControl/>
        <w:rPr>
          <w:sz w:val="26"/>
          <w:szCs w:val="26"/>
        </w:rPr>
      </w:pPr>
    </w:p>
    <w:p w:rsidR="00CA43A5" w:rsidRDefault="00CA43A5" w:rsidP="00DF2CE9">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 xml:space="preserve">Judge </w:t>
      </w:r>
      <w:r w:rsidR="00780F14">
        <w:rPr>
          <w:sz w:val="26"/>
          <w:szCs w:val="26"/>
        </w:rPr>
        <w:t>Conrad</w:t>
      </w:r>
      <w:r w:rsidR="00AD2522">
        <w:rPr>
          <w:sz w:val="26"/>
          <w:szCs w:val="26"/>
        </w:rPr>
        <w:t> </w:t>
      </w:r>
      <w:r w:rsidR="00780F14">
        <w:rPr>
          <w:sz w:val="26"/>
          <w:szCs w:val="26"/>
        </w:rPr>
        <w:t>A.</w:t>
      </w:r>
      <w:r w:rsidR="00AD2522">
        <w:rPr>
          <w:sz w:val="26"/>
          <w:szCs w:val="26"/>
        </w:rPr>
        <w:t> </w:t>
      </w:r>
      <w:r w:rsidR="00780F14">
        <w:rPr>
          <w:sz w:val="26"/>
          <w:szCs w:val="26"/>
        </w:rPr>
        <w:t>Johnson</w:t>
      </w:r>
      <w:r w:rsidR="00426FA7">
        <w:rPr>
          <w:sz w:val="26"/>
          <w:szCs w:val="26"/>
        </w:rPr>
        <w:t xml:space="preserve">, </w:t>
      </w:r>
      <w:r w:rsidR="004A5152">
        <w:rPr>
          <w:sz w:val="26"/>
          <w:szCs w:val="26"/>
        </w:rPr>
        <w:t xml:space="preserve">which was </w:t>
      </w:r>
      <w:r w:rsidR="00426FA7">
        <w:rPr>
          <w:sz w:val="26"/>
          <w:szCs w:val="26"/>
        </w:rPr>
        <w:t xml:space="preserve">issued </w:t>
      </w:r>
      <w:r w:rsidR="004A5152">
        <w:rPr>
          <w:sz w:val="26"/>
          <w:szCs w:val="26"/>
        </w:rPr>
        <w:t xml:space="preserve">on </w:t>
      </w:r>
      <w:r w:rsidR="00555A8E">
        <w:rPr>
          <w:sz w:val="26"/>
          <w:szCs w:val="26"/>
        </w:rPr>
        <w:t>May 4</w:t>
      </w:r>
      <w:r w:rsidR="00DE77FA">
        <w:rPr>
          <w:sz w:val="26"/>
          <w:szCs w:val="26"/>
        </w:rPr>
        <w:t>, 201</w:t>
      </w:r>
      <w:r w:rsidR="00A237C5">
        <w:rPr>
          <w:sz w:val="26"/>
          <w:szCs w:val="26"/>
        </w:rPr>
        <w:t>7</w:t>
      </w:r>
      <w:r w:rsidR="00745E99" w:rsidRPr="00A9787D">
        <w:rPr>
          <w:sz w:val="26"/>
          <w:szCs w:val="26"/>
        </w:rPr>
        <w:t>,</w:t>
      </w:r>
      <w:r w:rsidR="00251918" w:rsidRPr="00A9787D">
        <w:rPr>
          <w:sz w:val="26"/>
          <w:szCs w:val="26"/>
        </w:rPr>
        <w:t xml:space="preserve"> </w:t>
      </w:r>
      <w:r w:rsidR="006F590E" w:rsidRPr="00A9787D">
        <w:rPr>
          <w:sz w:val="26"/>
          <w:szCs w:val="26"/>
        </w:rPr>
        <w:t>is</w:t>
      </w:r>
      <w:r w:rsidR="006F590E">
        <w:rPr>
          <w:sz w:val="26"/>
          <w:szCs w:val="26"/>
        </w:rPr>
        <w:t xml:space="preserve"> </w:t>
      </w:r>
      <w:r w:rsidR="00555A8E">
        <w:rPr>
          <w:sz w:val="26"/>
          <w:szCs w:val="26"/>
        </w:rPr>
        <w:t>adopted</w:t>
      </w:r>
      <w:r w:rsidR="00AD2522">
        <w:rPr>
          <w:sz w:val="26"/>
          <w:szCs w:val="26"/>
        </w:rPr>
        <w:t>.</w:t>
      </w:r>
    </w:p>
    <w:p w:rsidR="00A237C5" w:rsidRDefault="00A237C5" w:rsidP="00DF2CE9">
      <w:pPr>
        <w:pStyle w:val="ListParagraph"/>
        <w:widowControl/>
        <w:rPr>
          <w:sz w:val="26"/>
          <w:szCs w:val="26"/>
        </w:rPr>
      </w:pPr>
    </w:p>
    <w:p w:rsidR="008A1977" w:rsidRDefault="00251918" w:rsidP="00DF2CE9">
      <w:pPr>
        <w:widowControl/>
        <w:numPr>
          <w:ilvl w:val="0"/>
          <w:numId w:val="1"/>
        </w:numPr>
        <w:tabs>
          <w:tab w:val="clear" w:pos="2160"/>
          <w:tab w:val="num" w:pos="0"/>
        </w:tabs>
        <w:spacing w:line="360" w:lineRule="auto"/>
        <w:ind w:left="0" w:firstLine="1440"/>
        <w:rPr>
          <w:sz w:val="26"/>
          <w:szCs w:val="26"/>
        </w:rPr>
      </w:pPr>
      <w:r w:rsidRPr="008A1977">
        <w:rPr>
          <w:sz w:val="26"/>
          <w:szCs w:val="26"/>
        </w:rPr>
        <w:t>That the Formal Co</w:t>
      </w:r>
      <w:r w:rsidR="0012403F" w:rsidRPr="008A1977">
        <w:rPr>
          <w:sz w:val="26"/>
          <w:szCs w:val="26"/>
        </w:rPr>
        <w:t xml:space="preserve">mplaint filed by </w:t>
      </w:r>
      <w:r w:rsidR="00555A8E">
        <w:rPr>
          <w:sz w:val="26"/>
          <w:szCs w:val="26"/>
        </w:rPr>
        <w:t>John McGee</w:t>
      </w:r>
      <w:r w:rsidR="00A237C5" w:rsidRPr="008A1977">
        <w:rPr>
          <w:sz w:val="26"/>
          <w:szCs w:val="26"/>
        </w:rPr>
        <w:t xml:space="preserve"> </w:t>
      </w:r>
      <w:r w:rsidR="00426FA7" w:rsidRPr="008A1977">
        <w:rPr>
          <w:sz w:val="26"/>
          <w:szCs w:val="26"/>
        </w:rPr>
        <w:t>on</w:t>
      </w:r>
      <w:r w:rsidR="00A237C5">
        <w:rPr>
          <w:sz w:val="26"/>
          <w:szCs w:val="26"/>
        </w:rPr>
        <w:t xml:space="preserve"> </w:t>
      </w:r>
      <w:r w:rsidR="00555A8E">
        <w:rPr>
          <w:sz w:val="26"/>
          <w:szCs w:val="26"/>
        </w:rPr>
        <w:t xml:space="preserve">May 18, 2016, </w:t>
      </w:r>
      <w:r w:rsidR="005C399D" w:rsidRPr="008A1977">
        <w:rPr>
          <w:sz w:val="26"/>
          <w:szCs w:val="26"/>
        </w:rPr>
        <w:t>against</w:t>
      </w:r>
      <w:r w:rsidR="009C6EB0" w:rsidRPr="008A1977">
        <w:rPr>
          <w:sz w:val="26"/>
          <w:szCs w:val="26"/>
        </w:rPr>
        <w:t xml:space="preserve"> </w:t>
      </w:r>
      <w:r w:rsidR="00555A8E">
        <w:rPr>
          <w:sz w:val="26"/>
          <w:szCs w:val="26"/>
        </w:rPr>
        <w:t>PPL Electric Utilities Corporation</w:t>
      </w:r>
      <w:r w:rsidR="007901F4">
        <w:rPr>
          <w:sz w:val="26"/>
          <w:szCs w:val="26"/>
        </w:rPr>
        <w:t xml:space="preserve"> </w:t>
      </w:r>
      <w:r w:rsidR="00020EF6" w:rsidRPr="008A1977">
        <w:rPr>
          <w:sz w:val="26"/>
          <w:szCs w:val="26"/>
        </w:rPr>
        <w:t>is</w:t>
      </w:r>
      <w:r w:rsidR="0031448D">
        <w:rPr>
          <w:sz w:val="26"/>
          <w:szCs w:val="26"/>
        </w:rPr>
        <w:t xml:space="preserve"> dismissed</w:t>
      </w:r>
      <w:r w:rsidR="008A1977" w:rsidRPr="008A1977">
        <w:rPr>
          <w:sz w:val="26"/>
          <w:szCs w:val="26"/>
        </w:rPr>
        <w:t>, consistent with this Opinion and Order.</w:t>
      </w:r>
    </w:p>
    <w:p w:rsidR="008A1977" w:rsidRPr="00285C52" w:rsidRDefault="008A1977" w:rsidP="00DF2CE9">
      <w:pPr>
        <w:widowControl/>
        <w:rPr>
          <w:sz w:val="26"/>
          <w:szCs w:val="26"/>
        </w:rPr>
      </w:pPr>
    </w:p>
    <w:p w:rsidR="00555A8E" w:rsidRPr="0068243C" w:rsidRDefault="008A1977" w:rsidP="00DF2CE9">
      <w:pPr>
        <w:widowControl/>
        <w:numPr>
          <w:ilvl w:val="0"/>
          <w:numId w:val="1"/>
        </w:numPr>
        <w:tabs>
          <w:tab w:val="clear" w:pos="2160"/>
        </w:tabs>
        <w:spacing w:line="360" w:lineRule="auto"/>
        <w:ind w:left="0" w:firstLine="1440"/>
        <w:rPr>
          <w:sz w:val="26"/>
          <w:szCs w:val="26"/>
        </w:rPr>
      </w:pPr>
      <w:r w:rsidRPr="008A1977">
        <w:rPr>
          <w:sz w:val="26"/>
          <w:szCs w:val="26"/>
        </w:rPr>
        <w:t xml:space="preserve">That </w:t>
      </w:r>
      <w:r w:rsidR="00285C52">
        <w:rPr>
          <w:sz w:val="26"/>
          <w:szCs w:val="26"/>
        </w:rPr>
        <w:t xml:space="preserve">the Complainant, </w:t>
      </w:r>
      <w:r w:rsidR="00555A8E">
        <w:rPr>
          <w:sz w:val="26"/>
          <w:szCs w:val="26"/>
        </w:rPr>
        <w:t>John McGee</w:t>
      </w:r>
      <w:r w:rsidR="00285C52">
        <w:rPr>
          <w:sz w:val="26"/>
          <w:szCs w:val="26"/>
        </w:rPr>
        <w:t>,</w:t>
      </w:r>
      <w:r w:rsidR="00A237C5" w:rsidRPr="00A237C5">
        <w:rPr>
          <w:sz w:val="26"/>
          <w:szCs w:val="26"/>
        </w:rPr>
        <w:t xml:space="preserve"> is responsible for</w:t>
      </w:r>
      <w:r w:rsidR="00D63F86">
        <w:rPr>
          <w:sz w:val="26"/>
          <w:szCs w:val="26"/>
        </w:rPr>
        <w:t xml:space="preserve"> </w:t>
      </w:r>
      <w:r w:rsidR="005C4EB8">
        <w:rPr>
          <w:sz w:val="26"/>
          <w:szCs w:val="26"/>
        </w:rPr>
        <w:t xml:space="preserve">the </w:t>
      </w:r>
      <w:r w:rsidR="00555A8E">
        <w:rPr>
          <w:sz w:val="26"/>
          <w:szCs w:val="26"/>
        </w:rPr>
        <w:t>amounts billed by PPL to the Complainant for the following rental properties owned by the Complainant in Ashland, Pennsylvania</w:t>
      </w:r>
      <w:r w:rsidR="0068243C">
        <w:rPr>
          <w:sz w:val="26"/>
          <w:szCs w:val="26"/>
        </w:rPr>
        <w:t xml:space="preserve"> at which foreign loads were discovered by PPL Electric Utilities Corporation</w:t>
      </w:r>
      <w:r w:rsidR="00555A8E">
        <w:rPr>
          <w:sz w:val="26"/>
          <w:szCs w:val="26"/>
        </w:rPr>
        <w:t xml:space="preserve">: </w:t>
      </w:r>
      <w:r w:rsidR="00555A8E">
        <w:rPr>
          <w:spacing w:val="-3"/>
          <w:sz w:val="26"/>
          <w:szCs w:val="26"/>
        </w:rPr>
        <w:t>1001 Centre Street; 6 North 10th Street, Apt 2nd Floor; 8</w:t>
      </w:r>
      <w:r w:rsidR="00556093">
        <w:rPr>
          <w:spacing w:val="-3"/>
          <w:sz w:val="26"/>
          <w:szCs w:val="26"/>
        </w:rPr>
        <w:t> </w:t>
      </w:r>
      <w:r w:rsidR="00555A8E">
        <w:rPr>
          <w:spacing w:val="-3"/>
          <w:sz w:val="26"/>
          <w:szCs w:val="26"/>
        </w:rPr>
        <w:t xml:space="preserve">North 10th Street, Apt. 3rd Floor; 1100 Centre Street, Apt. 1st Floor; and 1100 Centre Street, Apt. </w:t>
      </w:r>
      <w:r w:rsidR="0068243C">
        <w:rPr>
          <w:spacing w:val="-3"/>
          <w:sz w:val="26"/>
          <w:szCs w:val="26"/>
        </w:rPr>
        <w:t>2.</w:t>
      </w:r>
    </w:p>
    <w:p w:rsidR="005D0D57" w:rsidRPr="0068243C" w:rsidRDefault="005D0D57" w:rsidP="00DF2CE9">
      <w:pPr>
        <w:widowControl/>
        <w:spacing w:line="360" w:lineRule="auto"/>
        <w:rPr>
          <w:sz w:val="26"/>
          <w:szCs w:val="26"/>
        </w:rPr>
      </w:pPr>
    </w:p>
    <w:p w:rsidR="007B23D9" w:rsidRPr="007B23D9" w:rsidRDefault="007B23D9" w:rsidP="00DF2CE9">
      <w:pPr>
        <w:keepNext/>
        <w:keepLines/>
        <w:widowControl/>
        <w:numPr>
          <w:ilvl w:val="0"/>
          <w:numId w:val="1"/>
        </w:numPr>
        <w:tabs>
          <w:tab w:val="clear" w:pos="2160"/>
        </w:tabs>
        <w:spacing w:line="360" w:lineRule="auto"/>
        <w:rPr>
          <w:sz w:val="26"/>
          <w:szCs w:val="26"/>
        </w:rPr>
      </w:pPr>
      <w:r>
        <w:rPr>
          <w:sz w:val="26"/>
          <w:szCs w:val="26"/>
        </w:rPr>
        <w:lastRenderedPageBreak/>
        <w:t xml:space="preserve">That </w:t>
      </w:r>
      <w:r w:rsidRPr="007B23D9">
        <w:rPr>
          <w:sz w:val="26"/>
          <w:szCs w:val="26"/>
        </w:rPr>
        <w:t>the Secretary mark this docket closed.</w:t>
      </w:r>
    </w:p>
    <w:p w:rsidR="00EC6920" w:rsidRDefault="00EC6920" w:rsidP="00DF2CE9">
      <w:pPr>
        <w:pStyle w:val="ListParagraph"/>
        <w:keepNext/>
        <w:keepLines/>
        <w:widowControl/>
        <w:spacing w:line="360" w:lineRule="auto"/>
        <w:ind w:left="1440"/>
        <w:rPr>
          <w:sz w:val="26"/>
          <w:szCs w:val="26"/>
        </w:rPr>
      </w:pPr>
    </w:p>
    <w:p w:rsidR="00CA43A5" w:rsidRPr="00A9787D" w:rsidRDefault="00E86192" w:rsidP="00DF2CE9">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D5E1B0D" wp14:editId="0E409353">
            <wp:simplePos x="0" y="0"/>
            <wp:positionH relativeFrom="column">
              <wp:posOffset>3238500</wp:posOffset>
            </wp:positionH>
            <wp:positionV relativeFrom="paragraph">
              <wp:posOffset>123190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A9787D">
        <w:rPr>
          <w:b/>
          <w:sz w:val="26"/>
          <w:szCs w:val="26"/>
        </w:rPr>
        <w:t>BY THE COMMISSION,</w:t>
      </w:r>
    </w:p>
    <w:p w:rsidR="00CA43A5" w:rsidRPr="00A9787D" w:rsidRDefault="00CA43A5" w:rsidP="00DF2CE9">
      <w:pPr>
        <w:keepNext/>
        <w:keepLines/>
        <w:widowControl/>
        <w:tabs>
          <w:tab w:val="left" w:pos="-720"/>
        </w:tabs>
        <w:rPr>
          <w:sz w:val="26"/>
          <w:szCs w:val="26"/>
        </w:rPr>
      </w:pPr>
    </w:p>
    <w:p w:rsidR="00EC6920" w:rsidRPr="00A9787D" w:rsidRDefault="00EC6920" w:rsidP="00DF2CE9">
      <w:pPr>
        <w:keepNext/>
        <w:keepLines/>
        <w:widowControl/>
        <w:tabs>
          <w:tab w:val="left" w:pos="-720"/>
        </w:tabs>
        <w:rPr>
          <w:sz w:val="26"/>
          <w:szCs w:val="26"/>
        </w:rPr>
      </w:pPr>
    </w:p>
    <w:p w:rsidR="00CA43A5" w:rsidRPr="00A9787D" w:rsidRDefault="00CA43A5" w:rsidP="00DF2CE9">
      <w:pPr>
        <w:keepNext/>
        <w:keepLines/>
        <w:widowControl/>
        <w:tabs>
          <w:tab w:val="left" w:pos="-720"/>
        </w:tabs>
        <w:rPr>
          <w:sz w:val="26"/>
          <w:szCs w:val="26"/>
        </w:rPr>
      </w:pPr>
      <w:bookmarkStart w:id="6" w:name="_GoBack"/>
      <w:bookmarkEnd w:id="6"/>
    </w:p>
    <w:p w:rsidR="008F7A79" w:rsidRPr="00A9787D" w:rsidRDefault="008F7A79" w:rsidP="00DF2CE9">
      <w:pPr>
        <w:keepNext/>
        <w:keepLines/>
        <w:widowControl/>
        <w:tabs>
          <w:tab w:val="left" w:pos="-720"/>
        </w:tabs>
        <w:rPr>
          <w:sz w:val="26"/>
          <w:szCs w:val="26"/>
        </w:rPr>
      </w:pPr>
    </w:p>
    <w:p w:rsidR="00CA43A5" w:rsidRPr="00A9787D" w:rsidRDefault="00564565" w:rsidP="00DF2CE9">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DF2CE9">
      <w:pPr>
        <w:keepNext/>
        <w:keepLines/>
        <w:widowControl/>
        <w:tabs>
          <w:tab w:val="left" w:pos="-720"/>
        </w:tabs>
        <w:ind w:firstLine="5040"/>
        <w:rPr>
          <w:sz w:val="26"/>
          <w:szCs w:val="26"/>
        </w:rPr>
      </w:pPr>
      <w:r w:rsidRPr="00A9787D">
        <w:rPr>
          <w:sz w:val="26"/>
          <w:szCs w:val="26"/>
        </w:rPr>
        <w:t>Secretary</w:t>
      </w:r>
    </w:p>
    <w:p w:rsidR="00D22C07" w:rsidRPr="00A9787D" w:rsidRDefault="00D22C07" w:rsidP="00DF2CE9">
      <w:pPr>
        <w:keepNext/>
        <w:keepLines/>
        <w:widowControl/>
        <w:tabs>
          <w:tab w:val="left" w:pos="-720"/>
        </w:tabs>
        <w:ind w:firstLine="5040"/>
        <w:rPr>
          <w:sz w:val="26"/>
          <w:szCs w:val="26"/>
        </w:rPr>
      </w:pPr>
    </w:p>
    <w:p w:rsidR="00CA43A5" w:rsidRPr="00A9787D" w:rsidRDefault="00CA43A5" w:rsidP="00DF2CE9">
      <w:pPr>
        <w:keepNext/>
        <w:keepLines/>
        <w:widowControl/>
        <w:tabs>
          <w:tab w:val="left" w:pos="-720"/>
        </w:tabs>
        <w:rPr>
          <w:sz w:val="26"/>
          <w:szCs w:val="26"/>
        </w:rPr>
      </w:pPr>
      <w:r w:rsidRPr="00A9787D">
        <w:rPr>
          <w:sz w:val="26"/>
          <w:szCs w:val="26"/>
        </w:rPr>
        <w:t>(SEAL)</w:t>
      </w:r>
    </w:p>
    <w:p w:rsidR="00CA43A5" w:rsidRPr="00A9787D" w:rsidRDefault="00CA43A5" w:rsidP="00DF2CE9">
      <w:pPr>
        <w:keepNext/>
        <w:keepLines/>
        <w:widowControl/>
        <w:tabs>
          <w:tab w:val="left" w:pos="-720"/>
        </w:tabs>
        <w:rPr>
          <w:sz w:val="26"/>
          <w:szCs w:val="26"/>
        </w:rPr>
      </w:pPr>
    </w:p>
    <w:p w:rsidR="00CA43A5" w:rsidRPr="00A9787D" w:rsidRDefault="00F47DAC" w:rsidP="00DF2CE9">
      <w:pPr>
        <w:keepNext/>
        <w:keepLines/>
        <w:widowControl/>
        <w:tabs>
          <w:tab w:val="left" w:pos="-720"/>
        </w:tabs>
        <w:rPr>
          <w:sz w:val="26"/>
          <w:szCs w:val="26"/>
        </w:rPr>
      </w:pPr>
      <w:r>
        <w:rPr>
          <w:sz w:val="26"/>
          <w:szCs w:val="26"/>
        </w:rPr>
        <w:t xml:space="preserve">ORDER ADOPTED: </w:t>
      </w:r>
      <w:r w:rsidR="008F73B2">
        <w:rPr>
          <w:sz w:val="26"/>
          <w:szCs w:val="26"/>
        </w:rPr>
        <w:t>July 12</w:t>
      </w:r>
      <w:r w:rsidR="007C44C2">
        <w:rPr>
          <w:sz w:val="26"/>
          <w:szCs w:val="26"/>
        </w:rPr>
        <w:t>, 2018</w:t>
      </w:r>
    </w:p>
    <w:p w:rsidR="00EC6920" w:rsidRPr="00A9787D" w:rsidRDefault="00EC6920" w:rsidP="00DF2CE9">
      <w:pPr>
        <w:keepNext/>
        <w:keepLines/>
        <w:widowControl/>
        <w:tabs>
          <w:tab w:val="left" w:pos="-720"/>
        </w:tabs>
        <w:rPr>
          <w:sz w:val="26"/>
          <w:szCs w:val="26"/>
        </w:rPr>
      </w:pPr>
    </w:p>
    <w:p w:rsidR="00344804" w:rsidRPr="00A9787D" w:rsidRDefault="00CA43A5" w:rsidP="00DF2CE9">
      <w:pPr>
        <w:widowControl/>
        <w:tabs>
          <w:tab w:val="left" w:pos="-720"/>
        </w:tabs>
        <w:rPr>
          <w:sz w:val="26"/>
          <w:szCs w:val="26"/>
        </w:rPr>
      </w:pPr>
      <w:r w:rsidRPr="00A9787D">
        <w:rPr>
          <w:sz w:val="26"/>
          <w:szCs w:val="26"/>
        </w:rPr>
        <w:t xml:space="preserve">ORDER ENTERED:  </w:t>
      </w:r>
      <w:r w:rsidR="00E86192">
        <w:rPr>
          <w:sz w:val="26"/>
          <w:szCs w:val="26"/>
        </w:rPr>
        <w:t>July 12, 2018</w:t>
      </w:r>
    </w:p>
    <w:sectPr w:rsidR="00344804" w:rsidRPr="00A9787D"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38" w:rsidRDefault="00F46138" w:rsidP="00F7174B">
      <w:r>
        <w:separator/>
      </w:r>
    </w:p>
  </w:endnote>
  <w:endnote w:type="continuationSeparator" w:id="0">
    <w:p w:rsidR="00F46138" w:rsidRDefault="00F46138" w:rsidP="00F7174B">
      <w:r>
        <w:continuationSeparator/>
      </w:r>
    </w:p>
  </w:endnote>
  <w:endnote w:type="continuationNotice" w:id="1">
    <w:p w:rsidR="00F46138" w:rsidRDefault="00F46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97174A" w:rsidRPr="009F1A08" w:rsidRDefault="0097174A">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8175D">
          <w:rPr>
            <w:noProof/>
            <w:sz w:val="26"/>
            <w:szCs w:val="26"/>
          </w:rPr>
          <w:t>31</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38" w:rsidRDefault="00F46138" w:rsidP="00F7174B">
      <w:r>
        <w:separator/>
      </w:r>
    </w:p>
  </w:footnote>
  <w:footnote w:type="continuationSeparator" w:id="0">
    <w:p w:rsidR="00F46138" w:rsidRDefault="00F46138" w:rsidP="00F7174B">
      <w:r>
        <w:continuationSeparator/>
      </w:r>
    </w:p>
  </w:footnote>
  <w:footnote w:type="continuationNotice" w:id="1">
    <w:p w:rsidR="00F46138" w:rsidRPr="00D20C80" w:rsidRDefault="00F46138" w:rsidP="00D20C80">
      <w:pPr>
        <w:pStyle w:val="Footer"/>
      </w:pPr>
    </w:p>
  </w:footnote>
  <w:footnote w:id="2">
    <w:p w:rsidR="0097174A" w:rsidRPr="00DD09C6" w:rsidRDefault="0097174A" w:rsidP="006B29F3">
      <w:pPr>
        <w:pStyle w:val="FootnoteText"/>
        <w:spacing w:after="120"/>
        <w:ind w:firstLine="720"/>
        <w:rPr>
          <w:sz w:val="26"/>
          <w:szCs w:val="26"/>
        </w:rPr>
      </w:pPr>
      <w:r w:rsidRPr="00DD09C6">
        <w:rPr>
          <w:rStyle w:val="FootnoteReference"/>
          <w:sz w:val="26"/>
          <w:szCs w:val="26"/>
        </w:rPr>
        <w:footnoteRef/>
      </w:r>
      <w:r>
        <w:rPr>
          <w:sz w:val="26"/>
          <w:szCs w:val="26"/>
        </w:rPr>
        <w:tab/>
      </w:r>
      <w:r w:rsidRPr="00DD09C6">
        <w:rPr>
          <w:sz w:val="26"/>
          <w:szCs w:val="26"/>
        </w:rPr>
        <w:t xml:space="preserve">The ALJ’s Initial Decision refers to the Briefs as Memoranda of Law; however, the Commission’s Regulations at 52 Pa. Code §§ 5.501-5.502 permit the filing of Briefs.  </w:t>
      </w:r>
      <w:r>
        <w:rPr>
          <w:sz w:val="26"/>
          <w:szCs w:val="26"/>
        </w:rPr>
        <w:t>Accordingly</w:t>
      </w:r>
      <w:r w:rsidRPr="00DD09C6">
        <w:rPr>
          <w:sz w:val="26"/>
          <w:szCs w:val="26"/>
        </w:rPr>
        <w:t xml:space="preserve">, we will </w:t>
      </w:r>
      <w:r>
        <w:rPr>
          <w:sz w:val="26"/>
          <w:szCs w:val="26"/>
        </w:rPr>
        <w:t>herein refer to each</w:t>
      </w:r>
      <w:r w:rsidRPr="00DD09C6">
        <w:rPr>
          <w:sz w:val="26"/>
          <w:szCs w:val="26"/>
        </w:rPr>
        <w:t xml:space="preserve"> documen</w:t>
      </w:r>
      <w:r>
        <w:rPr>
          <w:sz w:val="26"/>
          <w:szCs w:val="26"/>
        </w:rPr>
        <w:t>t</w:t>
      </w:r>
      <w:r w:rsidRPr="00DD09C6">
        <w:rPr>
          <w:sz w:val="26"/>
          <w:szCs w:val="26"/>
        </w:rPr>
        <w:t xml:space="preserve"> filed by the Complainant and the Respondent on January 20, 2017, and February 6, 2017, respectively, as </w:t>
      </w:r>
      <w:r>
        <w:rPr>
          <w:sz w:val="26"/>
          <w:szCs w:val="26"/>
        </w:rPr>
        <w:t xml:space="preserve">the </w:t>
      </w:r>
      <w:r w:rsidRPr="00DD09C6">
        <w:rPr>
          <w:sz w:val="26"/>
          <w:szCs w:val="26"/>
        </w:rPr>
        <w:t>Main Brief</w:t>
      </w:r>
      <w:r>
        <w:rPr>
          <w:sz w:val="26"/>
          <w:szCs w:val="26"/>
        </w:rPr>
        <w:t xml:space="preserve"> (M.B.)</w:t>
      </w:r>
      <w:r w:rsidRPr="00DD09C6">
        <w:rPr>
          <w:sz w:val="26"/>
          <w:szCs w:val="26"/>
        </w:rPr>
        <w:t>.</w:t>
      </w:r>
    </w:p>
  </w:footnote>
  <w:footnote w:id="3">
    <w:p w:rsidR="0097174A" w:rsidRPr="00BF1EC1" w:rsidRDefault="0097174A" w:rsidP="006B29F3">
      <w:pPr>
        <w:pStyle w:val="FootnoteText"/>
        <w:keepNext/>
        <w:keepLines/>
        <w:widowControl/>
        <w:spacing w:after="120"/>
        <w:ind w:firstLine="720"/>
        <w:rPr>
          <w:sz w:val="26"/>
          <w:szCs w:val="26"/>
        </w:rPr>
      </w:pPr>
      <w:r w:rsidRPr="00BF1EC1">
        <w:rPr>
          <w:rStyle w:val="FootnoteReference"/>
          <w:sz w:val="26"/>
          <w:szCs w:val="26"/>
        </w:rPr>
        <w:footnoteRef/>
      </w:r>
      <w:r w:rsidRPr="00BF1EC1">
        <w:rPr>
          <w:sz w:val="26"/>
          <w:szCs w:val="26"/>
        </w:rPr>
        <w:tab/>
        <w:t>Section 1529.1 was added to the Code by the enactment of Public Law 379, No. 54, on July 2, 1993, with an effective date of September 1, 1993.</w:t>
      </w:r>
    </w:p>
  </w:footnote>
  <w:footnote w:id="4">
    <w:p w:rsidR="0097174A" w:rsidRPr="00687B34" w:rsidRDefault="0097174A" w:rsidP="006B29F3">
      <w:pPr>
        <w:keepNext/>
        <w:keepLines/>
        <w:widowControl/>
        <w:spacing w:after="120"/>
        <w:ind w:firstLine="720"/>
        <w:rPr>
          <w:sz w:val="26"/>
          <w:szCs w:val="26"/>
        </w:rPr>
      </w:pPr>
      <w:r w:rsidRPr="00BF1EC1">
        <w:rPr>
          <w:rStyle w:val="FootnoteReference"/>
          <w:sz w:val="26"/>
          <w:szCs w:val="26"/>
        </w:rPr>
        <w:footnoteRef/>
      </w:r>
      <w:r>
        <w:tab/>
      </w:r>
      <w:r w:rsidRPr="00687B34">
        <w:rPr>
          <w:i/>
          <w:sz w:val="26"/>
          <w:szCs w:val="26"/>
        </w:rPr>
        <w:t xml:space="preserve">See </w:t>
      </w:r>
      <w:r>
        <w:rPr>
          <w:i/>
          <w:sz w:val="26"/>
          <w:szCs w:val="26"/>
        </w:rPr>
        <w:t xml:space="preserve">also </w:t>
      </w:r>
      <w:r w:rsidRPr="00687B34">
        <w:rPr>
          <w:i/>
          <w:sz w:val="26"/>
          <w:szCs w:val="26"/>
        </w:rPr>
        <w:t>David P. Boyce v. Duquesne Light Company</w:t>
      </w:r>
      <w:r w:rsidRPr="00687B34">
        <w:rPr>
          <w:sz w:val="26"/>
          <w:szCs w:val="26"/>
        </w:rPr>
        <w:t>, Docket No. Z</w:t>
      </w:r>
      <w:r>
        <w:rPr>
          <w:sz w:val="26"/>
          <w:szCs w:val="26"/>
        </w:rPr>
        <w:noBreakHyphen/>
      </w:r>
      <w:r w:rsidRPr="00687B34">
        <w:rPr>
          <w:sz w:val="26"/>
          <w:szCs w:val="26"/>
        </w:rPr>
        <w:t>00223698 (Opinion and Order entered September 1, 1994) (</w:t>
      </w:r>
      <w:r w:rsidRPr="00687B34">
        <w:rPr>
          <w:i/>
          <w:sz w:val="26"/>
          <w:szCs w:val="26"/>
        </w:rPr>
        <w:t>Boyce</w:t>
      </w:r>
      <w:r w:rsidRPr="00687B34">
        <w:rPr>
          <w:sz w:val="26"/>
          <w:szCs w:val="26"/>
        </w:rPr>
        <w:t>) (foreign load existed where tenant</w:t>
      </w:r>
      <w:r>
        <w:rPr>
          <w:sz w:val="26"/>
          <w:szCs w:val="26"/>
        </w:rPr>
        <w:t>’</w:t>
      </w:r>
      <w:r w:rsidRPr="00687B34">
        <w:rPr>
          <w:sz w:val="26"/>
          <w:szCs w:val="26"/>
        </w:rPr>
        <w:t>s meter registered electric service for the compressor for the air conditioning unit servicing three apartment units)</w:t>
      </w:r>
      <w:r w:rsidRPr="00687B34">
        <w:rPr>
          <w:i/>
          <w:sz w:val="26"/>
          <w:szCs w:val="26"/>
        </w:rPr>
        <w:t xml:space="preserve">; </w:t>
      </w:r>
      <w:r w:rsidRPr="00744E80">
        <w:rPr>
          <w:i/>
          <w:sz w:val="26"/>
          <w:szCs w:val="26"/>
        </w:rPr>
        <w:t>Elizabeth</w:t>
      </w:r>
      <w:r w:rsidRPr="00744E80">
        <w:rPr>
          <w:sz w:val="26"/>
          <w:szCs w:val="26"/>
        </w:rPr>
        <w:t xml:space="preserve"> </w:t>
      </w:r>
      <w:r w:rsidRPr="00744E80">
        <w:rPr>
          <w:i/>
          <w:sz w:val="26"/>
          <w:szCs w:val="26"/>
        </w:rPr>
        <w:t>Santos v. Metropolitan Edison Company</w:t>
      </w:r>
      <w:r w:rsidRPr="00744E80">
        <w:rPr>
          <w:sz w:val="26"/>
          <w:szCs w:val="26"/>
        </w:rPr>
        <w:t>, Docket No. C-00967757 (Order entered August 7, 1997) (</w:t>
      </w:r>
      <w:r w:rsidRPr="00744E80">
        <w:rPr>
          <w:i/>
          <w:sz w:val="26"/>
          <w:szCs w:val="26"/>
        </w:rPr>
        <w:t>Santos</w:t>
      </w:r>
      <w:r>
        <w:rPr>
          <w:sz w:val="26"/>
          <w:szCs w:val="26"/>
        </w:rPr>
        <w:t>)</w:t>
      </w:r>
      <w:r w:rsidRPr="00687B34">
        <w:rPr>
          <w:sz w:val="26"/>
          <w:szCs w:val="26"/>
        </w:rPr>
        <w:t xml:space="preserve"> (foreign load existed where tenant</w:t>
      </w:r>
      <w:r>
        <w:rPr>
          <w:sz w:val="26"/>
          <w:szCs w:val="26"/>
        </w:rPr>
        <w:t>’</w:t>
      </w:r>
      <w:r w:rsidRPr="00687B34">
        <w:rPr>
          <w:sz w:val="26"/>
          <w:szCs w:val="26"/>
        </w:rPr>
        <w:t>s meter registered electric service to a barber shop and church located in tenant</w:t>
      </w:r>
      <w:r>
        <w:rPr>
          <w:sz w:val="26"/>
          <w:szCs w:val="26"/>
        </w:rPr>
        <w:t>’</w:t>
      </w:r>
      <w:r w:rsidRPr="00687B34">
        <w:rPr>
          <w:sz w:val="26"/>
          <w:szCs w:val="26"/>
        </w:rPr>
        <w:t xml:space="preserve">s building); </w:t>
      </w:r>
      <w:r>
        <w:rPr>
          <w:i/>
          <w:iCs/>
          <w:sz w:val="26"/>
          <w:szCs w:val="26"/>
        </w:rPr>
        <w:t>Del Vecchio v. PPL Electric Utilities</w:t>
      </w:r>
      <w:r w:rsidRPr="00687B34">
        <w:rPr>
          <w:i/>
          <w:iCs/>
          <w:sz w:val="26"/>
          <w:szCs w:val="26"/>
        </w:rPr>
        <w:t xml:space="preserve"> Corp.,</w:t>
      </w:r>
      <w:r w:rsidRPr="00687B34">
        <w:rPr>
          <w:sz w:val="26"/>
          <w:szCs w:val="26"/>
        </w:rPr>
        <w:t xml:space="preserve"> Docket No. Z</w:t>
      </w:r>
      <w:r>
        <w:rPr>
          <w:sz w:val="26"/>
          <w:szCs w:val="26"/>
        </w:rPr>
        <w:noBreakHyphen/>
      </w:r>
      <w:r w:rsidRPr="00687B34">
        <w:rPr>
          <w:sz w:val="26"/>
          <w:szCs w:val="26"/>
        </w:rPr>
        <w:t>01464793, 2005 WL 2277638 (Order entered September 13, 2005)(foreign load existed where tenant</w:t>
      </w:r>
      <w:r>
        <w:rPr>
          <w:sz w:val="26"/>
          <w:szCs w:val="26"/>
        </w:rPr>
        <w:t>’</w:t>
      </w:r>
      <w:r w:rsidRPr="00687B34">
        <w:rPr>
          <w:sz w:val="26"/>
          <w:szCs w:val="26"/>
        </w:rPr>
        <w:t xml:space="preserve">s account registered electric service to well water pump and various outbuildings); </w:t>
      </w:r>
      <w:r w:rsidRPr="00687B34">
        <w:rPr>
          <w:i/>
          <w:sz w:val="26"/>
          <w:szCs w:val="26"/>
        </w:rPr>
        <w:t>Franckowiak v. PPL Electric Utilities Corp</w:t>
      </w:r>
      <w:r w:rsidRPr="00687B34">
        <w:rPr>
          <w:sz w:val="26"/>
          <w:szCs w:val="26"/>
        </w:rPr>
        <w:t>., Docket No. C-2005-4687, 2006 WL 4794383 (Order entered July 3, 2006) (</w:t>
      </w:r>
      <w:r>
        <w:rPr>
          <w:sz w:val="26"/>
          <w:szCs w:val="26"/>
        </w:rPr>
        <w:t>“</w:t>
      </w:r>
      <w:r w:rsidRPr="00687B34">
        <w:rPr>
          <w:sz w:val="26"/>
          <w:szCs w:val="26"/>
        </w:rPr>
        <w:t xml:space="preserve">the existence of foreign wiring precludes a premises from being considered </w:t>
      </w:r>
      <w:r>
        <w:rPr>
          <w:sz w:val="26"/>
          <w:szCs w:val="26"/>
        </w:rPr>
        <w:t>‘</w:t>
      </w:r>
      <w:r w:rsidRPr="00687B34">
        <w:rPr>
          <w:sz w:val="26"/>
          <w:szCs w:val="26"/>
        </w:rPr>
        <w:t>individually metered</w:t>
      </w:r>
      <w:r>
        <w:rPr>
          <w:sz w:val="26"/>
          <w:szCs w:val="26"/>
        </w:rPr>
        <w:t>’</w:t>
      </w:r>
      <w:r w:rsidRPr="00687B34">
        <w:rPr>
          <w:sz w:val="26"/>
          <w:szCs w:val="26"/>
        </w:rPr>
        <w:t xml:space="preserve"> for purposes of [Section 1529.1 of the Code].</w:t>
      </w:r>
      <w:r>
        <w:rPr>
          <w:sz w:val="26"/>
          <w:szCs w:val="26"/>
        </w:rPr>
        <w:t>”</w:t>
      </w:r>
      <w:r w:rsidRPr="00687B34">
        <w:rPr>
          <w:sz w:val="26"/>
          <w:szCs w:val="26"/>
        </w:rPr>
        <w:t xml:space="preserve">); </w:t>
      </w:r>
      <w:r w:rsidRPr="00687B34">
        <w:rPr>
          <w:i/>
          <w:sz w:val="26"/>
          <w:szCs w:val="26"/>
        </w:rPr>
        <w:t>Shank v. PPL Electric Utilities Corporation</w:t>
      </w:r>
      <w:r w:rsidRPr="00687B34">
        <w:rPr>
          <w:sz w:val="26"/>
          <w:szCs w:val="26"/>
        </w:rPr>
        <w:t>, Docket No. C-2009-2087300 (Opinion and Order entered August 31, 2009) (</w:t>
      </w:r>
      <w:r w:rsidRPr="00687B34">
        <w:rPr>
          <w:i/>
          <w:sz w:val="26"/>
          <w:szCs w:val="26"/>
        </w:rPr>
        <w:t>Shank</w:t>
      </w:r>
      <w:r w:rsidRPr="00687B34">
        <w:rPr>
          <w:sz w:val="26"/>
          <w:szCs w:val="26"/>
        </w:rPr>
        <w:t>) (foreign load existed where tenant</w:t>
      </w:r>
      <w:r>
        <w:rPr>
          <w:sz w:val="26"/>
          <w:szCs w:val="26"/>
        </w:rPr>
        <w:t>’</w:t>
      </w:r>
      <w:r w:rsidRPr="00687B34">
        <w:rPr>
          <w:sz w:val="26"/>
          <w:szCs w:val="26"/>
        </w:rPr>
        <w:t xml:space="preserve">s meter registers electric service from foreign wiring); </w:t>
      </w:r>
      <w:r w:rsidRPr="00744E80">
        <w:rPr>
          <w:i/>
          <w:sz w:val="26"/>
          <w:szCs w:val="26"/>
        </w:rPr>
        <w:t>Ace Check Cashing, Inc. v. Philadelphia Gas Works</w:t>
      </w:r>
      <w:r w:rsidRPr="00744E80">
        <w:rPr>
          <w:sz w:val="26"/>
          <w:szCs w:val="26"/>
        </w:rPr>
        <w:t>, Docket No. C-2008-2056428 (Order entered May 21, 2010) (</w:t>
      </w:r>
      <w:r w:rsidRPr="00744E80">
        <w:rPr>
          <w:i/>
          <w:sz w:val="26"/>
          <w:szCs w:val="26"/>
        </w:rPr>
        <w:t>Ace Check Cashing</w:t>
      </w:r>
      <w:r>
        <w:rPr>
          <w:sz w:val="26"/>
          <w:szCs w:val="26"/>
        </w:rPr>
        <w:t>),</w:t>
      </w:r>
      <w:r w:rsidRPr="00687B34">
        <w:rPr>
          <w:sz w:val="26"/>
          <w:szCs w:val="26"/>
        </w:rPr>
        <w:t xml:space="preserve"> (foreign load existed where tenants</w:t>
      </w:r>
      <w:r>
        <w:rPr>
          <w:sz w:val="26"/>
          <w:szCs w:val="26"/>
        </w:rPr>
        <w:t>’</w:t>
      </w:r>
      <w:r w:rsidRPr="00687B34">
        <w:rPr>
          <w:sz w:val="26"/>
          <w:szCs w:val="26"/>
        </w:rPr>
        <w:t xml:space="preserve"> gas meter registered gas service for hot water heater supply hot water to separate floor of building); </w:t>
      </w:r>
      <w:r w:rsidRPr="00687B34">
        <w:rPr>
          <w:i/>
          <w:iCs/>
          <w:sz w:val="26"/>
          <w:szCs w:val="26"/>
        </w:rPr>
        <w:t>Cosme v. PECO Energy Co.,</w:t>
      </w:r>
      <w:r w:rsidRPr="00687B34">
        <w:rPr>
          <w:sz w:val="26"/>
          <w:szCs w:val="26"/>
        </w:rPr>
        <w:t xml:space="preserve"> Docket No. C–2010–2171497, 2012 WL 1794917 (Order entered March 8, 2012) (foreign load existed where tenant</w:t>
      </w:r>
      <w:r>
        <w:rPr>
          <w:sz w:val="26"/>
          <w:szCs w:val="26"/>
        </w:rPr>
        <w:t>’</w:t>
      </w:r>
      <w:r w:rsidRPr="00687B34">
        <w:rPr>
          <w:sz w:val="26"/>
          <w:szCs w:val="26"/>
        </w:rPr>
        <w:t xml:space="preserve">s meter registered electric service for hallway electric heater and light); </w:t>
      </w:r>
      <w:r w:rsidRPr="00687B34">
        <w:rPr>
          <w:i/>
          <w:sz w:val="26"/>
          <w:szCs w:val="26"/>
        </w:rPr>
        <w:t>George W. Kopf, Jr. v. PECO Energy Co</w:t>
      </w:r>
      <w:r w:rsidRPr="00687B34">
        <w:rPr>
          <w:sz w:val="26"/>
          <w:szCs w:val="26"/>
        </w:rPr>
        <w:t>., Docket No. C-2012-2332993 (Opinion and Order entered June 13, 2013) (</w:t>
      </w:r>
      <w:r w:rsidRPr="00687B34">
        <w:rPr>
          <w:i/>
          <w:sz w:val="26"/>
          <w:szCs w:val="26"/>
        </w:rPr>
        <w:t>Kopf</w:t>
      </w:r>
      <w:r w:rsidRPr="00687B34">
        <w:rPr>
          <w:sz w:val="26"/>
          <w:szCs w:val="26"/>
        </w:rPr>
        <w:t>) (foreign load existed where tenant</w:t>
      </w:r>
      <w:r>
        <w:rPr>
          <w:sz w:val="26"/>
          <w:szCs w:val="26"/>
        </w:rPr>
        <w:t>’</w:t>
      </w:r>
      <w:r w:rsidRPr="00687B34">
        <w:rPr>
          <w:sz w:val="26"/>
          <w:szCs w:val="26"/>
        </w:rPr>
        <w:t xml:space="preserve">s meter registered electric service to common areas in second floor hallway, basement and outside light); </w:t>
      </w:r>
      <w:r w:rsidRPr="00687B34">
        <w:rPr>
          <w:i/>
          <w:sz w:val="26"/>
          <w:szCs w:val="26"/>
        </w:rPr>
        <w:t>1-A Realty v. PPL Electric Utilities Corp.</w:t>
      </w:r>
      <w:r w:rsidRPr="00687B34">
        <w:rPr>
          <w:sz w:val="26"/>
          <w:szCs w:val="26"/>
        </w:rPr>
        <w:t>, Docket No. F-2010-2166554, et al., (Opinion and Order entered April 12, 2012), aff</w:t>
      </w:r>
      <w:r>
        <w:rPr>
          <w:sz w:val="26"/>
          <w:szCs w:val="26"/>
        </w:rPr>
        <w:t>’</w:t>
      </w:r>
      <w:r w:rsidRPr="00687B34">
        <w:rPr>
          <w:sz w:val="26"/>
          <w:szCs w:val="26"/>
        </w:rPr>
        <w:t>d</w:t>
      </w:r>
      <w:r w:rsidRPr="00687B34">
        <w:rPr>
          <w:i/>
          <w:sz w:val="26"/>
          <w:szCs w:val="26"/>
        </w:rPr>
        <w:t xml:space="preserve"> 1-A Realty v. Pa. PUC</w:t>
      </w:r>
      <w:r w:rsidRPr="00687B34">
        <w:rPr>
          <w:sz w:val="26"/>
          <w:szCs w:val="26"/>
        </w:rPr>
        <w:t xml:space="preserve">, 63 A.3d 480 (Pa. Cmwlth. 2013) (foreign load existed where communal street lights in a mobile home park were connected to the electric boxes of the homes of the nearest tenants); </w:t>
      </w:r>
      <w:r w:rsidRPr="00687B34">
        <w:rPr>
          <w:i/>
          <w:sz w:val="26"/>
          <w:szCs w:val="26"/>
        </w:rPr>
        <w:t>Gnana Chinniah v. PPL Electric Utilities Corp.</w:t>
      </w:r>
      <w:r w:rsidRPr="00687B34">
        <w:rPr>
          <w:sz w:val="26"/>
          <w:szCs w:val="26"/>
        </w:rPr>
        <w:t>, Docket No. F-2012-2325248 (Opinion and Order entered May 9, 2013) (foreign load existed where tenant</w:t>
      </w:r>
      <w:r>
        <w:rPr>
          <w:sz w:val="26"/>
          <w:szCs w:val="26"/>
        </w:rPr>
        <w:t>’</w:t>
      </w:r>
      <w:r w:rsidRPr="00687B34">
        <w:rPr>
          <w:sz w:val="26"/>
          <w:szCs w:val="26"/>
        </w:rPr>
        <w:t>s meter registered electric service to a detached storage shed located in the middle of a backyard of a duplex on the boundary between the two properties).</w:t>
      </w:r>
    </w:p>
  </w:footnote>
  <w:footnote w:id="5">
    <w:p w:rsidR="0097174A" w:rsidRDefault="0097174A" w:rsidP="006B29F3">
      <w:pPr>
        <w:keepNext/>
        <w:keepLines/>
        <w:widowControl/>
        <w:spacing w:after="120"/>
        <w:ind w:firstLine="720"/>
      </w:pPr>
      <w:r w:rsidRPr="00744E80">
        <w:rPr>
          <w:rStyle w:val="FootnoteReference"/>
          <w:sz w:val="26"/>
          <w:szCs w:val="26"/>
        </w:rPr>
        <w:footnoteRef/>
      </w:r>
      <w:r>
        <w:rPr>
          <w:sz w:val="26"/>
          <w:szCs w:val="26"/>
        </w:rPr>
        <w:tab/>
      </w:r>
      <w:r w:rsidRPr="00687B34">
        <w:rPr>
          <w:sz w:val="26"/>
          <w:szCs w:val="26"/>
        </w:rPr>
        <w:t xml:space="preserve">Prior to 1993, </w:t>
      </w:r>
      <w:r>
        <w:rPr>
          <w:sz w:val="26"/>
          <w:szCs w:val="26"/>
        </w:rPr>
        <w:t>we</w:t>
      </w:r>
      <w:r w:rsidRPr="00687B34">
        <w:rPr>
          <w:sz w:val="26"/>
          <w:szCs w:val="26"/>
        </w:rPr>
        <w:t xml:space="preserve"> resolved foreign load high bill complaints by directing the utility to remove the charges attributable to the foreign load from the customer</w:t>
      </w:r>
      <w:r>
        <w:rPr>
          <w:sz w:val="26"/>
          <w:szCs w:val="26"/>
        </w:rPr>
        <w:t>’</w:t>
      </w:r>
      <w:r w:rsidRPr="00687B34">
        <w:rPr>
          <w:sz w:val="26"/>
          <w:szCs w:val="26"/>
        </w:rPr>
        <w:t>s bill and to issue a bill for the foreign load in the property owner</w:t>
      </w:r>
      <w:r>
        <w:rPr>
          <w:sz w:val="26"/>
          <w:szCs w:val="26"/>
        </w:rPr>
        <w:t>’</w:t>
      </w:r>
      <w:r w:rsidRPr="00687B34">
        <w:rPr>
          <w:sz w:val="26"/>
          <w:szCs w:val="26"/>
        </w:rPr>
        <w:t xml:space="preserve">s name.  </w:t>
      </w:r>
      <w:r w:rsidRPr="00687B34">
        <w:rPr>
          <w:i/>
          <w:sz w:val="26"/>
          <w:szCs w:val="26"/>
        </w:rPr>
        <w:t xml:space="preserve">See </w:t>
      </w:r>
      <w:r w:rsidRPr="00687B34">
        <w:rPr>
          <w:i/>
          <w:iCs/>
          <w:sz w:val="26"/>
          <w:szCs w:val="26"/>
        </w:rPr>
        <w:t>Albright v. UGI Penn Natural Gas Co., Inc.,</w:t>
      </w:r>
      <w:r w:rsidRPr="00687B34">
        <w:rPr>
          <w:sz w:val="26"/>
          <w:szCs w:val="26"/>
        </w:rPr>
        <w:t xml:space="preserve"> Docket No. F-2009-2139408 (Initial Decision Issued September 29, 2010) (</w:t>
      </w:r>
      <w:r w:rsidRPr="00687B34">
        <w:rPr>
          <w:i/>
          <w:sz w:val="26"/>
          <w:szCs w:val="26"/>
        </w:rPr>
        <w:t>Albright</w:t>
      </w:r>
      <w:r>
        <w:rPr>
          <w:sz w:val="26"/>
          <w:szCs w:val="26"/>
        </w:rPr>
        <w:t xml:space="preserve">).  </w:t>
      </w:r>
      <w:r w:rsidRPr="00687B34">
        <w:rPr>
          <w:sz w:val="26"/>
          <w:szCs w:val="26"/>
        </w:rPr>
        <w:t>Section 1529.1 changed this by mandating that the account registering foreign load be listed in the name of the property owner and that the owner be thereafter responsible for the payment of utility servi</w:t>
      </w:r>
      <w:r>
        <w:rPr>
          <w:sz w:val="26"/>
          <w:szCs w:val="26"/>
        </w:rPr>
        <w:t>ces rendered to such account until the foreign load is fixed.</w:t>
      </w:r>
    </w:p>
  </w:footnote>
  <w:footnote w:id="6">
    <w:p w:rsidR="0097174A" w:rsidRDefault="0097174A" w:rsidP="006B29F3">
      <w:pPr>
        <w:keepNext/>
        <w:keepLines/>
        <w:widowControl/>
        <w:spacing w:after="120"/>
        <w:ind w:firstLine="720"/>
      </w:pPr>
      <w:r w:rsidRPr="000E6481">
        <w:rPr>
          <w:rStyle w:val="FootnoteReference"/>
          <w:sz w:val="26"/>
          <w:szCs w:val="26"/>
        </w:rPr>
        <w:footnoteRef/>
      </w:r>
      <w:r w:rsidRPr="000E6481">
        <w:rPr>
          <w:sz w:val="26"/>
          <w:szCs w:val="26"/>
        </w:rPr>
        <w:tab/>
        <w:t xml:space="preserve">As clarified in </w:t>
      </w:r>
      <w:r w:rsidRPr="000E6481">
        <w:rPr>
          <w:i/>
          <w:sz w:val="26"/>
          <w:szCs w:val="26"/>
        </w:rPr>
        <w:t>Glen</w:t>
      </w:r>
      <w:r w:rsidRPr="000E6481">
        <w:rPr>
          <w:sz w:val="26"/>
          <w:szCs w:val="26"/>
        </w:rPr>
        <w:t xml:space="preserve"> </w:t>
      </w:r>
      <w:r w:rsidRPr="000E6481">
        <w:rPr>
          <w:i/>
          <w:sz w:val="26"/>
          <w:szCs w:val="26"/>
        </w:rPr>
        <w:t xml:space="preserve">DeHaven v. PECO Energy Company, </w:t>
      </w:r>
      <w:r w:rsidRPr="000E6481">
        <w:rPr>
          <w:sz w:val="26"/>
          <w:szCs w:val="26"/>
        </w:rPr>
        <w:t>Docket No. C</w:t>
      </w:r>
      <w:r w:rsidR="00705EDC">
        <w:rPr>
          <w:sz w:val="26"/>
          <w:szCs w:val="26"/>
        </w:rPr>
        <w:noBreakHyphen/>
      </w:r>
      <w:r w:rsidRPr="000E6481">
        <w:rPr>
          <w:sz w:val="26"/>
          <w:szCs w:val="26"/>
        </w:rPr>
        <w:t>2017-2585680 (Order entered March 23, 2018) (</w:t>
      </w:r>
      <w:r w:rsidRPr="000E6481">
        <w:rPr>
          <w:i/>
          <w:sz w:val="26"/>
          <w:szCs w:val="26"/>
        </w:rPr>
        <w:t>DeHaven</w:t>
      </w:r>
      <w:r w:rsidRPr="000E6481">
        <w:rPr>
          <w:sz w:val="26"/>
          <w:szCs w:val="26"/>
        </w:rPr>
        <w:t>)</w:t>
      </w:r>
      <w:r w:rsidRPr="000E6481">
        <w:rPr>
          <w:i/>
          <w:sz w:val="26"/>
          <w:szCs w:val="26"/>
        </w:rPr>
        <w:t xml:space="preserve"> </w:t>
      </w:r>
      <w:r w:rsidRPr="000E6481">
        <w:rPr>
          <w:sz w:val="26"/>
          <w:szCs w:val="26"/>
        </w:rPr>
        <w:t xml:space="preserve">and </w:t>
      </w:r>
      <w:r w:rsidRPr="000E6481">
        <w:rPr>
          <w:i/>
          <w:sz w:val="26"/>
          <w:szCs w:val="26"/>
        </w:rPr>
        <w:t>Richard</w:t>
      </w:r>
      <w:r w:rsidRPr="000E6481">
        <w:rPr>
          <w:sz w:val="26"/>
          <w:szCs w:val="26"/>
        </w:rPr>
        <w:t xml:space="preserve"> </w:t>
      </w:r>
      <w:r w:rsidRPr="000E6481">
        <w:rPr>
          <w:i/>
          <w:sz w:val="26"/>
          <w:szCs w:val="26"/>
        </w:rPr>
        <w:t>Dina v. PECO Energy Company</w:t>
      </w:r>
      <w:r w:rsidRPr="000E6481">
        <w:rPr>
          <w:sz w:val="26"/>
          <w:szCs w:val="26"/>
        </w:rPr>
        <w:t>, Docket No. F-2017-2592410 (Order entered March 23, 2018) (</w:t>
      </w:r>
      <w:r w:rsidRPr="000E6481">
        <w:rPr>
          <w:i/>
          <w:sz w:val="26"/>
          <w:szCs w:val="26"/>
        </w:rPr>
        <w:t>Dina</w:t>
      </w:r>
      <w:r w:rsidRPr="000E6481">
        <w:rPr>
          <w:sz w:val="26"/>
          <w:szCs w:val="26"/>
        </w:rPr>
        <w:t>), the utility shall transfer to the landlord only the account arrearages that accumulated at the premises/service address where the foreign load is found to exist and shall exclude any prior debts of the tenant that had been accumulated at another service address</w:t>
      </w:r>
      <w:r w:rsidR="009E7A2B">
        <w:rPr>
          <w:sz w:val="26"/>
          <w:szCs w:val="26"/>
        </w:rPr>
        <w:t>, which the utility transferred</w:t>
      </w:r>
      <w:r w:rsidR="00704D22">
        <w:rPr>
          <w:sz w:val="26"/>
          <w:szCs w:val="26"/>
        </w:rPr>
        <w:t>,</w:t>
      </w:r>
      <w:r w:rsidR="00704D22" w:rsidRPr="00704D22">
        <w:rPr>
          <w:sz w:val="26"/>
          <w:szCs w:val="26"/>
        </w:rPr>
        <w:t xml:space="preserve"> </w:t>
      </w:r>
      <w:r w:rsidR="00704D22" w:rsidRPr="000E6481">
        <w:rPr>
          <w:sz w:val="26"/>
          <w:szCs w:val="26"/>
        </w:rPr>
        <w:t>pursuant to 52 Pa. Code § 56.35</w:t>
      </w:r>
      <w:r w:rsidR="00704D22">
        <w:rPr>
          <w:sz w:val="26"/>
          <w:szCs w:val="26"/>
        </w:rPr>
        <w:t>,</w:t>
      </w:r>
      <w:r w:rsidRPr="000E6481">
        <w:rPr>
          <w:sz w:val="26"/>
          <w:szCs w:val="26"/>
        </w:rPr>
        <w:t xml:space="preserve"> to follow the financially-responsible tenant to the </w:t>
      </w:r>
      <w:r w:rsidR="00704D22">
        <w:rPr>
          <w:sz w:val="26"/>
          <w:szCs w:val="26"/>
        </w:rPr>
        <w:t>foreign load-affected premises.</w:t>
      </w:r>
    </w:p>
  </w:footnote>
  <w:footnote w:id="7">
    <w:p w:rsidR="0097174A" w:rsidRPr="00A416C0" w:rsidRDefault="0097174A" w:rsidP="006B29F3">
      <w:pPr>
        <w:pStyle w:val="FootnoteText"/>
        <w:spacing w:after="120"/>
        <w:ind w:firstLine="720"/>
        <w:rPr>
          <w:sz w:val="26"/>
          <w:szCs w:val="26"/>
        </w:rPr>
      </w:pPr>
      <w:r w:rsidRPr="00A416C0">
        <w:rPr>
          <w:rStyle w:val="FootnoteReference"/>
          <w:sz w:val="26"/>
          <w:szCs w:val="26"/>
        </w:rPr>
        <w:footnoteRef/>
      </w:r>
      <w:r w:rsidRPr="00A416C0">
        <w:rPr>
          <w:sz w:val="26"/>
          <w:szCs w:val="26"/>
        </w:rPr>
        <w:t xml:space="preserve"> </w:t>
      </w:r>
      <w:r>
        <w:rPr>
          <w:sz w:val="26"/>
          <w:szCs w:val="26"/>
        </w:rPr>
        <w:tab/>
      </w:r>
      <w:r w:rsidRPr="00A416C0">
        <w:rPr>
          <w:sz w:val="26"/>
          <w:szCs w:val="26"/>
        </w:rPr>
        <w:t xml:space="preserve">We note the typographical error in the Initial Decision that referred to “gas” usage rather than </w:t>
      </w:r>
      <w:r>
        <w:rPr>
          <w:sz w:val="26"/>
          <w:szCs w:val="26"/>
        </w:rPr>
        <w:t>“</w:t>
      </w:r>
      <w:r w:rsidRPr="00A416C0">
        <w:rPr>
          <w:sz w:val="26"/>
          <w:szCs w:val="26"/>
        </w:rPr>
        <w:t>electric</w:t>
      </w:r>
      <w:r>
        <w:rPr>
          <w:sz w:val="26"/>
          <w:szCs w:val="26"/>
        </w:rPr>
        <w:t>”</w:t>
      </w:r>
      <w:r w:rsidRPr="00A416C0">
        <w:rPr>
          <w:sz w:val="26"/>
          <w:szCs w:val="26"/>
        </w:rPr>
        <w:t xml:space="preserve"> usage.  That typo is corrected in this Opinion and Order.  </w:t>
      </w:r>
    </w:p>
  </w:footnote>
  <w:footnote w:id="8">
    <w:p w:rsidR="0097174A" w:rsidRDefault="0097174A" w:rsidP="00585783">
      <w:pPr>
        <w:pStyle w:val="FootnoteText"/>
        <w:keepNext/>
        <w:keepLines/>
        <w:widowControl/>
        <w:spacing w:after="120"/>
        <w:ind w:firstLine="720"/>
      </w:pPr>
      <w:r w:rsidRPr="008C2D3B">
        <w:rPr>
          <w:rStyle w:val="FootnoteReference"/>
          <w:sz w:val="26"/>
          <w:szCs w:val="26"/>
        </w:rPr>
        <w:footnoteRef/>
      </w:r>
      <w:r>
        <w:rPr>
          <w:sz w:val="26"/>
          <w:szCs w:val="26"/>
        </w:rPr>
        <w:tab/>
        <w:t>W</w:t>
      </w:r>
      <w:r w:rsidRPr="008C2D3B">
        <w:rPr>
          <w:sz w:val="26"/>
          <w:szCs w:val="26"/>
        </w:rPr>
        <w:t>e note that the transcript indicates that the Complainant testified that he notified PPL using</w:t>
      </w:r>
      <w:r w:rsidR="0068752B">
        <w:rPr>
          <w:sz w:val="26"/>
          <w:szCs w:val="26"/>
        </w:rPr>
        <w:t xml:space="preserve"> PPL’s form titled “PA Act 54 of 1993”</w:t>
      </w:r>
      <w:r w:rsidRPr="008C2D3B">
        <w:rPr>
          <w:sz w:val="26"/>
          <w:szCs w:val="26"/>
        </w:rPr>
        <w:t xml:space="preserve"> and that such notice indicated that “it [the foreign load wiring] was corrected and that this person [Mr. Hubler] was evicted from the property.”  Tr. at 21, lines 8-20. </w:t>
      </w:r>
      <w:r>
        <w:rPr>
          <w:sz w:val="26"/>
          <w:szCs w:val="26"/>
        </w:rPr>
        <w:t>Thus, c</w:t>
      </w:r>
      <w:r w:rsidRPr="008C2D3B">
        <w:rPr>
          <w:sz w:val="26"/>
          <w:szCs w:val="26"/>
        </w:rPr>
        <w:t xml:space="preserve">ontrary to PPL’s characterization, </w:t>
      </w:r>
      <w:r>
        <w:rPr>
          <w:sz w:val="26"/>
          <w:szCs w:val="26"/>
        </w:rPr>
        <w:t xml:space="preserve">it appears the Complainant’s position is that for the rental property at </w:t>
      </w:r>
      <w:r>
        <w:rPr>
          <w:rFonts w:eastAsia="Calibri"/>
          <w:sz w:val="26"/>
          <w:szCs w:val="26"/>
        </w:rPr>
        <w:t>1100 Centre Street, Apartment 1, Ashland, PA,</w:t>
      </w:r>
      <w:r>
        <w:rPr>
          <w:sz w:val="26"/>
          <w:szCs w:val="26"/>
        </w:rPr>
        <w:t xml:space="preserve"> he mailed the required form to PPL to notify the utility that the foreign load wiring had been fixed.</w:t>
      </w:r>
    </w:p>
  </w:footnote>
  <w:footnote w:id="9">
    <w:p w:rsidR="0097174A" w:rsidRPr="00703006" w:rsidRDefault="0097174A" w:rsidP="006B29F3">
      <w:pPr>
        <w:pStyle w:val="FootnoteText"/>
        <w:spacing w:after="120"/>
        <w:ind w:firstLine="720"/>
        <w:rPr>
          <w:sz w:val="26"/>
          <w:szCs w:val="26"/>
        </w:rPr>
      </w:pPr>
      <w:r w:rsidRPr="00703006">
        <w:rPr>
          <w:rStyle w:val="FootnoteReference"/>
          <w:sz w:val="26"/>
          <w:szCs w:val="26"/>
        </w:rPr>
        <w:footnoteRef/>
      </w:r>
      <w:r w:rsidRPr="00703006">
        <w:rPr>
          <w:sz w:val="26"/>
          <w:szCs w:val="26"/>
        </w:rPr>
        <w:t xml:space="preserve"> </w:t>
      </w:r>
      <w:r>
        <w:rPr>
          <w:sz w:val="26"/>
          <w:szCs w:val="26"/>
        </w:rPr>
        <w:tab/>
      </w:r>
      <w:r w:rsidRPr="00703006">
        <w:rPr>
          <w:sz w:val="26"/>
          <w:szCs w:val="26"/>
        </w:rPr>
        <w:t>The record does not indicate the reason the account was removed from the Complainant’s name as of August 28, 2015.</w:t>
      </w:r>
    </w:p>
  </w:footnote>
  <w:footnote w:id="10">
    <w:p w:rsidR="00704D22" w:rsidRDefault="00704D22" w:rsidP="006B29F3">
      <w:pPr>
        <w:keepNext/>
        <w:keepLines/>
        <w:widowControl/>
        <w:spacing w:after="120"/>
        <w:ind w:firstLine="720"/>
      </w:pPr>
      <w:r w:rsidRPr="000E6481">
        <w:rPr>
          <w:rStyle w:val="FootnoteReference"/>
          <w:sz w:val="26"/>
          <w:szCs w:val="26"/>
        </w:rPr>
        <w:footnoteRef/>
      </w:r>
      <w:r w:rsidRPr="000E6481">
        <w:rPr>
          <w:sz w:val="26"/>
          <w:szCs w:val="26"/>
        </w:rPr>
        <w:tab/>
      </w:r>
      <w:r w:rsidRPr="00012C9D">
        <w:rPr>
          <w:i/>
          <w:sz w:val="26"/>
          <w:szCs w:val="26"/>
        </w:rPr>
        <w:t>See supra</w:t>
      </w:r>
      <w:r>
        <w:rPr>
          <w:sz w:val="26"/>
          <w:szCs w:val="26"/>
        </w:rPr>
        <w:t xml:space="preserve"> note 5.  We note that the record reflects that, for the properties at 1001 Centre Street and 1100 Centre Street, Apartment 2, PPL properly transferred to the Complainant, as property owner, only the arrearages that accrued at the foreign-load affected premises, and not any outstanding arrearage owed by each tenant to PPL based on service provided to the tenant at a prior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6A3F"/>
    <w:multiLevelType w:val="hybridMultilevel"/>
    <w:tmpl w:val="9374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97B4E"/>
    <w:multiLevelType w:val="hybridMultilevel"/>
    <w:tmpl w:val="5E08B748"/>
    <w:lvl w:ilvl="0" w:tplc="E32E0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640D18"/>
    <w:multiLevelType w:val="hybridMultilevel"/>
    <w:tmpl w:val="7DF45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D774E"/>
    <w:multiLevelType w:val="hybridMultilevel"/>
    <w:tmpl w:val="04A8157C"/>
    <w:lvl w:ilvl="0" w:tplc="07E67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93AA2"/>
    <w:multiLevelType w:val="hybridMultilevel"/>
    <w:tmpl w:val="F158482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7FD5DA5"/>
    <w:multiLevelType w:val="hybridMultilevel"/>
    <w:tmpl w:val="D2C2FC4C"/>
    <w:lvl w:ilvl="0" w:tplc="CF92B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F9E3701"/>
    <w:multiLevelType w:val="hybridMultilevel"/>
    <w:tmpl w:val="5E4ACBD6"/>
    <w:lvl w:ilvl="0" w:tplc="47CAA2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8FE4AD6"/>
    <w:multiLevelType w:val="hybridMultilevel"/>
    <w:tmpl w:val="B148AC8C"/>
    <w:lvl w:ilvl="0" w:tplc="E4121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632FF9"/>
    <w:multiLevelType w:val="hybridMultilevel"/>
    <w:tmpl w:val="B6B4CEA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8"/>
  </w:num>
  <w:num w:numId="5">
    <w:abstractNumId w:val="9"/>
  </w:num>
  <w:num w:numId="6">
    <w:abstractNumId w:val="10"/>
  </w:num>
  <w:num w:numId="7">
    <w:abstractNumId w:val="12"/>
  </w:num>
  <w:num w:numId="8">
    <w:abstractNumId w:val="11"/>
  </w:num>
  <w:num w:numId="9">
    <w:abstractNumId w:val="6"/>
  </w:num>
  <w:num w:numId="10">
    <w:abstractNumId w:val="13"/>
  </w:num>
  <w:num w:numId="11">
    <w:abstractNumId w:val="4"/>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53D"/>
    <w:rsid w:val="00001FC8"/>
    <w:rsid w:val="00002255"/>
    <w:rsid w:val="00004D03"/>
    <w:rsid w:val="00005318"/>
    <w:rsid w:val="000065FB"/>
    <w:rsid w:val="00006685"/>
    <w:rsid w:val="000066AF"/>
    <w:rsid w:val="00006A65"/>
    <w:rsid w:val="00006F35"/>
    <w:rsid w:val="00006FEE"/>
    <w:rsid w:val="0000721A"/>
    <w:rsid w:val="00007AF7"/>
    <w:rsid w:val="00007C8F"/>
    <w:rsid w:val="00007ECA"/>
    <w:rsid w:val="00010063"/>
    <w:rsid w:val="00011F31"/>
    <w:rsid w:val="00012C9D"/>
    <w:rsid w:val="00013358"/>
    <w:rsid w:val="000134F0"/>
    <w:rsid w:val="00013CFF"/>
    <w:rsid w:val="00013D74"/>
    <w:rsid w:val="00014749"/>
    <w:rsid w:val="00014E95"/>
    <w:rsid w:val="00016B09"/>
    <w:rsid w:val="00016B6D"/>
    <w:rsid w:val="00016D57"/>
    <w:rsid w:val="00016D8B"/>
    <w:rsid w:val="00017852"/>
    <w:rsid w:val="0002018B"/>
    <w:rsid w:val="000205C8"/>
    <w:rsid w:val="00020E4A"/>
    <w:rsid w:val="00020EF6"/>
    <w:rsid w:val="0002111A"/>
    <w:rsid w:val="00021E46"/>
    <w:rsid w:val="000229F8"/>
    <w:rsid w:val="00022B71"/>
    <w:rsid w:val="00022B74"/>
    <w:rsid w:val="0002315D"/>
    <w:rsid w:val="00023177"/>
    <w:rsid w:val="00023F01"/>
    <w:rsid w:val="000244E7"/>
    <w:rsid w:val="00024F85"/>
    <w:rsid w:val="0002501D"/>
    <w:rsid w:val="0002524C"/>
    <w:rsid w:val="00025B48"/>
    <w:rsid w:val="00025F3F"/>
    <w:rsid w:val="000265DE"/>
    <w:rsid w:val="00026CD2"/>
    <w:rsid w:val="00027221"/>
    <w:rsid w:val="00030DBB"/>
    <w:rsid w:val="00030F6D"/>
    <w:rsid w:val="000318E7"/>
    <w:rsid w:val="0003264E"/>
    <w:rsid w:val="00033512"/>
    <w:rsid w:val="000338FE"/>
    <w:rsid w:val="00033D2F"/>
    <w:rsid w:val="0003481E"/>
    <w:rsid w:val="00034FAE"/>
    <w:rsid w:val="0003571C"/>
    <w:rsid w:val="000359E1"/>
    <w:rsid w:val="00035A3B"/>
    <w:rsid w:val="00036207"/>
    <w:rsid w:val="00036284"/>
    <w:rsid w:val="00036509"/>
    <w:rsid w:val="00037341"/>
    <w:rsid w:val="00037FC0"/>
    <w:rsid w:val="00040A8E"/>
    <w:rsid w:val="00040AEA"/>
    <w:rsid w:val="000431A0"/>
    <w:rsid w:val="00043B16"/>
    <w:rsid w:val="000441C7"/>
    <w:rsid w:val="00044CDF"/>
    <w:rsid w:val="0004513A"/>
    <w:rsid w:val="00045800"/>
    <w:rsid w:val="00045AE7"/>
    <w:rsid w:val="00046FD4"/>
    <w:rsid w:val="00047874"/>
    <w:rsid w:val="00047F4A"/>
    <w:rsid w:val="00050276"/>
    <w:rsid w:val="00050AE3"/>
    <w:rsid w:val="00050DA3"/>
    <w:rsid w:val="0005113F"/>
    <w:rsid w:val="000517D4"/>
    <w:rsid w:val="000523D1"/>
    <w:rsid w:val="00052B8F"/>
    <w:rsid w:val="0005346D"/>
    <w:rsid w:val="000536BC"/>
    <w:rsid w:val="00054612"/>
    <w:rsid w:val="00054D58"/>
    <w:rsid w:val="0005572E"/>
    <w:rsid w:val="00055D78"/>
    <w:rsid w:val="00056286"/>
    <w:rsid w:val="0005733E"/>
    <w:rsid w:val="00060887"/>
    <w:rsid w:val="00060ADE"/>
    <w:rsid w:val="000612FD"/>
    <w:rsid w:val="00061350"/>
    <w:rsid w:val="000623C6"/>
    <w:rsid w:val="0006356A"/>
    <w:rsid w:val="000642AA"/>
    <w:rsid w:val="00064656"/>
    <w:rsid w:val="000649EC"/>
    <w:rsid w:val="0006573B"/>
    <w:rsid w:val="00065C39"/>
    <w:rsid w:val="00065D0D"/>
    <w:rsid w:val="000660A5"/>
    <w:rsid w:val="00066157"/>
    <w:rsid w:val="00066EE5"/>
    <w:rsid w:val="00067260"/>
    <w:rsid w:val="00067F78"/>
    <w:rsid w:val="000715E8"/>
    <w:rsid w:val="00071993"/>
    <w:rsid w:val="0007209F"/>
    <w:rsid w:val="00072808"/>
    <w:rsid w:val="000728E5"/>
    <w:rsid w:val="00072B4E"/>
    <w:rsid w:val="0007521D"/>
    <w:rsid w:val="000753F6"/>
    <w:rsid w:val="000754DF"/>
    <w:rsid w:val="00076F35"/>
    <w:rsid w:val="0007772F"/>
    <w:rsid w:val="00081416"/>
    <w:rsid w:val="00082796"/>
    <w:rsid w:val="00083125"/>
    <w:rsid w:val="00083210"/>
    <w:rsid w:val="0008379F"/>
    <w:rsid w:val="00083ADC"/>
    <w:rsid w:val="00083F79"/>
    <w:rsid w:val="00084573"/>
    <w:rsid w:val="0008490E"/>
    <w:rsid w:val="00084AF9"/>
    <w:rsid w:val="00084EAF"/>
    <w:rsid w:val="00085B98"/>
    <w:rsid w:val="00085E78"/>
    <w:rsid w:val="00087299"/>
    <w:rsid w:val="000878C9"/>
    <w:rsid w:val="000918D4"/>
    <w:rsid w:val="00093164"/>
    <w:rsid w:val="000932ED"/>
    <w:rsid w:val="00093941"/>
    <w:rsid w:val="00094851"/>
    <w:rsid w:val="0009612D"/>
    <w:rsid w:val="00096756"/>
    <w:rsid w:val="00096EA0"/>
    <w:rsid w:val="00096F08"/>
    <w:rsid w:val="00097504"/>
    <w:rsid w:val="0009774B"/>
    <w:rsid w:val="00097907"/>
    <w:rsid w:val="000A013F"/>
    <w:rsid w:val="000A06E0"/>
    <w:rsid w:val="000A09E4"/>
    <w:rsid w:val="000A1358"/>
    <w:rsid w:val="000A31C6"/>
    <w:rsid w:val="000A35C0"/>
    <w:rsid w:val="000A365D"/>
    <w:rsid w:val="000A443E"/>
    <w:rsid w:val="000A4F2E"/>
    <w:rsid w:val="000A6282"/>
    <w:rsid w:val="000A76C2"/>
    <w:rsid w:val="000B1D37"/>
    <w:rsid w:val="000B216D"/>
    <w:rsid w:val="000B2755"/>
    <w:rsid w:val="000B2C2F"/>
    <w:rsid w:val="000B363C"/>
    <w:rsid w:val="000B38B3"/>
    <w:rsid w:val="000B41CC"/>
    <w:rsid w:val="000B4EAE"/>
    <w:rsid w:val="000B5206"/>
    <w:rsid w:val="000B5238"/>
    <w:rsid w:val="000B5FF8"/>
    <w:rsid w:val="000B607A"/>
    <w:rsid w:val="000B67D4"/>
    <w:rsid w:val="000B6B15"/>
    <w:rsid w:val="000B72CF"/>
    <w:rsid w:val="000B7419"/>
    <w:rsid w:val="000C07BC"/>
    <w:rsid w:val="000C0DC3"/>
    <w:rsid w:val="000C1B19"/>
    <w:rsid w:val="000C1F6C"/>
    <w:rsid w:val="000C2083"/>
    <w:rsid w:val="000C2AE3"/>
    <w:rsid w:val="000C2C37"/>
    <w:rsid w:val="000C31E4"/>
    <w:rsid w:val="000C3CC3"/>
    <w:rsid w:val="000C4BEC"/>
    <w:rsid w:val="000C4E08"/>
    <w:rsid w:val="000C55F5"/>
    <w:rsid w:val="000C5927"/>
    <w:rsid w:val="000C605A"/>
    <w:rsid w:val="000C67F5"/>
    <w:rsid w:val="000C709A"/>
    <w:rsid w:val="000C70D9"/>
    <w:rsid w:val="000C7255"/>
    <w:rsid w:val="000C79A7"/>
    <w:rsid w:val="000D008C"/>
    <w:rsid w:val="000D01E0"/>
    <w:rsid w:val="000D02FE"/>
    <w:rsid w:val="000D0A77"/>
    <w:rsid w:val="000D298E"/>
    <w:rsid w:val="000D29C8"/>
    <w:rsid w:val="000D2DDC"/>
    <w:rsid w:val="000D3CAA"/>
    <w:rsid w:val="000D3E1C"/>
    <w:rsid w:val="000D5BBA"/>
    <w:rsid w:val="000D60AA"/>
    <w:rsid w:val="000D62EB"/>
    <w:rsid w:val="000D6D8C"/>
    <w:rsid w:val="000D6E1E"/>
    <w:rsid w:val="000E0295"/>
    <w:rsid w:val="000E2782"/>
    <w:rsid w:val="000E290C"/>
    <w:rsid w:val="000E3874"/>
    <w:rsid w:val="000E45EF"/>
    <w:rsid w:val="000E6481"/>
    <w:rsid w:val="000E6CBE"/>
    <w:rsid w:val="000E6DC6"/>
    <w:rsid w:val="000F0263"/>
    <w:rsid w:val="000F0313"/>
    <w:rsid w:val="000F05EE"/>
    <w:rsid w:val="000F090A"/>
    <w:rsid w:val="000F179E"/>
    <w:rsid w:val="000F1DC2"/>
    <w:rsid w:val="000F27FE"/>
    <w:rsid w:val="000F2DE3"/>
    <w:rsid w:val="000F34D4"/>
    <w:rsid w:val="000F4307"/>
    <w:rsid w:val="000F4A97"/>
    <w:rsid w:val="000F7199"/>
    <w:rsid w:val="001006A8"/>
    <w:rsid w:val="00100A7C"/>
    <w:rsid w:val="00100F06"/>
    <w:rsid w:val="00100F96"/>
    <w:rsid w:val="00101387"/>
    <w:rsid w:val="0010147F"/>
    <w:rsid w:val="0010158F"/>
    <w:rsid w:val="001017F6"/>
    <w:rsid w:val="00101F51"/>
    <w:rsid w:val="00101F7F"/>
    <w:rsid w:val="001026CA"/>
    <w:rsid w:val="00102921"/>
    <w:rsid w:val="00102A7F"/>
    <w:rsid w:val="00102EED"/>
    <w:rsid w:val="001035AF"/>
    <w:rsid w:val="00103797"/>
    <w:rsid w:val="00103F44"/>
    <w:rsid w:val="0010425F"/>
    <w:rsid w:val="00104BD4"/>
    <w:rsid w:val="00104D61"/>
    <w:rsid w:val="00104D9B"/>
    <w:rsid w:val="00105659"/>
    <w:rsid w:val="00105C8E"/>
    <w:rsid w:val="001062CD"/>
    <w:rsid w:val="00106312"/>
    <w:rsid w:val="00107388"/>
    <w:rsid w:val="00107C8D"/>
    <w:rsid w:val="0011031B"/>
    <w:rsid w:val="001106DA"/>
    <w:rsid w:val="001129F3"/>
    <w:rsid w:val="00112B9D"/>
    <w:rsid w:val="00112E9E"/>
    <w:rsid w:val="00112FDA"/>
    <w:rsid w:val="001138D3"/>
    <w:rsid w:val="00113E03"/>
    <w:rsid w:val="00113E16"/>
    <w:rsid w:val="00114656"/>
    <w:rsid w:val="00114D37"/>
    <w:rsid w:val="00115B4A"/>
    <w:rsid w:val="001160F4"/>
    <w:rsid w:val="0011757D"/>
    <w:rsid w:val="00117A05"/>
    <w:rsid w:val="00117CB2"/>
    <w:rsid w:val="00120B39"/>
    <w:rsid w:val="00120B8F"/>
    <w:rsid w:val="00120CC2"/>
    <w:rsid w:val="00120D10"/>
    <w:rsid w:val="00121167"/>
    <w:rsid w:val="00123510"/>
    <w:rsid w:val="0012370F"/>
    <w:rsid w:val="001238E5"/>
    <w:rsid w:val="001239CD"/>
    <w:rsid w:val="00123A2E"/>
    <w:rsid w:val="0012403F"/>
    <w:rsid w:val="00124071"/>
    <w:rsid w:val="001242EE"/>
    <w:rsid w:val="00124F46"/>
    <w:rsid w:val="001253FB"/>
    <w:rsid w:val="001266DB"/>
    <w:rsid w:val="001267D4"/>
    <w:rsid w:val="0012696F"/>
    <w:rsid w:val="00126D31"/>
    <w:rsid w:val="00127062"/>
    <w:rsid w:val="001303B4"/>
    <w:rsid w:val="0013269E"/>
    <w:rsid w:val="00134395"/>
    <w:rsid w:val="0013448D"/>
    <w:rsid w:val="00135972"/>
    <w:rsid w:val="00135A5B"/>
    <w:rsid w:val="00135F03"/>
    <w:rsid w:val="001360FC"/>
    <w:rsid w:val="001367B4"/>
    <w:rsid w:val="001400A9"/>
    <w:rsid w:val="00140843"/>
    <w:rsid w:val="0014096A"/>
    <w:rsid w:val="00140C62"/>
    <w:rsid w:val="001414CD"/>
    <w:rsid w:val="00141790"/>
    <w:rsid w:val="00142CF7"/>
    <w:rsid w:val="00142E02"/>
    <w:rsid w:val="001441A8"/>
    <w:rsid w:val="001445FA"/>
    <w:rsid w:val="001447A0"/>
    <w:rsid w:val="0014497F"/>
    <w:rsid w:val="00144F43"/>
    <w:rsid w:val="00145197"/>
    <w:rsid w:val="00146677"/>
    <w:rsid w:val="00146DDD"/>
    <w:rsid w:val="00146E58"/>
    <w:rsid w:val="00147145"/>
    <w:rsid w:val="001476D4"/>
    <w:rsid w:val="00150096"/>
    <w:rsid w:val="001505D6"/>
    <w:rsid w:val="001508E4"/>
    <w:rsid w:val="00150D48"/>
    <w:rsid w:val="00150EFD"/>
    <w:rsid w:val="001513B6"/>
    <w:rsid w:val="001515A8"/>
    <w:rsid w:val="001526C2"/>
    <w:rsid w:val="00152DFB"/>
    <w:rsid w:val="0015313A"/>
    <w:rsid w:val="0015380A"/>
    <w:rsid w:val="00153A46"/>
    <w:rsid w:val="00153BA4"/>
    <w:rsid w:val="00153ECC"/>
    <w:rsid w:val="001542D1"/>
    <w:rsid w:val="00154CB6"/>
    <w:rsid w:val="00156329"/>
    <w:rsid w:val="001568FD"/>
    <w:rsid w:val="00157C29"/>
    <w:rsid w:val="00160BB1"/>
    <w:rsid w:val="00160EC5"/>
    <w:rsid w:val="00161DCF"/>
    <w:rsid w:val="00163D79"/>
    <w:rsid w:val="00164390"/>
    <w:rsid w:val="001645C9"/>
    <w:rsid w:val="00164D32"/>
    <w:rsid w:val="00164DA4"/>
    <w:rsid w:val="00164F5E"/>
    <w:rsid w:val="00166298"/>
    <w:rsid w:val="001663C8"/>
    <w:rsid w:val="00167CF6"/>
    <w:rsid w:val="001708CA"/>
    <w:rsid w:val="00171F3E"/>
    <w:rsid w:val="001720EE"/>
    <w:rsid w:val="0017211B"/>
    <w:rsid w:val="001725C3"/>
    <w:rsid w:val="001728FC"/>
    <w:rsid w:val="00172A96"/>
    <w:rsid w:val="00172AB2"/>
    <w:rsid w:val="00172D08"/>
    <w:rsid w:val="0017347A"/>
    <w:rsid w:val="00173C6C"/>
    <w:rsid w:val="00174D11"/>
    <w:rsid w:val="00174D3D"/>
    <w:rsid w:val="00174E3F"/>
    <w:rsid w:val="00175FA8"/>
    <w:rsid w:val="001767E8"/>
    <w:rsid w:val="0017682B"/>
    <w:rsid w:val="00177F78"/>
    <w:rsid w:val="001806BE"/>
    <w:rsid w:val="00180956"/>
    <w:rsid w:val="00181222"/>
    <w:rsid w:val="00181696"/>
    <w:rsid w:val="00181B19"/>
    <w:rsid w:val="00182478"/>
    <w:rsid w:val="00182607"/>
    <w:rsid w:val="0018274A"/>
    <w:rsid w:val="001831AC"/>
    <w:rsid w:val="0018480F"/>
    <w:rsid w:val="0018583E"/>
    <w:rsid w:val="00185B0D"/>
    <w:rsid w:val="001861CF"/>
    <w:rsid w:val="00186A97"/>
    <w:rsid w:val="00187930"/>
    <w:rsid w:val="00190992"/>
    <w:rsid w:val="00191763"/>
    <w:rsid w:val="00191953"/>
    <w:rsid w:val="00191CD5"/>
    <w:rsid w:val="001921E7"/>
    <w:rsid w:val="001936B5"/>
    <w:rsid w:val="00193A02"/>
    <w:rsid w:val="00193E56"/>
    <w:rsid w:val="00194940"/>
    <w:rsid w:val="00194E02"/>
    <w:rsid w:val="0019530E"/>
    <w:rsid w:val="001953A4"/>
    <w:rsid w:val="00195C58"/>
    <w:rsid w:val="00195D34"/>
    <w:rsid w:val="00195F2E"/>
    <w:rsid w:val="00196538"/>
    <w:rsid w:val="00197829"/>
    <w:rsid w:val="001A15A6"/>
    <w:rsid w:val="001A16F3"/>
    <w:rsid w:val="001A280F"/>
    <w:rsid w:val="001A378E"/>
    <w:rsid w:val="001A3FBE"/>
    <w:rsid w:val="001A4BA0"/>
    <w:rsid w:val="001A7282"/>
    <w:rsid w:val="001B0C20"/>
    <w:rsid w:val="001B0C7B"/>
    <w:rsid w:val="001B1151"/>
    <w:rsid w:val="001B1DB4"/>
    <w:rsid w:val="001B244F"/>
    <w:rsid w:val="001B2603"/>
    <w:rsid w:val="001B4B66"/>
    <w:rsid w:val="001B5865"/>
    <w:rsid w:val="001B590E"/>
    <w:rsid w:val="001B59F0"/>
    <w:rsid w:val="001B685C"/>
    <w:rsid w:val="001B6DA6"/>
    <w:rsid w:val="001B71D7"/>
    <w:rsid w:val="001B797C"/>
    <w:rsid w:val="001C0027"/>
    <w:rsid w:val="001C0809"/>
    <w:rsid w:val="001C0ACD"/>
    <w:rsid w:val="001C1183"/>
    <w:rsid w:val="001C12C6"/>
    <w:rsid w:val="001C1F06"/>
    <w:rsid w:val="001C4978"/>
    <w:rsid w:val="001C550C"/>
    <w:rsid w:val="001C5CC1"/>
    <w:rsid w:val="001C7AAE"/>
    <w:rsid w:val="001D0ED2"/>
    <w:rsid w:val="001D1115"/>
    <w:rsid w:val="001D14A3"/>
    <w:rsid w:val="001D1D6B"/>
    <w:rsid w:val="001D1E5E"/>
    <w:rsid w:val="001D25B9"/>
    <w:rsid w:val="001D25F3"/>
    <w:rsid w:val="001D2CF4"/>
    <w:rsid w:val="001D3751"/>
    <w:rsid w:val="001D38E9"/>
    <w:rsid w:val="001D4BB5"/>
    <w:rsid w:val="001D530A"/>
    <w:rsid w:val="001D537B"/>
    <w:rsid w:val="001D5C5B"/>
    <w:rsid w:val="001D6778"/>
    <w:rsid w:val="001D69F4"/>
    <w:rsid w:val="001D720F"/>
    <w:rsid w:val="001E0B61"/>
    <w:rsid w:val="001E1276"/>
    <w:rsid w:val="001E1FD6"/>
    <w:rsid w:val="001E2949"/>
    <w:rsid w:val="001E3A79"/>
    <w:rsid w:val="001E3B93"/>
    <w:rsid w:val="001E46CE"/>
    <w:rsid w:val="001E54E4"/>
    <w:rsid w:val="001E60EE"/>
    <w:rsid w:val="001E6885"/>
    <w:rsid w:val="001F0509"/>
    <w:rsid w:val="001F217E"/>
    <w:rsid w:val="001F2614"/>
    <w:rsid w:val="001F285E"/>
    <w:rsid w:val="001F2AF7"/>
    <w:rsid w:val="001F2D64"/>
    <w:rsid w:val="001F33A6"/>
    <w:rsid w:val="001F3C5D"/>
    <w:rsid w:val="001F4115"/>
    <w:rsid w:val="001F41E8"/>
    <w:rsid w:val="001F43D6"/>
    <w:rsid w:val="001F4BCA"/>
    <w:rsid w:val="001F67C2"/>
    <w:rsid w:val="001F71D1"/>
    <w:rsid w:val="00200203"/>
    <w:rsid w:val="00200AE5"/>
    <w:rsid w:val="00202524"/>
    <w:rsid w:val="00202A4F"/>
    <w:rsid w:val="00202B57"/>
    <w:rsid w:val="0020314A"/>
    <w:rsid w:val="0020328C"/>
    <w:rsid w:val="00203F94"/>
    <w:rsid w:val="00204DE2"/>
    <w:rsid w:val="00204F57"/>
    <w:rsid w:val="0020580B"/>
    <w:rsid w:val="00206160"/>
    <w:rsid w:val="0020644D"/>
    <w:rsid w:val="00206592"/>
    <w:rsid w:val="0020679B"/>
    <w:rsid w:val="00207A51"/>
    <w:rsid w:val="00210736"/>
    <w:rsid w:val="00210F81"/>
    <w:rsid w:val="00211169"/>
    <w:rsid w:val="0021126B"/>
    <w:rsid w:val="00211622"/>
    <w:rsid w:val="00211F24"/>
    <w:rsid w:val="002127D0"/>
    <w:rsid w:val="00213022"/>
    <w:rsid w:val="00213C5D"/>
    <w:rsid w:val="00214045"/>
    <w:rsid w:val="002143F6"/>
    <w:rsid w:val="00214B3E"/>
    <w:rsid w:val="00214D24"/>
    <w:rsid w:val="00214E5F"/>
    <w:rsid w:val="00215537"/>
    <w:rsid w:val="00215C08"/>
    <w:rsid w:val="0021693E"/>
    <w:rsid w:val="0021698B"/>
    <w:rsid w:val="00216A86"/>
    <w:rsid w:val="0022004A"/>
    <w:rsid w:val="002212FA"/>
    <w:rsid w:val="00221533"/>
    <w:rsid w:val="00221BF0"/>
    <w:rsid w:val="00221F1A"/>
    <w:rsid w:val="002224A0"/>
    <w:rsid w:val="00222521"/>
    <w:rsid w:val="002226C9"/>
    <w:rsid w:val="00223CD5"/>
    <w:rsid w:val="00223FD1"/>
    <w:rsid w:val="00224286"/>
    <w:rsid w:val="0022698E"/>
    <w:rsid w:val="002276B4"/>
    <w:rsid w:val="00227912"/>
    <w:rsid w:val="00227A47"/>
    <w:rsid w:val="0023005D"/>
    <w:rsid w:val="002305D8"/>
    <w:rsid w:val="002306C9"/>
    <w:rsid w:val="002311C3"/>
    <w:rsid w:val="002311EE"/>
    <w:rsid w:val="00233488"/>
    <w:rsid w:val="00233C05"/>
    <w:rsid w:val="00234273"/>
    <w:rsid w:val="002370F5"/>
    <w:rsid w:val="00237E48"/>
    <w:rsid w:val="00237E60"/>
    <w:rsid w:val="0024007E"/>
    <w:rsid w:val="002406C6"/>
    <w:rsid w:val="0024088A"/>
    <w:rsid w:val="00240ACA"/>
    <w:rsid w:val="00240D7B"/>
    <w:rsid w:val="00241299"/>
    <w:rsid w:val="002414DC"/>
    <w:rsid w:val="00241E7B"/>
    <w:rsid w:val="00242B89"/>
    <w:rsid w:val="00242E1C"/>
    <w:rsid w:val="0024399A"/>
    <w:rsid w:val="00244EBA"/>
    <w:rsid w:val="00245C30"/>
    <w:rsid w:val="00246C59"/>
    <w:rsid w:val="00247743"/>
    <w:rsid w:val="00247FD8"/>
    <w:rsid w:val="00250A1F"/>
    <w:rsid w:val="00251135"/>
    <w:rsid w:val="00251717"/>
    <w:rsid w:val="00251918"/>
    <w:rsid w:val="0025304F"/>
    <w:rsid w:val="0025401F"/>
    <w:rsid w:val="00254995"/>
    <w:rsid w:val="00255462"/>
    <w:rsid w:val="00256233"/>
    <w:rsid w:val="002569E0"/>
    <w:rsid w:val="00256BA9"/>
    <w:rsid w:val="00257D32"/>
    <w:rsid w:val="00257E52"/>
    <w:rsid w:val="002602CF"/>
    <w:rsid w:val="00260957"/>
    <w:rsid w:val="00261410"/>
    <w:rsid w:val="00262D9F"/>
    <w:rsid w:val="00262F0A"/>
    <w:rsid w:val="00263945"/>
    <w:rsid w:val="002643F9"/>
    <w:rsid w:val="00264646"/>
    <w:rsid w:val="002647A5"/>
    <w:rsid w:val="00265564"/>
    <w:rsid w:val="002669CA"/>
    <w:rsid w:val="00266B00"/>
    <w:rsid w:val="00266D46"/>
    <w:rsid w:val="00267188"/>
    <w:rsid w:val="00267B63"/>
    <w:rsid w:val="00270455"/>
    <w:rsid w:val="00270DFB"/>
    <w:rsid w:val="00271BBD"/>
    <w:rsid w:val="0027212B"/>
    <w:rsid w:val="0027232D"/>
    <w:rsid w:val="00272BD5"/>
    <w:rsid w:val="00274D0F"/>
    <w:rsid w:val="00274E95"/>
    <w:rsid w:val="00275037"/>
    <w:rsid w:val="00276FF2"/>
    <w:rsid w:val="002773BA"/>
    <w:rsid w:val="00277500"/>
    <w:rsid w:val="00277BF4"/>
    <w:rsid w:val="002808CE"/>
    <w:rsid w:val="002808ED"/>
    <w:rsid w:val="00281229"/>
    <w:rsid w:val="0028125E"/>
    <w:rsid w:val="002818FA"/>
    <w:rsid w:val="00281A5F"/>
    <w:rsid w:val="00283539"/>
    <w:rsid w:val="00283F71"/>
    <w:rsid w:val="00285073"/>
    <w:rsid w:val="002859FB"/>
    <w:rsid w:val="00285A8E"/>
    <w:rsid w:val="00285C52"/>
    <w:rsid w:val="002869B5"/>
    <w:rsid w:val="00286E8E"/>
    <w:rsid w:val="0028701F"/>
    <w:rsid w:val="00287681"/>
    <w:rsid w:val="0028789A"/>
    <w:rsid w:val="00287EF7"/>
    <w:rsid w:val="00290362"/>
    <w:rsid w:val="00291F2F"/>
    <w:rsid w:val="00291F68"/>
    <w:rsid w:val="0029235E"/>
    <w:rsid w:val="00292A29"/>
    <w:rsid w:val="00292D44"/>
    <w:rsid w:val="00293416"/>
    <w:rsid w:val="0029353A"/>
    <w:rsid w:val="00294BD5"/>
    <w:rsid w:val="0029672A"/>
    <w:rsid w:val="00296998"/>
    <w:rsid w:val="00297B94"/>
    <w:rsid w:val="00297F04"/>
    <w:rsid w:val="002A060A"/>
    <w:rsid w:val="002A0A86"/>
    <w:rsid w:val="002A110B"/>
    <w:rsid w:val="002A2BEB"/>
    <w:rsid w:val="002A437B"/>
    <w:rsid w:val="002A4450"/>
    <w:rsid w:val="002A52A5"/>
    <w:rsid w:val="002A5A20"/>
    <w:rsid w:val="002A5C38"/>
    <w:rsid w:val="002A5FE5"/>
    <w:rsid w:val="002A60F1"/>
    <w:rsid w:val="002A6750"/>
    <w:rsid w:val="002A68AD"/>
    <w:rsid w:val="002A73C6"/>
    <w:rsid w:val="002B1529"/>
    <w:rsid w:val="002B2296"/>
    <w:rsid w:val="002B28A9"/>
    <w:rsid w:val="002B3040"/>
    <w:rsid w:val="002B3184"/>
    <w:rsid w:val="002B333B"/>
    <w:rsid w:val="002B3FF4"/>
    <w:rsid w:val="002B4407"/>
    <w:rsid w:val="002B67B7"/>
    <w:rsid w:val="002C0238"/>
    <w:rsid w:val="002C0429"/>
    <w:rsid w:val="002C16BE"/>
    <w:rsid w:val="002C19E4"/>
    <w:rsid w:val="002C1CAB"/>
    <w:rsid w:val="002C1CCB"/>
    <w:rsid w:val="002C257A"/>
    <w:rsid w:val="002C3439"/>
    <w:rsid w:val="002C3676"/>
    <w:rsid w:val="002C4049"/>
    <w:rsid w:val="002C4894"/>
    <w:rsid w:val="002C62F0"/>
    <w:rsid w:val="002C645E"/>
    <w:rsid w:val="002C6CC4"/>
    <w:rsid w:val="002C7166"/>
    <w:rsid w:val="002C7582"/>
    <w:rsid w:val="002C7958"/>
    <w:rsid w:val="002D083C"/>
    <w:rsid w:val="002D0A42"/>
    <w:rsid w:val="002D13C4"/>
    <w:rsid w:val="002D1717"/>
    <w:rsid w:val="002D1791"/>
    <w:rsid w:val="002D275E"/>
    <w:rsid w:val="002D2977"/>
    <w:rsid w:val="002D2A1D"/>
    <w:rsid w:val="002D2B52"/>
    <w:rsid w:val="002D313F"/>
    <w:rsid w:val="002D3FE3"/>
    <w:rsid w:val="002D4AF5"/>
    <w:rsid w:val="002D4B7A"/>
    <w:rsid w:val="002D5106"/>
    <w:rsid w:val="002D5320"/>
    <w:rsid w:val="002D5966"/>
    <w:rsid w:val="002D5B4B"/>
    <w:rsid w:val="002D6357"/>
    <w:rsid w:val="002D6B96"/>
    <w:rsid w:val="002D7584"/>
    <w:rsid w:val="002D78D8"/>
    <w:rsid w:val="002D7925"/>
    <w:rsid w:val="002D7A10"/>
    <w:rsid w:val="002E01A0"/>
    <w:rsid w:val="002E039A"/>
    <w:rsid w:val="002E0A68"/>
    <w:rsid w:val="002E0FA9"/>
    <w:rsid w:val="002E28F9"/>
    <w:rsid w:val="002E2BE4"/>
    <w:rsid w:val="002E3026"/>
    <w:rsid w:val="002E3598"/>
    <w:rsid w:val="002E3B57"/>
    <w:rsid w:val="002E3F06"/>
    <w:rsid w:val="002E48BF"/>
    <w:rsid w:val="002E4A4B"/>
    <w:rsid w:val="002E5203"/>
    <w:rsid w:val="002E5839"/>
    <w:rsid w:val="002E64EB"/>
    <w:rsid w:val="002E6FFA"/>
    <w:rsid w:val="002E71C6"/>
    <w:rsid w:val="002E7BAB"/>
    <w:rsid w:val="002E7DA8"/>
    <w:rsid w:val="002E7F8F"/>
    <w:rsid w:val="002F112F"/>
    <w:rsid w:val="002F1A77"/>
    <w:rsid w:val="002F24F7"/>
    <w:rsid w:val="002F3B28"/>
    <w:rsid w:val="002F3F04"/>
    <w:rsid w:val="002F41BA"/>
    <w:rsid w:val="002F57B8"/>
    <w:rsid w:val="002F6016"/>
    <w:rsid w:val="002F662D"/>
    <w:rsid w:val="002F6D85"/>
    <w:rsid w:val="002F7249"/>
    <w:rsid w:val="002F750E"/>
    <w:rsid w:val="00300AD2"/>
    <w:rsid w:val="00300C2E"/>
    <w:rsid w:val="00300D0F"/>
    <w:rsid w:val="00300D18"/>
    <w:rsid w:val="003018AA"/>
    <w:rsid w:val="003026B1"/>
    <w:rsid w:val="00302D56"/>
    <w:rsid w:val="00303B99"/>
    <w:rsid w:val="00304507"/>
    <w:rsid w:val="00305057"/>
    <w:rsid w:val="003054A7"/>
    <w:rsid w:val="00306602"/>
    <w:rsid w:val="0030714F"/>
    <w:rsid w:val="003073E2"/>
    <w:rsid w:val="00307DDF"/>
    <w:rsid w:val="00307FE7"/>
    <w:rsid w:val="0031079C"/>
    <w:rsid w:val="00310BE7"/>
    <w:rsid w:val="00310D8A"/>
    <w:rsid w:val="00311568"/>
    <w:rsid w:val="00311F5D"/>
    <w:rsid w:val="003125E3"/>
    <w:rsid w:val="00312C45"/>
    <w:rsid w:val="003134B2"/>
    <w:rsid w:val="00313706"/>
    <w:rsid w:val="00313AA9"/>
    <w:rsid w:val="00313B09"/>
    <w:rsid w:val="003141F1"/>
    <w:rsid w:val="00314341"/>
    <w:rsid w:val="0031436C"/>
    <w:rsid w:val="0031448D"/>
    <w:rsid w:val="00314A43"/>
    <w:rsid w:val="00314B79"/>
    <w:rsid w:val="00315102"/>
    <w:rsid w:val="00315A0E"/>
    <w:rsid w:val="00315B64"/>
    <w:rsid w:val="00315ED2"/>
    <w:rsid w:val="003169F2"/>
    <w:rsid w:val="00316B06"/>
    <w:rsid w:val="00320887"/>
    <w:rsid w:val="00320FE4"/>
    <w:rsid w:val="00322040"/>
    <w:rsid w:val="0032289C"/>
    <w:rsid w:val="00323400"/>
    <w:rsid w:val="003236DF"/>
    <w:rsid w:val="00324038"/>
    <w:rsid w:val="003240B8"/>
    <w:rsid w:val="003250C7"/>
    <w:rsid w:val="003252DE"/>
    <w:rsid w:val="00325422"/>
    <w:rsid w:val="003258AF"/>
    <w:rsid w:val="00325BAD"/>
    <w:rsid w:val="003268C2"/>
    <w:rsid w:val="00326BC5"/>
    <w:rsid w:val="003276D8"/>
    <w:rsid w:val="003301F2"/>
    <w:rsid w:val="003313FC"/>
    <w:rsid w:val="00331EB6"/>
    <w:rsid w:val="0033288B"/>
    <w:rsid w:val="0033369D"/>
    <w:rsid w:val="00333B52"/>
    <w:rsid w:val="00333FDA"/>
    <w:rsid w:val="003340DE"/>
    <w:rsid w:val="00334887"/>
    <w:rsid w:val="003359B5"/>
    <w:rsid w:val="00336277"/>
    <w:rsid w:val="0033657E"/>
    <w:rsid w:val="00337887"/>
    <w:rsid w:val="00337BCB"/>
    <w:rsid w:val="00337D33"/>
    <w:rsid w:val="00340799"/>
    <w:rsid w:val="00340D19"/>
    <w:rsid w:val="0034190B"/>
    <w:rsid w:val="00341E74"/>
    <w:rsid w:val="00342956"/>
    <w:rsid w:val="00343EC0"/>
    <w:rsid w:val="00344804"/>
    <w:rsid w:val="00345071"/>
    <w:rsid w:val="00346357"/>
    <w:rsid w:val="003468E7"/>
    <w:rsid w:val="00346C09"/>
    <w:rsid w:val="00346C47"/>
    <w:rsid w:val="00346DC4"/>
    <w:rsid w:val="00347832"/>
    <w:rsid w:val="00347A1F"/>
    <w:rsid w:val="0035069B"/>
    <w:rsid w:val="003510FF"/>
    <w:rsid w:val="003518C8"/>
    <w:rsid w:val="0035225F"/>
    <w:rsid w:val="00352BC7"/>
    <w:rsid w:val="0035338B"/>
    <w:rsid w:val="003533B5"/>
    <w:rsid w:val="00353CE3"/>
    <w:rsid w:val="0035400F"/>
    <w:rsid w:val="003542D3"/>
    <w:rsid w:val="003553F8"/>
    <w:rsid w:val="00355A2F"/>
    <w:rsid w:val="00356024"/>
    <w:rsid w:val="0035728C"/>
    <w:rsid w:val="0036063F"/>
    <w:rsid w:val="00360D87"/>
    <w:rsid w:val="003619F1"/>
    <w:rsid w:val="00361DD8"/>
    <w:rsid w:val="00361F8D"/>
    <w:rsid w:val="003622CA"/>
    <w:rsid w:val="003629F0"/>
    <w:rsid w:val="00363030"/>
    <w:rsid w:val="0036355F"/>
    <w:rsid w:val="00363CC9"/>
    <w:rsid w:val="00364206"/>
    <w:rsid w:val="0036444F"/>
    <w:rsid w:val="0036462C"/>
    <w:rsid w:val="00364A42"/>
    <w:rsid w:val="00364CC8"/>
    <w:rsid w:val="00364D4C"/>
    <w:rsid w:val="003653A1"/>
    <w:rsid w:val="003674CA"/>
    <w:rsid w:val="003677FB"/>
    <w:rsid w:val="00367AA0"/>
    <w:rsid w:val="003708B3"/>
    <w:rsid w:val="003715B3"/>
    <w:rsid w:val="0037170C"/>
    <w:rsid w:val="00372221"/>
    <w:rsid w:val="0037276C"/>
    <w:rsid w:val="00372E6D"/>
    <w:rsid w:val="0037352F"/>
    <w:rsid w:val="00373989"/>
    <w:rsid w:val="00373AB4"/>
    <w:rsid w:val="00374099"/>
    <w:rsid w:val="003743C4"/>
    <w:rsid w:val="0037451A"/>
    <w:rsid w:val="003755FB"/>
    <w:rsid w:val="0037577C"/>
    <w:rsid w:val="00377862"/>
    <w:rsid w:val="003779B3"/>
    <w:rsid w:val="00377A3A"/>
    <w:rsid w:val="00377E89"/>
    <w:rsid w:val="00380438"/>
    <w:rsid w:val="0038188D"/>
    <w:rsid w:val="00382138"/>
    <w:rsid w:val="003823FA"/>
    <w:rsid w:val="00382EFA"/>
    <w:rsid w:val="00382FBA"/>
    <w:rsid w:val="003835DA"/>
    <w:rsid w:val="0038366C"/>
    <w:rsid w:val="00383B99"/>
    <w:rsid w:val="003841E8"/>
    <w:rsid w:val="00384AEA"/>
    <w:rsid w:val="00385502"/>
    <w:rsid w:val="00385526"/>
    <w:rsid w:val="003857E9"/>
    <w:rsid w:val="00385CFF"/>
    <w:rsid w:val="003863E7"/>
    <w:rsid w:val="003865C9"/>
    <w:rsid w:val="003866CA"/>
    <w:rsid w:val="003868B1"/>
    <w:rsid w:val="003874D7"/>
    <w:rsid w:val="003904F7"/>
    <w:rsid w:val="0039070E"/>
    <w:rsid w:val="0039085E"/>
    <w:rsid w:val="00390BC3"/>
    <w:rsid w:val="00391838"/>
    <w:rsid w:val="00391A43"/>
    <w:rsid w:val="00391CAA"/>
    <w:rsid w:val="00391E59"/>
    <w:rsid w:val="003933D9"/>
    <w:rsid w:val="003943C4"/>
    <w:rsid w:val="00396541"/>
    <w:rsid w:val="003966E7"/>
    <w:rsid w:val="00396ADF"/>
    <w:rsid w:val="003A0814"/>
    <w:rsid w:val="003A0A0B"/>
    <w:rsid w:val="003A17D8"/>
    <w:rsid w:val="003A1A55"/>
    <w:rsid w:val="003A31BD"/>
    <w:rsid w:val="003A3C44"/>
    <w:rsid w:val="003A4DC8"/>
    <w:rsid w:val="003A534F"/>
    <w:rsid w:val="003A5623"/>
    <w:rsid w:val="003A5D40"/>
    <w:rsid w:val="003A64D0"/>
    <w:rsid w:val="003A7E3A"/>
    <w:rsid w:val="003B0611"/>
    <w:rsid w:val="003B0D66"/>
    <w:rsid w:val="003B0D72"/>
    <w:rsid w:val="003B21FE"/>
    <w:rsid w:val="003B26B5"/>
    <w:rsid w:val="003B2CB6"/>
    <w:rsid w:val="003B3617"/>
    <w:rsid w:val="003B38FD"/>
    <w:rsid w:val="003B390C"/>
    <w:rsid w:val="003B42D9"/>
    <w:rsid w:val="003B4854"/>
    <w:rsid w:val="003B615B"/>
    <w:rsid w:val="003B6F16"/>
    <w:rsid w:val="003B7849"/>
    <w:rsid w:val="003C06D8"/>
    <w:rsid w:val="003C1B32"/>
    <w:rsid w:val="003C29DA"/>
    <w:rsid w:val="003C3140"/>
    <w:rsid w:val="003C3E02"/>
    <w:rsid w:val="003C3F53"/>
    <w:rsid w:val="003C3FE8"/>
    <w:rsid w:val="003C403E"/>
    <w:rsid w:val="003C583F"/>
    <w:rsid w:val="003C73F9"/>
    <w:rsid w:val="003C7940"/>
    <w:rsid w:val="003D0DCD"/>
    <w:rsid w:val="003D14F8"/>
    <w:rsid w:val="003D2011"/>
    <w:rsid w:val="003D2152"/>
    <w:rsid w:val="003D2225"/>
    <w:rsid w:val="003D2F73"/>
    <w:rsid w:val="003D31F0"/>
    <w:rsid w:val="003D330B"/>
    <w:rsid w:val="003D3C95"/>
    <w:rsid w:val="003D3FE9"/>
    <w:rsid w:val="003D5F07"/>
    <w:rsid w:val="003D69C7"/>
    <w:rsid w:val="003D6AB5"/>
    <w:rsid w:val="003D6B41"/>
    <w:rsid w:val="003E02E7"/>
    <w:rsid w:val="003E065D"/>
    <w:rsid w:val="003E071C"/>
    <w:rsid w:val="003E1997"/>
    <w:rsid w:val="003E1A44"/>
    <w:rsid w:val="003E3FF5"/>
    <w:rsid w:val="003E4B34"/>
    <w:rsid w:val="003E5354"/>
    <w:rsid w:val="003E5C36"/>
    <w:rsid w:val="003E6D0D"/>
    <w:rsid w:val="003F0693"/>
    <w:rsid w:val="003F1ED1"/>
    <w:rsid w:val="003F222B"/>
    <w:rsid w:val="003F2DF5"/>
    <w:rsid w:val="003F4215"/>
    <w:rsid w:val="003F4AEE"/>
    <w:rsid w:val="003F51F4"/>
    <w:rsid w:val="003F52C6"/>
    <w:rsid w:val="003F558E"/>
    <w:rsid w:val="003F6377"/>
    <w:rsid w:val="003F6692"/>
    <w:rsid w:val="003F683A"/>
    <w:rsid w:val="003F7285"/>
    <w:rsid w:val="003F775C"/>
    <w:rsid w:val="003F7B70"/>
    <w:rsid w:val="003F7DA1"/>
    <w:rsid w:val="00400634"/>
    <w:rsid w:val="00400801"/>
    <w:rsid w:val="00400C54"/>
    <w:rsid w:val="00400E66"/>
    <w:rsid w:val="00401D61"/>
    <w:rsid w:val="00403D6E"/>
    <w:rsid w:val="00404147"/>
    <w:rsid w:val="00405083"/>
    <w:rsid w:val="00405690"/>
    <w:rsid w:val="004064EA"/>
    <w:rsid w:val="00406607"/>
    <w:rsid w:val="00406897"/>
    <w:rsid w:val="00407AC0"/>
    <w:rsid w:val="00411814"/>
    <w:rsid w:val="00412E30"/>
    <w:rsid w:val="00412F8D"/>
    <w:rsid w:val="00413B67"/>
    <w:rsid w:val="00413BEB"/>
    <w:rsid w:val="00413FA9"/>
    <w:rsid w:val="0041471B"/>
    <w:rsid w:val="00414907"/>
    <w:rsid w:val="00414DFE"/>
    <w:rsid w:val="004150EB"/>
    <w:rsid w:val="00415231"/>
    <w:rsid w:val="00415341"/>
    <w:rsid w:val="0041543C"/>
    <w:rsid w:val="00415B78"/>
    <w:rsid w:val="00415DBD"/>
    <w:rsid w:val="004166BD"/>
    <w:rsid w:val="004169A6"/>
    <w:rsid w:val="00416B4E"/>
    <w:rsid w:val="004170AF"/>
    <w:rsid w:val="004175A1"/>
    <w:rsid w:val="00420672"/>
    <w:rsid w:val="004222F5"/>
    <w:rsid w:val="00422C55"/>
    <w:rsid w:val="00423004"/>
    <w:rsid w:val="00423B1B"/>
    <w:rsid w:val="0042430D"/>
    <w:rsid w:val="00424655"/>
    <w:rsid w:val="00425200"/>
    <w:rsid w:val="00425698"/>
    <w:rsid w:val="00425ED2"/>
    <w:rsid w:val="00426FA7"/>
    <w:rsid w:val="00427540"/>
    <w:rsid w:val="00427BEA"/>
    <w:rsid w:val="00431C4F"/>
    <w:rsid w:val="00432BB7"/>
    <w:rsid w:val="004331E9"/>
    <w:rsid w:val="00433E8D"/>
    <w:rsid w:val="00434A60"/>
    <w:rsid w:val="00434E88"/>
    <w:rsid w:val="0043541B"/>
    <w:rsid w:val="0043592C"/>
    <w:rsid w:val="00436217"/>
    <w:rsid w:val="00436697"/>
    <w:rsid w:val="00436AA3"/>
    <w:rsid w:val="00437FD8"/>
    <w:rsid w:val="0044061D"/>
    <w:rsid w:val="004411B9"/>
    <w:rsid w:val="00441207"/>
    <w:rsid w:val="00441462"/>
    <w:rsid w:val="004421E4"/>
    <w:rsid w:val="004422CA"/>
    <w:rsid w:val="00443807"/>
    <w:rsid w:val="00443FF8"/>
    <w:rsid w:val="004449AC"/>
    <w:rsid w:val="00445B6C"/>
    <w:rsid w:val="004462F7"/>
    <w:rsid w:val="004469EC"/>
    <w:rsid w:val="00450337"/>
    <w:rsid w:val="004507ED"/>
    <w:rsid w:val="004516D0"/>
    <w:rsid w:val="00453420"/>
    <w:rsid w:val="004535BF"/>
    <w:rsid w:val="00454A43"/>
    <w:rsid w:val="00454BA4"/>
    <w:rsid w:val="00454F06"/>
    <w:rsid w:val="00455094"/>
    <w:rsid w:val="00455FA6"/>
    <w:rsid w:val="0045650D"/>
    <w:rsid w:val="00457E8A"/>
    <w:rsid w:val="0046019D"/>
    <w:rsid w:val="004628D5"/>
    <w:rsid w:val="00462FBF"/>
    <w:rsid w:val="00464494"/>
    <w:rsid w:val="00464536"/>
    <w:rsid w:val="004645C7"/>
    <w:rsid w:val="0046514E"/>
    <w:rsid w:val="004652EA"/>
    <w:rsid w:val="00465716"/>
    <w:rsid w:val="00465BAB"/>
    <w:rsid w:val="0046623C"/>
    <w:rsid w:val="00466E85"/>
    <w:rsid w:val="00467739"/>
    <w:rsid w:val="00470391"/>
    <w:rsid w:val="00470CA1"/>
    <w:rsid w:val="00470D0C"/>
    <w:rsid w:val="004735E2"/>
    <w:rsid w:val="00474E22"/>
    <w:rsid w:val="00475D86"/>
    <w:rsid w:val="0047608F"/>
    <w:rsid w:val="004762EF"/>
    <w:rsid w:val="00476554"/>
    <w:rsid w:val="004765F6"/>
    <w:rsid w:val="004770D4"/>
    <w:rsid w:val="004770EB"/>
    <w:rsid w:val="00477324"/>
    <w:rsid w:val="0047739F"/>
    <w:rsid w:val="00480B95"/>
    <w:rsid w:val="004813D4"/>
    <w:rsid w:val="00482DB7"/>
    <w:rsid w:val="00483108"/>
    <w:rsid w:val="00483A31"/>
    <w:rsid w:val="00485279"/>
    <w:rsid w:val="00485445"/>
    <w:rsid w:val="00486C39"/>
    <w:rsid w:val="00487DD5"/>
    <w:rsid w:val="0049036B"/>
    <w:rsid w:val="00490751"/>
    <w:rsid w:val="004912CE"/>
    <w:rsid w:val="00491D91"/>
    <w:rsid w:val="0049250C"/>
    <w:rsid w:val="00492DCE"/>
    <w:rsid w:val="00493345"/>
    <w:rsid w:val="00493A18"/>
    <w:rsid w:val="00494891"/>
    <w:rsid w:val="00494DBC"/>
    <w:rsid w:val="0049580C"/>
    <w:rsid w:val="00495A2A"/>
    <w:rsid w:val="00496874"/>
    <w:rsid w:val="0049768F"/>
    <w:rsid w:val="00497AF9"/>
    <w:rsid w:val="00497E91"/>
    <w:rsid w:val="004A0430"/>
    <w:rsid w:val="004A04E5"/>
    <w:rsid w:val="004A0768"/>
    <w:rsid w:val="004A13AE"/>
    <w:rsid w:val="004A1495"/>
    <w:rsid w:val="004A17BE"/>
    <w:rsid w:val="004A1D54"/>
    <w:rsid w:val="004A2089"/>
    <w:rsid w:val="004A2165"/>
    <w:rsid w:val="004A3760"/>
    <w:rsid w:val="004A3B4E"/>
    <w:rsid w:val="004A3E61"/>
    <w:rsid w:val="004A4512"/>
    <w:rsid w:val="004A491B"/>
    <w:rsid w:val="004A4993"/>
    <w:rsid w:val="004A4D88"/>
    <w:rsid w:val="004A5084"/>
    <w:rsid w:val="004A5152"/>
    <w:rsid w:val="004A5F74"/>
    <w:rsid w:val="004A6345"/>
    <w:rsid w:val="004A7071"/>
    <w:rsid w:val="004A7A59"/>
    <w:rsid w:val="004A7F04"/>
    <w:rsid w:val="004B0043"/>
    <w:rsid w:val="004B1052"/>
    <w:rsid w:val="004B1A48"/>
    <w:rsid w:val="004B35AF"/>
    <w:rsid w:val="004B3EEA"/>
    <w:rsid w:val="004B47B7"/>
    <w:rsid w:val="004B5E17"/>
    <w:rsid w:val="004B604A"/>
    <w:rsid w:val="004B68E4"/>
    <w:rsid w:val="004B6A8C"/>
    <w:rsid w:val="004B6B14"/>
    <w:rsid w:val="004C07BB"/>
    <w:rsid w:val="004C171E"/>
    <w:rsid w:val="004C272B"/>
    <w:rsid w:val="004C3390"/>
    <w:rsid w:val="004C3AD9"/>
    <w:rsid w:val="004C4E4F"/>
    <w:rsid w:val="004C68A0"/>
    <w:rsid w:val="004C748A"/>
    <w:rsid w:val="004D0D5A"/>
    <w:rsid w:val="004D0E10"/>
    <w:rsid w:val="004D1201"/>
    <w:rsid w:val="004D1D7C"/>
    <w:rsid w:val="004D227B"/>
    <w:rsid w:val="004D2D46"/>
    <w:rsid w:val="004D3155"/>
    <w:rsid w:val="004D3E98"/>
    <w:rsid w:val="004D5EDC"/>
    <w:rsid w:val="004D6236"/>
    <w:rsid w:val="004D6925"/>
    <w:rsid w:val="004D696F"/>
    <w:rsid w:val="004E1BB9"/>
    <w:rsid w:val="004E1E3C"/>
    <w:rsid w:val="004E47EC"/>
    <w:rsid w:val="004E4B99"/>
    <w:rsid w:val="004E510B"/>
    <w:rsid w:val="004E514F"/>
    <w:rsid w:val="004E6287"/>
    <w:rsid w:val="004E6E06"/>
    <w:rsid w:val="004E737F"/>
    <w:rsid w:val="004E7668"/>
    <w:rsid w:val="004E7873"/>
    <w:rsid w:val="004E7D5B"/>
    <w:rsid w:val="004F03DE"/>
    <w:rsid w:val="004F1622"/>
    <w:rsid w:val="004F1674"/>
    <w:rsid w:val="004F1863"/>
    <w:rsid w:val="004F22DA"/>
    <w:rsid w:val="004F2512"/>
    <w:rsid w:val="004F2B86"/>
    <w:rsid w:val="004F2FD2"/>
    <w:rsid w:val="004F332A"/>
    <w:rsid w:val="004F40B5"/>
    <w:rsid w:val="004F4187"/>
    <w:rsid w:val="004F42F6"/>
    <w:rsid w:val="004F50B8"/>
    <w:rsid w:val="004F547D"/>
    <w:rsid w:val="004F79E8"/>
    <w:rsid w:val="0050074B"/>
    <w:rsid w:val="00500E33"/>
    <w:rsid w:val="00500E5D"/>
    <w:rsid w:val="00501808"/>
    <w:rsid w:val="00502165"/>
    <w:rsid w:val="00502360"/>
    <w:rsid w:val="00502F00"/>
    <w:rsid w:val="00503BED"/>
    <w:rsid w:val="0050458B"/>
    <w:rsid w:val="00504834"/>
    <w:rsid w:val="00504C7A"/>
    <w:rsid w:val="00505AEE"/>
    <w:rsid w:val="00505FDF"/>
    <w:rsid w:val="0050632E"/>
    <w:rsid w:val="0050752D"/>
    <w:rsid w:val="00510512"/>
    <w:rsid w:val="00510733"/>
    <w:rsid w:val="0051132E"/>
    <w:rsid w:val="00511B9A"/>
    <w:rsid w:val="00511EF3"/>
    <w:rsid w:val="00512540"/>
    <w:rsid w:val="00512613"/>
    <w:rsid w:val="00513441"/>
    <w:rsid w:val="0051380C"/>
    <w:rsid w:val="00513C84"/>
    <w:rsid w:val="00514507"/>
    <w:rsid w:val="005148C2"/>
    <w:rsid w:val="005153E0"/>
    <w:rsid w:val="005153F5"/>
    <w:rsid w:val="00515715"/>
    <w:rsid w:val="0051670B"/>
    <w:rsid w:val="00520805"/>
    <w:rsid w:val="00521350"/>
    <w:rsid w:val="005218D6"/>
    <w:rsid w:val="00522216"/>
    <w:rsid w:val="00522B60"/>
    <w:rsid w:val="00522E30"/>
    <w:rsid w:val="0052317D"/>
    <w:rsid w:val="00523398"/>
    <w:rsid w:val="00523C94"/>
    <w:rsid w:val="005246E6"/>
    <w:rsid w:val="00525849"/>
    <w:rsid w:val="005269E6"/>
    <w:rsid w:val="005271CB"/>
    <w:rsid w:val="00527312"/>
    <w:rsid w:val="00530BFA"/>
    <w:rsid w:val="00530EE7"/>
    <w:rsid w:val="0053112A"/>
    <w:rsid w:val="0053115E"/>
    <w:rsid w:val="00532271"/>
    <w:rsid w:val="005337CF"/>
    <w:rsid w:val="00533AFF"/>
    <w:rsid w:val="00533DAD"/>
    <w:rsid w:val="00534488"/>
    <w:rsid w:val="0053484E"/>
    <w:rsid w:val="005351B9"/>
    <w:rsid w:val="00536011"/>
    <w:rsid w:val="00536C67"/>
    <w:rsid w:val="00536E6B"/>
    <w:rsid w:val="00537F9D"/>
    <w:rsid w:val="00540006"/>
    <w:rsid w:val="00540072"/>
    <w:rsid w:val="00540823"/>
    <w:rsid w:val="00540DBF"/>
    <w:rsid w:val="005435B7"/>
    <w:rsid w:val="00543903"/>
    <w:rsid w:val="00543C89"/>
    <w:rsid w:val="0054498C"/>
    <w:rsid w:val="00545A45"/>
    <w:rsid w:val="00545DB1"/>
    <w:rsid w:val="0054659E"/>
    <w:rsid w:val="00546890"/>
    <w:rsid w:val="00547606"/>
    <w:rsid w:val="005500C7"/>
    <w:rsid w:val="00550AF7"/>
    <w:rsid w:val="00550B79"/>
    <w:rsid w:val="0055150B"/>
    <w:rsid w:val="005519A7"/>
    <w:rsid w:val="0055315B"/>
    <w:rsid w:val="005532F9"/>
    <w:rsid w:val="00553D4D"/>
    <w:rsid w:val="005541A7"/>
    <w:rsid w:val="0055440B"/>
    <w:rsid w:val="00555742"/>
    <w:rsid w:val="00555A8E"/>
    <w:rsid w:val="00556093"/>
    <w:rsid w:val="0055708D"/>
    <w:rsid w:val="00557A3A"/>
    <w:rsid w:val="00557CE7"/>
    <w:rsid w:val="00557D45"/>
    <w:rsid w:val="00560446"/>
    <w:rsid w:val="00560BD7"/>
    <w:rsid w:val="00561C90"/>
    <w:rsid w:val="00561CA6"/>
    <w:rsid w:val="00562087"/>
    <w:rsid w:val="0056249B"/>
    <w:rsid w:val="005624BD"/>
    <w:rsid w:val="00562E45"/>
    <w:rsid w:val="00562F0D"/>
    <w:rsid w:val="0056331B"/>
    <w:rsid w:val="00563A02"/>
    <w:rsid w:val="00564265"/>
    <w:rsid w:val="00564565"/>
    <w:rsid w:val="005647BE"/>
    <w:rsid w:val="00564A12"/>
    <w:rsid w:val="00564D44"/>
    <w:rsid w:val="00565E42"/>
    <w:rsid w:val="00565FD3"/>
    <w:rsid w:val="00566299"/>
    <w:rsid w:val="00566B47"/>
    <w:rsid w:val="0057006E"/>
    <w:rsid w:val="005700A9"/>
    <w:rsid w:val="00570BE1"/>
    <w:rsid w:val="00571B4B"/>
    <w:rsid w:val="005722F6"/>
    <w:rsid w:val="005725F6"/>
    <w:rsid w:val="005748CD"/>
    <w:rsid w:val="005749CC"/>
    <w:rsid w:val="00574DB8"/>
    <w:rsid w:val="00576197"/>
    <w:rsid w:val="005770C8"/>
    <w:rsid w:val="005802AF"/>
    <w:rsid w:val="00580B7A"/>
    <w:rsid w:val="00581E5F"/>
    <w:rsid w:val="005829DD"/>
    <w:rsid w:val="00582EDE"/>
    <w:rsid w:val="00583C85"/>
    <w:rsid w:val="00585783"/>
    <w:rsid w:val="00585FDF"/>
    <w:rsid w:val="00586817"/>
    <w:rsid w:val="00586D92"/>
    <w:rsid w:val="00586FB7"/>
    <w:rsid w:val="005871CB"/>
    <w:rsid w:val="00587507"/>
    <w:rsid w:val="005878A0"/>
    <w:rsid w:val="00587939"/>
    <w:rsid w:val="005907F6"/>
    <w:rsid w:val="005910D7"/>
    <w:rsid w:val="005921BF"/>
    <w:rsid w:val="00592710"/>
    <w:rsid w:val="00593755"/>
    <w:rsid w:val="005944B1"/>
    <w:rsid w:val="0059458B"/>
    <w:rsid w:val="005951F1"/>
    <w:rsid w:val="00595D46"/>
    <w:rsid w:val="00596A0B"/>
    <w:rsid w:val="00596E05"/>
    <w:rsid w:val="00596F85"/>
    <w:rsid w:val="005970FA"/>
    <w:rsid w:val="005A0176"/>
    <w:rsid w:val="005A088E"/>
    <w:rsid w:val="005A139C"/>
    <w:rsid w:val="005A17FF"/>
    <w:rsid w:val="005A1EE8"/>
    <w:rsid w:val="005A2298"/>
    <w:rsid w:val="005A28C1"/>
    <w:rsid w:val="005A30B1"/>
    <w:rsid w:val="005A3309"/>
    <w:rsid w:val="005A6837"/>
    <w:rsid w:val="005A6E97"/>
    <w:rsid w:val="005A72FC"/>
    <w:rsid w:val="005A7CA8"/>
    <w:rsid w:val="005B0388"/>
    <w:rsid w:val="005B109A"/>
    <w:rsid w:val="005B197F"/>
    <w:rsid w:val="005B2038"/>
    <w:rsid w:val="005B28C5"/>
    <w:rsid w:val="005B3718"/>
    <w:rsid w:val="005B4076"/>
    <w:rsid w:val="005B4219"/>
    <w:rsid w:val="005B470D"/>
    <w:rsid w:val="005B48B7"/>
    <w:rsid w:val="005B5D1F"/>
    <w:rsid w:val="005B6E15"/>
    <w:rsid w:val="005B71EC"/>
    <w:rsid w:val="005C0E58"/>
    <w:rsid w:val="005C10E3"/>
    <w:rsid w:val="005C147B"/>
    <w:rsid w:val="005C25D3"/>
    <w:rsid w:val="005C2FD5"/>
    <w:rsid w:val="005C31EB"/>
    <w:rsid w:val="005C399D"/>
    <w:rsid w:val="005C3F25"/>
    <w:rsid w:val="005C3F5A"/>
    <w:rsid w:val="005C47C8"/>
    <w:rsid w:val="005C4894"/>
    <w:rsid w:val="005C4C87"/>
    <w:rsid w:val="005C4EB8"/>
    <w:rsid w:val="005C4EC6"/>
    <w:rsid w:val="005C4EFD"/>
    <w:rsid w:val="005C5378"/>
    <w:rsid w:val="005C581D"/>
    <w:rsid w:val="005C70B8"/>
    <w:rsid w:val="005C7D2F"/>
    <w:rsid w:val="005D0D57"/>
    <w:rsid w:val="005D0F13"/>
    <w:rsid w:val="005D160A"/>
    <w:rsid w:val="005D1C9C"/>
    <w:rsid w:val="005D2AB9"/>
    <w:rsid w:val="005D30B3"/>
    <w:rsid w:val="005D34E2"/>
    <w:rsid w:val="005D3978"/>
    <w:rsid w:val="005D4178"/>
    <w:rsid w:val="005D496E"/>
    <w:rsid w:val="005D4B0B"/>
    <w:rsid w:val="005D4CDC"/>
    <w:rsid w:val="005D56DA"/>
    <w:rsid w:val="005D5941"/>
    <w:rsid w:val="005D7C20"/>
    <w:rsid w:val="005E0C1B"/>
    <w:rsid w:val="005E0D41"/>
    <w:rsid w:val="005E0DCB"/>
    <w:rsid w:val="005E1200"/>
    <w:rsid w:val="005E19AF"/>
    <w:rsid w:val="005E241A"/>
    <w:rsid w:val="005E2EDE"/>
    <w:rsid w:val="005E3FBB"/>
    <w:rsid w:val="005E47FB"/>
    <w:rsid w:val="005E49A6"/>
    <w:rsid w:val="005E5108"/>
    <w:rsid w:val="005E5FF8"/>
    <w:rsid w:val="005E633D"/>
    <w:rsid w:val="005E6960"/>
    <w:rsid w:val="005E6AD2"/>
    <w:rsid w:val="005E6E51"/>
    <w:rsid w:val="005E72F6"/>
    <w:rsid w:val="005E741C"/>
    <w:rsid w:val="005E7A27"/>
    <w:rsid w:val="005E7D93"/>
    <w:rsid w:val="005E7EB8"/>
    <w:rsid w:val="005F0073"/>
    <w:rsid w:val="005F063C"/>
    <w:rsid w:val="005F184F"/>
    <w:rsid w:val="005F18D6"/>
    <w:rsid w:val="005F2BA8"/>
    <w:rsid w:val="005F3582"/>
    <w:rsid w:val="005F3FFE"/>
    <w:rsid w:val="005F4434"/>
    <w:rsid w:val="005F50DF"/>
    <w:rsid w:val="005F59F5"/>
    <w:rsid w:val="005F6946"/>
    <w:rsid w:val="005F74D2"/>
    <w:rsid w:val="00600D34"/>
    <w:rsid w:val="00601089"/>
    <w:rsid w:val="0060108A"/>
    <w:rsid w:val="00601801"/>
    <w:rsid w:val="00601DC7"/>
    <w:rsid w:val="00601EE5"/>
    <w:rsid w:val="00602C1D"/>
    <w:rsid w:val="00603024"/>
    <w:rsid w:val="006033E9"/>
    <w:rsid w:val="006041EC"/>
    <w:rsid w:val="006043C1"/>
    <w:rsid w:val="00604EB7"/>
    <w:rsid w:val="00605F3F"/>
    <w:rsid w:val="0060705B"/>
    <w:rsid w:val="00607374"/>
    <w:rsid w:val="006075A4"/>
    <w:rsid w:val="00607F85"/>
    <w:rsid w:val="006102C2"/>
    <w:rsid w:val="006106BA"/>
    <w:rsid w:val="0061079B"/>
    <w:rsid w:val="00611041"/>
    <w:rsid w:val="006110D4"/>
    <w:rsid w:val="00611196"/>
    <w:rsid w:val="0061139F"/>
    <w:rsid w:val="006116E3"/>
    <w:rsid w:val="00611AFF"/>
    <w:rsid w:val="00611F66"/>
    <w:rsid w:val="00613678"/>
    <w:rsid w:val="006137D4"/>
    <w:rsid w:val="0061394C"/>
    <w:rsid w:val="00613A81"/>
    <w:rsid w:val="00614C2C"/>
    <w:rsid w:val="00614E10"/>
    <w:rsid w:val="00615369"/>
    <w:rsid w:val="00615375"/>
    <w:rsid w:val="00615A26"/>
    <w:rsid w:val="00615EF4"/>
    <w:rsid w:val="00616FF1"/>
    <w:rsid w:val="00617B95"/>
    <w:rsid w:val="00620B76"/>
    <w:rsid w:val="00622A43"/>
    <w:rsid w:val="006235D0"/>
    <w:rsid w:val="006235E8"/>
    <w:rsid w:val="00623946"/>
    <w:rsid w:val="0062402E"/>
    <w:rsid w:val="00624400"/>
    <w:rsid w:val="006249A9"/>
    <w:rsid w:val="00624E51"/>
    <w:rsid w:val="006259B3"/>
    <w:rsid w:val="00625ACD"/>
    <w:rsid w:val="00626162"/>
    <w:rsid w:val="00627A9E"/>
    <w:rsid w:val="00630927"/>
    <w:rsid w:val="00630C2A"/>
    <w:rsid w:val="00631D5D"/>
    <w:rsid w:val="00631FEE"/>
    <w:rsid w:val="00632B2C"/>
    <w:rsid w:val="006343F9"/>
    <w:rsid w:val="00634719"/>
    <w:rsid w:val="00635923"/>
    <w:rsid w:val="00635AF6"/>
    <w:rsid w:val="00635B87"/>
    <w:rsid w:val="00635CBD"/>
    <w:rsid w:val="00635CEA"/>
    <w:rsid w:val="00636B09"/>
    <w:rsid w:val="00636CA9"/>
    <w:rsid w:val="00640C34"/>
    <w:rsid w:val="0064106B"/>
    <w:rsid w:val="0064134E"/>
    <w:rsid w:val="0064199A"/>
    <w:rsid w:val="006428A5"/>
    <w:rsid w:val="00644358"/>
    <w:rsid w:val="006448B1"/>
    <w:rsid w:val="00644F4B"/>
    <w:rsid w:val="0064586F"/>
    <w:rsid w:val="00646D66"/>
    <w:rsid w:val="00647E2D"/>
    <w:rsid w:val="006502D3"/>
    <w:rsid w:val="006503E8"/>
    <w:rsid w:val="00650570"/>
    <w:rsid w:val="00652143"/>
    <w:rsid w:val="00652747"/>
    <w:rsid w:val="00653A6C"/>
    <w:rsid w:val="00653CF0"/>
    <w:rsid w:val="00654A4A"/>
    <w:rsid w:val="006551C0"/>
    <w:rsid w:val="0065545A"/>
    <w:rsid w:val="00655939"/>
    <w:rsid w:val="00657FD0"/>
    <w:rsid w:val="00660781"/>
    <w:rsid w:val="00660B4B"/>
    <w:rsid w:val="006617B9"/>
    <w:rsid w:val="00661CE1"/>
    <w:rsid w:val="006625E6"/>
    <w:rsid w:val="00662A6B"/>
    <w:rsid w:val="0066379F"/>
    <w:rsid w:val="00663B46"/>
    <w:rsid w:val="00664296"/>
    <w:rsid w:val="0066434B"/>
    <w:rsid w:val="00664A6C"/>
    <w:rsid w:val="00664DAC"/>
    <w:rsid w:val="00664EB0"/>
    <w:rsid w:val="00666184"/>
    <w:rsid w:val="006661CF"/>
    <w:rsid w:val="006661D5"/>
    <w:rsid w:val="006668F8"/>
    <w:rsid w:val="00667FDE"/>
    <w:rsid w:val="00667FE2"/>
    <w:rsid w:val="006709A5"/>
    <w:rsid w:val="00670BFD"/>
    <w:rsid w:val="00670D82"/>
    <w:rsid w:val="00670DC6"/>
    <w:rsid w:val="00671E4C"/>
    <w:rsid w:val="0067299B"/>
    <w:rsid w:val="00673932"/>
    <w:rsid w:val="00674295"/>
    <w:rsid w:val="006743AB"/>
    <w:rsid w:val="00674D90"/>
    <w:rsid w:val="006758E2"/>
    <w:rsid w:val="00676246"/>
    <w:rsid w:val="00676845"/>
    <w:rsid w:val="006770DB"/>
    <w:rsid w:val="00677119"/>
    <w:rsid w:val="00677350"/>
    <w:rsid w:val="00677BDD"/>
    <w:rsid w:val="00680771"/>
    <w:rsid w:val="006807B0"/>
    <w:rsid w:val="00680979"/>
    <w:rsid w:val="0068139E"/>
    <w:rsid w:val="006818A8"/>
    <w:rsid w:val="00681A51"/>
    <w:rsid w:val="00682161"/>
    <w:rsid w:val="00682424"/>
    <w:rsid w:val="0068243C"/>
    <w:rsid w:val="00682469"/>
    <w:rsid w:val="0068337B"/>
    <w:rsid w:val="00683BF7"/>
    <w:rsid w:val="00683D97"/>
    <w:rsid w:val="006846CF"/>
    <w:rsid w:val="00684FCA"/>
    <w:rsid w:val="00685E4A"/>
    <w:rsid w:val="00686B5C"/>
    <w:rsid w:val="00686F01"/>
    <w:rsid w:val="0068752B"/>
    <w:rsid w:val="00687A93"/>
    <w:rsid w:val="006904C1"/>
    <w:rsid w:val="006919C9"/>
    <w:rsid w:val="00691E2F"/>
    <w:rsid w:val="006920C6"/>
    <w:rsid w:val="006920F1"/>
    <w:rsid w:val="00692850"/>
    <w:rsid w:val="0069347D"/>
    <w:rsid w:val="0069398E"/>
    <w:rsid w:val="0069418C"/>
    <w:rsid w:val="00694B7B"/>
    <w:rsid w:val="00694FE9"/>
    <w:rsid w:val="0069550F"/>
    <w:rsid w:val="006959C3"/>
    <w:rsid w:val="00695BB3"/>
    <w:rsid w:val="0069674A"/>
    <w:rsid w:val="00696997"/>
    <w:rsid w:val="00696AD1"/>
    <w:rsid w:val="00697E83"/>
    <w:rsid w:val="006A02D6"/>
    <w:rsid w:val="006A11BA"/>
    <w:rsid w:val="006A1FE8"/>
    <w:rsid w:val="006A22B6"/>
    <w:rsid w:val="006A37FF"/>
    <w:rsid w:val="006A3CDD"/>
    <w:rsid w:val="006A4295"/>
    <w:rsid w:val="006A43BC"/>
    <w:rsid w:val="006A6375"/>
    <w:rsid w:val="006A684C"/>
    <w:rsid w:val="006A6D0E"/>
    <w:rsid w:val="006A758C"/>
    <w:rsid w:val="006B1D18"/>
    <w:rsid w:val="006B2458"/>
    <w:rsid w:val="006B2718"/>
    <w:rsid w:val="006B29F3"/>
    <w:rsid w:val="006B38CD"/>
    <w:rsid w:val="006B4493"/>
    <w:rsid w:val="006B5355"/>
    <w:rsid w:val="006B72FB"/>
    <w:rsid w:val="006C0563"/>
    <w:rsid w:val="006C0744"/>
    <w:rsid w:val="006C0F46"/>
    <w:rsid w:val="006C1271"/>
    <w:rsid w:val="006C1EE9"/>
    <w:rsid w:val="006C1EEC"/>
    <w:rsid w:val="006C2A15"/>
    <w:rsid w:val="006C352C"/>
    <w:rsid w:val="006C3AA0"/>
    <w:rsid w:val="006C3FEA"/>
    <w:rsid w:val="006C4045"/>
    <w:rsid w:val="006C6025"/>
    <w:rsid w:val="006C65E9"/>
    <w:rsid w:val="006C69E7"/>
    <w:rsid w:val="006D10AE"/>
    <w:rsid w:val="006D1E54"/>
    <w:rsid w:val="006D1F77"/>
    <w:rsid w:val="006D24DC"/>
    <w:rsid w:val="006D29F2"/>
    <w:rsid w:val="006D2DD9"/>
    <w:rsid w:val="006D3AFE"/>
    <w:rsid w:val="006D3BCA"/>
    <w:rsid w:val="006D4115"/>
    <w:rsid w:val="006D4CAB"/>
    <w:rsid w:val="006D5E88"/>
    <w:rsid w:val="006D6995"/>
    <w:rsid w:val="006D6F85"/>
    <w:rsid w:val="006D71F9"/>
    <w:rsid w:val="006D7CA2"/>
    <w:rsid w:val="006E025F"/>
    <w:rsid w:val="006E065B"/>
    <w:rsid w:val="006E09D3"/>
    <w:rsid w:val="006E1692"/>
    <w:rsid w:val="006E1E6C"/>
    <w:rsid w:val="006E1F8E"/>
    <w:rsid w:val="006E20CB"/>
    <w:rsid w:val="006E222F"/>
    <w:rsid w:val="006E2A4B"/>
    <w:rsid w:val="006E3B95"/>
    <w:rsid w:val="006E4236"/>
    <w:rsid w:val="006E4E5F"/>
    <w:rsid w:val="006E5505"/>
    <w:rsid w:val="006E55CC"/>
    <w:rsid w:val="006E6393"/>
    <w:rsid w:val="006E6BBE"/>
    <w:rsid w:val="006E71BB"/>
    <w:rsid w:val="006E73C1"/>
    <w:rsid w:val="006E7C30"/>
    <w:rsid w:val="006F0815"/>
    <w:rsid w:val="006F0D0A"/>
    <w:rsid w:val="006F0FE0"/>
    <w:rsid w:val="006F1206"/>
    <w:rsid w:val="006F136D"/>
    <w:rsid w:val="006F226D"/>
    <w:rsid w:val="006F240A"/>
    <w:rsid w:val="006F2940"/>
    <w:rsid w:val="006F2A5B"/>
    <w:rsid w:val="006F2D27"/>
    <w:rsid w:val="006F2FB3"/>
    <w:rsid w:val="006F3D23"/>
    <w:rsid w:val="006F4104"/>
    <w:rsid w:val="006F4E35"/>
    <w:rsid w:val="006F531B"/>
    <w:rsid w:val="006F56B6"/>
    <w:rsid w:val="006F590E"/>
    <w:rsid w:val="006F5911"/>
    <w:rsid w:val="006F5979"/>
    <w:rsid w:val="006F62BC"/>
    <w:rsid w:val="006F70BD"/>
    <w:rsid w:val="006F7D0F"/>
    <w:rsid w:val="006F7D59"/>
    <w:rsid w:val="0070023A"/>
    <w:rsid w:val="007004C3"/>
    <w:rsid w:val="00700D5A"/>
    <w:rsid w:val="00701C0F"/>
    <w:rsid w:val="00702406"/>
    <w:rsid w:val="00702493"/>
    <w:rsid w:val="00702B3D"/>
    <w:rsid w:val="00702D7F"/>
    <w:rsid w:val="00703006"/>
    <w:rsid w:val="007034D1"/>
    <w:rsid w:val="00704C1A"/>
    <w:rsid w:val="00704D22"/>
    <w:rsid w:val="00705940"/>
    <w:rsid w:val="00705EDC"/>
    <w:rsid w:val="00705F95"/>
    <w:rsid w:val="00706A77"/>
    <w:rsid w:val="0071035D"/>
    <w:rsid w:val="007109EA"/>
    <w:rsid w:val="007122F9"/>
    <w:rsid w:val="0071339B"/>
    <w:rsid w:val="00714652"/>
    <w:rsid w:val="00714A8A"/>
    <w:rsid w:val="00714E5E"/>
    <w:rsid w:val="00714F3B"/>
    <w:rsid w:val="007151E8"/>
    <w:rsid w:val="00715583"/>
    <w:rsid w:val="007166F7"/>
    <w:rsid w:val="00716A1A"/>
    <w:rsid w:val="00716AEF"/>
    <w:rsid w:val="00716B51"/>
    <w:rsid w:val="00716C74"/>
    <w:rsid w:val="0071706C"/>
    <w:rsid w:val="00717076"/>
    <w:rsid w:val="0071716F"/>
    <w:rsid w:val="00717296"/>
    <w:rsid w:val="007172CB"/>
    <w:rsid w:val="0071738F"/>
    <w:rsid w:val="0072081F"/>
    <w:rsid w:val="00721591"/>
    <w:rsid w:val="00722E4E"/>
    <w:rsid w:val="00723C57"/>
    <w:rsid w:val="00724500"/>
    <w:rsid w:val="007253B2"/>
    <w:rsid w:val="007253FF"/>
    <w:rsid w:val="00725436"/>
    <w:rsid w:val="00727370"/>
    <w:rsid w:val="00727546"/>
    <w:rsid w:val="007277B6"/>
    <w:rsid w:val="00727A5F"/>
    <w:rsid w:val="007320A9"/>
    <w:rsid w:val="007326A9"/>
    <w:rsid w:val="00732A29"/>
    <w:rsid w:val="00732A8C"/>
    <w:rsid w:val="007339F8"/>
    <w:rsid w:val="00733C74"/>
    <w:rsid w:val="0073449F"/>
    <w:rsid w:val="007358C1"/>
    <w:rsid w:val="00735D9E"/>
    <w:rsid w:val="00735DC0"/>
    <w:rsid w:val="007365C3"/>
    <w:rsid w:val="00736F1D"/>
    <w:rsid w:val="007374D3"/>
    <w:rsid w:val="00737E9E"/>
    <w:rsid w:val="00740561"/>
    <w:rsid w:val="007405C2"/>
    <w:rsid w:val="00740950"/>
    <w:rsid w:val="0074109C"/>
    <w:rsid w:val="00742335"/>
    <w:rsid w:val="00742842"/>
    <w:rsid w:val="0074492D"/>
    <w:rsid w:val="00744E80"/>
    <w:rsid w:val="00745E99"/>
    <w:rsid w:val="0074620D"/>
    <w:rsid w:val="007475E3"/>
    <w:rsid w:val="0074767D"/>
    <w:rsid w:val="00747C6E"/>
    <w:rsid w:val="00750185"/>
    <w:rsid w:val="007516A1"/>
    <w:rsid w:val="0075176F"/>
    <w:rsid w:val="00752C37"/>
    <w:rsid w:val="00752EAF"/>
    <w:rsid w:val="00753376"/>
    <w:rsid w:val="0075346B"/>
    <w:rsid w:val="00753909"/>
    <w:rsid w:val="007543B0"/>
    <w:rsid w:val="0075440E"/>
    <w:rsid w:val="007568A9"/>
    <w:rsid w:val="00756B18"/>
    <w:rsid w:val="00756BE8"/>
    <w:rsid w:val="00756DEC"/>
    <w:rsid w:val="007575DF"/>
    <w:rsid w:val="00757BC5"/>
    <w:rsid w:val="00761514"/>
    <w:rsid w:val="00761B64"/>
    <w:rsid w:val="0076267A"/>
    <w:rsid w:val="00763881"/>
    <w:rsid w:val="00763C22"/>
    <w:rsid w:val="00763CE7"/>
    <w:rsid w:val="00764A39"/>
    <w:rsid w:val="0076670E"/>
    <w:rsid w:val="00766CCF"/>
    <w:rsid w:val="00767793"/>
    <w:rsid w:val="00767AC9"/>
    <w:rsid w:val="00767FC8"/>
    <w:rsid w:val="00770127"/>
    <w:rsid w:val="0077063F"/>
    <w:rsid w:val="00771830"/>
    <w:rsid w:val="00772177"/>
    <w:rsid w:val="0077265F"/>
    <w:rsid w:val="00772B2C"/>
    <w:rsid w:val="00772B76"/>
    <w:rsid w:val="0077350B"/>
    <w:rsid w:val="00774456"/>
    <w:rsid w:val="007744F3"/>
    <w:rsid w:val="00774D84"/>
    <w:rsid w:val="007753D0"/>
    <w:rsid w:val="0077576E"/>
    <w:rsid w:val="00775C65"/>
    <w:rsid w:val="0077639A"/>
    <w:rsid w:val="0077711B"/>
    <w:rsid w:val="0077766C"/>
    <w:rsid w:val="007800AF"/>
    <w:rsid w:val="00780F14"/>
    <w:rsid w:val="00780FB3"/>
    <w:rsid w:val="0078100C"/>
    <w:rsid w:val="007810B8"/>
    <w:rsid w:val="007812AB"/>
    <w:rsid w:val="0078157F"/>
    <w:rsid w:val="0078180D"/>
    <w:rsid w:val="0078185E"/>
    <w:rsid w:val="00782799"/>
    <w:rsid w:val="007829D8"/>
    <w:rsid w:val="007832BD"/>
    <w:rsid w:val="00783BC1"/>
    <w:rsid w:val="00783C92"/>
    <w:rsid w:val="00783D3B"/>
    <w:rsid w:val="00784DB5"/>
    <w:rsid w:val="00784FFE"/>
    <w:rsid w:val="00785D17"/>
    <w:rsid w:val="00786F48"/>
    <w:rsid w:val="00786FB0"/>
    <w:rsid w:val="0078772C"/>
    <w:rsid w:val="00787866"/>
    <w:rsid w:val="007878E4"/>
    <w:rsid w:val="007901F4"/>
    <w:rsid w:val="00790772"/>
    <w:rsid w:val="0079090E"/>
    <w:rsid w:val="00791E3F"/>
    <w:rsid w:val="00792289"/>
    <w:rsid w:val="0079267C"/>
    <w:rsid w:val="007927E5"/>
    <w:rsid w:val="0079419B"/>
    <w:rsid w:val="007946EF"/>
    <w:rsid w:val="007963BD"/>
    <w:rsid w:val="007A0505"/>
    <w:rsid w:val="007A1190"/>
    <w:rsid w:val="007A1D1F"/>
    <w:rsid w:val="007A250B"/>
    <w:rsid w:val="007A2779"/>
    <w:rsid w:val="007A27DE"/>
    <w:rsid w:val="007A4783"/>
    <w:rsid w:val="007A4DF6"/>
    <w:rsid w:val="007A5191"/>
    <w:rsid w:val="007A647F"/>
    <w:rsid w:val="007A6ED6"/>
    <w:rsid w:val="007A7849"/>
    <w:rsid w:val="007A7F09"/>
    <w:rsid w:val="007B0500"/>
    <w:rsid w:val="007B111B"/>
    <w:rsid w:val="007B1441"/>
    <w:rsid w:val="007B23D9"/>
    <w:rsid w:val="007B25E8"/>
    <w:rsid w:val="007B25FE"/>
    <w:rsid w:val="007B374F"/>
    <w:rsid w:val="007B3AE8"/>
    <w:rsid w:val="007B4418"/>
    <w:rsid w:val="007B5DAC"/>
    <w:rsid w:val="007B5F62"/>
    <w:rsid w:val="007B625E"/>
    <w:rsid w:val="007B6540"/>
    <w:rsid w:val="007B66B3"/>
    <w:rsid w:val="007B7077"/>
    <w:rsid w:val="007B72C3"/>
    <w:rsid w:val="007B73FD"/>
    <w:rsid w:val="007B7955"/>
    <w:rsid w:val="007C1042"/>
    <w:rsid w:val="007C20B1"/>
    <w:rsid w:val="007C3003"/>
    <w:rsid w:val="007C3FA2"/>
    <w:rsid w:val="007C44C2"/>
    <w:rsid w:val="007C4F87"/>
    <w:rsid w:val="007C5403"/>
    <w:rsid w:val="007C5923"/>
    <w:rsid w:val="007C5EDB"/>
    <w:rsid w:val="007C6562"/>
    <w:rsid w:val="007C6B60"/>
    <w:rsid w:val="007C6F85"/>
    <w:rsid w:val="007C74F4"/>
    <w:rsid w:val="007C7B99"/>
    <w:rsid w:val="007C7D88"/>
    <w:rsid w:val="007D0C12"/>
    <w:rsid w:val="007D11DB"/>
    <w:rsid w:val="007D16CC"/>
    <w:rsid w:val="007D23B3"/>
    <w:rsid w:val="007D3AA0"/>
    <w:rsid w:val="007D3B71"/>
    <w:rsid w:val="007D3FE2"/>
    <w:rsid w:val="007D4359"/>
    <w:rsid w:val="007D48B3"/>
    <w:rsid w:val="007D4EC2"/>
    <w:rsid w:val="007D5690"/>
    <w:rsid w:val="007D69FA"/>
    <w:rsid w:val="007D6B25"/>
    <w:rsid w:val="007D7559"/>
    <w:rsid w:val="007D75E9"/>
    <w:rsid w:val="007D7CC9"/>
    <w:rsid w:val="007E0441"/>
    <w:rsid w:val="007E1600"/>
    <w:rsid w:val="007E2015"/>
    <w:rsid w:val="007E2024"/>
    <w:rsid w:val="007E2AAF"/>
    <w:rsid w:val="007E4641"/>
    <w:rsid w:val="007E76A1"/>
    <w:rsid w:val="007E7C55"/>
    <w:rsid w:val="007F02C3"/>
    <w:rsid w:val="007F03E8"/>
    <w:rsid w:val="007F0CE1"/>
    <w:rsid w:val="007F18BF"/>
    <w:rsid w:val="007F1ABA"/>
    <w:rsid w:val="007F2A03"/>
    <w:rsid w:val="007F3616"/>
    <w:rsid w:val="007F3AD2"/>
    <w:rsid w:val="007F3E50"/>
    <w:rsid w:val="007F40C4"/>
    <w:rsid w:val="007F4245"/>
    <w:rsid w:val="007F42D9"/>
    <w:rsid w:val="007F4847"/>
    <w:rsid w:val="007F4D92"/>
    <w:rsid w:val="007F77B2"/>
    <w:rsid w:val="007F7883"/>
    <w:rsid w:val="007F7A77"/>
    <w:rsid w:val="00800073"/>
    <w:rsid w:val="008001AC"/>
    <w:rsid w:val="00800499"/>
    <w:rsid w:val="00800851"/>
    <w:rsid w:val="00800B51"/>
    <w:rsid w:val="00800C4D"/>
    <w:rsid w:val="00801697"/>
    <w:rsid w:val="008018AC"/>
    <w:rsid w:val="0080279C"/>
    <w:rsid w:val="008029DB"/>
    <w:rsid w:val="00802CA3"/>
    <w:rsid w:val="00803301"/>
    <w:rsid w:val="008039D6"/>
    <w:rsid w:val="008063F9"/>
    <w:rsid w:val="008072D7"/>
    <w:rsid w:val="008073C1"/>
    <w:rsid w:val="00810603"/>
    <w:rsid w:val="00811145"/>
    <w:rsid w:val="00811263"/>
    <w:rsid w:val="008116A4"/>
    <w:rsid w:val="00812993"/>
    <w:rsid w:val="00812B83"/>
    <w:rsid w:val="00812C2D"/>
    <w:rsid w:val="00813663"/>
    <w:rsid w:val="00813813"/>
    <w:rsid w:val="0081390D"/>
    <w:rsid w:val="00813C03"/>
    <w:rsid w:val="00813CF4"/>
    <w:rsid w:val="00814283"/>
    <w:rsid w:val="00816C67"/>
    <w:rsid w:val="00816DEB"/>
    <w:rsid w:val="00820209"/>
    <w:rsid w:val="00820442"/>
    <w:rsid w:val="00820DCB"/>
    <w:rsid w:val="00820F35"/>
    <w:rsid w:val="00820FEC"/>
    <w:rsid w:val="0082393D"/>
    <w:rsid w:val="008239D1"/>
    <w:rsid w:val="00823DE0"/>
    <w:rsid w:val="00824359"/>
    <w:rsid w:val="008245BC"/>
    <w:rsid w:val="00824BD1"/>
    <w:rsid w:val="00824BFC"/>
    <w:rsid w:val="00824EEB"/>
    <w:rsid w:val="00824FAC"/>
    <w:rsid w:val="00825ADC"/>
    <w:rsid w:val="008263B1"/>
    <w:rsid w:val="00827235"/>
    <w:rsid w:val="00827BAF"/>
    <w:rsid w:val="008305F0"/>
    <w:rsid w:val="00830821"/>
    <w:rsid w:val="00832177"/>
    <w:rsid w:val="00832B39"/>
    <w:rsid w:val="0083324D"/>
    <w:rsid w:val="0083416B"/>
    <w:rsid w:val="008344D9"/>
    <w:rsid w:val="00834AD4"/>
    <w:rsid w:val="008350A0"/>
    <w:rsid w:val="00835BE1"/>
    <w:rsid w:val="00840600"/>
    <w:rsid w:val="00841733"/>
    <w:rsid w:val="00842484"/>
    <w:rsid w:val="008425AD"/>
    <w:rsid w:val="008426E5"/>
    <w:rsid w:val="00843447"/>
    <w:rsid w:val="00844D38"/>
    <w:rsid w:val="00844D85"/>
    <w:rsid w:val="008455DF"/>
    <w:rsid w:val="0084563E"/>
    <w:rsid w:val="00845FA0"/>
    <w:rsid w:val="008463B2"/>
    <w:rsid w:val="00846FCB"/>
    <w:rsid w:val="00847D86"/>
    <w:rsid w:val="0085048D"/>
    <w:rsid w:val="00850C55"/>
    <w:rsid w:val="00850E71"/>
    <w:rsid w:val="00851B6E"/>
    <w:rsid w:val="008524BE"/>
    <w:rsid w:val="0085269A"/>
    <w:rsid w:val="00852C33"/>
    <w:rsid w:val="0085306F"/>
    <w:rsid w:val="00853243"/>
    <w:rsid w:val="00853A8F"/>
    <w:rsid w:val="00853BC2"/>
    <w:rsid w:val="00853C7E"/>
    <w:rsid w:val="00854278"/>
    <w:rsid w:val="00855BB2"/>
    <w:rsid w:val="00855E3A"/>
    <w:rsid w:val="00855F77"/>
    <w:rsid w:val="0085605E"/>
    <w:rsid w:val="00856063"/>
    <w:rsid w:val="008566B2"/>
    <w:rsid w:val="00857172"/>
    <w:rsid w:val="0085794D"/>
    <w:rsid w:val="00860DE4"/>
    <w:rsid w:val="0086236A"/>
    <w:rsid w:val="00862D2B"/>
    <w:rsid w:val="00864345"/>
    <w:rsid w:val="00865311"/>
    <w:rsid w:val="0086569A"/>
    <w:rsid w:val="0086581C"/>
    <w:rsid w:val="00867A36"/>
    <w:rsid w:val="00867C3F"/>
    <w:rsid w:val="00867CA4"/>
    <w:rsid w:val="00870002"/>
    <w:rsid w:val="008702A8"/>
    <w:rsid w:val="0087035A"/>
    <w:rsid w:val="00870FD4"/>
    <w:rsid w:val="00872B3E"/>
    <w:rsid w:val="0087347D"/>
    <w:rsid w:val="00873A31"/>
    <w:rsid w:val="00873C21"/>
    <w:rsid w:val="00873CA1"/>
    <w:rsid w:val="00873D59"/>
    <w:rsid w:val="0087456C"/>
    <w:rsid w:val="00874C90"/>
    <w:rsid w:val="008752EE"/>
    <w:rsid w:val="00876F90"/>
    <w:rsid w:val="00877B0B"/>
    <w:rsid w:val="00880121"/>
    <w:rsid w:val="00880C6F"/>
    <w:rsid w:val="00881F55"/>
    <w:rsid w:val="008827DC"/>
    <w:rsid w:val="00882DAD"/>
    <w:rsid w:val="008843F5"/>
    <w:rsid w:val="00884F32"/>
    <w:rsid w:val="00885263"/>
    <w:rsid w:val="00885571"/>
    <w:rsid w:val="00885A09"/>
    <w:rsid w:val="00885CDC"/>
    <w:rsid w:val="008865BB"/>
    <w:rsid w:val="008868A8"/>
    <w:rsid w:val="00886EAF"/>
    <w:rsid w:val="0088743C"/>
    <w:rsid w:val="00887EE1"/>
    <w:rsid w:val="008902F2"/>
    <w:rsid w:val="00890D93"/>
    <w:rsid w:val="00892DA5"/>
    <w:rsid w:val="00892FA4"/>
    <w:rsid w:val="00893051"/>
    <w:rsid w:val="00893AAE"/>
    <w:rsid w:val="00893C31"/>
    <w:rsid w:val="0089457E"/>
    <w:rsid w:val="0089488A"/>
    <w:rsid w:val="008949B1"/>
    <w:rsid w:val="00895ADC"/>
    <w:rsid w:val="00895C03"/>
    <w:rsid w:val="00895D15"/>
    <w:rsid w:val="00896DA2"/>
    <w:rsid w:val="00896E2B"/>
    <w:rsid w:val="0089713E"/>
    <w:rsid w:val="008972AA"/>
    <w:rsid w:val="0089762D"/>
    <w:rsid w:val="008979BC"/>
    <w:rsid w:val="00897F96"/>
    <w:rsid w:val="008A039E"/>
    <w:rsid w:val="008A10F3"/>
    <w:rsid w:val="008A1873"/>
    <w:rsid w:val="008A1977"/>
    <w:rsid w:val="008A28FA"/>
    <w:rsid w:val="008A306A"/>
    <w:rsid w:val="008A4460"/>
    <w:rsid w:val="008A4D60"/>
    <w:rsid w:val="008A5076"/>
    <w:rsid w:val="008A53EE"/>
    <w:rsid w:val="008A58FC"/>
    <w:rsid w:val="008A5C0F"/>
    <w:rsid w:val="008A67B2"/>
    <w:rsid w:val="008A6A4C"/>
    <w:rsid w:val="008A714C"/>
    <w:rsid w:val="008A7BE9"/>
    <w:rsid w:val="008B012A"/>
    <w:rsid w:val="008B0174"/>
    <w:rsid w:val="008B1588"/>
    <w:rsid w:val="008B1596"/>
    <w:rsid w:val="008B171F"/>
    <w:rsid w:val="008B1B37"/>
    <w:rsid w:val="008B1EB6"/>
    <w:rsid w:val="008B4062"/>
    <w:rsid w:val="008B5977"/>
    <w:rsid w:val="008B6D30"/>
    <w:rsid w:val="008B6EF1"/>
    <w:rsid w:val="008B7266"/>
    <w:rsid w:val="008B7A39"/>
    <w:rsid w:val="008B7A43"/>
    <w:rsid w:val="008B7C3A"/>
    <w:rsid w:val="008C01F3"/>
    <w:rsid w:val="008C02BD"/>
    <w:rsid w:val="008C038D"/>
    <w:rsid w:val="008C09C4"/>
    <w:rsid w:val="008C1598"/>
    <w:rsid w:val="008C1F44"/>
    <w:rsid w:val="008C2D3B"/>
    <w:rsid w:val="008C2F45"/>
    <w:rsid w:val="008C42A1"/>
    <w:rsid w:val="008C5691"/>
    <w:rsid w:val="008C5951"/>
    <w:rsid w:val="008C61AD"/>
    <w:rsid w:val="008C646F"/>
    <w:rsid w:val="008C711A"/>
    <w:rsid w:val="008D025E"/>
    <w:rsid w:val="008D14D2"/>
    <w:rsid w:val="008D2AC2"/>
    <w:rsid w:val="008D3E66"/>
    <w:rsid w:val="008D48FF"/>
    <w:rsid w:val="008D4C0A"/>
    <w:rsid w:val="008D4C34"/>
    <w:rsid w:val="008D4EEB"/>
    <w:rsid w:val="008D501C"/>
    <w:rsid w:val="008D50EA"/>
    <w:rsid w:val="008D61A7"/>
    <w:rsid w:val="008D6E64"/>
    <w:rsid w:val="008D70DC"/>
    <w:rsid w:val="008D7567"/>
    <w:rsid w:val="008E0007"/>
    <w:rsid w:val="008E0374"/>
    <w:rsid w:val="008E0B1A"/>
    <w:rsid w:val="008E1426"/>
    <w:rsid w:val="008E16B0"/>
    <w:rsid w:val="008E1AA7"/>
    <w:rsid w:val="008E2808"/>
    <w:rsid w:val="008E3E4B"/>
    <w:rsid w:val="008E43A6"/>
    <w:rsid w:val="008E4923"/>
    <w:rsid w:val="008E4B34"/>
    <w:rsid w:val="008E4EF9"/>
    <w:rsid w:val="008E53F7"/>
    <w:rsid w:val="008E61EB"/>
    <w:rsid w:val="008E62F5"/>
    <w:rsid w:val="008E6DFC"/>
    <w:rsid w:val="008E7710"/>
    <w:rsid w:val="008F09B2"/>
    <w:rsid w:val="008F1CCF"/>
    <w:rsid w:val="008F2795"/>
    <w:rsid w:val="008F293E"/>
    <w:rsid w:val="008F4212"/>
    <w:rsid w:val="008F43AC"/>
    <w:rsid w:val="008F485A"/>
    <w:rsid w:val="008F6B4A"/>
    <w:rsid w:val="008F73B2"/>
    <w:rsid w:val="008F7585"/>
    <w:rsid w:val="008F7A79"/>
    <w:rsid w:val="008F7DB1"/>
    <w:rsid w:val="00900D4D"/>
    <w:rsid w:val="009012FC"/>
    <w:rsid w:val="00901C03"/>
    <w:rsid w:val="00901D76"/>
    <w:rsid w:val="009026A0"/>
    <w:rsid w:val="009027D5"/>
    <w:rsid w:val="00902D59"/>
    <w:rsid w:val="0090380F"/>
    <w:rsid w:val="00903F34"/>
    <w:rsid w:val="009056DA"/>
    <w:rsid w:val="00905C0A"/>
    <w:rsid w:val="00905E05"/>
    <w:rsid w:val="00906028"/>
    <w:rsid w:val="00906B32"/>
    <w:rsid w:val="00907779"/>
    <w:rsid w:val="00910987"/>
    <w:rsid w:val="009122F8"/>
    <w:rsid w:val="009124CB"/>
    <w:rsid w:val="00912568"/>
    <w:rsid w:val="00912915"/>
    <w:rsid w:val="00913483"/>
    <w:rsid w:val="00913870"/>
    <w:rsid w:val="00913A0B"/>
    <w:rsid w:val="00913D94"/>
    <w:rsid w:val="00914538"/>
    <w:rsid w:val="00914D03"/>
    <w:rsid w:val="009154B5"/>
    <w:rsid w:val="00915520"/>
    <w:rsid w:val="009155DC"/>
    <w:rsid w:val="009155F7"/>
    <w:rsid w:val="00916C5D"/>
    <w:rsid w:val="00916EAB"/>
    <w:rsid w:val="00917477"/>
    <w:rsid w:val="00917686"/>
    <w:rsid w:val="00917AA0"/>
    <w:rsid w:val="00920240"/>
    <w:rsid w:val="0092075A"/>
    <w:rsid w:val="00921131"/>
    <w:rsid w:val="00921F5A"/>
    <w:rsid w:val="009221C1"/>
    <w:rsid w:val="009227DA"/>
    <w:rsid w:val="0092292D"/>
    <w:rsid w:val="00922CFE"/>
    <w:rsid w:val="00923360"/>
    <w:rsid w:val="00923471"/>
    <w:rsid w:val="009238F7"/>
    <w:rsid w:val="00923BA8"/>
    <w:rsid w:val="00923C63"/>
    <w:rsid w:val="00924605"/>
    <w:rsid w:val="009247F5"/>
    <w:rsid w:val="00924966"/>
    <w:rsid w:val="009253AC"/>
    <w:rsid w:val="00925717"/>
    <w:rsid w:val="00926A93"/>
    <w:rsid w:val="00926AB2"/>
    <w:rsid w:val="00926FBD"/>
    <w:rsid w:val="00927024"/>
    <w:rsid w:val="009270DD"/>
    <w:rsid w:val="00927C5C"/>
    <w:rsid w:val="00927CAA"/>
    <w:rsid w:val="00927CEF"/>
    <w:rsid w:val="00930F74"/>
    <w:rsid w:val="0093179E"/>
    <w:rsid w:val="00932552"/>
    <w:rsid w:val="0093269A"/>
    <w:rsid w:val="00932B80"/>
    <w:rsid w:val="009333D5"/>
    <w:rsid w:val="00933955"/>
    <w:rsid w:val="00933BF5"/>
    <w:rsid w:val="0093409F"/>
    <w:rsid w:val="009356BA"/>
    <w:rsid w:val="0093591E"/>
    <w:rsid w:val="009373D3"/>
    <w:rsid w:val="009407FE"/>
    <w:rsid w:val="0094183C"/>
    <w:rsid w:val="00941E3E"/>
    <w:rsid w:val="0094235C"/>
    <w:rsid w:val="00942436"/>
    <w:rsid w:val="00943263"/>
    <w:rsid w:val="00944297"/>
    <w:rsid w:val="00944D67"/>
    <w:rsid w:val="00946557"/>
    <w:rsid w:val="00946CD6"/>
    <w:rsid w:val="009479D1"/>
    <w:rsid w:val="00947B95"/>
    <w:rsid w:val="009501C6"/>
    <w:rsid w:val="00950871"/>
    <w:rsid w:val="00951719"/>
    <w:rsid w:val="009518E1"/>
    <w:rsid w:val="00951D2E"/>
    <w:rsid w:val="00952875"/>
    <w:rsid w:val="009535DE"/>
    <w:rsid w:val="0095361B"/>
    <w:rsid w:val="00953D70"/>
    <w:rsid w:val="00953DFA"/>
    <w:rsid w:val="0095426C"/>
    <w:rsid w:val="00954469"/>
    <w:rsid w:val="00954A61"/>
    <w:rsid w:val="00954D32"/>
    <w:rsid w:val="00954E70"/>
    <w:rsid w:val="009561CA"/>
    <w:rsid w:val="00956F14"/>
    <w:rsid w:val="00957603"/>
    <w:rsid w:val="009579A2"/>
    <w:rsid w:val="00957A1D"/>
    <w:rsid w:val="00957BC0"/>
    <w:rsid w:val="00960369"/>
    <w:rsid w:val="009607A2"/>
    <w:rsid w:val="00960AC2"/>
    <w:rsid w:val="00961671"/>
    <w:rsid w:val="00961AC1"/>
    <w:rsid w:val="00962931"/>
    <w:rsid w:val="0096370A"/>
    <w:rsid w:val="00963C50"/>
    <w:rsid w:val="009640D2"/>
    <w:rsid w:val="0096487B"/>
    <w:rsid w:val="00964B52"/>
    <w:rsid w:val="00964F29"/>
    <w:rsid w:val="00965CD1"/>
    <w:rsid w:val="00966482"/>
    <w:rsid w:val="00966D15"/>
    <w:rsid w:val="00966D1F"/>
    <w:rsid w:val="00970460"/>
    <w:rsid w:val="0097174A"/>
    <w:rsid w:val="00971B48"/>
    <w:rsid w:val="00972ECE"/>
    <w:rsid w:val="009734B3"/>
    <w:rsid w:val="00974B76"/>
    <w:rsid w:val="00975412"/>
    <w:rsid w:val="009756D2"/>
    <w:rsid w:val="009757D1"/>
    <w:rsid w:val="00975EB9"/>
    <w:rsid w:val="00976975"/>
    <w:rsid w:val="00977584"/>
    <w:rsid w:val="00980452"/>
    <w:rsid w:val="00980754"/>
    <w:rsid w:val="00981535"/>
    <w:rsid w:val="0098227C"/>
    <w:rsid w:val="0098243A"/>
    <w:rsid w:val="009825C8"/>
    <w:rsid w:val="009826A0"/>
    <w:rsid w:val="00983531"/>
    <w:rsid w:val="0098409F"/>
    <w:rsid w:val="00984531"/>
    <w:rsid w:val="00984A55"/>
    <w:rsid w:val="00985537"/>
    <w:rsid w:val="00985B45"/>
    <w:rsid w:val="00985C01"/>
    <w:rsid w:val="0099020B"/>
    <w:rsid w:val="009903BA"/>
    <w:rsid w:val="009906ED"/>
    <w:rsid w:val="00990E70"/>
    <w:rsid w:val="009911B1"/>
    <w:rsid w:val="00991698"/>
    <w:rsid w:val="009917E7"/>
    <w:rsid w:val="00991AE2"/>
    <w:rsid w:val="00991C17"/>
    <w:rsid w:val="00991D56"/>
    <w:rsid w:val="0099215D"/>
    <w:rsid w:val="00992D1E"/>
    <w:rsid w:val="00992D66"/>
    <w:rsid w:val="00993507"/>
    <w:rsid w:val="00994D1A"/>
    <w:rsid w:val="009967D1"/>
    <w:rsid w:val="0099781F"/>
    <w:rsid w:val="00997EB2"/>
    <w:rsid w:val="009A036C"/>
    <w:rsid w:val="009A06F5"/>
    <w:rsid w:val="009A0788"/>
    <w:rsid w:val="009A0ABC"/>
    <w:rsid w:val="009A0E92"/>
    <w:rsid w:val="009A1678"/>
    <w:rsid w:val="009A17EC"/>
    <w:rsid w:val="009A2494"/>
    <w:rsid w:val="009A25D3"/>
    <w:rsid w:val="009A4BEE"/>
    <w:rsid w:val="009A4CF1"/>
    <w:rsid w:val="009A78B7"/>
    <w:rsid w:val="009B03DF"/>
    <w:rsid w:val="009B141A"/>
    <w:rsid w:val="009B22AE"/>
    <w:rsid w:val="009B24DF"/>
    <w:rsid w:val="009B3192"/>
    <w:rsid w:val="009B319D"/>
    <w:rsid w:val="009B3776"/>
    <w:rsid w:val="009B4214"/>
    <w:rsid w:val="009B4E63"/>
    <w:rsid w:val="009B60F9"/>
    <w:rsid w:val="009B6346"/>
    <w:rsid w:val="009B6518"/>
    <w:rsid w:val="009B6AF0"/>
    <w:rsid w:val="009B6F44"/>
    <w:rsid w:val="009C04D1"/>
    <w:rsid w:val="009C0940"/>
    <w:rsid w:val="009C09F3"/>
    <w:rsid w:val="009C128C"/>
    <w:rsid w:val="009C292D"/>
    <w:rsid w:val="009C3108"/>
    <w:rsid w:val="009C5F0C"/>
    <w:rsid w:val="009C67C0"/>
    <w:rsid w:val="009C6C4B"/>
    <w:rsid w:val="009C6EB0"/>
    <w:rsid w:val="009C70C0"/>
    <w:rsid w:val="009D024C"/>
    <w:rsid w:val="009D1035"/>
    <w:rsid w:val="009D13D0"/>
    <w:rsid w:val="009D1B09"/>
    <w:rsid w:val="009D2068"/>
    <w:rsid w:val="009D2FFF"/>
    <w:rsid w:val="009D4132"/>
    <w:rsid w:val="009D5F4B"/>
    <w:rsid w:val="009D6259"/>
    <w:rsid w:val="009D7145"/>
    <w:rsid w:val="009D777C"/>
    <w:rsid w:val="009D7D33"/>
    <w:rsid w:val="009E01FC"/>
    <w:rsid w:val="009E0355"/>
    <w:rsid w:val="009E0E10"/>
    <w:rsid w:val="009E1999"/>
    <w:rsid w:val="009E237C"/>
    <w:rsid w:val="009E25B5"/>
    <w:rsid w:val="009E2C8E"/>
    <w:rsid w:val="009E324D"/>
    <w:rsid w:val="009E3D59"/>
    <w:rsid w:val="009E4DD4"/>
    <w:rsid w:val="009E4E3F"/>
    <w:rsid w:val="009E52D0"/>
    <w:rsid w:val="009E5B49"/>
    <w:rsid w:val="009E5C96"/>
    <w:rsid w:val="009E680E"/>
    <w:rsid w:val="009E698B"/>
    <w:rsid w:val="009E6ADB"/>
    <w:rsid w:val="009E6EC0"/>
    <w:rsid w:val="009E7446"/>
    <w:rsid w:val="009E7A2B"/>
    <w:rsid w:val="009E7C2F"/>
    <w:rsid w:val="009F04CD"/>
    <w:rsid w:val="009F0BB6"/>
    <w:rsid w:val="009F0BED"/>
    <w:rsid w:val="009F0FBE"/>
    <w:rsid w:val="009F14C8"/>
    <w:rsid w:val="009F1547"/>
    <w:rsid w:val="009F1A08"/>
    <w:rsid w:val="009F226C"/>
    <w:rsid w:val="009F30ED"/>
    <w:rsid w:val="009F38CD"/>
    <w:rsid w:val="009F47E8"/>
    <w:rsid w:val="009F4ABA"/>
    <w:rsid w:val="009F4D62"/>
    <w:rsid w:val="009F5539"/>
    <w:rsid w:val="009F55FF"/>
    <w:rsid w:val="009F6042"/>
    <w:rsid w:val="009F67A9"/>
    <w:rsid w:val="009F6E77"/>
    <w:rsid w:val="009F71BE"/>
    <w:rsid w:val="009F7706"/>
    <w:rsid w:val="00A00317"/>
    <w:rsid w:val="00A00734"/>
    <w:rsid w:val="00A01ACC"/>
    <w:rsid w:val="00A02D14"/>
    <w:rsid w:val="00A02E6B"/>
    <w:rsid w:val="00A03422"/>
    <w:rsid w:val="00A042F4"/>
    <w:rsid w:val="00A04DEE"/>
    <w:rsid w:val="00A0598C"/>
    <w:rsid w:val="00A066AE"/>
    <w:rsid w:val="00A10DD9"/>
    <w:rsid w:val="00A112B4"/>
    <w:rsid w:val="00A115EC"/>
    <w:rsid w:val="00A11D21"/>
    <w:rsid w:val="00A12C6B"/>
    <w:rsid w:val="00A12E41"/>
    <w:rsid w:val="00A13151"/>
    <w:rsid w:val="00A13525"/>
    <w:rsid w:val="00A13E8A"/>
    <w:rsid w:val="00A14117"/>
    <w:rsid w:val="00A1412F"/>
    <w:rsid w:val="00A14757"/>
    <w:rsid w:val="00A149FA"/>
    <w:rsid w:val="00A16587"/>
    <w:rsid w:val="00A165B9"/>
    <w:rsid w:val="00A16686"/>
    <w:rsid w:val="00A16849"/>
    <w:rsid w:val="00A17630"/>
    <w:rsid w:val="00A17853"/>
    <w:rsid w:val="00A179B1"/>
    <w:rsid w:val="00A17D5A"/>
    <w:rsid w:val="00A17DF0"/>
    <w:rsid w:val="00A20A39"/>
    <w:rsid w:val="00A20F78"/>
    <w:rsid w:val="00A2144B"/>
    <w:rsid w:val="00A218F1"/>
    <w:rsid w:val="00A22250"/>
    <w:rsid w:val="00A22E57"/>
    <w:rsid w:val="00A237C5"/>
    <w:rsid w:val="00A23974"/>
    <w:rsid w:val="00A258FB"/>
    <w:rsid w:val="00A25C42"/>
    <w:rsid w:val="00A2605D"/>
    <w:rsid w:val="00A271F9"/>
    <w:rsid w:val="00A277EF"/>
    <w:rsid w:val="00A27DEE"/>
    <w:rsid w:val="00A300C9"/>
    <w:rsid w:val="00A31AB2"/>
    <w:rsid w:val="00A31B93"/>
    <w:rsid w:val="00A32D2B"/>
    <w:rsid w:val="00A32EB7"/>
    <w:rsid w:val="00A34C4D"/>
    <w:rsid w:val="00A34E06"/>
    <w:rsid w:val="00A34FFC"/>
    <w:rsid w:val="00A35975"/>
    <w:rsid w:val="00A35D32"/>
    <w:rsid w:val="00A36C41"/>
    <w:rsid w:val="00A36D89"/>
    <w:rsid w:val="00A375EF"/>
    <w:rsid w:val="00A406F6"/>
    <w:rsid w:val="00A41075"/>
    <w:rsid w:val="00A413EF"/>
    <w:rsid w:val="00A416C0"/>
    <w:rsid w:val="00A42061"/>
    <w:rsid w:val="00A42360"/>
    <w:rsid w:val="00A4248A"/>
    <w:rsid w:val="00A433CF"/>
    <w:rsid w:val="00A4342E"/>
    <w:rsid w:val="00A44683"/>
    <w:rsid w:val="00A456E1"/>
    <w:rsid w:val="00A465C1"/>
    <w:rsid w:val="00A47387"/>
    <w:rsid w:val="00A47F70"/>
    <w:rsid w:val="00A511FA"/>
    <w:rsid w:val="00A517B6"/>
    <w:rsid w:val="00A51A2C"/>
    <w:rsid w:val="00A52185"/>
    <w:rsid w:val="00A528C2"/>
    <w:rsid w:val="00A53BEB"/>
    <w:rsid w:val="00A5433A"/>
    <w:rsid w:val="00A54AFD"/>
    <w:rsid w:val="00A54E69"/>
    <w:rsid w:val="00A550CD"/>
    <w:rsid w:val="00A57043"/>
    <w:rsid w:val="00A573E4"/>
    <w:rsid w:val="00A60EB1"/>
    <w:rsid w:val="00A61B06"/>
    <w:rsid w:val="00A61B78"/>
    <w:rsid w:val="00A61C8F"/>
    <w:rsid w:val="00A62113"/>
    <w:rsid w:val="00A624B2"/>
    <w:rsid w:val="00A62F01"/>
    <w:rsid w:val="00A630BE"/>
    <w:rsid w:val="00A6319E"/>
    <w:rsid w:val="00A63774"/>
    <w:rsid w:val="00A650BD"/>
    <w:rsid w:val="00A65344"/>
    <w:rsid w:val="00A65B15"/>
    <w:rsid w:val="00A65EE2"/>
    <w:rsid w:val="00A6670C"/>
    <w:rsid w:val="00A672CC"/>
    <w:rsid w:val="00A6759C"/>
    <w:rsid w:val="00A67923"/>
    <w:rsid w:val="00A67E60"/>
    <w:rsid w:val="00A7015E"/>
    <w:rsid w:val="00A713ED"/>
    <w:rsid w:val="00A714B8"/>
    <w:rsid w:val="00A7194B"/>
    <w:rsid w:val="00A71DE0"/>
    <w:rsid w:val="00A72227"/>
    <w:rsid w:val="00A72CE7"/>
    <w:rsid w:val="00A731DA"/>
    <w:rsid w:val="00A73E48"/>
    <w:rsid w:val="00A74088"/>
    <w:rsid w:val="00A74901"/>
    <w:rsid w:val="00A74D6A"/>
    <w:rsid w:val="00A75031"/>
    <w:rsid w:val="00A75733"/>
    <w:rsid w:val="00A76308"/>
    <w:rsid w:val="00A769FB"/>
    <w:rsid w:val="00A76E27"/>
    <w:rsid w:val="00A776C7"/>
    <w:rsid w:val="00A77C08"/>
    <w:rsid w:val="00A80614"/>
    <w:rsid w:val="00A80ACB"/>
    <w:rsid w:val="00A8105F"/>
    <w:rsid w:val="00A81527"/>
    <w:rsid w:val="00A82058"/>
    <w:rsid w:val="00A84AE7"/>
    <w:rsid w:val="00A84B97"/>
    <w:rsid w:val="00A84E8D"/>
    <w:rsid w:val="00A85146"/>
    <w:rsid w:val="00A86144"/>
    <w:rsid w:val="00A86576"/>
    <w:rsid w:val="00A8668D"/>
    <w:rsid w:val="00A869B0"/>
    <w:rsid w:val="00A90183"/>
    <w:rsid w:val="00A90420"/>
    <w:rsid w:val="00A90934"/>
    <w:rsid w:val="00A90A66"/>
    <w:rsid w:val="00A90E59"/>
    <w:rsid w:val="00A91051"/>
    <w:rsid w:val="00A910CB"/>
    <w:rsid w:val="00A91DC1"/>
    <w:rsid w:val="00A91F33"/>
    <w:rsid w:val="00A9289F"/>
    <w:rsid w:val="00A929FD"/>
    <w:rsid w:val="00A92C1D"/>
    <w:rsid w:val="00A93633"/>
    <w:rsid w:val="00A95380"/>
    <w:rsid w:val="00A95617"/>
    <w:rsid w:val="00A9691A"/>
    <w:rsid w:val="00A9774D"/>
    <w:rsid w:val="00A9787D"/>
    <w:rsid w:val="00AA00EB"/>
    <w:rsid w:val="00AA0C77"/>
    <w:rsid w:val="00AA170D"/>
    <w:rsid w:val="00AA1D27"/>
    <w:rsid w:val="00AA204C"/>
    <w:rsid w:val="00AA23DE"/>
    <w:rsid w:val="00AA2D57"/>
    <w:rsid w:val="00AA3112"/>
    <w:rsid w:val="00AA3941"/>
    <w:rsid w:val="00AA538E"/>
    <w:rsid w:val="00AA56D0"/>
    <w:rsid w:val="00AA588E"/>
    <w:rsid w:val="00AA610F"/>
    <w:rsid w:val="00AA685E"/>
    <w:rsid w:val="00AA722B"/>
    <w:rsid w:val="00AA7C9C"/>
    <w:rsid w:val="00AB0C9F"/>
    <w:rsid w:val="00AB0F63"/>
    <w:rsid w:val="00AB143A"/>
    <w:rsid w:val="00AB155C"/>
    <w:rsid w:val="00AB26AF"/>
    <w:rsid w:val="00AB26BF"/>
    <w:rsid w:val="00AB4FBC"/>
    <w:rsid w:val="00AB5C84"/>
    <w:rsid w:val="00AB625E"/>
    <w:rsid w:val="00AB68F9"/>
    <w:rsid w:val="00AB717A"/>
    <w:rsid w:val="00AB7274"/>
    <w:rsid w:val="00AB7E96"/>
    <w:rsid w:val="00AC003B"/>
    <w:rsid w:val="00AC003C"/>
    <w:rsid w:val="00AC0103"/>
    <w:rsid w:val="00AC011A"/>
    <w:rsid w:val="00AC1404"/>
    <w:rsid w:val="00AC19AF"/>
    <w:rsid w:val="00AC1A33"/>
    <w:rsid w:val="00AC31E3"/>
    <w:rsid w:val="00AC31EA"/>
    <w:rsid w:val="00AC4881"/>
    <w:rsid w:val="00AC5B22"/>
    <w:rsid w:val="00AC64FE"/>
    <w:rsid w:val="00AC7F29"/>
    <w:rsid w:val="00AD039F"/>
    <w:rsid w:val="00AD0F88"/>
    <w:rsid w:val="00AD2522"/>
    <w:rsid w:val="00AD2B10"/>
    <w:rsid w:val="00AD3902"/>
    <w:rsid w:val="00AD3A93"/>
    <w:rsid w:val="00AD3C07"/>
    <w:rsid w:val="00AD57F8"/>
    <w:rsid w:val="00AD5833"/>
    <w:rsid w:val="00AD6010"/>
    <w:rsid w:val="00AD694D"/>
    <w:rsid w:val="00AD731B"/>
    <w:rsid w:val="00AD76C9"/>
    <w:rsid w:val="00AE02FC"/>
    <w:rsid w:val="00AE0BEA"/>
    <w:rsid w:val="00AE22EA"/>
    <w:rsid w:val="00AE33FF"/>
    <w:rsid w:val="00AE3961"/>
    <w:rsid w:val="00AE401A"/>
    <w:rsid w:val="00AE4B14"/>
    <w:rsid w:val="00AE55BC"/>
    <w:rsid w:val="00AE564D"/>
    <w:rsid w:val="00AE5E94"/>
    <w:rsid w:val="00AE628E"/>
    <w:rsid w:val="00AE741F"/>
    <w:rsid w:val="00AE7A0A"/>
    <w:rsid w:val="00AF026B"/>
    <w:rsid w:val="00AF02BF"/>
    <w:rsid w:val="00AF03A2"/>
    <w:rsid w:val="00AF06D5"/>
    <w:rsid w:val="00AF09A7"/>
    <w:rsid w:val="00AF09DD"/>
    <w:rsid w:val="00AF0EEA"/>
    <w:rsid w:val="00AF128F"/>
    <w:rsid w:val="00AF18EB"/>
    <w:rsid w:val="00AF246B"/>
    <w:rsid w:val="00AF26B5"/>
    <w:rsid w:val="00AF2737"/>
    <w:rsid w:val="00AF31C3"/>
    <w:rsid w:val="00AF389D"/>
    <w:rsid w:val="00AF419A"/>
    <w:rsid w:val="00AF424F"/>
    <w:rsid w:val="00AF45FA"/>
    <w:rsid w:val="00AF57E4"/>
    <w:rsid w:val="00AF5A79"/>
    <w:rsid w:val="00AF5B2F"/>
    <w:rsid w:val="00AF6E0A"/>
    <w:rsid w:val="00AF712A"/>
    <w:rsid w:val="00AF7DB4"/>
    <w:rsid w:val="00AF7E69"/>
    <w:rsid w:val="00B00BDA"/>
    <w:rsid w:val="00B01700"/>
    <w:rsid w:val="00B01A94"/>
    <w:rsid w:val="00B02629"/>
    <w:rsid w:val="00B02655"/>
    <w:rsid w:val="00B02A10"/>
    <w:rsid w:val="00B04EB1"/>
    <w:rsid w:val="00B05015"/>
    <w:rsid w:val="00B05102"/>
    <w:rsid w:val="00B0552D"/>
    <w:rsid w:val="00B06130"/>
    <w:rsid w:val="00B06A4E"/>
    <w:rsid w:val="00B079F9"/>
    <w:rsid w:val="00B07FED"/>
    <w:rsid w:val="00B10263"/>
    <w:rsid w:val="00B10376"/>
    <w:rsid w:val="00B10D36"/>
    <w:rsid w:val="00B11C26"/>
    <w:rsid w:val="00B11DEE"/>
    <w:rsid w:val="00B122FE"/>
    <w:rsid w:val="00B12661"/>
    <w:rsid w:val="00B1348E"/>
    <w:rsid w:val="00B13AEC"/>
    <w:rsid w:val="00B142AA"/>
    <w:rsid w:val="00B149C1"/>
    <w:rsid w:val="00B14BD1"/>
    <w:rsid w:val="00B14BDB"/>
    <w:rsid w:val="00B14F10"/>
    <w:rsid w:val="00B15761"/>
    <w:rsid w:val="00B15F5A"/>
    <w:rsid w:val="00B16A34"/>
    <w:rsid w:val="00B1700B"/>
    <w:rsid w:val="00B17BC3"/>
    <w:rsid w:val="00B20178"/>
    <w:rsid w:val="00B2042B"/>
    <w:rsid w:val="00B213F2"/>
    <w:rsid w:val="00B217D6"/>
    <w:rsid w:val="00B22073"/>
    <w:rsid w:val="00B246F9"/>
    <w:rsid w:val="00B24FAF"/>
    <w:rsid w:val="00B25453"/>
    <w:rsid w:val="00B25E56"/>
    <w:rsid w:val="00B25ED6"/>
    <w:rsid w:val="00B264F5"/>
    <w:rsid w:val="00B30559"/>
    <w:rsid w:val="00B3057E"/>
    <w:rsid w:val="00B311D2"/>
    <w:rsid w:val="00B31B9C"/>
    <w:rsid w:val="00B32A01"/>
    <w:rsid w:val="00B32EB0"/>
    <w:rsid w:val="00B33653"/>
    <w:rsid w:val="00B33FCC"/>
    <w:rsid w:val="00B34454"/>
    <w:rsid w:val="00B34D6C"/>
    <w:rsid w:val="00B3538D"/>
    <w:rsid w:val="00B35559"/>
    <w:rsid w:val="00B3559C"/>
    <w:rsid w:val="00B35E30"/>
    <w:rsid w:val="00B369A3"/>
    <w:rsid w:val="00B36B36"/>
    <w:rsid w:val="00B3725B"/>
    <w:rsid w:val="00B40358"/>
    <w:rsid w:val="00B40C94"/>
    <w:rsid w:val="00B4118A"/>
    <w:rsid w:val="00B41799"/>
    <w:rsid w:val="00B4186F"/>
    <w:rsid w:val="00B41BBA"/>
    <w:rsid w:val="00B4252B"/>
    <w:rsid w:val="00B431DE"/>
    <w:rsid w:val="00B4379F"/>
    <w:rsid w:val="00B466ED"/>
    <w:rsid w:val="00B4696B"/>
    <w:rsid w:val="00B46DC9"/>
    <w:rsid w:val="00B47CC6"/>
    <w:rsid w:val="00B5001E"/>
    <w:rsid w:val="00B5051A"/>
    <w:rsid w:val="00B505B6"/>
    <w:rsid w:val="00B5256C"/>
    <w:rsid w:val="00B526DB"/>
    <w:rsid w:val="00B53117"/>
    <w:rsid w:val="00B5384F"/>
    <w:rsid w:val="00B53CA7"/>
    <w:rsid w:val="00B54421"/>
    <w:rsid w:val="00B552E3"/>
    <w:rsid w:val="00B5544F"/>
    <w:rsid w:val="00B55E5D"/>
    <w:rsid w:val="00B55EA9"/>
    <w:rsid w:val="00B56826"/>
    <w:rsid w:val="00B56FF7"/>
    <w:rsid w:val="00B57170"/>
    <w:rsid w:val="00B577A8"/>
    <w:rsid w:val="00B577EA"/>
    <w:rsid w:val="00B577FF"/>
    <w:rsid w:val="00B60314"/>
    <w:rsid w:val="00B60A36"/>
    <w:rsid w:val="00B61155"/>
    <w:rsid w:val="00B6285D"/>
    <w:rsid w:val="00B629A6"/>
    <w:rsid w:val="00B64A61"/>
    <w:rsid w:val="00B65540"/>
    <w:rsid w:val="00B66264"/>
    <w:rsid w:val="00B66847"/>
    <w:rsid w:val="00B66867"/>
    <w:rsid w:val="00B66994"/>
    <w:rsid w:val="00B66EF5"/>
    <w:rsid w:val="00B6766D"/>
    <w:rsid w:val="00B679E4"/>
    <w:rsid w:val="00B67D62"/>
    <w:rsid w:val="00B67FA7"/>
    <w:rsid w:val="00B70757"/>
    <w:rsid w:val="00B7079D"/>
    <w:rsid w:val="00B707FE"/>
    <w:rsid w:val="00B71A1E"/>
    <w:rsid w:val="00B71AFB"/>
    <w:rsid w:val="00B71F3A"/>
    <w:rsid w:val="00B72D73"/>
    <w:rsid w:val="00B73748"/>
    <w:rsid w:val="00B7375F"/>
    <w:rsid w:val="00B73AA8"/>
    <w:rsid w:val="00B73C97"/>
    <w:rsid w:val="00B74107"/>
    <w:rsid w:val="00B74895"/>
    <w:rsid w:val="00B74E9A"/>
    <w:rsid w:val="00B7619A"/>
    <w:rsid w:val="00B76340"/>
    <w:rsid w:val="00B765ED"/>
    <w:rsid w:val="00B76A88"/>
    <w:rsid w:val="00B80C43"/>
    <w:rsid w:val="00B80DF0"/>
    <w:rsid w:val="00B80F6A"/>
    <w:rsid w:val="00B815B2"/>
    <w:rsid w:val="00B81816"/>
    <w:rsid w:val="00B821F8"/>
    <w:rsid w:val="00B8264D"/>
    <w:rsid w:val="00B836F5"/>
    <w:rsid w:val="00B85B4E"/>
    <w:rsid w:val="00B85E48"/>
    <w:rsid w:val="00B8608E"/>
    <w:rsid w:val="00B8623A"/>
    <w:rsid w:val="00B868E2"/>
    <w:rsid w:val="00B874C1"/>
    <w:rsid w:val="00B87B2F"/>
    <w:rsid w:val="00B87B6D"/>
    <w:rsid w:val="00B87E7C"/>
    <w:rsid w:val="00B87EAE"/>
    <w:rsid w:val="00B905F8"/>
    <w:rsid w:val="00B91530"/>
    <w:rsid w:val="00B92423"/>
    <w:rsid w:val="00B92D7C"/>
    <w:rsid w:val="00B934DD"/>
    <w:rsid w:val="00B9355C"/>
    <w:rsid w:val="00B94786"/>
    <w:rsid w:val="00B94AB5"/>
    <w:rsid w:val="00B94DD2"/>
    <w:rsid w:val="00B9551C"/>
    <w:rsid w:val="00B95B70"/>
    <w:rsid w:val="00B95C96"/>
    <w:rsid w:val="00B9607E"/>
    <w:rsid w:val="00B9671E"/>
    <w:rsid w:val="00B97256"/>
    <w:rsid w:val="00BA081B"/>
    <w:rsid w:val="00BA0AC0"/>
    <w:rsid w:val="00BA0D64"/>
    <w:rsid w:val="00BA202C"/>
    <w:rsid w:val="00BA2431"/>
    <w:rsid w:val="00BA2A57"/>
    <w:rsid w:val="00BA2B9C"/>
    <w:rsid w:val="00BA2DB3"/>
    <w:rsid w:val="00BA4324"/>
    <w:rsid w:val="00BA44ED"/>
    <w:rsid w:val="00BA44F9"/>
    <w:rsid w:val="00BA5663"/>
    <w:rsid w:val="00BA68A6"/>
    <w:rsid w:val="00BA7631"/>
    <w:rsid w:val="00BA7678"/>
    <w:rsid w:val="00BA7715"/>
    <w:rsid w:val="00BA774F"/>
    <w:rsid w:val="00BA78B6"/>
    <w:rsid w:val="00BA79B5"/>
    <w:rsid w:val="00BA7DE9"/>
    <w:rsid w:val="00BB0016"/>
    <w:rsid w:val="00BB0283"/>
    <w:rsid w:val="00BB0EEE"/>
    <w:rsid w:val="00BB0FE5"/>
    <w:rsid w:val="00BB19A9"/>
    <w:rsid w:val="00BB1FBA"/>
    <w:rsid w:val="00BB20BA"/>
    <w:rsid w:val="00BB26AD"/>
    <w:rsid w:val="00BB30B5"/>
    <w:rsid w:val="00BB3520"/>
    <w:rsid w:val="00BB3D25"/>
    <w:rsid w:val="00BB5E21"/>
    <w:rsid w:val="00BB61B4"/>
    <w:rsid w:val="00BB64E9"/>
    <w:rsid w:val="00BB6D2B"/>
    <w:rsid w:val="00BB79BD"/>
    <w:rsid w:val="00BC0AF6"/>
    <w:rsid w:val="00BC0D50"/>
    <w:rsid w:val="00BC10E6"/>
    <w:rsid w:val="00BC1111"/>
    <w:rsid w:val="00BC119C"/>
    <w:rsid w:val="00BC2846"/>
    <w:rsid w:val="00BC330E"/>
    <w:rsid w:val="00BC3516"/>
    <w:rsid w:val="00BC55A3"/>
    <w:rsid w:val="00BC60A0"/>
    <w:rsid w:val="00BC666B"/>
    <w:rsid w:val="00BC7208"/>
    <w:rsid w:val="00BD0B48"/>
    <w:rsid w:val="00BD0F16"/>
    <w:rsid w:val="00BD141D"/>
    <w:rsid w:val="00BD1E24"/>
    <w:rsid w:val="00BD21CA"/>
    <w:rsid w:val="00BD2910"/>
    <w:rsid w:val="00BD2A0A"/>
    <w:rsid w:val="00BD2EB1"/>
    <w:rsid w:val="00BD3653"/>
    <w:rsid w:val="00BD4031"/>
    <w:rsid w:val="00BD462E"/>
    <w:rsid w:val="00BD476A"/>
    <w:rsid w:val="00BD4CE7"/>
    <w:rsid w:val="00BD5007"/>
    <w:rsid w:val="00BD57D9"/>
    <w:rsid w:val="00BD5D0F"/>
    <w:rsid w:val="00BD6DEE"/>
    <w:rsid w:val="00BD75BA"/>
    <w:rsid w:val="00BD761A"/>
    <w:rsid w:val="00BD7C68"/>
    <w:rsid w:val="00BD7C69"/>
    <w:rsid w:val="00BE08AA"/>
    <w:rsid w:val="00BE0CC9"/>
    <w:rsid w:val="00BE127E"/>
    <w:rsid w:val="00BE15B2"/>
    <w:rsid w:val="00BE1C0A"/>
    <w:rsid w:val="00BE1CBC"/>
    <w:rsid w:val="00BE1F49"/>
    <w:rsid w:val="00BE29DC"/>
    <w:rsid w:val="00BE2BBB"/>
    <w:rsid w:val="00BE4EB6"/>
    <w:rsid w:val="00BE5393"/>
    <w:rsid w:val="00BE5C7D"/>
    <w:rsid w:val="00BE6BD1"/>
    <w:rsid w:val="00BF02A1"/>
    <w:rsid w:val="00BF0B6E"/>
    <w:rsid w:val="00BF0CEC"/>
    <w:rsid w:val="00BF16CE"/>
    <w:rsid w:val="00BF1EA0"/>
    <w:rsid w:val="00BF1EC1"/>
    <w:rsid w:val="00BF5A3A"/>
    <w:rsid w:val="00BF697A"/>
    <w:rsid w:val="00BF6ADB"/>
    <w:rsid w:val="00BF6D5A"/>
    <w:rsid w:val="00BF7393"/>
    <w:rsid w:val="00BF7E86"/>
    <w:rsid w:val="00C002D3"/>
    <w:rsid w:val="00C02209"/>
    <w:rsid w:val="00C0223F"/>
    <w:rsid w:val="00C03613"/>
    <w:rsid w:val="00C03776"/>
    <w:rsid w:val="00C03964"/>
    <w:rsid w:val="00C03E66"/>
    <w:rsid w:val="00C04B9F"/>
    <w:rsid w:val="00C05773"/>
    <w:rsid w:val="00C074D9"/>
    <w:rsid w:val="00C0753E"/>
    <w:rsid w:val="00C0767D"/>
    <w:rsid w:val="00C07B32"/>
    <w:rsid w:val="00C10A86"/>
    <w:rsid w:val="00C1164F"/>
    <w:rsid w:val="00C12078"/>
    <w:rsid w:val="00C1249D"/>
    <w:rsid w:val="00C129DB"/>
    <w:rsid w:val="00C13821"/>
    <w:rsid w:val="00C13A14"/>
    <w:rsid w:val="00C14051"/>
    <w:rsid w:val="00C1426A"/>
    <w:rsid w:val="00C15302"/>
    <w:rsid w:val="00C15B9A"/>
    <w:rsid w:val="00C15F73"/>
    <w:rsid w:val="00C16B4D"/>
    <w:rsid w:val="00C17276"/>
    <w:rsid w:val="00C173A7"/>
    <w:rsid w:val="00C17FBD"/>
    <w:rsid w:val="00C2037B"/>
    <w:rsid w:val="00C20A11"/>
    <w:rsid w:val="00C20AD4"/>
    <w:rsid w:val="00C21039"/>
    <w:rsid w:val="00C214A9"/>
    <w:rsid w:val="00C2222C"/>
    <w:rsid w:val="00C22ED9"/>
    <w:rsid w:val="00C22FF7"/>
    <w:rsid w:val="00C23DC9"/>
    <w:rsid w:val="00C24BDE"/>
    <w:rsid w:val="00C25F93"/>
    <w:rsid w:val="00C26391"/>
    <w:rsid w:val="00C26404"/>
    <w:rsid w:val="00C27A2F"/>
    <w:rsid w:val="00C27F75"/>
    <w:rsid w:val="00C27F76"/>
    <w:rsid w:val="00C30957"/>
    <w:rsid w:val="00C30CF2"/>
    <w:rsid w:val="00C30DA4"/>
    <w:rsid w:val="00C31EF5"/>
    <w:rsid w:val="00C32B74"/>
    <w:rsid w:val="00C33D7F"/>
    <w:rsid w:val="00C36D87"/>
    <w:rsid w:val="00C3788C"/>
    <w:rsid w:val="00C37DF6"/>
    <w:rsid w:val="00C40133"/>
    <w:rsid w:val="00C42133"/>
    <w:rsid w:val="00C427CE"/>
    <w:rsid w:val="00C42E1E"/>
    <w:rsid w:val="00C4337B"/>
    <w:rsid w:val="00C4421F"/>
    <w:rsid w:val="00C44719"/>
    <w:rsid w:val="00C44A9B"/>
    <w:rsid w:val="00C4657D"/>
    <w:rsid w:val="00C4690E"/>
    <w:rsid w:val="00C46EDD"/>
    <w:rsid w:val="00C474C0"/>
    <w:rsid w:val="00C47566"/>
    <w:rsid w:val="00C47F43"/>
    <w:rsid w:val="00C50108"/>
    <w:rsid w:val="00C51610"/>
    <w:rsid w:val="00C51E37"/>
    <w:rsid w:val="00C51F6A"/>
    <w:rsid w:val="00C5209A"/>
    <w:rsid w:val="00C5211B"/>
    <w:rsid w:val="00C53445"/>
    <w:rsid w:val="00C560BC"/>
    <w:rsid w:val="00C5657A"/>
    <w:rsid w:val="00C57084"/>
    <w:rsid w:val="00C57857"/>
    <w:rsid w:val="00C57D74"/>
    <w:rsid w:val="00C60128"/>
    <w:rsid w:val="00C60ED4"/>
    <w:rsid w:val="00C61FDC"/>
    <w:rsid w:val="00C63F97"/>
    <w:rsid w:val="00C64314"/>
    <w:rsid w:val="00C64DC4"/>
    <w:rsid w:val="00C6572C"/>
    <w:rsid w:val="00C65B65"/>
    <w:rsid w:val="00C672C4"/>
    <w:rsid w:val="00C674CB"/>
    <w:rsid w:val="00C677C3"/>
    <w:rsid w:val="00C67AC4"/>
    <w:rsid w:val="00C67F27"/>
    <w:rsid w:val="00C708F7"/>
    <w:rsid w:val="00C70B2D"/>
    <w:rsid w:val="00C70CFF"/>
    <w:rsid w:val="00C71011"/>
    <w:rsid w:val="00C71A6A"/>
    <w:rsid w:val="00C72A9C"/>
    <w:rsid w:val="00C72EB9"/>
    <w:rsid w:val="00C72F87"/>
    <w:rsid w:val="00C73A70"/>
    <w:rsid w:val="00C73C6D"/>
    <w:rsid w:val="00C74092"/>
    <w:rsid w:val="00C749F0"/>
    <w:rsid w:val="00C74D18"/>
    <w:rsid w:val="00C75655"/>
    <w:rsid w:val="00C757B8"/>
    <w:rsid w:val="00C75D4E"/>
    <w:rsid w:val="00C761FB"/>
    <w:rsid w:val="00C7672B"/>
    <w:rsid w:val="00C7691A"/>
    <w:rsid w:val="00C76AF3"/>
    <w:rsid w:val="00C76C25"/>
    <w:rsid w:val="00C76C36"/>
    <w:rsid w:val="00C76D7F"/>
    <w:rsid w:val="00C77A1F"/>
    <w:rsid w:val="00C77BEC"/>
    <w:rsid w:val="00C804C7"/>
    <w:rsid w:val="00C80CA5"/>
    <w:rsid w:val="00C81725"/>
    <w:rsid w:val="00C819B7"/>
    <w:rsid w:val="00C81DE1"/>
    <w:rsid w:val="00C822ED"/>
    <w:rsid w:val="00C8255A"/>
    <w:rsid w:val="00C82FC8"/>
    <w:rsid w:val="00C837C3"/>
    <w:rsid w:val="00C83A28"/>
    <w:rsid w:val="00C84497"/>
    <w:rsid w:val="00C851E2"/>
    <w:rsid w:val="00C868F6"/>
    <w:rsid w:val="00C86953"/>
    <w:rsid w:val="00C869E8"/>
    <w:rsid w:val="00C87B40"/>
    <w:rsid w:val="00C9137C"/>
    <w:rsid w:val="00C91644"/>
    <w:rsid w:val="00C930D3"/>
    <w:rsid w:val="00C9443A"/>
    <w:rsid w:val="00C95F03"/>
    <w:rsid w:val="00C9663B"/>
    <w:rsid w:val="00C971AD"/>
    <w:rsid w:val="00CA09C3"/>
    <w:rsid w:val="00CA1152"/>
    <w:rsid w:val="00CA1356"/>
    <w:rsid w:val="00CA23E4"/>
    <w:rsid w:val="00CA253B"/>
    <w:rsid w:val="00CA269E"/>
    <w:rsid w:val="00CA2E99"/>
    <w:rsid w:val="00CA35C7"/>
    <w:rsid w:val="00CA3669"/>
    <w:rsid w:val="00CA406D"/>
    <w:rsid w:val="00CA43A5"/>
    <w:rsid w:val="00CA4960"/>
    <w:rsid w:val="00CA5281"/>
    <w:rsid w:val="00CA586E"/>
    <w:rsid w:val="00CA5FDE"/>
    <w:rsid w:val="00CA72DC"/>
    <w:rsid w:val="00CA7C0B"/>
    <w:rsid w:val="00CA7F1D"/>
    <w:rsid w:val="00CB0C1D"/>
    <w:rsid w:val="00CB0C94"/>
    <w:rsid w:val="00CB18EB"/>
    <w:rsid w:val="00CB18FC"/>
    <w:rsid w:val="00CB19E0"/>
    <w:rsid w:val="00CB2039"/>
    <w:rsid w:val="00CB21D2"/>
    <w:rsid w:val="00CB2301"/>
    <w:rsid w:val="00CB244C"/>
    <w:rsid w:val="00CB2CC4"/>
    <w:rsid w:val="00CB3593"/>
    <w:rsid w:val="00CB4A4D"/>
    <w:rsid w:val="00CB5232"/>
    <w:rsid w:val="00CB56AB"/>
    <w:rsid w:val="00CB5FDE"/>
    <w:rsid w:val="00CB65BF"/>
    <w:rsid w:val="00CB69D1"/>
    <w:rsid w:val="00CB6E2B"/>
    <w:rsid w:val="00CB6FF7"/>
    <w:rsid w:val="00CB7302"/>
    <w:rsid w:val="00CB792D"/>
    <w:rsid w:val="00CB7B51"/>
    <w:rsid w:val="00CC1E9F"/>
    <w:rsid w:val="00CC263B"/>
    <w:rsid w:val="00CC4780"/>
    <w:rsid w:val="00CC4C3C"/>
    <w:rsid w:val="00CC4D69"/>
    <w:rsid w:val="00CC5850"/>
    <w:rsid w:val="00CC5896"/>
    <w:rsid w:val="00CC5F14"/>
    <w:rsid w:val="00CC6F89"/>
    <w:rsid w:val="00CC72D5"/>
    <w:rsid w:val="00CC7368"/>
    <w:rsid w:val="00CD045F"/>
    <w:rsid w:val="00CD0FAE"/>
    <w:rsid w:val="00CD12FE"/>
    <w:rsid w:val="00CD2B54"/>
    <w:rsid w:val="00CD4046"/>
    <w:rsid w:val="00CD4158"/>
    <w:rsid w:val="00CD50AF"/>
    <w:rsid w:val="00CD5A0D"/>
    <w:rsid w:val="00CD5A37"/>
    <w:rsid w:val="00CD674A"/>
    <w:rsid w:val="00CD7BB3"/>
    <w:rsid w:val="00CD7D63"/>
    <w:rsid w:val="00CE0C35"/>
    <w:rsid w:val="00CE0CAB"/>
    <w:rsid w:val="00CE3433"/>
    <w:rsid w:val="00CE3810"/>
    <w:rsid w:val="00CE3A1B"/>
    <w:rsid w:val="00CE4EA8"/>
    <w:rsid w:val="00CE52B4"/>
    <w:rsid w:val="00CE59BB"/>
    <w:rsid w:val="00CE5A8E"/>
    <w:rsid w:val="00CE5DCD"/>
    <w:rsid w:val="00CE6E0B"/>
    <w:rsid w:val="00CE701C"/>
    <w:rsid w:val="00CE7599"/>
    <w:rsid w:val="00CE77E3"/>
    <w:rsid w:val="00CF2095"/>
    <w:rsid w:val="00CF414A"/>
    <w:rsid w:val="00CF47E1"/>
    <w:rsid w:val="00CF4892"/>
    <w:rsid w:val="00CF4E3B"/>
    <w:rsid w:val="00CF4FF0"/>
    <w:rsid w:val="00CF5494"/>
    <w:rsid w:val="00CF57B0"/>
    <w:rsid w:val="00CF5B47"/>
    <w:rsid w:val="00CF607B"/>
    <w:rsid w:val="00CF63A2"/>
    <w:rsid w:val="00CF6869"/>
    <w:rsid w:val="00D01248"/>
    <w:rsid w:val="00D013CF"/>
    <w:rsid w:val="00D024F3"/>
    <w:rsid w:val="00D02B7D"/>
    <w:rsid w:val="00D03946"/>
    <w:rsid w:val="00D04908"/>
    <w:rsid w:val="00D04ACF"/>
    <w:rsid w:val="00D04FDD"/>
    <w:rsid w:val="00D05130"/>
    <w:rsid w:val="00D051A1"/>
    <w:rsid w:val="00D079B4"/>
    <w:rsid w:val="00D07BE6"/>
    <w:rsid w:val="00D1003F"/>
    <w:rsid w:val="00D10384"/>
    <w:rsid w:val="00D104F9"/>
    <w:rsid w:val="00D1141D"/>
    <w:rsid w:val="00D120A0"/>
    <w:rsid w:val="00D12DD6"/>
    <w:rsid w:val="00D13ABF"/>
    <w:rsid w:val="00D14323"/>
    <w:rsid w:val="00D1581D"/>
    <w:rsid w:val="00D15D9F"/>
    <w:rsid w:val="00D16008"/>
    <w:rsid w:val="00D166D4"/>
    <w:rsid w:val="00D170AD"/>
    <w:rsid w:val="00D17374"/>
    <w:rsid w:val="00D2099C"/>
    <w:rsid w:val="00D20C46"/>
    <w:rsid w:val="00D20C80"/>
    <w:rsid w:val="00D20D57"/>
    <w:rsid w:val="00D21A13"/>
    <w:rsid w:val="00D22631"/>
    <w:rsid w:val="00D22C07"/>
    <w:rsid w:val="00D241FB"/>
    <w:rsid w:val="00D25369"/>
    <w:rsid w:val="00D2537E"/>
    <w:rsid w:val="00D255DC"/>
    <w:rsid w:val="00D263ED"/>
    <w:rsid w:val="00D2656C"/>
    <w:rsid w:val="00D26637"/>
    <w:rsid w:val="00D27D78"/>
    <w:rsid w:val="00D30254"/>
    <w:rsid w:val="00D3058C"/>
    <w:rsid w:val="00D30954"/>
    <w:rsid w:val="00D324D4"/>
    <w:rsid w:val="00D329A2"/>
    <w:rsid w:val="00D33768"/>
    <w:rsid w:val="00D33D87"/>
    <w:rsid w:val="00D33E54"/>
    <w:rsid w:val="00D341DA"/>
    <w:rsid w:val="00D34C7A"/>
    <w:rsid w:val="00D34F4A"/>
    <w:rsid w:val="00D35077"/>
    <w:rsid w:val="00D35A6E"/>
    <w:rsid w:val="00D365A7"/>
    <w:rsid w:val="00D36D71"/>
    <w:rsid w:val="00D3762A"/>
    <w:rsid w:val="00D3783A"/>
    <w:rsid w:val="00D408A8"/>
    <w:rsid w:val="00D40B27"/>
    <w:rsid w:val="00D40B57"/>
    <w:rsid w:val="00D40E37"/>
    <w:rsid w:val="00D41458"/>
    <w:rsid w:val="00D415D6"/>
    <w:rsid w:val="00D41844"/>
    <w:rsid w:val="00D41A9C"/>
    <w:rsid w:val="00D41D41"/>
    <w:rsid w:val="00D43DC1"/>
    <w:rsid w:val="00D44A7C"/>
    <w:rsid w:val="00D45204"/>
    <w:rsid w:val="00D45A36"/>
    <w:rsid w:val="00D45DD3"/>
    <w:rsid w:val="00D4647A"/>
    <w:rsid w:val="00D46A67"/>
    <w:rsid w:val="00D46DAE"/>
    <w:rsid w:val="00D50721"/>
    <w:rsid w:val="00D51346"/>
    <w:rsid w:val="00D51C8F"/>
    <w:rsid w:val="00D51E3B"/>
    <w:rsid w:val="00D5204B"/>
    <w:rsid w:val="00D525BB"/>
    <w:rsid w:val="00D528B0"/>
    <w:rsid w:val="00D53460"/>
    <w:rsid w:val="00D537F0"/>
    <w:rsid w:val="00D54C10"/>
    <w:rsid w:val="00D54CED"/>
    <w:rsid w:val="00D55191"/>
    <w:rsid w:val="00D55CD0"/>
    <w:rsid w:val="00D56AB2"/>
    <w:rsid w:val="00D57275"/>
    <w:rsid w:val="00D57544"/>
    <w:rsid w:val="00D57973"/>
    <w:rsid w:val="00D60704"/>
    <w:rsid w:val="00D60CE2"/>
    <w:rsid w:val="00D612EC"/>
    <w:rsid w:val="00D6153E"/>
    <w:rsid w:val="00D61B65"/>
    <w:rsid w:val="00D623C4"/>
    <w:rsid w:val="00D62932"/>
    <w:rsid w:val="00D62CE8"/>
    <w:rsid w:val="00D63D04"/>
    <w:rsid w:val="00D63F86"/>
    <w:rsid w:val="00D669D3"/>
    <w:rsid w:val="00D676E9"/>
    <w:rsid w:val="00D70126"/>
    <w:rsid w:val="00D701BA"/>
    <w:rsid w:val="00D70501"/>
    <w:rsid w:val="00D7065C"/>
    <w:rsid w:val="00D722DF"/>
    <w:rsid w:val="00D72A2E"/>
    <w:rsid w:val="00D737B5"/>
    <w:rsid w:val="00D741FF"/>
    <w:rsid w:val="00D74834"/>
    <w:rsid w:val="00D7560E"/>
    <w:rsid w:val="00D7603A"/>
    <w:rsid w:val="00D769B9"/>
    <w:rsid w:val="00D77699"/>
    <w:rsid w:val="00D77A55"/>
    <w:rsid w:val="00D807D4"/>
    <w:rsid w:val="00D808E4"/>
    <w:rsid w:val="00D81C1D"/>
    <w:rsid w:val="00D8223C"/>
    <w:rsid w:val="00D83F48"/>
    <w:rsid w:val="00D84675"/>
    <w:rsid w:val="00D8526A"/>
    <w:rsid w:val="00D86252"/>
    <w:rsid w:val="00D86EF5"/>
    <w:rsid w:val="00D87797"/>
    <w:rsid w:val="00D87995"/>
    <w:rsid w:val="00D87CC5"/>
    <w:rsid w:val="00D90256"/>
    <w:rsid w:val="00D90F0C"/>
    <w:rsid w:val="00D917F3"/>
    <w:rsid w:val="00D93DF5"/>
    <w:rsid w:val="00D95091"/>
    <w:rsid w:val="00D95AE9"/>
    <w:rsid w:val="00D95AF4"/>
    <w:rsid w:val="00D95CB0"/>
    <w:rsid w:val="00D96D38"/>
    <w:rsid w:val="00D973B2"/>
    <w:rsid w:val="00D97BAA"/>
    <w:rsid w:val="00DA0435"/>
    <w:rsid w:val="00DA073B"/>
    <w:rsid w:val="00DA0773"/>
    <w:rsid w:val="00DA0DED"/>
    <w:rsid w:val="00DA1144"/>
    <w:rsid w:val="00DA17D3"/>
    <w:rsid w:val="00DA1902"/>
    <w:rsid w:val="00DA2B67"/>
    <w:rsid w:val="00DA33BA"/>
    <w:rsid w:val="00DA3AF3"/>
    <w:rsid w:val="00DA495A"/>
    <w:rsid w:val="00DA4C31"/>
    <w:rsid w:val="00DA517F"/>
    <w:rsid w:val="00DA5423"/>
    <w:rsid w:val="00DA544F"/>
    <w:rsid w:val="00DA5455"/>
    <w:rsid w:val="00DA57F0"/>
    <w:rsid w:val="00DA5C2B"/>
    <w:rsid w:val="00DA648B"/>
    <w:rsid w:val="00DA6C17"/>
    <w:rsid w:val="00DA6F07"/>
    <w:rsid w:val="00DA7BAB"/>
    <w:rsid w:val="00DB1369"/>
    <w:rsid w:val="00DB169E"/>
    <w:rsid w:val="00DB20DA"/>
    <w:rsid w:val="00DB26FC"/>
    <w:rsid w:val="00DB29C3"/>
    <w:rsid w:val="00DB2CBB"/>
    <w:rsid w:val="00DB3E83"/>
    <w:rsid w:val="00DB4150"/>
    <w:rsid w:val="00DB422A"/>
    <w:rsid w:val="00DB4754"/>
    <w:rsid w:val="00DB5541"/>
    <w:rsid w:val="00DB5DF2"/>
    <w:rsid w:val="00DB5EFB"/>
    <w:rsid w:val="00DB6044"/>
    <w:rsid w:val="00DB6CB7"/>
    <w:rsid w:val="00DB6E0D"/>
    <w:rsid w:val="00DB6EF1"/>
    <w:rsid w:val="00DB6F95"/>
    <w:rsid w:val="00DB7094"/>
    <w:rsid w:val="00DB71D6"/>
    <w:rsid w:val="00DB7732"/>
    <w:rsid w:val="00DB77E3"/>
    <w:rsid w:val="00DC0893"/>
    <w:rsid w:val="00DC09FB"/>
    <w:rsid w:val="00DC19BB"/>
    <w:rsid w:val="00DC2172"/>
    <w:rsid w:val="00DC43DC"/>
    <w:rsid w:val="00DC4D3A"/>
    <w:rsid w:val="00DC5574"/>
    <w:rsid w:val="00DC6404"/>
    <w:rsid w:val="00DC6690"/>
    <w:rsid w:val="00DC6756"/>
    <w:rsid w:val="00DC72B1"/>
    <w:rsid w:val="00DC7375"/>
    <w:rsid w:val="00DC7B30"/>
    <w:rsid w:val="00DC7F34"/>
    <w:rsid w:val="00DD09C6"/>
    <w:rsid w:val="00DD0B35"/>
    <w:rsid w:val="00DD113B"/>
    <w:rsid w:val="00DD1381"/>
    <w:rsid w:val="00DD215C"/>
    <w:rsid w:val="00DD2CC2"/>
    <w:rsid w:val="00DD2EFB"/>
    <w:rsid w:val="00DD3D8D"/>
    <w:rsid w:val="00DD4237"/>
    <w:rsid w:val="00DD4818"/>
    <w:rsid w:val="00DD48EF"/>
    <w:rsid w:val="00DD54E7"/>
    <w:rsid w:val="00DD57B3"/>
    <w:rsid w:val="00DD5848"/>
    <w:rsid w:val="00DD5D3F"/>
    <w:rsid w:val="00DD613D"/>
    <w:rsid w:val="00DD64C5"/>
    <w:rsid w:val="00DD6C23"/>
    <w:rsid w:val="00DD701A"/>
    <w:rsid w:val="00DD77A4"/>
    <w:rsid w:val="00DD7ABC"/>
    <w:rsid w:val="00DD7FDF"/>
    <w:rsid w:val="00DE0758"/>
    <w:rsid w:val="00DE0776"/>
    <w:rsid w:val="00DE0B09"/>
    <w:rsid w:val="00DE1703"/>
    <w:rsid w:val="00DE25AC"/>
    <w:rsid w:val="00DE2693"/>
    <w:rsid w:val="00DE2A15"/>
    <w:rsid w:val="00DE398D"/>
    <w:rsid w:val="00DE41A7"/>
    <w:rsid w:val="00DE44FD"/>
    <w:rsid w:val="00DE4556"/>
    <w:rsid w:val="00DE6531"/>
    <w:rsid w:val="00DE6744"/>
    <w:rsid w:val="00DE77FA"/>
    <w:rsid w:val="00DE7FB8"/>
    <w:rsid w:val="00DF03CC"/>
    <w:rsid w:val="00DF049A"/>
    <w:rsid w:val="00DF0983"/>
    <w:rsid w:val="00DF0B85"/>
    <w:rsid w:val="00DF212C"/>
    <w:rsid w:val="00DF2402"/>
    <w:rsid w:val="00DF2791"/>
    <w:rsid w:val="00DF27D4"/>
    <w:rsid w:val="00DF2CE9"/>
    <w:rsid w:val="00DF3626"/>
    <w:rsid w:val="00DF3CB5"/>
    <w:rsid w:val="00DF568D"/>
    <w:rsid w:val="00DF57D7"/>
    <w:rsid w:val="00DF58CA"/>
    <w:rsid w:val="00DF5E93"/>
    <w:rsid w:val="00DF63B2"/>
    <w:rsid w:val="00DF67D2"/>
    <w:rsid w:val="00DF7069"/>
    <w:rsid w:val="00E0055D"/>
    <w:rsid w:val="00E00C1D"/>
    <w:rsid w:val="00E00CCB"/>
    <w:rsid w:val="00E0178A"/>
    <w:rsid w:val="00E019A4"/>
    <w:rsid w:val="00E025DB"/>
    <w:rsid w:val="00E03206"/>
    <w:rsid w:val="00E0324B"/>
    <w:rsid w:val="00E042C7"/>
    <w:rsid w:val="00E0498B"/>
    <w:rsid w:val="00E04A2A"/>
    <w:rsid w:val="00E04B43"/>
    <w:rsid w:val="00E0558B"/>
    <w:rsid w:val="00E057F8"/>
    <w:rsid w:val="00E061A9"/>
    <w:rsid w:val="00E06402"/>
    <w:rsid w:val="00E075D7"/>
    <w:rsid w:val="00E0781A"/>
    <w:rsid w:val="00E079C2"/>
    <w:rsid w:val="00E07A91"/>
    <w:rsid w:val="00E10048"/>
    <w:rsid w:val="00E10B7B"/>
    <w:rsid w:val="00E10C60"/>
    <w:rsid w:val="00E11475"/>
    <w:rsid w:val="00E116C5"/>
    <w:rsid w:val="00E116F2"/>
    <w:rsid w:val="00E1250E"/>
    <w:rsid w:val="00E12A46"/>
    <w:rsid w:val="00E12E2E"/>
    <w:rsid w:val="00E13A0A"/>
    <w:rsid w:val="00E13E04"/>
    <w:rsid w:val="00E1419D"/>
    <w:rsid w:val="00E149C5"/>
    <w:rsid w:val="00E153DC"/>
    <w:rsid w:val="00E15C62"/>
    <w:rsid w:val="00E15F53"/>
    <w:rsid w:val="00E15FE8"/>
    <w:rsid w:val="00E164DE"/>
    <w:rsid w:val="00E167D3"/>
    <w:rsid w:val="00E175A7"/>
    <w:rsid w:val="00E20168"/>
    <w:rsid w:val="00E20740"/>
    <w:rsid w:val="00E20E92"/>
    <w:rsid w:val="00E23DB7"/>
    <w:rsid w:val="00E245DA"/>
    <w:rsid w:val="00E24645"/>
    <w:rsid w:val="00E24817"/>
    <w:rsid w:val="00E24A2B"/>
    <w:rsid w:val="00E24EEE"/>
    <w:rsid w:val="00E25496"/>
    <w:rsid w:val="00E256BD"/>
    <w:rsid w:val="00E260C5"/>
    <w:rsid w:val="00E261AC"/>
    <w:rsid w:val="00E27151"/>
    <w:rsid w:val="00E27177"/>
    <w:rsid w:val="00E274B5"/>
    <w:rsid w:val="00E27945"/>
    <w:rsid w:val="00E30903"/>
    <w:rsid w:val="00E319CD"/>
    <w:rsid w:val="00E31BCB"/>
    <w:rsid w:val="00E31BD0"/>
    <w:rsid w:val="00E32963"/>
    <w:rsid w:val="00E337BC"/>
    <w:rsid w:val="00E33F37"/>
    <w:rsid w:val="00E350CD"/>
    <w:rsid w:val="00E352B0"/>
    <w:rsid w:val="00E353D0"/>
    <w:rsid w:val="00E35915"/>
    <w:rsid w:val="00E372A9"/>
    <w:rsid w:val="00E4001B"/>
    <w:rsid w:val="00E42882"/>
    <w:rsid w:val="00E43094"/>
    <w:rsid w:val="00E43103"/>
    <w:rsid w:val="00E43E14"/>
    <w:rsid w:val="00E4448C"/>
    <w:rsid w:val="00E45A4C"/>
    <w:rsid w:val="00E45D6B"/>
    <w:rsid w:val="00E46123"/>
    <w:rsid w:val="00E461C0"/>
    <w:rsid w:val="00E47262"/>
    <w:rsid w:val="00E50B9E"/>
    <w:rsid w:val="00E50E3D"/>
    <w:rsid w:val="00E50E44"/>
    <w:rsid w:val="00E50F64"/>
    <w:rsid w:val="00E51E10"/>
    <w:rsid w:val="00E51FDE"/>
    <w:rsid w:val="00E52A0A"/>
    <w:rsid w:val="00E534B2"/>
    <w:rsid w:val="00E53759"/>
    <w:rsid w:val="00E55693"/>
    <w:rsid w:val="00E55B3A"/>
    <w:rsid w:val="00E562DB"/>
    <w:rsid w:val="00E5659E"/>
    <w:rsid w:val="00E567DA"/>
    <w:rsid w:val="00E568DA"/>
    <w:rsid w:val="00E56B66"/>
    <w:rsid w:val="00E579AF"/>
    <w:rsid w:val="00E57CF3"/>
    <w:rsid w:val="00E60545"/>
    <w:rsid w:val="00E6066A"/>
    <w:rsid w:val="00E60920"/>
    <w:rsid w:val="00E609AD"/>
    <w:rsid w:val="00E609DF"/>
    <w:rsid w:val="00E61D57"/>
    <w:rsid w:val="00E622CC"/>
    <w:rsid w:val="00E62523"/>
    <w:rsid w:val="00E62CE3"/>
    <w:rsid w:val="00E63093"/>
    <w:rsid w:val="00E639E9"/>
    <w:rsid w:val="00E63D14"/>
    <w:rsid w:val="00E63E28"/>
    <w:rsid w:val="00E643AA"/>
    <w:rsid w:val="00E64563"/>
    <w:rsid w:val="00E6468A"/>
    <w:rsid w:val="00E64A63"/>
    <w:rsid w:val="00E65A5A"/>
    <w:rsid w:val="00E65CE2"/>
    <w:rsid w:val="00E66B7B"/>
    <w:rsid w:val="00E705B7"/>
    <w:rsid w:val="00E70708"/>
    <w:rsid w:val="00E7086E"/>
    <w:rsid w:val="00E70ECC"/>
    <w:rsid w:val="00E71839"/>
    <w:rsid w:val="00E71A89"/>
    <w:rsid w:val="00E71DE5"/>
    <w:rsid w:val="00E71FC7"/>
    <w:rsid w:val="00E724E0"/>
    <w:rsid w:val="00E73288"/>
    <w:rsid w:val="00E748A0"/>
    <w:rsid w:val="00E7694D"/>
    <w:rsid w:val="00E770B5"/>
    <w:rsid w:val="00E77197"/>
    <w:rsid w:val="00E77A3E"/>
    <w:rsid w:val="00E81B1A"/>
    <w:rsid w:val="00E81DD4"/>
    <w:rsid w:val="00E822CB"/>
    <w:rsid w:val="00E82F35"/>
    <w:rsid w:val="00E8357E"/>
    <w:rsid w:val="00E847DE"/>
    <w:rsid w:val="00E84F68"/>
    <w:rsid w:val="00E84FB3"/>
    <w:rsid w:val="00E86192"/>
    <w:rsid w:val="00E86A3E"/>
    <w:rsid w:val="00E87037"/>
    <w:rsid w:val="00E8719A"/>
    <w:rsid w:val="00E905F2"/>
    <w:rsid w:val="00E9144E"/>
    <w:rsid w:val="00E91C0E"/>
    <w:rsid w:val="00E92D60"/>
    <w:rsid w:val="00E940E0"/>
    <w:rsid w:val="00E9539C"/>
    <w:rsid w:val="00E964CA"/>
    <w:rsid w:val="00E96D70"/>
    <w:rsid w:val="00E9767C"/>
    <w:rsid w:val="00E97ED0"/>
    <w:rsid w:val="00EA0F03"/>
    <w:rsid w:val="00EA1028"/>
    <w:rsid w:val="00EA16AD"/>
    <w:rsid w:val="00EA1973"/>
    <w:rsid w:val="00EA1EF9"/>
    <w:rsid w:val="00EA2CA0"/>
    <w:rsid w:val="00EA2CBA"/>
    <w:rsid w:val="00EA3031"/>
    <w:rsid w:val="00EA3C3F"/>
    <w:rsid w:val="00EA45CF"/>
    <w:rsid w:val="00EA60B4"/>
    <w:rsid w:val="00EA6EAB"/>
    <w:rsid w:val="00EA6F81"/>
    <w:rsid w:val="00EA7237"/>
    <w:rsid w:val="00EA7868"/>
    <w:rsid w:val="00EA7911"/>
    <w:rsid w:val="00EB0468"/>
    <w:rsid w:val="00EB055B"/>
    <w:rsid w:val="00EB0A51"/>
    <w:rsid w:val="00EB0DC2"/>
    <w:rsid w:val="00EB112A"/>
    <w:rsid w:val="00EB1D63"/>
    <w:rsid w:val="00EB27AC"/>
    <w:rsid w:val="00EB2FE6"/>
    <w:rsid w:val="00EB47AB"/>
    <w:rsid w:val="00EB57D6"/>
    <w:rsid w:val="00EB6050"/>
    <w:rsid w:val="00EB67F6"/>
    <w:rsid w:val="00EB7AFB"/>
    <w:rsid w:val="00EC0873"/>
    <w:rsid w:val="00EC103A"/>
    <w:rsid w:val="00EC1212"/>
    <w:rsid w:val="00EC1CB7"/>
    <w:rsid w:val="00EC1D3D"/>
    <w:rsid w:val="00EC2922"/>
    <w:rsid w:val="00EC3151"/>
    <w:rsid w:val="00EC32AE"/>
    <w:rsid w:val="00EC3331"/>
    <w:rsid w:val="00EC4322"/>
    <w:rsid w:val="00EC518F"/>
    <w:rsid w:val="00EC5901"/>
    <w:rsid w:val="00EC5B5B"/>
    <w:rsid w:val="00EC64F5"/>
    <w:rsid w:val="00EC677E"/>
    <w:rsid w:val="00EC6920"/>
    <w:rsid w:val="00EC7071"/>
    <w:rsid w:val="00EC7E67"/>
    <w:rsid w:val="00EC7F41"/>
    <w:rsid w:val="00ED0903"/>
    <w:rsid w:val="00ED09E7"/>
    <w:rsid w:val="00ED0DF3"/>
    <w:rsid w:val="00ED1D36"/>
    <w:rsid w:val="00ED1F5D"/>
    <w:rsid w:val="00ED2781"/>
    <w:rsid w:val="00ED3143"/>
    <w:rsid w:val="00ED361E"/>
    <w:rsid w:val="00ED3B21"/>
    <w:rsid w:val="00ED3E97"/>
    <w:rsid w:val="00ED3F10"/>
    <w:rsid w:val="00ED4716"/>
    <w:rsid w:val="00ED4CE6"/>
    <w:rsid w:val="00ED5536"/>
    <w:rsid w:val="00ED56CF"/>
    <w:rsid w:val="00ED5B5C"/>
    <w:rsid w:val="00ED60FB"/>
    <w:rsid w:val="00ED6B5A"/>
    <w:rsid w:val="00ED70BD"/>
    <w:rsid w:val="00ED7934"/>
    <w:rsid w:val="00EE0B3E"/>
    <w:rsid w:val="00EE0C21"/>
    <w:rsid w:val="00EE1208"/>
    <w:rsid w:val="00EE1FD6"/>
    <w:rsid w:val="00EE2FD8"/>
    <w:rsid w:val="00EE34B7"/>
    <w:rsid w:val="00EE37BB"/>
    <w:rsid w:val="00EE37C3"/>
    <w:rsid w:val="00EE3839"/>
    <w:rsid w:val="00EE41FD"/>
    <w:rsid w:val="00EE43D6"/>
    <w:rsid w:val="00EE4B1B"/>
    <w:rsid w:val="00EE6269"/>
    <w:rsid w:val="00EE6BD9"/>
    <w:rsid w:val="00EE6F59"/>
    <w:rsid w:val="00EE77D3"/>
    <w:rsid w:val="00EF0443"/>
    <w:rsid w:val="00EF063D"/>
    <w:rsid w:val="00EF0C6F"/>
    <w:rsid w:val="00EF0D0B"/>
    <w:rsid w:val="00EF1BE1"/>
    <w:rsid w:val="00EF2678"/>
    <w:rsid w:val="00EF388A"/>
    <w:rsid w:val="00EF3918"/>
    <w:rsid w:val="00EF3F1B"/>
    <w:rsid w:val="00EF4058"/>
    <w:rsid w:val="00EF4099"/>
    <w:rsid w:val="00EF4F82"/>
    <w:rsid w:val="00EF523D"/>
    <w:rsid w:val="00EF59CA"/>
    <w:rsid w:val="00EF612F"/>
    <w:rsid w:val="00EF6BDC"/>
    <w:rsid w:val="00EF6C59"/>
    <w:rsid w:val="00F003BB"/>
    <w:rsid w:val="00F0096F"/>
    <w:rsid w:val="00F0190F"/>
    <w:rsid w:val="00F01C4C"/>
    <w:rsid w:val="00F025BB"/>
    <w:rsid w:val="00F02786"/>
    <w:rsid w:val="00F030ED"/>
    <w:rsid w:val="00F030FD"/>
    <w:rsid w:val="00F0434F"/>
    <w:rsid w:val="00F04413"/>
    <w:rsid w:val="00F0520F"/>
    <w:rsid w:val="00F05D0A"/>
    <w:rsid w:val="00F0670F"/>
    <w:rsid w:val="00F0692E"/>
    <w:rsid w:val="00F06A1F"/>
    <w:rsid w:val="00F06B11"/>
    <w:rsid w:val="00F07E5B"/>
    <w:rsid w:val="00F07FA6"/>
    <w:rsid w:val="00F114FD"/>
    <w:rsid w:val="00F11BB3"/>
    <w:rsid w:val="00F1229E"/>
    <w:rsid w:val="00F12DB7"/>
    <w:rsid w:val="00F13036"/>
    <w:rsid w:val="00F13750"/>
    <w:rsid w:val="00F13D0B"/>
    <w:rsid w:val="00F142CF"/>
    <w:rsid w:val="00F15C3C"/>
    <w:rsid w:val="00F16A3A"/>
    <w:rsid w:val="00F176D1"/>
    <w:rsid w:val="00F2127D"/>
    <w:rsid w:val="00F215DE"/>
    <w:rsid w:val="00F21D1A"/>
    <w:rsid w:val="00F22865"/>
    <w:rsid w:val="00F244C9"/>
    <w:rsid w:val="00F24BF5"/>
    <w:rsid w:val="00F24D75"/>
    <w:rsid w:val="00F261E3"/>
    <w:rsid w:val="00F2676D"/>
    <w:rsid w:val="00F26E54"/>
    <w:rsid w:val="00F30EB3"/>
    <w:rsid w:val="00F30F90"/>
    <w:rsid w:val="00F3294F"/>
    <w:rsid w:val="00F32E80"/>
    <w:rsid w:val="00F34B2F"/>
    <w:rsid w:val="00F34F33"/>
    <w:rsid w:val="00F36588"/>
    <w:rsid w:val="00F366D8"/>
    <w:rsid w:val="00F36D1F"/>
    <w:rsid w:val="00F3769E"/>
    <w:rsid w:val="00F379BA"/>
    <w:rsid w:val="00F40F06"/>
    <w:rsid w:val="00F41172"/>
    <w:rsid w:val="00F41EB6"/>
    <w:rsid w:val="00F41F8F"/>
    <w:rsid w:val="00F42669"/>
    <w:rsid w:val="00F43173"/>
    <w:rsid w:val="00F4374F"/>
    <w:rsid w:val="00F4584E"/>
    <w:rsid w:val="00F46138"/>
    <w:rsid w:val="00F46A6E"/>
    <w:rsid w:val="00F47128"/>
    <w:rsid w:val="00F4749B"/>
    <w:rsid w:val="00F47DAC"/>
    <w:rsid w:val="00F514FB"/>
    <w:rsid w:val="00F523E8"/>
    <w:rsid w:val="00F52B73"/>
    <w:rsid w:val="00F53B64"/>
    <w:rsid w:val="00F54783"/>
    <w:rsid w:val="00F54F4B"/>
    <w:rsid w:val="00F55971"/>
    <w:rsid w:val="00F559A2"/>
    <w:rsid w:val="00F56A79"/>
    <w:rsid w:val="00F56CE9"/>
    <w:rsid w:val="00F600AA"/>
    <w:rsid w:val="00F60793"/>
    <w:rsid w:val="00F60960"/>
    <w:rsid w:val="00F609A9"/>
    <w:rsid w:val="00F61151"/>
    <w:rsid w:val="00F61D83"/>
    <w:rsid w:val="00F62471"/>
    <w:rsid w:val="00F632FB"/>
    <w:rsid w:val="00F63723"/>
    <w:rsid w:val="00F63EDC"/>
    <w:rsid w:val="00F64E44"/>
    <w:rsid w:val="00F64ECE"/>
    <w:rsid w:val="00F66544"/>
    <w:rsid w:val="00F66F0F"/>
    <w:rsid w:val="00F66F2A"/>
    <w:rsid w:val="00F677C5"/>
    <w:rsid w:val="00F67B6E"/>
    <w:rsid w:val="00F67C08"/>
    <w:rsid w:val="00F7174B"/>
    <w:rsid w:val="00F72A85"/>
    <w:rsid w:val="00F73525"/>
    <w:rsid w:val="00F746DF"/>
    <w:rsid w:val="00F74841"/>
    <w:rsid w:val="00F74EE0"/>
    <w:rsid w:val="00F75581"/>
    <w:rsid w:val="00F77765"/>
    <w:rsid w:val="00F77907"/>
    <w:rsid w:val="00F77EC3"/>
    <w:rsid w:val="00F800E3"/>
    <w:rsid w:val="00F8049C"/>
    <w:rsid w:val="00F816B4"/>
    <w:rsid w:val="00F8175D"/>
    <w:rsid w:val="00F823C6"/>
    <w:rsid w:val="00F825CD"/>
    <w:rsid w:val="00F83E63"/>
    <w:rsid w:val="00F842C0"/>
    <w:rsid w:val="00F849C0"/>
    <w:rsid w:val="00F84E26"/>
    <w:rsid w:val="00F853B8"/>
    <w:rsid w:val="00F85E98"/>
    <w:rsid w:val="00F86921"/>
    <w:rsid w:val="00F86A11"/>
    <w:rsid w:val="00F909A0"/>
    <w:rsid w:val="00F90F30"/>
    <w:rsid w:val="00F91762"/>
    <w:rsid w:val="00F91928"/>
    <w:rsid w:val="00F91943"/>
    <w:rsid w:val="00F92800"/>
    <w:rsid w:val="00F92924"/>
    <w:rsid w:val="00F9388B"/>
    <w:rsid w:val="00F93939"/>
    <w:rsid w:val="00F945ED"/>
    <w:rsid w:val="00F951A5"/>
    <w:rsid w:val="00F95989"/>
    <w:rsid w:val="00F963F4"/>
    <w:rsid w:val="00F96454"/>
    <w:rsid w:val="00F97711"/>
    <w:rsid w:val="00FA00C9"/>
    <w:rsid w:val="00FA0E1A"/>
    <w:rsid w:val="00FA0EEA"/>
    <w:rsid w:val="00FA0F37"/>
    <w:rsid w:val="00FA254C"/>
    <w:rsid w:val="00FA320A"/>
    <w:rsid w:val="00FA41D1"/>
    <w:rsid w:val="00FA5494"/>
    <w:rsid w:val="00FA5C88"/>
    <w:rsid w:val="00FA606C"/>
    <w:rsid w:val="00FA6372"/>
    <w:rsid w:val="00FA6845"/>
    <w:rsid w:val="00FA720B"/>
    <w:rsid w:val="00FA72D9"/>
    <w:rsid w:val="00FA7C8B"/>
    <w:rsid w:val="00FB0249"/>
    <w:rsid w:val="00FB1263"/>
    <w:rsid w:val="00FB1D83"/>
    <w:rsid w:val="00FB333A"/>
    <w:rsid w:val="00FB3CE5"/>
    <w:rsid w:val="00FB486D"/>
    <w:rsid w:val="00FB6425"/>
    <w:rsid w:val="00FB7295"/>
    <w:rsid w:val="00FB793A"/>
    <w:rsid w:val="00FC032D"/>
    <w:rsid w:val="00FC0B12"/>
    <w:rsid w:val="00FC0E31"/>
    <w:rsid w:val="00FC1667"/>
    <w:rsid w:val="00FC2DFD"/>
    <w:rsid w:val="00FC4173"/>
    <w:rsid w:val="00FC5915"/>
    <w:rsid w:val="00FC5D6D"/>
    <w:rsid w:val="00FC6961"/>
    <w:rsid w:val="00FD00D6"/>
    <w:rsid w:val="00FD07DD"/>
    <w:rsid w:val="00FD0EDF"/>
    <w:rsid w:val="00FD1A3E"/>
    <w:rsid w:val="00FD1B54"/>
    <w:rsid w:val="00FD2233"/>
    <w:rsid w:val="00FD4499"/>
    <w:rsid w:val="00FD48C7"/>
    <w:rsid w:val="00FD519E"/>
    <w:rsid w:val="00FD56D4"/>
    <w:rsid w:val="00FD6657"/>
    <w:rsid w:val="00FD7187"/>
    <w:rsid w:val="00FD7B20"/>
    <w:rsid w:val="00FD7C77"/>
    <w:rsid w:val="00FE015F"/>
    <w:rsid w:val="00FE0276"/>
    <w:rsid w:val="00FE07FB"/>
    <w:rsid w:val="00FE1AD2"/>
    <w:rsid w:val="00FE308C"/>
    <w:rsid w:val="00FE404F"/>
    <w:rsid w:val="00FE4541"/>
    <w:rsid w:val="00FE4D07"/>
    <w:rsid w:val="00FE5873"/>
    <w:rsid w:val="00FE5BA5"/>
    <w:rsid w:val="00FE61B0"/>
    <w:rsid w:val="00FE6527"/>
    <w:rsid w:val="00FE6ADE"/>
    <w:rsid w:val="00FE76E3"/>
    <w:rsid w:val="00FE7CCA"/>
    <w:rsid w:val="00FF0584"/>
    <w:rsid w:val="00FF099A"/>
    <w:rsid w:val="00FF1A54"/>
    <w:rsid w:val="00FF1B96"/>
    <w:rsid w:val="00FF3FC0"/>
    <w:rsid w:val="00FF46E8"/>
    <w:rsid w:val="00FF5248"/>
    <w:rsid w:val="00FF5433"/>
    <w:rsid w:val="00FF5CDE"/>
    <w:rsid w:val="00FF625F"/>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F91B6"/>
  <w15:docId w15:val="{21246B1E-589A-42AE-888B-6F74EAC8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AC19AF"/>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Style 6,Style 20,Appel note de bas de p,Style 8,Style 7,Style 3,Style 17,Style 19"/>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F7174B"/>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unhideWhenUsed/>
    <w:rsid w:val="00382138"/>
  </w:style>
  <w:style w:type="character" w:customStyle="1" w:styleId="CommentTextChar">
    <w:name w:val="Comment Text Char"/>
    <w:basedOn w:val="DefaultParagraphFont"/>
    <w:link w:val="CommentText"/>
    <w:uiPriority w:val="99"/>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Default">
    <w:name w:val="Default"/>
    <w:rsid w:val="00761B6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752C37"/>
    <w:pPr>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752C37"/>
    <w:rPr>
      <w:rFonts w:ascii="Courier" w:eastAsia="Times New Roman" w:hAnsi="Courier" w:cs="Times New Roman"/>
      <w:snapToGrid w:val="0"/>
      <w:spacing w:val="-3"/>
      <w:sz w:val="24"/>
      <w:szCs w:val="20"/>
    </w:rPr>
  </w:style>
  <w:style w:type="character" w:customStyle="1" w:styleId="Heading4Char">
    <w:name w:val="Heading 4 Char"/>
    <w:basedOn w:val="DefaultParagraphFont"/>
    <w:link w:val="Heading4"/>
    <w:uiPriority w:val="9"/>
    <w:rsid w:val="00AC19A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19A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1109">
      <w:bodyDiv w:val="1"/>
      <w:marLeft w:val="0"/>
      <w:marRight w:val="0"/>
      <w:marTop w:val="0"/>
      <w:marBottom w:val="0"/>
      <w:divBdr>
        <w:top w:val="none" w:sz="0" w:space="0" w:color="auto"/>
        <w:left w:val="none" w:sz="0" w:space="0" w:color="auto"/>
        <w:bottom w:val="none" w:sz="0" w:space="0" w:color="auto"/>
        <w:right w:val="none" w:sz="0" w:space="0" w:color="auto"/>
      </w:divBdr>
    </w:div>
    <w:div w:id="230698219">
      <w:bodyDiv w:val="1"/>
      <w:marLeft w:val="0"/>
      <w:marRight w:val="0"/>
      <w:marTop w:val="0"/>
      <w:marBottom w:val="0"/>
      <w:divBdr>
        <w:top w:val="none" w:sz="0" w:space="0" w:color="auto"/>
        <w:left w:val="none" w:sz="0" w:space="0" w:color="auto"/>
        <w:bottom w:val="none" w:sz="0" w:space="0" w:color="auto"/>
        <w:right w:val="none" w:sz="0" w:space="0" w:color="auto"/>
      </w:divBdr>
      <w:divsChild>
        <w:div w:id="279387378">
          <w:marLeft w:val="0"/>
          <w:marRight w:val="0"/>
          <w:marTop w:val="0"/>
          <w:marBottom w:val="0"/>
          <w:divBdr>
            <w:top w:val="none" w:sz="0" w:space="0" w:color="auto"/>
            <w:left w:val="single" w:sz="6" w:space="0" w:color="BBBBBB"/>
            <w:bottom w:val="single" w:sz="6" w:space="0" w:color="BBBBBB"/>
            <w:right w:val="single" w:sz="6" w:space="0" w:color="BBBBBB"/>
          </w:divBdr>
          <w:divsChild>
            <w:div w:id="2007903192">
              <w:marLeft w:val="0"/>
              <w:marRight w:val="0"/>
              <w:marTop w:val="0"/>
              <w:marBottom w:val="0"/>
              <w:divBdr>
                <w:top w:val="none" w:sz="0" w:space="0" w:color="auto"/>
                <w:left w:val="none" w:sz="0" w:space="0" w:color="auto"/>
                <w:bottom w:val="none" w:sz="0" w:space="0" w:color="auto"/>
                <w:right w:val="none" w:sz="0" w:space="0" w:color="auto"/>
              </w:divBdr>
              <w:divsChild>
                <w:div w:id="546069650">
                  <w:marLeft w:val="0"/>
                  <w:marRight w:val="0"/>
                  <w:marTop w:val="75"/>
                  <w:marBottom w:val="0"/>
                  <w:divBdr>
                    <w:top w:val="none" w:sz="0" w:space="0" w:color="auto"/>
                    <w:left w:val="none" w:sz="0" w:space="0" w:color="auto"/>
                    <w:bottom w:val="none" w:sz="0" w:space="0" w:color="auto"/>
                    <w:right w:val="none" w:sz="0" w:space="0" w:color="auto"/>
                  </w:divBdr>
                  <w:divsChild>
                    <w:div w:id="315455540">
                      <w:marLeft w:val="0"/>
                      <w:marRight w:val="0"/>
                      <w:marTop w:val="0"/>
                      <w:marBottom w:val="0"/>
                      <w:divBdr>
                        <w:top w:val="none" w:sz="0" w:space="0" w:color="auto"/>
                        <w:left w:val="none" w:sz="0" w:space="0" w:color="auto"/>
                        <w:bottom w:val="none" w:sz="0" w:space="0" w:color="auto"/>
                        <w:right w:val="none" w:sz="0" w:space="0" w:color="auto"/>
                      </w:divBdr>
                      <w:divsChild>
                        <w:div w:id="1422753564">
                          <w:marLeft w:val="0"/>
                          <w:marRight w:val="0"/>
                          <w:marTop w:val="0"/>
                          <w:marBottom w:val="0"/>
                          <w:divBdr>
                            <w:top w:val="none" w:sz="0" w:space="0" w:color="auto"/>
                            <w:left w:val="none" w:sz="0" w:space="0" w:color="auto"/>
                            <w:bottom w:val="none" w:sz="0" w:space="0" w:color="auto"/>
                            <w:right w:val="none" w:sz="0" w:space="0" w:color="auto"/>
                          </w:divBdr>
                          <w:divsChild>
                            <w:div w:id="319695517">
                              <w:marLeft w:val="0"/>
                              <w:marRight w:val="0"/>
                              <w:marTop w:val="0"/>
                              <w:marBottom w:val="0"/>
                              <w:divBdr>
                                <w:top w:val="none" w:sz="0" w:space="0" w:color="auto"/>
                                <w:left w:val="none" w:sz="0" w:space="0" w:color="auto"/>
                                <w:bottom w:val="none" w:sz="0" w:space="0" w:color="auto"/>
                                <w:right w:val="none" w:sz="0" w:space="0" w:color="auto"/>
                              </w:divBdr>
                              <w:divsChild>
                                <w:div w:id="1501311493">
                                  <w:marLeft w:val="0"/>
                                  <w:marRight w:val="0"/>
                                  <w:marTop w:val="0"/>
                                  <w:marBottom w:val="0"/>
                                  <w:divBdr>
                                    <w:top w:val="none" w:sz="0" w:space="0" w:color="auto"/>
                                    <w:left w:val="none" w:sz="0" w:space="0" w:color="auto"/>
                                    <w:bottom w:val="none" w:sz="0" w:space="0" w:color="auto"/>
                                    <w:right w:val="none" w:sz="0" w:space="0" w:color="auto"/>
                                  </w:divBdr>
                                  <w:divsChild>
                                    <w:div w:id="57368265">
                                      <w:marLeft w:val="0"/>
                                      <w:marRight w:val="0"/>
                                      <w:marTop w:val="0"/>
                                      <w:marBottom w:val="0"/>
                                      <w:divBdr>
                                        <w:top w:val="none" w:sz="0" w:space="0" w:color="auto"/>
                                        <w:left w:val="none" w:sz="0" w:space="0" w:color="auto"/>
                                        <w:bottom w:val="none" w:sz="0" w:space="0" w:color="auto"/>
                                        <w:right w:val="none" w:sz="0" w:space="0" w:color="auto"/>
                                      </w:divBdr>
                                      <w:divsChild>
                                        <w:div w:id="1857577210">
                                          <w:marLeft w:val="1200"/>
                                          <w:marRight w:val="1200"/>
                                          <w:marTop w:val="0"/>
                                          <w:marBottom w:val="0"/>
                                          <w:divBdr>
                                            <w:top w:val="none" w:sz="0" w:space="0" w:color="auto"/>
                                            <w:left w:val="none" w:sz="0" w:space="0" w:color="auto"/>
                                            <w:bottom w:val="none" w:sz="0" w:space="0" w:color="auto"/>
                                            <w:right w:val="none" w:sz="0" w:space="0" w:color="auto"/>
                                          </w:divBdr>
                                          <w:divsChild>
                                            <w:div w:id="1633056776">
                                              <w:marLeft w:val="0"/>
                                              <w:marRight w:val="0"/>
                                              <w:marTop w:val="0"/>
                                              <w:marBottom w:val="0"/>
                                              <w:divBdr>
                                                <w:top w:val="none" w:sz="0" w:space="0" w:color="auto"/>
                                                <w:left w:val="none" w:sz="0" w:space="0" w:color="auto"/>
                                                <w:bottom w:val="none" w:sz="0" w:space="0" w:color="auto"/>
                                                <w:right w:val="none" w:sz="0" w:space="0" w:color="auto"/>
                                              </w:divBdr>
                                              <w:divsChild>
                                                <w:div w:id="2062049079">
                                                  <w:marLeft w:val="0"/>
                                                  <w:marRight w:val="0"/>
                                                  <w:marTop w:val="0"/>
                                                  <w:marBottom w:val="0"/>
                                                  <w:divBdr>
                                                    <w:top w:val="none" w:sz="0" w:space="0" w:color="auto"/>
                                                    <w:left w:val="none" w:sz="0" w:space="0" w:color="auto"/>
                                                    <w:bottom w:val="none" w:sz="0" w:space="0" w:color="auto"/>
                                                    <w:right w:val="none" w:sz="0" w:space="0" w:color="auto"/>
                                                  </w:divBdr>
                                                  <w:divsChild>
                                                    <w:div w:id="553664316">
                                                      <w:marLeft w:val="0"/>
                                                      <w:marRight w:val="0"/>
                                                      <w:marTop w:val="0"/>
                                                      <w:marBottom w:val="0"/>
                                                      <w:divBdr>
                                                        <w:top w:val="none" w:sz="0" w:space="0" w:color="auto"/>
                                                        <w:left w:val="none" w:sz="0" w:space="0" w:color="auto"/>
                                                        <w:bottom w:val="none" w:sz="0" w:space="0" w:color="auto"/>
                                                        <w:right w:val="none" w:sz="0" w:space="0" w:color="auto"/>
                                                      </w:divBdr>
                                                      <w:divsChild>
                                                        <w:div w:id="592789219">
                                                          <w:marLeft w:val="0"/>
                                                          <w:marRight w:val="0"/>
                                                          <w:marTop w:val="0"/>
                                                          <w:marBottom w:val="0"/>
                                                          <w:divBdr>
                                                            <w:top w:val="none" w:sz="0" w:space="0" w:color="auto"/>
                                                            <w:left w:val="none" w:sz="0" w:space="0" w:color="auto"/>
                                                            <w:bottom w:val="none" w:sz="0" w:space="0" w:color="auto"/>
                                                            <w:right w:val="none" w:sz="0" w:space="0" w:color="auto"/>
                                                          </w:divBdr>
                                                          <w:divsChild>
                                                            <w:div w:id="13232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750142">
      <w:bodyDiv w:val="1"/>
      <w:marLeft w:val="0"/>
      <w:marRight w:val="0"/>
      <w:marTop w:val="0"/>
      <w:marBottom w:val="0"/>
      <w:divBdr>
        <w:top w:val="none" w:sz="0" w:space="0" w:color="auto"/>
        <w:left w:val="none" w:sz="0" w:space="0" w:color="auto"/>
        <w:bottom w:val="none" w:sz="0" w:space="0" w:color="auto"/>
        <w:right w:val="none" w:sz="0" w:space="0" w:color="auto"/>
      </w:divBdr>
    </w:div>
    <w:div w:id="1514299939">
      <w:bodyDiv w:val="1"/>
      <w:marLeft w:val="0"/>
      <w:marRight w:val="0"/>
      <w:marTop w:val="0"/>
      <w:marBottom w:val="0"/>
      <w:divBdr>
        <w:top w:val="none" w:sz="0" w:space="0" w:color="auto"/>
        <w:left w:val="none" w:sz="0" w:space="0" w:color="auto"/>
        <w:bottom w:val="none" w:sz="0" w:space="0" w:color="auto"/>
        <w:right w:val="none" w:sz="0" w:space="0" w:color="auto"/>
      </w:divBdr>
      <w:divsChild>
        <w:div w:id="475799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DEB6-FA26-40CA-9A9D-97EBFFC0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8266</Words>
  <Characters>47118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3</cp:revision>
  <cp:lastPrinted>2018-06-13T14:57:00Z</cp:lastPrinted>
  <dcterms:created xsi:type="dcterms:W3CDTF">2018-06-20T23:32:00Z</dcterms:created>
  <dcterms:modified xsi:type="dcterms:W3CDTF">2018-07-12T11:50:00Z</dcterms:modified>
</cp:coreProperties>
</file>