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17105-3265</w:t>
      </w:r>
    </w:p>
    <w:p w:rsidR="00F44833" w:rsidRPr="003F7EE6"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rsidR="00F44833" w:rsidRPr="003F7EE6"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6861B3">
        <w:rPr>
          <w:rFonts w:ascii="Times New Roman" w:eastAsia="Times New Roman" w:hAnsi="Times New Roman" w:cs="Times New Roman"/>
          <w:sz w:val="26"/>
          <w:szCs w:val="26"/>
        </w:rPr>
        <w:t>July 12</w:t>
      </w:r>
      <w:r w:rsidR="006A328C">
        <w:rPr>
          <w:rFonts w:ascii="Times New Roman" w:eastAsia="Times New Roman" w:hAnsi="Times New Roman" w:cs="Times New Roman"/>
          <w:sz w:val="26"/>
          <w:szCs w:val="26"/>
        </w:rPr>
        <w:t>, 2018</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0C58A3" w:rsidRPr="003F7EE6">
        <w:rPr>
          <w:rFonts w:ascii="Times New Roman" w:eastAsia="Times New Roman" w:hAnsi="Times New Roman" w:cs="Times New Roman"/>
          <w:sz w:val="26"/>
          <w:szCs w:val="26"/>
        </w:rPr>
        <w:t>Gladys M. Brown</w:t>
      </w:r>
      <w:r w:rsidRPr="003F7EE6">
        <w:rPr>
          <w:rFonts w:ascii="Times New Roman" w:eastAsia="Times New Roman" w:hAnsi="Times New Roman" w:cs="Times New Roman"/>
          <w:sz w:val="26"/>
          <w:szCs w:val="26"/>
        </w:rPr>
        <w:t>, Chairman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D662B2">
        <w:rPr>
          <w:rFonts w:ascii="Times New Roman" w:eastAsia="Times New Roman" w:hAnsi="Times New Roman" w:cs="Times New Roman"/>
          <w:sz w:val="26"/>
          <w:szCs w:val="26"/>
        </w:rPr>
        <w:t>Andrew G. Place</w:t>
      </w:r>
      <w:r w:rsidRPr="003F7EE6">
        <w:rPr>
          <w:rFonts w:ascii="Times New Roman" w:eastAsia="Times New Roman" w:hAnsi="Times New Roman" w:cs="Times New Roman"/>
          <w:sz w:val="26"/>
          <w:szCs w:val="26"/>
        </w:rPr>
        <w:t>, Vice Chairman</w:t>
      </w:r>
    </w:p>
    <w:p w:rsidR="006A328C"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6A328C">
        <w:rPr>
          <w:rFonts w:ascii="Times New Roman" w:eastAsia="Times New Roman" w:hAnsi="Times New Roman" w:cs="Times New Roman"/>
          <w:sz w:val="26"/>
          <w:szCs w:val="26"/>
        </w:rPr>
        <w:t>Norman J. Kennard</w:t>
      </w:r>
    </w:p>
    <w:p w:rsidR="006A328C" w:rsidRDefault="006A328C"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David W. Sweet</w:t>
      </w:r>
    </w:p>
    <w:p w:rsidR="00D662B2" w:rsidRDefault="006A328C"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662B2" w:rsidRPr="003F7EE6">
        <w:rPr>
          <w:rFonts w:ascii="Times New Roman" w:eastAsia="Times New Roman" w:hAnsi="Times New Roman" w:cs="Times New Roman"/>
          <w:sz w:val="26"/>
          <w:szCs w:val="26"/>
        </w:rPr>
        <w:t>John F. Coleman, Jr.</w:t>
      </w:r>
    </w:p>
    <w:p w:rsidR="00D662B2" w:rsidRDefault="00D662B2"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3F7EE6" w:rsidTr="00E509B9">
        <w:tc>
          <w:tcPr>
            <w:tcW w:w="5238" w:type="dxa"/>
          </w:tcPr>
          <w:p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rsidR="00F44833" w:rsidRPr="003F7EE6" w:rsidRDefault="00F44833" w:rsidP="00D662B2">
            <w:pPr>
              <w:spacing w:after="0" w:line="240" w:lineRule="auto"/>
              <w:rPr>
                <w:rFonts w:ascii="Times New Roman" w:eastAsia="Times New Roman" w:hAnsi="Times New Roman" w:cs="Times New Roman"/>
                <w:sz w:val="26"/>
                <w:szCs w:val="26"/>
              </w:rPr>
            </w:pPr>
          </w:p>
          <w:p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v.</w:t>
            </w:r>
          </w:p>
          <w:p w:rsidR="00F44833" w:rsidRPr="003F7EE6" w:rsidRDefault="00F44833" w:rsidP="00D662B2">
            <w:pPr>
              <w:spacing w:after="0" w:line="240" w:lineRule="auto"/>
              <w:rPr>
                <w:rFonts w:ascii="Times New Roman" w:eastAsia="Times New Roman" w:hAnsi="Times New Roman" w:cs="Times New Roman"/>
                <w:sz w:val="26"/>
                <w:szCs w:val="26"/>
              </w:rPr>
            </w:pPr>
          </w:p>
          <w:p w:rsidR="00F44833" w:rsidRPr="003F7EE6" w:rsidRDefault="00B663D8" w:rsidP="00D662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Residents Energy</w:t>
            </w:r>
            <w:r w:rsidR="006A328C">
              <w:rPr>
                <w:rFonts w:ascii="Times New Roman" w:eastAsia="Times New Roman" w:hAnsi="Times New Roman" w:cs="Times New Roman"/>
                <w:sz w:val="26"/>
                <w:szCs w:val="26"/>
              </w:rPr>
              <w:t>, LLC</w:t>
            </w:r>
          </w:p>
          <w:p w:rsidR="00F44833" w:rsidRPr="003F7EE6" w:rsidRDefault="00F44833" w:rsidP="00D662B2">
            <w:pPr>
              <w:spacing w:after="0" w:line="240" w:lineRule="auto"/>
              <w:rPr>
                <w:rFonts w:ascii="Times New Roman" w:eastAsia="Times New Roman" w:hAnsi="Times New Roman" w:cs="Times New Roman"/>
                <w:sz w:val="26"/>
                <w:szCs w:val="26"/>
              </w:rPr>
            </w:pPr>
          </w:p>
        </w:tc>
        <w:tc>
          <w:tcPr>
            <w:tcW w:w="1080" w:type="dxa"/>
          </w:tcPr>
          <w:p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rsidR="00F44833" w:rsidRPr="003F7EE6"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M-201</w:t>
            </w:r>
            <w:r w:rsidR="00AF3939">
              <w:rPr>
                <w:rFonts w:ascii="Times New Roman" w:eastAsia="Times New Roman" w:hAnsi="Times New Roman" w:cs="Times New Roman"/>
                <w:sz w:val="26"/>
                <w:szCs w:val="26"/>
              </w:rPr>
              <w:t>7</w:t>
            </w:r>
            <w:r w:rsidRPr="003F7EE6">
              <w:rPr>
                <w:rFonts w:ascii="Times New Roman" w:eastAsia="Times New Roman" w:hAnsi="Times New Roman" w:cs="Times New Roman"/>
                <w:sz w:val="26"/>
                <w:szCs w:val="26"/>
              </w:rPr>
              <w:t>-</w:t>
            </w:r>
            <w:r w:rsidR="000C58A3">
              <w:rPr>
                <w:rFonts w:ascii="Times New Roman" w:eastAsia="Times New Roman" w:hAnsi="Times New Roman" w:cs="Times New Roman"/>
                <w:sz w:val="26"/>
                <w:szCs w:val="26"/>
              </w:rPr>
              <w:t>2</w:t>
            </w:r>
            <w:r w:rsidR="00D662B2">
              <w:rPr>
                <w:rFonts w:ascii="Times New Roman" w:eastAsia="Times New Roman" w:hAnsi="Times New Roman" w:cs="Times New Roman"/>
                <w:sz w:val="26"/>
                <w:szCs w:val="26"/>
              </w:rPr>
              <w:t>5</w:t>
            </w:r>
            <w:r w:rsidR="00B663D8">
              <w:rPr>
                <w:rFonts w:ascii="Times New Roman" w:eastAsia="Times New Roman" w:hAnsi="Times New Roman" w:cs="Times New Roman"/>
                <w:sz w:val="26"/>
                <w:szCs w:val="26"/>
              </w:rPr>
              <w:t>11372</w:t>
            </w:r>
          </w:p>
          <w:p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r>
    </w:tbl>
    <w:p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p>
    <w:p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rsidR="00A53B32"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w:t>
      </w:r>
      <w:r w:rsidR="00B663D8">
        <w:rPr>
          <w:rFonts w:ascii="Times New Roman" w:eastAsia="Times New Roman" w:hAnsi="Times New Roman" w:cs="Times New Roman"/>
          <w:sz w:val="26"/>
          <w:szCs w:val="26"/>
        </w:rPr>
        <w:t>Settlement Agreement</w:t>
      </w:r>
      <w:r w:rsidRPr="003F7EE6">
        <w:rPr>
          <w:rFonts w:ascii="Times New Roman" w:eastAsia="Times New Roman" w:hAnsi="Times New Roman" w:cs="Times New Roman"/>
          <w:sz w:val="26"/>
          <w:szCs w:val="26"/>
        </w:rPr>
        <w:t xml:space="preserve"> (Settlement) filed on </w:t>
      </w:r>
      <w:r w:rsidR="00B663D8">
        <w:rPr>
          <w:rFonts w:ascii="Times New Roman" w:eastAsia="Times New Roman" w:hAnsi="Times New Roman" w:cs="Times New Roman"/>
          <w:sz w:val="26"/>
          <w:szCs w:val="26"/>
        </w:rPr>
        <w:t>May 12</w:t>
      </w:r>
      <w:r w:rsidR="00D662B2">
        <w:rPr>
          <w:rFonts w:ascii="Times New Roman" w:eastAsia="Times New Roman" w:hAnsi="Times New Roman" w:cs="Times New Roman"/>
          <w:sz w:val="26"/>
          <w:szCs w:val="26"/>
        </w:rPr>
        <w:t>, 201</w:t>
      </w:r>
      <w:r w:rsidR="006A328C">
        <w:rPr>
          <w:rFonts w:ascii="Times New Roman" w:eastAsia="Times New Roman" w:hAnsi="Times New Roman" w:cs="Times New Roman"/>
          <w:sz w:val="26"/>
          <w:szCs w:val="26"/>
        </w:rPr>
        <w:t>7</w:t>
      </w:r>
      <w:r w:rsidRPr="003F7EE6">
        <w:rPr>
          <w:rFonts w:ascii="Times New Roman" w:eastAsia="Times New Roman" w:hAnsi="Times New Roman" w:cs="Times New Roman"/>
          <w:sz w:val="26"/>
          <w:szCs w:val="26"/>
        </w:rPr>
        <w:t xml:space="preserve">, by the Commission’s Bureau of Investigation and Enforcement (I&amp;E) and </w:t>
      </w:r>
      <w:r w:rsidR="00B663D8">
        <w:rPr>
          <w:rFonts w:ascii="Times New Roman" w:eastAsia="Times New Roman" w:hAnsi="Times New Roman" w:cs="Times New Roman"/>
          <w:sz w:val="26"/>
          <w:szCs w:val="26"/>
        </w:rPr>
        <w:t>Residents Energy, LLC</w:t>
      </w:r>
      <w:r w:rsidR="000C58A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w:t>
      </w:r>
      <w:r w:rsidR="00B663D8">
        <w:rPr>
          <w:rFonts w:ascii="Times New Roman" w:eastAsia="Times New Roman" w:hAnsi="Times New Roman" w:cs="Times New Roman"/>
          <w:sz w:val="26"/>
          <w:szCs w:val="26"/>
        </w:rPr>
        <w:t>Residents</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or Company) (collectively, </w:t>
      </w:r>
      <w:r w:rsidR="00DD62AF">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sidR="0002071A">
        <w:rPr>
          <w:rFonts w:ascii="Times New Roman" w:eastAsia="Times New Roman" w:hAnsi="Times New Roman" w:cs="Times New Roman"/>
          <w:sz w:val="26"/>
          <w:szCs w:val="26"/>
        </w:rPr>
        <w:t xml:space="preserve">an </w:t>
      </w:r>
      <w:r w:rsidR="003919F5">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nformal </w:t>
      </w:r>
      <w:r w:rsidR="007A7797">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w:t>
      </w:r>
      <w:r w:rsidR="006A328C">
        <w:rPr>
          <w:rFonts w:ascii="Times New Roman" w:eastAsia="Times New Roman" w:hAnsi="Times New Roman" w:cs="Times New Roman"/>
          <w:sz w:val="26"/>
          <w:szCs w:val="26"/>
        </w:rPr>
        <w:t xml:space="preserve">Both Parties submitted Statements in Support of the Settlement.  </w:t>
      </w:r>
      <w:r w:rsidR="00D662B2">
        <w:rPr>
          <w:rFonts w:ascii="Times New Roman" w:eastAsia="Times New Roman" w:hAnsi="Times New Roman" w:cs="Times New Roman"/>
          <w:sz w:val="26"/>
          <w:szCs w:val="26"/>
        </w:rPr>
        <w:t>The Parties</w:t>
      </w:r>
      <w:r w:rsidRPr="003F7EE6">
        <w:rPr>
          <w:rFonts w:ascii="Times New Roman" w:eastAsia="Times New Roman" w:hAnsi="Times New Roman" w:cs="Times New Roman"/>
          <w:sz w:val="26"/>
          <w:szCs w:val="26"/>
        </w:rPr>
        <w:t xml:space="preserve"> submit that the proposed Settlement is in the public interest and is consistent with the Commission’s Policy Statement at 52 Pa. Code </w:t>
      </w:r>
      <w:r w:rsidRPr="003F7EE6">
        <w:rPr>
          <w:rFonts w:ascii="Times New Roman" w:eastAsia="Times New Roman" w:hAnsi="Times New Roman" w:cs="Times New Roman"/>
          <w:sz w:val="26"/>
          <w:szCs w:val="26"/>
        </w:rPr>
        <w:lastRenderedPageBreak/>
        <w:t>§</w:t>
      </w:r>
      <w:r w:rsidR="00060D64">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DD62AF">
        <w:rPr>
          <w:rFonts w:ascii="Times New Roman" w:eastAsia="Times New Roman" w:hAnsi="Times New Roman" w:cs="Times New Roman"/>
          <w:sz w:val="26"/>
          <w:szCs w:val="26"/>
        </w:rPr>
        <w:t xml:space="preserve">.  </w:t>
      </w:r>
      <w:r w:rsidR="00A53B32">
        <w:rPr>
          <w:rFonts w:ascii="Times New Roman" w:eastAsia="Times New Roman" w:hAnsi="Times New Roman" w:cs="Times New Roman"/>
          <w:sz w:val="26"/>
          <w:szCs w:val="26"/>
        </w:rPr>
        <w:t>Settlement</w:t>
      </w:r>
      <w:r w:rsidR="00DD62AF">
        <w:rPr>
          <w:rFonts w:ascii="Times New Roman" w:eastAsia="Times New Roman" w:hAnsi="Times New Roman" w:cs="Times New Roman"/>
          <w:sz w:val="26"/>
          <w:szCs w:val="26"/>
        </w:rPr>
        <w:t xml:space="preserve"> at </w:t>
      </w:r>
      <w:r w:rsidR="00A53B32">
        <w:rPr>
          <w:rFonts w:ascii="Times New Roman" w:eastAsia="Times New Roman" w:hAnsi="Times New Roman" w:cs="Times New Roman"/>
          <w:sz w:val="26"/>
          <w:szCs w:val="26"/>
        </w:rPr>
        <w:t>1</w:t>
      </w:r>
      <w:r w:rsidR="00B663D8">
        <w:rPr>
          <w:rFonts w:ascii="Times New Roman" w:eastAsia="Times New Roman" w:hAnsi="Times New Roman" w:cs="Times New Roman"/>
          <w:sz w:val="26"/>
          <w:szCs w:val="26"/>
        </w:rPr>
        <w:t>4</w:t>
      </w:r>
      <w:r w:rsidRPr="003F7EE6">
        <w:rPr>
          <w:rFonts w:ascii="Times New Roman" w:eastAsia="Times New Roman" w:hAnsi="Times New Roman" w:cs="Times New Roman"/>
          <w:sz w:val="26"/>
          <w:szCs w:val="26"/>
        </w:rPr>
        <w:t xml:space="preserve">.  </w:t>
      </w:r>
      <w:r w:rsidR="006E0BF5">
        <w:rPr>
          <w:rFonts w:ascii="Times New Roman" w:eastAsia="Times New Roman" w:hAnsi="Times New Roman" w:cs="Times New Roman"/>
          <w:sz w:val="26"/>
          <w:szCs w:val="26"/>
        </w:rPr>
        <w:t xml:space="preserve">For the reasons set forth herein, we </w:t>
      </w:r>
      <w:r w:rsidR="008C2E26">
        <w:rPr>
          <w:rFonts w:ascii="Times New Roman" w:eastAsia="Times New Roman" w:hAnsi="Times New Roman" w:cs="Times New Roman"/>
          <w:sz w:val="26"/>
          <w:szCs w:val="26"/>
        </w:rPr>
        <w:t xml:space="preserve">shall approve the proposed </w:t>
      </w:r>
      <w:r w:rsidR="006E0BF5">
        <w:rPr>
          <w:rFonts w:ascii="Times New Roman" w:eastAsia="Times New Roman" w:hAnsi="Times New Roman" w:cs="Times New Roman"/>
          <w:sz w:val="26"/>
          <w:szCs w:val="26"/>
        </w:rPr>
        <w:t>Settlement, consistent with this Opinion and Order.</w:t>
      </w:r>
    </w:p>
    <w:p w:rsidR="004B32C8" w:rsidRPr="003F7EE6" w:rsidRDefault="004B32C8" w:rsidP="00F44833">
      <w:pPr>
        <w:tabs>
          <w:tab w:val="left" w:pos="-720"/>
        </w:tabs>
        <w:suppressAutoHyphens/>
        <w:spacing w:after="0" w:line="360" w:lineRule="auto"/>
        <w:rPr>
          <w:rFonts w:ascii="Times New Roman" w:eastAsia="Times New Roman" w:hAnsi="Times New Roman" w:cs="Times New Roman"/>
          <w:sz w:val="26"/>
          <w:szCs w:val="26"/>
        </w:rPr>
      </w:pPr>
    </w:p>
    <w:p w:rsidR="00F44833" w:rsidRPr="003F7EE6" w:rsidRDefault="00A30ECF" w:rsidP="00F44833">
      <w:pPr>
        <w:tabs>
          <w:tab w:val="left" w:pos="-720"/>
        </w:tabs>
        <w:suppressAutoHyphens/>
        <w:spacing w:after="0" w:line="24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rsidR="00F44833" w:rsidRPr="003F7EE6" w:rsidRDefault="00F44833" w:rsidP="00F44833">
      <w:pPr>
        <w:tabs>
          <w:tab w:val="center" w:pos="0"/>
        </w:tabs>
        <w:suppressAutoHyphens/>
        <w:spacing w:after="0" w:line="360" w:lineRule="auto"/>
        <w:rPr>
          <w:rFonts w:ascii="Times New Roman" w:eastAsia="Times New Roman" w:hAnsi="Times New Roman" w:cs="Times New Roman"/>
          <w:sz w:val="26"/>
          <w:szCs w:val="26"/>
        </w:rPr>
      </w:pPr>
    </w:p>
    <w:p w:rsidR="00026DFB" w:rsidRDefault="00FC773F"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6203D">
        <w:rPr>
          <w:rFonts w:ascii="Times New Roman" w:eastAsia="Times New Roman" w:hAnsi="Times New Roman" w:cs="Times New Roman"/>
          <w:sz w:val="26"/>
          <w:szCs w:val="26"/>
        </w:rPr>
        <w:t xml:space="preserve">This matter concerns </w:t>
      </w:r>
      <w:r w:rsidR="000C58A3">
        <w:rPr>
          <w:rFonts w:ascii="Times New Roman" w:eastAsia="Times New Roman" w:hAnsi="Times New Roman" w:cs="Times New Roman"/>
          <w:sz w:val="26"/>
          <w:szCs w:val="26"/>
        </w:rPr>
        <w:t>an</w:t>
      </w:r>
      <w:r w:rsidR="0076203D">
        <w:rPr>
          <w:rFonts w:ascii="Times New Roman" w:eastAsia="Times New Roman" w:hAnsi="Times New Roman" w:cs="Times New Roman"/>
          <w:sz w:val="26"/>
          <w:szCs w:val="26"/>
        </w:rPr>
        <w:t xml:space="preserve"> </w:t>
      </w:r>
      <w:r w:rsidR="00384C8C">
        <w:rPr>
          <w:rFonts w:ascii="Times New Roman" w:eastAsia="Times New Roman" w:hAnsi="Times New Roman" w:cs="Times New Roman"/>
          <w:sz w:val="26"/>
          <w:szCs w:val="26"/>
        </w:rPr>
        <w:t>alleged</w:t>
      </w:r>
      <w:r w:rsidR="00596029">
        <w:rPr>
          <w:rFonts w:ascii="Times New Roman" w:eastAsia="Times New Roman" w:hAnsi="Times New Roman" w:cs="Times New Roman"/>
          <w:sz w:val="26"/>
          <w:szCs w:val="26"/>
        </w:rPr>
        <w:t xml:space="preserve"> electric generation</w:t>
      </w:r>
      <w:r w:rsidR="00384C8C">
        <w:rPr>
          <w:rFonts w:ascii="Times New Roman" w:eastAsia="Times New Roman" w:hAnsi="Times New Roman" w:cs="Times New Roman"/>
          <w:sz w:val="26"/>
          <w:szCs w:val="26"/>
        </w:rPr>
        <w:t xml:space="preserve"> </w:t>
      </w:r>
      <w:r w:rsidR="00217F32">
        <w:rPr>
          <w:rFonts w:ascii="Times New Roman" w:eastAsia="Times New Roman" w:hAnsi="Times New Roman" w:cs="Times New Roman"/>
          <w:sz w:val="26"/>
          <w:szCs w:val="26"/>
        </w:rPr>
        <w:t>“</w:t>
      </w:r>
      <w:r w:rsidR="00384C8C">
        <w:rPr>
          <w:rFonts w:ascii="Times New Roman" w:eastAsia="Times New Roman" w:hAnsi="Times New Roman" w:cs="Times New Roman"/>
          <w:sz w:val="26"/>
          <w:szCs w:val="26"/>
        </w:rPr>
        <w:t>slamming</w:t>
      </w:r>
      <w:r w:rsidR="00217F32">
        <w:rPr>
          <w:rFonts w:ascii="Times New Roman" w:eastAsia="Times New Roman" w:hAnsi="Times New Roman" w:cs="Times New Roman"/>
          <w:sz w:val="26"/>
          <w:szCs w:val="26"/>
        </w:rPr>
        <w:t>”</w:t>
      </w:r>
      <w:r w:rsidR="00384C8C">
        <w:rPr>
          <w:rFonts w:ascii="Times New Roman" w:eastAsia="Times New Roman" w:hAnsi="Times New Roman" w:cs="Times New Roman"/>
          <w:sz w:val="26"/>
          <w:szCs w:val="26"/>
        </w:rPr>
        <w:t xml:space="preserve"> incident </w:t>
      </w:r>
      <w:r w:rsidR="00217F32">
        <w:rPr>
          <w:rFonts w:ascii="Times New Roman" w:eastAsia="Times New Roman" w:hAnsi="Times New Roman" w:cs="Times New Roman"/>
          <w:sz w:val="26"/>
          <w:szCs w:val="26"/>
        </w:rPr>
        <w:t>committed by a sales agent of Residents.</w:t>
      </w:r>
      <w:r w:rsidR="00217F32">
        <w:rPr>
          <w:rStyle w:val="FootnoteReference"/>
          <w:rFonts w:ascii="Times New Roman" w:eastAsia="Times New Roman" w:hAnsi="Times New Roman" w:cs="Times New Roman"/>
          <w:sz w:val="26"/>
          <w:szCs w:val="26"/>
        </w:rPr>
        <w:footnoteReference w:id="1"/>
      </w:r>
      <w:r w:rsidR="00217F32">
        <w:rPr>
          <w:rFonts w:ascii="Times New Roman" w:eastAsia="Times New Roman" w:hAnsi="Times New Roman" w:cs="Times New Roman"/>
          <w:sz w:val="26"/>
          <w:szCs w:val="26"/>
        </w:rPr>
        <w:t xml:space="preserve">  The </w:t>
      </w:r>
      <w:r w:rsidR="00384C8C">
        <w:rPr>
          <w:rFonts w:ascii="Times New Roman" w:eastAsia="Times New Roman" w:hAnsi="Times New Roman" w:cs="Times New Roman"/>
          <w:sz w:val="26"/>
          <w:szCs w:val="26"/>
        </w:rPr>
        <w:t>Commission’s Bureau of Consumer Services (BCS)</w:t>
      </w:r>
      <w:r w:rsidR="00217F32">
        <w:rPr>
          <w:rFonts w:ascii="Times New Roman" w:eastAsia="Times New Roman" w:hAnsi="Times New Roman" w:cs="Times New Roman"/>
          <w:sz w:val="26"/>
          <w:szCs w:val="26"/>
        </w:rPr>
        <w:t xml:space="preserve"> received </w:t>
      </w:r>
      <w:r w:rsidR="0005441E">
        <w:rPr>
          <w:rFonts w:ascii="Times New Roman" w:eastAsia="Times New Roman" w:hAnsi="Times New Roman" w:cs="Times New Roman"/>
          <w:sz w:val="26"/>
          <w:szCs w:val="26"/>
        </w:rPr>
        <w:t>the</w:t>
      </w:r>
      <w:r w:rsidR="00217F32">
        <w:rPr>
          <w:rFonts w:ascii="Times New Roman" w:eastAsia="Times New Roman" w:hAnsi="Times New Roman" w:cs="Times New Roman"/>
          <w:sz w:val="26"/>
          <w:szCs w:val="26"/>
        </w:rPr>
        <w:t xml:space="preserve"> allegation from a residential customer of </w:t>
      </w:r>
      <w:r w:rsidR="004676AB">
        <w:rPr>
          <w:rFonts w:ascii="Times New Roman" w:eastAsia="Times New Roman" w:hAnsi="Times New Roman" w:cs="Times New Roman"/>
          <w:sz w:val="26"/>
          <w:szCs w:val="26"/>
        </w:rPr>
        <w:t>Duquesne</w:t>
      </w:r>
      <w:r w:rsidR="00217F32">
        <w:rPr>
          <w:rFonts w:ascii="Times New Roman" w:eastAsia="Times New Roman" w:hAnsi="Times New Roman" w:cs="Times New Roman"/>
          <w:sz w:val="26"/>
          <w:szCs w:val="26"/>
        </w:rPr>
        <w:t xml:space="preserve"> Light Company (Duquesne) </w:t>
      </w:r>
      <w:r w:rsidR="002E7157">
        <w:rPr>
          <w:rFonts w:ascii="Times New Roman" w:eastAsia="Times New Roman" w:hAnsi="Times New Roman" w:cs="Times New Roman"/>
          <w:sz w:val="26"/>
          <w:szCs w:val="26"/>
        </w:rPr>
        <w:t xml:space="preserve">who claimed that </w:t>
      </w:r>
      <w:r w:rsidR="00C808EC">
        <w:rPr>
          <w:rFonts w:ascii="Times New Roman" w:eastAsia="Times New Roman" w:hAnsi="Times New Roman" w:cs="Times New Roman"/>
          <w:sz w:val="26"/>
          <w:szCs w:val="26"/>
        </w:rPr>
        <w:t>Residents</w:t>
      </w:r>
      <w:r w:rsidR="002E7157">
        <w:rPr>
          <w:rFonts w:ascii="Times New Roman" w:eastAsia="Times New Roman" w:hAnsi="Times New Roman" w:cs="Times New Roman"/>
          <w:sz w:val="26"/>
          <w:szCs w:val="26"/>
        </w:rPr>
        <w:t xml:space="preserve"> switched </w:t>
      </w:r>
      <w:r w:rsidR="00217F32">
        <w:rPr>
          <w:rFonts w:ascii="Times New Roman" w:eastAsia="Times New Roman" w:hAnsi="Times New Roman" w:cs="Times New Roman"/>
          <w:sz w:val="26"/>
          <w:szCs w:val="26"/>
        </w:rPr>
        <w:t xml:space="preserve">her electric generation service </w:t>
      </w:r>
      <w:r w:rsidR="002E7157">
        <w:rPr>
          <w:rFonts w:ascii="Times New Roman" w:eastAsia="Times New Roman" w:hAnsi="Times New Roman" w:cs="Times New Roman"/>
          <w:sz w:val="26"/>
          <w:szCs w:val="26"/>
        </w:rPr>
        <w:t>without her</w:t>
      </w:r>
      <w:r w:rsidR="00217F32">
        <w:rPr>
          <w:rFonts w:ascii="Times New Roman" w:eastAsia="Times New Roman" w:hAnsi="Times New Roman" w:cs="Times New Roman"/>
          <w:sz w:val="26"/>
          <w:szCs w:val="26"/>
        </w:rPr>
        <w:t xml:space="preserve"> authorization</w:t>
      </w:r>
      <w:r w:rsidR="00384C8C">
        <w:rPr>
          <w:rFonts w:ascii="Times New Roman" w:eastAsia="Times New Roman" w:hAnsi="Times New Roman" w:cs="Times New Roman"/>
          <w:sz w:val="26"/>
          <w:szCs w:val="26"/>
        </w:rPr>
        <w:t>.</w:t>
      </w:r>
      <w:r w:rsidR="00E561D0">
        <w:rPr>
          <w:rStyle w:val="FootnoteReference"/>
          <w:rFonts w:ascii="Times New Roman" w:eastAsia="Times New Roman" w:hAnsi="Times New Roman" w:cs="Times New Roman"/>
          <w:sz w:val="26"/>
          <w:szCs w:val="26"/>
        </w:rPr>
        <w:footnoteReference w:id="2"/>
      </w:r>
      <w:r w:rsidR="00384C8C">
        <w:rPr>
          <w:rFonts w:ascii="Times New Roman" w:eastAsia="Times New Roman" w:hAnsi="Times New Roman" w:cs="Times New Roman"/>
          <w:sz w:val="26"/>
          <w:szCs w:val="26"/>
        </w:rPr>
        <w:t xml:space="preserve">  BCS </w:t>
      </w:r>
      <w:r w:rsidR="002E7157">
        <w:rPr>
          <w:rFonts w:ascii="Times New Roman" w:eastAsia="Times New Roman" w:hAnsi="Times New Roman" w:cs="Times New Roman"/>
          <w:sz w:val="26"/>
          <w:szCs w:val="26"/>
        </w:rPr>
        <w:t xml:space="preserve">referred the matter to I&amp;E which determined that </w:t>
      </w:r>
      <w:r w:rsidR="00C808EC">
        <w:rPr>
          <w:rFonts w:ascii="Times New Roman" w:eastAsia="Times New Roman" w:hAnsi="Times New Roman" w:cs="Times New Roman"/>
          <w:sz w:val="26"/>
          <w:szCs w:val="26"/>
        </w:rPr>
        <w:t xml:space="preserve">the </w:t>
      </w:r>
      <w:r w:rsidR="002E7157">
        <w:rPr>
          <w:rFonts w:ascii="Times New Roman" w:eastAsia="Times New Roman" w:hAnsi="Times New Roman" w:cs="Times New Roman"/>
          <w:sz w:val="26"/>
          <w:szCs w:val="26"/>
        </w:rPr>
        <w:t>allegation warranted further investigation</w:t>
      </w:r>
      <w:r w:rsidR="00C808EC">
        <w:rPr>
          <w:rFonts w:ascii="Times New Roman" w:eastAsia="Times New Roman" w:hAnsi="Times New Roman" w:cs="Times New Roman"/>
          <w:sz w:val="26"/>
          <w:szCs w:val="26"/>
        </w:rPr>
        <w:t xml:space="preserve"> to examine whether the actions of Residents or the third-party vendor hired by the Company violated </w:t>
      </w:r>
      <w:r w:rsidR="00D36807">
        <w:rPr>
          <w:rFonts w:ascii="Times New Roman" w:eastAsia="Times New Roman" w:hAnsi="Times New Roman" w:cs="Times New Roman"/>
          <w:sz w:val="26"/>
          <w:szCs w:val="26"/>
        </w:rPr>
        <w:t xml:space="preserve">the </w:t>
      </w:r>
      <w:r w:rsidR="00C808EC">
        <w:rPr>
          <w:rFonts w:ascii="Times New Roman" w:eastAsia="Times New Roman" w:hAnsi="Times New Roman" w:cs="Times New Roman"/>
          <w:sz w:val="26"/>
          <w:szCs w:val="26"/>
        </w:rPr>
        <w:t>Commission</w:t>
      </w:r>
      <w:r w:rsidR="00D36807">
        <w:rPr>
          <w:rFonts w:ascii="Times New Roman" w:eastAsia="Times New Roman" w:hAnsi="Times New Roman" w:cs="Times New Roman"/>
          <w:sz w:val="26"/>
          <w:szCs w:val="26"/>
        </w:rPr>
        <w:t>’s</w:t>
      </w:r>
      <w:r w:rsidR="00C808EC">
        <w:rPr>
          <w:rFonts w:ascii="Times New Roman" w:eastAsia="Times New Roman" w:hAnsi="Times New Roman" w:cs="Times New Roman"/>
          <w:sz w:val="26"/>
          <w:szCs w:val="26"/>
        </w:rPr>
        <w:t xml:space="preserve"> Regulations or Orders</w:t>
      </w:r>
      <w:r w:rsidR="002E7157">
        <w:rPr>
          <w:rFonts w:ascii="Times New Roman" w:eastAsia="Times New Roman" w:hAnsi="Times New Roman" w:cs="Times New Roman"/>
          <w:sz w:val="26"/>
          <w:szCs w:val="26"/>
        </w:rPr>
        <w:t xml:space="preserve">.  </w:t>
      </w:r>
      <w:r w:rsidR="0076203D">
        <w:rPr>
          <w:rFonts w:ascii="Times New Roman" w:eastAsia="Times New Roman" w:hAnsi="Times New Roman" w:cs="Times New Roman"/>
          <w:sz w:val="26"/>
          <w:szCs w:val="26"/>
        </w:rPr>
        <w:t xml:space="preserve">By letter dated </w:t>
      </w:r>
      <w:r w:rsidR="00494814">
        <w:rPr>
          <w:rFonts w:ascii="Times New Roman" w:eastAsia="Times New Roman" w:hAnsi="Times New Roman" w:cs="Times New Roman"/>
          <w:sz w:val="26"/>
          <w:szCs w:val="26"/>
        </w:rPr>
        <w:t>February 1</w:t>
      </w:r>
      <w:r w:rsidR="002E7157">
        <w:rPr>
          <w:rFonts w:ascii="Times New Roman" w:eastAsia="Times New Roman" w:hAnsi="Times New Roman" w:cs="Times New Roman"/>
          <w:sz w:val="26"/>
          <w:szCs w:val="26"/>
        </w:rPr>
        <w:t>8</w:t>
      </w:r>
      <w:r w:rsidR="00494814">
        <w:rPr>
          <w:rFonts w:ascii="Times New Roman" w:eastAsia="Times New Roman" w:hAnsi="Times New Roman" w:cs="Times New Roman"/>
          <w:sz w:val="26"/>
          <w:szCs w:val="26"/>
        </w:rPr>
        <w:t>, 2016</w:t>
      </w:r>
      <w:r w:rsidR="0076203D">
        <w:rPr>
          <w:rFonts w:ascii="Times New Roman" w:eastAsia="Times New Roman" w:hAnsi="Times New Roman" w:cs="Times New Roman"/>
          <w:sz w:val="26"/>
          <w:szCs w:val="26"/>
        </w:rPr>
        <w:t xml:space="preserve">, I&amp;E </w:t>
      </w:r>
      <w:r w:rsidR="00F1278B">
        <w:rPr>
          <w:rFonts w:ascii="Times New Roman" w:eastAsia="Times New Roman" w:hAnsi="Times New Roman" w:cs="Times New Roman"/>
          <w:sz w:val="26"/>
          <w:szCs w:val="26"/>
        </w:rPr>
        <w:t>submitted</w:t>
      </w:r>
      <w:r w:rsidR="002E7157">
        <w:rPr>
          <w:rFonts w:ascii="Times New Roman" w:eastAsia="Times New Roman" w:hAnsi="Times New Roman" w:cs="Times New Roman"/>
          <w:sz w:val="26"/>
          <w:szCs w:val="26"/>
        </w:rPr>
        <w:t xml:space="preserve"> data requests </w:t>
      </w:r>
      <w:r w:rsidR="00F1278B">
        <w:rPr>
          <w:rFonts w:ascii="Times New Roman" w:eastAsia="Times New Roman" w:hAnsi="Times New Roman" w:cs="Times New Roman"/>
          <w:sz w:val="26"/>
          <w:szCs w:val="26"/>
        </w:rPr>
        <w:t xml:space="preserve">to Residents </w:t>
      </w:r>
      <w:r w:rsidR="002E7157">
        <w:rPr>
          <w:rFonts w:ascii="Times New Roman" w:eastAsia="Times New Roman" w:hAnsi="Times New Roman" w:cs="Times New Roman"/>
          <w:sz w:val="26"/>
          <w:szCs w:val="26"/>
        </w:rPr>
        <w:t xml:space="preserve">related to the slamming allegation and Residents timely complied with the requests.  </w:t>
      </w:r>
      <w:r w:rsidR="000D3751">
        <w:rPr>
          <w:rFonts w:ascii="Times New Roman" w:eastAsia="Times New Roman" w:hAnsi="Times New Roman" w:cs="Times New Roman"/>
          <w:sz w:val="26"/>
          <w:szCs w:val="26"/>
        </w:rPr>
        <w:t>Thereafter, t</w:t>
      </w:r>
      <w:r w:rsidR="00026DFB">
        <w:rPr>
          <w:rFonts w:ascii="Times New Roman" w:eastAsia="Times New Roman" w:hAnsi="Times New Roman" w:cs="Times New Roman"/>
          <w:sz w:val="26"/>
          <w:szCs w:val="26"/>
        </w:rPr>
        <w:t>he Parties entered into negotiations and agreed to resolve th</w:t>
      </w:r>
      <w:r w:rsidR="00F8641C">
        <w:rPr>
          <w:rFonts w:ascii="Times New Roman" w:eastAsia="Times New Roman" w:hAnsi="Times New Roman" w:cs="Times New Roman"/>
          <w:sz w:val="26"/>
          <w:szCs w:val="26"/>
        </w:rPr>
        <w:t>e</w:t>
      </w:r>
      <w:r w:rsidR="00B25360">
        <w:rPr>
          <w:rFonts w:ascii="Times New Roman" w:eastAsia="Times New Roman" w:hAnsi="Times New Roman" w:cs="Times New Roman"/>
          <w:sz w:val="26"/>
          <w:szCs w:val="26"/>
        </w:rPr>
        <w:t xml:space="preserve"> </w:t>
      </w:r>
      <w:r w:rsidR="00026DFB">
        <w:rPr>
          <w:rFonts w:ascii="Times New Roman" w:eastAsia="Times New Roman" w:hAnsi="Times New Roman" w:cs="Times New Roman"/>
          <w:sz w:val="26"/>
          <w:szCs w:val="26"/>
        </w:rPr>
        <w:t xml:space="preserve">matter in accordance with the Commission’s policy to promote settlements at 52 Pa. Code § 5.231.  The Parties filed the instant Settlement on </w:t>
      </w:r>
      <w:r w:rsidR="00C808EC">
        <w:rPr>
          <w:rFonts w:ascii="Times New Roman" w:eastAsia="Times New Roman" w:hAnsi="Times New Roman" w:cs="Times New Roman"/>
          <w:sz w:val="26"/>
          <w:szCs w:val="26"/>
        </w:rPr>
        <w:t>May 12</w:t>
      </w:r>
      <w:r w:rsidR="00183096">
        <w:rPr>
          <w:rFonts w:ascii="Times New Roman" w:eastAsia="Times New Roman" w:hAnsi="Times New Roman" w:cs="Times New Roman"/>
          <w:sz w:val="26"/>
          <w:szCs w:val="26"/>
        </w:rPr>
        <w:t>, 2017</w:t>
      </w:r>
      <w:r w:rsidR="00026DFB">
        <w:rPr>
          <w:rFonts w:ascii="Times New Roman" w:eastAsia="Times New Roman" w:hAnsi="Times New Roman" w:cs="Times New Roman"/>
          <w:sz w:val="26"/>
          <w:szCs w:val="26"/>
        </w:rPr>
        <w:t>.</w:t>
      </w:r>
    </w:p>
    <w:p w:rsidR="00B25360" w:rsidRDefault="00B25360" w:rsidP="00F44833">
      <w:pPr>
        <w:tabs>
          <w:tab w:val="center" w:pos="0"/>
        </w:tabs>
        <w:suppressAutoHyphens/>
        <w:spacing w:after="0" w:line="360" w:lineRule="auto"/>
        <w:rPr>
          <w:rFonts w:ascii="Times New Roman" w:eastAsia="Times New Roman" w:hAnsi="Times New Roman" w:cs="Times New Roman"/>
          <w:sz w:val="26"/>
          <w:szCs w:val="26"/>
        </w:rPr>
      </w:pPr>
    </w:p>
    <w:p w:rsidR="00026DFB" w:rsidRPr="00026DFB" w:rsidRDefault="00026DFB" w:rsidP="00026DFB">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rsidR="00026DFB" w:rsidRDefault="00026DFB" w:rsidP="00026DFB">
      <w:pPr>
        <w:keepNext/>
        <w:tabs>
          <w:tab w:val="center" w:pos="0"/>
        </w:tabs>
        <w:suppressAutoHyphens/>
        <w:spacing w:after="0" w:line="360" w:lineRule="auto"/>
        <w:rPr>
          <w:rFonts w:ascii="Times New Roman" w:eastAsia="Times New Roman" w:hAnsi="Times New Roman" w:cs="Times New Roman"/>
          <w:sz w:val="26"/>
          <w:szCs w:val="26"/>
        </w:rPr>
      </w:pPr>
    </w:p>
    <w:p w:rsidR="00994537" w:rsidRDefault="00026DFB" w:rsidP="009C64F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D36807">
        <w:rPr>
          <w:rFonts w:ascii="Times New Roman" w:eastAsia="Times New Roman" w:hAnsi="Times New Roman" w:cs="Times New Roman"/>
          <w:sz w:val="26"/>
          <w:szCs w:val="26"/>
        </w:rPr>
        <w:t xml:space="preserve">The </w:t>
      </w:r>
      <w:r w:rsidR="00481559">
        <w:rPr>
          <w:rFonts w:ascii="Times New Roman" w:eastAsia="Times New Roman" w:hAnsi="Times New Roman" w:cs="Times New Roman"/>
          <w:sz w:val="26"/>
          <w:szCs w:val="26"/>
        </w:rPr>
        <w:t xml:space="preserve">slamming </w:t>
      </w:r>
      <w:r w:rsidR="00D36807">
        <w:rPr>
          <w:rFonts w:ascii="Times New Roman" w:eastAsia="Times New Roman" w:hAnsi="Times New Roman" w:cs="Times New Roman"/>
          <w:sz w:val="26"/>
          <w:szCs w:val="26"/>
        </w:rPr>
        <w:t xml:space="preserve">allegation stems from an informal complaint filed by a residential customer of Duquesne on September 28, 2015.  In the informal complaint, the </w:t>
      </w:r>
      <w:r w:rsidR="00D36807">
        <w:rPr>
          <w:rFonts w:ascii="Times New Roman" w:eastAsia="Times New Roman" w:hAnsi="Times New Roman" w:cs="Times New Roman"/>
          <w:sz w:val="26"/>
          <w:szCs w:val="26"/>
        </w:rPr>
        <w:lastRenderedPageBreak/>
        <w:t xml:space="preserve">customer alleged that a male individual came to </w:t>
      </w:r>
      <w:r w:rsidR="00F1278B">
        <w:rPr>
          <w:rFonts w:ascii="Times New Roman" w:eastAsia="Times New Roman" w:hAnsi="Times New Roman" w:cs="Times New Roman"/>
          <w:sz w:val="26"/>
          <w:szCs w:val="26"/>
        </w:rPr>
        <w:t>the</w:t>
      </w:r>
      <w:r w:rsidR="00D36807">
        <w:rPr>
          <w:rFonts w:ascii="Times New Roman" w:eastAsia="Times New Roman" w:hAnsi="Times New Roman" w:cs="Times New Roman"/>
          <w:sz w:val="26"/>
          <w:szCs w:val="26"/>
        </w:rPr>
        <w:t xml:space="preserve"> customer’s door and stated that he was enrolling customers in a Customer Assistance Program (CAP) designed to assist low income individuals.  The customer was interested in CAP and agreed to enroll in the program.</w:t>
      </w:r>
      <w:r w:rsidR="00994537">
        <w:rPr>
          <w:rFonts w:ascii="Times New Roman" w:eastAsia="Times New Roman" w:hAnsi="Times New Roman" w:cs="Times New Roman"/>
          <w:sz w:val="26"/>
          <w:szCs w:val="26"/>
        </w:rPr>
        <w:t xml:space="preserve">  </w:t>
      </w:r>
      <w:r w:rsidR="00D36807">
        <w:rPr>
          <w:rFonts w:ascii="Times New Roman" w:eastAsia="Times New Roman" w:hAnsi="Times New Roman" w:cs="Times New Roman"/>
          <w:sz w:val="26"/>
          <w:szCs w:val="26"/>
        </w:rPr>
        <w:t xml:space="preserve">It was determined that the male individual was employed </w:t>
      </w:r>
      <w:r w:rsidR="00994537">
        <w:rPr>
          <w:rFonts w:ascii="Times New Roman" w:eastAsia="Times New Roman" w:hAnsi="Times New Roman" w:cs="Times New Roman"/>
          <w:sz w:val="26"/>
          <w:szCs w:val="26"/>
        </w:rPr>
        <w:t xml:space="preserve">as a sales agent </w:t>
      </w:r>
      <w:r w:rsidR="00D36807">
        <w:rPr>
          <w:rFonts w:ascii="Times New Roman" w:eastAsia="Times New Roman" w:hAnsi="Times New Roman" w:cs="Times New Roman"/>
          <w:sz w:val="26"/>
          <w:szCs w:val="26"/>
        </w:rPr>
        <w:t>by a third-party contractor hired by Residents to solicit EGS service on behalf of the Company</w:t>
      </w:r>
      <w:r w:rsidR="00994537">
        <w:rPr>
          <w:rFonts w:ascii="Times New Roman" w:eastAsia="Times New Roman" w:hAnsi="Times New Roman" w:cs="Times New Roman"/>
          <w:sz w:val="26"/>
          <w:szCs w:val="26"/>
        </w:rPr>
        <w:t>.  After meeting with the customer, the sales agent began the third-party verification (TPV) process to switch the customer’s EGS service to Residents.</w:t>
      </w:r>
      <w:r w:rsidR="00481559">
        <w:rPr>
          <w:rFonts w:ascii="Times New Roman" w:eastAsia="Times New Roman" w:hAnsi="Times New Roman" w:cs="Times New Roman"/>
          <w:sz w:val="26"/>
          <w:szCs w:val="26"/>
        </w:rPr>
        <w:t xml:space="preserve">  </w:t>
      </w:r>
      <w:r w:rsidR="00994537">
        <w:rPr>
          <w:rFonts w:ascii="Times New Roman" w:eastAsia="Times New Roman" w:hAnsi="Times New Roman" w:cs="Times New Roman"/>
          <w:sz w:val="26"/>
          <w:szCs w:val="26"/>
        </w:rPr>
        <w:t>Settlement at 4.</w:t>
      </w:r>
    </w:p>
    <w:p w:rsidR="00994537" w:rsidRDefault="00994537" w:rsidP="009C64F0">
      <w:pPr>
        <w:tabs>
          <w:tab w:val="center" w:pos="0"/>
        </w:tabs>
        <w:suppressAutoHyphens/>
        <w:spacing w:after="0" w:line="360" w:lineRule="auto"/>
        <w:rPr>
          <w:rFonts w:ascii="Times New Roman" w:eastAsia="Times New Roman" w:hAnsi="Times New Roman" w:cs="Times New Roman"/>
          <w:sz w:val="26"/>
          <w:szCs w:val="26"/>
        </w:rPr>
      </w:pPr>
    </w:p>
    <w:p w:rsidR="002E68A7" w:rsidRDefault="00E561D0" w:rsidP="009C64F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15966">
        <w:rPr>
          <w:rFonts w:ascii="Times New Roman" w:eastAsia="Times New Roman" w:hAnsi="Times New Roman" w:cs="Times New Roman"/>
          <w:sz w:val="26"/>
          <w:szCs w:val="26"/>
        </w:rPr>
        <w:t>During the TPV phone call, the customer asked</w:t>
      </w:r>
      <w:r w:rsidR="002E68A7">
        <w:rPr>
          <w:rFonts w:ascii="Times New Roman" w:eastAsia="Times New Roman" w:hAnsi="Times New Roman" w:cs="Times New Roman"/>
          <w:sz w:val="26"/>
          <w:szCs w:val="26"/>
        </w:rPr>
        <w:t xml:space="preserve"> whether her EGS service was being switched and the TPV provider confirmed that the customer’s agreement would result in the switching of her service.  In response, the customer stated that she did not want to switch her EGS service and the call ended.  Although she did not complete the TPV process, the customer’s EGS service was switched to Residents.  By letter dated September 22, 2015, Duquesne confirmed the switch.  Residents provided EGS service to the customer for seventeen days, from September 25, 2015, to October 11, 2015.  After receiving Duquesne’s confirmation letter, the customer filed her informal complaint with BCS alleging the unauthorized switch in service.  </w:t>
      </w:r>
      <w:r w:rsidR="002E68A7" w:rsidRPr="002E68A7">
        <w:rPr>
          <w:rFonts w:ascii="Times New Roman" w:eastAsia="Times New Roman" w:hAnsi="Times New Roman" w:cs="Times New Roman"/>
          <w:i/>
          <w:sz w:val="26"/>
          <w:szCs w:val="26"/>
        </w:rPr>
        <w:t>Id.</w:t>
      </w:r>
      <w:r w:rsidR="002E68A7">
        <w:rPr>
          <w:rFonts w:ascii="Times New Roman" w:eastAsia="Times New Roman" w:hAnsi="Times New Roman" w:cs="Times New Roman"/>
          <w:sz w:val="26"/>
          <w:szCs w:val="26"/>
        </w:rPr>
        <w:t xml:space="preserve"> at 3-</w:t>
      </w:r>
      <w:r w:rsidR="00576BA0">
        <w:rPr>
          <w:rFonts w:ascii="Times New Roman" w:eastAsia="Times New Roman" w:hAnsi="Times New Roman" w:cs="Times New Roman"/>
          <w:sz w:val="26"/>
          <w:szCs w:val="26"/>
        </w:rPr>
        <w:t>5</w:t>
      </w:r>
      <w:r w:rsidR="002E68A7">
        <w:rPr>
          <w:rFonts w:ascii="Times New Roman" w:eastAsia="Times New Roman" w:hAnsi="Times New Roman" w:cs="Times New Roman"/>
          <w:sz w:val="26"/>
          <w:szCs w:val="26"/>
        </w:rPr>
        <w:t xml:space="preserve">.  </w:t>
      </w:r>
    </w:p>
    <w:p w:rsidR="002E68A7" w:rsidRDefault="002E68A7" w:rsidP="009C64F0">
      <w:pPr>
        <w:tabs>
          <w:tab w:val="center" w:pos="0"/>
        </w:tabs>
        <w:suppressAutoHyphens/>
        <w:spacing w:after="0" w:line="360" w:lineRule="auto"/>
        <w:rPr>
          <w:rFonts w:ascii="Times New Roman" w:eastAsia="Times New Roman" w:hAnsi="Times New Roman" w:cs="Times New Roman"/>
          <w:sz w:val="26"/>
          <w:szCs w:val="26"/>
        </w:rPr>
      </w:pPr>
    </w:p>
    <w:p w:rsidR="002E68A7" w:rsidRDefault="002E68A7" w:rsidP="009C64F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917171">
        <w:rPr>
          <w:rFonts w:ascii="Times New Roman" w:eastAsia="Times New Roman" w:hAnsi="Times New Roman" w:cs="Times New Roman"/>
          <w:sz w:val="26"/>
          <w:szCs w:val="26"/>
        </w:rPr>
        <w:t xml:space="preserve">In response to the informal complaint, Residents </w:t>
      </w:r>
      <w:r w:rsidR="00D80B94">
        <w:rPr>
          <w:rFonts w:ascii="Times New Roman" w:eastAsia="Times New Roman" w:hAnsi="Times New Roman" w:cs="Times New Roman"/>
          <w:sz w:val="26"/>
          <w:szCs w:val="26"/>
        </w:rPr>
        <w:t>investigated two separate TPV calls regarding the customer’s EGS service.  Upon review of the first recording, Residents determined that the first TPV call confirmed the customer’s informal complaint allegations that she refused to authorize a switch of her EGS service.  In the second TPV recording</w:t>
      </w:r>
      <w:r w:rsidR="00576BA0">
        <w:rPr>
          <w:rFonts w:ascii="Times New Roman" w:eastAsia="Times New Roman" w:hAnsi="Times New Roman" w:cs="Times New Roman"/>
          <w:sz w:val="26"/>
          <w:szCs w:val="26"/>
        </w:rPr>
        <w:t xml:space="preserve">, however, </w:t>
      </w:r>
      <w:r w:rsidR="00D80B94">
        <w:rPr>
          <w:rFonts w:ascii="Times New Roman" w:eastAsia="Times New Roman" w:hAnsi="Times New Roman" w:cs="Times New Roman"/>
          <w:sz w:val="26"/>
          <w:szCs w:val="26"/>
        </w:rPr>
        <w:t>an individual</w:t>
      </w:r>
      <w:r w:rsidR="003A61E3">
        <w:rPr>
          <w:rFonts w:ascii="Times New Roman" w:eastAsia="Times New Roman" w:hAnsi="Times New Roman" w:cs="Times New Roman"/>
          <w:sz w:val="26"/>
          <w:szCs w:val="26"/>
        </w:rPr>
        <w:t>,</w:t>
      </w:r>
      <w:r w:rsidR="00D80B94">
        <w:rPr>
          <w:rFonts w:ascii="Times New Roman" w:eastAsia="Times New Roman" w:hAnsi="Times New Roman" w:cs="Times New Roman"/>
          <w:sz w:val="26"/>
          <w:szCs w:val="26"/>
        </w:rPr>
        <w:t xml:space="preserve"> purporting to be the customer</w:t>
      </w:r>
      <w:r w:rsidR="003A61E3">
        <w:rPr>
          <w:rFonts w:ascii="Times New Roman" w:eastAsia="Times New Roman" w:hAnsi="Times New Roman" w:cs="Times New Roman"/>
          <w:sz w:val="26"/>
          <w:szCs w:val="26"/>
        </w:rPr>
        <w:t>,</w:t>
      </w:r>
      <w:r w:rsidR="00D80B94">
        <w:rPr>
          <w:rFonts w:ascii="Times New Roman" w:eastAsia="Times New Roman" w:hAnsi="Times New Roman" w:cs="Times New Roman"/>
          <w:sz w:val="26"/>
          <w:szCs w:val="26"/>
        </w:rPr>
        <w:t xml:space="preserve"> authorized the switch to Residents.  As part of its internal investigation, the Company played the second recording to the customer who </w:t>
      </w:r>
      <w:r w:rsidR="00576BA0">
        <w:rPr>
          <w:rFonts w:ascii="Times New Roman" w:eastAsia="Times New Roman" w:hAnsi="Times New Roman" w:cs="Times New Roman"/>
          <w:sz w:val="26"/>
          <w:szCs w:val="26"/>
        </w:rPr>
        <w:t xml:space="preserve">stated that she was not the person on the call making the authorization.  Residents determined that the second TPV recording was fraudulent and therefore an invalid TPV authorization.  </w:t>
      </w:r>
      <w:r w:rsidR="00576BA0" w:rsidRPr="00576BA0">
        <w:rPr>
          <w:rFonts w:ascii="Times New Roman" w:eastAsia="Times New Roman" w:hAnsi="Times New Roman" w:cs="Times New Roman"/>
          <w:i/>
          <w:sz w:val="26"/>
          <w:szCs w:val="26"/>
        </w:rPr>
        <w:t>Id.</w:t>
      </w:r>
      <w:r w:rsidR="00576BA0">
        <w:rPr>
          <w:rFonts w:ascii="Times New Roman" w:eastAsia="Times New Roman" w:hAnsi="Times New Roman" w:cs="Times New Roman"/>
          <w:sz w:val="26"/>
          <w:szCs w:val="26"/>
        </w:rPr>
        <w:t xml:space="preserve"> at 5.</w:t>
      </w:r>
    </w:p>
    <w:p w:rsidR="00576BA0" w:rsidRDefault="00576BA0" w:rsidP="009C64F0">
      <w:pPr>
        <w:tabs>
          <w:tab w:val="center" w:pos="0"/>
        </w:tabs>
        <w:suppressAutoHyphens/>
        <w:spacing w:after="0" w:line="360" w:lineRule="auto"/>
        <w:rPr>
          <w:rFonts w:ascii="Times New Roman" w:eastAsia="Times New Roman" w:hAnsi="Times New Roman" w:cs="Times New Roman"/>
          <w:sz w:val="26"/>
          <w:szCs w:val="26"/>
        </w:rPr>
      </w:pPr>
    </w:p>
    <w:p w:rsidR="00576BA0" w:rsidRDefault="00576BA0" w:rsidP="009C64F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t>After receiving the referral from BCS, I&amp;E initiated the informal investigation to determine whether Residents enrolled the customer in its EGS service without authorization, contrary to the Commission’s Regulations at 52 Pa. Code §§</w:t>
      </w:r>
      <w:r w:rsidR="00863323">
        <w:rPr>
          <w:rFonts w:ascii="Times New Roman" w:eastAsia="Times New Roman" w:hAnsi="Times New Roman" w:cs="Times New Roman"/>
          <w:sz w:val="26"/>
          <w:szCs w:val="26"/>
        </w:rPr>
        <w:t> </w:t>
      </w:r>
      <w:r>
        <w:rPr>
          <w:rFonts w:ascii="Times New Roman" w:eastAsia="Times New Roman" w:hAnsi="Times New Roman" w:cs="Times New Roman"/>
          <w:sz w:val="26"/>
          <w:szCs w:val="26"/>
        </w:rPr>
        <w:t>57.171-179.  I&amp;E reviewed the Company’s responses to the data requests and concluded that the second TPV call was fraudulent and thus could not satisfy the Commission’s requirements for switching EGS service.  Settlement at 6.</w:t>
      </w:r>
    </w:p>
    <w:p w:rsidR="00576BA0" w:rsidRDefault="00576BA0" w:rsidP="009C64F0">
      <w:pPr>
        <w:tabs>
          <w:tab w:val="center" w:pos="0"/>
        </w:tabs>
        <w:suppressAutoHyphens/>
        <w:spacing w:after="0" w:line="360" w:lineRule="auto"/>
        <w:rPr>
          <w:rFonts w:ascii="Times New Roman" w:eastAsia="Times New Roman" w:hAnsi="Times New Roman" w:cs="Times New Roman"/>
          <w:sz w:val="26"/>
          <w:szCs w:val="26"/>
        </w:rPr>
      </w:pPr>
    </w:p>
    <w:p w:rsidR="00576BA0" w:rsidRDefault="00576BA0" w:rsidP="009C64F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E59B1">
        <w:rPr>
          <w:rFonts w:ascii="Times New Roman" w:eastAsia="Times New Roman" w:hAnsi="Times New Roman" w:cs="Times New Roman"/>
          <w:sz w:val="26"/>
          <w:szCs w:val="26"/>
        </w:rPr>
        <w:t xml:space="preserve">In its investigation, I&amp;E determined that the </w:t>
      </w:r>
      <w:r w:rsidR="00B708FD">
        <w:rPr>
          <w:rFonts w:ascii="Times New Roman" w:eastAsia="Times New Roman" w:hAnsi="Times New Roman" w:cs="Times New Roman"/>
          <w:sz w:val="26"/>
          <w:szCs w:val="26"/>
        </w:rPr>
        <w:t>door-to-door sales agent</w:t>
      </w:r>
      <w:r w:rsidR="00971344">
        <w:rPr>
          <w:rFonts w:ascii="Times New Roman" w:eastAsia="Times New Roman" w:hAnsi="Times New Roman" w:cs="Times New Roman"/>
          <w:sz w:val="26"/>
          <w:szCs w:val="26"/>
        </w:rPr>
        <w:t xml:space="preserve"> was</w:t>
      </w:r>
      <w:r w:rsidR="00B708FD">
        <w:rPr>
          <w:rFonts w:ascii="Times New Roman" w:eastAsia="Times New Roman" w:hAnsi="Times New Roman" w:cs="Times New Roman"/>
          <w:sz w:val="26"/>
          <w:szCs w:val="26"/>
        </w:rPr>
        <w:t xml:space="preserve"> Jeremy Neal, an independent contractor of Energy Group Consultants, the third-party vendor hired by the Company to conduct its door-to-door sales and solicit customers to switch their EGS service to Residents.  </w:t>
      </w:r>
      <w:r w:rsidR="00FD2835">
        <w:rPr>
          <w:rFonts w:ascii="Times New Roman" w:eastAsia="Times New Roman" w:hAnsi="Times New Roman" w:cs="Times New Roman"/>
          <w:sz w:val="26"/>
          <w:szCs w:val="26"/>
        </w:rPr>
        <w:t xml:space="preserve">According to the Parties, Mr. Neal conducted door-to-door sales on behalf of Residents from September 15, 2015, to September 29, 2015.  It is alleged that Mr. Neal was involved in a scheme, without the Company’s knowledge, to obtain third-party verifications by directing the TPV’s to an accomplice posing as a customer and enrolling the accounts.  </w:t>
      </w:r>
      <w:r w:rsidR="002C66A7">
        <w:rPr>
          <w:rFonts w:ascii="Times New Roman" w:eastAsia="Times New Roman" w:hAnsi="Times New Roman" w:cs="Times New Roman"/>
          <w:sz w:val="26"/>
          <w:szCs w:val="26"/>
        </w:rPr>
        <w:t>Although audio recordings of TPVs were conduct</w:t>
      </w:r>
      <w:r w:rsidR="007A7797">
        <w:rPr>
          <w:rFonts w:ascii="Times New Roman" w:eastAsia="Times New Roman" w:hAnsi="Times New Roman" w:cs="Times New Roman"/>
          <w:sz w:val="26"/>
          <w:szCs w:val="26"/>
        </w:rPr>
        <w:t>ed</w:t>
      </w:r>
      <w:r w:rsidR="002C66A7">
        <w:rPr>
          <w:rFonts w:ascii="Times New Roman" w:eastAsia="Times New Roman" w:hAnsi="Times New Roman" w:cs="Times New Roman"/>
          <w:sz w:val="26"/>
          <w:szCs w:val="26"/>
        </w:rPr>
        <w:t xml:space="preserve">, it is alleged that the authorizing party on the other end was not the </w:t>
      </w:r>
      <w:r w:rsidR="007A7797">
        <w:rPr>
          <w:rFonts w:ascii="Times New Roman" w:eastAsia="Times New Roman" w:hAnsi="Times New Roman" w:cs="Times New Roman"/>
          <w:sz w:val="26"/>
          <w:szCs w:val="26"/>
        </w:rPr>
        <w:t xml:space="preserve">actual </w:t>
      </w:r>
      <w:r w:rsidR="002C66A7">
        <w:rPr>
          <w:rFonts w:ascii="Times New Roman" w:eastAsia="Times New Roman" w:hAnsi="Times New Roman" w:cs="Times New Roman"/>
          <w:sz w:val="26"/>
          <w:szCs w:val="26"/>
        </w:rPr>
        <w:t xml:space="preserve">customer.  </w:t>
      </w:r>
      <w:r w:rsidR="002C66A7" w:rsidRPr="002C66A7">
        <w:rPr>
          <w:rFonts w:ascii="Times New Roman" w:eastAsia="Times New Roman" w:hAnsi="Times New Roman" w:cs="Times New Roman"/>
          <w:i/>
          <w:sz w:val="26"/>
          <w:szCs w:val="26"/>
        </w:rPr>
        <w:t>Id.</w:t>
      </w:r>
      <w:r w:rsidR="002C66A7">
        <w:rPr>
          <w:rFonts w:ascii="Times New Roman" w:eastAsia="Times New Roman" w:hAnsi="Times New Roman" w:cs="Times New Roman"/>
          <w:sz w:val="26"/>
          <w:szCs w:val="26"/>
        </w:rPr>
        <w:t xml:space="preserve"> at 6-7.</w:t>
      </w:r>
    </w:p>
    <w:p w:rsidR="002C66A7" w:rsidRDefault="002C66A7" w:rsidP="009C64F0">
      <w:pPr>
        <w:tabs>
          <w:tab w:val="center" w:pos="0"/>
        </w:tabs>
        <w:suppressAutoHyphens/>
        <w:spacing w:after="0" w:line="360" w:lineRule="auto"/>
        <w:rPr>
          <w:rFonts w:ascii="Times New Roman" w:eastAsia="Times New Roman" w:hAnsi="Times New Roman" w:cs="Times New Roman"/>
          <w:sz w:val="26"/>
          <w:szCs w:val="26"/>
        </w:rPr>
      </w:pPr>
    </w:p>
    <w:p w:rsidR="002C66A7" w:rsidRDefault="002C66A7" w:rsidP="009C64F0">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After completing its </w:t>
      </w:r>
      <w:r w:rsidR="007A7797">
        <w:rPr>
          <w:rFonts w:ascii="Times New Roman" w:eastAsia="Times New Roman" w:hAnsi="Times New Roman" w:cs="Times New Roman"/>
          <w:sz w:val="26"/>
          <w:szCs w:val="26"/>
        </w:rPr>
        <w:t xml:space="preserve">internal </w:t>
      </w:r>
      <w:r>
        <w:rPr>
          <w:rFonts w:ascii="Times New Roman" w:eastAsia="Times New Roman" w:hAnsi="Times New Roman" w:cs="Times New Roman"/>
          <w:sz w:val="26"/>
          <w:szCs w:val="26"/>
        </w:rPr>
        <w:t>investigation, the Company instructed Energy Group Consultants to remove Mr. Neal from conducting any marketing on behalf of Residents and made Mr. Neal ineligible for rehire for any employment with Residents.  Additionally, Residents refunded to the customer the amount of $3.14</w:t>
      </w:r>
      <w:r w:rsidR="00A45CD0">
        <w:rPr>
          <w:rFonts w:ascii="Times New Roman" w:eastAsia="Times New Roman" w:hAnsi="Times New Roman" w:cs="Times New Roman"/>
          <w:sz w:val="26"/>
          <w:szCs w:val="26"/>
        </w:rPr>
        <w:t xml:space="preserve"> that </w:t>
      </w:r>
      <w:r>
        <w:rPr>
          <w:rFonts w:ascii="Times New Roman" w:eastAsia="Times New Roman" w:hAnsi="Times New Roman" w:cs="Times New Roman"/>
          <w:sz w:val="26"/>
          <w:szCs w:val="26"/>
        </w:rPr>
        <w:t xml:space="preserve">represented the cost </w:t>
      </w:r>
      <w:r w:rsidR="00BD779B">
        <w:rPr>
          <w:rFonts w:ascii="Times New Roman" w:eastAsia="Times New Roman" w:hAnsi="Times New Roman" w:cs="Times New Roman"/>
          <w:sz w:val="26"/>
          <w:szCs w:val="26"/>
        </w:rPr>
        <w:t>difference</w:t>
      </w:r>
      <w:r>
        <w:rPr>
          <w:rFonts w:ascii="Times New Roman" w:eastAsia="Times New Roman" w:hAnsi="Times New Roman" w:cs="Times New Roman"/>
          <w:sz w:val="26"/>
          <w:szCs w:val="26"/>
        </w:rPr>
        <w:t xml:space="preserve"> between the rate charge by Residents</w:t>
      </w:r>
      <w:r w:rsidR="00BD779B">
        <w:rPr>
          <w:rFonts w:ascii="Times New Roman" w:eastAsia="Times New Roman" w:hAnsi="Times New Roman" w:cs="Times New Roman"/>
          <w:sz w:val="26"/>
          <w:szCs w:val="26"/>
        </w:rPr>
        <w:t xml:space="preserve"> for the seventeen days of service and Duquesne’s default service rate.  Id. at 7-8.</w:t>
      </w:r>
    </w:p>
    <w:p w:rsidR="00FC143A" w:rsidRDefault="00FC143A" w:rsidP="002B5ADA">
      <w:pPr>
        <w:tabs>
          <w:tab w:val="center" w:pos="0"/>
        </w:tabs>
        <w:suppressAutoHyphens/>
        <w:spacing w:after="0" w:line="360" w:lineRule="auto"/>
        <w:rPr>
          <w:rFonts w:ascii="Times New Roman" w:eastAsia="Times New Roman" w:hAnsi="Times New Roman" w:cs="Times New Roman"/>
          <w:sz w:val="26"/>
          <w:szCs w:val="26"/>
        </w:rPr>
      </w:pPr>
    </w:p>
    <w:p w:rsidR="000B12D6" w:rsidRDefault="00FC143A" w:rsidP="002B5ADA">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E2771E">
        <w:rPr>
          <w:rFonts w:ascii="Times New Roman" w:eastAsia="Times New Roman" w:hAnsi="Times New Roman" w:cs="Times New Roman"/>
          <w:sz w:val="26"/>
          <w:szCs w:val="26"/>
        </w:rPr>
        <w:t>As a result</w:t>
      </w:r>
      <w:r>
        <w:rPr>
          <w:rFonts w:ascii="Times New Roman" w:eastAsia="Times New Roman" w:hAnsi="Times New Roman" w:cs="Times New Roman"/>
          <w:sz w:val="26"/>
          <w:szCs w:val="26"/>
        </w:rPr>
        <w:t xml:space="preserve"> of its informal investigation</w:t>
      </w:r>
      <w:r w:rsidR="00E2771E">
        <w:rPr>
          <w:rFonts w:ascii="Times New Roman" w:eastAsia="Times New Roman" w:hAnsi="Times New Roman" w:cs="Times New Roman"/>
          <w:sz w:val="26"/>
          <w:szCs w:val="26"/>
        </w:rPr>
        <w:t xml:space="preserve">, I&amp;E </w:t>
      </w:r>
      <w:r>
        <w:rPr>
          <w:rFonts w:ascii="Times New Roman" w:eastAsia="Times New Roman" w:hAnsi="Times New Roman" w:cs="Times New Roman"/>
          <w:sz w:val="26"/>
          <w:szCs w:val="26"/>
        </w:rPr>
        <w:t xml:space="preserve">concluded that </w:t>
      </w:r>
      <w:r w:rsidR="004C02E6">
        <w:rPr>
          <w:rFonts w:ascii="Times New Roman" w:eastAsia="Times New Roman" w:hAnsi="Times New Roman" w:cs="Times New Roman"/>
          <w:sz w:val="26"/>
          <w:szCs w:val="26"/>
        </w:rPr>
        <w:t xml:space="preserve">there was </w:t>
      </w:r>
      <w:r>
        <w:rPr>
          <w:rFonts w:ascii="Times New Roman" w:eastAsia="Times New Roman" w:hAnsi="Times New Roman" w:cs="Times New Roman"/>
          <w:sz w:val="26"/>
          <w:szCs w:val="26"/>
        </w:rPr>
        <w:t xml:space="preserve">sufficient data to substantiate allegations of violations of our Regulations.  Specifically, I&amp;E </w:t>
      </w:r>
      <w:r w:rsidR="00E2771E">
        <w:rPr>
          <w:rFonts w:ascii="Times New Roman" w:eastAsia="Times New Roman" w:hAnsi="Times New Roman" w:cs="Times New Roman"/>
          <w:sz w:val="26"/>
          <w:szCs w:val="26"/>
        </w:rPr>
        <w:t xml:space="preserve">was </w:t>
      </w:r>
      <w:r w:rsidR="00A30ECF">
        <w:rPr>
          <w:rFonts w:ascii="Times New Roman" w:eastAsia="Times New Roman" w:hAnsi="Times New Roman" w:cs="Times New Roman"/>
          <w:sz w:val="26"/>
          <w:szCs w:val="26"/>
        </w:rPr>
        <w:t>prepared to allege in a formal complaint that</w:t>
      </w:r>
      <w:r w:rsidR="00BD779B">
        <w:rPr>
          <w:rFonts w:ascii="Times New Roman" w:eastAsia="Times New Roman" w:hAnsi="Times New Roman" w:cs="Times New Roman"/>
          <w:sz w:val="26"/>
          <w:szCs w:val="26"/>
        </w:rPr>
        <w:t>,</w:t>
      </w:r>
      <w:r w:rsidR="00A30ECF">
        <w:rPr>
          <w:rFonts w:ascii="Times New Roman" w:eastAsia="Times New Roman" w:hAnsi="Times New Roman" w:cs="Times New Roman"/>
          <w:sz w:val="26"/>
          <w:szCs w:val="26"/>
        </w:rPr>
        <w:t xml:space="preserve"> </w:t>
      </w:r>
      <w:r w:rsidR="00BD779B">
        <w:rPr>
          <w:rFonts w:ascii="Times New Roman" w:eastAsia="Times New Roman" w:hAnsi="Times New Roman" w:cs="Times New Roman"/>
          <w:sz w:val="26"/>
          <w:szCs w:val="26"/>
        </w:rPr>
        <w:t>as an agent for Residents, Mr.</w:t>
      </w:r>
      <w:r w:rsidR="0003493F">
        <w:rPr>
          <w:rFonts w:ascii="Times New Roman" w:eastAsia="Times New Roman" w:hAnsi="Times New Roman" w:cs="Times New Roman"/>
          <w:sz w:val="26"/>
          <w:szCs w:val="26"/>
        </w:rPr>
        <w:t> </w:t>
      </w:r>
      <w:r w:rsidR="00BD779B">
        <w:rPr>
          <w:rFonts w:ascii="Times New Roman" w:eastAsia="Times New Roman" w:hAnsi="Times New Roman" w:cs="Times New Roman"/>
          <w:sz w:val="26"/>
          <w:szCs w:val="26"/>
        </w:rPr>
        <w:t xml:space="preserve">Neal engaged in fraudulent and deceptive marketing during a door-to-door sales visit </w:t>
      </w:r>
      <w:r w:rsidR="00BD779B">
        <w:rPr>
          <w:rFonts w:ascii="Times New Roman" w:eastAsia="Times New Roman" w:hAnsi="Times New Roman" w:cs="Times New Roman"/>
          <w:sz w:val="26"/>
          <w:szCs w:val="26"/>
        </w:rPr>
        <w:lastRenderedPageBreak/>
        <w:t>with a prospective customer.</w:t>
      </w:r>
      <w:r w:rsidR="00BD779B">
        <w:rPr>
          <w:rStyle w:val="FootnoteReference"/>
          <w:rFonts w:ascii="Times New Roman" w:eastAsia="Times New Roman" w:hAnsi="Times New Roman" w:cs="Times New Roman"/>
          <w:sz w:val="26"/>
          <w:szCs w:val="26"/>
        </w:rPr>
        <w:footnoteReference w:id="3"/>
      </w:r>
      <w:r w:rsidR="00BD779B">
        <w:rPr>
          <w:rFonts w:ascii="Times New Roman" w:eastAsia="Times New Roman" w:hAnsi="Times New Roman" w:cs="Times New Roman"/>
          <w:sz w:val="26"/>
          <w:szCs w:val="26"/>
        </w:rPr>
        <w:t xml:space="preserve">  If proven, this would have</w:t>
      </w:r>
      <w:r>
        <w:rPr>
          <w:rFonts w:ascii="Times New Roman" w:eastAsia="Times New Roman" w:hAnsi="Times New Roman" w:cs="Times New Roman"/>
          <w:sz w:val="26"/>
          <w:szCs w:val="26"/>
        </w:rPr>
        <w:t xml:space="preserve"> violated 52 Pa. Code §§</w:t>
      </w:r>
      <w:r w:rsidR="0003493F">
        <w:rPr>
          <w:rFonts w:ascii="Times New Roman" w:eastAsia="Times New Roman" w:hAnsi="Times New Roman" w:cs="Times New Roman"/>
          <w:sz w:val="26"/>
          <w:szCs w:val="26"/>
        </w:rPr>
        <w:t> </w:t>
      </w:r>
      <w:r w:rsidR="00863031">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4.43(f), </w:t>
      </w:r>
      <w:r w:rsidR="00BD779B">
        <w:rPr>
          <w:rFonts w:ascii="Times New Roman" w:eastAsia="Times New Roman" w:hAnsi="Times New Roman" w:cs="Times New Roman"/>
          <w:sz w:val="26"/>
          <w:szCs w:val="26"/>
        </w:rPr>
        <w:t xml:space="preserve">111.9(d)(1), and 111.12(d).  </w:t>
      </w:r>
      <w:r w:rsidR="004C02E6">
        <w:rPr>
          <w:rFonts w:ascii="Times New Roman" w:eastAsia="Times New Roman" w:hAnsi="Times New Roman" w:cs="Times New Roman"/>
          <w:sz w:val="26"/>
          <w:szCs w:val="26"/>
        </w:rPr>
        <w:t>Additionally, I&amp;E would have alleged that Mr.</w:t>
      </w:r>
      <w:r w:rsidR="00DB6E08">
        <w:rPr>
          <w:rFonts w:ascii="Times New Roman" w:eastAsia="Times New Roman" w:hAnsi="Times New Roman" w:cs="Times New Roman"/>
          <w:sz w:val="26"/>
          <w:szCs w:val="26"/>
        </w:rPr>
        <w:t> </w:t>
      </w:r>
      <w:r w:rsidR="004C02E6">
        <w:rPr>
          <w:rFonts w:ascii="Times New Roman" w:eastAsia="Times New Roman" w:hAnsi="Times New Roman" w:cs="Times New Roman"/>
          <w:sz w:val="26"/>
          <w:szCs w:val="26"/>
        </w:rPr>
        <w:t>Neal conspired with an accomplice to prov</w:t>
      </w:r>
      <w:r w:rsidR="00640538">
        <w:rPr>
          <w:rFonts w:ascii="Times New Roman" w:eastAsia="Times New Roman" w:hAnsi="Times New Roman" w:cs="Times New Roman"/>
          <w:sz w:val="26"/>
          <w:szCs w:val="26"/>
        </w:rPr>
        <w:t>id</w:t>
      </w:r>
      <w:r w:rsidR="004C02E6">
        <w:rPr>
          <w:rFonts w:ascii="Times New Roman" w:eastAsia="Times New Roman" w:hAnsi="Times New Roman" w:cs="Times New Roman"/>
          <w:sz w:val="26"/>
          <w:szCs w:val="26"/>
        </w:rPr>
        <w:t xml:space="preserve">e a fraudulent TPV </w:t>
      </w:r>
      <w:r w:rsidR="00640538">
        <w:rPr>
          <w:rFonts w:ascii="Times New Roman" w:eastAsia="Times New Roman" w:hAnsi="Times New Roman" w:cs="Times New Roman"/>
          <w:sz w:val="26"/>
          <w:szCs w:val="26"/>
        </w:rPr>
        <w:t>to switch a customer’s EGS service to Residents despite the customer</w:t>
      </w:r>
      <w:r w:rsidR="007A7797">
        <w:rPr>
          <w:rFonts w:ascii="Times New Roman" w:eastAsia="Times New Roman" w:hAnsi="Times New Roman" w:cs="Times New Roman"/>
          <w:sz w:val="26"/>
          <w:szCs w:val="26"/>
        </w:rPr>
        <w:t>’s</w:t>
      </w:r>
      <w:r w:rsidR="00640538">
        <w:rPr>
          <w:rFonts w:ascii="Times New Roman" w:eastAsia="Times New Roman" w:hAnsi="Times New Roman" w:cs="Times New Roman"/>
          <w:sz w:val="26"/>
          <w:szCs w:val="26"/>
        </w:rPr>
        <w:t xml:space="preserve"> prior refusal to authorize the switch.  If proven, this would have violated 52 Pa. Code §§ 54.43(f) and 111.12(d) and the Standards for Changing a Customer’s Electricity Generation Supplier at 52 Pa. Code §§</w:t>
      </w:r>
      <w:r w:rsidR="0003493F">
        <w:rPr>
          <w:rFonts w:ascii="Times New Roman" w:eastAsia="Times New Roman" w:hAnsi="Times New Roman" w:cs="Times New Roman"/>
          <w:sz w:val="26"/>
          <w:szCs w:val="26"/>
        </w:rPr>
        <w:t> </w:t>
      </w:r>
      <w:r w:rsidR="00640538">
        <w:rPr>
          <w:rFonts w:ascii="Times New Roman" w:eastAsia="Times New Roman" w:hAnsi="Times New Roman" w:cs="Times New Roman"/>
          <w:sz w:val="26"/>
          <w:szCs w:val="26"/>
        </w:rPr>
        <w:t>57.171-177.  Lastly,</w:t>
      </w:r>
      <w:r>
        <w:rPr>
          <w:rFonts w:ascii="Times New Roman" w:eastAsia="Times New Roman" w:hAnsi="Times New Roman" w:cs="Times New Roman"/>
          <w:sz w:val="26"/>
          <w:szCs w:val="26"/>
        </w:rPr>
        <w:t xml:space="preserve"> I&amp;E </w:t>
      </w:r>
      <w:r w:rsidR="00640538">
        <w:rPr>
          <w:rFonts w:ascii="Times New Roman" w:eastAsia="Times New Roman" w:hAnsi="Times New Roman" w:cs="Times New Roman"/>
          <w:sz w:val="26"/>
          <w:szCs w:val="26"/>
        </w:rPr>
        <w:t xml:space="preserve">would have alleged that Mr. Neal initiated a process of switching and causing the actual switching of the EGS service of one customer account without the customer’s authorization which resulted in the customer being supplied EGS service by Residents for a period of seventeen days.  </w:t>
      </w:r>
      <w:r w:rsidR="00036DF0">
        <w:rPr>
          <w:rFonts w:ascii="Times New Roman" w:eastAsia="Times New Roman" w:hAnsi="Times New Roman" w:cs="Times New Roman"/>
          <w:sz w:val="26"/>
          <w:szCs w:val="26"/>
        </w:rPr>
        <w:t>If proven, this would have violated 52 Pa. Code §§ 54.42(a)(9) and 54.43(f), and the Standards for Changing a Customer’s Electricity Generation Supplier at 52 Pa. Code §§ 57.171-177.  Settlement at 8-9.</w:t>
      </w:r>
    </w:p>
    <w:p w:rsidR="000B12D6" w:rsidRDefault="000B12D6" w:rsidP="002B5ADA">
      <w:pPr>
        <w:tabs>
          <w:tab w:val="center" w:pos="0"/>
        </w:tabs>
        <w:suppressAutoHyphens/>
        <w:spacing w:after="0" w:line="360" w:lineRule="auto"/>
        <w:rPr>
          <w:rFonts w:ascii="Times New Roman" w:eastAsia="Times New Roman" w:hAnsi="Times New Roman" w:cs="Times New Roman"/>
          <w:sz w:val="26"/>
          <w:szCs w:val="26"/>
        </w:rPr>
      </w:pPr>
    </w:p>
    <w:p w:rsidR="00F44833" w:rsidRDefault="000B12D6" w:rsidP="00E2771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The proposed Settlement</w:t>
      </w:r>
      <w:r w:rsidR="00593492">
        <w:rPr>
          <w:rFonts w:ascii="Times New Roman" w:eastAsia="Times New Roman" w:hAnsi="Times New Roman" w:cs="Times New Roman"/>
          <w:sz w:val="26"/>
          <w:szCs w:val="26"/>
        </w:rPr>
        <w:t xml:space="preserve"> </w:t>
      </w:r>
      <w:r w:rsidR="00A45CD0">
        <w:rPr>
          <w:rFonts w:ascii="Times New Roman" w:eastAsia="Times New Roman" w:hAnsi="Times New Roman" w:cs="Times New Roman"/>
          <w:sz w:val="26"/>
          <w:szCs w:val="26"/>
        </w:rPr>
        <w:t xml:space="preserve">was </w:t>
      </w:r>
      <w:r w:rsidR="00F44833" w:rsidRPr="003F7EE6">
        <w:rPr>
          <w:rFonts w:ascii="Times New Roman" w:eastAsia="Times New Roman" w:hAnsi="Times New Roman" w:cs="Times New Roman"/>
          <w:sz w:val="26"/>
          <w:szCs w:val="26"/>
        </w:rPr>
        <w:t xml:space="preserve">filed by the Parties to resolve allegations </w:t>
      </w:r>
      <w:r w:rsidR="00F8641C">
        <w:rPr>
          <w:rFonts w:ascii="Times New Roman" w:eastAsia="Times New Roman" w:hAnsi="Times New Roman" w:cs="Times New Roman"/>
          <w:sz w:val="26"/>
          <w:szCs w:val="26"/>
        </w:rPr>
        <w:t xml:space="preserve">of </w:t>
      </w:r>
      <w:r w:rsidR="006E07A3">
        <w:rPr>
          <w:rFonts w:ascii="Times New Roman" w:eastAsia="Times New Roman" w:hAnsi="Times New Roman" w:cs="Times New Roman"/>
          <w:sz w:val="26"/>
          <w:szCs w:val="26"/>
        </w:rPr>
        <w:t xml:space="preserve">EGS </w:t>
      </w:r>
      <w:r w:rsidR="00ED2472">
        <w:rPr>
          <w:rFonts w:ascii="Times New Roman" w:eastAsia="Times New Roman" w:hAnsi="Times New Roman" w:cs="Times New Roman"/>
          <w:sz w:val="26"/>
          <w:szCs w:val="26"/>
        </w:rPr>
        <w:t xml:space="preserve">marketing </w:t>
      </w:r>
      <w:r w:rsidR="006E07A3">
        <w:rPr>
          <w:rFonts w:ascii="Times New Roman" w:eastAsia="Times New Roman" w:hAnsi="Times New Roman" w:cs="Times New Roman"/>
          <w:sz w:val="26"/>
          <w:szCs w:val="26"/>
        </w:rPr>
        <w:t xml:space="preserve">violations. </w:t>
      </w:r>
      <w:r w:rsidR="00F44833" w:rsidRPr="003F7EE6">
        <w:rPr>
          <w:rFonts w:ascii="Times New Roman" w:eastAsia="Times New Roman" w:hAnsi="Times New Roman" w:cs="Times New Roman"/>
          <w:sz w:val="26"/>
          <w:szCs w:val="26"/>
        </w:rPr>
        <w:t xml:space="preserve"> </w:t>
      </w:r>
      <w:r w:rsidR="006E07A3">
        <w:rPr>
          <w:rFonts w:ascii="Times New Roman" w:eastAsia="Times New Roman" w:hAnsi="Times New Roman" w:cs="Times New Roman"/>
          <w:sz w:val="26"/>
          <w:szCs w:val="26"/>
        </w:rPr>
        <w:t xml:space="preserve">The Parties </w:t>
      </w:r>
      <w:r w:rsidR="006E07A3" w:rsidRPr="003F7EE6">
        <w:rPr>
          <w:rFonts w:ascii="Times New Roman" w:eastAsia="Times New Roman" w:hAnsi="Times New Roman" w:cs="Times New Roman"/>
          <w:sz w:val="26"/>
          <w:szCs w:val="26"/>
        </w:rPr>
        <w:t>urge the Commission to approve the Settlement as being in the p</w:t>
      </w:r>
      <w:r w:rsidR="006E07A3">
        <w:rPr>
          <w:rFonts w:ascii="Times New Roman" w:eastAsia="Times New Roman" w:hAnsi="Times New Roman" w:cs="Times New Roman"/>
          <w:sz w:val="26"/>
          <w:szCs w:val="26"/>
        </w:rPr>
        <w:t xml:space="preserve">ublic interest.  </w:t>
      </w:r>
      <w:r w:rsidR="005500AC" w:rsidRPr="005500AC">
        <w:rPr>
          <w:rFonts w:ascii="Times New Roman" w:eastAsia="Times New Roman" w:hAnsi="Times New Roman" w:cs="Times New Roman"/>
          <w:sz w:val="26"/>
          <w:szCs w:val="26"/>
        </w:rPr>
        <w:t>Settlement</w:t>
      </w:r>
      <w:r w:rsidR="00E2771E">
        <w:rPr>
          <w:rFonts w:ascii="Times New Roman" w:eastAsia="Times New Roman" w:hAnsi="Times New Roman" w:cs="Times New Roman"/>
          <w:sz w:val="26"/>
          <w:szCs w:val="26"/>
        </w:rPr>
        <w:t xml:space="preserve"> at 1</w:t>
      </w:r>
      <w:r w:rsidR="00036DF0">
        <w:rPr>
          <w:rFonts w:ascii="Times New Roman" w:eastAsia="Times New Roman" w:hAnsi="Times New Roman" w:cs="Times New Roman"/>
          <w:sz w:val="26"/>
          <w:szCs w:val="26"/>
        </w:rPr>
        <w:t>4</w:t>
      </w:r>
      <w:r w:rsidR="006E07A3" w:rsidRPr="003F7EE6">
        <w:rPr>
          <w:rFonts w:ascii="Times New Roman" w:eastAsia="Times New Roman" w:hAnsi="Times New Roman" w:cs="Times New Roman"/>
          <w:sz w:val="26"/>
          <w:szCs w:val="26"/>
        </w:rPr>
        <w:t>.</w:t>
      </w:r>
    </w:p>
    <w:p w:rsidR="00226189" w:rsidRDefault="00226189" w:rsidP="00E2771E">
      <w:pPr>
        <w:tabs>
          <w:tab w:val="center" w:pos="0"/>
        </w:tabs>
        <w:suppressAutoHyphens/>
        <w:spacing w:after="0" w:line="360" w:lineRule="auto"/>
        <w:rPr>
          <w:rFonts w:ascii="Times New Roman" w:eastAsia="Times New Roman" w:hAnsi="Times New Roman" w:cs="Times New Roman"/>
          <w:sz w:val="26"/>
          <w:szCs w:val="26"/>
        </w:rPr>
      </w:pPr>
    </w:p>
    <w:p w:rsidR="00226189" w:rsidRPr="0026093C" w:rsidRDefault="00226189" w:rsidP="00E2771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By Order entered March 1, 2018</w:t>
      </w:r>
      <w:r w:rsidR="0026093C">
        <w:rPr>
          <w:rFonts w:ascii="Times New Roman" w:eastAsia="Times New Roman" w:hAnsi="Times New Roman" w:cs="Times New Roman"/>
          <w:sz w:val="26"/>
          <w:szCs w:val="26"/>
        </w:rPr>
        <w:t xml:space="preserve"> (</w:t>
      </w:r>
      <w:r w:rsidR="0026093C" w:rsidRPr="0026093C">
        <w:rPr>
          <w:rFonts w:ascii="Times New Roman" w:eastAsia="Times New Roman" w:hAnsi="Times New Roman" w:cs="Times New Roman"/>
          <w:i/>
          <w:sz w:val="26"/>
          <w:szCs w:val="26"/>
        </w:rPr>
        <w:t>March 2018 Order</w:t>
      </w:r>
      <w:r w:rsidR="0026093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6093C">
        <w:rPr>
          <w:rFonts w:ascii="Times New Roman" w:eastAsia="Times New Roman" w:hAnsi="Times New Roman" w:cs="Times New Roman"/>
          <w:sz w:val="26"/>
          <w:szCs w:val="26"/>
        </w:rPr>
        <w:t xml:space="preserve">the Commission provided interested parties with the opportunity to file comments.  In order to be considered timely, comments were due within twenty days of the date of entry of the </w:t>
      </w:r>
      <w:r w:rsidR="0026093C" w:rsidRPr="0026093C">
        <w:rPr>
          <w:rFonts w:ascii="Times New Roman" w:eastAsia="Times New Roman" w:hAnsi="Times New Roman" w:cs="Times New Roman"/>
          <w:i/>
          <w:sz w:val="26"/>
          <w:szCs w:val="26"/>
        </w:rPr>
        <w:t>March 2018 Order</w:t>
      </w:r>
      <w:r w:rsidR="0026093C">
        <w:rPr>
          <w:rFonts w:ascii="Times New Roman" w:eastAsia="Times New Roman" w:hAnsi="Times New Roman" w:cs="Times New Roman"/>
          <w:sz w:val="26"/>
          <w:szCs w:val="26"/>
        </w:rPr>
        <w:t>.  No comments were filed.</w:t>
      </w:r>
    </w:p>
    <w:p w:rsidR="00F44833" w:rsidRPr="003F7EE6" w:rsidRDefault="00F44833" w:rsidP="00F44833">
      <w:pPr>
        <w:tabs>
          <w:tab w:val="center" w:pos="0"/>
        </w:tabs>
        <w:suppressAutoHyphens/>
        <w:spacing w:after="0" w:line="360" w:lineRule="auto"/>
        <w:ind w:firstLine="1440"/>
        <w:rPr>
          <w:rFonts w:ascii="Times New Roman" w:eastAsia="Times New Roman" w:hAnsi="Times New Roman" w:cs="Times New Roman"/>
          <w:sz w:val="26"/>
          <w:szCs w:val="26"/>
        </w:rPr>
      </w:pP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lastRenderedPageBreak/>
        <w:t>Terms of the Settlement</w:t>
      </w: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rsidR="00D53853" w:rsidRDefault="00F44833" w:rsidP="00E62727">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proposed Settlement, </w:t>
      </w:r>
      <w:r w:rsidR="00036DF0">
        <w:rPr>
          <w:rFonts w:ascii="Times New Roman" w:eastAsia="Times New Roman" w:hAnsi="Times New Roman" w:cs="Times New Roman"/>
          <w:sz w:val="26"/>
          <w:szCs w:val="26"/>
        </w:rPr>
        <w:t>Residents</w:t>
      </w:r>
      <w:r w:rsidRPr="003F7EE6">
        <w:rPr>
          <w:rFonts w:ascii="Times New Roman" w:eastAsia="Times New Roman" w:hAnsi="Times New Roman" w:cs="Times New Roman"/>
          <w:sz w:val="26"/>
          <w:szCs w:val="26"/>
        </w:rPr>
        <w:t xml:space="preserve"> will pay a civil penalty of $</w:t>
      </w:r>
      <w:r w:rsidR="00036DF0">
        <w:rPr>
          <w:rFonts w:ascii="Times New Roman" w:eastAsia="Times New Roman" w:hAnsi="Times New Roman" w:cs="Times New Roman"/>
          <w:sz w:val="26"/>
          <w:szCs w:val="26"/>
        </w:rPr>
        <w:t>6</w:t>
      </w:r>
      <w:r w:rsidR="007E3E00">
        <w:rPr>
          <w:rFonts w:ascii="Times New Roman" w:eastAsia="Times New Roman" w:hAnsi="Times New Roman" w:cs="Times New Roman"/>
          <w:sz w:val="26"/>
          <w:szCs w:val="26"/>
        </w:rPr>
        <w:t>,000</w:t>
      </w:r>
      <w:r w:rsidR="00272592">
        <w:rPr>
          <w:rFonts w:ascii="Times New Roman" w:eastAsia="Times New Roman" w:hAnsi="Times New Roman" w:cs="Times New Roman"/>
          <w:sz w:val="26"/>
          <w:szCs w:val="26"/>
        </w:rPr>
        <w:t xml:space="preserve"> within sixty days of entry of a Commission Order approving the Settlement</w:t>
      </w:r>
      <w:r w:rsidRPr="003F7EE6">
        <w:rPr>
          <w:rFonts w:ascii="Times New Roman" w:eastAsia="Times New Roman" w:hAnsi="Times New Roman" w:cs="Times New Roman"/>
          <w:sz w:val="26"/>
          <w:szCs w:val="26"/>
        </w:rPr>
        <w:t xml:space="preserve">.  </w:t>
      </w:r>
      <w:r w:rsidR="007E3E00">
        <w:rPr>
          <w:rFonts w:ascii="Times New Roman" w:eastAsia="Times New Roman" w:hAnsi="Times New Roman" w:cs="Times New Roman"/>
          <w:sz w:val="26"/>
          <w:szCs w:val="26"/>
        </w:rPr>
        <w:t xml:space="preserve">Settlement at </w:t>
      </w:r>
      <w:r w:rsidR="000B6FB1">
        <w:rPr>
          <w:rFonts w:ascii="Times New Roman" w:eastAsia="Times New Roman" w:hAnsi="Times New Roman" w:cs="Times New Roman"/>
          <w:sz w:val="26"/>
          <w:szCs w:val="26"/>
        </w:rPr>
        <w:t>1</w:t>
      </w:r>
      <w:r w:rsidR="00036DF0">
        <w:rPr>
          <w:rFonts w:ascii="Times New Roman" w:eastAsia="Times New Roman" w:hAnsi="Times New Roman" w:cs="Times New Roman"/>
          <w:sz w:val="26"/>
          <w:szCs w:val="26"/>
        </w:rPr>
        <w:t>0</w:t>
      </w:r>
      <w:r w:rsidR="00D31E0C">
        <w:rPr>
          <w:rFonts w:ascii="Times New Roman" w:eastAsia="Times New Roman" w:hAnsi="Times New Roman" w:cs="Times New Roman"/>
          <w:sz w:val="26"/>
          <w:szCs w:val="26"/>
        </w:rPr>
        <w:t>.</w:t>
      </w:r>
      <w:r w:rsidR="00DB6E08">
        <w:rPr>
          <w:rFonts w:ascii="Times New Roman" w:eastAsia="Times New Roman" w:hAnsi="Times New Roman" w:cs="Times New Roman"/>
          <w:sz w:val="26"/>
          <w:szCs w:val="26"/>
        </w:rPr>
        <w:t xml:space="preserve">  </w:t>
      </w:r>
      <w:r w:rsidR="00D559F9">
        <w:rPr>
          <w:rFonts w:ascii="Times New Roman" w:eastAsia="Times New Roman" w:hAnsi="Times New Roman" w:cs="Times New Roman"/>
          <w:sz w:val="26"/>
          <w:szCs w:val="26"/>
        </w:rPr>
        <w:t xml:space="preserve">The </w:t>
      </w:r>
      <w:r w:rsidR="00866103">
        <w:rPr>
          <w:rFonts w:ascii="Times New Roman" w:eastAsia="Times New Roman" w:hAnsi="Times New Roman" w:cs="Times New Roman"/>
          <w:sz w:val="26"/>
          <w:szCs w:val="26"/>
        </w:rPr>
        <w:t>Settlement acknowledges th</w:t>
      </w:r>
      <w:r w:rsidR="00764B6A">
        <w:rPr>
          <w:rFonts w:ascii="Times New Roman" w:eastAsia="Times New Roman" w:hAnsi="Times New Roman" w:cs="Times New Roman"/>
          <w:sz w:val="26"/>
          <w:szCs w:val="26"/>
        </w:rPr>
        <w:t>at the Company has</w:t>
      </w:r>
      <w:r w:rsidR="00D53853">
        <w:rPr>
          <w:rFonts w:ascii="Times New Roman" w:eastAsia="Times New Roman" w:hAnsi="Times New Roman" w:cs="Times New Roman"/>
          <w:sz w:val="26"/>
          <w:szCs w:val="26"/>
        </w:rPr>
        <w:t xml:space="preserve"> taken corrective action and is diligently applying its policies to safeguard against the unauthorized switch of customer accounts by a third-party vendor.  Residents has also terminated its relationship with Mr. Neal and has instructed its third-party vendor not to assign him to any of Residents’ accounts or contracts.  The Settlement notes the refund provided to the </w:t>
      </w:r>
      <w:r w:rsidR="004676AB">
        <w:rPr>
          <w:rFonts w:ascii="Times New Roman" w:eastAsia="Times New Roman" w:hAnsi="Times New Roman" w:cs="Times New Roman"/>
          <w:sz w:val="26"/>
          <w:szCs w:val="26"/>
        </w:rPr>
        <w:t>affected</w:t>
      </w:r>
      <w:r w:rsidR="00D53853">
        <w:rPr>
          <w:rFonts w:ascii="Times New Roman" w:eastAsia="Times New Roman" w:hAnsi="Times New Roman" w:cs="Times New Roman"/>
          <w:sz w:val="26"/>
          <w:szCs w:val="26"/>
        </w:rPr>
        <w:t xml:space="preserve"> customer in the amount of $3.14 and further directs a refund for the entire EGS service portion of the customer’s bill for the entire seventeen days that the customer was served by Residents.  The Settlement explains that the Company charged the customer $12.36 and has already refunded $3.14</w:t>
      </w:r>
      <w:r w:rsidR="004B1412">
        <w:rPr>
          <w:rFonts w:ascii="Times New Roman" w:eastAsia="Times New Roman" w:hAnsi="Times New Roman" w:cs="Times New Roman"/>
          <w:sz w:val="26"/>
          <w:szCs w:val="26"/>
        </w:rPr>
        <w:t xml:space="preserve"> to the customer</w:t>
      </w:r>
      <w:r w:rsidR="00D53853">
        <w:rPr>
          <w:rFonts w:ascii="Times New Roman" w:eastAsia="Times New Roman" w:hAnsi="Times New Roman" w:cs="Times New Roman"/>
          <w:sz w:val="26"/>
          <w:szCs w:val="26"/>
        </w:rPr>
        <w:t>.  Thus, the remaining refund owed to the customer would be $9.24.  Settlement at 11-12.</w:t>
      </w:r>
    </w:p>
    <w:p w:rsidR="00D53853" w:rsidRDefault="00D53853" w:rsidP="00E62727">
      <w:pPr>
        <w:tabs>
          <w:tab w:val="center" w:pos="0"/>
        </w:tabs>
        <w:suppressAutoHyphens/>
        <w:spacing w:after="0" w:line="360" w:lineRule="auto"/>
        <w:rPr>
          <w:rFonts w:ascii="Times New Roman" w:eastAsia="Times New Roman" w:hAnsi="Times New Roman" w:cs="Times New Roman"/>
          <w:sz w:val="26"/>
          <w:szCs w:val="26"/>
        </w:rPr>
      </w:pPr>
    </w:p>
    <w:p w:rsidR="00100BB0" w:rsidRDefault="00D53853"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100BB0">
        <w:rPr>
          <w:rFonts w:ascii="Times New Roman" w:eastAsia="Times New Roman" w:hAnsi="Times New Roman" w:cs="Times New Roman"/>
          <w:sz w:val="26"/>
          <w:szCs w:val="26"/>
        </w:rPr>
        <w:t>The Settlement also requires that Residents inquire with each third-party that it seeks to engage in business</w:t>
      </w:r>
      <w:r w:rsidR="007A7797">
        <w:rPr>
          <w:rFonts w:ascii="Times New Roman" w:eastAsia="Times New Roman" w:hAnsi="Times New Roman" w:cs="Times New Roman"/>
          <w:sz w:val="26"/>
          <w:szCs w:val="26"/>
        </w:rPr>
        <w:t>,</w:t>
      </w:r>
      <w:r w:rsidR="00100BB0">
        <w:rPr>
          <w:rFonts w:ascii="Times New Roman" w:eastAsia="Times New Roman" w:hAnsi="Times New Roman" w:cs="Times New Roman"/>
          <w:sz w:val="26"/>
          <w:szCs w:val="26"/>
        </w:rPr>
        <w:t xml:space="preserve"> whether Mr. Neal is employed by or associated with the third-party vendor.  Further, the Company will ensure that its agents are reminded of the Commission’s consumer protection regulations, with emphasis on the prohibitions on slamming, and will provide a single point of contact to Commission staff for resolution of consumer inquiries or complaints received by BCS.  </w:t>
      </w:r>
      <w:r w:rsidR="00100BB0" w:rsidRPr="00100BB0">
        <w:rPr>
          <w:rFonts w:ascii="Times New Roman" w:eastAsia="Times New Roman" w:hAnsi="Times New Roman" w:cs="Times New Roman"/>
          <w:i/>
          <w:sz w:val="26"/>
          <w:szCs w:val="26"/>
        </w:rPr>
        <w:t>Id.</w:t>
      </w:r>
      <w:r w:rsidR="00100BB0">
        <w:rPr>
          <w:rFonts w:ascii="Times New Roman" w:eastAsia="Times New Roman" w:hAnsi="Times New Roman" w:cs="Times New Roman"/>
          <w:sz w:val="26"/>
          <w:szCs w:val="26"/>
        </w:rPr>
        <w:t xml:space="preserve"> at 12.  </w:t>
      </w:r>
    </w:p>
    <w:p w:rsidR="00100BB0" w:rsidRDefault="00100BB0" w:rsidP="00E62727">
      <w:pPr>
        <w:tabs>
          <w:tab w:val="center" w:pos="0"/>
        </w:tabs>
        <w:suppressAutoHyphens/>
        <w:spacing w:after="0" w:line="360" w:lineRule="auto"/>
        <w:rPr>
          <w:rFonts w:ascii="Times New Roman" w:eastAsia="Times New Roman" w:hAnsi="Times New Roman" w:cs="Times New Roman"/>
          <w:sz w:val="26"/>
          <w:szCs w:val="26"/>
        </w:rPr>
      </w:pPr>
    </w:p>
    <w:p w:rsidR="00100BB0" w:rsidRDefault="00100BB0"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The Settlement mandates reporting requirements for a twelve-month term beginning after the entry of the Commission’s final Order approving the Settlement.  Residents would be required to provide to Commission staff, in the first week of each calendar quarter, a report for the prior quarter capturing the following customer complaint data filed directly with the Company by category, </w:t>
      </w:r>
      <w:r w:rsidRPr="00100BB0">
        <w:rPr>
          <w:rFonts w:ascii="Times New Roman" w:eastAsia="Times New Roman" w:hAnsi="Times New Roman" w:cs="Times New Roman"/>
          <w:i/>
          <w:sz w:val="26"/>
          <w:szCs w:val="26"/>
        </w:rPr>
        <w:t>i.e.</w:t>
      </w:r>
      <w:r>
        <w:rPr>
          <w:rFonts w:ascii="Times New Roman" w:eastAsia="Times New Roman" w:hAnsi="Times New Roman" w:cs="Times New Roman"/>
          <w:sz w:val="26"/>
          <w:szCs w:val="26"/>
        </w:rPr>
        <w:t>, slamming, do-not call list violations, and incorrect charges</w:t>
      </w:r>
      <w:r w:rsidR="00C200F0">
        <w:rPr>
          <w:rFonts w:ascii="Times New Roman" w:eastAsia="Times New Roman" w:hAnsi="Times New Roman" w:cs="Times New Roman"/>
          <w:sz w:val="26"/>
          <w:szCs w:val="26"/>
        </w:rPr>
        <w:t xml:space="preserve">.  The quarterly report would also provide an </w:t>
      </w:r>
      <w:r w:rsidR="00C200F0">
        <w:rPr>
          <w:rFonts w:ascii="Times New Roman" w:eastAsia="Times New Roman" w:hAnsi="Times New Roman" w:cs="Times New Roman"/>
          <w:sz w:val="26"/>
          <w:szCs w:val="26"/>
        </w:rPr>
        <w:lastRenderedPageBreak/>
        <w:t xml:space="preserve">explanation of the process improvements and organizational changes that were implemented to reduce or eliminate similar complaints going forward.  </w:t>
      </w:r>
      <w:r w:rsidR="00C200F0" w:rsidRPr="00C200F0">
        <w:rPr>
          <w:rFonts w:ascii="Times New Roman" w:eastAsia="Times New Roman" w:hAnsi="Times New Roman" w:cs="Times New Roman"/>
          <w:i/>
          <w:sz w:val="26"/>
          <w:szCs w:val="26"/>
        </w:rPr>
        <w:t>Id.</w:t>
      </w:r>
      <w:r w:rsidR="00C200F0">
        <w:rPr>
          <w:rFonts w:ascii="Times New Roman" w:eastAsia="Times New Roman" w:hAnsi="Times New Roman" w:cs="Times New Roman"/>
          <w:sz w:val="26"/>
          <w:szCs w:val="26"/>
        </w:rPr>
        <w:t xml:space="preserve"> at 13.</w:t>
      </w:r>
    </w:p>
    <w:p w:rsidR="00100BB0" w:rsidRDefault="00100BB0" w:rsidP="00E62727">
      <w:pPr>
        <w:tabs>
          <w:tab w:val="center" w:pos="0"/>
        </w:tabs>
        <w:suppressAutoHyphens/>
        <w:spacing w:after="0" w:line="360" w:lineRule="auto"/>
        <w:rPr>
          <w:rFonts w:ascii="Times New Roman" w:eastAsia="Times New Roman" w:hAnsi="Times New Roman" w:cs="Times New Roman"/>
          <w:sz w:val="26"/>
          <w:szCs w:val="26"/>
        </w:rPr>
      </w:pPr>
    </w:p>
    <w:p w:rsidR="00F44833" w:rsidRDefault="00762BDE" w:rsidP="002E3FD9">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In response, I&amp;E agrees to forbear from initiating a formal complaint relative to the allegations that are the subject of the proposed Settlement.  The Settlement will not, however, affect the Commission’s authority to receive and resolve any formal or informal complaints filed by any affected party</w:t>
      </w:r>
      <w:r w:rsidR="00851BF8">
        <w:rPr>
          <w:rFonts w:ascii="Times New Roman" w:eastAsia="Times New Roman" w:hAnsi="Times New Roman" w:cs="Times New Roman"/>
          <w:sz w:val="26"/>
          <w:szCs w:val="26"/>
        </w:rPr>
        <w:t xml:space="preserve"> regarding the subject of the allegations of I&amp;E’s informal investigation</w:t>
      </w:r>
      <w:r w:rsidR="00F44833" w:rsidRPr="003F7EE6">
        <w:rPr>
          <w:rFonts w:ascii="Times New Roman" w:eastAsia="Times New Roman" w:hAnsi="Times New Roman" w:cs="Times New Roman"/>
          <w:sz w:val="26"/>
          <w:szCs w:val="26"/>
        </w:rPr>
        <w:t xml:space="preserve">.  </w:t>
      </w:r>
      <w:r w:rsidR="00F44833" w:rsidRPr="003F7EE6">
        <w:rPr>
          <w:rFonts w:ascii="Times New Roman" w:eastAsia="Times New Roman" w:hAnsi="Times New Roman" w:cs="Times New Roman"/>
          <w:i/>
          <w:sz w:val="26"/>
          <w:szCs w:val="26"/>
        </w:rPr>
        <w:t>Id.</w:t>
      </w:r>
      <w:r w:rsidR="00FC3B9A">
        <w:rPr>
          <w:rFonts w:ascii="Times New Roman" w:eastAsia="Times New Roman" w:hAnsi="Times New Roman" w:cs="Times New Roman"/>
          <w:sz w:val="26"/>
          <w:szCs w:val="26"/>
        </w:rPr>
        <w:t xml:space="preserve"> </w:t>
      </w:r>
    </w:p>
    <w:p w:rsidR="0026093C" w:rsidRPr="003F7EE6" w:rsidRDefault="0026093C" w:rsidP="002E3FD9">
      <w:pPr>
        <w:tabs>
          <w:tab w:val="center" w:pos="0"/>
        </w:tabs>
        <w:suppressAutoHyphens/>
        <w:spacing w:after="0" w:line="360" w:lineRule="auto"/>
        <w:rPr>
          <w:rFonts w:ascii="Times New Roman" w:eastAsia="Times New Roman" w:hAnsi="Times New Roman" w:cs="Times New Roman"/>
          <w:sz w:val="26"/>
          <w:szCs w:val="26"/>
        </w:rPr>
      </w:pP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Pr="003F7EE6">
        <w:rPr>
          <w:rFonts w:ascii="Times New Roman" w:eastAsia="Times New Roman" w:hAnsi="Times New Roman" w:cs="Times New Roman"/>
          <w:i/>
          <w:sz w:val="26"/>
          <w:szCs w:val="26"/>
        </w:rPr>
        <w:t>Id.</w:t>
      </w:r>
      <w:r w:rsidR="00FC3B9A">
        <w:rPr>
          <w:rFonts w:ascii="Times New Roman" w:eastAsia="Times New Roman" w:hAnsi="Times New Roman" w:cs="Times New Roman"/>
          <w:sz w:val="26"/>
          <w:szCs w:val="26"/>
        </w:rPr>
        <w:t xml:space="preserve"> at </w:t>
      </w:r>
      <w:r w:rsidR="00851BF8">
        <w:rPr>
          <w:rFonts w:ascii="Times New Roman" w:eastAsia="Times New Roman" w:hAnsi="Times New Roman" w:cs="Times New Roman"/>
          <w:sz w:val="26"/>
          <w:szCs w:val="26"/>
        </w:rPr>
        <w:t>16</w:t>
      </w:r>
      <w:r w:rsidRPr="003F7EE6">
        <w:rPr>
          <w:rFonts w:ascii="Times New Roman" w:eastAsia="Times New Roman" w:hAnsi="Times New Roman" w:cs="Times New Roman"/>
          <w:sz w:val="26"/>
          <w:szCs w:val="26"/>
        </w:rPr>
        <w:t>.</w:t>
      </w: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rsidR="00F44833" w:rsidRPr="003F7EE6"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rsidR="00593492" w:rsidRDefault="00593492" w:rsidP="00593492">
      <w:pPr>
        <w:tabs>
          <w:tab w:val="center" w:pos="720"/>
        </w:tabs>
        <w:suppressAutoHyphens/>
        <w:spacing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6B6835">
        <w:rPr>
          <w:rFonts w:ascii="Times New Roman" w:eastAsia="Times New Roman" w:hAnsi="Times New Roman" w:cs="Times New Roman"/>
          <w:i/>
          <w:sz w:val="26"/>
          <w:szCs w:val="26"/>
        </w:rPr>
        <w:t>Consolidated Rail Corp. v. Pa. PUC</w:t>
      </w:r>
      <w:r w:rsidRPr="006B6835">
        <w:rPr>
          <w:rFonts w:ascii="Times New Roman" w:eastAsia="Times New Roman" w:hAnsi="Times New Roman" w:cs="Times New Roman"/>
          <w:sz w:val="26"/>
          <w:szCs w:val="26"/>
        </w:rPr>
        <w:t xml:space="preserve">, 625 A.2d 741 (Pa. Cmwlth. 1993); </w:t>
      </w:r>
      <w:r w:rsidRPr="006B6835">
        <w:rPr>
          <w:rFonts w:ascii="Times New Roman" w:eastAsia="Times New Roman" w:hAnsi="Times New Roman" w:cs="Times New Roman"/>
          <w:i/>
          <w:sz w:val="26"/>
          <w:szCs w:val="26"/>
        </w:rPr>
        <w:t>also see, generally</w:t>
      </w:r>
      <w:r w:rsidRPr="006B6835">
        <w:rPr>
          <w:rFonts w:ascii="Times New Roman" w:eastAsia="Times New Roman" w:hAnsi="Times New Roman" w:cs="Times New Roman"/>
          <w:sz w:val="26"/>
          <w:szCs w:val="26"/>
        </w:rPr>
        <w:t xml:space="preserve">, </w:t>
      </w:r>
      <w:r w:rsidRPr="006B6835">
        <w:rPr>
          <w:rFonts w:ascii="Times New Roman" w:eastAsia="Times New Roman" w:hAnsi="Times New Roman" w:cs="Times New Roman"/>
          <w:i/>
          <w:sz w:val="26"/>
          <w:szCs w:val="26"/>
        </w:rPr>
        <w:t>University of Pennsylvania v. Pa. PUC</w:t>
      </w:r>
      <w:r w:rsidRPr="006B6835">
        <w:rPr>
          <w:rFonts w:ascii="Times New Roman" w:eastAsia="Times New Roman" w:hAnsi="Times New Roman" w:cs="Times New Roman"/>
          <w:sz w:val="26"/>
          <w:szCs w:val="26"/>
        </w:rPr>
        <w:t>, 485 A.2d 1217 (Pa. Cmwlth. 1984).</w:t>
      </w:r>
    </w:p>
    <w:p w:rsidR="00593492" w:rsidRPr="006B6835" w:rsidRDefault="00593492" w:rsidP="00593492">
      <w:pPr>
        <w:tabs>
          <w:tab w:val="center" w:pos="720"/>
        </w:tabs>
        <w:suppressAutoHyphens/>
        <w:spacing w:after="0" w:line="360" w:lineRule="auto"/>
        <w:rPr>
          <w:rFonts w:ascii="Times New Roman" w:eastAsia="Times New Roman" w:hAnsi="Times New Roman" w:cs="Times New Roman"/>
          <w:sz w:val="26"/>
          <w:szCs w:val="26"/>
          <w:lang w:bidi="hi-IN"/>
        </w:rPr>
      </w:pPr>
    </w:p>
    <w:p w:rsidR="00593492" w:rsidRPr="006B6835" w:rsidRDefault="00593492" w:rsidP="00593492">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Pursuant to our Regulations at 52 Pa. Code § 5.231, it is the Commission’s policy to promote settlements.  The Commission must review proposed settlements to determine whether the terms are in the public interest.  </w:t>
      </w:r>
      <w:r w:rsidRPr="006B6835">
        <w:rPr>
          <w:rFonts w:ascii="Times New Roman" w:eastAsia="Times New Roman" w:hAnsi="Times New Roman" w:cs="Times New Roman"/>
          <w:i/>
          <w:sz w:val="26"/>
          <w:szCs w:val="26"/>
        </w:rPr>
        <w:t>Pa. PUC v. Philadelphia Gas Works</w:t>
      </w:r>
      <w:r w:rsidRPr="006B6835">
        <w:rPr>
          <w:rFonts w:ascii="Times New Roman" w:eastAsia="Times New Roman" w:hAnsi="Times New Roman" w:cs="Times New Roman"/>
          <w:sz w:val="26"/>
          <w:szCs w:val="26"/>
        </w:rPr>
        <w:t xml:space="preserve">, Docket No. M-00031768 (Order entered January 7, 2004).  After a review of the terms of the Settlement, we find that </w:t>
      </w:r>
      <w:r>
        <w:rPr>
          <w:rFonts w:ascii="Times New Roman" w:eastAsia="Times New Roman" w:hAnsi="Times New Roman" w:cs="Times New Roman"/>
          <w:sz w:val="26"/>
          <w:szCs w:val="26"/>
        </w:rPr>
        <w:t>it</w:t>
      </w:r>
      <w:r w:rsidRPr="006B6835">
        <w:rPr>
          <w:rFonts w:ascii="Times New Roman" w:eastAsia="Times New Roman" w:hAnsi="Times New Roman" w:cs="Times New Roman"/>
          <w:sz w:val="26"/>
          <w:szCs w:val="26"/>
        </w:rPr>
        <w:t xml:space="preserve"> is in the public interest.</w:t>
      </w:r>
    </w:p>
    <w:p w:rsidR="00593492" w:rsidRPr="006B6835" w:rsidRDefault="00593492" w:rsidP="00593492">
      <w:pPr>
        <w:spacing w:after="0" w:line="360" w:lineRule="auto"/>
        <w:ind w:firstLine="1440"/>
        <w:rPr>
          <w:rFonts w:ascii="Times New Roman" w:eastAsia="Times New Roman" w:hAnsi="Times New Roman" w:cs="Times New Roman"/>
          <w:sz w:val="26"/>
          <w:szCs w:val="26"/>
          <w:u w:color="000000"/>
        </w:rPr>
      </w:pPr>
      <w:r w:rsidRPr="006B6835">
        <w:rPr>
          <w:rFonts w:ascii="Times New Roman" w:eastAsia="Times New Roman" w:hAnsi="Times New Roman" w:cs="Times New Roman"/>
          <w:sz w:val="26"/>
          <w:szCs w:val="26"/>
        </w:rPr>
        <w:lastRenderedPageBreak/>
        <w:t>The Commission has promulgated a Policy Statement at 52 Pa. Code §</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p>
    <w:p w:rsidR="00593492" w:rsidRPr="006B6835" w:rsidRDefault="00593492" w:rsidP="00593492">
      <w:pPr>
        <w:spacing w:after="0" w:line="360" w:lineRule="auto"/>
        <w:ind w:firstLine="1440"/>
        <w:rPr>
          <w:rFonts w:ascii="Times New Roman" w:eastAsia="Times New Roman" w:hAnsi="Times New Roman" w:cs="Times New Roman"/>
          <w:sz w:val="26"/>
          <w:szCs w:val="26"/>
          <w:u w:color="000000"/>
        </w:rPr>
      </w:pPr>
    </w:p>
    <w:p w:rsidR="00593492" w:rsidRPr="006B6835" w:rsidRDefault="00593492" w:rsidP="00593492">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first factor we may consider is </w:t>
      </w:r>
      <w:r w:rsidRPr="006B6835">
        <w:rPr>
          <w:rFonts w:ascii="Times New Roman" w:eastAsia="Times New Roman" w:hAnsi="Times New Roman" w:cs="Times New Roman"/>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6B6835">
        <w:rPr>
          <w:rFonts w:ascii="Times New Roman" w:eastAsia="Times New Roman" w:hAnsi="Times New Roman" w:cs="Times New Roman"/>
          <w:i/>
          <w:sz w:val="26"/>
          <w:szCs w:val="26"/>
        </w:rPr>
        <w:t>Id</w:t>
      </w:r>
      <w:r w:rsidRPr="006B6835">
        <w:rPr>
          <w:rFonts w:ascii="Times New Roman" w:eastAsia="Times New Roman" w:hAnsi="Times New Roman" w:cs="Times New Roman"/>
          <w:sz w:val="26"/>
          <w:szCs w:val="26"/>
        </w:rPr>
        <w:t xml:space="preserve">.  </w:t>
      </w:r>
      <w:r w:rsidR="00E17CB4">
        <w:rPr>
          <w:rFonts w:ascii="Times New Roman" w:eastAsia="Times New Roman" w:hAnsi="Times New Roman" w:cs="Times New Roman"/>
          <w:sz w:val="26"/>
          <w:szCs w:val="26"/>
        </w:rPr>
        <w:t>The allegations</w:t>
      </w:r>
      <w:r w:rsidR="007D2B84">
        <w:rPr>
          <w:rFonts w:ascii="Times New Roman" w:eastAsia="Times New Roman" w:hAnsi="Times New Roman" w:cs="Times New Roman"/>
          <w:sz w:val="26"/>
          <w:szCs w:val="26"/>
        </w:rPr>
        <w:t xml:space="preserve"> </w:t>
      </w:r>
      <w:r w:rsidR="00E17CB4">
        <w:rPr>
          <w:rFonts w:ascii="Times New Roman" w:eastAsia="Times New Roman" w:hAnsi="Times New Roman" w:cs="Times New Roman"/>
          <w:sz w:val="26"/>
          <w:szCs w:val="26"/>
        </w:rPr>
        <w:t xml:space="preserve">in this matter </w:t>
      </w:r>
      <w:r w:rsidR="007D2B84">
        <w:rPr>
          <w:rFonts w:ascii="Times New Roman" w:eastAsia="Times New Roman" w:hAnsi="Times New Roman" w:cs="Times New Roman"/>
          <w:sz w:val="26"/>
          <w:szCs w:val="26"/>
        </w:rPr>
        <w:t>involve a fraudulent</w:t>
      </w:r>
      <w:r w:rsidR="00E17CB4">
        <w:rPr>
          <w:rFonts w:ascii="Times New Roman" w:eastAsia="Times New Roman" w:hAnsi="Times New Roman" w:cs="Times New Roman"/>
          <w:sz w:val="26"/>
          <w:szCs w:val="26"/>
        </w:rPr>
        <w:t xml:space="preserve"> and willful</w:t>
      </w:r>
      <w:r w:rsidR="007D2B84">
        <w:rPr>
          <w:rFonts w:ascii="Times New Roman" w:eastAsia="Times New Roman" w:hAnsi="Times New Roman" w:cs="Times New Roman"/>
          <w:sz w:val="26"/>
          <w:szCs w:val="26"/>
        </w:rPr>
        <w:t xml:space="preserve"> act of slamming</w:t>
      </w:r>
      <w:r w:rsidR="00890679">
        <w:rPr>
          <w:rFonts w:ascii="Times New Roman" w:eastAsia="Times New Roman" w:hAnsi="Times New Roman" w:cs="Times New Roman"/>
          <w:sz w:val="26"/>
          <w:szCs w:val="26"/>
        </w:rPr>
        <w:t xml:space="preserve"> by a sales agent of Residents.  </w:t>
      </w:r>
      <w:r>
        <w:rPr>
          <w:rFonts w:ascii="Times New Roman" w:eastAsia="Times New Roman" w:hAnsi="Times New Roman" w:cs="Times New Roman"/>
          <w:sz w:val="26"/>
          <w:szCs w:val="26"/>
        </w:rPr>
        <w:t xml:space="preserve">We have made </w:t>
      </w:r>
      <w:r w:rsidRPr="007A3CA3">
        <w:rPr>
          <w:rFonts w:ascii="Times New Roman" w:hAnsi="Times New Roman" w:cs="Times New Roman"/>
          <w:sz w:val="26"/>
          <w:szCs w:val="26"/>
        </w:rPr>
        <w:t>clear that unlawful activity that threatens to harm Pennsylvania’s consumers and the burgeoning retail electricity market in Pennsylvania</w:t>
      </w:r>
      <w:r>
        <w:rPr>
          <w:rFonts w:ascii="Times New Roman" w:hAnsi="Times New Roman" w:cs="Times New Roman"/>
          <w:sz w:val="26"/>
          <w:szCs w:val="26"/>
        </w:rPr>
        <w:t xml:space="preserve"> will not be tolerated</w:t>
      </w:r>
      <w:r w:rsidRPr="007A3CA3">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i/>
          <w:sz w:val="26"/>
          <w:szCs w:val="26"/>
        </w:rPr>
        <w:t>Pa. PUC v. MXenergy Electric Inc.</w:t>
      </w:r>
      <w:r>
        <w:rPr>
          <w:rFonts w:ascii="Times New Roman" w:hAnsi="Times New Roman" w:cs="Times New Roman"/>
          <w:sz w:val="26"/>
          <w:szCs w:val="26"/>
        </w:rPr>
        <w:t xml:space="preserve">, M-2012-2201861 (Order entered May 3, 2012) at 5.  </w:t>
      </w:r>
      <w:r w:rsidR="00E17CB4">
        <w:rPr>
          <w:rFonts w:ascii="Times New Roman" w:hAnsi="Times New Roman" w:cs="Times New Roman"/>
          <w:sz w:val="26"/>
          <w:szCs w:val="26"/>
        </w:rPr>
        <w:t xml:space="preserve">Furthermore, on </w:t>
      </w:r>
      <w:r w:rsidR="00E17CB4">
        <w:rPr>
          <w:rFonts w:ascii="Times New Roman" w:eastAsia="Times New Roman" w:hAnsi="Times New Roman" w:cs="Times New Roman"/>
          <w:sz w:val="26"/>
          <w:szCs w:val="26"/>
        </w:rPr>
        <w:t>numerous occasions we have noted the Commission’s “zero tolerance” policy on slamming.</w:t>
      </w:r>
      <w:r w:rsidR="00E17CB4">
        <w:rPr>
          <w:rStyle w:val="FootnoteReference"/>
          <w:rFonts w:ascii="Times New Roman" w:eastAsia="Times New Roman" w:hAnsi="Times New Roman" w:cs="Times New Roman"/>
          <w:sz w:val="26"/>
          <w:szCs w:val="26"/>
        </w:rPr>
        <w:footnoteReference w:id="4"/>
      </w:r>
      <w:r w:rsidR="00E17CB4">
        <w:rPr>
          <w:rFonts w:ascii="Times New Roman" w:eastAsia="Times New Roman" w:hAnsi="Times New Roman" w:cs="Times New Roman"/>
          <w:sz w:val="26"/>
          <w:szCs w:val="26"/>
        </w:rPr>
        <w:t xml:space="preserve">  Although the allegations appear to have involved a one-time incident by a rogue agent, </w:t>
      </w:r>
      <w:r w:rsidR="00616619">
        <w:rPr>
          <w:rFonts w:ascii="Times New Roman" w:eastAsia="Times New Roman" w:hAnsi="Times New Roman" w:cs="Times New Roman"/>
          <w:sz w:val="26"/>
          <w:szCs w:val="26"/>
        </w:rPr>
        <w:t>they involve conduct of a</w:t>
      </w:r>
      <w:r w:rsidR="00E17CB4" w:rsidRPr="006B6835">
        <w:rPr>
          <w:rFonts w:ascii="Times New Roman" w:eastAsia="Times New Roman" w:hAnsi="Times New Roman" w:cs="Times New Roman"/>
          <w:sz w:val="26"/>
          <w:szCs w:val="26"/>
        </w:rPr>
        <w:t xml:space="preserve"> serious nature </w:t>
      </w:r>
      <w:r w:rsidR="00616619">
        <w:rPr>
          <w:rFonts w:ascii="Times New Roman" w:eastAsia="Times New Roman" w:hAnsi="Times New Roman" w:cs="Times New Roman"/>
          <w:sz w:val="26"/>
          <w:szCs w:val="26"/>
        </w:rPr>
        <w:t xml:space="preserve">that warrants </w:t>
      </w:r>
      <w:r w:rsidR="00E17CB4" w:rsidRPr="006B6835">
        <w:rPr>
          <w:rFonts w:ascii="Times New Roman" w:eastAsia="Times New Roman" w:hAnsi="Times New Roman" w:cs="Times New Roman"/>
          <w:sz w:val="26"/>
          <w:szCs w:val="26"/>
        </w:rPr>
        <w:t>warranting a higher penalty</w:t>
      </w:r>
      <w:r w:rsidR="00616619">
        <w:rPr>
          <w:rFonts w:ascii="Times New Roman" w:eastAsia="Times New Roman" w:hAnsi="Times New Roman" w:cs="Times New Roman"/>
          <w:sz w:val="26"/>
          <w:szCs w:val="26"/>
        </w:rPr>
        <w:t xml:space="preserve"> under the application of this factor</w:t>
      </w:r>
      <w:r w:rsidR="00E17CB4" w:rsidRPr="006B6835">
        <w:rPr>
          <w:rFonts w:ascii="Times New Roman" w:eastAsia="Times New Roman" w:hAnsi="Times New Roman" w:cs="Times New Roman"/>
          <w:sz w:val="26"/>
          <w:szCs w:val="26"/>
        </w:rPr>
        <w:t>.</w:t>
      </w:r>
    </w:p>
    <w:p w:rsidR="00593492" w:rsidRPr="006B6835" w:rsidRDefault="00593492" w:rsidP="00593492">
      <w:pPr>
        <w:suppressAutoHyphens/>
        <w:spacing w:after="0" w:line="360" w:lineRule="auto"/>
        <w:rPr>
          <w:rFonts w:ascii="Times New Roman" w:eastAsia="Times New Roman" w:hAnsi="Times New Roman" w:cs="Times New Roman"/>
          <w:sz w:val="26"/>
          <w:szCs w:val="26"/>
        </w:rPr>
      </w:pPr>
    </w:p>
    <w:p w:rsidR="00593492" w:rsidRPr="006B6835" w:rsidRDefault="00593492" w:rsidP="00593492">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The second factor is whether the resulting consequences of the conduct are of a serious nature.  52 Pa. Code § 69.1201(c)(2).  “When consequences of a serious </w:t>
      </w:r>
      <w:r w:rsidRPr="006B6835">
        <w:rPr>
          <w:rFonts w:ascii="Times New Roman" w:eastAsia="Times New Roman" w:hAnsi="Times New Roman" w:cs="Times New Roman"/>
          <w:sz w:val="26"/>
          <w:szCs w:val="26"/>
        </w:rPr>
        <w:lastRenderedPageBreak/>
        <w:t xml:space="preserve">nature are involved, such as personal injury or property damage, the consequences may warrant a higher penalty.”  </w:t>
      </w:r>
      <w:r w:rsidRPr="006B6835">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 xml:space="preserve">There is no indication that the alleged violations resulted in personal injuries or property damage.  In addition, the customer </w:t>
      </w:r>
      <w:r w:rsidR="007B507C">
        <w:rPr>
          <w:rFonts w:ascii="Times New Roman" w:eastAsia="Times New Roman" w:hAnsi="Times New Roman" w:cs="Times New Roman"/>
          <w:sz w:val="26"/>
          <w:szCs w:val="26"/>
        </w:rPr>
        <w:t xml:space="preserve">who was </w:t>
      </w:r>
      <w:r>
        <w:rPr>
          <w:rFonts w:ascii="Times New Roman" w:eastAsia="Times New Roman" w:hAnsi="Times New Roman" w:cs="Times New Roman"/>
          <w:sz w:val="26"/>
          <w:szCs w:val="26"/>
        </w:rPr>
        <w:t>impacted by the actions of the Company’s agent do</w:t>
      </w:r>
      <w:r w:rsidR="00E17CB4">
        <w:rPr>
          <w:rFonts w:ascii="Times New Roman" w:eastAsia="Times New Roman" w:hAnsi="Times New Roman" w:cs="Times New Roman"/>
          <w:sz w:val="26"/>
          <w:szCs w:val="26"/>
        </w:rPr>
        <w:t>es</w:t>
      </w:r>
      <w:r>
        <w:rPr>
          <w:rFonts w:ascii="Times New Roman" w:eastAsia="Times New Roman" w:hAnsi="Times New Roman" w:cs="Times New Roman"/>
          <w:sz w:val="26"/>
          <w:szCs w:val="26"/>
        </w:rPr>
        <w:t xml:space="preserve"> not appear to have suffered any financial harm</w:t>
      </w:r>
      <w:r w:rsidR="007B507C">
        <w:rPr>
          <w:rFonts w:ascii="Times New Roman" w:eastAsia="Times New Roman" w:hAnsi="Times New Roman" w:cs="Times New Roman"/>
          <w:sz w:val="26"/>
          <w:szCs w:val="26"/>
        </w:rPr>
        <w:t xml:space="preserve">.  As explained in the Settlement, </w:t>
      </w:r>
      <w:r w:rsidR="00616619">
        <w:rPr>
          <w:rFonts w:ascii="Times New Roman" w:eastAsia="Times New Roman" w:hAnsi="Times New Roman" w:cs="Times New Roman"/>
          <w:sz w:val="26"/>
          <w:szCs w:val="26"/>
        </w:rPr>
        <w:t>the Company has provided a refund of the difference between the amount charged by Residents and the amount the customer would have been charged if the EGS service had not been switched to Residents</w:t>
      </w:r>
      <w:r>
        <w:rPr>
          <w:rFonts w:ascii="Times New Roman" w:eastAsia="Times New Roman" w:hAnsi="Times New Roman" w:cs="Times New Roman"/>
          <w:sz w:val="26"/>
          <w:szCs w:val="26"/>
        </w:rPr>
        <w:t>.  Accordingly, this factor does not</w:t>
      </w:r>
      <w:r w:rsidRPr="006B6835">
        <w:rPr>
          <w:rFonts w:ascii="Times New Roman" w:eastAsia="Times New Roman" w:hAnsi="Times New Roman" w:cs="Times New Roman"/>
          <w:sz w:val="26"/>
          <w:szCs w:val="26"/>
        </w:rPr>
        <w:t xml:space="preserve"> warrant a higher penalty.</w:t>
      </w:r>
    </w:p>
    <w:p w:rsidR="00593492" w:rsidRPr="006B6835" w:rsidRDefault="00593492" w:rsidP="00593492">
      <w:pPr>
        <w:suppressAutoHyphens/>
        <w:spacing w:after="0" w:line="360" w:lineRule="auto"/>
        <w:ind w:firstLine="1440"/>
        <w:rPr>
          <w:rFonts w:ascii="Times New Roman" w:eastAsia="Times New Roman" w:hAnsi="Times New Roman" w:cs="Times New Roman"/>
          <w:sz w:val="26"/>
          <w:szCs w:val="26"/>
        </w:rPr>
      </w:pPr>
    </w:p>
    <w:p w:rsidR="00593492" w:rsidRPr="006B6835" w:rsidRDefault="00593492" w:rsidP="00593492">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The third factor pertains to litigated cases only.  52 Pa. Code §</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69.1201(c)(3).  Because this proceeding was settled, this factor is not applicable to this Settlement.</w:t>
      </w:r>
    </w:p>
    <w:p w:rsidR="00593492" w:rsidRPr="006B6835" w:rsidRDefault="00593492" w:rsidP="00593492">
      <w:pPr>
        <w:suppressAutoHyphens/>
        <w:spacing w:after="0" w:line="360" w:lineRule="auto"/>
        <w:rPr>
          <w:rFonts w:ascii="Times New Roman" w:eastAsia="Times New Roman" w:hAnsi="Times New Roman" w:cs="Times New Roman"/>
          <w:sz w:val="26"/>
          <w:szCs w:val="26"/>
        </w:rPr>
      </w:pPr>
    </w:p>
    <w:p w:rsidR="005A2D67" w:rsidRDefault="00593492" w:rsidP="0059349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6B6835">
        <w:rPr>
          <w:rFonts w:ascii="Times New Roman" w:eastAsia="Times New Roman" w:hAnsi="Times New Roman" w:cs="Times New Roman"/>
          <w:sz w:val="26"/>
          <w:szCs w:val="26"/>
        </w:rPr>
        <w:t>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w:t>
      </w:r>
    </w:p>
    <w:p w:rsidR="005A2D67" w:rsidRDefault="005A2D67" w:rsidP="00593492">
      <w:pPr>
        <w:tabs>
          <w:tab w:val="center" w:pos="0"/>
        </w:tabs>
        <w:suppressAutoHyphens/>
        <w:spacing w:after="0" w:line="360" w:lineRule="auto"/>
        <w:rPr>
          <w:rFonts w:ascii="Times New Roman" w:eastAsia="Times New Roman" w:hAnsi="Times New Roman" w:cs="Times New Roman"/>
          <w:sz w:val="26"/>
          <w:szCs w:val="26"/>
        </w:rPr>
      </w:pPr>
    </w:p>
    <w:p w:rsidR="00CF0A6D" w:rsidRDefault="005A2D67" w:rsidP="0059349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35DB6">
        <w:rPr>
          <w:rFonts w:ascii="Times New Roman" w:eastAsia="Times New Roman" w:hAnsi="Times New Roman" w:cs="Times New Roman"/>
          <w:sz w:val="26"/>
          <w:szCs w:val="26"/>
        </w:rPr>
        <w:t xml:space="preserve">The Company asserts that </w:t>
      </w:r>
      <w:r>
        <w:rPr>
          <w:rFonts w:ascii="Times New Roman" w:eastAsia="Times New Roman" w:hAnsi="Times New Roman" w:cs="Times New Roman"/>
          <w:sz w:val="26"/>
          <w:szCs w:val="26"/>
        </w:rPr>
        <w:t>it began taking immediate action in response to the incident by terminating the customer’s enrollment, issuing the customer a partial refund, and prohibiting the offending agent from conducting any marketing on behalf of Residents or from being rehired in any capacity by Residents.  Residents Statement in Support at 5.  Additionally, I&amp;E submits that the Company had internal controls in place, including monitoring sales agents for compliance, daily review of all TPV’s</w:t>
      </w:r>
      <w:r w:rsidR="00D9488E">
        <w:rPr>
          <w:rFonts w:ascii="Times New Roman" w:eastAsia="Times New Roman" w:hAnsi="Times New Roman" w:cs="Times New Roman"/>
          <w:sz w:val="26"/>
          <w:szCs w:val="26"/>
        </w:rPr>
        <w:t>, and regular audit of enrollments</w:t>
      </w:r>
      <w:r>
        <w:rPr>
          <w:rFonts w:ascii="Times New Roman" w:eastAsia="Times New Roman" w:hAnsi="Times New Roman" w:cs="Times New Roman"/>
          <w:sz w:val="26"/>
          <w:szCs w:val="26"/>
        </w:rPr>
        <w:t xml:space="preserve">.  </w:t>
      </w:r>
      <w:r w:rsidR="00D9488E">
        <w:rPr>
          <w:rFonts w:ascii="Times New Roman" w:eastAsia="Times New Roman" w:hAnsi="Times New Roman" w:cs="Times New Roman"/>
          <w:sz w:val="26"/>
          <w:szCs w:val="26"/>
        </w:rPr>
        <w:t>I&amp;E further notes that Residents employs a full-time quality control team whose sole responsibility is to contact recently enrolled customers to ensure</w:t>
      </w:r>
      <w:r w:rsidR="00CE70D2">
        <w:rPr>
          <w:rFonts w:ascii="Times New Roman" w:eastAsia="Times New Roman" w:hAnsi="Times New Roman" w:cs="Times New Roman"/>
          <w:sz w:val="26"/>
          <w:szCs w:val="26"/>
        </w:rPr>
        <w:t xml:space="preserve"> proper sales and enrollment procedures have been followed.  According to I&amp;E, the Company operates under a set of “Core Values” applicable to all employees and vendors and has </w:t>
      </w:r>
      <w:r w:rsidR="00CE70D2">
        <w:rPr>
          <w:rFonts w:ascii="Times New Roman" w:eastAsia="Times New Roman" w:hAnsi="Times New Roman" w:cs="Times New Roman"/>
          <w:sz w:val="26"/>
          <w:szCs w:val="26"/>
        </w:rPr>
        <w:lastRenderedPageBreak/>
        <w:t>pledged to strenuously enforce these principles and procedures to help prevent similar conduct in the future.</w:t>
      </w:r>
      <w:r w:rsidR="00713784">
        <w:rPr>
          <w:rFonts w:ascii="Times New Roman" w:eastAsia="Times New Roman" w:hAnsi="Times New Roman" w:cs="Times New Roman"/>
          <w:sz w:val="26"/>
          <w:szCs w:val="26"/>
        </w:rPr>
        <w:t xml:space="preserve">  I&amp;E Statement in Support at 10.  </w:t>
      </w:r>
    </w:p>
    <w:p w:rsidR="00CF0A6D" w:rsidRDefault="00CF0A6D" w:rsidP="00593492">
      <w:pPr>
        <w:tabs>
          <w:tab w:val="center" w:pos="0"/>
        </w:tabs>
        <w:suppressAutoHyphens/>
        <w:spacing w:after="0" w:line="360" w:lineRule="auto"/>
        <w:rPr>
          <w:rFonts w:ascii="Times New Roman" w:eastAsia="Times New Roman" w:hAnsi="Times New Roman" w:cs="Times New Roman"/>
          <w:sz w:val="26"/>
          <w:szCs w:val="26"/>
        </w:rPr>
      </w:pPr>
    </w:p>
    <w:p w:rsidR="00593492" w:rsidRDefault="001D2D50" w:rsidP="0059349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the Settlement, the Company agrees to provide quarterly status reports to the Commission for a period of one year concerning customer complaints filed directly with Residents.  These status reports will help provide a measure of whether the </w:t>
      </w:r>
      <w:r w:rsidR="00457712">
        <w:rPr>
          <w:rFonts w:ascii="Times New Roman" w:eastAsia="Times New Roman" w:hAnsi="Times New Roman" w:cs="Times New Roman"/>
          <w:sz w:val="26"/>
          <w:szCs w:val="26"/>
        </w:rPr>
        <w:t xml:space="preserve">Company’s </w:t>
      </w:r>
      <w:r>
        <w:rPr>
          <w:rFonts w:ascii="Times New Roman" w:eastAsia="Times New Roman" w:hAnsi="Times New Roman" w:cs="Times New Roman"/>
          <w:sz w:val="26"/>
          <w:szCs w:val="26"/>
        </w:rPr>
        <w:t xml:space="preserve">procedures are resulting in proper sales activities and enrollment practices of customers.  </w:t>
      </w:r>
      <w:r w:rsidR="00CE70D2">
        <w:rPr>
          <w:rFonts w:ascii="Times New Roman" w:eastAsia="Times New Roman" w:hAnsi="Times New Roman" w:cs="Times New Roman"/>
          <w:sz w:val="26"/>
          <w:szCs w:val="26"/>
        </w:rPr>
        <w:t xml:space="preserve">In </w:t>
      </w:r>
      <w:r w:rsidR="00713784">
        <w:rPr>
          <w:rFonts w:ascii="Times New Roman" w:eastAsia="Times New Roman" w:hAnsi="Times New Roman" w:cs="Times New Roman"/>
          <w:sz w:val="26"/>
          <w:szCs w:val="26"/>
        </w:rPr>
        <w:t>consideration of</w:t>
      </w:r>
      <w:r w:rsidR="00CE70D2">
        <w:rPr>
          <w:rFonts w:ascii="Times New Roman" w:eastAsia="Times New Roman" w:hAnsi="Times New Roman" w:cs="Times New Roman"/>
          <w:sz w:val="26"/>
          <w:szCs w:val="26"/>
        </w:rPr>
        <w:t xml:space="preserve"> the Settlement terms and the assurances of the Parties, we find that the </w:t>
      </w:r>
      <w:r w:rsidR="00713784">
        <w:rPr>
          <w:rFonts w:ascii="Times New Roman" w:eastAsia="Times New Roman" w:hAnsi="Times New Roman" w:cs="Times New Roman"/>
          <w:sz w:val="26"/>
          <w:szCs w:val="26"/>
        </w:rPr>
        <w:t xml:space="preserve">application of the </w:t>
      </w:r>
      <w:r w:rsidR="00CE70D2">
        <w:rPr>
          <w:rFonts w:ascii="Times New Roman" w:eastAsia="Times New Roman" w:hAnsi="Times New Roman" w:cs="Times New Roman"/>
          <w:sz w:val="26"/>
          <w:szCs w:val="26"/>
        </w:rPr>
        <w:t>fourth</w:t>
      </w:r>
      <w:r w:rsidR="00593492">
        <w:rPr>
          <w:rFonts w:ascii="Times New Roman" w:eastAsia="Times New Roman" w:hAnsi="Times New Roman" w:cs="Times New Roman"/>
          <w:sz w:val="26"/>
          <w:szCs w:val="26"/>
        </w:rPr>
        <w:t xml:space="preserve"> factor </w:t>
      </w:r>
      <w:r w:rsidR="007B507C">
        <w:rPr>
          <w:rFonts w:ascii="Times New Roman" w:eastAsia="Times New Roman" w:hAnsi="Times New Roman" w:cs="Times New Roman"/>
          <w:sz w:val="26"/>
          <w:szCs w:val="26"/>
        </w:rPr>
        <w:t>is supportive of a</w:t>
      </w:r>
      <w:r w:rsidR="00CE70D2">
        <w:rPr>
          <w:rFonts w:ascii="Times New Roman" w:eastAsia="Times New Roman" w:hAnsi="Times New Roman" w:cs="Times New Roman"/>
          <w:sz w:val="26"/>
          <w:szCs w:val="26"/>
        </w:rPr>
        <w:t xml:space="preserve"> </w:t>
      </w:r>
      <w:r w:rsidR="00593492">
        <w:rPr>
          <w:rFonts w:ascii="Times New Roman" w:eastAsia="Times New Roman" w:hAnsi="Times New Roman" w:cs="Times New Roman"/>
          <w:sz w:val="26"/>
          <w:szCs w:val="26"/>
        </w:rPr>
        <w:t>lower penalty.</w:t>
      </w:r>
    </w:p>
    <w:p w:rsidR="00593492" w:rsidRPr="004A37E7" w:rsidRDefault="00593492" w:rsidP="00593492">
      <w:pPr>
        <w:suppressAutoHyphens/>
        <w:spacing w:after="0" w:line="360" w:lineRule="auto"/>
        <w:rPr>
          <w:rFonts w:ascii="Times New Roman" w:eastAsia="Times New Roman" w:hAnsi="Times New Roman" w:cs="Times New Roman"/>
          <w:color w:val="000000"/>
          <w:sz w:val="26"/>
          <w:szCs w:val="26"/>
          <w:u w:color="000000"/>
        </w:rPr>
      </w:pPr>
    </w:p>
    <w:p w:rsidR="00593492" w:rsidRDefault="00593492" w:rsidP="00593492">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fifth factor is the number of customers affected and the duration of the violations.  </w:t>
      </w:r>
      <w:r w:rsidRPr="006B6835">
        <w:rPr>
          <w:rFonts w:ascii="Times New Roman" w:eastAsia="Times New Roman" w:hAnsi="Times New Roman" w:cs="Times New Roman"/>
          <w:sz w:val="26"/>
          <w:szCs w:val="26"/>
        </w:rPr>
        <w:t xml:space="preserve">52 Pa. Code § 69.1201(c)(5). </w:t>
      </w:r>
      <w:r w:rsidR="00713784">
        <w:rPr>
          <w:rFonts w:ascii="Times New Roman" w:eastAsia="Times New Roman" w:hAnsi="Times New Roman" w:cs="Times New Roman"/>
          <w:sz w:val="26"/>
          <w:szCs w:val="26"/>
        </w:rPr>
        <w:t xml:space="preserve"> Here, it is alleged that the </w:t>
      </w:r>
      <w:r w:rsidR="00395E13">
        <w:rPr>
          <w:rFonts w:ascii="Times New Roman" w:eastAsia="Times New Roman" w:hAnsi="Times New Roman" w:cs="Times New Roman"/>
          <w:sz w:val="26"/>
          <w:szCs w:val="26"/>
        </w:rPr>
        <w:t xml:space="preserve">EGS service for </w:t>
      </w:r>
      <w:r w:rsidR="00713784">
        <w:rPr>
          <w:rFonts w:ascii="Times New Roman" w:eastAsia="Times New Roman" w:hAnsi="Times New Roman" w:cs="Times New Roman"/>
          <w:sz w:val="26"/>
          <w:szCs w:val="26"/>
        </w:rPr>
        <w:t xml:space="preserve">one account of a single customer was switched </w:t>
      </w:r>
      <w:r w:rsidR="00395E13">
        <w:rPr>
          <w:rFonts w:ascii="Times New Roman" w:eastAsia="Times New Roman" w:hAnsi="Times New Roman" w:cs="Times New Roman"/>
          <w:sz w:val="26"/>
          <w:szCs w:val="26"/>
        </w:rPr>
        <w:t xml:space="preserve">to Residents for a period of seventeen days.  Considering the limited customer impact and </w:t>
      </w:r>
      <w:r w:rsidR="00457712">
        <w:rPr>
          <w:rFonts w:ascii="Times New Roman" w:eastAsia="Times New Roman" w:hAnsi="Times New Roman" w:cs="Times New Roman"/>
          <w:sz w:val="26"/>
          <w:szCs w:val="26"/>
        </w:rPr>
        <w:t xml:space="preserve">relatively </w:t>
      </w:r>
      <w:r w:rsidR="00395E13">
        <w:rPr>
          <w:rFonts w:ascii="Times New Roman" w:eastAsia="Times New Roman" w:hAnsi="Times New Roman" w:cs="Times New Roman"/>
          <w:sz w:val="26"/>
          <w:szCs w:val="26"/>
        </w:rPr>
        <w:t>short duration of the violation, we deem this factor as being supportive of a lower civil penalty.</w:t>
      </w:r>
    </w:p>
    <w:p w:rsidR="00713784" w:rsidRPr="006B6835" w:rsidRDefault="00713784" w:rsidP="00593492">
      <w:pPr>
        <w:suppressAutoHyphens/>
        <w:spacing w:after="0" w:line="360" w:lineRule="auto"/>
        <w:ind w:firstLine="1440"/>
        <w:rPr>
          <w:rFonts w:ascii="Times New Roman" w:eastAsia="Times New Roman" w:hAnsi="Times New Roman" w:cs="Times New Roman"/>
          <w:sz w:val="26"/>
          <w:szCs w:val="26"/>
        </w:rPr>
      </w:pPr>
    </w:p>
    <w:p w:rsidR="00593492" w:rsidRDefault="00593492" w:rsidP="00593492">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We may also consider the compliance history of the regulated entity.  52</w:t>
      </w:r>
      <w:r w:rsidR="007A125F">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 xml:space="preserve">Pa. Code § 69.1201(c)(6).  </w:t>
      </w:r>
      <w:r>
        <w:rPr>
          <w:rFonts w:ascii="Times New Roman" w:eastAsia="Times New Roman" w:hAnsi="Times New Roman" w:cs="Times New Roman"/>
          <w:sz w:val="26"/>
          <w:szCs w:val="26"/>
        </w:rPr>
        <w:t xml:space="preserve">“An isolated incident from an otherwise compliant utility may result in a lower penalty, whereas frequent, recurrent violations by a utility may result in a higher penalty.”  </w:t>
      </w:r>
      <w:r>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 xml:space="preserve"> Here, there have been no proceedings in which the Commission has made findings of violations against </w:t>
      </w:r>
      <w:r w:rsidR="000F03E6">
        <w:rPr>
          <w:rFonts w:ascii="Times New Roman" w:eastAsia="Times New Roman" w:hAnsi="Times New Roman" w:cs="Times New Roman"/>
          <w:sz w:val="26"/>
          <w:szCs w:val="26"/>
        </w:rPr>
        <w:t>Residents</w:t>
      </w:r>
      <w:r>
        <w:rPr>
          <w:rFonts w:ascii="Times New Roman" w:eastAsia="Times New Roman" w:hAnsi="Times New Roman" w:cs="Times New Roman"/>
          <w:sz w:val="26"/>
          <w:szCs w:val="26"/>
        </w:rPr>
        <w:t xml:space="preserve">.  We determine </w:t>
      </w:r>
      <w:r w:rsidRPr="006B6835">
        <w:rPr>
          <w:rFonts w:ascii="Times New Roman" w:eastAsia="Times New Roman" w:hAnsi="Times New Roman" w:cs="Times New Roman"/>
          <w:sz w:val="26"/>
          <w:szCs w:val="26"/>
        </w:rPr>
        <w:t>that the Company’s compliance history has been satisfactory and poses no barrier to approval of the Settlement between the Parties.</w:t>
      </w:r>
    </w:p>
    <w:p w:rsidR="00593492" w:rsidRPr="006B6835" w:rsidRDefault="00593492" w:rsidP="00593492">
      <w:pPr>
        <w:spacing w:after="0" w:line="360" w:lineRule="auto"/>
        <w:rPr>
          <w:rFonts w:ascii="Times New Roman" w:eastAsia="Times New Roman" w:hAnsi="Times New Roman" w:cs="Times New Roman"/>
          <w:sz w:val="26"/>
          <w:szCs w:val="26"/>
        </w:rPr>
      </w:pPr>
    </w:p>
    <w:p w:rsidR="00593492" w:rsidRPr="006B6835" w:rsidRDefault="00593492" w:rsidP="00593492">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Another factor we may consider is whether the regulated entity cooperated with the Commission’s investigation.  52 Pa. Code § 69.1201(c)(7).  </w:t>
      </w:r>
      <w:r>
        <w:rPr>
          <w:rFonts w:ascii="Times New Roman" w:eastAsia="Times New Roman" w:hAnsi="Times New Roman" w:cs="Times New Roman"/>
          <w:sz w:val="26"/>
          <w:szCs w:val="26"/>
        </w:rPr>
        <w:t xml:space="preserve">According to I&amp;E, the Company fully cooperated </w:t>
      </w:r>
      <w:r w:rsidR="00FE4CED">
        <w:rPr>
          <w:rFonts w:ascii="Times New Roman" w:eastAsia="Times New Roman" w:hAnsi="Times New Roman" w:cs="Times New Roman"/>
          <w:sz w:val="26"/>
          <w:szCs w:val="26"/>
        </w:rPr>
        <w:t>throughout all phases of the investigation and settlement process</w:t>
      </w:r>
      <w:r>
        <w:rPr>
          <w:rFonts w:ascii="Times New Roman" w:eastAsia="Times New Roman" w:hAnsi="Times New Roman" w:cs="Times New Roman"/>
          <w:sz w:val="26"/>
          <w:szCs w:val="26"/>
        </w:rPr>
        <w:t>.  I&amp;E Statement in Support at 1</w:t>
      </w:r>
      <w:r w:rsidR="00FE4CED">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p>
    <w:p w:rsidR="00593492" w:rsidRPr="006B6835" w:rsidRDefault="00593492" w:rsidP="00593492">
      <w:pPr>
        <w:suppressAutoHyphens/>
        <w:spacing w:after="0" w:line="360" w:lineRule="auto"/>
        <w:rPr>
          <w:rFonts w:ascii="Times New Roman" w:eastAsia="Times New Roman" w:hAnsi="Times New Roman" w:cs="Times New Roman"/>
          <w:sz w:val="26"/>
          <w:szCs w:val="26"/>
        </w:rPr>
      </w:pPr>
    </w:p>
    <w:p w:rsidR="00593492" w:rsidRDefault="00593492" w:rsidP="00593492">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 xml:space="preserve">In addition, we may consider the amount of the civil penalty necessary to deter future violations as well as past Commission decisions in similar situations.  52 Pa. Code § 69.1201(c)(8) and (c)(9).  </w:t>
      </w:r>
      <w:r w:rsidR="00E97271">
        <w:rPr>
          <w:rFonts w:ascii="Times New Roman" w:eastAsia="Times New Roman" w:hAnsi="Times New Roman" w:cs="Times New Roman"/>
          <w:sz w:val="26"/>
          <w:szCs w:val="26"/>
        </w:rPr>
        <w:t>I&amp;E contends that it identified multiple violations related to this incident and that a</w:t>
      </w:r>
      <w:r w:rsidR="00FE4CED">
        <w:rPr>
          <w:rFonts w:ascii="Times New Roman" w:eastAsia="Times New Roman" w:hAnsi="Times New Roman" w:cs="Times New Roman"/>
          <w:sz w:val="26"/>
          <w:szCs w:val="26"/>
        </w:rPr>
        <w:t xml:space="preserve"> $1,000 </w:t>
      </w:r>
      <w:r w:rsidR="00E97271">
        <w:rPr>
          <w:rFonts w:ascii="Times New Roman" w:eastAsia="Times New Roman" w:hAnsi="Times New Roman" w:cs="Times New Roman"/>
          <w:sz w:val="26"/>
          <w:szCs w:val="26"/>
        </w:rPr>
        <w:t xml:space="preserve">civil penalty per violation </w:t>
      </w:r>
      <w:r w:rsidR="00B07137">
        <w:rPr>
          <w:rFonts w:ascii="Times New Roman" w:eastAsia="Times New Roman" w:hAnsi="Times New Roman" w:cs="Times New Roman"/>
          <w:sz w:val="26"/>
          <w:szCs w:val="26"/>
        </w:rPr>
        <w:t>would be</w:t>
      </w:r>
      <w:r w:rsidR="00E97271">
        <w:rPr>
          <w:rFonts w:ascii="Times New Roman" w:eastAsia="Times New Roman" w:hAnsi="Times New Roman" w:cs="Times New Roman"/>
          <w:sz w:val="26"/>
          <w:szCs w:val="26"/>
        </w:rPr>
        <w:t xml:space="preserve"> appropriate.  However, I&amp;E asserts that the Commission should </w:t>
      </w:r>
      <w:r w:rsidR="00B07137">
        <w:rPr>
          <w:rFonts w:ascii="Times New Roman" w:eastAsia="Times New Roman" w:hAnsi="Times New Roman" w:cs="Times New Roman"/>
          <w:sz w:val="26"/>
          <w:szCs w:val="26"/>
        </w:rPr>
        <w:t xml:space="preserve">also </w:t>
      </w:r>
      <w:r w:rsidR="00E97271">
        <w:rPr>
          <w:rFonts w:ascii="Times New Roman" w:eastAsia="Times New Roman" w:hAnsi="Times New Roman" w:cs="Times New Roman"/>
          <w:sz w:val="26"/>
          <w:szCs w:val="26"/>
        </w:rPr>
        <w:t xml:space="preserve">consider the mitigating actions of the Company, including the prompt identification of the agent, the severing of business relations with him, and the prompt issuance of a refund to the customer.  I&amp;E submits that a $6,000 </w:t>
      </w:r>
      <w:r w:rsidR="00967E7A">
        <w:rPr>
          <w:rFonts w:ascii="Times New Roman" w:eastAsia="Times New Roman" w:hAnsi="Times New Roman" w:cs="Times New Roman"/>
          <w:sz w:val="26"/>
          <w:szCs w:val="26"/>
        </w:rPr>
        <w:t xml:space="preserve">civil penalty </w:t>
      </w:r>
      <w:r w:rsidR="00E97271">
        <w:rPr>
          <w:rFonts w:ascii="Times New Roman" w:eastAsia="Times New Roman" w:hAnsi="Times New Roman" w:cs="Times New Roman"/>
          <w:sz w:val="26"/>
          <w:szCs w:val="26"/>
        </w:rPr>
        <w:t xml:space="preserve">is appropriate under </w:t>
      </w:r>
      <w:r w:rsidR="00B07137">
        <w:rPr>
          <w:rFonts w:ascii="Times New Roman" w:eastAsia="Times New Roman" w:hAnsi="Times New Roman" w:cs="Times New Roman"/>
          <w:sz w:val="26"/>
          <w:szCs w:val="26"/>
        </w:rPr>
        <w:t>circumstances.  I&amp;E Statement in Support at</w:t>
      </w:r>
      <w:r w:rsidR="007F5A1D">
        <w:rPr>
          <w:rFonts w:ascii="Times New Roman" w:eastAsia="Times New Roman" w:hAnsi="Times New Roman" w:cs="Times New Roman"/>
          <w:sz w:val="26"/>
          <w:szCs w:val="26"/>
        </w:rPr>
        <w:t> </w:t>
      </w:r>
      <w:r w:rsidR="00B07137">
        <w:rPr>
          <w:rFonts w:ascii="Times New Roman" w:eastAsia="Times New Roman" w:hAnsi="Times New Roman" w:cs="Times New Roman"/>
          <w:sz w:val="26"/>
          <w:szCs w:val="26"/>
        </w:rPr>
        <w:t>11-12.  Likewise, the Company argues that the</w:t>
      </w:r>
      <w:r w:rsidR="00E9727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civil penalty </w:t>
      </w:r>
      <w:r w:rsidR="00B07137">
        <w:rPr>
          <w:rFonts w:ascii="Times New Roman" w:eastAsia="Times New Roman" w:hAnsi="Times New Roman" w:cs="Times New Roman"/>
          <w:sz w:val="26"/>
          <w:szCs w:val="26"/>
        </w:rPr>
        <w:t xml:space="preserve">is proportionate to the nature of the incident and the number of customers affected and will serve to deter future violations.  </w:t>
      </w:r>
      <w:r w:rsidR="0056133A">
        <w:rPr>
          <w:rFonts w:ascii="Times New Roman" w:eastAsia="Times New Roman" w:hAnsi="Times New Roman" w:cs="Times New Roman"/>
          <w:sz w:val="26"/>
          <w:szCs w:val="26"/>
        </w:rPr>
        <w:t>Residents Statement in Support at 6.</w:t>
      </w:r>
      <w:r w:rsidR="001478C5">
        <w:rPr>
          <w:rFonts w:ascii="Times New Roman" w:eastAsia="Times New Roman" w:hAnsi="Times New Roman" w:cs="Times New Roman"/>
          <w:sz w:val="26"/>
          <w:szCs w:val="26"/>
        </w:rPr>
        <w:t xml:space="preserve">  </w:t>
      </w:r>
      <w:r w:rsidRPr="006B6835">
        <w:rPr>
          <w:rFonts w:ascii="Times New Roman" w:eastAsia="Times New Roman" w:hAnsi="Times New Roman" w:cs="Times New Roman"/>
          <w:sz w:val="26"/>
          <w:szCs w:val="26"/>
        </w:rPr>
        <w:t xml:space="preserve">We </w:t>
      </w:r>
      <w:r>
        <w:rPr>
          <w:rFonts w:ascii="Times New Roman" w:eastAsia="Times New Roman" w:hAnsi="Times New Roman" w:cs="Times New Roman"/>
          <w:sz w:val="26"/>
          <w:szCs w:val="26"/>
        </w:rPr>
        <w:t xml:space="preserve">agree and </w:t>
      </w:r>
      <w:r w:rsidRPr="006B6835">
        <w:rPr>
          <w:rFonts w:ascii="Times New Roman" w:eastAsia="Times New Roman" w:hAnsi="Times New Roman" w:cs="Times New Roman"/>
          <w:sz w:val="26"/>
          <w:szCs w:val="26"/>
        </w:rPr>
        <w:t>find that t</w:t>
      </w:r>
      <w:r>
        <w:rPr>
          <w:rFonts w:ascii="Times New Roman" w:eastAsia="Times New Roman" w:hAnsi="Times New Roman" w:cs="Times New Roman"/>
          <w:sz w:val="26"/>
          <w:szCs w:val="26"/>
        </w:rPr>
        <w:t xml:space="preserve">he proposed civil penalty </w:t>
      </w:r>
      <w:r w:rsidR="00B07137">
        <w:rPr>
          <w:rFonts w:ascii="Times New Roman" w:eastAsia="Times New Roman" w:hAnsi="Times New Roman" w:cs="Times New Roman"/>
          <w:sz w:val="26"/>
          <w:szCs w:val="26"/>
        </w:rPr>
        <w:t xml:space="preserve">is appropriate and </w:t>
      </w:r>
      <w:r>
        <w:rPr>
          <w:rFonts w:ascii="Times New Roman" w:eastAsia="Times New Roman" w:hAnsi="Times New Roman" w:cs="Times New Roman"/>
          <w:sz w:val="26"/>
          <w:szCs w:val="26"/>
        </w:rPr>
        <w:t>presents a fair and reasonable outcome</w:t>
      </w:r>
      <w:r w:rsidR="007B507C">
        <w:rPr>
          <w:rFonts w:ascii="Times New Roman" w:eastAsia="Times New Roman" w:hAnsi="Times New Roman" w:cs="Times New Roman"/>
          <w:sz w:val="26"/>
          <w:szCs w:val="26"/>
        </w:rPr>
        <w:t xml:space="preserve"> of this proceeding</w:t>
      </w:r>
      <w:r w:rsidRPr="006B6835">
        <w:rPr>
          <w:rFonts w:ascii="Times New Roman" w:eastAsia="Times New Roman" w:hAnsi="Times New Roman" w:cs="Times New Roman"/>
          <w:sz w:val="26"/>
          <w:szCs w:val="26"/>
        </w:rPr>
        <w:t>.</w:t>
      </w:r>
    </w:p>
    <w:p w:rsidR="00593492" w:rsidRPr="006B6835" w:rsidRDefault="00593492" w:rsidP="00593492">
      <w:pPr>
        <w:suppressAutoHyphens/>
        <w:spacing w:after="0" w:line="360" w:lineRule="auto"/>
        <w:rPr>
          <w:rFonts w:ascii="Times New Roman" w:eastAsia="Times New Roman" w:hAnsi="Times New Roman" w:cs="Times New Roman"/>
          <w:color w:val="000000"/>
          <w:sz w:val="26"/>
          <w:szCs w:val="26"/>
          <w:u w:color="000000"/>
        </w:rPr>
      </w:pPr>
    </w:p>
    <w:p w:rsidR="00593492" w:rsidRPr="006B6835" w:rsidRDefault="00593492" w:rsidP="00593492">
      <w:pPr>
        <w:suppressAutoHyphens/>
        <w:spacing w:after="0" w:line="360" w:lineRule="auto"/>
        <w:ind w:firstLine="1440"/>
        <w:rPr>
          <w:rFonts w:ascii="Times New Roman" w:eastAsia="Times New Roman" w:hAnsi="Times New Roman" w:cs="Times New Roman"/>
          <w:color w:val="000000"/>
          <w:sz w:val="26"/>
          <w:szCs w:val="26"/>
          <w:u w:color="000000"/>
        </w:rPr>
      </w:pPr>
      <w:r w:rsidRPr="006B6835">
        <w:rPr>
          <w:rFonts w:ascii="Times New Roman" w:eastAsia="Times New Roman" w:hAnsi="Times New Roman" w:cs="Times New Roman"/>
          <w:color w:val="000000"/>
          <w:sz w:val="26"/>
          <w:szCs w:val="26"/>
          <w:u w:color="000000"/>
        </w:rPr>
        <w:t xml:space="preserve">The tenth factor to consider is other “relevant factors.”  </w:t>
      </w:r>
      <w:r w:rsidRPr="006B6835">
        <w:rPr>
          <w:rFonts w:ascii="Times New Roman" w:eastAsia="Times New Roman" w:hAnsi="Times New Roman" w:cs="Times New Roman"/>
          <w:sz w:val="26"/>
          <w:szCs w:val="26"/>
        </w:rPr>
        <w:t>52 Pa. Code §</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69.1201(c)(10).  We believe that it is in the public interest to settle this matter so as to avoid the expense of litigation.</w:t>
      </w:r>
    </w:p>
    <w:p w:rsidR="00593492" w:rsidRPr="006B6835" w:rsidRDefault="00593492" w:rsidP="00593492">
      <w:pPr>
        <w:suppressAutoHyphens/>
        <w:spacing w:after="0" w:line="360" w:lineRule="auto"/>
        <w:jc w:val="both"/>
        <w:rPr>
          <w:rFonts w:ascii="Times New Roman" w:eastAsia="Times New Roman" w:hAnsi="Times New Roman" w:cs="Times New Roman"/>
          <w:color w:val="000000"/>
          <w:sz w:val="26"/>
          <w:szCs w:val="26"/>
          <w:u w:color="000000"/>
        </w:rPr>
      </w:pPr>
    </w:p>
    <w:p w:rsidR="00593492" w:rsidRDefault="00593492" w:rsidP="00593492">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For the reasons set forth above, after reviewing the terms of the Settlement, we find that approval of the Settlement</w:t>
      </w:r>
      <w:r>
        <w:rPr>
          <w:rFonts w:ascii="Times New Roman" w:eastAsia="Times New Roman" w:hAnsi="Times New Roman" w:cs="Times New Roman"/>
          <w:sz w:val="26"/>
          <w:szCs w:val="26"/>
        </w:rPr>
        <w:t xml:space="preserve"> </w:t>
      </w:r>
      <w:r w:rsidRPr="007B421B">
        <w:rPr>
          <w:rFonts w:ascii="Times New Roman" w:eastAsia="Times New Roman" w:hAnsi="Times New Roman" w:cs="Times New Roman"/>
          <w:sz w:val="26"/>
          <w:szCs w:val="26"/>
        </w:rPr>
        <w:t>is in the public interest and is consistent with the terms of our Policy Statement and our past decisions.</w:t>
      </w:r>
    </w:p>
    <w:p w:rsidR="00593492" w:rsidRPr="007B421B" w:rsidRDefault="00593492" w:rsidP="00593492">
      <w:pPr>
        <w:spacing w:after="0" w:line="360" w:lineRule="auto"/>
        <w:rPr>
          <w:rFonts w:ascii="Times New Roman" w:eastAsia="Times New Roman" w:hAnsi="Times New Roman" w:cs="Times New Roman"/>
          <w:sz w:val="26"/>
          <w:szCs w:val="26"/>
        </w:rPr>
      </w:pPr>
    </w:p>
    <w:p w:rsidR="00593492" w:rsidRPr="007B421B" w:rsidRDefault="00593492" w:rsidP="00593492">
      <w:pPr>
        <w:keepNext/>
        <w:keepLines/>
        <w:spacing w:after="0" w:line="360" w:lineRule="auto"/>
        <w:jc w:val="center"/>
        <w:rPr>
          <w:rFonts w:ascii="Times New Roman" w:eastAsia="Times New Roman" w:hAnsi="Times New Roman" w:cs="Times New Roman"/>
          <w:sz w:val="26"/>
          <w:szCs w:val="26"/>
        </w:rPr>
      </w:pPr>
      <w:r w:rsidRPr="007B421B">
        <w:rPr>
          <w:rFonts w:ascii="Times New Roman" w:eastAsia="Times New Roman" w:hAnsi="Times New Roman" w:cs="Times New Roman"/>
          <w:b/>
          <w:sz w:val="26"/>
          <w:szCs w:val="26"/>
        </w:rPr>
        <w:t>Conclusion</w:t>
      </w:r>
    </w:p>
    <w:p w:rsidR="00593492" w:rsidRPr="007B421B" w:rsidRDefault="00593492" w:rsidP="00593492">
      <w:pPr>
        <w:keepNext/>
        <w:keepLines/>
        <w:spacing w:after="0" w:line="360" w:lineRule="auto"/>
        <w:rPr>
          <w:rFonts w:ascii="Times New Roman" w:eastAsia="Times New Roman" w:hAnsi="Times New Roman" w:cs="Times New Roman"/>
          <w:sz w:val="26"/>
          <w:szCs w:val="26"/>
        </w:rPr>
      </w:pPr>
    </w:p>
    <w:p w:rsidR="00593492" w:rsidRPr="007B421B" w:rsidRDefault="00593492" w:rsidP="00593492">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we find that the proposed Settlement between I&amp;E and </w:t>
      </w:r>
      <w:r w:rsidR="007B507C">
        <w:rPr>
          <w:rFonts w:ascii="Times New Roman" w:eastAsia="Times New Roman" w:hAnsi="Times New Roman" w:cs="Times New Roman"/>
          <w:sz w:val="26"/>
          <w:szCs w:val="26"/>
        </w:rPr>
        <w:t>Residents</w:t>
      </w:r>
      <w:r w:rsidRPr="007B421B">
        <w:rPr>
          <w:rFonts w:ascii="Times New Roman" w:eastAsia="Times New Roman" w:hAnsi="Times New Roman" w:cs="Times New Roman"/>
          <w:sz w:val="26"/>
          <w:szCs w:val="26"/>
        </w:rPr>
        <w:t xml:space="preserve"> is in the public interest and merits approval.  We will therefore approve the Settlement</w:t>
      </w:r>
      <w:r>
        <w:rPr>
          <w:rFonts w:ascii="Times New Roman" w:eastAsia="Times New Roman" w:hAnsi="Times New Roman" w:cs="Times New Roman"/>
          <w:sz w:val="26"/>
          <w:szCs w:val="26"/>
        </w:rPr>
        <w:t xml:space="preserve"> consistent with</w:t>
      </w:r>
      <w:r w:rsidRPr="007B421B">
        <w:rPr>
          <w:rFonts w:ascii="Times New Roman" w:eastAsia="Times New Roman" w:hAnsi="Times New Roman" w:cs="Times New Roman"/>
          <w:sz w:val="26"/>
          <w:szCs w:val="26"/>
        </w:rPr>
        <w:t xml:space="preserve"> this Opinion and Order; </w:t>
      </w:r>
      <w:r w:rsidRPr="007B421B">
        <w:rPr>
          <w:rFonts w:ascii="Times New Roman" w:eastAsia="Times New Roman" w:hAnsi="Times New Roman" w:cs="Times New Roman"/>
          <w:b/>
          <w:sz w:val="26"/>
          <w:szCs w:val="26"/>
        </w:rPr>
        <w:t>THEREFORE</w:t>
      </w:r>
      <w:r w:rsidRPr="007B421B">
        <w:rPr>
          <w:rFonts w:ascii="Times New Roman" w:eastAsia="Times New Roman" w:hAnsi="Times New Roman" w:cs="Times New Roman"/>
          <w:sz w:val="26"/>
          <w:szCs w:val="26"/>
        </w:rPr>
        <w:t>,</w:t>
      </w:r>
    </w:p>
    <w:p w:rsidR="00593492" w:rsidRDefault="00593492" w:rsidP="00593492">
      <w:pPr>
        <w:keepNext/>
        <w:keepLines/>
        <w:spacing w:after="0" w:line="360" w:lineRule="auto"/>
        <w:ind w:left="720" w:firstLine="720"/>
        <w:rPr>
          <w:rFonts w:ascii="Times New Roman" w:eastAsia="Times New Roman" w:hAnsi="Times New Roman" w:cs="Times New Roman"/>
          <w:b/>
          <w:sz w:val="26"/>
          <w:szCs w:val="26"/>
        </w:rPr>
      </w:pPr>
      <w:r w:rsidRPr="007B421B">
        <w:rPr>
          <w:rFonts w:ascii="Times New Roman" w:eastAsia="Times New Roman" w:hAnsi="Times New Roman" w:cs="Times New Roman"/>
          <w:b/>
          <w:sz w:val="26"/>
          <w:szCs w:val="26"/>
        </w:rPr>
        <w:lastRenderedPageBreak/>
        <w:t>IT IS ORDERED:</w:t>
      </w:r>
    </w:p>
    <w:p w:rsidR="00593492" w:rsidRPr="007B421B" w:rsidRDefault="00593492" w:rsidP="00593492">
      <w:pPr>
        <w:keepNext/>
        <w:keepLines/>
        <w:spacing w:after="0" w:line="360" w:lineRule="auto"/>
        <w:ind w:left="720" w:firstLine="720"/>
        <w:rPr>
          <w:rFonts w:ascii="Times New Roman" w:eastAsia="Times New Roman" w:hAnsi="Times New Roman" w:cs="Times New Roman"/>
          <w:b/>
          <w:sz w:val="26"/>
          <w:szCs w:val="26"/>
        </w:rPr>
      </w:pPr>
    </w:p>
    <w:p w:rsidR="00593492" w:rsidRPr="007B421B" w:rsidRDefault="00593492" w:rsidP="00593492">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1.</w:t>
      </w:r>
      <w:r w:rsidRPr="007B421B">
        <w:rPr>
          <w:rFonts w:ascii="Times New Roman" w:eastAsia="Times New Roman" w:hAnsi="Times New Roman" w:cs="Times New Roman"/>
          <w:sz w:val="26"/>
          <w:szCs w:val="26"/>
        </w:rPr>
        <w:tab/>
        <w:t xml:space="preserve"> T</w:t>
      </w:r>
      <w:r>
        <w:rPr>
          <w:rFonts w:ascii="Times New Roman" w:eastAsia="Times New Roman" w:hAnsi="Times New Roman" w:cs="Times New Roman"/>
          <w:sz w:val="26"/>
          <w:szCs w:val="26"/>
        </w:rPr>
        <w:t>hat t</w:t>
      </w:r>
      <w:r w:rsidRPr="007B421B">
        <w:rPr>
          <w:rFonts w:ascii="Times New Roman" w:eastAsia="Times New Roman" w:hAnsi="Times New Roman" w:cs="Times New Roman"/>
          <w:sz w:val="26"/>
          <w:szCs w:val="26"/>
        </w:rPr>
        <w:t xml:space="preserve">he </w:t>
      </w:r>
      <w:r>
        <w:rPr>
          <w:rFonts w:ascii="Times New Roman" w:eastAsia="Times New Roman" w:hAnsi="Times New Roman" w:cs="Times New Roman"/>
          <w:sz w:val="26"/>
          <w:szCs w:val="26"/>
        </w:rPr>
        <w:t xml:space="preserve">Joint </w:t>
      </w:r>
      <w:r w:rsidRPr="007B421B">
        <w:rPr>
          <w:rFonts w:ascii="Times New Roman" w:eastAsia="Times New Roman" w:hAnsi="Times New Roman" w:cs="Times New Roman"/>
          <w:sz w:val="26"/>
          <w:szCs w:val="26"/>
        </w:rPr>
        <w:t xml:space="preserve">Settlement </w:t>
      </w:r>
      <w:r>
        <w:rPr>
          <w:rFonts w:ascii="Times New Roman" w:eastAsia="Times New Roman" w:hAnsi="Times New Roman" w:cs="Times New Roman"/>
          <w:sz w:val="26"/>
          <w:szCs w:val="26"/>
        </w:rPr>
        <w:t>Petition</w:t>
      </w:r>
      <w:r w:rsidRPr="007B421B">
        <w:rPr>
          <w:rFonts w:ascii="Times New Roman" w:eastAsia="Times New Roman" w:hAnsi="Times New Roman" w:cs="Times New Roman"/>
          <w:sz w:val="26"/>
          <w:szCs w:val="26"/>
        </w:rPr>
        <w:t xml:space="preserve"> filed on </w:t>
      </w:r>
      <w:r w:rsidR="007B507C">
        <w:rPr>
          <w:rFonts w:ascii="Times New Roman" w:eastAsia="Times New Roman" w:hAnsi="Times New Roman" w:cs="Times New Roman"/>
          <w:sz w:val="26"/>
          <w:szCs w:val="26"/>
        </w:rPr>
        <w:t>May 12</w:t>
      </w:r>
      <w:r>
        <w:rPr>
          <w:rFonts w:ascii="Times New Roman" w:eastAsia="Times New Roman" w:hAnsi="Times New Roman" w:cs="Times New Roman"/>
          <w:sz w:val="26"/>
          <w:szCs w:val="26"/>
        </w:rPr>
        <w:t>, 2017</w:t>
      </w:r>
      <w:r w:rsidRPr="007B421B">
        <w:rPr>
          <w:rFonts w:ascii="Times New Roman" w:eastAsia="Times New Roman" w:hAnsi="Times New Roman" w:cs="Times New Roman"/>
          <w:sz w:val="26"/>
          <w:szCs w:val="26"/>
        </w:rPr>
        <w:t xml:space="preserve">, between the Commission’s Bureau of Investigation and Enforcement and </w:t>
      </w:r>
      <w:r w:rsidR="007B507C">
        <w:rPr>
          <w:rFonts w:ascii="Times New Roman" w:eastAsia="Times New Roman" w:hAnsi="Times New Roman" w:cs="Times New Roman"/>
          <w:sz w:val="26"/>
          <w:szCs w:val="26"/>
        </w:rPr>
        <w:t>Residents Energy, LLC</w:t>
      </w:r>
      <w:r>
        <w:rPr>
          <w:rFonts w:ascii="Times New Roman" w:eastAsia="Times New Roman" w:hAnsi="Times New Roman" w:cs="Times New Roman"/>
          <w:sz w:val="26"/>
          <w:szCs w:val="26"/>
        </w:rPr>
        <w:t>,</w:t>
      </w:r>
      <w:r w:rsidRPr="007B421B">
        <w:rPr>
          <w:rFonts w:ascii="Times New Roman" w:eastAsia="Times New Roman" w:hAnsi="Times New Roman" w:cs="Times New Roman"/>
          <w:sz w:val="26"/>
          <w:szCs w:val="26"/>
        </w:rPr>
        <w:t xml:space="preserve"> is approved.</w:t>
      </w:r>
    </w:p>
    <w:p w:rsidR="00593492" w:rsidRPr="007B421B" w:rsidRDefault="00593492" w:rsidP="00593492">
      <w:pPr>
        <w:spacing w:after="0" w:line="360" w:lineRule="auto"/>
        <w:rPr>
          <w:rFonts w:ascii="Times New Roman" w:eastAsia="Times New Roman" w:hAnsi="Times New Roman" w:cs="Times New Roman"/>
          <w:sz w:val="26"/>
          <w:szCs w:val="26"/>
        </w:rPr>
      </w:pPr>
    </w:p>
    <w:p w:rsidR="00593492" w:rsidRDefault="00593492" w:rsidP="00593492">
      <w:pPr>
        <w:spacing w:after="0" w:line="360" w:lineRule="auto"/>
        <w:ind w:firstLine="144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6"/>
        </w:rPr>
        <w:t>2.</w:t>
      </w:r>
      <w:r w:rsidRPr="007B421B">
        <w:rPr>
          <w:rFonts w:ascii="Times New Roman" w:eastAsia="Times New Roman" w:hAnsi="Times New Roman" w:cs="Times New Roman"/>
          <w:sz w:val="26"/>
          <w:szCs w:val="26"/>
        </w:rPr>
        <w:tab/>
        <w:t xml:space="preserve">That, within </w:t>
      </w:r>
      <w:r w:rsidR="00272592">
        <w:rPr>
          <w:rFonts w:ascii="Times New Roman" w:eastAsia="Times New Roman" w:hAnsi="Times New Roman" w:cs="Times New Roman"/>
          <w:sz w:val="26"/>
          <w:szCs w:val="20"/>
        </w:rPr>
        <w:t>sixty</w:t>
      </w:r>
      <w:r>
        <w:rPr>
          <w:rFonts w:ascii="Times New Roman" w:eastAsia="Times New Roman" w:hAnsi="Times New Roman" w:cs="Times New Roman"/>
          <w:sz w:val="26"/>
          <w:szCs w:val="20"/>
        </w:rPr>
        <w:t xml:space="preserve"> (</w:t>
      </w:r>
      <w:r w:rsidR="00272592">
        <w:rPr>
          <w:rFonts w:ascii="Times New Roman" w:eastAsia="Times New Roman" w:hAnsi="Times New Roman" w:cs="Times New Roman"/>
          <w:sz w:val="26"/>
          <w:szCs w:val="20"/>
        </w:rPr>
        <w:t>6</w:t>
      </w:r>
      <w:r>
        <w:rPr>
          <w:rFonts w:ascii="Times New Roman" w:eastAsia="Times New Roman" w:hAnsi="Times New Roman" w:cs="Times New Roman"/>
          <w:sz w:val="26"/>
          <w:szCs w:val="20"/>
        </w:rPr>
        <w:t xml:space="preserve">0) days of entry of </w:t>
      </w:r>
      <w:r w:rsidRPr="007B421B">
        <w:rPr>
          <w:rFonts w:ascii="Times New Roman" w:eastAsia="Times New Roman" w:hAnsi="Times New Roman" w:cs="Times New Roman"/>
          <w:sz w:val="26"/>
          <w:szCs w:val="20"/>
        </w:rPr>
        <w:t xml:space="preserve">this Order, </w:t>
      </w:r>
      <w:r w:rsidR="007B507C">
        <w:rPr>
          <w:rFonts w:ascii="Times New Roman" w:eastAsia="Times New Roman" w:hAnsi="Times New Roman" w:cs="Times New Roman"/>
          <w:sz w:val="26"/>
          <w:szCs w:val="26"/>
        </w:rPr>
        <w:t>Residents Energy, LLC</w:t>
      </w:r>
      <w:r>
        <w:rPr>
          <w:rFonts w:ascii="Times New Roman" w:eastAsia="Times New Roman" w:hAnsi="Times New Roman" w:cs="Times New Roman"/>
          <w:sz w:val="26"/>
          <w:szCs w:val="26"/>
        </w:rPr>
        <w:t>,</w:t>
      </w:r>
      <w:r w:rsidRPr="007B421B">
        <w:rPr>
          <w:rFonts w:ascii="Times New Roman" w:eastAsia="Times New Roman" w:hAnsi="Times New Roman" w:cs="Times New Roman"/>
          <w:sz w:val="26"/>
          <w:szCs w:val="20"/>
        </w:rPr>
        <w:t xml:space="preserve"> shall pay a civil </w:t>
      </w:r>
      <w:r>
        <w:rPr>
          <w:rFonts w:ascii="Times New Roman" w:eastAsia="Times New Roman" w:hAnsi="Times New Roman" w:cs="Times New Roman"/>
          <w:sz w:val="26"/>
          <w:szCs w:val="20"/>
        </w:rPr>
        <w:t xml:space="preserve">penalty </w:t>
      </w:r>
      <w:r w:rsidRPr="007B421B">
        <w:rPr>
          <w:rFonts w:ascii="Times New Roman" w:eastAsia="Times New Roman" w:hAnsi="Times New Roman" w:cs="Times New Roman"/>
          <w:sz w:val="26"/>
          <w:szCs w:val="20"/>
        </w:rPr>
        <w:t>in the amount of $</w:t>
      </w:r>
      <w:r w:rsidR="007B507C">
        <w:rPr>
          <w:rFonts w:ascii="Times New Roman" w:eastAsia="Times New Roman" w:hAnsi="Times New Roman" w:cs="Times New Roman"/>
          <w:sz w:val="26"/>
          <w:szCs w:val="20"/>
        </w:rPr>
        <w:t>6</w:t>
      </w:r>
      <w:r>
        <w:rPr>
          <w:rFonts w:ascii="Times New Roman" w:eastAsia="Times New Roman" w:hAnsi="Times New Roman" w:cs="Times New Roman"/>
          <w:sz w:val="26"/>
          <w:szCs w:val="20"/>
        </w:rPr>
        <w:t>,000</w:t>
      </w:r>
      <w:r w:rsidRPr="007B421B">
        <w:rPr>
          <w:rFonts w:ascii="Times New Roman" w:eastAsia="Times New Roman" w:hAnsi="Times New Roman" w:cs="Times New Roman"/>
          <w:sz w:val="26"/>
          <w:szCs w:val="20"/>
        </w:rPr>
        <w:t>.  Said</w:t>
      </w:r>
      <w:r>
        <w:rPr>
          <w:rFonts w:ascii="Times New Roman" w:eastAsia="Times New Roman" w:hAnsi="Times New Roman" w:cs="Times New Roman"/>
          <w:sz w:val="26"/>
          <w:szCs w:val="20"/>
        </w:rPr>
        <w:t xml:space="preserve"> payment shall be made by</w:t>
      </w:r>
      <w:r w:rsidRPr="007B421B">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certified </w:t>
      </w:r>
      <w:r w:rsidRPr="007B421B">
        <w:rPr>
          <w:rFonts w:ascii="Times New Roman" w:eastAsia="Times New Roman" w:hAnsi="Times New Roman" w:cs="Times New Roman"/>
          <w:sz w:val="26"/>
          <w:szCs w:val="20"/>
        </w:rPr>
        <w:t>check or money order payable to “Commonwealth of Pennsylvania” and shall be sent to:</w:t>
      </w:r>
    </w:p>
    <w:p w:rsidR="00593492" w:rsidRPr="007B421B" w:rsidRDefault="00593492" w:rsidP="00593492">
      <w:pPr>
        <w:spacing w:after="0" w:line="360" w:lineRule="auto"/>
        <w:ind w:firstLine="1440"/>
        <w:rPr>
          <w:rFonts w:ascii="Times New Roman" w:eastAsia="Times New Roman" w:hAnsi="Times New Roman" w:cs="Times New Roman"/>
          <w:sz w:val="26"/>
          <w:szCs w:val="20"/>
        </w:rPr>
      </w:pPr>
    </w:p>
    <w:p w:rsidR="00593492" w:rsidRPr="007B421B" w:rsidRDefault="00593492" w:rsidP="00593492">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Rosemary Chiavetta, </w:t>
      </w:r>
      <w:r w:rsidRPr="007B421B">
        <w:rPr>
          <w:rFonts w:ascii="Times New Roman" w:eastAsia="Times New Roman" w:hAnsi="Times New Roman" w:cs="Times New Roman"/>
          <w:sz w:val="26"/>
          <w:szCs w:val="20"/>
        </w:rPr>
        <w:t>Secretary</w:t>
      </w:r>
    </w:p>
    <w:p w:rsidR="00593492" w:rsidRPr="007B421B" w:rsidRDefault="00593492" w:rsidP="00593492">
      <w:pPr>
        <w:keepNext/>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Pennsylvania Public Utility Commission</w:t>
      </w:r>
    </w:p>
    <w:p w:rsidR="00593492" w:rsidRDefault="00593492" w:rsidP="00593492">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Commonwealth Keystone Building</w:t>
      </w:r>
    </w:p>
    <w:p w:rsidR="00593492" w:rsidRPr="007B421B" w:rsidRDefault="00593492" w:rsidP="00593492">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400 North Street</w:t>
      </w:r>
    </w:p>
    <w:p w:rsidR="00593492" w:rsidRDefault="00593492" w:rsidP="00593492">
      <w:pPr>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 xml:space="preserve">Harrisburg, PA  </w:t>
      </w:r>
      <w:r>
        <w:rPr>
          <w:rFonts w:ascii="Times New Roman" w:eastAsia="Times New Roman" w:hAnsi="Times New Roman" w:cs="Times New Roman"/>
          <w:sz w:val="26"/>
          <w:szCs w:val="20"/>
        </w:rPr>
        <w:t>17120</w:t>
      </w:r>
    </w:p>
    <w:p w:rsidR="007F5A1D" w:rsidRDefault="007F5A1D" w:rsidP="00593492">
      <w:pPr>
        <w:spacing w:after="0" w:line="240" w:lineRule="auto"/>
        <w:ind w:firstLine="2160"/>
        <w:rPr>
          <w:rFonts w:ascii="Times New Roman" w:eastAsia="Times New Roman" w:hAnsi="Times New Roman" w:cs="Times New Roman"/>
          <w:sz w:val="26"/>
          <w:szCs w:val="20"/>
        </w:rPr>
      </w:pPr>
    </w:p>
    <w:p w:rsidR="007F5A1D" w:rsidRPr="007B421B" w:rsidRDefault="007F5A1D" w:rsidP="00593492">
      <w:pPr>
        <w:spacing w:after="0" w:line="240" w:lineRule="auto"/>
        <w:ind w:firstLine="2160"/>
        <w:rPr>
          <w:rFonts w:ascii="Times New Roman" w:eastAsia="Times New Roman" w:hAnsi="Times New Roman" w:cs="Times New Roman"/>
          <w:sz w:val="26"/>
          <w:szCs w:val="20"/>
        </w:rPr>
      </w:pPr>
    </w:p>
    <w:p w:rsidR="0056133A" w:rsidRDefault="00593492" w:rsidP="00593492">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3.</w:t>
      </w:r>
      <w:r w:rsidRPr="007B421B">
        <w:rPr>
          <w:rFonts w:ascii="Times New Roman" w:eastAsia="Times New Roman" w:hAnsi="Times New Roman" w:cs="Times New Roman"/>
          <w:sz w:val="26"/>
          <w:szCs w:val="26"/>
        </w:rPr>
        <w:tab/>
      </w:r>
      <w:r w:rsidR="0056133A">
        <w:rPr>
          <w:rFonts w:ascii="Times New Roman" w:eastAsia="Times New Roman" w:hAnsi="Times New Roman" w:cs="Times New Roman"/>
          <w:sz w:val="26"/>
          <w:szCs w:val="26"/>
        </w:rPr>
        <w:t>That within thirty (30) days of entry of this Order, Residents Energy, LLC,</w:t>
      </w:r>
      <w:r w:rsidR="0056133A" w:rsidRPr="007B421B">
        <w:rPr>
          <w:rFonts w:ascii="Times New Roman" w:eastAsia="Times New Roman" w:hAnsi="Times New Roman" w:cs="Times New Roman"/>
          <w:sz w:val="26"/>
          <w:szCs w:val="20"/>
        </w:rPr>
        <w:t xml:space="preserve"> shall</w:t>
      </w:r>
      <w:r w:rsidR="0056133A">
        <w:rPr>
          <w:rFonts w:ascii="Times New Roman" w:eastAsia="Times New Roman" w:hAnsi="Times New Roman" w:cs="Times New Roman"/>
          <w:sz w:val="26"/>
          <w:szCs w:val="20"/>
        </w:rPr>
        <w:t xml:space="preserve"> refund the affected customer the entire electric generation supply portion of the customer’s bill for the seventeen (17) days that the customer was served by </w:t>
      </w:r>
      <w:r w:rsidR="0056133A">
        <w:rPr>
          <w:rFonts w:ascii="Times New Roman" w:eastAsia="Times New Roman" w:hAnsi="Times New Roman" w:cs="Times New Roman"/>
          <w:sz w:val="26"/>
          <w:szCs w:val="26"/>
        </w:rPr>
        <w:t xml:space="preserve">Residents Energy, LLC, pursuant to 52 Pa. Code § 57.177(b), and provide documentation to the </w:t>
      </w:r>
      <w:r w:rsidR="0056133A" w:rsidRPr="007B421B">
        <w:rPr>
          <w:rFonts w:ascii="Times New Roman" w:eastAsia="Times New Roman" w:hAnsi="Times New Roman" w:cs="Times New Roman"/>
          <w:sz w:val="26"/>
          <w:szCs w:val="26"/>
        </w:rPr>
        <w:t>Bureau of Investigation and Enforcement</w:t>
      </w:r>
      <w:r w:rsidR="0056133A">
        <w:rPr>
          <w:rFonts w:ascii="Times New Roman" w:eastAsia="Times New Roman" w:hAnsi="Times New Roman" w:cs="Times New Roman"/>
          <w:sz w:val="26"/>
          <w:szCs w:val="26"/>
        </w:rPr>
        <w:t xml:space="preserve"> that such refund has been made.  The amount of the refund may take into account the refund that Residents Energy, LLC, already provided, which represented the difference between Residents Energy, LLC’s electric generation supply rate </w:t>
      </w:r>
      <w:r w:rsidR="001478C5">
        <w:rPr>
          <w:rFonts w:ascii="Times New Roman" w:eastAsia="Times New Roman" w:hAnsi="Times New Roman" w:cs="Times New Roman"/>
          <w:sz w:val="26"/>
          <w:szCs w:val="26"/>
        </w:rPr>
        <w:t xml:space="preserve">and </w:t>
      </w:r>
      <w:r w:rsidR="0056133A">
        <w:rPr>
          <w:rFonts w:ascii="Times New Roman" w:eastAsia="Times New Roman" w:hAnsi="Times New Roman" w:cs="Times New Roman"/>
          <w:sz w:val="26"/>
          <w:szCs w:val="26"/>
        </w:rPr>
        <w:t xml:space="preserve">the default service rate.  </w:t>
      </w:r>
    </w:p>
    <w:p w:rsidR="0056133A" w:rsidRDefault="0056133A" w:rsidP="00593492">
      <w:pPr>
        <w:spacing w:after="0" w:line="360" w:lineRule="auto"/>
        <w:ind w:firstLine="1440"/>
        <w:rPr>
          <w:rFonts w:ascii="Times New Roman" w:eastAsia="Times New Roman" w:hAnsi="Times New Roman" w:cs="Times New Roman"/>
          <w:sz w:val="26"/>
          <w:szCs w:val="26"/>
        </w:rPr>
      </w:pPr>
    </w:p>
    <w:p w:rsidR="0056133A" w:rsidRDefault="0056133A" w:rsidP="00593492">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t xml:space="preserve">That for a term of twelve (12) months starting after the entry of this Order, Residents Energy, LLC, shall provide </w:t>
      </w:r>
      <w:r w:rsidR="00272592">
        <w:rPr>
          <w:rFonts w:ascii="Times New Roman" w:eastAsia="Times New Roman" w:hAnsi="Times New Roman" w:cs="Times New Roman"/>
          <w:sz w:val="26"/>
          <w:szCs w:val="26"/>
        </w:rPr>
        <w:t>a quarterly report to</w:t>
      </w:r>
      <w:r w:rsidR="00B650E3">
        <w:rPr>
          <w:rFonts w:ascii="Times New Roman" w:eastAsia="Times New Roman" w:hAnsi="Times New Roman" w:cs="Times New Roman"/>
          <w:sz w:val="26"/>
          <w:szCs w:val="26"/>
        </w:rPr>
        <w:t xml:space="preserve"> the Commission’s Bureau of Technical Utility Services, in the first </w:t>
      </w:r>
      <w:r w:rsidR="00272592">
        <w:rPr>
          <w:rFonts w:ascii="Times New Roman" w:eastAsia="Times New Roman" w:hAnsi="Times New Roman" w:cs="Times New Roman"/>
          <w:sz w:val="26"/>
          <w:szCs w:val="26"/>
        </w:rPr>
        <w:t xml:space="preserve">week of </w:t>
      </w:r>
      <w:r w:rsidR="00B650E3">
        <w:rPr>
          <w:rFonts w:ascii="Times New Roman" w:eastAsia="Times New Roman" w:hAnsi="Times New Roman" w:cs="Times New Roman"/>
          <w:sz w:val="26"/>
          <w:szCs w:val="26"/>
        </w:rPr>
        <w:t xml:space="preserve">each calendar quarter, </w:t>
      </w:r>
      <w:r w:rsidR="00272592">
        <w:rPr>
          <w:rFonts w:ascii="Times New Roman" w:eastAsia="Times New Roman" w:hAnsi="Times New Roman" w:cs="Times New Roman"/>
          <w:sz w:val="26"/>
          <w:szCs w:val="26"/>
        </w:rPr>
        <w:t>captur</w:t>
      </w:r>
      <w:r w:rsidR="005A3029">
        <w:rPr>
          <w:rFonts w:ascii="Times New Roman" w:eastAsia="Times New Roman" w:hAnsi="Times New Roman" w:cs="Times New Roman"/>
          <w:sz w:val="26"/>
          <w:szCs w:val="26"/>
        </w:rPr>
        <w:t>ing</w:t>
      </w:r>
      <w:r w:rsidR="00272592">
        <w:rPr>
          <w:rFonts w:ascii="Times New Roman" w:eastAsia="Times New Roman" w:hAnsi="Times New Roman" w:cs="Times New Roman"/>
          <w:sz w:val="26"/>
          <w:szCs w:val="26"/>
        </w:rPr>
        <w:t xml:space="preserve"> the following </w:t>
      </w:r>
      <w:r w:rsidR="005A3029">
        <w:rPr>
          <w:rFonts w:ascii="Times New Roman" w:eastAsia="Times New Roman" w:hAnsi="Times New Roman" w:cs="Times New Roman"/>
          <w:sz w:val="26"/>
          <w:szCs w:val="26"/>
        </w:rPr>
        <w:t xml:space="preserve">data from the prior quarter </w:t>
      </w:r>
      <w:r w:rsidR="00272592">
        <w:rPr>
          <w:rFonts w:ascii="Times New Roman" w:eastAsia="Times New Roman" w:hAnsi="Times New Roman" w:cs="Times New Roman"/>
          <w:sz w:val="26"/>
          <w:szCs w:val="26"/>
        </w:rPr>
        <w:t xml:space="preserve">concerning customer complaints filed directly </w:t>
      </w:r>
      <w:r w:rsidR="00272592">
        <w:rPr>
          <w:rFonts w:ascii="Times New Roman" w:eastAsia="Times New Roman" w:hAnsi="Times New Roman" w:cs="Times New Roman"/>
          <w:sz w:val="26"/>
          <w:szCs w:val="26"/>
        </w:rPr>
        <w:lastRenderedPageBreak/>
        <w:t xml:space="preserve">with Residents Energy, LLC: (a) the number of complaints by category, </w:t>
      </w:r>
      <w:r w:rsidR="00272592" w:rsidRPr="00272592">
        <w:rPr>
          <w:rFonts w:ascii="Times New Roman" w:eastAsia="Times New Roman" w:hAnsi="Times New Roman" w:cs="Times New Roman"/>
          <w:i/>
          <w:sz w:val="26"/>
          <w:szCs w:val="26"/>
        </w:rPr>
        <w:t>i.e.</w:t>
      </w:r>
      <w:r w:rsidR="00272592">
        <w:rPr>
          <w:rFonts w:ascii="Times New Roman" w:eastAsia="Times New Roman" w:hAnsi="Times New Roman" w:cs="Times New Roman"/>
          <w:sz w:val="26"/>
          <w:szCs w:val="26"/>
        </w:rPr>
        <w:t xml:space="preserve">, slamming, do-not-call violations, incorrect charges, </w:t>
      </w:r>
      <w:r w:rsidR="00272592" w:rsidRPr="00272592">
        <w:rPr>
          <w:rFonts w:ascii="Times New Roman" w:eastAsia="Times New Roman" w:hAnsi="Times New Roman" w:cs="Times New Roman"/>
          <w:i/>
          <w:sz w:val="26"/>
          <w:szCs w:val="26"/>
        </w:rPr>
        <w:t>etc.</w:t>
      </w:r>
      <w:r w:rsidR="00272592">
        <w:rPr>
          <w:rFonts w:ascii="Times New Roman" w:eastAsia="Times New Roman" w:hAnsi="Times New Roman" w:cs="Times New Roman"/>
          <w:sz w:val="26"/>
          <w:szCs w:val="26"/>
        </w:rPr>
        <w:t xml:space="preserve">; and (b) any process improvements, organizational changes, </w:t>
      </w:r>
      <w:r w:rsidR="00272592" w:rsidRPr="00272592">
        <w:rPr>
          <w:rFonts w:ascii="Times New Roman" w:eastAsia="Times New Roman" w:hAnsi="Times New Roman" w:cs="Times New Roman"/>
          <w:i/>
          <w:sz w:val="26"/>
          <w:szCs w:val="26"/>
        </w:rPr>
        <w:t>etc.</w:t>
      </w:r>
      <w:r w:rsidR="00272592">
        <w:rPr>
          <w:rFonts w:ascii="Times New Roman" w:eastAsia="Times New Roman" w:hAnsi="Times New Roman" w:cs="Times New Roman"/>
          <w:sz w:val="26"/>
          <w:szCs w:val="26"/>
        </w:rPr>
        <w:t xml:space="preserve">, that were implemented to reduce or eliminate similar complaints going forward.   </w:t>
      </w:r>
    </w:p>
    <w:p w:rsidR="0056133A" w:rsidRDefault="0056133A" w:rsidP="00593492">
      <w:pPr>
        <w:spacing w:after="0" w:line="360" w:lineRule="auto"/>
        <w:ind w:firstLine="1440"/>
        <w:rPr>
          <w:rFonts w:ascii="Times New Roman" w:eastAsia="Times New Roman" w:hAnsi="Times New Roman" w:cs="Times New Roman"/>
          <w:sz w:val="26"/>
          <w:szCs w:val="26"/>
        </w:rPr>
      </w:pPr>
    </w:p>
    <w:p w:rsidR="00593492" w:rsidRDefault="00272592" w:rsidP="00272592">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Pr>
          <w:rFonts w:ascii="Times New Roman" w:eastAsia="Times New Roman" w:hAnsi="Times New Roman" w:cs="Times New Roman"/>
          <w:sz w:val="26"/>
          <w:szCs w:val="26"/>
        </w:rPr>
        <w:tab/>
      </w:r>
      <w:r w:rsidR="00593492">
        <w:rPr>
          <w:rFonts w:ascii="Times New Roman" w:eastAsia="Times New Roman" w:hAnsi="Times New Roman" w:cs="Times New Roman"/>
          <w:sz w:val="26"/>
          <w:szCs w:val="26"/>
        </w:rPr>
        <w:t>That a</w:t>
      </w:r>
      <w:r w:rsidR="00593492" w:rsidRPr="007B421B">
        <w:rPr>
          <w:rFonts w:ascii="Times New Roman" w:eastAsia="Times New Roman" w:hAnsi="Times New Roman" w:cs="Times New Roman"/>
          <w:sz w:val="26"/>
          <w:szCs w:val="20"/>
        </w:rPr>
        <w:t xml:space="preserve"> copy of this Opinion and Order shall be served upon the Financial and Assessment Chief, Office of Administrative Services</w:t>
      </w:r>
      <w:r>
        <w:rPr>
          <w:rFonts w:ascii="Times New Roman" w:eastAsia="Times New Roman" w:hAnsi="Times New Roman" w:cs="Times New Roman"/>
          <w:sz w:val="26"/>
          <w:szCs w:val="20"/>
        </w:rPr>
        <w:t xml:space="preserve">, and the </w:t>
      </w:r>
      <w:r>
        <w:rPr>
          <w:rFonts w:ascii="Times New Roman" w:eastAsia="Times New Roman" w:hAnsi="Times New Roman" w:cs="Times New Roman"/>
          <w:sz w:val="26"/>
          <w:szCs w:val="26"/>
        </w:rPr>
        <w:t>Bureau of Technical Utility Services.</w:t>
      </w:r>
    </w:p>
    <w:p w:rsidR="00272592" w:rsidRDefault="00272592" w:rsidP="00272592">
      <w:pPr>
        <w:spacing w:after="0" w:line="360" w:lineRule="auto"/>
        <w:ind w:firstLine="1440"/>
        <w:rPr>
          <w:rFonts w:ascii="Times New Roman" w:eastAsia="Times New Roman" w:hAnsi="Times New Roman" w:cs="Times New Roman"/>
          <w:sz w:val="26"/>
          <w:szCs w:val="20"/>
        </w:rPr>
      </w:pPr>
    </w:p>
    <w:p w:rsidR="00593492" w:rsidRDefault="00272592" w:rsidP="00593492">
      <w:pPr>
        <w:keepNext/>
        <w:keepLines/>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0"/>
        </w:rPr>
        <w:t>6</w:t>
      </w:r>
      <w:r w:rsidR="00593492">
        <w:rPr>
          <w:rFonts w:ascii="Times New Roman" w:eastAsia="Times New Roman" w:hAnsi="Times New Roman" w:cs="Times New Roman"/>
          <w:sz w:val="26"/>
          <w:szCs w:val="20"/>
        </w:rPr>
        <w:t xml:space="preserve">. </w:t>
      </w:r>
      <w:r w:rsidR="00593492">
        <w:rPr>
          <w:rFonts w:ascii="Times New Roman" w:eastAsia="Times New Roman" w:hAnsi="Times New Roman" w:cs="Times New Roman"/>
          <w:sz w:val="26"/>
          <w:szCs w:val="20"/>
        </w:rPr>
        <w:tab/>
        <w:t xml:space="preserve">That, after </w:t>
      </w:r>
      <w:r w:rsidR="005A3029">
        <w:rPr>
          <w:rFonts w:ascii="Times New Roman" w:eastAsia="Times New Roman" w:hAnsi="Times New Roman" w:cs="Times New Roman"/>
          <w:sz w:val="26"/>
          <w:szCs w:val="26"/>
        </w:rPr>
        <w:t xml:space="preserve">Residents Energy, LLC, </w:t>
      </w:r>
      <w:r w:rsidR="00593492">
        <w:rPr>
          <w:rFonts w:ascii="Times New Roman" w:eastAsia="Times New Roman" w:hAnsi="Times New Roman" w:cs="Times New Roman"/>
          <w:sz w:val="26"/>
          <w:szCs w:val="26"/>
        </w:rPr>
        <w:t>remits the civil penalty as set forth in Ordering Paragraph No. 2, the Secretary’s Bureau shall mark this proceeding closed.</w:t>
      </w:r>
    </w:p>
    <w:p w:rsidR="00F44833" w:rsidRPr="003F7EE6" w:rsidRDefault="00F44833" w:rsidP="00593492">
      <w:pPr>
        <w:tabs>
          <w:tab w:val="center" w:pos="720"/>
        </w:tabs>
        <w:suppressAutoHyphens/>
        <w:spacing w:after="0" w:line="360" w:lineRule="auto"/>
        <w:rPr>
          <w:rFonts w:ascii="Times New Roman" w:eastAsia="Times New Roman" w:hAnsi="Times New Roman" w:cs="Times New Roman"/>
          <w:sz w:val="26"/>
          <w:szCs w:val="26"/>
        </w:rPr>
      </w:pPr>
    </w:p>
    <w:p w:rsidR="00F44833" w:rsidRPr="003F7EE6" w:rsidRDefault="00C34E0A" w:rsidP="00F44833">
      <w:pPr>
        <w:spacing w:after="0" w:line="360" w:lineRule="auto"/>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170FE389" wp14:editId="5798CB0C">
            <wp:simplePos x="0" y="0"/>
            <wp:positionH relativeFrom="column">
              <wp:posOffset>3162300</wp:posOffset>
            </wp:positionH>
            <wp:positionV relativeFrom="paragraph">
              <wp:posOffset>213995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b/>
          <w:sz w:val="26"/>
          <w:szCs w:val="26"/>
        </w:rPr>
        <w:t>BY THE COMMISSION,</w:t>
      </w:r>
    </w:p>
    <w:p w:rsidR="00F44833" w:rsidRDefault="00F44833" w:rsidP="00F44833">
      <w:pPr>
        <w:spacing w:after="0" w:line="240" w:lineRule="auto"/>
        <w:rPr>
          <w:rFonts w:ascii="Times New Roman" w:eastAsia="Times New Roman" w:hAnsi="Times New Roman" w:cs="Times New Roman"/>
          <w:sz w:val="26"/>
          <w:szCs w:val="26"/>
        </w:rPr>
      </w:pPr>
      <w:bookmarkStart w:id="0" w:name="_GoBack"/>
      <w:bookmarkEnd w:id="0"/>
    </w:p>
    <w:p w:rsidR="007F5A1D" w:rsidRPr="003F7EE6" w:rsidRDefault="007F5A1D"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9B7DAA" w:rsidRDefault="009B7DAA"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333D2C">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rsidR="00F44833" w:rsidRPr="003F7EE6" w:rsidRDefault="00F44833" w:rsidP="00333D2C">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92538B" w:rsidP="00333D2C">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593492">
        <w:rPr>
          <w:rFonts w:ascii="Times New Roman" w:eastAsia="Times New Roman" w:hAnsi="Times New Roman" w:cs="Times New Roman"/>
          <w:sz w:val="26"/>
          <w:szCs w:val="26"/>
        </w:rPr>
        <w:t>July 12</w:t>
      </w:r>
      <w:r w:rsidR="00975062">
        <w:rPr>
          <w:rFonts w:ascii="Times New Roman" w:eastAsia="Times New Roman" w:hAnsi="Times New Roman" w:cs="Times New Roman"/>
          <w:sz w:val="26"/>
          <w:szCs w:val="26"/>
        </w:rPr>
        <w:t>, 201</w:t>
      </w:r>
      <w:r w:rsidR="003A0187">
        <w:rPr>
          <w:rFonts w:ascii="Times New Roman" w:eastAsia="Times New Roman" w:hAnsi="Times New Roman" w:cs="Times New Roman"/>
          <w:sz w:val="26"/>
          <w:szCs w:val="26"/>
        </w:rPr>
        <w:t>8</w:t>
      </w:r>
    </w:p>
    <w:p w:rsidR="00984785" w:rsidRDefault="00984785" w:rsidP="00333D2C">
      <w:pPr>
        <w:spacing w:after="0" w:line="240" w:lineRule="auto"/>
        <w:rPr>
          <w:rFonts w:ascii="Times New Roman" w:eastAsia="Times New Roman" w:hAnsi="Times New Roman" w:cs="Times New Roman"/>
          <w:sz w:val="26"/>
          <w:szCs w:val="20"/>
        </w:rPr>
      </w:pPr>
    </w:p>
    <w:p w:rsidR="00F44833" w:rsidRPr="00870462" w:rsidRDefault="00F44833" w:rsidP="00333D2C">
      <w:pPr>
        <w:spacing w:after="0" w:line="240" w:lineRule="auto"/>
        <w:rPr>
          <w:rFonts w:ascii="Times New Roman" w:eastAsia="Times New Roman" w:hAnsi="Times New Roman" w:cs="Times New Roman"/>
          <w:b/>
          <w:sz w:val="26"/>
          <w:szCs w:val="20"/>
        </w:rPr>
      </w:pPr>
      <w:r w:rsidRPr="003F7EE6">
        <w:rPr>
          <w:rFonts w:ascii="Times New Roman" w:eastAsia="Times New Roman" w:hAnsi="Times New Roman" w:cs="Times New Roman"/>
          <w:sz w:val="26"/>
          <w:szCs w:val="20"/>
        </w:rPr>
        <w:t>ORDER ENTERED:</w:t>
      </w:r>
      <w:r w:rsidR="0092538B">
        <w:rPr>
          <w:rFonts w:ascii="Times New Roman" w:eastAsia="Times New Roman" w:hAnsi="Times New Roman" w:cs="Times New Roman"/>
          <w:sz w:val="26"/>
          <w:szCs w:val="20"/>
        </w:rPr>
        <w:t xml:space="preserve">  </w:t>
      </w:r>
      <w:r w:rsidR="00C34E0A">
        <w:rPr>
          <w:rFonts w:ascii="Times New Roman" w:eastAsia="Times New Roman" w:hAnsi="Times New Roman" w:cs="Times New Roman"/>
          <w:sz w:val="26"/>
          <w:szCs w:val="20"/>
        </w:rPr>
        <w:t>July 12, 2018</w:t>
      </w:r>
    </w:p>
    <w:sectPr w:rsidR="00F44833" w:rsidRPr="00870462" w:rsidSect="00F83F8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8A" w:rsidRDefault="004C2E8A" w:rsidP="00F44833">
      <w:pPr>
        <w:spacing w:after="0" w:line="240" w:lineRule="auto"/>
      </w:pPr>
      <w:r>
        <w:separator/>
      </w:r>
    </w:p>
  </w:endnote>
  <w:endnote w:type="continuationSeparator" w:id="0">
    <w:p w:rsidR="004C2E8A" w:rsidRDefault="004C2E8A"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519653"/>
      <w:docPartObj>
        <w:docPartGallery w:val="Page Numbers (Bottom of Page)"/>
        <w:docPartUnique/>
      </w:docPartObj>
    </w:sdtPr>
    <w:sdtEndPr>
      <w:rPr>
        <w:noProof/>
      </w:rPr>
    </w:sdtEndPr>
    <w:sdtContent>
      <w:p w:rsidR="007B507C" w:rsidRDefault="007B507C">
        <w:pPr>
          <w:pStyle w:val="Footer"/>
          <w:jc w:val="center"/>
        </w:pPr>
        <w:r w:rsidRPr="007B507C">
          <w:rPr>
            <w:rFonts w:ascii="Times New Roman" w:hAnsi="Times New Roman" w:cs="Times New Roman"/>
            <w:sz w:val="26"/>
            <w:szCs w:val="26"/>
          </w:rPr>
          <w:fldChar w:fldCharType="begin"/>
        </w:r>
        <w:r w:rsidRPr="007B507C">
          <w:rPr>
            <w:rFonts w:ascii="Times New Roman" w:hAnsi="Times New Roman" w:cs="Times New Roman"/>
            <w:sz w:val="26"/>
            <w:szCs w:val="26"/>
          </w:rPr>
          <w:instrText xml:space="preserve"> PAGE   \* MERGEFORMAT </w:instrText>
        </w:r>
        <w:r w:rsidRPr="007B507C">
          <w:rPr>
            <w:rFonts w:ascii="Times New Roman" w:hAnsi="Times New Roman" w:cs="Times New Roman"/>
            <w:sz w:val="26"/>
            <w:szCs w:val="26"/>
          </w:rPr>
          <w:fldChar w:fldCharType="separate"/>
        </w:r>
        <w:r w:rsidRPr="007B507C">
          <w:rPr>
            <w:rFonts w:ascii="Times New Roman" w:hAnsi="Times New Roman" w:cs="Times New Roman"/>
            <w:noProof/>
            <w:sz w:val="26"/>
            <w:szCs w:val="26"/>
          </w:rPr>
          <w:t>2</w:t>
        </w:r>
        <w:r w:rsidRPr="007B507C">
          <w:rPr>
            <w:rFonts w:ascii="Times New Roman" w:hAnsi="Times New Roman" w:cs="Times New Roman"/>
            <w:noProof/>
            <w:sz w:val="26"/>
            <w:szCs w:val="26"/>
          </w:rPr>
          <w:fldChar w:fldCharType="end"/>
        </w:r>
      </w:p>
    </w:sdtContent>
  </w:sdt>
  <w:p w:rsidR="00DA1F51" w:rsidRDefault="00DA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8A" w:rsidRDefault="004C2E8A" w:rsidP="00F44833">
      <w:pPr>
        <w:spacing w:after="0" w:line="240" w:lineRule="auto"/>
      </w:pPr>
      <w:r>
        <w:separator/>
      </w:r>
    </w:p>
  </w:footnote>
  <w:footnote w:type="continuationSeparator" w:id="0">
    <w:p w:rsidR="004C2E8A" w:rsidRDefault="004C2E8A" w:rsidP="00F44833">
      <w:pPr>
        <w:spacing w:after="0" w:line="240" w:lineRule="auto"/>
      </w:pPr>
      <w:r>
        <w:continuationSeparator/>
      </w:r>
    </w:p>
  </w:footnote>
  <w:footnote w:id="1">
    <w:p w:rsidR="00100BB0" w:rsidRPr="00384C8C" w:rsidRDefault="00100BB0" w:rsidP="00060D64">
      <w:pPr>
        <w:pStyle w:val="FootnoteText"/>
        <w:keepNext/>
        <w:keepLines/>
        <w:spacing w:after="120"/>
        <w:rPr>
          <w:rFonts w:ascii="Times New Roman" w:hAnsi="Times New Roman" w:cs="Times New Roman"/>
          <w:sz w:val="26"/>
          <w:szCs w:val="26"/>
        </w:rPr>
      </w:pPr>
      <w:r>
        <w:rPr>
          <w:rFonts w:ascii="Times New Roman" w:hAnsi="Times New Roman" w:cs="Times New Roman"/>
          <w:sz w:val="26"/>
          <w:szCs w:val="26"/>
        </w:rPr>
        <w:tab/>
      </w:r>
      <w:r w:rsidRPr="00384C8C">
        <w:rPr>
          <w:rStyle w:val="FootnoteReference"/>
          <w:rFonts w:ascii="Times New Roman" w:hAnsi="Times New Roman" w:cs="Times New Roman"/>
          <w:sz w:val="26"/>
          <w:szCs w:val="26"/>
        </w:rPr>
        <w:footnoteRef/>
      </w:r>
      <w:r>
        <w:rPr>
          <w:rFonts w:ascii="Times New Roman" w:hAnsi="Times New Roman" w:cs="Times New Roman"/>
          <w:sz w:val="26"/>
          <w:szCs w:val="26"/>
        </w:rPr>
        <w:tab/>
        <w:t>“</w:t>
      </w:r>
      <w:r w:rsidRPr="00384C8C">
        <w:rPr>
          <w:rFonts w:ascii="Times New Roman" w:hAnsi="Times New Roman" w:cs="Times New Roman"/>
          <w:bCs/>
          <w:color w:val="252525"/>
          <w:sz w:val="26"/>
          <w:szCs w:val="26"/>
        </w:rPr>
        <w:t>Slamming</w:t>
      </w:r>
      <w:r w:rsidRPr="00384C8C">
        <w:rPr>
          <w:rFonts w:ascii="Times New Roman" w:hAnsi="Times New Roman" w:cs="Times New Roman"/>
          <w:color w:val="252525"/>
          <w:sz w:val="26"/>
          <w:szCs w:val="26"/>
        </w:rPr>
        <w:t>” is an unauthorized change made to a customer's supply service</w:t>
      </w:r>
      <w:r>
        <w:rPr>
          <w:rFonts w:ascii="Times New Roman" w:hAnsi="Times New Roman" w:cs="Times New Roman"/>
          <w:color w:val="252525"/>
          <w:sz w:val="26"/>
          <w:szCs w:val="26"/>
        </w:rPr>
        <w:t xml:space="preserve">.  </w:t>
      </w:r>
      <w:r w:rsidRPr="00136D30">
        <w:rPr>
          <w:rFonts w:ascii="Times New Roman" w:hAnsi="Times New Roman" w:cs="Times New Roman"/>
          <w:i/>
          <w:color w:val="252525"/>
          <w:sz w:val="26"/>
          <w:szCs w:val="26"/>
        </w:rPr>
        <w:t>HIKO Energy LLC v. Pa. PUC</w:t>
      </w:r>
      <w:r>
        <w:rPr>
          <w:rFonts w:ascii="Times New Roman" w:hAnsi="Times New Roman" w:cs="Times New Roman"/>
          <w:color w:val="252525"/>
          <w:sz w:val="26"/>
          <w:szCs w:val="26"/>
        </w:rPr>
        <w:t>, 163 A.3d 1079, 1090 (Pa. Cmwlth. 2017).</w:t>
      </w:r>
    </w:p>
  </w:footnote>
  <w:footnote w:id="2">
    <w:p w:rsidR="00100BB0" w:rsidRPr="0091374D" w:rsidRDefault="00100BB0" w:rsidP="00060D64">
      <w:pPr>
        <w:pStyle w:val="FootnoteText"/>
        <w:keepNext/>
        <w:keepLines/>
        <w:spacing w:after="120"/>
        <w:rPr>
          <w:rFonts w:ascii="Times New Roman" w:hAnsi="Times New Roman" w:cs="Times New Roman"/>
          <w:sz w:val="26"/>
          <w:szCs w:val="26"/>
        </w:rPr>
      </w:pPr>
      <w:r>
        <w:rPr>
          <w:rFonts w:ascii="Times New Roman" w:hAnsi="Times New Roman" w:cs="Times New Roman"/>
          <w:sz w:val="26"/>
          <w:szCs w:val="26"/>
        </w:rPr>
        <w:tab/>
      </w:r>
      <w:r w:rsidRPr="0091374D">
        <w:rPr>
          <w:rStyle w:val="FootnoteReference"/>
          <w:rFonts w:ascii="Times New Roman" w:hAnsi="Times New Roman" w:cs="Times New Roman"/>
          <w:sz w:val="26"/>
          <w:szCs w:val="26"/>
        </w:rPr>
        <w:footnoteRef/>
      </w:r>
      <w:r>
        <w:rPr>
          <w:rFonts w:ascii="Times New Roman" w:hAnsi="Times New Roman" w:cs="Times New Roman"/>
          <w:sz w:val="26"/>
          <w:szCs w:val="26"/>
        </w:rPr>
        <w:tab/>
      </w:r>
      <w:r>
        <w:rPr>
          <w:rFonts w:ascii="Times New Roman" w:eastAsia="Times New Roman" w:hAnsi="Times New Roman" w:cs="Times New Roman"/>
          <w:sz w:val="26"/>
          <w:szCs w:val="26"/>
        </w:rPr>
        <w:t>Residents is an electric generation supplier (EGS) licensed by the Commission to operate within several service territories including the territory of Duquesne.</w:t>
      </w:r>
    </w:p>
  </w:footnote>
  <w:footnote w:id="3">
    <w:p w:rsidR="00100BB0" w:rsidRPr="00BD779B" w:rsidRDefault="00100BB0" w:rsidP="00060D64">
      <w:pPr>
        <w:pStyle w:val="FootnoteText"/>
        <w:keepNext/>
        <w:keepLines/>
        <w:spacing w:after="120"/>
        <w:rPr>
          <w:rFonts w:ascii="Times New Roman" w:hAnsi="Times New Roman" w:cs="Times New Roman"/>
          <w:sz w:val="26"/>
          <w:szCs w:val="26"/>
        </w:rPr>
      </w:pPr>
      <w:r>
        <w:rPr>
          <w:rFonts w:ascii="Times New Roman" w:hAnsi="Times New Roman" w:cs="Times New Roman"/>
          <w:sz w:val="26"/>
          <w:szCs w:val="26"/>
        </w:rPr>
        <w:tab/>
      </w:r>
      <w:r w:rsidRPr="00BD779B">
        <w:rPr>
          <w:rStyle w:val="FootnoteReference"/>
          <w:rFonts w:ascii="Times New Roman" w:hAnsi="Times New Roman" w:cs="Times New Roman"/>
          <w:sz w:val="26"/>
          <w:szCs w:val="26"/>
        </w:rPr>
        <w:footnoteRef/>
      </w:r>
      <w:r w:rsidRPr="00BD779B">
        <w:rPr>
          <w:rFonts w:ascii="Times New Roman" w:hAnsi="Times New Roman" w:cs="Times New Roman"/>
          <w:sz w:val="26"/>
          <w:szCs w:val="26"/>
        </w:rPr>
        <w:t xml:space="preserve"> </w:t>
      </w:r>
      <w:r>
        <w:rPr>
          <w:rFonts w:ascii="Times New Roman" w:hAnsi="Times New Roman" w:cs="Times New Roman"/>
          <w:sz w:val="26"/>
          <w:szCs w:val="26"/>
        </w:rPr>
        <w:tab/>
        <w:t>The Parties acknowledge that the Commission’s Regulations expressly place liability for any violations of the Code or the Commission’s Regulations committed by third-party contractors on the licensed utility, regardless of the utility’s knowledge of the third-party contractor’s actions.  Settlement at 7 (citing 52 Pa. Code §§ 54.43(f) and 111.3).</w:t>
      </w:r>
    </w:p>
  </w:footnote>
  <w:footnote w:id="4">
    <w:p w:rsidR="00E17CB4" w:rsidRPr="00282F0E" w:rsidRDefault="00E17CB4" w:rsidP="00E17CB4">
      <w:pPr>
        <w:pStyle w:val="FootnoteText"/>
        <w:ind w:firstLine="720"/>
        <w:rPr>
          <w:rFonts w:ascii="Times New Roman" w:hAnsi="Times New Roman" w:cs="Times New Roman"/>
          <w:sz w:val="26"/>
          <w:szCs w:val="26"/>
        </w:rPr>
      </w:pPr>
      <w:r w:rsidRPr="00261D1F">
        <w:rPr>
          <w:rStyle w:val="FootnoteReference"/>
          <w:rFonts w:ascii="Times New Roman" w:hAnsi="Times New Roman" w:cs="Times New Roman"/>
          <w:sz w:val="26"/>
          <w:szCs w:val="26"/>
        </w:rPr>
        <w:footnoteRef/>
      </w:r>
      <w:r w:rsidRPr="00261D1F">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i/>
          <w:sz w:val="26"/>
          <w:szCs w:val="26"/>
        </w:rPr>
        <w:t>See, e.g., Pa. PUC v. Energy Services Providers, Inc. d/b/a Pennsylvania Gas &amp; Electric, et al.</w:t>
      </w:r>
      <w:r>
        <w:rPr>
          <w:rFonts w:ascii="Times New Roman" w:hAnsi="Times New Roman" w:cs="Times New Roman"/>
          <w:sz w:val="26"/>
          <w:szCs w:val="26"/>
        </w:rPr>
        <w:t xml:space="preserve">, Docket No. M-2013-2325122 (Order entered October 2, 2014); </w:t>
      </w:r>
      <w:r>
        <w:rPr>
          <w:rFonts w:ascii="Times New Roman" w:hAnsi="Times New Roman" w:cs="Times New Roman"/>
          <w:i/>
          <w:sz w:val="26"/>
          <w:szCs w:val="26"/>
        </w:rPr>
        <w:t>Pa. PUC v. MXenergy Electric Inc.</w:t>
      </w:r>
      <w:r>
        <w:rPr>
          <w:rFonts w:ascii="Times New Roman" w:hAnsi="Times New Roman" w:cs="Times New Roman"/>
          <w:sz w:val="26"/>
          <w:szCs w:val="26"/>
        </w:rPr>
        <w:t>, Docket No. M-2012-2201861 (Order entered December 5, 2013);</w:t>
      </w:r>
      <w:r>
        <w:rPr>
          <w:rFonts w:ascii="Times New Roman" w:hAnsi="Times New Roman" w:cs="Times New Roman"/>
          <w:i/>
          <w:sz w:val="26"/>
          <w:szCs w:val="26"/>
        </w:rPr>
        <w:t xml:space="preserve"> Pa. PUC v. AP Gas &amp; Electric (PA), LLC, d/b/a APG&amp;E</w:t>
      </w:r>
      <w:r>
        <w:rPr>
          <w:rFonts w:ascii="Times New Roman" w:hAnsi="Times New Roman" w:cs="Times New Roman"/>
          <w:sz w:val="26"/>
          <w:szCs w:val="26"/>
        </w:rPr>
        <w:t xml:space="preserve">, Docket No. M-2013-2311811 (Order entered October 17, 2013); and </w:t>
      </w:r>
      <w:r>
        <w:rPr>
          <w:rFonts w:ascii="Times New Roman" w:hAnsi="Times New Roman" w:cs="Times New Roman"/>
          <w:i/>
          <w:sz w:val="26"/>
          <w:szCs w:val="26"/>
        </w:rPr>
        <w:t>Pa. PUC v. IDT Energy, Inc.</w:t>
      </w:r>
      <w:r>
        <w:rPr>
          <w:rFonts w:ascii="Times New Roman" w:hAnsi="Times New Roman" w:cs="Times New Roman"/>
          <w:sz w:val="26"/>
          <w:szCs w:val="26"/>
        </w:rPr>
        <w:t>, Docket No. M-2013-2314312 (Order entered October 17,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33"/>
    <w:rsid w:val="00004D0E"/>
    <w:rsid w:val="000162A3"/>
    <w:rsid w:val="0002071A"/>
    <w:rsid w:val="00026DFB"/>
    <w:rsid w:val="0003493F"/>
    <w:rsid w:val="00036DF0"/>
    <w:rsid w:val="00050C2B"/>
    <w:rsid w:val="000518DA"/>
    <w:rsid w:val="0005441E"/>
    <w:rsid w:val="0005787B"/>
    <w:rsid w:val="00060D64"/>
    <w:rsid w:val="000618DE"/>
    <w:rsid w:val="00066E0A"/>
    <w:rsid w:val="00072EB3"/>
    <w:rsid w:val="000747C7"/>
    <w:rsid w:val="00083168"/>
    <w:rsid w:val="00097E1B"/>
    <w:rsid w:val="00097F92"/>
    <w:rsid w:val="000A1056"/>
    <w:rsid w:val="000B12D6"/>
    <w:rsid w:val="000B6FB1"/>
    <w:rsid w:val="000C58A3"/>
    <w:rsid w:val="000D3751"/>
    <w:rsid w:val="000E1629"/>
    <w:rsid w:val="000E7DCB"/>
    <w:rsid w:val="000F03E6"/>
    <w:rsid w:val="000F5FD3"/>
    <w:rsid w:val="00100BB0"/>
    <w:rsid w:val="001135AF"/>
    <w:rsid w:val="00117DE8"/>
    <w:rsid w:val="00132D49"/>
    <w:rsid w:val="00136D30"/>
    <w:rsid w:val="001478C5"/>
    <w:rsid w:val="00150F2C"/>
    <w:rsid w:val="00164743"/>
    <w:rsid w:val="0017126E"/>
    <w:rsid w:val="0017188E"/>
    <w:rsid w:val="00183096"/>
    <w:rsid w:val="001B7F9A"/>
    <w:rsid w:val="001C2E2F"/>
    <w:rsid w:val="001D2D50"/>
    <w:rsid w:val="0021289D"/>
    <w:rsid w:val="00213B86"/>
    <w:rsid w:val="00217F32"/>
    <w:rsid w:val="00220BEC"/>
    <w:rsid w:val="00225A89"/>
    <w:rsid w:val="00226189"/>
    <w:rsid w:val="00234989"/>
    <w:rsid w:val="00237B07"/>
    <w:rsid w:val="002556F8"/>
    <w:rsid w:val="002571C4"/>
    <w:rsid w:val="00257C69"/>
    <w:rsid w:val="0026093C"/>
    <w:rsid w:val="00263A3B"/>
    <w:rsid w:val="00272592"/>
    <w:rsid w:val="00280341"/>
    <w:rsid w:val="002A70C8"/>
    <w:rsid w:val="002B5ADA"/>
    <w:rsid w:val="002C66A7"/>
    <w:rsid w:val="002D0A6C"/>
    <w:rsid w:val="002E3FD9"/>
    <w:rsid w:val="002E68A7"/>
    <w:rsid w:val="002E7157"/>
    <w:rsid w:val="00322A10"/>
    <w:rsid w:val="003275FD"/>
    <w:rsid w:val="00333D2C"/>
    <w:rsid w:val="003410E6"/>
    <w:rsid w:val="00343F8A"/>
    <w:rsid w:val="003712B4"/>
    <w:rsid w:val="00382C0B"/>
    <w:rsid w:val="00384C8C"/>
    <w:rsid w:val="003919F5"/>
    <w:rsid w:val="00395E13"/>
    <w:rsid w:val="00395EF4"/>
    <w:rsid w:val="003A0187"/>
    <w:rsid w:val="003A61E3"/>
    <w:rsid w:val="003B1A2C"/>
    <w:rsid w:val="003B5FBA"/>
    <w:rsid w:val="003B7A7D"/>
    <w:rsid w:val="003C1DA5"/>
    <w:rsid w:val="003F0AF8"/>
    <w:rsid w:val="00414D40"/>
    <w:rsid w:val="00431E4E"/>
    <w:rsid w:val="004334B2"/>
    <w:rsid w:val="0043552E"/>
    <w:rsid w:val="00442940"/>
    <w:rsid w:val="00457712"/>
    <w:rsid w:val="004676AB"/>
    <w:rsid w:val="00481559"/>
    <w:rsid w:val="004817BA"/>
    <w:rsid w:val="004928D5"/>
    <w:rsid w:val="00493BFF"/>
    <w:rsid w:val="00494814"/>
    <w:rsid w:val="004B1412"/>
    <w:rsid w:val="004B32C8"/>
    <w:rsid w:val="004C02E6"/>
    <w:rsid w:val="004C2E8A"/>
    <w:rsid w:val="004D5491"/>
    <w:rsid w:val="004E488E"/>
    <w:rsid w:val="004E6E4A"/>
    <w:rsid w:val="004F6476"/>
    <w:rsid w:val="005315BE"/>
    <w:rsid w:val="00533C13"/>
    <w:rsid w:val="005433F7"/>
    <w:rsid w:val="0054780C"/>
    <w:rsid w:val="005500AC"/>
    <w:rsid w:val="005501A8"/>
    <w:rsid w:val="00553556"/>
    <w:rsid w:val="0056133A"/>
    <w:rsid w:val="005651FF"/>
    <w:rsid w:val="00576BA0"/>
    <w:rsid w:val="005770E0"/>
    <w:rsid w:val="00593492"/>
    <w:rsid w:val="00596029"/>
    <w:rsid w:val="0059789A"/>
    <w:rsid w:val="005A2D67"/>
    <w:rsid w:val="005A3029"/>
    <w:rsid w:val="005A31E2"/>
    <w:rsid w:val="005C0FF7"/>
    <w:rsid w:val="005D69EB"/>
    <w:rsid w:val="005E00EA"/>
    <w:rsid w:val="00615966"/>
    <w:rsid w:val="00616619"/>
    <w:rsid w:val="006227AB"/>
    <w:rsid w:val="00640538"/>
    <w:rsid w:val="00640E8D"/>
    <w:rsid w:val="00641793"/>
    <w:rsid w:val="00641D9F"/>
    <w:rsid w:val="0065459D"/>
    <w:rsid w:val="00677E39"/>
    <w:rsid w:val="006804F3"/>
    <w:rsid w:val="006861B3"/>
    <w:rsid w:val="00697E31"/>
    <w:rsid w:val="006A328C"/>
    <w:rsid w:val="006B537D"/>
    <w:rsid w:val="006B5462"/>
    <w:rsid w:val="006B6011"/>
    <w:rsid w:val="006C0634"/>
    <w:rsid w:val="006D70F0"/>
    <w:rsid w:val="006E07A3"/>
    <w:rsid w:val="006E0BF5"/>
    <w:rsid w:val="006F13AD"/>
    <w:rsid w:val="00713784"/>
    <w:rsid w:val="00734F80"/>
    <w:rsid w:val="0073537F"/>
    <w:rsid w:val="00735DB6"/>
    <w:rsid w:val="007411D2"/>
    <w:rsid w:val="00752ACF"/>
    <w:rsid w:val="0076203D"/>
    <w:rsid w:val="00762BDE"/>
    <w:rsid w:val="00764B6A"/>
    <w:rsid w:val="007837C8"/>
    <w:rsid w:val="007A125F"/>
    <w:rsid w:val="007A3DFA"/>
    <w:rsid w:val="007A747D"/>
    <w:rsid w:val="007A7797"/>
    <w:rsid w:val="007B1EDF"/>
    <w:rsid w:val="007B507C"/>
    <w:rsid w:val="007B5831"/>
    <w:rsid w:val="007D2B84"/>
    <w:rsid w:val="007D7245"/>
    <w:rsid w:val="007E3E00"/>
    <w:rsid w:val="007E42DC"/>
    <w:rsid w:val="007F2C07"/>
    <w:rsid w:val="007F5A1D"/>
    <w:rsid w:val="00814A67"/>
    <w:rsid w:val="00815A8C"/>
    <w:rsid w:val="00831EB3"/>
    <w:rsid w:val="00851BF8"/>
    <w:rsid w:val="00860A43"/>
    <w:rsid w:val="00860F3C"/>
    <w:rsid w:val="00861585"/>
    <w:rsid w:val="00863031"/>
    <w:rsid w:val="00863323"/>
    <w:rsid w:val="00866103"/>
    <w:rsid w:val="00870462"/>
    <w:rsid w:val="00890679"/>
    <w:rsid w:val="00895BF7"/>
    <w:rsid w:val="008B20DC"/>
    <w:rsid w:val="008C2B2E"/>
    <w:rsid w:val="008C2E26"/>
    <w:rsid w:val="008D08B4"/>
    <w:rsid w:val="008D4C27"/>
    <w:rsid w:val="008D7AB8"/>
    <w:rsid w:val="008F2C2A"/>
    <w:rsid w:val="00904B50"/>
    <w:rsid w:val="0091374D"/>
    <w:rsid w:val="00917171"/>
    <w:rsid w:val="0092538B"/>
    <w:rsid w:val="00936061"/>
    <w:rsid w:val="00936209"/>
    <w:rsid w:val="00937FBE"/>
    <w:rsid w:val="009417DE"/>
    <w:rsid w:val="00953514"/>
    <w:rsid w:val="00967E7A"/>
    <w:rsid w:val="00970A0C"/>
    <w:rsid w:val="00971344"/>
    <w:rsid w:val="00975062"/>
    <w:rsid w:val="00984785"/>
    <w:rsid w:val="00994537"/>
    <w:rsid w:val="009A0884"/>
    <w:rsid w:val="009B7DAA"/>
    <w:rsid w:val="009B7E11"/>
    <w:rsid w:val="009C12EF"/>
    <w:rsid w:val="009C428B"/>
    <w:rsid w:val="009C64F0"/>
    <w:rsid w:val="009E2B12"/>
    <w:rsid w:val="009E6332"/>
    <w:rsid w:val="00A036F0"/>
    <w:rsid w:val="00A0413C"/>
    <w:rsid w:val="00A0584D"/>
    <w:rsid w:val="00A112FE"/>
    <w:rsid w:val="00A30ECF"/>
    <w:rsid w:val="00A45CD0"/>
    <w:rsid w:val="00A53B32"/>
    <w:rsid w:val="00A61E56"/>
    <w:rsid w:val="00A86A92"/>
    <w:rsid w:val="00A91A7B"/>
    <w:rsid w:val="00AA623F"/>
    <w:rsid w:val="00AA717A"/>
    <w:rsid w:val="00AB3E5B"/>
    <w:rsid w:val="00AC4357"/>
    <w:rsid w:val="00AE2509"/>
    <w:rsid w:val="00AF087E"/>
    <w:rsid w:val="00AF0B18"/>
    <w:rsid w:val="00AF3939"/>
    <w:rsid w:val="00AF6242"/>
    <w:rsid w:val="00B07137"/>
    <w:rsid w:val="00B07F7F"/>
    <w:rsid w:val="00B25360"/>
    <w:rsid w:val="00B40E0E"/>
    <w:rsid w:val="00B650E3"/>
    <w:rsid w:val="00B663D8"/>
    <w:rsid w:val="00B708FD"/>
    <w:rsid w:val="00B713E3"/>
    <w:rsid w:val="00B815F4"/>
    <w:rsid w:val="00B8214E"/>
    <w:rsid w:val="00B849C3"/>
    <w:rsid w:val="00BA1547"/>
    <w:rsid w:val="00BB1AB9"/>
    <w:rsid w:val="00BB508E"/>
    <w:rsid w:val="00BC2211"/>
    <w:rsid w:val="00BD2331"/>
    <w:rsid w:val="00BD63D4"/>
    <w:rsid w:val="00BD66E3"/>
    <w:rsid w:val="00BD779B"/>
    <w:rsid w:val="00BE620D"/>
    <w:rsid w:val="00C1588F"/>
    <w:rsid w:val="00C15C41"/>
    <w:rsid w:val="00C172BE"/>
    <w:rsid w:val="00C200F0"/>
    <w:rsid w:val="00C220F1"/>
    <w:rsid w:val="00C30FD3"/>
    <w:rsid w:val="00C34E0A"/>
    <w:rsid w:val="00C448B4"/>
    <w:rsid w:val="00C45F3B"/>
    <w:rsid w:val="00C61760"/>
    <w:rsid w:val="00C77EE0"/>
    <w:rsid w:val="00C808EC"/>
    <w:rsid w:val="00C8159D"/>
    <w:rsid w:val="00CB2DBF"/>
    <w:rsid w:val="00CD2320"/>
    <w:rsid w:val="00CE59B1"/>
    <w:rsid w:val="00CE70D2"/>
    <w:rsid w:val="00CF0A6D"/>
    <w:rsid w:val="00CF1965"/>
    <w:rsid w:val="00D06A31"/>
    <w:rsid w:val="00D11D66"/>
    <w:rsid w:val="00D26E87"/>
    <w:rsid w:val="00D26F8F"/>
    <w:rsid w:val="00D31E0C"/>
    <w:rsid w:val="00D36807"/>
    <w:rsid w:val="00D36857"/>
    <w:rsid w:val="00D53853"/>
    <w:rsid w:val="00D54C0C"/>
    <w:rsid w:val="00D559F9"/>
    <w:rsid w:val="00D662B2"/>
    <w:rsid w:val="00D766ED"/>
    <w:rsid w:val="00D80B94"/>
    <w:rsid w:val="00D834AF"/>
    <w:rsid w:val="00D9488E"/>
    <w:rsid w:val="00DA1AC1"/>
    <w:rsid w:val="00DA1F51"/>
    <w:rsid w:val="00DA4D7D"/>
    <w:rsid w:val="00DA7BC9"/>
    <w:rsid w:val="00DB31CE"/>
    <w:rsid w:val="00DB6E08"/>
    <w:rsid w:val="00DC1007"/>
    <w:rsid w:val="00DD62AF"/>
    <w:rsid w:val="00DE33EE"/>
    <w:rsid w:val="00DE677B"/>
    <w:rsid w:val="00DF48D9"/>
    <w:rsid w:val="00E17CB4"/>
    <w:rsid w:val="00E21236"/>
    <w:rsid w:val="00E26E53"/>
    <w:rsid w:val="00E2771E"/>
    <w:rsid w:val="00E27B4B"/>
    <w:rsid w:val="00E37CF7"/>
    <w:rsid w:val="00E509B9"/>
    <w:rsid w:val="00E521F2"/>
    <w:rsid w:val="00E561D0"/>
    <w:rsid w:val="00E62727"/>
    <w:rsid w:val="00E730EB"/>
    <w:rsid w:val="00E933E8"/>
    <w:rsid w:val="00E97271"/>
    <w:rsid w:val="00EA110B"/>
    <w:rsid w:val="00EB27F0"/>
    <w:rsid w:val="00EB5AC8"/>
    <w:rsid w:val="00ED2472"/>
    <w:rsid w:val="00ED657C"/>
    <w:rsid w:val="00EF085C"/>
    <w:rsid w:val="00EF4651"/>
    <w:rsid w:val="00F019AE"/>
    <w:rsid w:val="00F1278B"/>
    <w:rsid w:val="00F17A9A"/>
    <w:rsid w:val="00F2342F"/>
    <w:rsid w:val="00F40C64"/>
    <w:rsid w:val="00F44833"/>
    <w:rsid w:val="00F5569E"/>
    <w:rsid w:val="00F57DC4"/>
    <w:rsid w:val="00F7018B"/>
    <w:rsid w:val="00F77210"/>
    <w:rsid w:val="00F80CA7"/>
    <w:rsid w:val="00F82325"/>
    <w:rsid w:val="00F83F8E"/>
    <w:rsid w:val="00F8641C"/>
    <w:rsid w:val="00FC0802"/>
    <w:rsid w:val="00FC143A"/>
    <w:rsid w:val="00FC2012"/>
    <w:rsid w:val="00FC3B9A"/>
    <w:rsid w:val="00FC67A1"/>
    <w:rsid w:val="00FC773F"/>
    <w:rsid w:val="00FD2835"/>
    <w:rsid w:val="00FD28E5"/>
    <w:rsid w:val="00FE0A2D"/>
    <w:rsid w:val="00FE33BD"/>
    <w:rsid w:val="00FE4CED"/>
    <w:rsid w:val="00FE515C"/>
    <w:rsid w:val="00FE73E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218BD"/>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semiHidden/>
    <w:rsid w:val="00F44833"/>
    <w:rPr>
      <w:sz w:val="20"/>
      <w:szCs w:val="20"/>
    </w:rPr>
  </w:style>
  <w:style w:type="character" w:styleId="FootnoteReference">
    <w:name w:val="footnote reference"/>
    <w:aliases w:val="o,fr"/>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6291-9926-491A-9B01-7340F2D4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Thomas</dc:creator>
  <cp:lastModifiedBy>Wagner, Nathan R</cp:lastModifiedBy>
  <cp:revision>3</cp:revision>
  <cp:lastPrinted>2018-06-27T23:07:00Z</cp:lastPrinted>
  <dcterms:created xsi:type="dcterms:W3CDTF">2018-06-27T23:08:00Z</dcterms:created>
  <dcterms:modified xsi:type="dcterms:W3CDTF">2018-07-12T12:12:00Z</dcterms:modified>
</cp:coreProperties>
</file>