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8"/>
        <w:gridCol w:w="4362"/>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7C3F63">
              <w:rPr>
                <w:sz w:val="26"/>
                <w:szCs w:val="26"/>
              </w:rPr>
              <w:t>July</w:t>
            </w:r>
            <w:r w:rsidR="00FD193E">
              <w:rPr>
                <w:sz w:val="26"/>
                <w:szCs w:val="26"/>
              </w:rPr>
              <w:t xml:space="preserve"> </w:t>
            </w:r>
            <w:r w:rsidR="002956A8">
              <w:rPr>
                <w:sz w:val="26"/>
                <w:szCs w:val="26"/>
              </w:rPr>
              <w:t>1</w:t>
            </w:r>
            <w:r w:rsidR="00175A0C">
              <w:rPr>
                <w:sz w:val="26"/>
                <w:szCs w:val="26"/>
              </w:rPr>
              <w:t>2</w:t>
            </w:r>
            <w:r w:rsidR="009210A5">
              <w:rPr>
                <w:sz w:val="26"/>
                <w:szCs w:val="26"/>
              </w:rPr>
              <w:t xml:space="preserve">, </w:t>
            </w:r>
            <w:r w:rsidR="00E90A93">
              <w:rPr>
                <w:sz w:val="26"/>
                <w:szCs w:val="26"/>
              </w:rPr>
              <w:t>201</w:t>
            </w:r>
            <w:r w:rsidR="00CA44E8">
              <w:rPr>
                <w:sz w:val="26"/>
                <w:szCs w:val="26"/>
              </w:rPr>
              <w:t>8</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B31E3B" w:rsidRDefault="00B31E3B" w:rsidP="003677F4">
            <w:pPr>
              <w:widowControl/>
              <w:tabs>
                <w:tab w:val="left" w:pos="705"/>
              </w:tabs>
              <w:ind w:firstLine="720"/>
              <w:rPr>
                <w:sz w:val="26"/>
                <w:szCs w:val="26"/>
              </w:rPr>
            </w:pPr>
            <w:r>
              <w:rPr>
                <w:sz w:val="26"/>
                <w:szCs w:val="26"/>
              </w:rPr>
              <w:t>Norman</w:t>
            </w:r>
            <w:r w:rsidR="00035CE7">
              <w:rPr>
                <w:sz w:val="26"/>
                <w:szCs w:val="26"/>
              </w:rPr>
              <w:t xml:space="preserve"> J. Kennard</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175A0C" w:rsidP="00762F72">
            <w:pPr>
              <w:widowControl/>
              <w:tabs>
                <w:tab w:val="left" w:pos="1640"/>
              </w:tabs>
              <w:rPr>
                <w:sz w:val="26"/>
                <w:szCs w:val="26"/>
              </w:rPr>
            </w:pPr>
            <w:r>
              <w:rPr>
                <w:sz w:val="26"/>
                <w:szCs w:val="26"/>
              </w:rPr>
              <w:t>Christopher T. Stack</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035CE7">
              <w:rPr>
                <w:sz w:val="26"/>
                <w:szCs w:val="26"/>
              </w:rPr>
              <w:t>6</w:t>
            </w:r>
            <w:r w:rsidR="00C533F3">
              <w:rPr>
                <w:sz w:val="26"/>
                <w:szCs w:val="26"/>
              </w:rPr>
              <w:t>-2</w:t>
            </w:r>
            <w:r w:rsidR="00035CE7">
              <w:rPr>
                <w:sz w:val="26"/>
                <w:szCs w:val="26"/>
              </w:rPr>
              <w:t>5</w:t>
            </w:r>
            <w:r w:rsidR="00175A0C">
              <w:rPr>
                <w:sz w:val="26"/>
                <w:szCs w:val="26"/>
              </w:rPr>
              <w:t>44674</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175A0C">
        <w:rPr>
          <w:sz w:val="26"/>
        </w:rPr>
        <w:t>September 21</w:t>
      </w:r>
      <w:r w:rsidR="00AA548E">
        <w:rPr>
          <w:sz w:val="26"/>
        </w:rPr>
        <w:t>,</w:t>
      </w:r>
      <w:r w:rsidR="00D3112B">
        <w:rPr>
          <w:sz w:val="26"/>
        </w:rPr>
        <w:t xml:space="preserve"> 201</w:t>
      </w:r>
      <w:r w:rsidR="00035CE7">
        <w:rPr>
          <w:sz w:val="26"/>
        </w:rPr>
        <w:t>7</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5556B4">
        <w:rPr>
          <w:sz w:val="26"/>
        </w:rPr>
        <w:t xml:space="preserve">, </w:t>
      </w:r>
      <w:r w:rsidR="00666388">
        <w:rPr>
          <w:sz w:val="26"/>
        </w:rPr>
        <w:t>in part, consistent with</w:t>
      </w:r>
      <w:r w:rsidR="005556B4">
        <w:rPr>
          <w:sz w:val="26"/>
        </w:rPr>
        <w:t xml:space="preserve"> this Opinion and Order</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175A0C" w:rsidP="00C71AC2">
      <w:pPr>
        <w:pStyle w:val="BodyText2"/>
      </w:pPr>
      <w:r>
        <w:rPr>
          <w:b/>
        </w:rPr>
        <w:tab/>
      </w:r>
      <w:r>
        <w:rPr>
          <w:b/>
        </w:rPr>
        <w:tab/>
      </w:r>
      <w:r>
        <w:t xml:space="preserve">I&amp;E instituted a Complaint against the </w:t>
      </w:r>
      <w:r w:rsidR="00755201">
        <w:t>Respondent</w:t>
      </w:r>
      <w:r>
        <w:t xml:space="preserve"> that was issued on May</w:t>
      </w:r>
      <w:r w:rsidR="00030A78">
        <w:t> </w:t>
      </w:r>
      <w:r>
        <w:t xml:space="preserve">20, 2016 (Complaint).  In the Complaint, I&amp;E alleged that the </w:t>
      </w:r>
      <w:r w:rsidR="00C71AC2">
        <w:t xml:space="preserve">Respondent violated Section 1101 of the Public Utility Code (Code), 66 Pa. C.S. § 1101, by holding out to provide passenger transportation service between points in Pennsylvania while not having operating authority from the Commission.  I&amp;E also alleged that the Respondent violated Section 29.314(d) of the Commission’s </w:t>
      </w:r>
      <w:r w:rsidR="00666388">
        <w:t>R</w:t>
      </w:r>
      <w:r w:rsidR="00C71AC2">
        <w:t xml:space="preserve">egulations, 52 Pa. Code § 29.314(d), for affixing a taxi </w:t>
      </w:r>
      <w:r>
        <w:t>dome light</w:t>
      </w:r>
      <w:r w:rsidR="00C71AC2">
        <w:t xml:space="preserve"> </w:t>
      </w:r>
      <w:r>
        <w:t>to the roof of his vehicle.</w:t>
      </w:r>
    </w:p>
    <w:p w:rsidR="008F6D15" w:rsidRDefault="008F6D15" w:rsidP="00762F72">
      <w:pPr>
        <w:widowControl/>
        <w:spacing w:line="360" w:lineRule="auto"/>
        <w:rPr>
          <w:b/>
          <w:sz w:val="26"/>
          <w:szCs w:val="26"/>
        </w:rPr>
      </w:pPr>
    </w:p>
    <w:p w:rsidR="0088703E" w:rsidRDefault="0088703E" w:rsidP="0088703E">
      <w:pPr>
        <w:pStyle w:val="BodyText2"/>
      </w:pPr>
      <w:r>
        <w:tab/>
      </w:r>
      <w:r>
        <w:tab/>
        <w:t xml:space="preserve">The Respondent was notified that that he must file an Answer to the Complaint with the Commission </w:t>
      </w:r>
      <w:r w:rsidRPr="00747FE5">
        <w:t>within twenty days of the date of service of the</w:t>
      </w:r>
      <w:r>
        <w:t xml:space="preserve"> Complaint.  Furthermore, if the Respondent failed to file an Answer to the Complaint, I&amp;E would request that the Commission issue a Secretarial Letter that (1) fined the Respondent $1,000; and (2) order</w:t>
      </w:r>
      <w:r w:rsidR="00797D32">
        <w:t>ed</w:t>
      </w:r>
      <w:r>
        <w:t xml:space="preserve"> that the registration of the vehicle referenced in the Complaint be suspended by the Pennsylvania Department of Transportation (PennDOT).  Complaint at 1.</w:t>
      </w:r>
    </w:p>
    <w:p w:rsidR="0088703E" w:rsidRDefault="0088703E" w:rsidP="0088703E">
      <w:pPr>
        <w:pStyle w:val="BodyText2"/>
      </w:pPr>
    </w:p>
    <w:p w:rsidR="0088703E" w:rsidRDefault="0088703E" w:rsidP="0088703E">
      <w:pPr>
        <w:pStyle w:val="BodyText2"/>
      </w:pPr>
      <w:r>
        <w:tab/>
      </w:r>
      <w:r>
        <w:tab/>
        <w:t>On June 15, 2016, the Respondent</w:t>
      </w:r>
      <w:r w:rsidR="00224D5D">
        <w:t xml:space="preserve"> filed an Answer to the Complaint.  However, the Respondent’s Answer was returned to him by Secretarial Letter dated June</w:t>
      </w:r>
      <w:r w:rsidR="00D56022">
        <w:t> </w:t>
      </w:r>
      <w:r w:rsidR="00224D5D">
        <w:t>20, 2016, because it did not contain an original signature.  The Respondent was given ten days to refile an Answer with an original signature.</w:t>
      </w:r>
    </w:p>
    <w:p w:rsidR="00FC10D7" w:rsidRDefault="00FC10D7" w:rsidP="0088703E">
      <w:pPr>
        <w:pStyle w:val="BodyText2"/>
      </w:pPr>
    </w:p>
    <w:p w:rsidR="00FC10D7" w:rsidRDefault="00FC10D7" w:rsidP="0088703E">
      <w:pPr>
        <w:pStyle w:val="BodyText2"/>
      </w:pPr>
      <w:r>
        <w:tab/>
      </w:r>
      <w:r>
        <w:tab/>
        <w:t>On June 29, 2016, the Respondent filed the signed Answer wherein he stated that he found the dome light while garbage hunting with friends and that the light was not capable of being illuminated because there was no wire attached.  The Respondent averred that he and his friends drove on East Carson Street in Pittsburgh with the dome light attached “as a joke” and that he was merely driving home.</w:t>
      </w:r>
      <w:r w:rsidR="00666388">
        <w:t xml:space="preserve">  Answer at 1.</w:t>
      </w:r>
    </w:p>
    <w:p w:rsidR="00FC10D7" w:rsidRDefault="00FC10D7" w:rsidP="0088703E">
      <w:pPr>
        <w:pStyle w:val="BodyText2"/>
      </w:pPr>
    </w:p>
    <w:p w:rsidR="00B3123C" w:rsidRDefault="00FC10D7" w:rsidP="0088703E">
      <w:pPr>
        <w:pStyle w:val="BodyText2"/>
      </w:pPr>
      <w:r>
        <w:lastRenderedPageBreak/>
        <w:tab/>
      </w:r>
      <w:r>
        <w:tab/>
        <w:t>On July 1</w:t>
      </w:r>
      <w:r w:rsidR="00723DBC">
        <w:t>8, 2017, I&amp;E</w:t>
      </w:r>
      <w:r w:rsidR="00734BA4">
        <w:t xml:space="preserve"> filed an Amended Complaint</w:t>
      </w:r>
      <w:r w:rsidR="0056338F">
        <w:t xml:space="preserve"> (Amended Complaint)</w:t>
      </w:r>
      <w:r w:rsidR="002E37F8">
        <w:t xml:space="preserve"> </w:t>
      </w:r>
      <w:r w:rsidR="0056338F">
        <w:t>t</w:t>
      </w:r>
      <w:r w:rsidR="002E37F8">
        <w:t>h</w:t>
      </w:r>
      <w:r w:rsidR="0056338F">
        <w:t>at</w:t>
      </w:r>
      <w:r w:rsidR="002E37F8">
        <w:t xml:space="preserve">: </w:t>
      </w:r>
      <w:r w:rsidR="0056338F">
        <w:t>(1) updated one of the alleged violations averred in the Complaint to indicate that the Respondent violated 52 Pa. Code § 29.402(1) and 67 Pa.</w:t>
      </w:r>
      <w:r w:rsidR="0056338F" w:rsidRPr="0056338F">
        <w:t xml:space="preserve"> </w:t>
      </w:r>
      <w:r w:rsidR="0056338F">
        <w:t>Code § 175.66(h), and not 52 Pa. Code § 29.314(d), by affixing a prohibited ornamental lamp on his vehicle; and (2)</w:t>
      </w:r>
      <w:r w:rsidR="00157BA2">
        <w:t> </w:t>
      </w:r>
      <w:r w:rsidR="0056338F">
        <w:t>appended copies of four color photographs marked as I&amp;E Exhibit 1, which depicted the Respondent’s vehicle operating</w:t>
      </w:r>
      <w:r w:rsidR="00E82AFE">
        <w:t xml:space="preserve"> on Carson Street with an illuminated dome light that read “TAXI”.</w:t>
      </w:r>
      <w:r w:rsidR="0062433C">
        <w:t xml:space="preserve">  The Amended Complaint was </w:t>
      </w:r>
      <w:r w:rsidR="007F5CFE">
        <w:t xml:space="preserve">issued by Secretarial Letter on July 28, 2017, by first class mail.  </w:t>
      </w:r>
      <w:r w:rsidR="00666388">
        <w:t>There is no record that the Amended Complaint was returned to the Commission.</w:t>
      </w:r>
    </w:p>
    <w:p w:rsidR="00B3123C" w:rsidRDefault="00B3123C" w:rsidP="0088703E">
      <w:pPr>
        <w:pStyle w:val="BodyText2"/>
      </w:pPr>
    </w:p>
    <w:p w:rsidR="0062433C" w:rsidRDefault="00B3123C" w:rsidP="0088703E">
      <w:pPr>
        <w:pStyle w:val="BodyText2"/>
      </w:pPr>
      <w:r>
        <w:tab/>
      </w:r>
      <w:r>
        <w:tab/>
      </w:r>
      <w:r w:rsidR="007F5CFE">
        <w:t xml:space="preserve">On August 24, 2017, </w:t>
      </w:r>
      <w:r w:rsidR="00AE5FD3">
        <w:t>the Amended Complaint was again issued by Secretarial Letter, but this time by certified mail</w:t>
      </w:r>
      <w:r>
        <w:t xml:space="preserve">.  The Amended Complaint was served on August 26, 2017.  A copy of proof of delivery </w:t>
      </w:r>
      <w:r w:rsidR="00666388">
        <w:t xml:space="preserve">of the Amended Complaint </w:t>
      </w:r>
      <w:r>
        <w:t>is attached to the Motion.</w:t>
      </w:r>
    </w:p>
    <w:p w:rsidR="00E66AB0" w:rsidRDefault="00E66AB0" w:rsidP="0088703E">
      <w:pPr>
        <w:pStyle w:val="BodyText2"/>
      </w:pPr>
    </w:p>
    <w:p w:rsidR="00E66AB0" w:rsidRDefault="00E66AB0" w:rsidP="00E66AB0">
      <w:pPr>
        <w:widowControl/>
        <w:spacing w:line="360" w:lineRule="auto"/>
        <w:rPr>
          <w:sz w:val="26"/>
          <w:szCs w:val="26"/>
        </w:rPr>
      </w:pPr>
      <w:r>
        <w:rPr>
          <w:sz w:val="26"/>
          <w:szCs w:val="26"/>
        </w:rPr>
        <w:tab/>
      </w:r>
      <w:r>
        <w:rPr>
          <w:sz w:val="26"/>
          <w:szCs w:val="26"/>
        </w:rPr>
        <w:tab/>
        <w:t xml:space="preserve">A Notice was attached to the </w:t>
      </w:r>
      <w:r w:rsidR="00666388">
        <w:rPr>
          <w:sz w:val="26"/>
          <w:szCs w:val="26"/>
        </w:rPr>
        <w:t xml:space="preserve">Amended </w:t>
      </w:r>
      <w:r>
        <w:rPr>
          <w:sz w:val="26"/>
          <w:szCs w:val="26"/>
        </w:rPr>
        <w:t xml:space="preserve">Complaint </w:t>
      </w:r>
      <w:r w:rsidR="00666388">
        <w:rPr>
          <w:sz w:val="26"/>
          <w:szCs w:val="26"/>
        </w:rPr>
        <w:t>which</w:t>
      </w:r>
      <w:r>
        <w:rPr>
          <w:sz w:val="26"/>
          <w:szCs w:val="26"/>
        </w:rPr>
        <w:t xml:space="preserve"> informed the Respondent that it must file an Answer within twenty days of the date of service of the </w:t>
      </w:r>
      <w:r w:rsidR="00666388">
        <w:rPr>
          <w:sz w:val="26"/>
          <w:szCs w:val="26"/>
        </w:rPr>
        <w:t xml:space="preserve">Amended </w:t>
      </w:r>
      <w:r>
        <w:rPr>
          <w:sz w:val="26"/>
          <w:szCs w:val="26"/>
        </w:rPr>
        <w:t xml:space="preserve">Complaint.  The Notice also informed the Respondent that if it failed to answer the </w:t>
      </w:r>
      <w:r w:rsidR="00666388">
        <w:rPr>
          <w:sz w:val="26"/>
          <w:szCs w:val="26"/>
        </w:rPr>
        <w:t xml:space="preserve">Amended </w:t>
      </w:r>
      <w:r>
        <w:rPr>
          <w:sz w:val="26"/>
          <w:szCs w:val="26"/>
        </w:rPr>
        <w:t xml:space="preserve">Complaint, I&amp;E would request that the Commission issue an Order imposing the penalty set forth in the </w:t>
      </w:r>
      <w:r w:rsidR="00666388">
        <w:rPr>
          <w:sz w:val="26"/>
          <w:szCs w:val="26"/>
        </w:rPr>
        <w:t xml:space="preserve">Amended </w:t>
      </w:r>
      <w:r>
        <w:rPr>
          <w:sz w:val="26"/>
          <w:szCs w:val="26"/>
        </w:rPr>
        <w:t>Complaint.</w:t>
      </w:r>
    </w:p>
    <w:p w:rsidR="00E66AB0" w:rsidRDefault="00E66AB0" w:rsidP="0088703E">
      <w:pPr>
        <w:pStyle w:val="BodyText2"/>
      </w:pPr>
    </w:p>
    <w:p w:rsidR="00B3123C" w:rsidRDefault="00B3123C" w:rsidP="0088703E">
      <w:pPr>
        <w:pStyle w:val="BodyText2"/>
      </w:pPr>
      <w:r>
        <w:tab/>
      </w:r>
      <w:r>
        <w:tab/>
        <w:t>The</w:t>
      </w:r>
      <w:r w:rsidR="00643364">
        <w:t xml:space="preserve"> Respondent failed to answer</w:t>
      </w:r>
      <w:r w:rsidR="006C0CD5">
        <w:t xml:space="preserve"> the </w:t>
      </w:r>
      <w:r w:rsidR="00666388">
        <w:t xml:space="preserve">Amended </w:t>
      </w:r>
      <w:r w:rsidR="006C0CD5">
        <w:t>Complaint within twenty days of the service date.</w:t>
      </w:r>
    </w:p>
    <w:p w:rsidR="00E66AB0" w:rsidRDefault="00E66AB0" w:rsidP="0088703E">
      <w:pPr>
        <w:pStyle w:val="BodyText2"/>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E66AB0">
        <w:rPr>
          <w:sz w:val="26"/>
          <w:szCs w:val="26"/>
        </w:rPr>
        <w:t>September</w:t>
      </w:r>
      <w:r w:rsidR="000E3C57">
        <w:rPr>
          <w:sz w:val="26"/>
          <w:szCs w:val="26"/>
        </w:rPr>
        <w:t xml:space="preserve"> </w:t>
      </w:r>
      <w:r w:rsidR="00E66AB0">
        <w:rPr>
          <w:sz w:val="26"/>
          <w:szCs w:val="26"/>
        </w:rPr>
        <w:t>21</w:t>
      </w:r>
      <w:r w:rsidR="008D6613">
        <w:rPr>
          <w:sz w:val="26"/>
          <w:szCs w:val="26"/>
        </w:rPr>
        <w:t>, 201</w:t>
      </w:r>
      <w:r w:rsidR="000E3C57">
        <w:rPr>
          <w:sz w:val="26"/>
          <w:szCs w:val="26"/>
        </w:rPr>
        <w:t>7</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rsidR="00CA3A19" w:rsidRDefault="00CA3A19" w:rsidP="00762F72">
      <w:pPr>
        <w:widowControl/>
        <w:spacing w:line="360" w:lineRule="auto"/>
        <w:rPr>
          <w:sz w:val="26"/>
          <w:szCs w:val="26"/>
        </w:rPr>
      </w:pPr>
    </w:p>
    <w:p w:rsidR="00882750" w:rsidRDefault="00882750" w:rsidP="008A15D7">
      <w:pPr>
        <w:keepNext/>
        <w:spacing w:line="360" w:lineRule="auto"/>
        <w:jc w:val="center"/>
        <w:rPr>
          <w:sz w:val="26"/>
          <w:szCs w:val="26"/>
        </w:rPr>
      </w:pPr>
      <w:r w:rsidRPr="00882750">
        <w:rPr>
          <w:b/>
          <w:sz w:val="26"/>
          <w:szCs w:val="26"/>
        </w:rPr>
        <w:lastRenderedPageBreak/>
        <w:t>Discussion</w:t>
      </w:r>
    </w:p>
    <w:p w:rsidR="00C52F28" w:rsidRDefault="00C52F28" w:rsidP="008A15D7">
      <w:pPr>
        <w:keepNext/>
        <w:spacing w:line="360" w:lineRule="auto"/>
        <w:ind w:firstLine="1440"/>
        <w:rPr>
          <w:sz w:val="26"/>
          <w:szCs w:val="26"/>
        </w:rPr>
      </w:pPr>
    </w:p>
    <w:p w:rsidR="008A15D7" w:rsidRPr="008A15D7" w:rsidRDefault="008A15D7" w:rsidP="008A15D7">
      <w:pPr>
        <w:keepNext/>
        <w:spacing w:line="360" w:lineRule="auto"/>
        <w:rPr>
          <w:b/>
          <w:sz w:val="26"/>
          <w:szCs w:val="26"/>
        </w:rPr>
      </w:pPr>
      <w:r w:rsidRPr="008A15D7">
        <w:rPr>
          <w:b/>
          <w:sz w:val="26"/>
          <w:szCs w:val="26"/>
        </w:rPr>
        <w:t>Legal Standards</w:t>
      </w:r>
    </w:p>
    <w:p w:rsidR="008A15D7" w:rsidRPr="008A15D7" w:rsidRDefault="008A15D7" w:rsidP="008A15D7">
      <w:pPr>
        <w:keepNext/>
        <w:ind w:firstLine="1440"/>
        <w:rPr>
          <w:sz w:val="26"/>
          <w:szCs w:val="26"/>
        </w:rPr>
      </w:pPr>
    </w:p>
    <w:p w:rsidR="00882750" w:rsidRDefault="00882750" w:rsidP="00762F72">
      <w:pPr>
        <w:widowControl/>
        <w:spacing w:line="360" w:lineRule="auto"/>
        <w:ind w:firstLine="1440"/>
        <w:rPr>
          <w:rStyle w:val="Hyperlink"/>
          <w:color w:val="000000"/>
          <w:sz w:val="26"/>
          <w:szCs w:val="26"/>
          <w:u w:val="none"/>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8A15D7" w:rsidRDefault="008A15D7" w:rsidP="00762F72">
      <w:pPr>
        <w:widowControl/>
        <w:spacing w:line="360" w:lineRule="auto"/>
        <w:ind w:firstLine="1440"/>
        <w:rPr>
          <w:sz w:val="26"/>
          <w:szCs w:val="26"/>
        </w:rPr>
      </w:pPr>
    </w:p>
    <w:p w:rsidR="008A15D7" w:rsidRPr="008A15D7" w:rsidRDefault="008A15D7" w:rsidP="008A15D7">
      <w:pPr>
        <w:widowControl/>
        <w:spacing w:line="360" w:lineRule="auto"/>
        <w:jc w:val="both"/>
        <w:rPr>
          <w:b/>
          <w:sz w:val="26"/>
          <w:szCs w:val="26"/>
        </w:rPr>
      </w:pPr>
      <w:r>
        <w:rPr>
          <w:b/>
          <w:sz w:val="26"/>
          <w:szCs w:val="26"/>
        </w:rPr>
        <w:t>I&amp;E’s Motion for Default Judgment</w:t>
      </w:r>
    </w:p>
    <w:p w:rsidR="00945C13" w:rsidRDefault="00945C13" w:rsidP="00762F72">
      <w:pPr>
        <w:widowControl/>
        <w:spacing w:line="360" w:lineRule="auto"/>
        <w:ind w:firstLine="1440"/>
        <w:rPr>
          <w:sz w:val="26"/>
          <w:szCs w:val="26"/>
        </w:rPr>
      </w:pPr>
    </w:p>
    <w:p w:rsidR="008C7B4E" w:rsidRPr="008C7B4E"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w:t>
      </w:r>
      <w:r w:rsidR="00D01F7E">
        <w:rPr>
          <w:sz w:val="26"/>
          <w:szCs w:val="26"/>
        </w:rPr>
        <w:t xml:space="preserve">Amended </w:t>
      </w:r>
      <w:r w:rsidR="003C2071">
        <w:rPr>
          <w:sz w:val="26"/>
          <w:szCs w:val="26"/>
        </w:rPr>
        <w:t xml:space="preserve">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w:t>
      </w:r>
      <w:r w:rsidR="001164C8">
        <w:rPr>
          <w:sz w:val="26"/>
          <w:szCs w:val="26"/>
        </w:rPr>
        <w:t>request</w:t>
      </w:r>
      <w:r w:rsidR="000510B7">
        <w:rPr>
          <w:sz w:val="26"/>
          <w:szCs w:val="26"/>
        </w:rPr>
        <w:t>s that the Commission enter a default judgment against the Respondent that sustains the Amended Complaint</w:t>
      </w:r>
      <w:r w:rsidR="004A0DCD">
        <w:rPr>
          <w:sz w:val="26"/>
          <w:szCs w:val="26"/>
        </w:rPr>
        <w:t xml:space="preserve">, directs the Respondent to pay a </w:t>
      </w:r>
      <w:r w:rsidR="001164C8">
        <w:rPr>
          <w:sz w:val="26"/>
          <w:szCs w:val="26"/>
        </w:rPr>
        <w:t>$1,000 civil penalty</w:t>
      </w:r>
      <w:r w:rsidR="004A0DCD">
        <w:rPr>
          <w:sz w:val="26"/>
          <w:szCs w:val="26"/>
        </w:rPr>
        <w:t>,</w:t>
      </w:r>
      <w:r w:rsidR="001164C8">
        <w:rPr>
          <w:sz w:val="26"/>
          <w:szCs w:val="26"/>
        </w:rPr>
        <w:t xml:space="preserve"> and </w:t>
      </w:r>
      <w:r w:rsidR="004A0DCD">
        <w:rPr>
          <w:sz w:val="26"/>
          <w:szCs w:val="26"/>
        </w:rPr>
        <w:t>refers Respon</w:t>
      </w:r>
      <w:r w:rsidR="00010E45">
        <w:rPr>
          <w:sz w:val="26"/>
          <w:szCs w:val="26"/>
        </w:rPr>
        <w:t>dent</w:t>
      </w:r>
      <w:r w:rsidR="001164C8">
        <w:rPr>
          <w:sz w:val="26"/>
          <w:szCs w:val="26"/>
        </w:rPr>
        <w:t xml:space="preserve">’s vehicle registration </w:t>
      </w:r>
      <w:r w:rsidR="004A0DCD">
        <w:rPr>
          <w:sz w:val="26"/>
          <w:szCs w:val="26"/>
        </w:rPr>
        <w:t>to</w:t>
      </w:r>
      <w:r w:rsidR="001164C8">
        <w:rPr>
          <w:sz w:val="26"/>
          <w:szCs w:val="26"/>
        </w:rPr>
        <w:t xml:space="preserve"> PennDOT</w:t>
      </w:r>
      <w:r w:rsidR="004A0DCD">
        <w:rPr>
          <w:sz w:val="26"/>
          <w:szCs w:val="26"/>
        </w:rPr>
        <w:t xml:space="preserve"> for suspension.</w:t>
      </w:r>
      <w:r w:rsidR="00F6665C">
        <w:rPr>
          <w:sz w:val="26"/>
          <w:szCs w:val="26"/>
        </w:rPr>
        <w:t xml:space="preserve"> </w:t>
      </w:r>
      <w:r w:rsidR="004A0DCD">
        <w:rPr>
          <w:sz w:val="26"/>
          <w:szCs w:val="26"/>
        </w:rPr>
        <w:t xml:space="preserve"> </w:t>
      </w:r>
      <w:r w:rsidR="00D01F7E">
        <w:rPr>
          <w:sz w:val="26"/>
          <w:szCs w:val="26"/>
        </w:rPr>
        <w:t xml:space="preserve">If </w:t>
      </w:r>
      <w:r w:rsidR="004A0DCD">
        <w:rPr>
          <w:sz w:val="26"/>
          <w:szCs w:val="26"/>
        </w:rPr>
        <w:t>the Commission deem</w:t>
      </w:r>
      <w:r w:rsidR="00D01F7E">
        <w:rPr>
          <w:sz w:val="26"/>
          <w:szCs w:val="26"/>
        </w:rPr>
        <w:t>s</w:t>
      </w:r>
      <w:r w:rsidR="004A0DCD">
        <w:rPr>
          <w:sz w:val="26"/>
          <w:szCs w:val="26"/>
        </w:rPr>
        <w:t xml:space="preserve"> the imposition of the $1,000 civil penalty and suspension of Respondent’s vehicle registration be too severe, I&amp;E</w:t>
      </w:r>
      <w:r w:rsidR="00D01F7E">
        <w:rPr>
          <w:sz w:val="26"/>
          <w:szCs w:val="26"/>
        </w:rPr>
        <w:t xml:space="preserve"> alternatively</w:t>
      </w:r>
      <w:r w:rsidR="004A0DCD">
        <w:rPr>
          <w:sz w:val="26"/>
          <w:szCs w:val="26"/>
        </w:rPr>
        <w:t xml:space="preserve"> requests </w:t>
      </w:r>
      <w:r w:rsidR="00D01F7E">
        <w:rPr>
          <w:sz w:val="26"/>
          <w:szCs w:val="26"/>
        </w:rPr>
        <w:t>only</w:t>
      </w:r>
      <w:r w:rsidR="004A0DCD">
        <w:rPr>
          <w:sz w:val="26"/>
          <w:szCs w:val="26"/>
        </w:rPr>
        <w:t xml:space="preserve"> the </w:t>
      </w:r>
      <w:r w:rsidR="00D01F7E">
        <w:rPr>
          <w:sz w:val="26"/>
          <w:szCs w:val="26"/>
        </w:rPr>
        <w:t xml:space="preserve">imposition of a </w:t>
      </w:r>
      <w:r w:rsidR="004A0DCD">
        <w:rPr>
          <w:sz w:val="26"/>
          <w:szCs w:val="26"/>
        </w:rPr>
        <w:t>$1,000 civil penalty.  I&amp;E states that both remedies are</w:t>
      </w:r>
      <w:r w:rsidR="00F6665C">
        <w:rPr>
          <w:sz w:val="26"/>
          <w:szCs w:val="26"/>
        </w:rPr>
        <w:t xml:space="preserve"> consistent with what is requested for allegations of operating as a motor common carrier without a Certificate of Public Convenience (Certificate)</w:t>
      </w:r>
      <w:r w:rsidR="008C7B4E">
        <w:rPr>
          <w:sz w:val="26"/>
          <w:szCs w:val="26"/>
        </w:rPr>
        <w:t xml:space="preserve"> issued by the Commission in violation of 66 Pa. C.S. § 1101.</w:t>
      </w:r>
      <w:r w:rsidR="008C7B4E">
        <w:rPr>
          <w:rStyle w:val="FootnoteReference"/>
          <w:sz w:val="26"/>
          <w:szCs w:val="26"/>
        </w:rPr>
        <w:footnoteReference w:id="1"/>
      </w:r>
    </w:p>
    <w:p w:rsidR="008C7B4E" w:rsidRDefault="008C7B4E" w:rsidP="00010E45">
      <w:pPr>
        <w:widowControl/>
        <w:spacing w:line="360" w:lineRule="auto"/>
        <w:ind w:firstLine="1440"/>
        <w:rPr>
          <w:sz w:val="26"/>
          <w:szCs w:val="26"/>
        </w:rPr>
      </w:pPr>
    </w:p>
    <w:p w:rsidR="008C7B4E" w:rsidRPr="000E65B0" w:rsidRDefault="000E65B0" w:rsidP="00D01F7E">
      <w:pPr>
        <w:keepNext/>
        <w:widowControl/>
        <w:spacing w:line="360" w:lineRule="auto"/>
        <w:rPr>
          <w:sz w:val="26"/>
          <w:szCs w:val="26"/>
        </w:rPr>
      </w:pPr>
      <w:r>
        <w:rPr>
          <w:b/>
          <w:sz w:val="26"/>
          <w:szCs w:val="26"/>
        </w:rPr>
        <w:lastRenderedPageBreak/>
        <w:t>Disposition</w:t>
      </w:r>
    </w:p>
    <w:p w:rsidR="00CA3A19" w:rsidRDefault="00CA3A19" w:rsidP="00D01F7E">
      <w:pPr>
        <w:keepNext/>
        <w:widowControl/>
        <w:spacing w:line="360" w:lineRule="auto"/>
        <w:ind w:firstLine="1440"/>
        <w:rPr>
          <w:sz w:val="26"/>
          <w:szCs w:val="26"/>
        </w:rPr>
      </w:pPr>
    </w:p>
    <w:p w:rsidR="009250D3" w:rsidRPr="009250D3" w:rsidRDefault="009250D3" w:rsidP="00D01F7E">
      <w:pPr>
        <w:keepNext/>
        <w:spacing w:line="360" w:lineRule="auto"/>
        <w:ind w:firstLine="720"/>
        <w:rPr>
          <w:sz w:val="26"/>
          <w:szCs w:val="26"/>
        </w:rPr>
      </w:pPr>
      <w:r>
        <w:rPr>
          <w:sz w:val="26"/>
          <w:szCs w:val="26"/>
        </w:rPr>
        <w:tab/>
      </w:r>
      <w:r w:rsidRPr="009250D3">
        <w:rPr>
          <w:sz w:val="26"/>
          <w:szCs w:val="26"/>
        </w:rPr>
        <w:t xml:space="preserve">Pursuant to the Code, it is unlawful for any person or entity to hold itself out to provide a service to the public within the Commonwealth without first obtaining a Certificate from the Commission.  </w:t>
      </w:r>
      <w:r w:rsidRPr="009250D3">
        <w:rPr>
          <w:i/>
          <w:sz w:val="26"/>
          <w:szCs w:val="26"/>
        </w:rPr>
        <w:t>See</w:t>
      </w:r>
      <w:r w:rsidRPr="009250D3">
        <w:rPr>
          <w:sz w:val="26"/>
          <w:szCs w:val="26"/>
        </w:rPr>
        <w:t xml:space="preserve"> 66 Pa. C.S. §§ 102 and 1101.  Section 1101 of the Code provides, in relevant part, as follows:</w:t>
      </w:r>
    </w:p>
    <w:p w:rsidR="009250D3" w:rsidRPr="009250D3" w:rsidRDefault="009250D3" w:rsidP="009250D3">
      <w:pPr>
        <w:widowControl/>
        <w:spacing w:line="360" w:lineRule="auto"/>
        <w:rPr>
          <w:sz w:val="26"/>
          <w:szCs w:val="26"/>
        </w:rPr>
      </w:pPr>
    </w:p>
    <w:p w:rsidR="009250D3" w:rsidRPr="009250D3" w:rsidRDefault="009250D3" w:rsidP="009250D3">
      <w:pPr>
        <w:widowControl/>
        <w:ind w:left="1440" w:right="1440"/>
        <w:rPr>
          <w:sz w:val="26"/>
          <w:szCs w:val="24"/>
        </w:rPr>
      </w:pPr>
      <w:r w:rsidRPr="009250D3">
        <w:rPr>
          <w:sz w:val="26"/>
          <w:szCs w:val="24"/>
        </w:rPr>
        <w:t>Upon the application of any proposed public utility and the approval of such application by the commission evidenced by its certificate of public convenience first had and obtained, it shall be lawful for any such proposed public utility to begin to offer, render, furnish, or supply service within this Commonwealth.</w:t>
      </w:r>
    </w:p>
    <w:p w:rsidR="009250D3" w:rsidRPr="009250D3" w:rsidRDefault="009250D3" w:rsidP="009250D3">
      <w:pPr>
        <w:widowControl/>
        <w:spacing w:line="360" w:lineRule="auto"/>
        <w:rPr>
          <w:sz w:val="26"/>
          <w:szCs w:val="26"/>
        </w:rPr>
      </w:pPr>
    </w:p>
    <w:p w:rsidR="009250D3" w:rsidRPr="009250D3" w:rsidRDefault="009250D3" w:rsidP="009250D3">
      <w:pPr>
        <w:widowControl/>
        <w:spacing w:line="360" w:lineRule="auto"/>
        <w:rPr>
          <w:sz w:val="26"/>
          <w:szCs w:val="26"/>
        </w:rPr>
      </w:pPr>
      <w:r w:rsidRPr="009250D3">
        <w:rPr>
          <w:sz w:val="26"/>
          <w:szCs w:val="26"/>
        </w:rPr>
        <w:t>66 Pa. C.S. § 1101.  The Code defines a “public utility” to include a person or entity that transports passengers as a common carrier.  66 Pa. C.S. § 102.  Section 102 of the Code defines a “common carrier” as follows:</w:t>
      </w:r>
    </w:p>
    <w:p w:rsidR="009250D3" w:rsidRPr="009250D3" w:rsidRDefault="009250D3" w:rsidP="009250D3">
      <w:pPr>
        <w:widowControl/>
        <w:spacing w:line="360" w:lineRule="auto"/>
        <w:rPr>
          <w:sz w:val="26"/>
          <w:szCs w:val="26"/>
        </w:rPr>
      </w:pPr>
    </w:p>
    <w:p w:rsidR="009250D3" w:rsidRPr="009250D3" w:rsidRDefault="009250D3" w:rsidP="009250D3">
      <w:pPr>
        <w:widowControl/>
        <w:ind w:left="1440" w:right="1440"/>
        <w:rPr>
          <w:sz w:val="26"/>
          <w:szCs w:val="24"/>
        </w:rPr>
      </w:pPr>
      <w:r w:rsidRPr="009250D3">
        <w:rPr>
          <w:bCs/>
          <w:sz w:val="26"/>
          <w:szCs w:val="24"/>
        </w:rPr>
        <w:t>“Common carrier.”</w:t>
      </w:r>
      <w:r w:rsidRPr="009250D3">
        <w:rPr>
          <w:sz w:val="26"/>
          <w:szCs w:val="24"/>
        </w:rPr>
        <w:t xml:space="preserve">  Any and all persons or corporations holding out, offering, or undertaking, directly or indirectly, service for compensation to the public for the transportation of passengers or property, or both, or any class of passengers or property, between points within this Commonwealth by, through, over, above, or under land, water, or air, and shall include forwarders, but shall not include contract carriers by motor vehicles, or brokers, or any bona fide cooperative association transporting property exclusively for the members of such association on a nonprofit basis.  The term does not </w:t>
      </w:r>
    </w:p>
    <w:p w:rsidR="009250D3" w:rsidRPr="009250D3" w:rsidRDefault="009250D3" w:rsidP="009250D3">
      <w:pPr>
        <w:keepNext/>
        <w:keepLines/>
        <w:widowControl/>
        <w:ind w:left="1440" w:right="1440"/>
        <w:rPr>
          <w:sz w:val="26"/>
          <w:szCs w:val="24"/>
        </w:rPr>
      </w:pPr>
      <w:r w:rsidRPr="009250D3">
        <w:rPr>
          <w:sz w:val="26"/>
          <w:szCs w:val="24"/>
        </w:rPr>
        <w:t>include a transportation network company or a transportation network company driver.</w:t>
      </w:r>
    </w:p>
    <w:p w:rsidR="009250D3" w:rsidRPr="009250D3" w:rsidRDefault="009250D3" w:rsidP="009250D3">
      <w:pPr>
        <w:keepNext/>
        <w:keepLines/>
        <w:widowControl/>
        <w:ind w:left="1440" w:right="1440"/>
        <w:rPr>
          <w:sz w:val="26"/>
          <w:szCs w:val="26"/>
        </w:rPr>
      </w:pPr>
    </w:p>
    <w:p w:rsidR="009250D3" w:rsidRPr="009250D3" w:rsidRDefault="009250D3" w:rsidP="009250D3">
      <w:pPr>
        <w:keepNext/>
        <w:keepLines/>
        <w:widowControl/>
        <w:ind w:left="1440" w:right="1440"/>
        <w:rPr>
          <w:sz w:val="26"/>
          <w:szCs w:val="26"/>
        </w:rPr>
      </w:pPr>
    </w:p>
    <w:p w:rsidR="009250D3" w:rsidRPr="009250D3" w:rsidRDefault="009250D3" w:rsidP="009250D3">
      <w:pPr>
        <w:keepNext/>
        <w:widowControl/>
        <w:spacing w:line="360" w:lineRule="auto"/>
        <w:rPr>
          <w:sz w:val="26"/>
          <w:szCs w:val="26"/>
        </w:rPr>
      </w:pPr>
      <w:r w:rsidRPr="009250D3">
        <w:rPr>
          <w:sz w:val="26"/>
          <w:szCs w:val="26"/>
        </w:rPr>
        <w:t>66 Pa. C.S. § 102.</w:t>
      </w:r>
    </w:p>
    <w:p w:rsidR="009250D3" w:rsidRPr="009250D3" w:rsidRDefault="009250D3" w:rsidP="009250D3">
      <w:pPr>
        <w:widowControl/>
        <w:spacing w:line="360" w:lineRule="auto"/>
        <w:rPr>
          <w:sz w:val="26"/>
          <w:szCs w:val="26"/>
        </w:rPr>
      </w:pPr>
    </w:p>
    <w:p w:rsidR="009250D3" w:rsidRDefault="009250D3" w:rsidP="009250D3">
      <w:pPr>
        <w:widowControl/>
        <w:spacing w:line="360" w:lineRule="auto"/>
        <w:rPr>
          <w:sz w:val="26"/>
          <w:szCs w:val="26"/>
        </w:rPr>
      </w:pPr>
      <w:r w:rsidRPr="009250D3">
        <w:rPr>
          <w:sz w:val="26"/>
          <w:szCs w:val="26"/>
        </w:rPr>
        <w:lastRenderedPageBreak/>
        <w:tab/>
      </w:r>
      <w:r w:rsidRPr="009250D3">
        <w:rPr>
          <w:sz w:val="26"/>
          <w:szCs w:val="26"/>
        </w:rPr>
        <w:tab/>
        <w:t xml:space="preserve">It is well settled that “indiscriminate holding out to the general public” as a common carrier is a violation of the Code.  </w:t>
      </w:r>
      <w:r w:rsidR="00E15D7C">
        <w:rPr>
          <w:i/>
          <w:sz w:val="26"/>
          <w:szCs w:val="26"/>
        </w:rPr>
        <w:t xml:space="preserve">Commonwealth v. </w:t>
      </w:r>
      <w:r w:rsidRPr="009250D3">
        <w:rPr>
          <w:i/>
          <w:sz w:val="26"/>
          <w:szCs w:val="26"/>
        </w:rPr>
        <w:t>Babb</w:t>
      </w:r>
      <w:r w:rsidRPr="009250D3">
        <w:rPr>
          <w:sz w:val="26"/>
          <w:szCs w:val="26"/>
        </w:rPr>
        <w:t>,</w:t>
      </w:r>
      <w:r w:rsidRPr="009250D3">
        <w:rPr>
          <w:i/>
          <w:sz w:val="26"/>
          <w:szCs w:val="26"/>
        </w:rPr>
        <w:t xml:space="preserve"> </w:t>
      </w:r>
      <w:r w:rsidRPr="009250D3">
        <w:rPr>
          <w:sz w:val="26"/>
          <w:szCs w:val="26"/>
        </w:rPr>
        <w:t xml:space="preserve">70 A.2d </w:t>
      </w:r>
      <w:r w:rsidR="00E15D7C">
        <w:rPr>
          <w:sz w:val="26"/>
          <w:szCs w:val="26"/>
        </w:rPr>
        <w:t xml:space="preserve">660, </w:t>
      </w:r>
      <w:r w:rsidRPr="009250D3">
        <w:rPr>
          <w:sz w:val="26"/>
          <w:szCs w:val="26"/>
        </w:rPr>
        <w:t>602</w:t>
      </w:r>
      <w:r w:rsidR="00E15D7C">
        <w:rPr>
          <w:sz w:val="26"/>
          <w:szCs w:val="26"/>
        </w:rPr>
        <w:t xml:space="preserve"> (Pa. Super. 1950) (</w:t>
      </w:r>
      <w:r w:rsidR="00E15D7C">
        <w:rPr>
          <w:i/>
          <w:sz w:val="26"/>
          <w:szCs w:val="26"/>
        </w:rPr>
        <w:t>Babb</w:t>
      </w:r>
      <w:r w:rsidR="00E15D7C">
        <w:rPr>
          <w:sz w:val="26"/>
          <w:szCs w:val="26"/>
        </w:rPr>
        <w:t>)</w:t>
      </w:r>
      <w:r w:rsidR="00DD331A">
        <w:rPr>
          <w:sz w:val="26"/>
          <w:szCs w:val="26"/>
        </w:rPr>
        <w:t>;</w:t>
      </w:r>
      <w:r w:rsidRPr="009250D3">
        <w:rPr>
          <w:sz w:val="26"/>
          <w:szCs w:val="26"/>
        </w:rPr>
        <w:t xml:space="preserve"> </w:t>
      </w:r>
      <w:r w:rsidRPr="009250D3">
        <w:rPr>
          <w:i/>
          <w:sz w:val="26"/>
          <w:szCs w:val="26"/>
        </w:rPr>
        <w:t>see also, Application of Moselle Morris</w:t>
      </w:r>
      <w:r w:rsidRPr="009250D3">
        <w:rPr>
          <w:sz w:val="26"/>
          <w:szCs w:val="26"/>
        </w:rPr>
        <w:t xml:space="preserve">, Docket No. A-2009-2098317 (Final Order entered December 3, 2009).  The Commission has found that the holding out to provide passenger transportation service without first obtaining a Certificate from the Commission is a violation of Section 1101 of the Code, even when there is no evidence that the transportation service was actually rendered or that compensation was received for such service.  </w:t>
      </w:r>
      <w:r w:rsidRPr="009250D3">
        <w:rPr>
          <w:i/>
          <w:sz w:val="26"/>
          <w:szCs w:val="26"/>
        </w:rPr>
        <w:t>See Pa. Pub. Util. Comm’n v. Applegate</w:t>
      </w:r>
      <w:r w:rsidRPr="009250D3">
        <w:rPr>
          <w:sz w:val="26"/>
          <w:szCs w:val="26"/>
        </w:rPr>
        <w:t xml:space="preserve">, Docket No. C-2015-2451749 (Final Order entered May 23, 2016) and </w:t>
      </w:r>
      <w:r w:rsidRPr="009250D3">
        <w:rPr>
          <w:i/>
          <w:sz w:val="26"/>
          <w:szCs w:val="26"/>
        </w:rPr>
        <w:t>Pa. Pub. Util. Comm’n v. Cintron</w:t>
      </w:r>
      <w:r w:rsidRPr="009250D3">
        <w:rPr>
          <w:sz w:val="26"/>
          <w:szCs w:val="26"/>
        </w:rPr>
        <w:t xml:space="preserve">, Docket No. C-2015-2473286 (Final Order entered February 1, 2016).  Additionally, it is not necessary for an entity to charge a specific fee or even ask for compensation for the Commission to conclude that the entity operated as a common carrier without a Certificate.  </w:t>
      </w:r>
      <w:r w:rsidRPr="009250D3">
        <w:rPr>
          <w:i/>
          <w:sz w:val="26"/>
          <w:szCs w:val="26"/>
        </w:rPr>
        <w:t xml:space="preserve">Babb, </w:t>
      </w:r>
      <w:r w:rsidRPr="009250D3">
        <w:rPr>
          <w:sz w:val="26"/>
          <w:szCs w:val="26"/>
        </w:rPr>
        <w:t>70 A.2d at 663.</w:t>
      </w:r>
    </w:p>
    <w:p w:rsidR="009250D3" w:rsidRDefault="009250D3" w:rsidP="009250D3">
      <w:pPr>
        <w:widowControl/>
        <w:spacing w:line="360" w:lineRule="auto"/>
        <w:rPr>
          <w:sz w:val="26"/>
          <w:szCs w:val="26"/>
        </w:rPr>
      </w:pPr>
    </w:p>
    <w:p w:rsidR="005B3EB6" w:rsidRDefault="009250D3" w:rsidP="005B3EB6">
      <w:pPr>
        <w:widowControl/>
        <w:spacing w:line="360" w:lineRule="auto"/>
        <w:rPr>
          <w:sz w:val="26"/>
          <w:szCs w:val="26"/>
        </w:rPr>
      </w:pPr>
      <w:r>
        <w:rPr>
          <w:sz w:val="26"/>
          <w:szCs w:val="26"/>
        </w:rPr>
        <w:tab/>
      </w:r>
      <w:r>
        <w:rPr>
          <w:sz w:val="26"/>
          <w:szCs w:val="26"/>
        </w:rPr>
        <w:tab/>
      </w:r>
      <w:r w:rsidR="005B3EB6">
        <w:rPr>
          <w:sz w:val="26"/>
          <w:szCs w:val="26"/>
        </w:rPr>
        <w:t>I&amp;E’s Amended Complaint averred that the Respondent held himself out to provide passenger service between points in Pennsylvania while not having operating authority with the Commission, as evidenced by an illuminated taxi dome light affixed to the roof of his vehicle.  The Respondent did not file an Answer to the Amended Complaint.</w:t>
      </w:r>
    </w:p>
    <w:p w:rsidR="005B3EB6" w:rsidRDefault="005B3EB6" w:rsidP="009250D3">
      <w:pPr>
        <w:widowControl/>
        <w:spacing w:line="360" w:lineRule="auto"/>
        <w:rPr>
          <w:sz w:val="26"/>
          <w:szCs w:val="26"/>
        </w:rPr>
      </w:pPr>
    </w:p>
    <w:p w:rsidR="005B3EB6" w:rsidRDefault="005B3EB6" w:rsidP="009250D3">
      <w:pPr>
        <w:widowControl/>
        <w:spacing w:line="360" w:lineRule="auto"/>
        <w:rPr>
          <w:sz w:val="26"/>
          <w:szCs w:val="26"/>
        </w:rPr>
      </w:pPr>
      <w:r>
        <w:rPr>
          <w:sz w:val="26"/>
          <w:szCs w:val="26"/>
        </w:rPr>
        <w:tab/>
      </w:r>
      <w:r>
        <w:rPr>
          <w:sz w:val="26"/>
          <w:szCs w:val="26"/>
        </w:rPr>
        <w:tab/>
        <w:t xml:space="preserve">Pursuant to Section 5.61(c) of our Regulations, 52 Pa. Code § 5.61(c), a Respondent who fails to file an Answer within the twenty-day response period may be deemed in default, and the relevant facts stated in the Amended Complaint may be deemed admitted.  The Commonwealth Court has upheld our authority to sustain complaints that are not answered within twenty days.  </w:t>
      </w:r>
      <w:r>
        <w:rPr>
          <w:i/>
          <w:sz w:val="26"/>
          <w:szCs w:val="26"/>
        </w:rPr>
        <w:t>See Fusaro v. Pa. PUC</w:t>
      </w:r>
      <w:r>
        <w:rPr>
          <w:sz w:val="26"/>
          <w:szCs w:val="26"/>
        </w:rPr>
        <w:t xml:space="preserve">, 382 A.2d 794, 797 (Pa. Cmwlth. 1978).  The Respondent was provided with adequate notice of the alleged violations against it and had the opportunity to respond and to request a hearing.  The Respondent was also clearly advised that if </w:t>
      </w:r>
      <w:r w:rsidR="00CB510C">
        <w:rPr>
          <w:sz w:val="26"/>
          <w:szCs w:val="26"/>
        </w:rPr>
        <w:t>he</w:t>
      </w:r>
      <w:r>
        <w:rPr>
          <w:sz w:val="26"/>
          <w:szCs w:val="26"/>
        </w:rPr>
        <w:t xml:space="preserve"> did not file an Answer within twenty days, then I&amp;E would request that we issue an Order imposing the penalties set forth in </w:t>
      </w:r>
      <w:r>
        <w:rPr>
          <w:sz w:val="26"/>
          <w:szCs w:val="26"/>
        </w:rPr>
        <w:lastRenderedPageBreak/>
        <w:t xml:space="preserve">the Amended Complaint.  By not filing an Answer, the Respondent has admitted the allegations set forth in the Amended Complaint.  </w:t>
      </w:r>
      <w:r w:rsidRPr="00293603">
        <w:rPr>
          <w:i/>
          <w:sz w:val="26"/>
          <w:szCs w:val="26"/>
        </w:rPr>
        <w:t>See Hickory Hollow Farms c/o Lamar Harnish v. Liberty Power Holdings LLC and United Energy Alliance LLC</w:t>
      </w:r>
      <w:r>
        <w:rPr>
          <w:sz w:val="26"/>
          <w:szCs w:val="26"/>
        </w:rPr>
        <w:t>, Docket No. C-2016-2559494 (Initial Decision issued July 5, 2017; Final Order entered August 31, 2017).</w:t>
      </w:r>
    </w:p>
    <w:p w:rsidR="005B3EB6" w:rsidRDefault="005B3EB6" w:rsidP="009250D3">
      <w:pPr>
        <w:widowControl/>
        <w:spacing w:line="360" w:lineRule="auto"/>
        <w:rPr>
          <w:sz w:val="26"/>
          <w:szCs w:val="26"/>
        </w:rPr>
      </w:pPr>
    </w:p>
    <w:p w:rsidR="009250D3" w:rsidRDefault="005B3EB6" w:rsidP="009250D3">
      <w:pPr>
        <w:widowControl/>
        <w:spacing w:line="360" w:lineRule="auto"/>
        <w:rPr>
          <w:sz w:val="26"/>
          <w:szCs w:val="26"/>
        </w:rPr>
      </w:pPr>
      <w:r>
        <w:rPr>
          <w:sz w:val="26"/>
          <w:szCs w:val="26"/>
        </w:rPr>
        <w:tab/>
      </w:r>
      <w:r>
        <w:rPr>
          <w:sz w:val="26"/>
          <w:szCs w:val="26"/>
        </w:rPr>
        <w:tab/>
        <w:t xml:space="preserve">As set forth in the Amended Complaint, </w:t>
      </w:r>
      <w:r w:rsidR="009250D3" w:rsidRPr="009250D3">
        <w:rPr>
          <w:sz w:val="26"/>
          <w:szCs w:val="26"/>
        </w:rPr>
        <w:t>the Respondent held himself out as a call and demand carrier</w:t>
      </w:r>
      <w:r w:rsidR="00A77B8C">
        <w:rPr>
          <w:sz w:val="26"/>
          <w:szCs w:val="26"/>
        </w:rPr>
        <w:t>,</w:t>
      </w:r>
      <w:r w:rsidR="009250D3" w:rsidRPr="009250D3">
        <w:rPr>
          <w:sz w:val="26"/>
          <w:szCs w:val="26"/>
        </w:rPr>
        <w:t xml:space="preserve"> without a Certificate</w:t>
      </w:r>
      <w:r w:rsidR="00A77B8C">
        <w:rPr>
          <w:sz w:val="26"/>
          <w:szCs w:val="26"/>
        </w:rPr>
        <w:t>,</w:t>
      </w:r>
      <w:r w:rsidR="009250D3" w:rsidRPr="009250D3">
        <w:rPr>
          <w:sz w:val="26"/>
          <w:szCs w:val="26"/>
        </w:rPr>
        <w:t xml:space="preserve"> in violation of Section 1101 of the Code.  </w:t>
      </w:r>
      <w:r w:rsidR="00B26A9D">
        <w:rPr>
          <w:sz w:val="26"/>
          <w:szCs w:val="26"/>
        </w:rPr>
        <w:t xml:space="preserve">On </w:t>
      </w:r>
      <w:r w:rsidR="00977958">
        <w:rPr>
          <w:sz w:val="26"/>
          <w:szCs w:val="26"/>
        </w:rPr>
        <w:t>May 6, 2016, at 10:31 p.m., and on May 7, 2016, at 12:06 a.m.</w:t>
      </w:r>
      <w:r w:rsidR="00B26A9D">
        <w:rPr>
          <w:sz w:val="26"/>
          <w:szCs w:val="26"/>
        </w:rPr>
        <w:t>, I&amp;E Motor Carrier Enforcement Officers</w:t>
      </w:r>
      <w:r w:rsidR="00DB675D">
        <w:rPr>
          <w:sz w:val="26"/>
          <w:szCs w:val="26"/>
        </w:rPr>
        <w:t xml:space="preserve"> (Enforcement Officers)</w:t>
      </w:r>
      <w:r w:rsidR="00B26A9D">
        <w:rPr>
          <w:sz w:val="26"/>
          <w:szCs w:val="26"/>
        </w:rPr>
        <w:t xml:space="preserve"> </w:t>
      </w:r>
      <w:r w:rsidR="009250D3" w:rsidRPr="009250D3">
        <w:rPr>
          <w:sz w:val="26"/>
          <w:szCs w:val="26"/>
        </w:rPr>
        <w:t xml:space="preserve">observed an “illuminated” dome light on the roof of the Respondent’s </w:t>
      </w:r>
      <w:r w:rsidR="00977958">
        <w:rPr>
          <w:sz w:val="26"/>
          <w:szCs w:val="26"/>
        </w:rPr>
        <w:t xml:space="preserve">2006 Lexus sedan operating </w:t>
      </w:r>
      <w:r w:rsidR="009250D3" w:rsidRPr="009250D3">
        <w:rPr>
          <w:sz w:val="26"/>
          <w:szCs w:val="26"/>
        </w:rPr>
        <w:t>on Carson Street</w:t>
      </w:r>
      <w:r w:rsidR="00977958">
        <w:rPr>
          <w:sz w:val="26"/>
          <w:szCs w:val="26"/>
        </w:rPr>
        <w:t>.  The dome light was illuminated and the word “TAXI” appear</w:t>
      </w:r>
      <w:r>
        <w:rPr>
          <w:sz w:val="26"/>
          <w:szCs w:val="26"/>
        </w:rPr>
        <w:t>ed</w:t>
      </w:r>
      <w:r w:rsidR="00977958">
        <w:rPr>
          <w:sz w:val="26"/>
          <w:szCs w:val="26"/>
        </w:rPr>
        <w:t xml:space="preserve"> on the light.  The </w:t>
      </w:r>
      <w:r w:rsidR="00DB675D">
        <w:rPr>
          <w:sz w:val="26"/>
          <w:szCs w:val="26"/>
        </w:rPr>
        <w:t>Enforcement O</w:t>
      </w:r>
      <w:r w:rsidR="00977958">
        <w:rPr>
          <w:sz w:val="26"/>
          <w:szCs w:val="26"/>
        </w:rPr>
        <w:t>fficers took photographs of the vehicle with the illuminated dome light.</w:t>
      </w:r>
      <w:r w:rsidR="009250D3" w:rsidRPr="009250D3">
        <w:rPr>
          <w:sz w:val="26"/>
          <w:szCs w:val="26"/>
        </w:rPr>
        <w:t xml:space="preserve">  </w:t>
      </w:r>
      <w:r>
        <w:rPr>
          <w:sz w:val="26"/>
          <w:szCs w:val="26"/>
        </w:rPr>
        <w:t>Amended Complaint at 3</w:t>
      </w:r>
      <w:r w:rsidR="009250D3" w:rsidRPr="009250D3">
        <w:rPr>
          <w:sz w:val="26"/>
          <w:szCs w:val="26"/>
        </w:rPr>
        <w:t xml:space="preserve">.  </w:t>
      </w:r>
      <w:r w:rsidR="00A77B8C">
        <w:rPr>
          <w:sz w:val="26"/>
          <w:szCs w:val="26"/>
        </w:rPr>
        <w:t xml:space="preserve">The photographs included as Exhibit 1 in I&amp;E’s Amended Complaint clearly show the Respondent’s car with an illuminated “TAXI” dome light.  </w:t>
      </w:r>
      <w:r w:rsidR="009250D3" w:rsidRPr="009250D3">
        <w:rPr>
          <w:sz w:val="26"/>
          <w:szCs w:val="26"/>
        </w:rPr>
        <w:t xml:space="preserve">Based </w:t>
      </w:r>
      <w:r>
        <w:rPr>
          <w:sz w:val="26"/>
          <w:szCs w:val="26"/>
        </w:rPr>
        <w:t>on these allegations which we deem to be admitted</w:t>
      </w:r>
      <w:r w:rsidR="009250D3" w:rsidRPr="009250D3">
        <w:rPr>
          <w:sz w:val="26"/>
          <w:szCs w:val="26"/>
        </w:rPr>
        <w:t xml:space="preserve">, we find that it is reasonable to conclude that the Respondent was not using </w:t>
      </w:r>
      <w:r w:rsidR="00A77B8C">
        <w:rPr>
          <w:sz w:val="26"/>
          <w:szCs w:val="26"/>
        </w:rPr>
        <w:t>the</w:t>
      </w:r>
      <w:r w:rsidR="009250D3" w:rsidRPr="009250D3">
        <w:rPr>
          <w:sz w:val="26"/>
          <w:szCs w:val="26"/>
        </w:rPr>
        <w:t xml:space="preserve"> illuminated “taxi sign” for any other purpose but to solicit uncertificated call and demand service.</w:t>
      </w:r>
      <w:r>
        <w:rPr>
          <w:sz w:val="26"/>
          <w:szCs w:val="26"/>
        </w:rPr>
        <w:t xml:space="preserve">  Under the circumstances in this case, we find that it is appropriate to sustain, in part, the Amended Complaint, pertaining to the violation of Section 1101 of the Code</w:t>
      </w:r>
      <w:r w:rsidR="00C25F59">
        <w:rPr>
          <w:sz w:val="26"/>
          <w:szCs w:val="26"/>
        </w:rPr>
        <w:t>.</w:t>
      </w:r>
    </w:p>
    <w:p w:rsidR="00C25F59" w:rsidRDefault="00C25F59" w:rsidP="009250D3">
      <w:pPr>
        <w:widowControl/>
        <w:spacing w:line="360" w:lineRule="auto"/>
        <w:rPr>
          <w:sz w:val="26"/>
          <w:szCs w:val="26"/>
        </w:rPr>
      </w:pPr>
    </w:p>
    <w:p w:rsidR="00C25F59" w:rsidRDefault="00114C9A" w:rsidP="009250D3">
      <w:pPr>
        <w:widowControl/>
        <w:spacing w:line="360" w:lineRule="auto"/>
        <w:rPr>
          <w:sz w:val="26"/>
          <w:szCs w:val="26"/>
        </w:rPr>
      </w:pPr>
      <w:r>
        <w:rPr>
          <w:sz w:val="26"/>
          <w:szCs w:val="26"/>
        </w:rPr>
        <w:tab/>
      </w:r>
      <w:r>
        <w:rPr>
          <w:sz w:val="26"/>
          <w:szCs w:val="26"/>
        </w:rPr>
        <w:tab/>
        <w:t xml:space="preserve">We shall </w:t>
      </w:r>
      <w:r w:rsidR="00962C8F">
        <w:rPr>
          <w:sz w:val="26"/>
          <w:szCs w:val="26"/>
        </w:rPr>
        <w:t xml:space="preserve">also </w:t>
      </w:r>
      <w:r>
        <w:rPr>
          <w:sz w:val="26"/>
          <w:szCs w:val="26"/>
        </w:rPr>
        <w:t xml:space="preserve">consider that the Respondent violated Section 175.66(h) of PennDOT’s regulations.  In </w:t>
      </w:r>
      <w:r>
        <w:rPr>
          <w:i/>
          <w:sz w:val="26"/>
          <w:szCs w:val="26"/>
        </w:rPr>
        <w:t>Yellow Cab,</w:t>
      </w:r>
      <w:r>
        <w:rPr>
          <w:sz w:val="26"/>
          <w:szCs w:val="26"/>
        </w:rPr>
        <w:t xml:space="preserve"> the Commonwealth Court explained that the Code assigns to the Commission the authority and duty to regulate taxicab services for safety.  786 A.2d at 292.  The court continued that his authority creates an overlap with PennDOT’s authority under the Vehicle Code, 75 Pa. C.S. §§ 101, </w:t>
      </w:r>
      <w:r>
        <w:rPr>
          <w:i/>
          <w:sz w:val="26"/>
          <w:szCs w:val="26"/>
        </w:rPr>
        <w:t>et seq.,</w:t>
      </w:r>
      <w:r>
        <w:rPr>
          <w:sz w:val="26"/>
          <w:szCs w:val="26"/>
        </w:rPr>
        <w:t xml:space="preserve"> but that such an overlap does not divest the Commission of its statutory duty or authority.  </w:t>
      </w:r>
      <w:r>
        <w:rPr>
          <w:i/>
          <w:sz w:val="26"/>
          <w:szCs w:val="26"/>
        </w:rPr>
        <w:t xml:space="preserve">Id. </w:t>
      </w:r>
      <w:r>
        <w:rPr>
          <w:sz w:val="26"/>
          <w:szCs w:val="26"/>
        </w:rPr>
        <w:t xml:space="preserve"> </w:t>
      </w:r>
      <w:r>
        <w:rPr>
          <w:sz w:val="26"/>
          <w:szCs w:val="26"/>
        </w:rPr>
        <w:lastRenderedPageBreak/>
        <w:t>Referencing Section 29.402(1) of our Regulations,</w:t>
      </w:r>
      <w:r>
        <w:rPr>
          <w:rStyle w:val="FootnoteReference"/>
          <w:sz w:val="26"/>
          <w:szCs w:val="26"/>
        </w:rPr>
        <w:footnoteReference w:id="2"/>
      </w:r>
      <w:r w:rsidR="00962C8F">
        <w:rPr>
          <w:sz w:val="26"/>
          <w:szCs w:val="26"/>
        </w:rPr>
        <w:t xml:space="preserve"> the court noted that our “decision to incorporate [PennDOT] regulations in an area where the two agencies possess overlapping authority is in no way inappropriate.  Rather such harmonization is salutary.”  </w:t>
      </w:r>
      <w:r w:rsidR="00962C8F">
        <w:rPr>
          <w:i/>
          <w:sz w:val="26"/>
          <w:szCs w:val="26"/>
        </w:rPr>
        <w:t xml:space="preserve">Id. </w:t>
      </w:r>
      <w:r w:rsidR="00962C8F">
        <w:rPr>
          <w:sz w:val="26"/>
          <w:szCs w:val="26"/>
        </w:rPr>
        <w:t>at 293.</w:t>
      </w:r>
    </w:p>
    <w:p w:rsidR="00962C8F" w:rsidRDefault="00962C8F" w:rsidP="009250D3">
      <w:pPr>
        <w:widowControl/>
        <w:spacing w:line="360" w:lineRule="auto"/>
        <w:rPr>
          <w:sz w:val="26"/>
          <w:szCs w:val="26"/>
        </w:rPr>
      </w:pPr>
    </w:p>
    <w:p w:rsidR="00962C8F" w:rsidRPr="00962C8F" w:rsidRDefault="00962C8F" w:rsidP="009250D3">
      <w:pPr>
        <w:widowControl/>
        <w:spacing w:line="360" w:lineRule="auto"/>
        <w:rPr>
          <w:sz w:val="26"/>
          <w:szCs w:val="26"/>
        </w:rPr>
      </w:pPr>
      <w:r>
        <w:rPr>
          <w:sz w:val="26"/>
          <w:szCs w:val="26"/>
        </w:rPr>
        <w:tab/>
      </w:r>
      <w:r>
        <w:rPr>
          <w:sz w:val="26"/>
          <w:szCs w:val="26"/>
        </w:rPr>
        <w:tab/>
        <w:t>Accordingly, we find that the Commission retains the independent authority to enforce PennDOT’s regulations which overlap with the Commission’s authority and duty to regulate taxicab services for safety.  Thus,</w:t>
      </w:r>
      <w:r w:rsidR="000146EC">
        <w:rPr>
          <w:sz w:val="26"/>
          <w:szCs w:val="26"/>
        </w:rPr>
        <w:t xml:space="preserve"> we find it appropriate to sustain, in part, the Amended Complaint, pertaining to the violation of </w:t>
      </w:r>
      <w:r w:rsidR="002C254C">
        <w:rPr>
          <w:sz w:val="26"/>
          <w:szCs w:val="26"/>
        </w:rPr>
        <w:t>52 Pa. Code § 29.402(1) and 67 Pa. Code §</w:t>
      </w:r>
      <w:r w:rsidR="00985C17">
        <w:rPr>
          <w:sz w:val="26"/>
          <w:szCs w:val="26"/>
        </w:rPr>
        <w:t xml:space="preserve"> 175.66(h).</w:t>
      </w:r>
    </w:p>
    <w:p w:rsidR="00A77B8C" w:rsidRDefault="00A77B8C" w:rsidP="009250D3">
      <w:pPr>
        <w:widowControl/>
        <w:spacing w:line="360" w:lineRule="auto"/>
        <w:rPr>
          <w:sz w:val="26"/>
          <w:szCs w:val="26"/>
        </w:rPr>
      </w:pPr>
    </w:p>
    <w:p w:rsidR="00A77B8C" w:rsidRPr="00A77B8C" w:rsidRDefault="00A77B8C" w:rsidP="00A77B8C">
      <w:pPr>
        <w:widowControl/>
        <w:spacing w:line="360" w:lineRule="auto"/>
        <w:ind w:firstLine="1440"/>
        <w:rPr>
          <w:sz w:val="26"/>
          <w:szCs w:val="26"/>
        </w:rPr>
      </w:pPr>
      <w:r w:rsidRPr="00A77B8C">
        <w:rPr>
          <w:sz w:val="26"/>
          <w:szCs w:val="26"/>
        </w:rPr>
        <w:t>Because we have found that the Respondent held himself out as a call and demand carrier without a Certificate in violation of Section 1101 of the Code we must now determine whether the $1,000 civil penalty</w:t>
      </w:r>
      <w:r>
        <w:rPr>
          <w:sz w:val="26"/>
          <w:szCs w:val="26"/>
        </w:rPr>
        <w:t xml:space="preserve"> and suspension of Respondent’s vehicle registration</w:t>
      </w:r>
      <w:r w:rsidRPr="00A77B8C">
        <w:rPr>
          <w:sz w:val="26"/>
          <w:szCs w:val="26"/>
        </w:rPr>
        <w:t>, requested by I&amp;E for such violations, is appropriate.  Pursuant to 52 Pa. Code § 69.1201, the Commission adopted a Policy Statement setting forth the factors it will consider in evaluating litigated and settled proceedings involving violations of the Code, Commission Regulations, and/or Commission orders.  The ten factors warranting consideration of an appropriate civil penalty are as follows:</w:t>
      </w:r>
    </w:p>
    <w:p w:rsidR="00A77B8C" w:rsidRPr="00A77B8C" w:rsidRDefault="00A77B8C" w:rsidP="00A77B8C">
      <w:pPr>
        <w:widowControl/>
        <w:spacing w:before="100" w:beforeAutospacing="1" w:after="100" w:afterAutospacing="1"/>
        <w:ind w:left="1440" w:right="1440" w:firstLine="720"/>
        <w:rPr>
          <w:sz w:val="26"/>
          <w:szCs w:val="26"/>
        </w:rPr>
      </w:pPr>
      <w:bookmarkStart w:id="0" w:name="69.1201."/>
      <w:r w:rsidRPr="00A77B8C">
        <w:rPr>
          <w:sz w:val="26"/>
          <w:szCs w:val="26"/>
        </w:rPr>
        <w:t>(1)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A77B8C" w:rsidRPr="00A77B8C" w:rsidRDefault="00A77B8C" w:rsidP="00A77B8C">
      <w:pPr>
        <w:widowControl/>
        <w:spacing w:before="100" w:beforeAutospacing="1" w:after="100" w:afterAutospacing="1"/>
        <w:ind w:left="1440" w:right="1440" w:firstLine="720"/>
        <w:rPr>
          <w:sz w:val="26"/>
          <w:szCs w:val="26"/>
        </w:rPr>
      </w:pPr>
      <w:r w:rsidRPr="00A77B8C">
        <w:rPr>
          <w:sz w:val="26"/>
          <w:szCs w:val="26"/>
        </w:rPr>
        <w:t xml:space="preserve">(2)  Whether the resulting consequences of the conduct at issue were of a serious nature.  When consequences of a </w:t>
      </w:r>
      <w:r w:rsidRPr="00A77B8C">
        <w:rPr>
          <w:sz w:val="26"/>
          <w:szCs w:val="26"/>
        </w:rPr>
        <w:lastRenderedPageBreak/>
        <w:t xml:space="preserve">serious nature are involved, such as personal injury or property damage, the consequences may warrant a higher penalty. </w:t>
      </w:r>
    </w:p>
    <w:p w:rsidR="00A77B8C" w:rsidRPr="00A77B8C" w:rsidRDefault="00A77B8C" w:rsidP="00A77B8C">
      <w:pPr>
        <w:widowControl/>
        <w:spacing w:before="100" w:beforeAutospacing="1" w:after="100" w:afterAutospacing="1"/>
        <w:ind w:left="1440" w:right="1440" w:firstLine="720"/>
        <w:rPr>
          <w:sz w:val="26"/>
          <w:szCs w:val="26"/>
        </w:rPr>
      </w:pPr>
      <w:r w:rsidRPr="00A77B8C">
        <w:rPr>
          <w:sz w:val="26"/>
          <w:szCs w:val="26"/>
        </w:rPr>
        <w:t xml:space="preserve">(3)  Whether the conduct at issue was deemed intentional or negligent.  This factor may only be considered in evaluating litigated cases.  When conduct has been deemed intentional, the conduct may result in a higher penalty. </w:t>
      </w:r>
    </w:p>
    <w:p w:rsidR="00A77B8C" w:rsidRPr="00A77B8C" w:rsidRDefault="00A77B8C" w:rsidP="00A77B8C">
      <w:pPr>
        <w:widowControl/>
        <w:spacing w:before="100" w:beforeAutospacing="1" w:after="100" w:afterAutospacing="1"/>
        <w:ind w:left="1440" w:right="1440" w:firstLine="720"/>
        <w:rPr>
          <w:sz w:val="26"/>
          <w:szCs w:val="26"/>
        </w:rPr>
      </w:pPr>
      <w:r w:rsidRPr="00A77B8C">
        <w:rPr>
          <w:sz w:val="26"/>
          <w:szCs w:val="26"/>
        </w:rPr>
        <w:t>(4)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A77B8C" w:rsidRPr="00A77B8C" w:rsidRDefault="00A77B8C" w:rsidP="00A77B8C">
      <w:pPr>
        <w:widowControl/>
        <w:spacing w:before="100" w:beforeAutospacing="1" w:after="100" w:afterAutospacing="1"/>
        <w:ind w:left="1440" w:right="1440" w:firstLine="720"/>
        <w:rPr>
          <w:sz w:val="26"/>
          <w:szCs w:val="26"/>
        </w:rPr>
      </w:pPr>
      <w:r w:rsidRPr="00A77B8C">
        <w:rPr>
          <w:sz w:val="26"/>
          <w:szCs w:val="26"/>
        </w:rPr>
        <w:t>(5)  The number of customers affected and the duration of the violation.</w:t>
      </w:r>
    </w:p>
    <w:p w:rsidR="00A77B8C" w:rsidRPr="00A77B8C" w:rsidRDefault="00A77B8C" w:rsidP="00A77B8C">
      <w:pPr>
        <w:widowControl/>
        <w:spacing w:before="100" w:beforeAutospacing="1" w:after="100" w:afterAutospacing="1"/>
        <w:ind w:left="1440" w:right="1440" w:firstLine="720"/>
        <w:rPr>
          <w:sz w:val="26"/>
          <w:szCs w:val="26"/>
        </w:rPr>
      </w:pPr>
      <w:r w:rsidRPr="00A77B8C">
        <w:rPr>
          <w:sz w:val="26"/>
          <w:szCs w:val="26"/>
        </w:rPr>
        <w:t>(6)  The compliance history of the regulated entity which committed the violation.  An isolated incident from an otherwise compliant utility may result in a lower penalty, whereas frequent, recurrent violations by a utility may result in a higher penalty.</w:t>
      </w:r>
    </w:p>
    <w:p w:rsidR="00A77B8C" w:rsidRPr="00A77B8C" w:rsidRDefault="00A77B8C" w:rsidP="00A77B8C">
      <w:pPr>
        <w:widowControl/>
        <w:spacing w:before="100" w:beforeAutospacing="1" w:after="100" w:afterAutospacing="1"/>
        <w:ind w:left="1440" w:right="1440" w:firstLine="720"/>
        <w:rPr>
          <w:sz w:val="26"/>
          <w:szCs w:val="26"/>
        </w:rPr>
      </w:pPr>
      <w:r w:rsidRPr="00A77B8C">
        <w:rPr>
          <w:sz w:val="26"/>
          <w:szCs w:val="26"/>
        </w:rPr>
        <w:t xml:space="preserve">(7)  Whether the regulated entity cooperated with the Commission’s investigation.  Facts establishing bad faith, active concealment of violations, or attempts to interfere with Commission investigations may result in a higher penalty. </w:t>
      </w:r>
    </w:p>
    <w:p w:rsidR="00A77B8C" w:rsidRPr="00A77B8C" w:rsidRDefault="00A77B8C" w:rsidP="00A77B8C">
      <w:pPr>
        <w:widowControl/>
        <w:spacing w:before="100" w:beforeAutospacing="1" w:after="100" w:afterAutospacing="1"/>
        <w:ind w:left="1440" w:right="1440" w:firstLine="720"/>
        <w:rPr>
          <w:sz w:val="26"/>
          <w:szCs w:val="26"/>
        </w:rPr>
      </w:pPr>
      <w:r w:rsidRPr="00A77B8C">
        <w:rPr>
          <w:sz w:val="26"/>
          <w:szCs w:val="26"/>
        </w:rPr>
        <w:t xml:space="preserve">(8)  The amount of the civil penalty or fine necessary to deter future violations.  The size of the utility may be considered to determine an appropriate penalty amount. </w:t>
      </w:r>
    </w:p>
    <w:p w:rsidR="00A77B8C" w:rsidRPr="00A77B8C" w:rsidRDefault="00A77B8C" w:rsidP="00A77B8C">
      <w:pPr>
        <w:keepNext/>
        <w:keepLines/>
        <w:widowControl/>
        <w:spacing w:before="100" w:beforeAutospacing="1" w:after="100" w:afterAutospacing="1"/>
        <w:ind w:left="1440" w:right="1440" w:firstLine="720"/>
        <w:rPr>
          <w:sz w:val="26"/>
          <w:szCs w:val="26"/>
        </w:rPr>
      </w:pPr>
      <w:r w:rsidRPr="00A77B8C">
        <w:rPr>
          <w:sz w:val="26"/>
          <w:szCs w:val="26"/>
        </w:rPr>
        <w:t xml:space="preserve">(9)  Past Commission decisions in similar situations. </w:t>
      </w:r>
    </w:p>
    <w:p w:rsidR="00A77B8C" w:rsidRPr="00A77B8C" w:rsidRDefault="00A77B8C" w:rsidP="00A77B8C">
      <w:pPr>
        <w:keepNext/>
        <w:keepLines/>
        <w:widowControl/>
        <w:ind w:left="1440" w:right="1440" w:firstLine="720"/>
        <w:rPr>
          <w:sz w:val="26"/>
          <w:szCs w:val="26"/>
        </w:rPr>
      </w:pPr>
      <w:r w:rsidRPr="00A77B8C">
        <w:rPr>
          <w:sz w:val="26"/>
          <w:szCs w:val="26"/>
        </w:rPr>
        <w:t>(10)  Other relevant factors.</w:t>
      </w:r>
    </w:p>
    <w:p w:rsidR="00A77B8C" w:rsidRPr="00A77B8C" w:rsidRDefault="00A77B8C" w:rsidP="00A77B8C">
      <w:pPr>
        <w:keepNext/>
        <w:keepLines/>
        <w:widowControl/>
        <w:ind w:left="1440" w:right="1440" w:firstLine="720"/>
        <w:rPr>
          <w:sz w:val="26"/>
          <w:szCs w:val="26"/>
        </w:rPr>
      </w:pPr>
    </w:p>
    <w:p w:rsidR="00A77B8C" w:rsidRPr="00A77B8C" w:rsidRDefault="00A77B8C" w:rsidP="00A77B8C">
      <w:pPr>
        <w:keepNext/>
        <w:keepLines/>
        <w:widowControl/>
        <w:ind w:left="1440" w:right="1440" w:firstLine="720"/>
        <w:rPr>
          <w:sz w:val="26"/>
          <w:szCs w:val="26"/>
        </w:rPr>
      </w:pPr>
    </w:p>
    <w:bookmarkEnd w:id="0"/>
    <w:p w:rsidR="00A77B8C" w:rsidRPr="00A77B8C" w:rsidRDefault="00A77B8C" w:rsidP="00A77B8C">
      <w:pPr>
        <w:widowControl/>
        <w:spacing w:line="360" w:lineRule="auto"/>
        <w:rPr>
          <w:sz w:val="26"/>
          <w:szCs w:val="26"/>
        </w:rPr>
      </w:pPr>
      <w:r w:rsidRPr="00A77B8C">
        <w:rPr>
          <w:sz w:val="26"/>
          <w:szCs w:val="26"/>
        </w:rPr>
        <w:t>52 Pa. Code § 69.1201(c).</w:t>
      </w:r>
    </w:p>
    <w:p w:rsidR="00A77B8C" w:rsidRPr="00A77B8C" w:rsidRDefault="00A77B8C" w:rsidP="00A77B8C">
      <w:pPr>
        <w:widowControl/>
        <w:spacing w:line="360" w:lineRule="auto"/>
        <w:ind w:firstLine="1440"/>
        <w:rPr>
          <w:sz w:val="26"/>
          <w:szCs w:val="26"/>
        </w:rPr>
      </w:pPr>
    </w:p>
    <w:p w:rsidR="00A77B8C" w:rsidRPr="00A77B8C" w:rsidRDefault="00A77B8C" w:rsidP="00A77B8C">
      <w:pPr>
        <w:widowControl/>
        <w:spacing w:line="360" w:lineRule="auto"/>
        <w:ind w:firstLine="1440"/>
        <w:rPr>
          <w:sz w:val="26"/>
          <w:szCs w:val="26"/>
        </w:rPr>
      </w:pPr>
      <w:r w:rsidRPr="00A77B8C">
        <w:rPr>
          <w:sz w:val="26"/>
          <w:szCs w:val="26"/>
        </w:rPr>
        <w:lastRenderedPageBreak/>
        <w:t xml:space="preserve">Regarding the first factor, related to whether the conduct at issue was of a serious nature, the Commission has held that “[t]he continued holding out of possessing authority to provide intrastate transportation services and providing these services, without possessing a certificate of public convenience, are </w:t>
      </w:r>
      <w:r w:rsidRPr="00A77B8C">
        <w:rPr>
          <w:i/>
          <w:sz w:val="26"/>
          <w:szCs w:val="26"/>
        </w:rPr>
        <w:t>unquestionably serious offenses</w:t>
      </w:r>
      <w:r w:rsidRPr="00A77B8C">
        <w:rPr>
          <w:sz w:val="26"/>
          <w:szCs w:val="26"/>
        </w:rPr>
        <w:t xml:space="preserve"> within our direct jurisdiction to penalize pursuant to the Code.”  </w:t>
      </w:r>
      <w:r w:rsidRPr="00A77B8C">
        <w:rPr>
          <w:i/>
          <w:sz w:val="26"/>
          <w:szCs w:val="26"/>
        </w:rPr>
        <w:t>Pa. Pub. Util. Comm’n v. Brungard</w:t>
      </w:r>
      <w:r w:rsidRPr="00A77B8C">
        <w:rPr>
          <w:sz w:val="26"/>
          <w:szCs w:val="26"/>
        </w:rPr>
        <w:t>, 97 Pa. P.U.C. 189 (Order entered June 3, 2002) (</w:t>
      </w:r>
      <w:r w:rsidRPr="00A77B8C">
        <w:rPr>
          <w:i/>
          <w:sz w:val="26"/>
          <w:szCs w:val="26"/>
        </w:rPr>
        <w:t>emphasis added</w:t>
      </w:r>
      <w:r w:rsidRPr="00A77B8C">
        <w:rPr>
          <w:sz w:val="26"/>
          <w:szCs w:val="26"/>
        </w:rPr>
        <w:t>).  In this case, we find that the Respondent’s conduct of offering uncertificated call and demand service was of a serious nature which warrants a greater penalty.</w:t>
      </w:r>
    </w:p>
    <w:p w:rsidR="00A77B8C" w:rsidRPr="00A77B8C" w:rsidRDefault="00A77B8C" w:rsidP="00A77B8C">
      <w:pPr>
        <w:widowControl/>
        <w:spacing w:line="360" w:lineRule="auto"/>
        <w:ind w:firstLine="1440"/>
        <w:rPr>
          <w:sz w:val="26"/>
          <w:szCs w:val="26"/>
        </w:rPr>
      </w:pPr>
    </w:p>
    <w:p w:rsidR="00A77B8C" w:rsidRPr="00A77B8C" w:rsidRDefault="00A77B8C" w:rsidP="00A77B8C">
      <w:pPr>
        <w:widowControl/>
        <w:spacing w:line="360" w:lineRule="auto"/>
        <w:ind w:firstLine="1440"/>
        <w:rPr>
          <w:sz w:val="26"/>
          <w:szCs w:val="26"/>
        </w:rPr>
      </w:pPr>
      <w:r w:rsidRPr="00A77B8C">
        <w:rPr>
          <w:sz w:val="26"/>
          <w:szCs w:val="26"/>
        </w:rPr>
        <w:t>In addressing the second factor, relating to the consequences of the conduct, we note that the Commission has the responsibility to ensure the safety of the travelling public.  Although there was no evidence of personal injury or property damage, the Respondent’s failure to obtain the required operating authority from the Commission prior to providing call and demand service deprived the Commission from fulfilling its duty to the public.  The Commission was unable to determine if the Respondent satisfied the regulatory standards for driver integrity, vehicle safety, or insurance adequacy requirements.  As such, we find that the risk to public safety which resulted from the Respondent’s offering of uncertificated call and demand service warrants a greater penalty.</w:t>
      </w:r>
    </w:p>
    <w:p w:rsidR="00A77B8C" w:rsidRPr="00A77B8C" w:rsidRDefault="00A77B8C" w:rsidP="00A77B8C">
      <w:pPr>
        <w:widowControl/>
        <w:spacing w:line="360" w:lineRule="auto"/>
        <w:ind w:firstLine="1440"/>
        <w:rPr>
          <w:sz w:val="26"/>
          <w:szCs w:val="26"/>
        </w:rPr>
      </w:pPr>
    </w:p>
    <w:p w:rsidR="00A77B8C" w:rsidRPr="00A77B8C" w:rsidRDefault="00A77B8C" w:rsidP="00A77B8C">
      <w:pPr>
        <w:widowControl/>
        <w:spacing w:line="360" w:lineRule="auto"/>
        <w:ind w:firstLine="1440"/>
        <w:rPr>
          <w:sz w:val="26"/>
          <w:szCs w:val="26"/>
        </w:rPr>
      </w:pPr>
      <w:r w:rsidRPr="00A77B8C">
        <w:rPr>
          <w:sz w:val="26"/>
          <w:szCs w:val="26"/>
        </w:rPr>
        <w:t>Under the third factor, which considers whether the conduct at issue was intentional or negligent, we note that the Respondent</w:t>
      </w:r>
      <w:r w:rsidR="000B3003">
        <w:rPr>
          <w:sz w:val="26"/>
          <w:szCs w:val="26"/>
        </w:rPr>
        <w:t>,</w:t>
      </w:r>
      <w:r w:rsidRPr="00A77B8C">
        <w:rPr>
          <w:sz w:val="26"/>
          <w:szCs w:val="26"/>
        </w:rPr>
        <w:t xml:space="preserve"> </w:t>
      </w:r>
      <w:r w:rsidR="000B3003">
        <w:rPr>
          <w:sz w:val="26"/>
          <w:szCs w:val="26"/>
        </w:rPr>
        <w:t xml:space="preserve">in his Answer to the original Complaint, </w:t>
      </w:r>
      <w:r w:rsidRPr="00A77B8C">
        <w:rPr>
          <w:sz w:val="26"/>
          <w:szCs w:val="26"/>
        </w:rPr>
        <w:t xml:space="preserve">admitted to </w:t>
      </w:r>
      <w:r w:rsidR="00A37283">
        <w:rPr>
          <w:sz w:val="26"/>
          <w:szCs w:val="26"/>
        </w:rPr>
        <w:t>“finding”</w:t>
      </w:r>
      <w:r w:rsidRPr="00A77B8C">
        <w:rPr>
          <w:sz w:val="26"/>
          <w:szCs w:val="26"/>
        </w:rPr>
        <w:t xml:space="preserve"> the</w:t>
      </w:r>
      <w:r w:rsidR="00A37283">
        <w:rPr>
          <w:sz w:val="26"/>
          <w:szCs w:val="26"/>
        </w:rPr>
        <w:t xml:space="preserve"> dome light</w:t>
      </w:r>
      <w:r w:rsidRPr="00A77B8C">
        <w:rPr>
          <w:sz w:val="26"/>
          <w:szCs w:val="26"/>
        </w:rPr>
        <w:t xml:space="preserve"> and displaying it </w:t>
      </w:r>
      <w:r w:rsidR="00A37283">
        <w:rPr>
          <w:sz w:val="26"/>
          <w:szCs w:val="26"/>
        </w:rPr>
        <w:t xml:space="preserve">on the roof of his car.  </w:t>
      </w:r>
      <w:r w:rsidRPr="00A77B8C">
        <w:rPr>
          <w:sz w:val="26"/>
          <w:szCs w:val="26"/>
        </w:rPr>
        <w:t>Based on this admission, we conclude that the Respondent’s conduct appears to have been intentional which should result in a greater penalty.</w:t>
      </w:r>
    </w:p>
    <w:p w:rsidR="00A77B8C" w:rsidRPr="00A77B8C" w:rsidRDefault="00A77B8C" w:rsidP="00A77B8C">
      <w:pPr>
        <w:widowControl/>
        <w:spacing w:line="360" w:lineRule="auto"/>
        <w:ind w:firstLine="1440"/>
        <w:rPr>
          <w:sz w:val="26"/>
          <w:szCs w:val="26"/>
        </w:rPr>
      </w:pPr>
    </w:p>
    <w:p w:rsidR="00A77B8C" w:rsidRPr="00A77B8C" w:rsidRDefault="00A77B8C" w:rsidP="00A77B8C">
      <w:pPr>
        <w:widowControl/>
        <w:spacing w:line="360" w:lineRule="auto"/>
        <w:ind w:firstLine="1440"/>
        <w:rPr>
          <w:sz w:val="26"/>
          <w:szCs w:val="26"/>
        </w:rPr>
      </w:pPr>
      <w:r w:rsidRPr="00A77B8C">
        <w:rPr>
          <w:sz w:val="26"/>
          <w:szCs w:val="26"/>
        </w:rPr>
        <w:t xml:space="preserve">Regarding the fourth factor, which concerns any remedial actions taken by the Respondent, </w:t>
      </w:r>
      <w:r w:rsidR="00A37283">
        <w:rPr>
          <w:sz w:val="26"/>
          <w:szCs w:val="26"/>
        </w:rPr>
        <w:t xml:space="preserve">we are unaware of whether the Respondent continues to hold himself out as a passenger motor carrier by operating his vehicle with the illuminated “TAXI” dome </w:t>
      </w:r>
      <w:r w:rsidR="00A37283">
        <w:rPr>
          <w:sz w:val="26"/>
          <w:szCs w:val="26"/>
        </w:rPr>
        <w:lastRenderedPageBreak/>
        <w:t xml:space="preserve">light.  </w:t>
      </w:r>
      <w:r w:rsidRPr="00A77B8C">
        <w:rPr>
          <w:sz w:val="26"/>
          <w:szCs w:val="26"/>
        </w:rPr>
        <w:t xml:space="preserve">As such, we </w:t>
      </w:r>
      <w:r w:rsidR="00A0392F">
        <w:rPr>
          <w:sz w:val="26"/>
          <w:szCs w:val="26"/>
        </w:rPr>
        <w:t xml:space="preserve">shall not use this factor </w:t>
      </w:r>
      <w:r w:rsidR="0054694B">
        <w:rPr>
          <w:sz w:val="26"/>
          <w:szCs w:val="26"/>
        </w:rPr>
        <w:t xml:space="preserve">in determining </w:t>
      </w:r>
      <w:r w:rsidR="004429F2">
        <w:rPr>
          <w:sz w:val="26"/>
          <w:szCs w:val="26"/>
        </w:rPr>
        <w:t xml:space="preserve">the amount of </w:t>
      </w:r>
      <w:r w:rsidR="0054694B" w:rsidRPr="00A77B8C">
        <w:rPr>
          <w:sz w:val="26"/>
          <w:szCs w:val="26"/>
        </w:rPr>
        <w:t xml:space="preserve">an appropriate civil penalty </w:t>
      </w:r>
      <w:r w:rsidR="0054694B">
        <w:rPr>
          <w:sz w:val="26"/>
          <w:szCs w:val="26"/>
        </w:rPr>
        <w:t>in this proceeding.</w:t>
      </w:r>
    </w:p>
    <w:p w:rsidR="00A77B8C" w:rsidRPr="00A77B8C" w:rsidRDefault="00A77B8C" w:rsidP="00A77B8C">
      <w:pPr>
        <w:widowControl/>
        <w:spacing w:line="360" w:lineRule="auto"/>
        <w:ind w:firstLine="1440"/>
        <w:rPr>
          <w:sz w:val="26"/>
          <w:szCs w:val="26"/>
        </w:rPr>
      </w:pPr>
    </w:p>
    <w:p w:rsidR="00A77B8C" w:rsidRPr="00A77B8C" w:rsidRDefault="00A77B8C" w:rsidP="00A77B8C">
      <w:pPr>
        <w:widowControl/>
        <w:spacing w:line="360" w:lineRule="auto"/>
        <w:ind w:firstLine="1440"/>
        <w:rPr>
          <w:sz w:val="26"/>
          <w:szCs w:val="26"/>
        </w:rPr>
      </w:pPr>
      <w:r w:rsidRPr="00A77B8C">
        <w:rPr>
          <w:sz w:val="26"/>
          <w:szCs w:val="26"/>
        </w:rPr>
        <w:t xml:space="preserve">In addressing the fifth factor, which considers the number of customers affected and the duration of the violation, we find that the number of customers impacted by the Respondent’s conduct is unknown.  </w:t>
      </w:r>
      <w:r w:rsidR="004429F2">
        <w:rPr>
          <w:sz w:val="26"/>
          <w:szCs w:val="26"/>
        </w:rPr>
        <w:t xml:space="preserve">However, </w:t>
      </w:r>
      <w:r w:rsidRPr="00A77B8C">
        <w:rPr>
          <w:sz w:val="26"/>
          <w:szCs w:val="26"/>
        </w:rPr>
        <w:t xml:space="preserve">the evidence indicated that the travelling public was put at risk when the Respondent offered uncertificated call and demand service </w:t>
      </w:r>
      <w:r w:rsidR="00A37283">
        <w:rPr>
          <w:sz w:val="26"/>
          <w:szCs w:val="26"/>
        </w:rPr>
        <w:t>over a period of a couple of hours</w:t>
      </w:r>
      <w:r w:rsidRPr="00A77B8C">
        <w:rPr>
          <w:sz w:val="26"/>
          <w:szCs w:val="26"/>
        </w:rPr>
        <w:t xml:space="preserve">.  However, the record does not support a finding that </w:t>
      </w:r>
      <w:r w:rsidR="00A37283">
        <w:rPr>
          <w:sz w:val="26"/>
          <w:szCs w:val="26"/>
        </w:rPr>
        <w:t>the Respondent’s</w:t>
      </w:r>
      <w:r w:rsidRPr="00A77B8C">
        <w:rPr>
          <w:sz w:val="26"/>
          <w:szCs w:val="26"/>
        </w:rPr>
        <w:t xml:space="preserve"> actions constituted ongoing misconduct.  Accordingly, we do not consider this factor as meriting a greater civil penalty.</w:t>
      </w:r>
    </w:p>
    <w:p w:rsidR="00A77B8C" w:rsidRPr="00A77B8C" w:rsidRDefault="00A77B8C" w:rsidP="00A77B8C">
      <w:pPr>
        <w:widowControl/>
        <w:spacing w:line="360" w:lineRule="auto"/>
        <w:ind w:firstLine="1440"/>
        <w:rPr>
          <w:sz w:val="26"/>
          <w:szCs w:val="26"/>
        </w:rPr>
      </w:pPr>
    </w:p>
    <w:p w:rsidR="00A77B8C" w:rsidRPr="00A77B8C" w:rsidRDefault="00A77B8C" w:rsidP="00A77B8C">
      <w:pPr>
        <w:widowControl/>
        <w:spacing w:line="360" w:lineRule="auto"/>
        <w:ind w:firstLine="1440"/>
        <w:rPr>
          <w:sz w:val="26"/>
          <w:szCs w:val="24"/>
        </w:rPr>
      </w:pPr>
      <w:r w:rsidRPr="00A77B8C">
        <w:rPr>
          <w:sz w:val="26"/>
          <w:szCs w:val="26"/>
        </w:rPr>
        <w:t>Under the sixth factor, regarding the Respondent’s compliance history, we note that t</w:t>
      </w:r>
      <w:r w:rsidRPr="00A77B8C">
        <w:rPr>
          <w:sz w:val="26"/>
          <w:szCs w:val="24"/>
        </w:rPr>
        <w:t>his factor focuses on historical behavior at the Commission, not the conduct which formed the basis for the enforcement action in the first place.  In this case, the Respondent had no prior history with the Commission prior to the occurrence which resulted in the Complaint.  As such, we find that this factor does not play a role in establishing an appropriate civil penalty in this matter.</w:t>
      </w:r>
    </w:p>
    <w:p w:rsidR="00A77B8C" w:rsidRPr="00A77B8C" w:rsidRDefault="00A77B8C" w:rsidP="00A77B8C">
      <w:pPr>
        <w:widowControl/>
        <w:spacing w:line="360" w:lineRule="auto"/>
        <w:ind w:firstLine="1440"/>
        <w:rPr>
          <w:sz w:val="26"/>
          <w:szCs w:val="26"/>
        </w:rPr>
      </w:pPr>
    </w:p>
    <w:p w:rsidR="0049615E" w:rsidRDefault="00A77B8C" w:rsidP="004A7DF6">
      <w:pPr>
        <w:widowControl/>
        <w:spacing w:line="360" w:lineRule="auto"/>
        <w:ind w:firstLine="1440"/>
        <w:rPr>
          <w:sz w:val="26"/>
          <w:szCs w:val="26"/>
        </w:rPr>
      </w:pPr>
      <w:r w:rsidRPr="00A77B8C">
        <w:rPr>
          <w:sz w:val="26"/>
          <w:szCs w:val="26"/>
        </w:rPr>
        <w:t xml:space="preserve">Regarding the seventh factor, concerning the Respondent’s cooperation with the Commission, </w:t>
      </w:r>
      <w:r w:rsidR="0049615E">
        <w:rPr>
          <w:sz w:val="26"/>
          <w:szCs w:val="26"/>
        </w:rPr>
        <w:t>there were no allegations demonstrating that the Respondent cooperated or failed to cooperate with a Commission investigation.  Therefore, this factor has no impact on the amount of the civil penalty.</w:t>
      </w:r>
    </w:p>
    <w:p w:rsidR="00A77B8C" w:rsidRPr="00A77B8C" w:rsidRDefault="00A77B8C" w:rsidP="00A77B8C">
      <w:pPr>
        <w:widowControl/>
        <w:spacing w:line="360" w:lineRule="auto"/>
        <w:ind w:firstLine="1440"/>
        <w:rPr>
          <w:sz w:val="26"/>
          <w:szCs w:val="26"/>
        </w:rPr>
      </w:pPr>
    </w:p>
    <w:p w:rsidR="00A77B8C" w:rsidRPr="00A77B8C" w:rsidRDefault="00A77B8C" w:rsidP="00A77B8C">
      <w:pPr>
        <w:widowControl/>
        <w:spacing w:line="360" w:lineRule="auto"/>
        <w:ind w:firstLine="1440"/>
        <w:rPr>
          <w:sz w:val="26"/>
          <w:szCs w:val="26"/>
        </w:rPr>
      </w:pPr>
      <w:r w:rsidRPr="00A77B8C">
        <w:rPr>
          <w:sz w:val="26"/>
          <w:szCs w:val="26"/>
        </w:rPr>
        <w:t xml:space="preserve">The eighth factor considers the amount of the civil penalty necessary to deter future violations.  </w:t>
      </w:r>
      <w:r w:rsidRPr="00A77B8C">
        <w:rPr>
          <w:sz w:val="26"/>
          <w:szCs w:val="24"/>
        </w:rPr>
        <w:t>Deterrence is a significant consideration when crafting an appropriate civil penalty.  Penalty assessments by the Commission serve not only to deter the violator from future non-compliance, but also to deter others from violating the Code.  As explained above, there is no record evidence that the Respondent continued to engage in subsequent illegal behavior after I&amp;E sought a</w:t>
      </w:r>
      <w:r w:rsidRPr="00A77B8C">
        <w:rPr>
          <w:sz w:val="26"/>
          <w:szCs w:val="26"/>
        </w:rPr>
        <w:t xml:space="preserve"> $1,000 civil penalty against the </w:t>
      </w:r>
      <w:r w:rsidRPr="00A77B8C">
        <w:rPr>
          <w:sz w:val="26"/>
          <w:szCs w:val="26"/>
        </w:rPr>
        <w:lastRenderedPageBreak/>
        <w:t>Respondent in the Complaint.  As such, it seems possible that any level of civil penalty will have a deterrent effect on future unlawful behavior.  Thus, we find that this factor does not warrant a greater penalty.</w:t>
      </w:r>
    </w:p>
    <w:p w:rsidR="00A77B8C" w:rsidRPr="00A77B8C" w:rsidRDefault="00A77B8C" w:rsidP="00A77B8C">
      <w:pPr>
        <w:widowControl/>
        <w:spacing w:line="360" w:lineRule="auto"/>
        <w:ind w:firstLine="1440"/>
        <w:rPr>
          <w:sz w:val="26"/>
          <w:szCs w:val="26"/>
        </w:rPr>
      </w:pPr>
    </w:p>
    <w:p w:rsidR="008060D2" w:rsidRDefault="00A77B8C" w:rsidP="00A77B8C">
      <w:pPr>
        <w:widowControl/>
        <w:spacing w:line="360" w:lineRule="auto"/>
        <w:ind w:firstLine="1440"/>
        <w:rPr>
          <w:sz w:val="26"/>
          <w:szCs w:val="24"/>
        </w:rPr>
      </w:pPr>
      <w:r w:rsidRPr="00A77B8C">
        <w:rPr>
          <w:sz w:val="26"/>
          <w:szCs w:val="26"/>
        </w:rPr>
        <w:t xml:space="preserve">Under the ninth factor, evaluating past Commission decisions in similar situations, we note that in previous cases involving uncertificated passenger transportation service, the </w:t>
      </w:r>
      <w:r w:rsidRPr="00A77B8C">
        <w:rPr>
          <w:sz w:val="26"/>
          <w:szCs w:val="24"/>
        </w:rPr>
        <w:t xml:space="preserve">Commission has assessed a civil penalty of $1,000 for each violation of the 66 Pa. C.S. § 1101.  </w:t>
      </w:r>
    </w:p>
    <w:p w:rsidR="008060D2" w:rsidRDefault="008060D2" w:rsidP="00A77B8C">
      <w:pPr>
        <w:widowControl/>
        <w:spacing w:line="360" w:lineRule="auto"/>
        <w:ind w:firstLine="1440"/>
        <w:rPr>
          <w:sz w:val="26"/>
          <w:szCs w:val="24"/>
        </w:rPr>
      </w:pPr>
    </w:p>
    <w:p w:rsidR="008060D2" w:rsidRDefault="00A77B8C" w:rsidP="00A77B8C">
      <w:pPr>
        <w:widowControl/>
        <w:spacing w:line="360" w:lineRule="auto"/>
        <w:ind w:firstLine="1440"/>
        <w:rPr>
          <w:sz w:val="26"/>
          <w:szCs w:val="26"/>
        </w:rPr>
      </w:pPr>
      <w:r w:rsidRPr="00A77B8C">
        <w:rPr>
          <w:sz w:val="26"/>
          <w:szCs w:val="24"/>
        </w:rPr>
        <w:t xml:space="preserve">For example, in </w:t>
      </w:r>
      <w:r w:rsidRPr="00A77B8C">
        <w:rPr>
          <w:i/>
          <w:sz w:val="26"/>
          <w:szCs w:val="26"/>
        </w:rPr>
        <w:t>Pa. Pub. Util. Comm’n v. Brungard</w:t>
      </w:r>
      <w:r w:rsidRPr="00A77B8C">
        <w:rPr>
          <w:sz w:val="26"/>
          <w:szCs w:val="26"/>
        </w:rPr>
        <w:t xml:space="preserve">, </w:t>
      </w:r>
      <w:r w:rsidRPr="00A77B8C">
        <w:rPr>
          <w:sz w:val="26"/>
          <w:szCs w:val="24"/>
        </w:rPr>
        <w:t xml:space="preserve">the carrier rendered transportation services without authority from the Commission when its certificate of public convenience was cancelled.  </w:t>
      </w:r>
      <w:r w:rsidRPr="00A77B8C">
        <w:rPr>
          <w:sz w:val="26"/>
          <w:szCs w:val="26"/>
        </w:rPr>
        <w:t xml:space="preserve">97 Pa. P.U.C. 189 (Order entered June 3, 2002).  </w:t>
      </w:r>
      <w:r w:rsidRPr="00A77B8C">
        <w:rPr>
          <w:sz w:val="26"/>
          <w:szCs w:val="24"/>
        </w:rPr>
        <w:t xml:space="preserve">The Commission assessed a penalty for each day the carrier held itself out to the public as authorized to provide transportation service and assessed the maximum penalty in the amount of $1,000 for providing an unauthorized trip.  </w:t>
      </w:r>
      <w:r w:rsidRPr="00A77B8C">
        <w:rPr>
          <w:i/>
          <w:sz w:val="26"/>
          <w:szCs w:val="26"/>
        </w:rPr>
        <w:t>Id</w:t>
      </w:r>
      <w:r w:rsidRPr="00A77B8C">
        <w:rPr>
          <w:sz w:val="26"/>
          <w:szCs w:val="26"/>
        </w:rPr>
        <w:t xml:space="preserve">.  However, </w:t>
      </w:r>
      <w:r w:rsidR="001B5969">
        <w:rPr>
          <w:sz w:val="26"/>
          <w:szCs w:val="26"/>
        </w:rPr>
        <w:t xml:space="preserve">in </w:t>
      </w:r>
      <w:r w:rsidR="001B5969" w:rsidRPr="00975272">
        <w:rPr>
          <w:i/>
          <w:sz w:val="26"/>
          <w:szCs w:val="26"/>
        </w:rPr>
        <w:t>Pa. PUC v. Charles H. Edwards, Jr.</w:t>
      </w:r>
      <w:r w:rsidR="001B5969">
        <w:rPr>
          <w:sz w:val="26"/>
          <w:szCs w:val="26"/>
        </w:rPr>
        <w:t>, Docket No. C-2016-2537014 (Order entered February 8, 2018) (</w:t>
      </w:r>
      <w:r w:rsidR="001B5969" w:rsidRPr="00975272">
        <w:rPr>
          <w:i/>
          <w:sz w:val="26"/>
          <w:szCs w:val="26"/>
        </w:rPr>
        <w:t>Edwards</w:t>
      </w:r>
      <w:r w:rsidR="001B5969">
        <w:rPr>
          <w:sz w:val="26"/>
          <w:szCs w:val="26"/>
        </w:rPr>
        <w:t>), the Commission imposed a civil penalty of $250 for one incidence of unauthorized service.</w:t>
      </w:r>
      <w:r w:rsidR="001B5969">
        <w:rPr>
          <w:rStyle w:val="FootnoteReference"/>
          <w:sz w:val="26"/>
          <w:szCs w:val="26"/>
        </w:rPr>
        <w:footnoteReference w:id="3"/>
      </w:r>
    </w:p>
    <w:p w:rsidR="008060D2" w:rsidRDefault="008060D2" w:rsidP="00A77B8C">
      <w:pPr>
        <w:widowControl/>
        <w:spacing w:line="360" w:lineRule="auto"/>
        <w:ind w:firstLine="1440"/>
        <w:rPr>
          <w:sz w:val="26"/>
          <w:szCs w:val="26"/>
        </w:rPr>
      </w:pPr>
    </w:p>
    <w:p w:rsidR="00A77B8C" w:rsidRPr="00A77B8C" w:rsidRDefault="001B5969" w:rsidP="00A77B8C">
      <w:pPr>
        <w:widowControl/>
        <w:spacing w:line="360" w:lineRule="auto"/>
        <w:ind w:firstLine="1440"/>
        <w:rPr>
          <w:sz w:val="26"/>
          <w:szCs w:val="26"/>
        </w:rPr>
      </w:pPr>
      <w:r>
        <w:rPr>
          <w:sz w:val="26"/>
          <w:szCs w:val="26"/>
        </w:rPr>
        <w:t>I</w:t>
      </w:r>
      <w:r w:rsidR="00A77B8C" w:rsidRPr="00A77B8C">
        <w:rPr>
          <w:sz w:val="26"/>
          <w:szCs w:val="26"/>
        </w:rPr>
        <w:t xml:space="preserve">n light of the </w:t>
      </w:r>
      <w:r>
        <w:rPr>
          <w:sz w:val="26"/>
          <w:szCs w:val="26"/>
        </w:rPr>
        <w:t>admitted allegation</w:t>
      </w:r>
      <w:r w:rsidR="00A77B8C" w:rsidRPr="00A77B8C">
        <w:rPr>
          <w:sz w:val="26"/>
          <w:szCs w:val="26"/>
        </w:rPr>
        <w:t xml:space="preserve"> of only one violation forming the basis of the </w:t>
      </w:r>
      <w:r w:rsidR="008D4440">
        <w:rPr>
          <w:sz w:val="26"/>
          <w:szCs w:val="26"/>
        </w:rPr>
        <w:t>Amended</w:t>
      </w:r>
      <w:r w:rsidR="00A77B8C" w:rsidRPr="00A77B8C">
        <w:rPr>
          <w:sz w:val="26"/>
          <w:szCs w:val="26"/>
        </w:rPr>
        <w:t xml:space="preserve"> Complaint in this proceeding, we find</w:t>
      </w:r>
      <w:r w:rsidR="009B24AE">
        <w:rPr>
          <w:sz w:val="26"/>
          <w:szCs w:val="26"/>
        </w:rPr>
        <w:t xml:space="preserve">, as discussed, </w:t>
      </w:r>
      <w:r w:rsidR="009B24AE">
        <w:rPr>
          <w:i/>
          <w:sz w:val="26"/>
          <w:szCs w:val="26"/>
        </w:rPr>
        <w:t>infra,</w:t>
      </w:r>
      <w:r w:rsidR="009B24AE">
        <w:rPr>
          <w:sz w:val="26"/>
          <w:szCs w:val="26"/>
        </w:rPr>
        <w:t xml:space="preserve"> </w:t>
      </w:r>
      <w:r w:rsidR="00A77B8C" w:rsidRPr="00A77B8C">
        <w:rPr>
          <w:sz w:val="26"/>
          <w:szCs w:val="26"/>
        </w:rPr>
        <w:t>that it is not necessary to assess a $1,000 civil penalty against the Respondent.</w:t>
      </w:r>
    </w:p>
    <w:p w:rsidR="00A77B8C" w:rsidRPr="00A77B8C" w:rsidRDefault="00A77B8C" w:rsidP="00A77B8C">
      <w:pPr>
        <w:widowControl/>
        <w:spacing w:line="360" w:lineRule="auto"/>
        <w:ind w:firstLine="1440"/>
        <w:rPr>
          <w:sz w:val="26"/>
          <w:szCs w:val="26"/>
        </w:rPr>
      </w:pPr>
    </w:p>
    <w:p w:rsidR="00A77B8C" w:rsidRPr="00A77B8C" w:rsidRDefault="00A77B8C" w:rsidP="00A77B8C">
      <w:pPr>
        <w:widowControl/>
        <w:spacing w:line="360" w:lineRule="auto"/>
        <w:ind w:firstLine="1440"/>
        <w:rPr>
          <w:sz w:val="26"/>
          <w:szCs w:val="26"/>
        </w:rPr>
      </w:pPr>
      <w:r w:rsidRPr="00A77B8C">
        <w:rPr>
          <w:sz w:val="26"/>
          <w:szCs w:val="26"/>
        </w:rPr>
        <w:lastRenderedPageBreak/>
        <w:t>Regarding the tenth factor, the catchall “other relevant factors,” there is no evidence of any continued misconduct</w:t>
      </w:r>
      <w:r w:rsidR="000B6B86">
        <w:rPr>
          <w:sz w:val="26"/>
          <w:szCs w:val="26"/>
        </w:rPr>
        <w:t xml:space="preserve"> on the Respondent’s part</w:t>
      </w:r>
      <w:r w:rsidRPr="00A77B8C">
        <w:rPr>
          <w:sz w:val="26"/>
          <w:szCs w:val="26"/>
        </w:rPr>
        <w:t>.  As such, we find that this factor does not warrant a greater penalty.</w:t>
      </w:r>
    </w:p>
    <w:p w:rsidR="00A77B8C" w:rsidRPr="00A77B8C" w:rsidRDefault="00A77B8C" w:rsidP="00A77B8C">
      <w:pPr>
        <w:widowControl/>
        <w:spacing w:line="360" w:lineRule="auto"/>
        <w:ind w:firstLine="1440"/>
        <w:rPr>
          <w:sz w:val="26"/>
          <w:szCs w:val="26"/>
        </w:rPr>
      </w:pPr>
    </w:p>
    <w:p w:rsidR="00A77B8C" w:rsidRDefault="00A77B8C" w:rsidP="00A77B8C">
      <w:pPr>
        <w:widowControl/>
        <w:spacing w:line="360" w:lineRule="auto"/>
        <w:ind w:firstLine="1440"/>
        <w:rPr>
          <w:sz w:val="26"/>
          <w:szCs w:val="26"/>
        </w:rPr>
      </w:pPr>
      <w:r w:rsidRPr="00A77B8C">
        <w:rPr>
          <w:sz w:val="26"/>
          <w:szCs w:val="26"/>
        </w:rPr>
        <w:t xml:space="preserve">Based on our foregoing analysis of the civil penalty factors set forth above, we find that it is appropriate to assess a civil penalty for the </w:t>
      </w:r>
      <w:r w:rsidR="009B24AE">
        <w:rPr>
          <w:sz w:val="26"/>
          <w:szCs w:val="26"/>
        </w:rPr>
        <w:t xml:space="preserve">Respondent’s </w:t>
      </w:r>
      <w:r w:rsidRPr="00A77B8C">
        <w:rPr>
          <w:sz w:val="26"/>
          <w:szCs w:val="26"/>
        </w:rPr>
        <w:t>violation of 66 Pa. C.S. § 1101.  However, we do not find that a $1,000 civil penalty as requested by I&amp;E is appropriate.  Rather, upon consideration of all the penalty factors</w:t>
      </w:r>
      <w:r w:rsidR="000C7C92">
        <w:rPr>
          <w:sz w:val="26"/>
          <w:szCs w:val="26"/>
        </w:rPr>
        <w:t>,</w:t>
      </w:r>
      <w:r w:rsidRPr="00A77B8C">
        <w:rPr>
          <w:sz w:val="26"/>
          <w:szCs w:val="26"/>
        </w:rPr>
        <w:t xml:space="preserve"> we </w:t>
      </w:r>
      <w:r w:rsidR="000C7C92">
        <w:rPr>
          <w:sz w:val="26"/>
          <w:szCs w:val="26"/>
        </w:rPr>
        <w:t xml:space="preserve">believe that a total civil penalty of $500 would be sufficient to deter the Respondent </w:t>
      </w:r>
      <w:r w:rsidR="00BF773A">
        <w:rPr>
          <w:sz w:val="26"/>
          <w:szCs w:val="26"/>
        </w:rPr>
        <w:t xml:space="preserve">from engaging in similar activities in the future.  Thus, we </w:t>
      </w:r>
      <w:r w:rsidRPr="00A77B8C">
        <w:rPr>
          <w:sz w:val="26"/>
          <w:szCs w:val="26"/>
        </w:rPr>
        <w:t xml:space="preserve">shall impose a </w:t>
      </w:r>
      <w:r w:rsidR="00BF773A">
        <w:rPr>
          <w:sz w:val="26"/>
          <w:szCs w:val="26"/>
        </w:rPr>
        <w:t xml:space="preserve">total </w:t>
      </w:r>
      <w:r w:rsidRPr="00A77B8C">
        <w:rPr>
          <w:sz w:val="26"/>
          <w:szCs w:val="26"/>
        </w:rPr>
        <w:t>civil penalty of $5</w:t>
      </w:r>
      <w:r w:rsidR="000B6B86">
        <w:rPr>
          <w:sz w:val="26"/>
          <w:szCs w:val="26"/>
        </w:rPr>
        <w:t>0</w:t>
      </w:r>
      <w:r w:rsidRPr="00A77B8C">
        <w:rPr>
          <w:sz w:val="26"/>
          <w:szCs w:val="26"/>
        </w:rPr>
        <w:t>0</w:t>
      </w:r>
      <w:r w:rsidR="00BF773A">
        <w:rPr>
          <w:sz w:val="26"/>
          <w:szCs w:val="26"/>
        </w:rPr>
        <w:t xml:space="preserve">, which is comprised of </w:t>
      </w:r>
      <w:r w:rsidR="0074721E">
        <w:rPr>
          <w:sz w:val="26"/>
          <w:szCs w:val="26"/>
        </w:rPr>
        <w:t>$250 for one incident of unauthorized service and $250 for violating 52 Pa. Code § 29.402(1) and 67 Pa. Code § 175.66(h)).</w:t>
      </w:r>
    </w:p>
    <w:p w:rsidR="005D60FE" w:rsidRPr="00A77B8C" w:rsidRDefault="005D60FE" w:rsidP="00A77B8C">
      <w:pPr>
        <w:widowControl/>
        <w:spacing w:line="360" w:lineRule="auto"/>
        <w:ind w:firstLine="1440"/>
        <w:rPr>
          <w:sz w:val="26"/>
          <w:szCs w:val="26"/>
        </w:rPr>
      </w:pPr>
    </w:p>
    <w:p w:rsidR="00A77B8C" w:rsidRPr="00A77B8C" w:rsidRDefault="00A77B8C" w:rsidP="00A77B8C">
      <w:pPr>
        <w:widowControl/>
        <w:spacing w:line="360" w:lineRule="auto"/>
        <w:ind w:firstLine="1440"/>
        <w:rPr>
          <w:sz w:val="26"/>
          <w:szCs w:val="26"/>
        </w:rPr>
      </w:pPr>
      <w:r w:rsidRPr="00A77B8C">
        <w:rPr>
          <w:sz w:val="26"/>
          <w:szCs w:val="26"/>
        </w:rPr>
        <w:t>We admonish the Respondent, however, that any further violations of the Code, the Commission’s Regulations or Orders, will result in the Commission pursuing all remedies provided by law, which may include criminal prosecution.</w:t>
      </w:r>
    </w:p>
    <w:p w:rsidR="00A77B8C" w:rsidRPr="009250D3" w:rsidRDefault="00A77B8C" w:rsidP="009250D3">
      <w:pPr>
        <w:widowControl/>
        <w:spacing w:line="360" w:lineRule="auto"/>
        <w:rPr>
          <w:sz w:val="26"/>
          <w:szCs w:val="26"/>
        </w:rPr>
      </w:pPr>
    </w:p>
    <w:p w:rsidR="00B4513A" w:rsidRPr="00B4513A" w:rsidRDefault="00B4513A" w:rsidP="00E30ED8">
      <w:pPr>
        <w:keepNext/>
        <w:widowControl/>
        <w:spacing w:line="360" w:lineRule="auto"/>
        <w:jc w:val="center"/>
        <w:rPr>
          <w:b/>
          <w:sz w:val="26"/>
          <w:szCs w:val="26"/>
        </w:rPr>
      </w:pPr>
      <w:r>
        <w:rPr>
          <w:b/>
          <w:sz w:val="26"/>
          <w:szCs w:val="26"/>
        </w:rPr>
        <w:t>Conclusion</w:t>
      </w:r>
    </w:p>
    <w:p w:rsidR="00882750" w:rsidRDefault="00882750" w:rsidP="00E30ED8">
      <w:pPr>
        <w:keepNext/>
        <w:widowControl/>
        <w:spacing w:line="360" w:lineRule="auto"/>
        <w:ind w:firstLine="1440"/>
        <w:rPr>
          <w:sz w:val="26"/>
          <w:szCs w:val="26"/>
        </w:rPr>
      </w:pPr>
    </w:p>
    <w:p w:rsidR="00B4513A" w:rsidRDefault="00394289" w:rsidP="003C6BFF">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3D571B">
        <w:rPr>
          <w:sz w:val="26"/>
          <w:szCs w:val="26"/>
        </w:rPr>
        <w:t>,</w:t>
      </w:r>
      <w:r w:rsidR="00773E1D">
        <w:rPr>
          <w:sz w:val="26"/>
          <w:szCs w:val="26"/>
        </w:rPr>
        <w:t xml:space="preserve"> </w:t>
      </w:r>
      <w:r w:rsidR="00430ECC">
        <w:rPr>
          <w:sz w:val="26"/>
          <w:szCs w:val="26"/>
        </w:rPr>
        <w:t>in part, consistent with</w:t>
      </w:r>
      <w:r w:rsidR="00B4513A">
        <w:rPr>
          <w:sz w:val="26"/>
          <w:szCs w:val="26"/>
        </w:rPr>
        <w:t xml:space="preserve">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3C6BFF">
      <w:pPr>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5D60FE">
        <w:rPr>
          <w:sz w:val="26"/>
        </w:rPr>
        <w:t>September 21</w:t>
      </w:r>
      <w:r w:rsidR="00675393">
        <w:rPr>
          <w:sz w:val="26"/>
        </w:rPr>
        <w:t>, 201</w:t>
      </w:r>
      <w:r w:rsidR="003C1A37">
        <w:rPr>
          <w:sz w:val="26"/>
        </w:rPr>
        <w:t>7</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430ECC">
        <w:rPr>
          <w:sz w:val="26"/>
          <w:szCs w:val="26"/>
        </w:rPr>
        <w:t>in part, consistent with</w:t>
      </w:r>
      <w:r w:rsidR="003D571B">
        <w:rPr>
          <w:sz w:val="26"/>
          <w:szCs w:val="26"/>
        </w:rPr>
        <w:t xml:space="preserve"> this</w:t>
      </w:r>
      <w:r w:rsidR="00DD4CBC">
        <w:rPr>
          <w:sz w:val="26"/>
          <w:szCs w:val="26"/>
        </w:rPr>
        <w:t xml:space="preserve">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lastRenderedPageBreak/>
        <w:t>2.</w:t>
      </w:r>
      <w:r>
        <w:rPr>
          <w:sz w:val="26"/>
          <w:szCs w:val="26"/>
        </w:rPr>
        <w:tab/>
        <w:t xml:space="preserve">That </w:t>
      </w:r>
      <w:r w:rsidR="001B7AD2">
        <w:rPr>
          <w:sz w:val="26"/>
          <w:szCs w:val="26"/>
        </w:rPr>
        <w:t xml:space="preserve">the allegations in the Bureau of Investigation and Enforcement’s </w:t>
      </w:r>
      <w:r w:rsidR="005D60FE">
        <w:rPr>
          <w:sz w:val="26"/>
          <w:szCs w:val="26"/>
        </w:rPr>
        <w:t xml:space="preserve">Amended </w:t>
      </w:r>
      <w:r w:rsidR="001B7AD2">
        <w:rPr>
          <w:sz w:val="26"/>
          <w:szCs w:val="26"/>
        </w:rPr>
        <w:t xml:space="preserve">Complaint are deemed admitted, and the </w:t>
      </w:r>
      <w:r w:rsidR="005D60FE">
        <w:rPr>
          <w:sz w:val="26"/>
          <w:szCs w:val="26"/>
        </w:rPr>
        <w:t xml:space="preserve">Amended </w:t>
      </w:r>
      <w:r w:rsidR="004D1C0F">
        <w:rPr>
          <w:sz w:val="26"/>
          <w:szCs w:val="26"/>
        </w:rPr>
        <w:t>Complaint</w:t>
      </w:r>
      <w:r w:rsidR="001B7AD2">
        <w:rPr>
          <w:sz w:val="26"/>
          <w:szCs w:val="26"/>
        </w:rPr>
        <w:t xml:space="preserve"> is thereby sustained</w:t>
      </w:r>
      <w:r w:rsidR="003D571B">
        <w:rPr>
          <w:sz w:val="26"/>
          <w:szCs w:val="26"/>
        </w:rPr>
        <w:t>,</w:t>
      </w:r>
      <w:r w:rsidR="005D60FE">
        <w:rPr>
          <w:sz w:val="26"/>
          <w:szCs w:val="26"/>
        </w:rPr>
        <w:t xml:space="preserve"> in part,</w:t>
      </w:r>
      <w:r w:rsidR="003D571B">
        <w:rPr>
          <w:sz w:val="26"/>
          <w:szCs w:val="26"/>
        </w:rPr>
        <w:t xml:space="preserve"> consistent with the Opinion and Order</w:t>
      </w:r>
      <w:r w:rsidR="001B7AD2">
        <w:rPr>
          <w:sz w:val="26"/>
          <w:szCs w:val="26"/>
        </w:rPr>
        <w:t>.</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5D60FE">
        <w:rPr>
          <w:sz w:val="26"/>
          <w:szCs w:val="26"/>
        </w:rPr>
        <w:t xml:space="preserve"> Christopher T. Stack</w:t>
      </w:r>
      <w:r w:rsidR="00E15A12">
        <w:rPr>
          <w:sz w:val="26"/>
          <w:szCs w:val="26"/>
        </w:rPr>
        <w:t xml:space="preserve"> </w:t>
      </w:r>
      <w:r w:rsidR="00AF570B" w:rsidRPr="004C2E32">
        <w:rPr>
          <w:sz w:val="26"/>
          <w:szCs w:val="24"/>
        </w:rPr>
        <w:t xml:space="preserve">shall remit </w:t>
      </w:r>
      <w:r w:rsidR="005135AB">
        <w:rPr>
          <w:sz w:val="26"/>
          <w:szCs w:val="24"/>
        </w:rPr>
        <w:t>$</w:t>
      </w:r>
      <w:r w:rsidR="005D60FE">
        <w:rPr>
          <w:sz w:val="26"/>
          <w:szCs w:val="24"/>
        </w:rPr>
        <w:t>500</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p>
    <w:p w:rsidR="003D571B" w:rsidRDefault="003D571B">
      <w:pPr>
        <w:widowControl/>
        <w:rPr>
          <w:sz w:val="26"/>
          <w:szCs w:val="24"/>
        </w:rPr>
      </w:pPr>
    </w:p>
    <w:p w:rsidR="00557A09" w:rsidRPr="004C2E32" w:rsidRDefault="003D571B" w:rsidP="002D1C86">
      <w:pPr>
        <w:keepNext/>
        <w:keepLines/>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2D1C86">
      <w:pPr>
        <w:keepNext/>
        <w:keepLines/>
        <w:widowControl/>
        <w:ind w:firstLine="2160"/>
        <w:rPr>
          <w:sz w:val="26"/>
          <w:szCs w:val="24"/>
        </w:rPr>
      </w:pPr>
      <w:r w:rsidRPr="004C2E32">
        <w:rPr>
          <w:sz w:val="26"/>
          <w:szCs w:val="24"/>
        </w:rPr>
        <w:t>Pennsylvania Public Utility Commission</w:t>
      </w:r>
    </w:p>
    <w:p w:rsidR="00557A09" w:rsidRDefault="003D571B" w:rsidP="002D1C86">
      <w:pPr>
        <w:keepNext/>
        <w:keepLines/>
        <w:widowControl/>
        <w:ind w:firstLine="2160"/>
        <w:rPr>
          <w:sz w:val="26"/>
          <w:szCs w:val="24"/>
        </w:rPr>
      </w:pPr>
      <w:r>
        <w:rPr>
          <w:sz w:val="26"/>
          <w:szCs w:val="24"/>
        </w:rPr>
        <w:t>Commonwealth Keystone Building</w:t>
      </w:r>
    </w:p>
    <w:p w:rsidR="003D571B" w:rsidRPr="004C2E32" w:rsidRDefault="003D571B" w:rsidP="002D1C86">
      <w:pPr>
        <w:keepNext/>
        <w:keepLines/>
        <w:widowControl/>
        <w:ind w:firstLine="2160"/>
        <w:rPr>
          <w:sz w:val="26"/>
          <w:szCs w:val="24"/>
        </w:rPr>
      </w:pPr>
      <w:r>
        <w:rPr>
          <w:sz w:val="26"/>
          <w:szCs w:val="24"/>
        </w:rPr>
        <w:t>400 North Street</w:t>
      </w:r>
      <w:r w:rsidR="005C0B7F">
        <w:rPr>
          <w:sz w:val="26"/>
          <w:szCs w:val="24"/>
        </w:rPr>
        <w:t>, 2</w:t>
      </w:r>
      <w:r w:rsidR="005C0B7F" w:rsidRPr="005C0B7F">
        <w:rPr>
          <w:sz w:val="26"/>
          <w:szCs w:val="24"/>
          <w:vertAlign w:val="superscript"/>
        </w:rPr>
        <w:t>nd</w:t>
      </w:r>
      <w:r w:rsidR="005C0B7F">
        <w:rPr>
          <w:sz w:val="26"/>
          <w:szCs w:val="24"/>
        </w:rPr>
        <w:t xml:space="preserve"> Floor</w:t>
      </w:r>
    </w:p>
    <w:p w:rsidR="00557A09" w:rsidRDefault="00557A09" w:rsidP="002D1C86">
      <w:pPr>
        <w:keepNext/>
        <w:keepLines/>
        <w:widowControl/>
        <w:ind w:firstLine="2160"/>
        <w:rPr>
          <w:sz w:val="26"/>
          <w:szCs w:val="24"/>
        </w:rPr>
      </w:pPr>
      <w:r w:rsidRPr="004C2E32">
        <w:rPr>
          <w:sz w:val="26"/>
          <w:szCs w:val="24"/>
        </w:rPr>
        <w:t>Harrisburg, PA, 171</w:t>
      </w:r>
      <w:r w:rsidR="003D571B">
        <w:rPr>
          <w:sz w:val="26"/>
          <w:szCs w:val="24"/>
        </w:rPr>
        <w:t>20</w:t>
      </w:r>
    </w:p>
    <w:p w:rsidR="00E35F60" w:rsidRDefault="00E35F60" w:rsidP="00762F72">
      <w:pPr>
        <w:widowControl/>
        <w:ind w:firstLine="1440"/>
        <w:rPr>
          <w:sz w:val="26"/>
          <w:szCs w:val="24"/>
        </w:rPr>
      </w:pPr>
    </w:p>
    <w:p w:rsidR="002D1C86" w:rsidRPr="004C2E32" w:rsidRDefault="002D1C86" w:rsidP="00762F72">
      <w:pPr>
        <w:widowControl/>
        <w:ind w:firstLine="1440"/>
        <w:rPr>
          <w:sz w:val="26"/>
          <w:szCs w:val="24"/>
        </w:rPr>
      </w:pPr>
    </w:p>
    <w:p w:rsidR="001B5664" w:rsidRDefault="00854C98" w:rsidP="001B5664">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sidR="001B5664">
        <w:rPr>
          <w:sz w:val="26"/>
          <w:szCs w:val="26"/>
        </w:rPr>
        <w:t>That, if</w:t>
      </w:r>
      <w:r w:rsidR="0070149C">
        <w:rPr>
          <w:sz w:val="26"/>
          <w:szCs w:val="26"/>
        </w:rPr>
        <w:t xml:space="preserve"> Christopher T. Stack</w:t>
      </w:r>
      <w:r w:rsidR="001B5664">
        <w:rPr>
          <w:sz w:val="26"/>
          <w:szCs w:val="26"/>
        </w:rPr>
        <w:t xml:space="preserve"> fails to make the payment required by Ordering Paragraph No. 3, above, within thirty (30) days of the entry date of this Opinion and Order</w:t>
      </w:r>
      <w:r w:rsidR="002D1C86">
        <w:rPr>
          <w:sz w:val="26"/>
          <w:szCs w:val="26"/>
        </w:rPr>
        <w:t>, it is further ordered</w:t>
      </w:r>
      <w:r w:rsidR="001B5664">
        <w:rPr>
          <w:sz w:val="26"/>
          <w:szCs w:val="26"/>
        </w:rPr>
        <w:t>:</w:t>
      </w:r>
    </w:p>
    <w:p w:rsidR="001B5664" w:rsidRDefault="001B5664" w:rsidP="001B5664">
      <w:pPr>
        <w:widowControl/>
        <w:spacing w:line="360" w:lineRule="auto"/>
        <w:ind w:left="2880" w:hanging="720"/>
        <w:rPr>
          <w:sz w:val="26"/>
          <w:szCs w:val="26"/>
        </w:rPr>
      </w:pPr>
    </w:p>
    <w:p w:rsidR="001B5664" w:rsidRDefault="001B5664" w:rsidP="0070149C">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w:t>
      </w:r>
      <w:r w:rsidR="002D1C86">
        <w:rPr>
          <w:sz w:val="26"/>
          <w:szCs w:val="26"/>
        </w:rPr>
        <w:t>at th</w:t>
      </w:r>
      <w:r>
        <w:rPr>
          <w:sz w:val="26"/>
          <w:szCs w:val="26"/>
        </w:rPr>
        <w:t>e Bureau of Administrative Services, Assessment Section, shall refer this matter to the Pennsylvania Office of Attorney General for appropriate action; and</w:t>
      </w:r>
    </w:p>
    <w:p w:rsidR="001B5664" w:rsidRDefault="001B5664" w:rsidP="001B5664">
      <w:pPr>
        <w:widowControl/>
        <w:spacing w:line="360" w:lineRule="auto"/>
        <w:ind w:left="2880" w:hanging="720"/>
        <w:rPr>
          <w:sz w:val="26"/>
          <w:szCs w:val="26"/>
        </w:rPr>
      </w:pPr>
    </w:p>
    <w:p w:rsidR="001B5664" w:rsidRDefault="0070149C" w:rsidP="001B5664">
      <w:pPr>
        <w:widowControl/>
        <w:spacing w:line="360" w:lineRule="auto"/>
        <w:ind w:left="2880" w:hanging="720"/>
        <w:rPr>
          <w:sz w:val="26"/>
        </w:rPr>
      </w:pPr>
      <w:r>
        <w:rPr>
          <w:sz w:val="26"/>
          <w:szCs w:val="26"/>
        </w:rPr>
        <w:t>b</w:t>
      </w:r>
      <w:r w:rsidR="001B5664">
        <w:rPr>
          <w:sz w:val="26"/>
          <w:szCs w:val="26"/>
        </w:rPr>
        <w:t>.</w:t>
      </w:r>
      <w:r w:rsidR="001B5664">
        <w:rPr>
          <w:sz w:val="26"/>
          <w:szCs w:val="26"/>
        </w:rPr>
        <w:tab/>
      </w:r>
      <w:r w:rsidR="002D1C86">
        <w:rPr>
          <w:sz w:val="26"/>
          <w:szCs w:val="26"/>
        </w:rPr>
        <w:t>That a</w:t>
      </w:r>
      <w:r w:rsidR="001B5664" w:rsidRPr="00072D9D">
        <w:rPr>
          <w:sz w:val="26"/>
          <w:szCs w:val="26"/>
        </w:rPr>
        <w:t xml:space="preserve"> </w:t>
      </w:r>
      <w:r w:rsidR="001B5664" w:rsidRPr="00072D9D">
        <w:rPr>
          <w:sz w:val="26"/>
        </w:rPr>
        <w:t xml:space="preserve">copy of this Opinion and Order shall be served upon the </w:t>
      </w:r>
      <w:r w:rsidR="001B5664">
        <w:rPr>
          <w:sz w:val="26"/>
        </w:rPr>
        <w:t xml:space="preserve">Pennsylvania Department of Transportation, </w:t>
      </w:r>
      <w:r w:rsidR="001B5664">
        <w:rPr>
          <w:sz w:val="26"/>
          <w:szCs w:val="26"/>
        </w:rPr>
        <w:t>pursuant</w:t>
      </w:r>
      <w:r w:rsidR="001B5664" w:rsidRPr="00072D9D">
        <w:rPr>
          <w:sz w:val="26"/>
          <w:szCs w:val="26"/>
        </w:rPr>
        <w:t xml:space="preserve"> </w:t>
      </w:r>
      <w:r w:rsidR="001B5664">
        <w:rPr>
          <w:sz w:val="26"/>
          <w:szCs w:val="26"/>
        </w:rPr>
        <w:t>to Chapter 13 of the Vehicle Code, 75 Pa. C.S. §§ 1301-1379, and t</w:t>
      </w:r>
      <w:r w:rsidR="001B5664">
        <w:rPr>
          <w:sz w:val="26"/>
        </w:rPr>
        <w:t>he Commission will request that the Pennsylvania Department of Transportation put an administrative hold on</w:t>
      </w:r>
      <w:r>
        <w:rPr>
          <w:sz w:val="26"/>
        </w:rPr>
        <w:t xml:space="preserve"> Christopher T. Stack</w:t>
      </w:r>
      <w:r w:rsidR="001B5664">
        <w:rPr>
          <w:sz w:val="26"/>
          <w:szCs w:val="26"/>
        </w:rPr>
        <w:t xml:space="preserve">’s </w:t>
      </w:r>
      <w:r w:rsidR="001B5664">
        <w:rPr>
          <w:sz w:val="26"/>
        </w:rPr>
        <w:t xml:space="preserve">vehicle registration. </w:t>
      </w:r>
      <w:r>
        <w:rPr>
          <w:sz w:val="26"/>
        </w:rPr>
        <w:t xml:space="preserve"> </w:t>
      </w:r>
      <w:r>
        <w:rPr>
          <w:sz w:val="26"/>
          <w:szCs w:val="26"/>
        </w:rPr>
        <w:t>Christopher T. Stack</w:t>
      </w:r>
      <w:r w:rsidR="001B5664">
        <w:rPr>
          <w:sz w:val="26"/>
          <w:szCs w:val="26"/>
        </w:rPr>
        <w:t xml:space="preserve"> w</w:t>
      </w:r>
      <w:r w:rsidR="001B5664">
        <w:rPr>
          <w:sz w:val="26"/>
        </w:rPr>
        <w:t xml:space="preserve">ill not be able to register any new vehicles or renew </w:t>
      </w:r>
      <w:r w:rsidR="001B5664">
        <w:rPr>
          <w:sz w:val="26"/>
        </w:rPr>
        <w:lastRenderedPageBreak/>
        <w:t>any existing vehicle registrations until all past due fines are paid</w:t>
      </w:r>
      <w:r w:rsidR="003B5CC0">
        <w:rPr>
          <w:sz w:val="26"/>
        </w:rPr>
        <w:t>; and</w:t>
      </w:r>
    </w:p>
    <w:p w:rsidR="002E54EF" w:rsidRDefault="002E54EF" w:rsidP="001B5664">
      <w:pPr>
        <w:widowControl/>
        <w:spacing w:line="360" w:lineRule="auto"/>
        <w:ind w:left="2880" w:hanging="720"/>
        <w:rPr>
          <w:sz w:val="26"/>
        </w:rPr>
      </w:pPr>
    </w:p>
    <w:p w:rsidR="003D571B" w:rsidRDefault="0070149C" w:rsidP="002E54EF">
      <w:pPr>
        <w:widowControl/>
        <w:spacing w:line="360" w:lineRule="auto"/>
        <w:ind w:left="2880" w:hanging="720"/>
        <w:rPr>
          <w:sz w:val="26"/>
        </w:rPr>
      </w:pPr>
      <w:r>
        <w:rPr>
          <w:sz w:val="26"/>
        </w:rPr>
        <w:t>c</w:t>
      </w:r>
      <w:r w:rsidR="002E54EF">
        <w:rPr>
          <w:sz w:val="26"/>
        </w:rPr>
        <w:t>.</w:t>
      </w:r>
      <w:r w:rsidR="002E54EF">
        <w:rPr>
          <w:sz w:val="26"/>
        </w:rPr>
        <w:tab/>
        <w:t>T</w:t>
      </w:r>
      <w:r w:rsidR="003D571B" w:rsidRPr="00EC2744">
        <w:rPr>
          <w:sz w:val="26"/>
          <w:szCs w:val="26"/>
        </w:rPr>
        <w:t>h</w:t>
      </w:r>
      <w:r w:rsidR="002E54EF">
        <w:rPr>
          <w:sz w:val="26"/>
          <w:szCs w:val="26"/>
        </w:rPr>
        <w:t>at</w:t>
      </w:r>
      <w:r w:rsidR="003D571B" w:rsidRPr="00EC2744">
        <w:rPr>
          <w:sz w:val="26"/>
          <w:szCs w:val="26"/>
        </w:rPr>
        <w:t xml:space="preserve"> all parties are hereby placed on notice of the Commission’s intent to consider pursuing all remedies, provided by law, including criminal prosecution as well as the initiation of an enforcement proceeding in the Commonwealth Court, pursuant to Pa. R.A.P. Rule 3761.  </w:t>
      </w:r>
    </w:p>
    <w:p w:rsidR="008E32F9" w:rsidRDefault="008E32F9">
      <w:pPr>
        <w:widowControl/>
        <w:rPr>
          <w:sz w:val="26"/>
        </w:rPr>
      </w:pPr>
    </w:p>
    <w:p w:rsidR="00854C98" w:rsidRDefault="008E32F9" w:rsidP="00762F72">
      <w:pPr>
        <w:widowControl/>
        <w:spacing w:line="360" w:lineRule="auto"/>
        <w:ind w:firstLine="1440"/>
        <w:rPr>
          <w:sz w:val="26"/>
          <w:szCs w:val="26"/>
        </w:rPr>
      </w:pPr>
      <w:r>
        <w:rPr>
          <w:sz w:val="26"/>
        </w:rPr>
        <w:t>5</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70149C">
        <w:rPr>
          <w:sz w:val="26"/>
        </w:rPr>
        <w:t>500</w:t>
      </w:r>
      <w:r w:rsidR="003D571B">
        <w:rPr>
          <w:sz w:val="26"/>
        </w:rPr>
        <w:t xml:space="preserve"> by</w:t>
      </w:r>
      <w:r w:rsidR="001B5664" w:rsidRPr="001B5664">
        <w:rPr>
          <w:sz w:val="26"/>
          <w:szCs w:val="26"/>
        </w:rPr>
        <w:t xml:space="preserve"> </w:t>
      </w:r>
      <w:r w:rsidR="0070149C">
        <w:rPr>
          <w:sz w:val="26"/>
          <w:szCs w:val="26"/>
        </w:rPr>
        <w:t>Christopher T. Stack</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rsidR="00CF0D61" w:rsidRDefault="00CF0D61" w:rsidP="00762F72">
      <w:pPr>
        <w:widowControl/>
        <w:spacing w:line="360" w:lineRule="auto"/>
        <w:rPr>
          <w:sz w:val="26"/>
          <w:szCs w:val="26"/>
        </w:rPr>
      </w:pPr>
    </w:p>
    <w:p w:rsidR="000F1318" w:rsidRPr="00027664" w:rsidRDefault="00077515"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170FE389" wp14:editId="5798CB0C">
            <wp:simplePos x="0" y="0"/>
            <wp:positionH relativeFrom="column">
              <wp:posOffset>3676650</wp:posOffset>
            </wp:positionH>
            <wp:positionV relativeFrom="paragraph">
              <wp:posOffset>228600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6B062C" w:rsidRDefault="006B062C"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8E32F9">
        <w:rPr>
          <w:sz w:val="26"/>
          <w:szCs w:val="26"/>
        </w:rPr>
        <w:t>July 12</w:t>
      </w:r>
      <w:r w:rsidR="002E54EF">
        <w:rPr>
          <w:sz w:val="26"/>
          <w:szCs w:val="26"/>
        </w:rPr>
        <w:t>, 2018</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077515">
        <w:rPr>
          <w:sz w:val="26"/>
          <w:szCs w:val="26"/>
        </w:rPr>
        <w:t xml:space="preserve"> July 12, 2018</w:t>
      </w:r>
      <w:bookmarkStart w:id="1" w:name="_GoBack"/>
      <w:bookmarkEnd w:id="1"/>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78F" w:rsidRDefault="006C778F">
      <w:r>
        <w:separator/>
      </w:r>
    </w:p>
  </w:endnote>
  <w:endnote w:type="continuationSeparator" w:id="0">
    <w:p w:rsidR="006C778F" w:rsidRDefault="006C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7531A">
      <w:rPr>
        <w:rStyle w:val="PageNumber"/>
        <w:noProof/>
        <w:sz w:val="26"/>
      </w:rPr>
      <w:t>8</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78F" w:rsidRDefault="006C778F">
      <w:r>
        <w:separator/>
      </w:r>
    </w:p>
  </w:footnote>
  <w:footnote w:type="continuationSeparator" w:id="0">
    <w:p w:rsidR="006C778F" w:rsidRDefault="006C778F">
      <w:r>
        <w:continuationSeparator/>
      </w:r>
    </w:p>
  </w:footnote>
  <w:footnote w:id="1">
    <w:p w:rsidR="008C7B4E" w:rsidRPr="008C7B4E" w:rsidRDefault="008C7B4E">
      <w:pPr>
        <w:pStyle w:val="FootnoteText"/>
        <w:rPr>
          <w:sz w:val="26"/>
        </w:rPr>
      </w:pPr>
      <w:r>
        <w:rPr>
          <w:sz w:val="26"/>
        </w:rPr>
        <w:tab/>
      </w:r>
      <w:r w:rsidRPr="008C7B4E">
        <w:rPr>
          <w:rStyle w:val="FootnoteReference"/>
          <w:sz w:val="26"/>
        </w:rPr>
        <w:footnoteRef/>
      </w:r>
      <w:r>
        <w:rPr>
          <w:sz w:val="26"/>
        </w:rPr>
        <w:tab/>
        <w:t xml:space="preserve">I&amp;E stated that, in the Amended Complaint, it could have sought an additional civil penalty for the violations of 52 Pa. Code § 29.402(1) and 67 </w:t>
      </w:r>
      <w:r w:rsidR="00010B66">
        <w:rPr>
          <w:sz w:val="26"/>
        </w:rPr>
        <w:t>P</w:t>
      </w:r>
      <w:r>
        <w:rPr>
          <w:sz w:val="26"/>
        </w:rPr>
        <w:t>a</w:t>
      </w:r>
      <w:r w:rsidR="00010B66">
        <w:rPr>
          <w:sz w:val="26"/>
        </w:rPr>
        <w:t>.</w:t>
      </w:r>
      <w:r>
        <w:rPr>
          <w:sz w:val="26"/>
        </w:rPr>
        <w:t xml:space="preserve"> Code §</w:t>
      </w:r>
      <w:r w:rsidR="00CB510C">
        <w:rPr>
          <w:sz w:val="26"/>
        </w:rPr>
        <w:t> </w:t>
      </w:r>
      <w:r>
        <w:rPr>
          <w:sz w:val="26"/>
        </w:rPr>
        <w:t>175.66(h) for affixing a prohibited ornamental lamp on his vehicle while the vehicle wa</w:t>
      </w:r>
      <w:r w:rsidR="00010B66">
        <w:rPr>
          <w:sz w:val="26"/>
        </w:rPr>
        <w:t>s</w:t>
      </w:r>
      <w:r>
        <w:rPr>
          <w:sz w:val="26"/>
        </w:rPr>
        <w:t xml:space="preserve"> used in common carrier service,</w:t>
      </w:r>
      <w:r w:rsidR="00010B66">
        <w:rPr>
          <w:sz w:val="26"/>
        </w:rPr>
        <w:t xml:space="preserve"> but I&amp;E elected to only request $1,000.</w:t>
      </w:r>
    </w:p>
  </w:footnote>
  <w:footnote w:id="2">
    <w:p w:rsidR="00114C9A" w:rsidRPr="00114C9A" w:rsidRDefault="00114C9A">
      <w:pPr>
        <w:pStyle w:val="FootnoteText"/>
        <w:rPr>
          <w:sz w:val="26"/>
        </w:rPr>
      </w:pPr>
      <w:r>
        <w:rPr>
          <w:sz w:val="26"/>
        </w:rPr>
        <w:tab/>
      </w:r>
      <w:r w:rsidRPr="00114C9A">
        <w:rPr>
          <w:rStyle w:val="FootnoteReference"/>
          <w:sz w:val="26"/>
        </w:rPr>
        <w:footnoteRef/>
      </w:r>
      <w:r w:rsidRPr="00114C9A">
        <w:rPr>
          <w:sz w:val="26"/>
        </w:rPr>
        <w:t xml:space="preserve"> </w:t>
      </w:r>
      <w:r>
        <w:rPr>
          <w:sz w:val="26"/>
        </w:rPr>
        <w:tab/>
      </w:r>
      <w:r w:rsidR="00962C8F">
        <w:rPr>
          <w:sz w:val="26"/>
        </w:rPr>
        <w:t>Section 29.402(1) directs that vehicles (with a seating capacity of fifteen passengers or less) used in common carriage service must comply with PennDOT’s equipment inspection standards, as set forth in 67 Pa. Code Chapter 175 (relating to vehicle equipment and inspection).  52 Pa. Code § 29.402(1).</w:t>
      </w:r>
    </w:p>
  </w:footnote>
  <w:footnote w:id="3">
    <w:p w:rsidR="001B5969" w:rsidRDefault="001B5969" w:rsidP="001B5969">
      <w:pPr>
        <w:pStyle w:val="FootnoteText"/>
      </w:pPr>
      <w:r>
        <w:rPr>
          <w:sz w:val="26"/>
          <w:szCs w:val="26"/>
        </w:rPr>
        <w:tab/>
      </w:r>
      <w:r w:rsidRPr="00975272">
        <w:rPr>
          <w:rStyle w:val="FootnoteReference"/>
          <w:sz w:val="26"/>
          <w:szCs w:val="26"/>
        </w:rPr>
        <w:footnoteRef/>
      </w:r>
      <w:r>
        <w:rPr>
          <w:sz w:val="26"/>
          <w:szCs w:val="26"/>
        </w:rPr>
        <w:tab/>
      </w:r>
      <w:r w:rsidRPr="00293603">
        <w:rPr>
          <w:i/>
          <w:sz w:val="26"/>
          <w:szCs w:val="26"/>
        </w:rPr>
        <w:t>Edwards</w:t>
      </w:r>
      <w:r>
        <w:rPr>
          <w:sz w:val="26"/>
          <w:szCs w:val="26"/>
        </w:rPr>
        <w:t xml:space="preserve"> also involved allegations that the respondent violated Section 29.314(d) of the Commission’s Regulations by attaching a dome light to the roof of his vehicle, but the Commission rejected that allegation because it only applied to certificated call and demand carriers.  Additionally, in </w:t>
      </w:r>
      <w:r w:rsidRPr="00293603">
        <w:rPr>
          <w:i/>
          <w:sz w:val="26"/>
          <w:szCs w:val="26"/>
        </w:rPr>
        <w:t>Edwards</w:t>
      </w:r>
      <w:r>
        <w:rPr>
          <w:sz w:val="26"/>
          <w:szCs w:val="26"/>
        </w:rPr>
        <w:t xml:space="preserve"> the Commission rejected I&amp;E’s claim that the respondent violated 67 Pa. Code § 175.66(h), in part, because it was not raised in the complaint.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05FA"/>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B66"/>
    <w:rsid w:val="00010E45"/>
    <w:rsid w:val="00012D0C"/>
    <w:rsid w:val="000138C9"/>
    <w:rsid w:val="00013B61"/>
    <w:rsid w:val="00013FDE"/>
    <w:rsid w:val="000146EC"/>
    <w:rsid w:val="00014C68"/>
    <w:rsid w:val="000158F2"/>
    <w:rsid w:val="00015A01"/>
    <w:rsid w:val="00020552"/>
    <w:rsid w:val="00020E43"/>
    <w:rsid w:val="00021A75"/>
    <w:rsid w:val="00022D45"/>
    <w:rsid w:val="00022F69"/>
    <w:rsid w:val="00023536"/>
    <w:rsid w:val="0002355F"/>
    <w:rsid w:val="00030A78"/>
    <w:rsid w:val="000310BE"/>
    <w:rsid w:val="000323A8"/>
    <w:rsid w:val="00033C9A"/>
    <w:rsid w:val="00034CD7"/>
    <w:rsid w:val="00035CE7"/>
    <w:rsid w:val="00036927"/>
    <w:rsid w:val="000369A9"/>
    <w:rsid w:val="00042F9E"/>
    <w:rsid w:val="000438A2"/>
    <w:rsid w:val="00044CC4"/>
    <w:rsid w:val="00045A7A"/>
    <w:rsid w:val="00045D01"/>
    <w:rsid w:val="000505E5"/>
    <w:rsid w:val="000510B7"/>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77515"/>
    <w:rsid w:val="00080CCC"/>
    <w:rsid w:val="00081C40"/>
    <w:rsid w:val="0008328F"/>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3003"/>
    <w:rsid w:val="000B465F"/>
    <w:rsid w:val="000B4ED0"/>
    <w:rsid w:val="000B6B86"/>
    <w:rsid w:val="000B6C00"/>
    <w:rsid w:val="000B729D"/>
    <w:rsid w:val="000C0702"/>
    <w:rsid w:val="000C22A2"/>
    <w:rsid w:val="000C474C"/>
    <w:rsid w:val="000C70B2"/>
    <w:rsid w:val="000C742F"/>
    <w:rsid w:val="000C7C92"/>
    <w:rsid w:val="000D03DD"/>
    <w:rsid w:val="000D2456"/>
    <w:rsid w:val="000D7483"/>
    <w:rsid w:val="000E014F"/>
    <w:rsid w:val="000E3C57"/>
    <w:rsid w:val="000E3D4A"/>
    <w:rsid w:val="000E3D4C"/>
    <w:rsid w:val="000E4BED"/>
    <w:rsid w:val="000E515B"/>
    <w:rsid w:val="000E570C"/>
    <w:rsid w:val="000E5BCD"/>
    <w:rsid w:val="000E65B0"/>
    <w:rsid w:val="000F086A"/>
    <w:rsid w:val="000F1318"/>
    <w:rsid w:val="000F22DA"/>
    <w:rsid w:val="000F2540"/>
    <w:rsid w:val="000F2935"/>
    <w:rsid w:val="000F35E6"/>
    <w:rsid w:val="000F3795"/>
    <w:rsid w:val="000F3896"/>
    <w:rsid w:val="000F3AD3"/>
    <w:rsid w:val="000F4467"/>
    <w:rsid w:val="000F4F95"/>
    <w:rsid w:val="000F69B0"/>
    <w:rsid w:val="000F6D5A"/>
    <w:rsid w:val="000F6FB4"/>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C9A"/>
    <w:rsid w:val="00114D80"/>
    <w:rsid w:val="0011580C"/>
    <w:rsid w:val="001164C8"/>
    <w:rsid w:val="001170DB"/>
    <w:rsid w:val="00120FCD"/>
    <w:rsid w:val="00121111"/>
    <w:rsid w:val="00122941"/>
    <w:rsid w:val="00123375"/>
    <w:rsid w:val="00123802"/>
    <w:rsid w:val="0012456C"/>
    <w:rsid w:val="00125890"/>
    <w:rsid w:val="001260A0"/>
    <w:rsid w:val="0012697D"/>
    <w:rsid w:val="00130471"/>
    <w:rsid w:val="00131517"/>
    <w:rsid w:val="00131A77"/>
    <w:rsid w:val="00131B43"/>
    <w:rsid w:val="00132C3A"/>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57BA2"/>
    <w:rsid w:val="0016005F"/>
    <w:rsid w:val="00160565"/>
    <w:rsid w:val="001606BC"/>
    <w:rsid w:val="00160B7C"/>
    <w:rsid w:val="00161471"/>
    <w:rsid w:val="00161E6E"/>
    <w:rsid w:val="001620E4"/>
    <w:rsid w:val="00162420"/>
    <w:rsid w:val="00163AA3"/>
    <w:rsid w:val="00165945"/>
    <w:rsid w:val="00167F11"/>
    <w:rsid w:val="00170F24"/>
    <w:rsid w:val="001716CD"/>
    <w:rsid w:val="00172C4A"/>
    <w:rsid w:val="001730AD"/>
    <w:rsid w:val="001738D5"/>
    <w:rsid w:val="00174D7D"/>
    <w:rsid w:val="00175A0C"/>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5664"/>
    <w:rsid w:val="001B5969"/>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1C1"/>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4D5D"/>
    <w:rsid w:val="00225BD2"/>
    <w:rsid w:val="00226222"/>
    <w:rsid w:val="0022734C"/>
    <w:rsid w:val="00230396"/>
    <w:rsid w:val="00230BAB"/>
    <w:rsid w:val="00231CDD"/>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16F"/>
    <w:rsid w:val="00287BE6"/>
    <w:rsid w:val="0029085A"/>
    <w:rsid w:val="002931D9"/>
    <w:rsid w:val="002956A8"/>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3767"/>
    <w:rsid w:val="002B3979"/>
    <w:rsid w:val="002B45BA"/>
    <w:rsid w:val="002B4AF8"/>
    <w:rsid w:val="002B4B0D"/>
    <w:rsid w:val="002B574E"/>
    <w:rsid w:val="002B576A"/>
    <w:rsid w:val="002B6031"/>
    <w:rsid w:val="002C0012"/>
    <w:rsid w:val="002C002A"/>
    <w:rsid w:val="002C011D"/>
    <w:rsid w:val="002C19D9"/>
    <w:rsid w:val="002C254C"/>
    <w:rsid w:val="002C3A79"/>
    <w:rsid w:val="002C4BF6"/>
    <w:rsid w:val="002C5E4C"/>
    <w:rsid w:val="002C5EE0"/>
    <w:rsid w:val="002C6BD7"/>
    <w:rsid w:val="002C6E17"/>
    <w:rsid w:val="002C7874"/>
    <w:rsid w:val="002D1465"/>
    <w:rsid w:val="002D1892"/>
    <w:rsid w:val="002D1C86"/>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37F8"/>
    <w:rsid w:val="002E54EF"/>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1778"/>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5CC0"/>
    <w:rsid w:val="003B6407"/>
    <w:rsid w:val="003B6A0D"/>
    <w:rsid w:val="003B6F63"/>
    <w:rsid w:val="003C042A"/>
    <w:rsid w:val="003C0BFD"/>
    <w:rsid w:val="003C0DCF"/>
    <w:rsid w:val="003C0F72"/>
    <w:rsid w:val="003C135E"/>
    <w:rsid w:val="003C1A37"/>
    <w:rsid w:val="003C2071"/>
    <w:rsid w:val="003C4355"/>
    <w:rsid w:val="003C4DEE"/>
    <w:rsid w:val="003C5CBD"/>
    <w:rsid w:val="003C61AD"/>
    <w:rsid w:val="003C6576"/>
    <w:rsid w:val="003C6624"/>
    <w:rsid w:val="003C6BFF"/>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4B65"/>
    <w:rsid w:val="003F5C07"/>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0ECC"/>
    <w:rsid w:val="00431521"/>
    <w:rsid w:val="004327CF"/>
    <w:rsid w:val="004327EA"/>
    <w:rsid w:val="00433069"/>
    <w:rsid w:val="004337A1"/>
    <w:rsid w:val="00434436"/>
    <w:rsid w:val="00437F57"/>
    <w:rsid w:val="004420AA"/>
    <w:rsid w:val="004429F2"/>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31A"/>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50CB"/>
    <w:rsid w:val="0049615E"/>
    <w:rsid w:val="00496DAA"/>
    <w:rsid w:val="004970D4"/>
    <w:rsid w:val="0049745E"/>
    <w:rsid w:val="0049771B"/>
    <w:rsid w:val="004A04D3"/>
    <w:rsid w:val="004A0B21"/>
    <w:rsid w:val="004A0DCD"/>
    <w:rsid w:val="004A34D5"/>
    <w:rsid w:val="004A43F1"/>
    <w:rsid w:val="004A45DC"/>
    <w:rsid w:val="004A4D14"/>
    <w:rsid w:val="004A548F"/>
    <w:rsid w:val="004A6496"/>
    <w:rsid w:val="004A6520"/>
    <w:rsid w:val="004A7831"/>
    <w:rsid w:val="004A7DF6"/>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2A7"/>
    <w:rsid w:val="004E5323"/>
    <w:rsid w:val="004E58C3"/>
    <w:rsid w:val="004F1C71"/>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3BBA"/>
    <w:rsid w:val="00534A1D"/>
    <w:rsid w:val="0053555D"/>
    <w:rsid w:val="00536217"/>
    <w:rsid w:val="00536591"/>
    <w:rsid w:val="005406D3"/>
    <w:rsid w:val="005417B5"/>
    <w:rsid w:val="005429B4"/>
    <w:rsid w:val="00542BE8"/>
    <w:rsid w:val="00543E4D"/>
    <w:rsid w:val="00544F99"/>
    <w:rsid w:val="005455AB"/>
    <w:rsid w:val="00545FB5"/>
    <w:rsid w:val="0054694B"/>
    <w:rsid w:val="005515C2"/>
    <w:rsid w:val="005516F8"/>
    <w:rsid w:val="005521B1"/>
    <w:rsid w:val="00552997"/>
    <w:rsid w:val="0055414F"/>
    <w:rsid w:val="00555069"/>
    <w:rsid w:val="005556B4"/>
    <w:rsid w:val="005568E5"/>
    <w:rsid w:val="005579ED"/>
    <w:rsid w:val="005579F7"/>
    <w:rsid w:val="00557A09"/>
    <w:rsid w:val="005605A1"/>
    <w:rsid w:val="00560E96"/>
    <w:rsid w:val="0056119D"/>
    <w:rsid w:val="005621B2"/>
    <w:rsid w:val="005626BA"/>
    <w:rsid w:val="00562E63"/>
    <w:rsid w:val="0056338F"/>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734"/>
    <w:rsid w:val="005A1997"/>
    <w:rsid w:val="005A1BD4"/>
    <w:rsid w:val="005A2BAC"/>
    <w:rsid w:val="005A2D70"/>
    <w:rsid w:val="005A4358"/>
    <w:rsid w:val="005A4418"/>
    <w:rsid w:val="005A4D2D"/>
    <w:rsid w:val="005A6378"/>
    <w:rsid w:val="005A6C35"/>
    <w:rsid w:val="005A6DEC"/>
    <w:rsid w:val="005B01F2"/>
    <w:rsid w:val="005B1396"/>
    <w:rsid w:val="005B1F31"/>
    <w:rsid w:val="005B3EB6"/>
    <w:rsid w:val="005B4DDD"/>
    <w:rsid w:val="005B5F54"/>
    <w:rsid w:val="005C0A52"/>
    <w:rsid w:val="005C0B7F"/>
    <w:rsid w:val="005C1FAF"/>
    <w:rsid w:val="005C25B9"/>
    <w:rsid w:val="005C27AF"/>
    <w:rsid w:val="005C4A52"/>
    <w:rsid w:val="005C70E8"/>
    <w:rsid w:val="005C7772"/>
    <w:rsid w:val="005C78FA"/>
    <w:rsid w:val="005D0628"/>
    <w:rsid w:val="005D14A8"/>
    <w:rsid w:val="005D14FC"/>
    <w:rsid w:val="005D18D2"/>
    <w:rsid w:val="005D2D5F"/>
    <w:rsid w:val="005D353A"/>
    <w:rsid w:val="005D3582"/>
    <w:rsid w:val="005D482A"/>
    <w:rsid w:val="005D60FE"/>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433C"/>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364"/>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6388"/>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0248"/>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062C"/>
    <w:rsid w:val="006B1632"/>
    <w:rsid w:val="006B2529"/>
    <w:rsid w:val="006B2CA4"/>
    <w:rsid w:val="006B2D7F"/>
    <w:rsid w:val="006B54BB"/>
    <w:rsid w:val="006B6994"/>
    <w:rsid w:val="006B6D80"/>
    <w:rsid w:val="006B6DB3"/>
    <w:rsid w:val="006B6F21"/>
    <w:rsid w:val="006B7130"/>
    <w:rsid w:val="006C0CD5"/>
    <w:rsid w:val="006C12F2"/>
    <w:rsid w:val="006C1813"/>
    <w:rsid w:val="006C2A53"/>
    <w:rsid w:val="006C48BC"/>
    <w:rsid w:val="006C4B3A"/>
    <w:rsid w:val="006C5BFF"/>
    <w:rsid w:val="006C5DAF"/>
    <w:rsid w:val="006C778F"/>
    <w:rsid w:val="006D16EE"/>
    <w:rsid w:val="006D1F59"/>
    <w:rsid w:val="006D3169"/>
    <w:rsid w:val="006D3F69"/>
    <w:rsid w:val="006D44CC"/>
    <w:rsid w:val="006D50F7"/>
    <w:rsid w:val="006D5883"/>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149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3DBC"/>
    <w:rsid w:val="00724B2D"/>
    <w:rsid w:val="00725DC7"/>
    <w:rsid w:val="00726535"/>
    <w:rsid w:val="00727214"/>
    <w:rsid w:val="007272EB"/>
    <w:rsid w:val="00731185"/>
    <w:rsid w:val="0073214E"/>
    <w:rsid w:val="00733B06"/>
    <w:rsid w:val="0073497A"/>
    <w:rsid w:val="00734BA4"/>
    <w:rsid w:val="00734D57"/>
    <w:rsid w:val="0073522D"/>
    <w:rsid w:val="0073545F"/>
    <w:rsid w:val="00737F05"/>
    <w:rsid w:val="007417C5"/>
    <w:rsid w:val="007417DE"/>
    <w:rsid w:val="0074182D"/>
    <w:rsid w:val="00742FDA"/>
    <w:rsid w:val="007446FC"/>
    <w:rsid w:val="00744ED9"/>
    <w:rsid w:val="00745184"/>
    <w:rsid w:val="00745908"/>
    <w:rsid w:val="0074721E"/>
    <w:rsid w:val="007477F4"/>
    <w:rsid w:val="00750358"/>
    <w:rsid w:val="00752F02"/>
    <w:rsid w:val="007538C7"/>
    <w:rsid w:val="00755201"/>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D3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C2AD4"/>
    <w:rsid w:val="007C2DD4"/>
    <w:rsid w:val="007C3B06"/>
    <w:rsid w:val="007C3E46"/>
    <w:rsid w:val="007C3F63"/>
    <w:rsid w:val="007C4F78"/>
    <w:rsid w:val="007C5024"/>
    <w:rsid w:val="007C5CBD"/>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7F51CA"/>
    <w:rsid w:val="007F5CFE"/>
    <w:rsid w:val="00800C4F"/>
    <w:rsid w:val="00804D26"/>
    <w:rsid w:val="008060D2"/>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3A4"/>
    <w:rsid w:val="00820CE5"/>
    <w:rsid w:val="00820E00"/>
    <w:rsid w:val="008213F1"/>
    <w:rsid w:val="00822C5F"/>
    <w:rsid w:val="008230BB"/>
    <w:rsid w:val="00823319"/>
    <w:rsid w:val="00825D43"/>
    <w:rsid w:val="00830148"/>
    <w:rsid w:val="00830FD2"/>
    <w:rsid w:val="008316AD"/>
    <w:rsid w:val="00832A66"/>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29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03E"/>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15D7"/>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C7B4E"/>
    <w:rsid w:val="008D0C62"/>
    <w:rsid w:val="008D250E"/>
    <w:rsid w:val="008D2528"/>
    <w:rsid w:val="008D2533"/>
    <w:rsid w:val="008D2CD6"/>
    <w:rsid w:val="008D39B0"/>
    <w:rsid w:val="008D4440"/>
    <w:rsid w:val="008D462B"/>
    <w:rsid w:val="008D4939"/>
    <w:rsid w:val="008D4F0B"/>
    <w:rsid w:val="008D549E"/>
    <w:rsid w:val="008D5DBA"/>
    <w:rsid w:val="008D6613"/>
    <w:rsid w:val="008E0465"/>
    <w:rsid w:val="008E1195"/>
    <w:rsid w:val="008E32F9"/>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6EAC"/>
    <w:rsid w:val="008F7EBB"/>
    <w:rsid w:val="008F7ED1"/>
    <w:rsid w:val="009001B6"/>
    <w:rsid w:val="0090056C"/>
    <w:rsid w:val="00900939"/>
    <w:rsid w:val="00900DF0"/>
    <w:rsid w:val="00903621"/>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0D3"/>
    <w:rsid w:val="009259EF"/>
    <w:rsid w:val="00927725"/>
    <w:rsid w:val="00930782"/>
    <w:rsid w:val="00930FFB"/>
    <w:rsid w:val="00931452"/>
    <w:rsid w:val="009320E8"/>
    <w:rsid w:val="009332EE"/>
    <w:rsid w:val="0093355A"/>
    <w:rsid w:val="009335BA"/>
    <w:rsid w:val="00934660"/>
    <w:rsid w:val="00934E21"/>
    <w:rsid w:val="00934FD0"/>
    <w:rsid w:val="00934FF9"/>
    <w:rsid w:val="009368DE"/>
    <w:rsid w:val="00936B44"/>
    <w:rsid w:val="00936EC8"/>
    <w:rsid w:val="009416FE"/>
    <w:rsid w:val="009417E1"/>
    <w:rsid w:val="0094189E"/>
    <w:rsid w:val="00942439"/>
    <w:rsid w:val="00942AE0"/>
    <w:rsid w:val="00945C13"/>
    <w:rsid w:val="00945D12"/>
    <w:rsid w:val="00945ECB"/>
    <w:rsid w:val="00947933"/>
    <w:rsid w:val="00947F9D"/>
    <w:rsid w:val="00950381"/>
    <w:rsid w:val="00953C4E"/>
    <w:rsid w:val="00960A89"/>
    <w:rsid w:val="00961F4C"/>
    <w:rsid w:val="00962287"/>
    <w:rsid w:val="00962690"/>
    <w:rsid w:val="00962C8F"/>
    <w:rsid w:val="00971077"/>
    <w:rsid w:val="00971B25"/>
    <w:rsid w:val="0097220B"/>
    <w:rsid w:val="00972EDB"/>
    <w:rsid w:val="00973FD3"/>
    <w:rsid w:val="00973FE6"/>
    <w:rsid w:val="009740C4"/>
    <w:rsid w:val="00976F69"/>
    <w:rsid w:val="00977958"/>
    <w:rsid w:val="00981F79"/>
    <w:rsid w:val="009825C9"/>
    <w:rsid w:val="009850EF"/>
    <w:rsid w:val="00985278"/>
    <w:rsid w:val="00985C17"/>
    <w:rsid w:val="009868FC"/>
    <w:rsid w:val="00990A70"/>
    <w:rsid w:val="00991558"/>
    <w:rsid w:val="00991A16"/>
    <w:rsid w:val="00992433"/>
    <w:rsid w:val="00992BE2"/>
    <w:rsid w:val="009941C2"/>
    <w:rsid w:val="0099562E"/>
    <w:rsid w:val="00996DDC"/>
    <w:rsid w:val="0099744B"/>
    <w:rsid w:val="009A2E41"/>
    <w:rsid w:val="009A52C1"/>
    <w:rsid w:val="009A5EA7"/>
    <w:rsid w:val="009B05E3"/>
    <w:rsid w:val="009B24AE"/>
    <w:rsid w:val="009B455D"/>
    <w:rsid w:val="009B4E8F"/>
    <w:rsid w:val="009B5EBC"/>
    <w:rsid w:val="009B7769"/>
    <w:rsid w:val="009C2436"/>
    <w:rsid w:val="009C2A3B"/>
    <w:rsid w:val="009C441C"/>
    <w:rsid w:val="009C4E6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392F"/>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283"/>
    <w:rsid w:val="00A3743F"/>
    <w:rsid w:val="00A378E5"/>
    <w:rsid w:val="00A40872"/>
    <w:rsid w:val="00A412EF"/>
    <w:rsid w:val="00A42EF2"/>
    <w:rsid w:val="00A44D84"/>
    <w:rsid w:val="00A4560F"/>
    <w:rsid w:val="00A45BD2"/>
    <w:rsid w:val="00A46F60"/>
    <w:rsid w:val="00A4716C"/>
    <w:rsid w:val="00A479EA"/>
    <w:rsid w:val="00A50436"/>
    <w:rsid w:val="00A514C2"/>
    <w:rsid w:val="00A5275D"/>
    <w:rsid w:val="00A52A12"/>
    <w:rsid w:val="00A52ED5"/>
    <w:rsid w:val="00A5372E"/>
    <w:rsid w:val="00A54194"/>
    <w:rsid w:val="00A543F8"/>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77B8C"/>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1C2B"/>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2A4"/>
    <w:rsid w:val="00AE32D0"/>
    <w:rsid w:val="00AE5BCC"/>
    <w:rsid w:val="00AE5FD3"/>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A9D"/>
    <w:rsid w:val="00B26BB7"/>
    <w:rsid w:val="00B30888"/>
    <w:rsid w:val="00B3107C"/>
    <w:rsid w:val="00B310CB"/>
    <w:rsid w:val="00B3123C"/>
    <w:rsid w:val="00B31E3B"/>
    <w:rsid w:val="00B32D74"/>
    <w:rsid w:val="00B3398A"/>
    <w:rsid w:val="00B3556D"/>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1764"/>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3A"/>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656"/>
    <w:rsid w:val="00C167D1"/>
    <w:rsid w:val="00C17D3D"/>
    <w:rsid w:val="00C212AB"/>
    <w:rsid w:val="00C214F0"/>
    <w:rsid w:val="00C221E0"/>
    <w:rsid w:val="00C25F59"/>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2F28"/>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1AC2"/>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44E8"/>
    <w:rsid w:val="00CA6A22"/>
    <w:rsid w:val="00CA6E12"/>
    <w:rsid w:val="00CB004D"/>
    <w:rsid w:val="00CB08D8"/>
    <w:rsid w:val="00CB0B66"/>
    <w:rsid w:val="00CB0E84"/>
    <w:rsid w:val="00CB34CC"/>
    <w:rsid w:val="00CB42F2"/>
    <w:rsid w:val="00CB4618"/>
    <w:rsid w:val="00CB510C"/>
    <w:rsid w:val="00CB67BD"/>
    <w:rsid w:val="00CC04CB"/>
    <w:rsid w:val="00CC14C4"/>
    <w:rsid w:val="00CC17D6"/>
    <w:rsid w:val="00CC4EAB"/>
    <w:rsid w:val="00CC5527"/>
    <w:rsid w:val="00CC7645"/>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1F7E"/>
    <w:rsid w:val="00D022DC"/>
    <w:rsid w:val="00D0253C"/>
    <w:rsid w:val="00D03292"/>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47D5B"/>
    <w:rsid w:val="00D50EE4"/>
    <w:rsid w:val="00D51945"/>
    <w:rsid w:val="00D522BB"/>
    <w:rsid w:val="00D52328"/>
    <w:rsid w:val="00D53045"/>
    <w:rsid w:val="00D5474F"/>
    <w:rsid w:val="00D55056"/>
    <w:rsid w:val="00D5547C"/>
    <w:rsid w:val="00D55C90"/>
    <w:rsid w:val="00D56022"/>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5B39"/>
    <w:rsid w:val="00DA6AA2"/>
    <w:rsid w:val="00DA7199"/>
    <w:rsid w:val="00DB07BF"/>
    <w:rsid w:val="00DB0C5B"/>
    <w:rsid w:val="00DB1A45"/>
    <w:rsid w:val="00DB1EB8"/>
    <w:rsid w:val="00DB675D"/>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331A"/>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5D7C"/>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26BD"/>
    <w:rsid w:val="00E626D5"/>
    <w:rsid w:val="00E627A0"/>
    <w:rsid w:val="00E64BA9"/>
    <w:rsid w:val="00E64E09"/>
    <w:rsid w:val="00E66472"/>
    <w:rsid w:val="00E66A5E"/>
    <w:rsid w:val="00E66AB0"/>
    <w:rsid w:val="00E71CCA"/>
    <w:rsid w:val="00E743CA"/>
    <w:rsid w:val="00E7534B"/>
    <w:rsid w:val="00E75F7D"/>
    <w:rsid w:val="00E77401"/>
    <w:rsid w:val="00E80FAC"/>
    <w:rsid w:val="00E82AFE"/>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585"/>
    <w:rsid w:val="00EA79E3"/>
    <w:rsid w:val="00EA7A0B"/>
    <w:rsid w:val="00EA7D9B"/>
    <w:rsid w:val="00EB24BD"/>
    <w:rsid w:val="00EB2F11"/>
    <w:rsid w:val="00EB40AE"/>
    <w:rsid w:val="00EB51CF"/>
    <w:rsid w:val="00EC0156"/>
    <w:rsid w:val="00EC0860"/>
    <w:rsid w:val="00EC18D0"/>
    <w:rsid w:val="00EC4AB0"/>
    <w:rsid w:val="00EC4E83"/>
    <w:rsid w:val="00EC56D6"/>
    <w:rsid w:val="00EC5EF0"/>
    <w:rsid w:val="00EC6384"/>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1D0F"/>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76"/>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6"/>
    <w:rsid w:val="00F63B9D"/>
    <w:rsid w:val="00F642F3"/>
    <w:rsid w:val="00F64418"/>
    <w:rsid w:val="00F648A1"/>
    <w:rsid w:val="00F64FAE"/>
    <w:rsid w:val="00F65F60"/>
    <w:rsid w:val="00F6665C"/>
    <w:rsid w:val="00F673C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0D7"/>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93E"/>
    <w:rsid w:val="00FD1C3A"/>
    <w:rsid w:val="00FD2521"/>
    <w:rsid w:val="00FD2638"/>
    <w:rsid w:val="00FD2B91"/>
    <w:rsid w:val="00FD34AB"/>
    <w:rsid w:val="00FD3B29"/>
    <w:rsid w:val="00FD4FB3"/>
    <w:rsid w:val="00FD564A"/>
    <w:rsid w:val="00FD5776"/>
    <w:rsid w:val="00FD5BB3"/>
    <w:rsid w:val="00FD7C06"/>
    <w:rsid w:val="00FE0C89"/>
    <w:rsid w:val="00FE1841"/>
    <w:rsid w:val="00FE1B00"/>
    <w:rsid w:val="00FE3446"/>
    <w:rsid w:val="00FE4072"/>
    <w:rsid w:val="00FE4AD9"/>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A5E35"/>
  <w15:docId w15:val="{4DE0A50D-F433-49F2-8C2E-7B46C40D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fr,o,Style 6,Style 20,Style 9,footnote text"/>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paragraph" w:styleId="BodyText2">
    <w:name w:val="Body Text 2"/>
    <w:basedOn w:val="Normal"/>
    <w:link w:val="BodyText2Char"/>
    <w:rsid w:val="00175A0C"/>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175A0C"/>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DFBAB-F22C-4C23-A6E8-3DD34516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24381</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Wagner, Nathan R</cp:lastModifiedBy>
  <cp:revision>3</cp:revision>
  <cp:lastPrinted>2017-09-19T20:03:00Z</cp:lastPrinted>
  <dcterms:created xsi:type="dcterms:W3CDTF">2018-06-27T23:58:00Z</dcterms:created>
  <dcterms:modified xsi:type="dcterms:W3CDTF">2018-07-12T12:19:00Z</dcterms:modified>
</cp:coreProperties>
</file>