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B1C30" w14:textId="77777777" w:rsidR="001F0176" w:rsidRPr="00FC3806" w:rsidRDefault="001F0176" w:rsidP="00027CB5">
      <w:pPr>
        <w:widowControl/>
        <w:tabs>
          <w:tab w:val="center" w:pos="4680"/>
        </w:tabs>
        <w:jc w:val="center"/>
        <w:rPr>
          <w:b/>
          <w:sz w:val="26"/>
          <w:szCs w:val="26"/>
        </w:rPr>
      </w:pPr>
      <w:r w:rsidRPr="00FC3806">
        <w:rPr>
          <w:b/>
          <w:sz w:val="26"/>
          <w:szCs w:val="26"/>
        </w:rPr>
        <w:t>PENNSYLVANIA</w:t>
      </w:r>
    </w:p>
    <w:p w14:paraId="3CE5121D" w14:textId="77777777" w:rsidR="001F0176" w:rsidRPr="00FC3806" w:rsidRDefault="001F0176" w:rsidP="00027CB5">
      <w:pPr>
        <w:widowControl/>
        <w:tabs>
          <w:tab w:val="center" w:pos="4680"/>
        </w:tabs>
        <w:jc w:val="center"/>
        <w:rPr>
          <w:sz w:val="26"/>
          <w:szCs w:val="26"/>
        </w:rPr>
      </w:pPr>
      <w:r w:rsidRPr="00FC3806">
        <w:rPr>
          <w:b/>
          <w:sz w:val="26"/>
          <w:szCs w:val="26"/>
        </w:rPr>
        <w:t>PUBLIC UTILITY COMMISSION</w:t>
      </w:r>
    </w:p>
    <w:p w14:paraId="3AF4B09C" w14:textId="77777777" w:rsidR="001F0176" w:rsidRPr="00FC3806" w:rsidRDefault="001F0176" w:rsidP="00027CB5">
      <w:pPr>
        <w:widowControl/>
        <w:tabs>
          <w:tab w:val="center" w:pos="4680"/>
        </w:tabs>
        <w:jc w:val="center"/>
        <w:rPr>
          <w:sz w:val="26"/>
          <w:szCs w:val="26"/>
        </w:rPr>
      </w:pPr>
      <w:r w:rsidRPr="00FC3806">
        <w:rPr>
          <w:b/>
          <w:sz w:val="26"/>
          <w:szCs w:val="26"/>
        </w:rPr>
        <w:t>Harrisburg, PA 17105-3265</w:t>
      </w:r>
    </w:p>
    <w:p w14:paraId="582834DA" w14:textId="77777777" w:rsidR="001F0176" w:rsidRDefault="001F0176" w:rsidP="00027CB5">
      <w:pPr>
        <w:widowControl/>
        <w:rPr>
          <w:sz w:val="26"/>
          <w:szCs w:val="26"/>
        </w:rPr>
      </w:pPr>
    </w:p>
    <w:p w14:paraId="1980636B" w14:textId="77777777" w:rsidR="001F0176" w:rsidRPr="00FC3806" w:rsidRDefault="001F0176" w:rsidP="00027CB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F0176" w:rsidRPr="00FC3806" w14:paraId="2ECDD1B8" w14:textId="77777777" w:rsidTr="009C0A32">
        <w:tc>
          <w:tcPr>
            <w:tcW w:w="4821" w:type="dxa"/>
          </w:tcPr>
          <w:p w14:paraId="6D72B9A3" w14:textId="77777777" w:rsidR="001F0176" w:rsidRPr="00FC3806" w:rsidRDefault="001F0176" w:rsidP="00027CB5">
            <w:pPr>
              <w:widowControl/>
              <w:rPr>
                <w:sz w:val="26"/>
                <w:szCs w:val="26"/>
              </w:rPr>
            </w:pPr>
          </w:p>
        </w:tc>
        <w:tc>
          <w:tcPr>
            <w:tcW w:w="4539" w:type="dxa"/>
          </w:tcPr>
          <w:p w14:paraId="6548A423" w14:textId="014E0787" w:rsidR="001F0176" w:rsidRPr="00FC3806" w:rsidRDefault="001F0176" w:rsidP="00027CB5">
            <w:pPr>
              <w:widowControl/>
              <w:jc w:val="right"/>
              <w:rPr>
                <w:sz w:val="26"/>
                <w:szCs w:val="26"/>
              </w:rPr>
            </w:pPr>
            <w:r w:rsidRPr="00FC3806">
              <w:rPr>
                <w:sz w:val="26"/>
                <w:szCs w:val="26"/>
              </w:rPr>
              <w:t xml:space="preserve">Public Meeting held </w:t>
            </w:r>
            <w:r w:rsidR="00B55E0B">
              <w:rPr>
                <w:sz w:val="26"/>
                <w:szCs w:val="26"/>
              </w:rPr>
              <w:t>Ju</w:t>
            </w:r>
            <w:r w:rsidR="008E06F7">
              <w:rPr>
                <w:sz w:val="26"/>
                <w:szCs w:val="26"/>
              </w:rPr>
              <w:t>ly</w:t>
            </w:r>
            <w:r w:rsidR="00B55E0B">
              <w:rPr>
                <w:sz w:val="26"/>
                <w:szCs w:val="26"/>
              </w:rPr>
              <w:t xml:space="preserve"> 1</w:t>
            </w:r>
            <w:r w:rsidR="008E06F7">
              <w:rPr>
                <w:sz w:val="26"/>
                <w:szCs w:val="26"/>
              </w:rPr>
              <w:t>2</w:t>
            </w:r>
            <w:r w:rsidRPr="00FC3806">
              <w:rPr>
                <w:sz w:val="26"/>
                <w:szCs w:val="26"/>
              </w:rPr>
              <w:t>, 201</w:t>
            </w:r>
            <w:r w:rsidR="00B55E0B">
              <w:rPr>
                <w:sz w:val="26"/>
                <w:szCs w:val="26"/>
              </w:rPr>
              <w:t>8</w:t>
            </w:r>
          </w:p>
        </w:tc>
      </w:tr>
      <w:tr w:rsidR="00744816" w:rsidRPr="00FC3806" w14:paraId="3996364A" w14:textId="77777777" w:rsidTr="00F979F9">
        <w:tc>
          <w:tcPr>
            <w:tcW w:w="9360" w:type="dxa"/>
            <w:gridSpan w:val="2"/>
          </w:tcPr>
          <w:p w14:paraId="5E732997" w14:textId="77777777" w:rsidR="00744816" w:rsidRDefault="00744816" w:rsidP="00027CB5">
            <w:pPr>
              <w:widowControl/>
              <w:rPr>
                <w:sz w:val="26"/>
                <w:szCs w:val="26"/>
              </w:rPr>
            </w:pPr>
          </w:p>
          <w:p w14:paraId="030F7F05" w14:textId="77777777" w:rsidR="00744816" w:rsidRPr="00FC3806" w:rsidRDefault="00744816" w:rsidP="00027CB5">
            <w:pPr>
              <w:widowControl/>
              <w:rPr>
                <w:sz w:val="26"/>
                <w:szCs w:val="26"/>
              </w:rPr>
            </w:pPr>
            <w:r w:rsidRPr="00FC3806">
              <w:rPr>
                <w:sz w:val="26"/>
                <w:szCs w:val="26"/>
              </w:rPr>
              <w:t>Commissioners Present:</w:t>
            </w:r>
          </w:p>
          <w:p w14:paraId="04888B48" w14:textId="77777777" w:rsidR="00744816" w:rsidRPr="00FC3806" w:rsidRDefault="00744816" w:rsidP="00027CB5">
            <w:pPr>
              <w:widowControl/>
              <w:rPr>
                <w:sz w:val="26"/>
                <w:szCs w:val="26"/>
              </w:rPr>
            </w:pPr>
          </w:p>
          <w:p w14:paraId="0553FFEF" w14:textId="77777777" w:rsidR="00744816" w:rsidRPr="002A5D4B" w:rsidRDefault="00744816" w:rsidP="00027CB5">
            <w:pPr>
              <w:widowControl/>
              <w:rPr>
                <w:sz w:val="26"/>
                <w:szCs w:val="26"/>
              </w:rPr>
            </w:pPr>
            <w:r>
              <w:rPr>
                <w:sz w:val="26"/>
                <w:szCs w:val="26"/>
              </w:rPr>
              <w:tab/>
              <w:t>Gladys M. Brown</w:t>
            </w:r>
            <w:r w:rsidRPr="002A5D4B">
              <w:rPr>
                <w:sz w:val="26"/>
                <w:szCs w:val="26"/>
              </w:rPr>
              <w:t>, Chairman</w:t>
            </w:r>
          </w:p>
          <w:p w14:paraId="028E35D5" w14:textId="77777777" w:rsidR="00744816" w:rsidRDefault="00744816" w:rsidP="00027CB5">
            <w:pPr>
              <w:widowControl/>
              <w:rPr>
                <w:sz w:val="26"/>
                <w:szCs w:val="26"/>
              </w:rPr>
            </w:pPr>
            <w:r>
              <w:rPr>
                <w:sz w:val="26"/>
                <w:szCs w:val="26"/>
              </w:rPr>
              <w:tab/>
              <w:t>Andrew G. Place</w:t>
            </w:r>
            <w:r w:rsidRPr="002A5D4B">
              <w:rPr>
                <w:sz w:val="26"/>
                <w:szCs w:val="26"/>
              </w:rPr>
              <w:t>, Vice Chairman</w:t>
            </w:r>
          </w:p>
          <w:p w14:paraId="24B3D193" w14:textId="5F11183A" w:rsidR="00744816" w:rsidRDefault="00744816" w:rsidP="00027CB5">
            <w:pPr>
              <w:widowControl/>
              <w:rPr>
                <w:sz w:val="26"/>
                <w:szCs w:val="26"/>
              </w:rPr>
            </w:pPr>
            <w:r>
              <w:rPr>
                <w:sz w:val="26"/>
                <w:szCs w:val="26"/>
              </w:rPr>
              <w:tab/>
              <w:t>Norman J. Kennard, dissenting</w:t>
            </w:r>
          </w:p>
          <w:p w14:paraId="217BB2E3" w14:textId="77777777" w:rsidR="00744816" w:rsidRDefault="00744816" w:rsidP="00027CB5">
            <w:pPr>
              <w:widowControl/>
              <w:rPr>
                <w:sz w:val="26"/>
                <w:szCs w:val="26"/>
              </w:rPr>
            </w:pPr>
            <w:r>
              <w:rPr>
                <w:sz w:val="26"/>
                <w:szCs w:val="26"/>
              </w:rPr>
              <w:tab/>
              <w:t>David W. Sweet</w:t>
            </w:r>
          </w:p>
          <w:p w14:paraId="33964E20" w14:textId="5E7385FC" w:rsidR="00744816" w:rsidRPr="00FC3806" w:rsidRDefault="00744816" w:rsidP="00744816">
            <w:pPr>
              <w:widowControl/>
              <w:rPr>
                <w:sz w:val="26"/>
                <w:szCs w:val="26"/>
              </w:rPr>
            </w:pPr>
            <w:r>
              <w:rPr>
                <w:sz w:val="26"/>
                <w:szCs w:val="26"/>
              </w:rPr>
              <w:tab/>
              <w:t>John F. Coleman, Jr., Statement, dissenting</w:t>
            </w:r>
          </w:p>
          <w:p w14:paraId="283FFB3E" w14:textId="77777777" w:rsidR="00744816" w:rsidRPr="00FC3806" w:rsidRDefault="00744816" w:rsidP="00027CB5">
            <w:pPr>
              <w:widowControl/>
              <w:jc w:val="right"/>
              <w:rPr>
                <w:sz w:val="26"/>
                <w:szCs w:val="26"/>
              </w:rPr>
            </w:pPr>
          </w:p>
        </w:tc>
      </w:tr>
      <w:tr w:rsidR="001F0176" w:rsidRPr="00FC3806" w14:paraId="4F1D6045" w14:textId="77777777" w:rsidTr="009C0A32">
        <w:tc>
          <w:tcPr>
            <w:tcW w:w="4821" w:type="dxa"/>
          </w:tcPr>
          <w:p w14:paraId="52AD9AA2" w14:textId="77777777" w:rsidR="001F0176" w:rsidRDefault="001F0176" w:rsidP="00027CB5">
            <w:pPr>
              <w:widowControl/>
              <w:rPr>
                <w:sz w:val="26"/>
                <w:szCs w:val="26"/>
              </w:rPr>
            </w:pPr>
          </w:p>
          <w:p w14:paraId="69122C50" w14:textId="77777777" w:rsidR="001F0176" w:rsidRPr="00FC3806" w:rsidRDefault="00862389" w:rsidP="00027CB5">
            <w:pPr>
              <w:widowControl/>
              <w:rPr>
                <w:sz w:val="26"/>
                <w:szCs w:val="26"/>
              </w:rPr>
            </w:pPr>
            <w:r>
              <w:rPr>
                <w:sz w:val="26"/>
                <w:szCs w:val="26"/>
              </w:rPr>
              <w:t>Eartha Page</w:t>
            </w:r>
          </w:p>
          <w:p w14:paraId="793AF5BD" w14:textId="77777777" w:rsidR="001F0176" w:rsidRPr="00FC3806" w:rsidRDefault="001F0176" w:rsidP="00027CB5">
            <w:pPr>
              <w:widowControl/>
              <w:rPr>
                <w:sz w:val="26"/>
                <w:szCs w:val="26"/>
              </w:rPr>
            </w:pPr>
          </w:p>
        </w:tc>
        <w:tc>
          <w:tcPr>
            <w:tcW w:w="4539" w:type="dxa"/>
          </w:tcPr>
          <w:p w14:paraId="65F25D74" w14:textId="77777777" w:rsidR="001F0176" w:rsidRPr="00FC3806" w:rsidRDefault="001F0176" w:rsidP="00027CB5">
            <w:pPr>
              <w:widowControl/>
              <w:rPr>
                <w:sz w:val="26"/>
                <w:szCs w:val="26"/>
              </w:rPr>
            </w:pPr>
          </w:p>
          <w:p w14:paraId="1DF8067B" w14:textId="77777777" w:rsidR="001F0176" w:rsidRPr="00FC3806" w:rsidRDefault="00862389" w:rsidP="00027CB5">
            <w:pPr>
              <w:widowControl/>
              <w:jc w:val="right"/>
              <w:rPr>
                <w:sz w:val="26"/>
                <w:szCs w:val="26"/>
              </w:rPr>
            </w:pPr>
            <w:r>
              <w:rPr>
                <w:sz w:val="26"/>
                <w:szCs w:val="26"/>
              </w:rPr>
              <w:t>F</w:t>
            </w:r>
            <w:r w:rsidR="00BD70D6">
              <w:rPr>
                <w:sz w:val="26"/>
                <w:szCs w:val="26"/>
              </w:rPr>
              <w:t>-201</w:t>
            </w:r>
            <w:r>
              <w:rPr>
                <w:sz w:val="26"/>
                <w:szCs w:val="26"/>
              </w:rPr>
              <w:t>6</w:t>
            </w:r>
            <w:r w:rsidR="00BD70D6">
              <w:rPr>
                <w:sz w:val="26"/>
                <w:szCs w:val="26"/>
              </w:rPr>
              <w:t>-25</w:t>
            </w:r>
            <w:r>
              <w:rPr>
                <w:sz w:val="26"/>
                <w:szCs w:val="26"/>
              </w:rPr>
              <w:t>71178</w:t>
            </w:r>
          </w:p>
        </w:tc>
      </w:tr>
      <w:tr w:rsidR="001F0176" w:rsidRPr="00FC3806" w14:paraId="05381F82" w14:textId="77777777" w:rsidTr="009C0A32">
        <w:tc>
          <w:tcPr>
            <w:tcW w:w="4821" w:type="dxa"/>
          </w:tcPr>
          <w:p w14:paraId="35030AC3" w14:textId="77777777" w:rsidR="001F0176" w:rsidRPr="00FC3806" w:rsidRDefault="001F0176" w:rsidP="00027CB5">
            <w:pPr>
              <w:widowControl/>
              <w:ind w:firstLine="720"/>
              <w:rPr>
                <w:sz w:val="26"/>
                <w:szCs w:val="26"/>
              </w:rPr>
            </w:pPr>
            <w:r w:rsidRPr="00FC3806">
              <w:rPr>
                <w:sz w:val="26"/>
                <w:szCs w:val="26"/>
              </w:rPr>
              <w:t>v.</w:t>
            </w:r>
          </w:p>
          <w:p w14:paraId="50C0B08F" w14:textId="77777777" w:rsidR="001F0176" w:rsidRPr="00FC3806" w:rsidRDefault="001F0176" w:rsidP="00027CB5">
            <w:pPr>
              <w:widowControl/>
              <w:ind w:firstLine="1440"/>
              <w:rPr>
                <w:sz w:val="26"/>
                <w:szCs w:val="26"/>
              </w:rPr>
            </w:pPr>
          </w:p>
        </w:tc>
        <w:tc>
          <w:tcPr>
            <w:tcW w:w="4539" w:type="dxa"/>
          </w:tcPr>
          <w:p w14:paraId="0B423000" w14:textId="77777777" w:rsidR="001F0176" w:rsidRPr="00FC3806" w:rsidRDefault="001F0176" w:rsidP="00027CB5">
            <w:pPr>
              <w:widowControl/>
              <w:rPr>
                <w:sz w:val="26"/>
                <w:szCs w:val="26"/>
              </w:rPr>
            </w:pPr>
          </w:p>
        </w:tc>
      </w:tr>
      <w:tr w:rsidR="001F0176" w:rsidRPr="00FC3806" w14:paraId="3662C4BE" w14:textId="77777777" w:rsidTr="009C0A32">
        <w:tc>
          <w:tcPr>
            <w:tcW w:w="4821" w:type="dxa"/>
          </w:tcPr>
          <w:p w14:paraId="551D77D8" w14:textId="77777777" w:rsidR="001F0176" w:rsidRPr="00FC3806" w:rsidRDefault="00862389" w:rsidP="00027CB5">
            <w:pPr>
              <w:widowControl/>
              <w:rPr>
                <w:sz w:val="26"/>
                <w:szCs w:val="26"/>
              </w:rPr>
            </w:pPr>
            <w:r>
              <w:rPr>
                <w:sz w:val="26"/>
                <w:szCs w:val="26"/>
              </w:rPr>
              <w:t>PECO Energy Company</w:t>
            </w:r>
          </w:p>
          <w:p w14:paraId="668B8D75" w14:textId="77777777" w:rsidR="001F0176" w:rsidRPr="00FC3806" w:rsidRDefault="001F0176" w:rsidP="00027CB5">
            <w:pPr>
              <w:widowControl/>
              <w:rPr>
                <w:sz w:val="26"/>
                <w:szCs w:val="26"/>
              </w:rPr>
            </w:pPr>
          </w:p>
        </w:tc>
        <w:tc>
          <w:tcPr>
            <w:tcW w:w="4539" w:type="dxa"/>
          </w:tcPr>
          <w:p w14:paraId="12BEA23D" w14:textId="77777777" w:rsidR="001F0176" w:rsidRPr="00FC3806" w:rsidRDefault="001F0176" w:rsidP="00027CB5">
            <w:pPr>
              <w:widowControl/>
              <w:rPr>
                <w:sz w:val="26"/>
                <w:szCs w:val="26"/>
              </w:rPr>
            </w:pPr>
          </w:p>
        </w:tc>
      </w:tr>
    </w:tbl>
    <w:p w14:paraId="06228AEA" w14:textId="77777777" w:rsidR="001F0176" w:rsidRPr="00FC3806" w:rsidRDefault="001F0176" w:rsidP="00027CB5">
      <w:pPr>
        <w:widowControl/>
        <w:rPr>
          <w:sz w:val="26"/>
          <w:szCs w:val="26"/>
        </w:rPr>
      </w:pPr>
    </w:p>
    <w:p w14:paraId="7637D6F8" w14:textId="77777777" w:rsidR="001F0176" w:rsidRPr="00FC3806" w:rsidRDefault="001F0176" w:rsidP="00027CB5">
      <w:pPr>
        <w:widowControl/>
        <w:spacing w:line="360" w:lineRule="auto"/>
        <w:jc w:val="center"/>
        <w:rPr>
          <w:b/>
          <w:sz w:val="26"/>
          <w:szCs w:val="26"/>
        </w:rPr>
      </w:pPr>
      <w:r w:rsidRPr="00FC3806">
        <w:rPr>
          <w:b/>
          <w:sz w:val="26"/>
          <w:szCs w:val="26"/>
        </w:rPr>
        <w:t>OPINION AND ORDER</w:t>
      </w:r>
    </w:p>
    <w:p w14:paraId="573EEF7D" w14:textId="77777777" w:rsidR="001F0176" w:rsidRPr="00FC3806" w:rsidRDefault="001F0176" w:rsidP="00027CB5">
      <w:pPr>
        <w:widowControl/>
        <w:spacing w:line="360" w:lineRule="auto"/>
        <w:rPr>
          <w:b/>
          <w:sz w:val="26"/>
          <w:szCs w:val="26"/>
        </w:rPr>
      </w:pPr>
      <w:r w:rsidRPr="00FC3806">
        <w:rPr>
          <w:b/>
          <w:sz w:val="26"/>
          <w:szCs w:val="26"/>
        </w:rPr>
        <w:t>BY THE COMMISSION:</w:t>
      </w:r>
    </w:p>
    <w:p w14:paraId="247670F1" w14:textId="77777777" w:rsidR="001F0176" w:rsidRPr="00FC3806" w:rsidRDefault="001F0176" w:rsidP="00027CB5">
      <w:pPr>
        <w:widowControl/>
        <w:spacing w:line="360" w:lineRule="auto"/>
        <w:rPr>
          <w:b/>
          <w:sz w:val="26"/>
          <w:szCs w:val="26"/>
        </w:rPr>
      </w:pPr>
    </w:p>
    <w:p w14:paraId="6ED7A1EB" w14:textId="6350FBB3" w:rsidR="001F0176" w:rsidRPr="00FC3806" w:rsidRDefault="001F0176" w:rsidP="00027CB5">
      <w:pPr>
        <w:widowControl/>
        <w:spacing w:line="360" w:lineRule="auto"/>
        <w:ind w:firstLine="1440"/>
        <w:rPr>
          <w:sz w:val="26"/>
          <w:szCs w:val="26"/>
        </w:rPr>
      </w:pPr>
      <w:r w:rsidRPr="00FC3806">
        <w:rPr>
          <w:sz w:val="26"/>
          <w:szCs w:val="26"/>
        </w:rPr>
        <w:t xml:space="preserve">Before the Pennsylvania Public Utility Commission (Commission) for consideration and disposition </w:t>
      </w:r>
      <w:r w:rsidR="0047617A">
        <w:rPr>
          <w:sz w:val="26"/>
          <w:szCs w:val="26"/>
        </w:rPr>
        <w:t>are the Exceptions of Eartha Page</w:t>
      </w:r>
      <w:r w:rsidR="005E10A3">
        <w:rPr>
          <w:sz w:val="26"/>
          <w:szCs w:val="26"/>
        </w:rPr>
        <w:t xml:space="preserve"> (Ms. Page or Complainant) </w:t>
      </w:r>
      <w:r w:rsidR="00EB267E">
        <w:rPr>
          <w:sz w:val="26"/>
          <w:szCs w:val="26"/>
        </w:rPr>
        <w:t xml:space="preserve">filed on July 13, 2017, </w:t>
      </w:r>
      <w:r w:rsidR="0047617A">
        <w:rPr>
          <w:sz w:val="26"/>
          <w:szCs w:val="26"/>
        </w:rPr>
        <w:t xml:space="preserve">to the </w:t>
      </w:r>
      <w:r w:rsidRPr="00FC3806">
        <w:rPr>
          <w:sz w:val="26"/>
          <w:szCs w:val="26"/>
        </w:rPr>
        <w:t xml:space="preserve">Initial Decision (I.D.) of Administrative Law Judge (ALJ) </w:t>
      </w:r>
      <w:r w:rsidR="00180FE2">
        <w:rPr>
          <w:sz w:val="26"/>
          <w:szCs w:val="26"/>
        </w:rPr>
        <w:t>Marta Guhl</w:t>
      </w:r>
      <w:r w:rsidRPr="00FC3806">
        <w:rPr>
          <w:sz w:val="26"/>
          <w:szCs w:val="26"/>
        </w:rPr>
        <w:t xml:space="preserve">, </w:t>
      </w:r>
      <w:r w:rsidR="00EB267E">
        <w:rPr>
          <w:sz w:val="26"/>
          <w:szCs w:val="26"/>
        </w:rPr>
        <w:t xml:space="preserve">which was </w:t>
      </w:r>
      <w:r w:rsidRPr="00FC3806">
        <w:rPr>
          <w:sz w:val="26"/>
          <w:szCs w:val="26"/>
        </w:rPr>
        <w:t xml:space="preserve">issued on </w:t>
      </w:r>
      <w:r w:rsidR="00F91FC0">
        <w:rPr>
          <w:sz w:val="26"/>
          <w:szCs w:val="26"/>
        </w:rPr>
        <w:t>June 6, 2017</w:t>
      </w:r>
      <w:r w:rsidR="00AC6661">
        <w:rPr>
          <w:sz w:val="26"/>
          <w:szCs w:val="26"/>
        </w:rPr>
        <w:t>,</w:t>
      </w:r>
      <w:r w:rsidRPr="00FC3806">
        <w:rPr>
          <w:sz w:val="26"/>
          <w:szCs w:val="26"/>
        </w:rPr>
        <w:t xml:space="preserve"> </w:t>
      </w:r>
      <w:r w:rsidR="00EB267E">
        <w:rPr>
          <w:sz w:val="26"/>
          <w:szCs w:val="26"/>
        </w:rPr>
        <w:t xml:space="preserve">and </w:t>
      </w:r>
      <w:r w:rsidR="005E10A3">
        <w:rPr>
          <w:sz w:val="26"/>
          <w:szCs w:val="26"/>
        </w:rPr>
        <w:t xml:space="preserve">which </w:t>
      </w:r>
      <w:r w:rsidRPr="00FC3806">
        <w:rPr>
          <w:sz w:val="26"/>
          <w:szCs w:val="26"/>
        </w:rPr>
        <w:t>dismiss</w:t>
      </w:r>
      <w:r w:rsidR="005E10A3">
        <w:rPr>
          <w:sz w:val="26"/>
          <w:szCs w:val="26"/>
        </w:rPr>
        <w:t>ed,</w:t>
      </w:r>
      <w:r w:rsidRPr="00FC3806">
        <w:rPr>
          <w:sz w:val="26"/>
          <w:szCs w:val="26"/>
        </w:rPr>
        <w:t xml:space="preserve"> with prejudice</w:t>
      </w:r>
      <w:r w:rsidR="005E10A3">
        <w:rPr>
          <w:sz w:val="26"/>
          <w:szCs w:val="26"/>
        </w:rPr>
        <w:t>,</w:t>
      </w:r>
      <w:r w:rsidRPr="00FC3806">
        <w:rPr>
          <w:sz w:val="26"/>
          <w:szCs w:val="26"/>
        </w:rPr>
        <w:t xml:space="preserve"> </w:t>
      </w:r>
      <w:r w:rsidR="005E10A3">
        <w:rPr>
          <w:sz w:val="26"/>
          <w:szCs w:val="26"/>
        </w:rPr>
        <w:t xml:space="preserve">Ms. Page’s Formal Complaint.  </w:t>
      </w:r>
      <w:r w:rsidR="0066095F">
        <w:rPr>
          <w:sz w:val="26"/>
          <w:szCs w:val="26"/>
        </w:rPr>
        <w:t>P</w:t>
      </w:r>
      <w:r w:rsidR="00180FE2">
        <w:rPr>
          <w:sz w:val="26"/>
          <w:szCs w:val="26"/>
        </w:rPr>
        <w:t>ECO</w:t>
      </w:r>
      <w:r w:rsidR="0066095F">
        <w:rPr>
          <w:sz w:val="26"/>
          <w:szCs w:val="26"/>
        </w:rPr>
        <w:t xml:space="preserve"> </w:t>
      </w:r>
      <w:r w:rsidR="00AC6661">
        <w:rPr>
          <w:sz w:val="26"/>
          <w:szCs w:val="26"/>
        </w:rPr>
        <w:t>file</w:t>
      </w:r>
      <w:r w:rsidR="0066095F">
        <w:rPr>
          <w:sz w:val="26"/>
          <w:szCs w:val="26"/>
        </w:rPr>
        <w:t xml:space="preserve">d </w:t>
      </w:r>
      <w:r w:rsidR="00180FE2">
        <w:rPr>
          <w:sz w:val="26"/>
          <w:szCs w:val="26"/>
        </w:rPr>
        <w:t>Replies to Exceptions on July 31</w:t>
      </w:r>
      <w:r w:rsidR="0066095F">
        <w:rPr>
          <w:sz w:val="26"/>
          <w:szCs w:val="26"/>
        </w:rPr>
        <w:t>, 2017</w:t>
      </w:r>
      <w:r w:rsidR="00AC6661">
        <w:rPr>
          <w:sz w:val="26"/>
          <w:szCs w:val="26"/>
        </w:rPr>
        <w:t>.</w:t>
      </w:r>
      <w:r w:rsidRPr="00FC3806">
        <w:rPr>
          <w:sz w:val="26"/>
          <w:szCs w:val="26"/>
        </w:rPr>
        <w:t xml:space="preserve">  </w:t>
      </w:r>
      <w:r w:rsidRPr="00626B80">
        <w:rPr>
          <w:sz w:val="26"/>
          <w:szCs w:val="26"/>
        </w:rPr>
        <w:t xml:space="preserve">For the reasons set forth below, we shall </w:t>
      </w:r>
      <w:r w:rsidR="00626B80" w:rsidRPr="00626B80">
        <w:rPr>
          <w:sz w:val="26"/>
          <w:szCs w:val="26"/>
        </w:rPr>
        <w:t xml:space="preserve">grant </w:t>
      </w:r>
      <w:r w:rsidR="006E1783" w:rsidRPr="00626B80">
        <w:rPr>
          <w:sz w:val="26"/>
          <w:szCs w:val="26"/>
        </w:rPr>
        <w:t>the Exceptions</w:t>
      </w:r>
      <w:r w:rsidR="00626B80" w:rsidRPr="00626B80">
        <w:rPr>
          <w:sz w:val="26"/>
          <w:szCs w:val="26"/>
        </w:rPr>
        <w:t xml:space="preserve">, modify </w:t>
      </w:r>
      <w:r w:rsidR="006E1783" w:rsidRPr="00626B80">
        <w:rPr>
          <w:sz w:val="26"/>
          <w:szCs w:val="26"/>
        </w:rPr>
        <w:t>th</w:t>
      </w:r>
      <w:r w:rsidR="00626B80" w:rsidRPr="00626B80">
        <w:rPr>
          <w:sz w:val="26"/>
          <w:szCs w:val="26"/>
        </w:rPr>
        <w:t>e Initial Decision of ALJ Guhl and remand this matter to the Office of Administrative Law Judge</w:t>
      </w:r>
      <w:r w:rsidR="00626B80">
        <w:rPr>
          <w:sz w:val="26"/>
          <w:szCs w:val="26"/>
        </w:rPr>
        <w:t xml:space="preserve"> (OALJ)</w:t>
      </w:r>
      <w:r w:rsidR="00626B80" w:rsidRPr="00626B80">
        <w:rPr>
          <w:sz w:val="26"/>
          <w:szCs w:val="26"/>
        </w:rPr>
        <w:t xml:space="preserve"> for </w:t>
      </w:r>
      <w:r w:rsidR="004A2C4A">
        <w:rPr>
          <w:sz w:val="26"/>
          <w:szCs w:val="26"/>
        </w:rPr>
        <w:t xml:space="preserve">such </w:t>
      </w:r>
      <w:r w:rsidR="00626B80" w:rsidRPr="00626B80">
        <w:rPr>
          <w:sz w:val="26"/>
          <w:szCs w:val="26"/>
        </w:rPr>
        <w:t>further proceedings</w:t>
      </w:r>
      <w:r w:rsidR="004A2C4A">
        <w:rPr>
          <w:sz w:val="26"/>
          <w:szCs w:val="26"/>
        </w:rPr>
        <w:t xml:space="preserve"> as may be necessary and the issuance of an Initial Decision on Remand</w:t>
      </w:r>
      <w:r w:rsidR="006E1783" w:rsidRPr="00626B80">
        <w:rPr>
          <w:sz w:val="26"/>
          <w:szCs w:val="26"/>
        </w:rPr>
        <w:t>.</w:t>
      </w:r>
    </w:p>
    <w:p w14:paraId="616BA270" w14:textId="77777777" w:rsidR="001F0176" w:rsidRDefault="001F0176" w:rsidP="00027CB5">
      <w:pPr>
        <w:widowControl/>
        <w:spacing w:line="360" w:lineRule="auto"/>
        <w:rPr>
          <w:sz w:val="26"/>
        </w:rPr>
      </w:pPr>
    </w:p>
    <w:p w14:paraId="79439C71" w14:textId="77777777" w:rsidR="0066095F" w:rsidRPr="00FC3806" w:rsidRDefault="0066095F" w:rsidP="00027CB5">
      <w:pPr>
        <w:widowControl/>
        <w:spacing w:line="360" w:lineRule="auto"/>
        <w:rPr>
          <w:sz w:val="26"/>
        </w:rPr>
      </w:pPr>
    </w:p>
    <w:p w14:paraId="31D5A1A0" w14:textId="77777777" w:rsidR="001F0176" w:rsidRPr="00F91FC0" w:rsidRDefault="001F0176" w:rsidP="00027CB5">
      <w:pPr>
        <w:keepNext/>
        <w:keepLines/>
        <w:widowControl/>
        <w:spacing w:line="360" w:lineRule="auto"/>
        <w:jc w:val="center"/>
        <w:rPr>
          <w:b/>
          <w:sz w:val="26"/>
          <w:szCs w:val="26"/>
        </w:rPr>
      </w:pPr>
      <w:r w:rsidRPr="00FC3806">
        <w:rPr>
          <w:b/>
          <w:sz w:val="26"/>
          <w:szCs w:val="26"/>
        </w:rPr>
        <w:t>History of the Proceeding</w:t>
      </w:r>
    </w:p>
    <w:p w14:paraId="6BA6334A" w14:textId="77777777" w:rsidR="002B2C4A" w:rsidRPr="002B2C4A" w:rsidRDefault="002B2C4A" w:rsidP="00027CB5">
      <w:pPr>
        <w:keepNext/>
        <w:keepLines/>
        <w:widowControl/>
        <w:autoSpaceDE w:val="0"/>
        <w:autoSpaceDN w:val="0"/>
        <w:adjustRightInd w:val="0"/>
        <w:spacing w:line="360" w:lineRule="auto"/>
        <w:rPr>
          <w:rFonts w:eastAsiaTheme="minorHAnsi"/>
          <w:color w:val="000000"/>
          <w:sz w:val="24"/>
          <w:szCs w:val="24"/>
        </w:rPr>
      </w:pPr>
    </w:p>
    <w:p w14:paraId="620A989D" w14:textId="11A55569" w:rsidR="00F91FC0" w:rsidRPr="00F91FC0" w:rsidRDefault="002B2C4A" w:rsidP="00027CB5">
      <w:pPr>
        <w:widowControl/>
        <w:spacing w:line="360" w:lineRule="auto"/>
        <w:ind w:firstLine="1440"/>
        <w:rPr>
          <w:rFonts w:eastAsiaTheme="minorHAnsi"/>
          <w:color w:val="000000"/>
          <w:sz w:val="26"/>
          <w:szCs w:val="26"/>
        </w:rPr>
      </w:pPr>
      <w:r w:rsidRPr="00F91FC0">
        <w:rPr>
          <w:rFonts w:eastAsiaTheme="minorHAnsi"/>
          <w:color w:val="000000"/>
          <w:sz w:val="26"/>
          <w:szCs w:val="26"/>
        </w:rPr>
        <w:t xml:space="preserve">On </w:t>
      </w:r>
      <w:r w:rsidR="00180FE2">
        <w:rPr>
          <w:rFonts w:eastAsiaTheme="minorHAnsi"/>
          <w:color w:val="000000"/>
          <w:sz w:val="26"/>
          <w:szCs w:val="26"/>
        </w:rPr>
        <w:t>October 9</w:t>
      </w:r>
      <w:r w:rsidRPr="00F91FC0">
        <w:rPr>
          <w:rFonts w:eastAsiaTheme="minorHAnsi"/>
          <w:color w:val="000000"/>
          <w:sz w:val="26"/>
          <w:szCs w:val="26"/>
        </w:rPr>
        <w:t>, 201</w:t>
      </w:r>
      <w:r w:rsidR="00180FE2">
        <w:rPr>
          <w:rFonts w:eastAsiaTheme="minorHAnsi"/>
          <w:color w:val="000000"/>
          <w:sz w:val="26"/>
          <w:szCs w:val="26"/>
        </w:rPr>
        <w:t>6, Ms</w:t>
      </w:r>
      <w:r w:rsidRPr="00F91FC0">
        <w:rPr>
          <w:rFonts w:eastAsiaTheme="minorHAnsi"/>
          <w:color w:val="000000"/>
          <w:sz w:val="26"/>
          <w:szCs w:val="26"/>
        </w:rPr>
        <w:t xml:space="preserve">. </w:t>
      </w:r>
      <w:r w:rsidR="00180FE2">
        <w:rPr>
          <w:rFonts w:eastAsiaTheme="minorHAnsi"/>
          <w:color w:val="000000"/>
          <w:sz w:val="26"/>
          <w:szCs w:val="26"/>
        </w:rPr>
        <w:t>Page</w:t>
      </w:r>
      <w:r w:rsidRPr="00F91FC0">
        <w:rPr>
          <w:rFonts w:eastAsiaTheme="minorHAnsi"/>
          <w:color w:val="000000"/>
          <w:sz w:val="26"/>
          <w:szCs w:val="26"/>
        </w:rPr>
        <w:t xml:space="preserve"> filed </w:t>
      </w:r>
      <w:r w:rsidR="0066095F">
        <w:rPr>
          <w:rFonts w:eastAsiaTheme="minorHAnsi"/>
          <w:color w:val="000000"/>
          <w:sz w:val="26"/>
          <w:szCs w:val="26"/>
        </w:rPr>
        <w:t xml:space="preserve">the instant Complaint </w:t>
      </w:r>
      <w:r w:rsidRPr="00F91FC0">
        <w:rPr>
          <w:rFonts w:eastAsiaTheme="minorHAnsi"/>
          <w:color w:val="000000"/>
          <w:sz w:val="26"/>
          <w:szCs w:val="26"/>
        </w:rPr>
        <w:t xml:space="preserve">with the </w:t>
      </w:r>
      <w:r w:rsidR="0066095F">
        <w:rPr>
          <w:rFonts w:eastAsiaTheme="minorHAnsi"/>
          <w:color w:val="000000"/>
          <w:sz w:val="26"/>
          <w:szCs w:val="26"/>
        </w:rPr>
        <w:t xml:space="preserve">Commission, </w:t>
      </w:r>
      <w:r w:rsidR="007E094B">
        <w:rPr>
          <w:rFonts w:eastAsiaTheme="minorHAnsi"/>
          <w:color w:val="000000"/>
          <w:sz w:val="26"/>
          <w:szCs w:val="26"/>
        </w:rPr>
        <w:t xml:space="preserve">wherein she </w:t>
      </w:r>
      <w:r w:rsidR="0066095F">
        <w:rPr>
          <w:rFonts w:eastAsiaTheme="minorHAnsi"/>
          <w:color w:val="000000"/>
          <w:sz w:val="26"/>
          <w:szCs w:val="26"/>
        </w:rPr>
        <w:t>alleg</w:t>
      </w:r>
      <w:r w:rsidR="007E094B">
        <w:rPr>
          <w:rFonts w:eastAsiaTheme="minorHAnsi"/>
          <w:color w:val="000000"/>
          <w:sz w:val="26"/>
          <w:szCs w:val="26"/>
        </w:rPr>
        <w:t>ed</w:t>
      </w:r>
      <w:r w:rsidR="0066095F">
        <w:rPr>
          <w:rFonts w:eastAsiaTheme="minorHAnsi"/>
          <w:color w:val="000000"/>
          <w:sz w:val="26"/>
          <w:szCs w:val="26"/>
        </w:rPr>
        <w:t xml:space="preserve"> that </w:t>
      </w:r>
      <w:r w:rsidR="00180FE2">
        <w:rPr>
          <w:rFonts w:eastAsiaTheme="minorHAnsi"/>
          <w:color w:val="000000"/>
          <w:sz w:val="26"/>
          <w:szCs w:val="26"/>
        </w:rPr>
        <w:t xml:space="preserve">PECO </w:t>
      </w:r>
      <w:r w:rsidRPr="00F91FC0">
        <w:rPr>
          <w:rFonts w:eastAsiaTheme="minorHAnsi"/>
          <w:color w:val="000000"/>
          <w:sz w:val="26"/>
          <w:szCs w:val="26"/>
        </w:rPr>
        <w:t>terminate</w:t>
      </w:r>
      <w:r w:rsidR="00180FE2">
        <w:rPr>
          <w:rFonts w:eastAsiaTheme="minorHAnsi"/>
          <w:color w:val="000000"/>
          <w:sz w:val="26"/>
          <w:szCs w:val="26"/>
        </w:rPr>
        <w:t>d her</w:t>
      </w:r>
      <w:r w:rsidRPr="00F91FC0">
        <w:rPr>
          <w:rFonts w:eastAsiaTheme="minorHAnsi"/>
          <w:color w:val="000000"/>
          <w:sz w:val="26"/>
          <w:szCs w:val="26"/>
        </w:rPr>
        <w:t xml:space="preserve"> electric service</w:t>
      </w:r>
      <w:r w:rsidR="007E094B">
        <w:rPr>
          <w:rFonts w:eastAsiaTheme="minorHAnsi"/>
          <w:color w:val="000000"/>
          <w:sz w:val="26"/>
          <w:szCs w:val="26"/>
        </w:rPr>
        <w:t xml:space="preserve">.  For relief, the Complainant </w:t>
      </w:r>
      <w:r w:rsidR="00180FE2">
        <w:rPr>
          <w:rFonts w:eastAsiaTheme="minorHAnsi"/>
          <w:color w:val="000000"/>
          <w:sz w:val="26"/>
          <w:szCs w:val="26"/>
        </w:rPr>
        <w:t>request</w:t>
      </w:r>
      <w:r w:rsidR="007E094B">
        <w:rPr>
          <w:rFonts w:eastAsiaTheme="minorHAnsi"/>
          <w:color w:val="000000"/>
          <w:sz w:val="26"/>
          <w:szCs w:val="26"/>
        </w:rPr>
        <w:t>ed</w:t>
      </w:r>
      <w:r w:rsidR="00180FE2">
        <w:rPr>
          <w:rFonts w:eastAsiaTheme="minorHAnsi"/>
          <w:color w:val="000000"/>
          <w:sz w:val="26"/>
          <w:szCs w:val="26"/>
        </w:rPr>
        <w:t xml:space="preserve"> a payment arrangement</w:t>
      </w:r>
      <w:r w:rsidRPr="00F91FC0">
        <w:rPr>
          <w:rFonts w:eastAsiaTheme="minorHAnsi"/>
          <w:color w:val="000000"/>
          <w:sz w:val="26"/>
          <w:szCs w:val="26"/>
        </w:rPr>
        <w:t>.</w:t>
      </w:r>
      <w:r w:rsidR="00F465BA">
        <w:rPr>
          <w:rFonts w:eastAsiaTheme="minorHAnsi"/>
          <w:color w:val="000000"/>
          <w:sz w:val="26"/>
          <w:szCs w:val="26"/>
        </w:rPr>
        <w:t xml:space="preserve">  I.D. at 1; </w:t>
      </w:r>
      <w:r w:rsidR="00F465BA" w:rsidRPr="004A7365">
        <w:rPr>
          <w:rFonts w:eastAsiaTheme="minorHAnsi"/>
          <w:color w:val="000000"/>
          <w:sz w:val="26"/>
          <w:szCs w:val="26"/>
        </w:rPr>
        <w:t>Complaint at ¶¶ 4-5.</w:t>
      </w:r>
    </w:p>
    <w:p w14:paraId="4B8DAD41" w14:textId="77777777" w:rsidR="00F91FC0" w:rsidRPr="00F91FC0" w:rsidRDefault="00F91FC0" w:rsidP="00027CB5">
      <w:pPr>
        <w:widowControl/>
        <w:autoSpaceDE w:val="0"/>
        <w:autoSpaceDN w:val="0"/>
        <w:adjustRightInd w:val="0"/>
        <w:spacing w:line="360" w:lineRule="auto"/>
        <w:ind w:firstLine="1440"/>
        <w:rPr>
          <w:rFonts w:eastAsiaTheme="minorHAnsi"/>
          <w:color w:val="000000"/>
          <w:sz w:val="26"/>
          <w:szCs w:val="26"/>
        </w:rPr>
      </w:pPr>
    </w:p>
    <w:p w14:paraId="153C77E0" w14:textId="77777777" w:rsidR="00F91FC0" w:rsidRPr="00F91FC0" w:rsidRDefault="00180FE2" w:rsidP="00027CB5">
      <w:pPr>
        <w:widowControl/>
        <w:spacing w:line="360" w:lineRule="auto"/>
        <w:ind w:firstLine="1440"/>
        <w:rPr>
          <w:sz w:val="26"/>
          <w:szCs w:val="26"/>
        </w:rPr>
      </w:pPr>
      <w:r>
        <w:rPr>
          <w:rFonts w:eastAsiaTheme="minorHAnsi"/>
          <w:color w:val="000000"/>
          <w:sz w:val="26"/>
          <w:szCs w:val="26"/>
        </w:rPr>
        <w:t>On November 1, 2016, PECO</w:t>
      </w:r>
      <w:r w:rsidR="0066095F">
        <w:rPr>
          <w:rFonts w:eastAsiaTheme="minorHAnsi"/>
          <w:color w:val="000000"/>
          <w:sz w:val="26"/>
          <w:szCs w:val="26"/>
        </w:rPr>
        <w:t xml:space="preserve"> filed an Answer</w:t>
      </w:r>
      <w:r>
        <w:rPr>
          <w:rFonts w:eastAsiaTheme="minorHAnsi"/>
          <w:color w:val="000000"/>
          <w:sz w:val="26"/>
          <w:szCs w:val="26"/>
        </w:rPr>
        <w:t>, admitting that it had terminated services but</w:t>
      </w:r>
      <w:r w:rsidR="0066095F">
        <w:rPr>
          <w:rFonts w:eastAsiaTheme="minorHAnsi"/>
          <w:color w:val="000000"/>
          <w:sz w:val="26"/>
          <w:szCs w:val="26"/>
        </w:rPr>
        <w:t xml:space="preserve"> denying </w:t>
      </w:r>
      <w:r w:rsidR="00F91FC0" w:rsidRPr="00F91FC0">
        <w:rPr>
          <w:rFonts w:eastAsiaTheme="minorHAnsi"/>
          <w:color w:val="000000"/>
          <w:sz w:val="26"/>
          <w:szCs w:val="26"/>
        </w:rPr>
        <w:t>the mater</w:t>
      </w:r>
      <w:r w:rsidR="0066095F">
        <w:rPr>
          <w:rFonts w:eastAsiaTheme="minorHAnsi"/>
          <w:color w:val="000000"/>
          <w:sz w:val="26"/>
          <w:szCs w:val="26"/>
        </w:rPr>
        <w:t>ial averments set forth in the C</w:t>
      </w:r>
      <w:r w:rsidR="00F91FC0" w:rsidRPr="00F91FC0">
        <w:rPr>
          <w:rFonts w:eastAsiaTheme="minorHAnsi"/>
          <w:color w:val="000000"/>
          <w:sz w:val="26"/>
          <w:szCs w:val="26"/>
        </w:rPr>
        <w:t xml:space="preserve">omplaint. </w:t>
      </w:r>
      <w:r w:rsidR="00F465BA" w:rsidRPr="00F465BA">
        <w:rPr>
          <w:rFonts w:eastAsiaTheme="minorHAnsi"/>
          <w:i/>
          <w:color w:val="000000"/>
          <w:sz w:val="26"/>
          <w:szCs w:val="26"/>
        </w:rPr>
        <w:t xml:space="preserve">See </w:t>
      </w:r>
      <w:r w:rsidR="00F465BA">
        <w:rPr>
          <w:rFonts w:eastAsiaTheme="minorHAnsi"/>
          <w:color w:val="000000"/>
          <w:sz w:val="26"/>
          <w:szCs w:val="26"/>
        </w:rPr>
        <w:t xml:space="preserve">I.D. at 1; </w:t>
      </w:r>
      <w:r w:rsidR="00F465BA" w:rsidRPr="00F465BA">
        <w:rPr>
          <w:rFonts w:eastAsiaTheme="minorHAnsi"/>
          <w:i/>
          <w:color w:val="000000"/>
          <w:sz w:val="26"/>
          <w:szCs w:val="26"/>
        </w:rPr>
        <w:t xml:space="preserve">see generally </w:t>
      </w:r>
      <w:r w:rsidR="00F465BA">
        <w:rPr>
          <w:rFonts w:eastAsiaTheme="minorHAnsi"/>
          <w:color w:val="000000"/>
          <w:sz w:val="26"/>
          <w:szCs w:val="26"/>
        </w:rPr>
        <w:t>Answer.</w:t>
      </w:r>
    </w:p>
    <w:p w14:paraId="4BCF7702" w14:textId="77777777" w:rsidR="001F0176" w:rsidRPr="00F91FC0" w:rsidRDefault="001F0176" w:rsidP="00027CB5">
      <w:pPr>
        <w:widowControl/>
        <w:spacing w:line="360" w:lineRule="auto"/>
        <w:ind w:firstLine="1440"/>
        <w:rPr>
          <w:sz w:val="26"/>
          <w:szCs w:val="26"/>
        </w:rPr>
      </w:pPr>
    </w:p>
    <w:p w14:paraId="71156F20" w14:textId="77777777" w:rsidR="00B46AD4" w:rsidRDefault="00F91FC0" w:rsidP="00027CB5">
      <w:pPr>
        <w:widowControl/>
        <w:autoSpaceDE w:val="0"/>
        <w:autoSpaceDN w:val="0"/>
        <w:adjustRightInd w:val="0"/>
        <w:spacing w:line="360" w:lineRule="auto"/>
        <w:ind w:firstLine="1440"/>
        <w:rPr>
          <w:rFonts w:eastAsiaTheme="minorHAnsi"/>
          <w:color w:val="000000"/>
          <w:sz w:val="26"/>
          <w:szCs w:val="26"/>
        </w:rPr>
      </w:pPr>
      <w:r w:rsidRPr="00F91FC0">
        <w:rPr>
          <w:rFonts w:eastAsiaTheme="minorHAnsi"/>
          <w:color w:val="000000"/>
          <w:sz w:val="26"/>
          <w:szCs w:val="26"/>
        </w:rPr>
        <w:t xml:space="preserve">By notice dated </w:t>
      </w:r>
      <w:r w:rsidR="00180FE2">
        <w:rPr>
          <w:rFonts w:eastAsiaTheme="minorHAnsi"/>
          <w:color w:val="000000"/>
          <w:sz w:val="26"/>
          <w:szCs w:val="26"/>
        </w:rPr>
        <w:t>November 8, 2016</w:t>
      </w:r>
      <w:r w:rsidR="00340D38">
        <w:rPr>
          <w:rFonts w:eastAsiaTheme="minorHAnsi"/>
          <w:color w:val="000000"/>
          <w:sz w:val="26"/>
          <w:szCs w:val="26"/>
        </w:rPr>
        <w:t xml:space="preserve"> (Hearing Notice)</w:t>
      </w:r>
      <w:r w:rsidRPr="00F91FC0">
        <w:rPr>
          <w:rFonts w:eastAsiaTheme="minorHAnsi"/>
          <w:color w:val="000000"/>
          <w:sz w:val="26"/>
          <w:szCs w:val="26"/>
        </w:rPr>
        <w:t xml:space="preserve">, the Commission scheduled this matter for a hearing on </w:t>
      </w:r>
      <w:r w:rsidR="00B46AD4">
        <w:rPr>
          <w:rFonts w:eastAsiaTheme="minorHAnsi"/>
          <w:color w:val="000000"/>
          <w:sz w:val="26"/>
          <w:szCs w:val="26"/>
        </w:rPr>
        <w:t>January 9</w:t>
      </w:r>
      <w:r w:rsidRPr="00F91FC0">
        <w:rPr>
          <w:rFonts w:eastAsiaTheme="minorHAnsi"/>
          <w:color w:val="000000"/>
          <w:sz w:val="26"/>
          <w:szCs w:val="26"/>
        </w:rPr>
        <w:t xml:space="preserve">, 2017, at </w:t>
      </w:r>
      <w:r w:rsidR="00B46AD4">
        <w:rPr>
          <w:rFonts w:eastAsiaTheme="minorHAnsi"/>
          <w:color w:val="000000"/>
          <w:sz w:val="26"/>
          <w:szCs w:val="26"/>
        </w:rPr>
        <w:t>9</w:t>
      </w:r>
      <w:r w:rsidRPr="00F91FC0">
        <w:rPr>
          <w:rFonts w:eastAsiaTheme="minorHAnsi"/>
          <w:color w:val="000000"/>
          <w:sz w:val="26"/>
          <w:szCs w:val="26"/>
        </w:rPr>
        <w:t>:</w:t>
      </w:r>
      <w:r w:rsidR="00B46AD4">
        <w:rPr>
          <w:rFonts w:eastAsiaTheme="minorHAnsi"/>
          <w:color w:val="000000"/>
          <w:sz w:val="26"/>
          <w:szCs w:val="26"/>
        </w:rPr>
        <w:t>3</w:t>
      </w:r>
      <w:r w:rsidRPr="00F91FC0">
        <w:rPr>
          <w:rFonts w:eastAsiaTheme="minorHAnsi"/>
          <w:color w:val="000000"/>
          <w:sz w:val="26"/>
          <w:szCs w:val="26"/>
        </w:rPr>
        <w:t>0 a.m.</w:t>
      </w:r>
      <w:r w:rsidR="00D74062">
        <w:rPr>
          <w:rFonts w:eastAsiaTheme="minorHAnsi"/>
          <w:color w:val="000000"/>
          <w:sz w:val="26"/>
          <w:szCs w:val="26"/>
        </w:rPr>
        <w:t>,</w:t>
      </w:r>
      <w:r w:rsidRPr="00F91FC0">
        <w:rPr>
          <w:rFonts w:eastAsiaTheme="minorHAnsi"/>
          <w:color w:val="000000"/>
          <w:sz w:val="26"/>
          <w:szCs w:val="26"/>
        </w:rPr>
        <w:t xml:space="preserve"> and assigned the case to </w:t>
      </w:r>
      <w:r w:rsidR="0066095F">
        <w:rPr>
          <w:rFonts w:eastAsiaTheme="minorHAnsi"/>
          <w:color w:val="000000"/>
          <w:sz w:val="26"/>
          <w:szCs w:val="26"/>
        </w:rPr>
        <w:t xml:space="preserve">ALJ </w:t>
      </w:r>
      <w:r w:rsidR="00B46AD4">
        <w:rPr>
          <w:rFonts w:eastAsiaTheme="minorHAnsi"/>
          <w:color w:val="000000"/>
          <w:sz w:val="26"/>
          <w:szCs w:val="26"/>
        </w:rPr>
        <w:t>Guhl</w:t>
      </w:r>
      <w:r w:rsidR="0066095F">
        <w:rPr>
          <w:rFonts w:eastAsiaTheme="minorHAnsi"/>
          <w:color w:val="000000"/>
          <w:sz w:val="26"/>
          <w:szCs w:val="26"/>
        </w:rPr>
        <w:t xml:space="preserve">.  </w:t>
      </w:r>
      <w:r w:rsidR="00B46AD4">
        <w:rPr>
          <w:rFonts w:eastAsiaTheme="minorHAnsi"/>
          <w:color w:val="000000"/>
          <w:sz w:val="26"/>
          <w:szCs w:val="26"/>
        </w:rPr>
        <w:t>I.D. at 2.</w:t>
      </w:r>
    </w:p>
    <w:p w14:paraId="5E5511F0" w14:textId="77777777" w:rsidR="00B46AD4" w:rsidRDefault="00B46AD4" w:rsidP="00027CB5">
      <w:pPr>
        <w:widowControl/>
        <w:autoSpaceDE w:val="0"/>
        <w:autoSpaceDN w:val="0"/>
        <w:adjustRightInd w:val="0"/>
        <w:spacing w:line="360" w:lineRule="auto"/>
        <w:ind w:firstLine="1440"/>
        <w:rPr>
          <w:rFonts w:eastAsiaTheme="minorHAnsi"/>
          <w:color w:val="000000"/>
          <w:sz w:val="26"/>
          <w:szCs w:val="26"/>
        </w:rPr>
      </w:pPr>
    </w:p>
    <w:p w14:paraId="009E1303" w14:textId="77777777" w:rsidR="00F91FC0" w:rsidRPr="00F91FC0" w:rsidRDefault="00B46AD4"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November 9, 2017, </w:t>
      </w:r>
      <w:r w:rsidR="0066095F">
        <w:rPr>
          <w:rFonts w:eastAsiaTheme="minorHAnsi"/>
          <w:color w:val="000000"/>
          <w:sz w:val="26"/>
          <w:szCs w:val="26"/>
        </w:rPr>
        <w:t>A</w:t>
      </w:r>
      <w:r w:rsidR="00340D38">
        <w:rPr>
          <w:rFonts w:eastAsiaTheme="minorHAnsi"/>
          <w:color w:val="000000"/>
          <w:sz w:val="26"/>
          <w:szCs w:val="26"/>
        </w:rPr>
        <w:t xml:space="preserve">LJ </w:t>
      </w:r>
      <w:r>
        <w:rPr>
          <w:rFonts w:eastAsiaTheme="minorHAnsi"/>
          <w:color w:val="000000"/>
          <w:sz w:val="26"/>
          <w:szCs w:val="26"/>
        </w:rPr>
        <w:t xml:space="preserve">Guhl </w:t>
      </w:r>
      <w:r w:rsidR="00340D38">
        <w:rPr>
          <w:rFonts w:eastAsiaTheme="minorHAnsi"/>
          <w:color w:val="000000"/>
          <w:sz w:val="26"/>
          <w:szCs w:val="26"/>
        </w:rPr>
        <w:t>issued a</w:t>
      </w:r>
      <w:r w:rsidR="00F91FC0" w:rsidRPr="00F91FC0">
        <w:rPr>
          <w:rFonts w:eastAsiaTheme="minorHAnsi"/>
          <w:color w:val="000000"/>
          <w:sz w:val="26"/>
          <w:szCs w:val="26"/>
        </w:rPr>
        <w:t xml:space="preserve"> </w:t>
      </w:r>
      <w:r w:rsidR="0066095F">
        <w:rPr>
          <w:rFonts w:eastAsiaTheme="minorHAnsi"/>
          <w:color w:val="000000"/>
          <w:sz w:val="26"/>
          <w:szCs w:val="26"/>
        </w:rPr>
        <w:t>Prehearing O</w:t>
      </w:r>
      <w:r w:rsidR="00F91FC0" w:rsidRPr="00F91FC0">
        <w:rPr>
          <w:rFonts w:eastAsiaTheme="minorHAnsi"/>
          <w:color w:val="000000"/>
          <w:sz w:val="26"/>
          <w:szCs w:val="26"/>
        </w:rPr>
        <w:t>rde</w:t>
      </w:r>
      <w:r>
        <w:rPr>
          <w:rFonts w:eastAsiaTheme="minorHAnsi"/>
          <w:color w:val="000000"/>
          <w:sz w:val="26"/>
          <w:szCs w:val="26"/>
        </w:rPr>
        <w:t>r (</w:t>
      </w:r>
      <w:r w:rsidR="00340D38">
        <w:rPr>
          <w:rFonts w:eastAsiaTheme="minorHAnsi"/>
          <w:color w:val="000000"/>
          <w:sz w:val="26"/>
          <w:szCs w:val="26"/>
        </w:rPr>
        <w:t>Prehearing Order)</w:t>
      </w:r>
      <w:r w:rsidR="00F91FC0" w:rsidRPr="00F91FC0">
        <w:rPr>
          <w:rFonts w:eastAsiaTheme="minorHAnsi"/>
          <w:color w:val="000000"/>
          <w:sz w:val="26"/>
          <w:szCs w:val="26"/>
        </w:rPr>
        <w:t>,</w:t>
      </w:r>
      <w:r w:rsidR="00340D38">
        <w:rPr>
          <w:rFonts w:eastAsiaTheme="minorHAnsi"/>
          <w:color w:val="000000"/>
          <w:sz w:val="26"/>
          <w:szCs w:val="26"/>
        </w:rPr>
        <w:t xml:space="preserve"> </w:t>
      </w:r>
      <w:r w:rsidR="00F91FC0" w:rsidRPr="00F91FC0">
        <w:rPr>
          <w:rFonts w:eastAsiaTheme="minorHAnsi"/>
          <w:color w:val="000000"/>
          <w:sz w:val="26"/>
          <w:szCs w:val="26"/>
        </w:rPr>
        <w:t xml:space="preserve">addressing, </w:t>
      </w:r>
      <w:r w:rsidR="00F91FC0" w:rsidRPr="00F91FC0">
        <w:rPr>
          <w:rFonts w:eastAsiaTheme="minorHAnsi"/>
          <w:i/>
          <w:color w:val="000000"/>
          <w:sz w:val="26"/>
          <w:szCs w:val="26"/>
        </w:rPr>
        <w:t>inter alia</w:t>
      </w:r>
      <w:r w:rsidR="00F91FC0" w:rsidRPr="00F91FC0">
        <w:rPr>
          <w:rFonts w:eastAsiaTheme="minorHAnsi"/>
          <w:color w:val="000000"/>
          <w:sz w:val="26"/>
          <w:szCs w:val="26"/>
        </w:rPr>
        <w:t xml:space="preserve">, requests for continuance, subpoena procedures, attorney representation and the Commission’s policy encouraging settlements. </w:t>
      </w:r>
      <w:r w:rsidR="00F465BA">
        <w:rPr>
          <w:rFonts w:eastAsiaTheme="minorHAnsi"/>
          <w:color w:val="000000"/>
          <w:sz w:val="26"/>
          <w:szCs w:val="26"/>
        </w:rPr>
        <w:t xml:space="preserve"> I.D. at 2.</w:t>
      </w:r>
    </w:p>
    <w:p w14:paraId="4B4C0001" w14:textId="77777777" w:rsidR="00F91FC0" w:rsidRPr="00F91FC0" w:rsidRDefault="00F91FC0" w:rsidP="00027CB5">
      <w:pPr>
        <w:widowControl/>
        <w:autoSpaceDE w:val="0"/>
        <w:autoSpaceDN w:val="0"/>
        <w:adjustRightInd w:val="0"/>
        <w:spacing w:line="360" w:lineRule="auto"/>
        <w:ind w:firstLine="1440"/>
        <w:rPr>
          <w:rFonts w:eastAsiaTheme="minorHAnsi"/>
          <w:color w:val="000000"/>
          <w:sz w:val="26"/>
          <w:szCs w:val="26"/>
        </w:rPr>
      </w:pPr>
    </w:p>
    <w:p w14:paraId="3DA8FCC2" w14:textId="77777777" w:rsidR="005A083F" w:rsidRDefault="0066095F"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w:t>
      </w:r>
      <w:r w:rsidR="00F91FC0" w:rsidRPr="00F91FC0">
        <w:rPr>
          <w:rFonts w:eastAsiaTheme="minorHAnsi"/>
          <w:color w:val="000000"/>
          <w:sz w:val="26"/>
          <w:szCs w:val="26"/>
        </w:rPr>
        <w:t xml:space="preserve">n </w:t>
      </w:r>
      <w:r w:rsidR="00B46AD4">
        <w:rPr>
          <w:rFonts w:eastAsiaTheme="minorHAnsi"/>
          <w:color w:val="000000"/>
          <w:sz w:val="26"/>
          <w:szCs w:val="26"/>
        </w:rPr>
        <w:t>January 9</w:t>
      </w:r>
      <w:r w:rsidR="00F91FC0" w:rsidRPr="00F91FC0">
        <w:rPr>
          <w:rFonts w:eastAsiaTheme="minorHAnsi"/>
          <w:color w:val="000000"/>
          <w:sz w:val="26"/>
          <w:szCs w:val="26"/>
        </w:rPr>
        <w:t>, 2017,</w:t>
      </w:r>
      <w:r w:rsidR="00B46AD4">
        <w:rPr>
          <w:rFonts w:eastAsiaTheme="minorHAnsi"/>
          <w:color w:val="000000"/>
          <w:sz w:val="26"/>
          <w:szCs w:val="26"/>
        </w:rPr>
        <w:t xml:space="preserve"> ALJ Guhl</w:t>
      </w:r>
      <w:r>
        <w:rPr>
          <w:rFonts w:eastAsiaTheme="minorHAnsi"/>
          <w:color w:val="000000"/>
          <w:sz w:val="26"/>
          <w:szCs w:val="26"/>
        </w:rPr>
        <w:t xml:space="preserve"> convened the hearing as scheduled. </w:t>
      </w:r>
      <w:r w:rsidR="00F91FC0" w:rsidRPr="00F91FC0">
        <w:rPr>
          <w:rFonts w:eastAsiaTheme="minorHAnsi"/>
          <w:color w:val="000000"/>
          <w:sz w:val="26"/>
          <w:szCs w:val="26"/>
        </w:rPr>
        <w:t xml:space="preserve"> </w:t>
      </w:r>
      <w:r w:rsidR="00B46AD4">
        <w:rPr>
          <w:rFonts w:eastAsiaTheme="minorHAnsi"/>
          <w:color w:val="000000"/>
          <w:sz w:val="26"/>
          <w:szCs w:val="26"/>
        </w:rPr>
        <w:t xml:space="preserve">Counsel for the Company was present with one potential witness and was prepared to proceed.  </w:t>
      </w:r>
      <w:r w:rsidRPr="00B46AD4">
        <w:rPr>
          <w:rFonts w:eastAsiaTheme="minorHAnsi"/>
          <w:color w:val="000000"/>
          <w:sz w:val="26"/>
          <w:szCs w:val="26"/>
        </w:rPr>
        <w:t xml:space="preserve">The </w:t>
      </w:r>
      <w:r w:rsidR="00F91FC0" w:rsidRPr="00B46AD4">
        <w:rPr>
          <w:rFonts w:eastAsiaTheme="minorHAnsi"/>
          <w:color w:val="000000"/>
          <w:sz w:val="26"/>
          <w:szCs w:val="26"/>
        </w:rPr>
        <w:t>Compl</w:t>
      </w:r>
      <w:r w:rsidR="00B46AD4" w:rsidRPr="00B46AD4">
        <w:rPr>
          <w:rFonts w:eastAsiaTheme="minorHAnsi"/>
          <w:color w:val="000000"/>
          <w:sz w:val="26"/>
          <w:szCs w:val="26"/>
        </w:rPr>
        <w:t>ainant failed to appear for the</w:t>
      </w:r>
      <w:r w:rsidR="00F91FC0" w:rsidRPr="00B46AD4">
        <w:rPr>
          <w:rFonts w:eastAsiaTheme="minorHAnsi"/>
          <w:color w:val="000000"/>
          <w:sz w:val="26"/>
          <w:szCs w:val="26"/>
        </w:rPr>
        <w:t xml:space="preserve"> hearing. </w:t>
      </w:r>
      <w:r w:rsidRPr="00B46AD4">
        <w:rPr>
          <w:rFonts w:eastAsiaTheme="minorHAnsi"/>
          <w:color w:val="000000"/>
          <w:sz w:val="26"/>
          <w:szCs w:val="26"/>
        </w:rPr>
        <w:t xml:space="preserve"> </w:t>
      </w:r>
      <w:r w:rsidR="00B46AD4" w:rsidRPr="00B46AD4">
        <w:rPr>
          <w:sz w:val="26"/>
          <w:szCs w:val="26"/>
        </w:rPr>
        <w:t>PECO contacted the Complainant at the time of the hearing and at that time the Complainant indicated to PECO and the ALJ that she was having car problems (a flat tire) and would not be able to attend the hearing. She requested a continuance and PECO did not object.  The ALJ granted the request and determined that the matter should be rescheduled.  I.D. at 2.</w:t>
      </w:r>
    </w:p>
    <w:p w14:paraId="16F56DFA" w14:textId="77777777" w:rsidR="005A083F" w:rsidRDefault="005A083F" w:rsidP="00027CB5">
      <w:pPr>
        <w:widowControl/>
        <w:autoSpaceDE w:val="0"/>
        <w:autoSpaceDN w:val="0"/>
        <w:adjustRightInd w:val="0"/>
        <w:spacing w:line="360" w:lineRule="auto"/>
        <w:ind w:firstLine="1440"/>
        <w:rPr>
          <w:rFonts w:eastAsiaTheme="minorHAnsi"/>
          <w:color w:val="000000"/>
          <w:sz w:val="26"/>
          <w:szCs w:val="26"/>
        </w:rPr>
      </w:pPr>
    </w:p>
    <w:p w14:paraId="6088DEF1" w14:textId="63FC542E" w:rsidR="005A083F" w:rsidRPr="005A083F" w:rsidRDefault="005A083F" w:rsidP="00027CB5">
      <w:pPr>
        <w:widowControl/>
        <w:autoSpaceDE w:val="0"/>
        <w:autoSpaceDN w:val="0"/>
        <w:adjustRightInd w:val="0"/>
        <w:spacing w:line="360" w:lineRule="auto"/>
        <w:ind w:firstLine="1440"/>
        <w:rPr>
          <w:rFonts w:eastAsiaTheme="minorHAnsi"/>
          <w:color w:val="000000"/>
          <w:sz w:val="26"/>
          <w:szCs w:val="26"/>
        </w:rPr>
      </w:pPr>
      <w:r w:rsidRPr="005A083F">
        <w:rPr>
          <w:rFonts w:eastAsiaTheme="minorHAnsi"/>
          <w:color w:val="000000"/>
          <w:sz w:val="26"/>
          <w:szCs w:val="26"/>
        </w:rPr>
        <w:t>On January 13, 2017, a Hearing Cancellation/</w:t>
      </w:r>
      <w:r w:rsidR="00D83B4C">
        <w:rPr>
          <w:rFonts w:eastAsiaTheme="minorHAnsi"/>
          <w:color w:val="000000"/>
          <w:sz w:val="26"/>
          <w:szCs w:val="26"/>
        </w:rPr>
        <w:t>Rescheduled</w:t>
      </w:r>
      <w:r w:rsidRPr="005A083F">
        <w:rPr>
          <w:rFonts w:eastAsiaTheme="minorHAnsi"/>
          <w:color w:val="000000"/>
          <w:sz w:val="26"/>
          <w:szCs w:val="26"/>
        </w:rPr>
        <w:t xml:space="preserve"> Notice</w:t>
      </w:r>
      <w:r w:rsidR="00F31C44">
        <w:rPr>
          <w:rFonts w:eastAsiaTheme="minorHAnsi"/>
          <w:color w:val="000000"/>
          <w:sz w:val="26"/>
          <w:szCs w:val="26"/>
        </w:rPr>
        <w:t xml:space="preserve"> (</w:t>
      </w:r>
      <w:r w:rsidR="00D83B4C">
        <w:rPr>
          <w:rFonts w:eastAsiaTheme="minorHAnsi"/>
          <w:color w:val="000000"/>
          <w:sz w:val="26"/>
          <w:szCs w:val="26"/>
        </w:rPr>
        <w:t>Rescheduled</w:t>
      </w:r>
      <w:r w:rsidR="00F31C44">
        <w:rPr>
          <w:rFonts w:eastAsiaTheme="minorHAnsi"/>
          <w:color w:val="000000"/>
          <w:sz w:val="26"/>
          <w:szCs w:val="26"/>
        </w:rPr>
        <w:t xml:space="preserve"> Hearing Notice)</w:t>
      </w:r>
      <w:r w:rsidRPr="005A083F">
        <w:rPr>
          <w:rFonts w:eastAsiaTheme="minorHAnsi"/>
          <w:color w:val="000000"/>
          <w:sz w:val="26"/>
          <w:szCs w:val="26"/>
        </w:rPr>
        <w:t xml:space="preserve"> was issued indicating a new Initial In-Person Hearing was scheduled for Tuesday, February 21, 2017 at 10:00 a.m. </w:t>
      </w:r>
      <w:r w:rsidR="009A106C">
        <w:rPr>
          <w:rFonts w:eastAsiaTheme="minorHAnsi"/>
          <w:color w:val="000000"/>
          <w:sz w:val="26"/>
          <w:szCs w:val="26"/>
        </w:rPr>
        <w:t xml:space="preserve"> I.D. at 3.</w:t>
      </w:r>
    </w:p>
    <w:p w14:paraId="7DDDBC8E" w14:textId="77777777" w:rsidR="005A083F" w:rsidRPr="005A083F" w:rsidRDefault="005A083F" w:rsidP="00027CB5">
      <w:pPr>
        <w:widowControl/>
        <w:autoSpaceDE w:val="0"/>
        <w:autoSpaceDN w:val="0"/>
        <w:adjustRightInd w:val="0"/>
        <w:spacing w:line="360" w:lineRule="auto"/>
        <w:ind w:firstLine="1440"/>
        <w:rPr>
          <w:rFonts w:eastAsiaTheme="minorHAnsi"/>
          <w:color w:val="000000"/>
          <w:sz w:val="26"/>
          <w:szCs w:val="26"/>
        </w:rPr>
      </w:pPr>
    </w:p>
    <w:p w14:paraId="3E97A133" w14:textId="77777777" w:rsidR="005A083F" w:rsidRDefault="005A083F"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w:t>
      </w:r>
      <w:r w:rsidRPr="005A083F">
        <w:rPr>
          <w:rFonts w:eastAsiaTheme="minorHAnsi"/>
          <w:color w:val="000000"/>
          <w:sz w:val="26"/>
          <w:szCs w:val="26"/>
        </w:rPr>
        <w:t>n February 21, 2017</w:t>
      </w:r>
      <w:r>
        <w:rPr>
          <w:rFonts w:eastAsiaTheme="minorHAnsi"/>
          <w:color w:val="000000"/>
          <w:sz w:val="26"/>
          <w:szCs w:val="26"/>
        </w:rPr>
        <w:t>, t</w:t>
      </w:r>
      <w:r w:rsidRPr="005A083F">
        <w:rPr>
          <w:rFonts w:eastAsiaTheme="minorHAnsi"/>
          <w:color w:val="000000"/>
          <w:sz w:val="26"/>
          <w:szCs w:val="26"/>
        </w:rPr>
        <w:t xml:space="preserve">he second hearing convened as scheduled. </w:t>
      </w:r>
      <w:r>
        <w:rPr>
          <w:rFonts w:eastAsiaTheme="minorHAnsi"/>
          <w:color w:val="000000"/>
          <w:sz w:val="26"/>
          <w:szCs w:val="26"/>
        </w:rPr>
        <w:t xml:space="preserve"> </w:t>
      </w:r>
      <w:r w:rsidRPr="005A083F">
        <w:rPr>
          <w:rFonts w:eastAsiaTheme="minorHAnsi"/>
          <w:color w:val="000000"/>
          <w:sz w:val="26"/>
          <w:szCs w:val="26"/>
        </w:rPr>
        <w:t xml:space="preserve">Counsel for PECO again was present with one potential witness and was prepared to proceed. </w:t>
      </w:r>
      <w:r>
        <w:rPr>
          <w:rFonts w:eastAsiaTheme="minorHAnsi"/>
          <w:color w:val="000000"/>
          <w:sz w:val="26"/>
          <w:szCs w:val="26"/>
        </w:rPr>
        <w:t xml:space="preserve"> Ms. Page did not appear.  </w:t>
      </w:r>
      <w:r w:rsidR="009A106C">
        <w:rPr>
          <w:rFonts w:eastAsiaTheme="minorHAnsi"/>
          <w:color w:val="000000"/>
          <w:sz w:val="26"/>
          <w:szCs w:val="26"/>
        </w:rPr>
        <w:t xml:space="preserve"> I.D. at 3.</w:t>
      </w:r>
    </w:p>
    <w:p w14:paraId="5A10070E" w14:textId="77777777" w:rsidR="005A083F" w:rsidRPr="005A083F" w:rsidRDefault="005A083F" w:rsidP="00027CB5">
      <w:pPr>
        <w:widowControl/>
        <w:autoSpaceDE w:val="0"/>
        <w:autoSpaceDN w:val="0"/>
        <w:adjustRightInd w:val="0"/>
        <w:spacing w:line="360" w:lineRule="auto"/>
        <w:ind w:firstLine="1440"/>
        <w:rPr>
          <w:rFonts w:eastAsiaTheme="minorHAnsi"/>
          <w:color w:val="000000"/>
          <w:sz w:val="26"/>
          <w:szCs w:val="26"/>
        </w:rPr>
      </w:pPr>
    </w:p>
    <w:p w14:paraId="33EB82A6" w14:textId="166F9A97" w:rsidR="005A083F" w:rsidRDefault="005A083F" w:rsidP="00027CB5">
      <w:pPr>
        <w:widowControl/>
        <w:autoSpaceDE w:val="0"/>
        <w:autoSpaceDN w:val="0"/>
        <w:adjustRightInd w:val="0"/>
        <w:spacing w:line="360" w:lineRule="auto"/>
        <w:ind w:firstLine="1440"/>
        <w:rPr>
          <w:sz w:val="26"/>
          <w:szCs w:val="26"/>
        </w:rPr>
      </w:pPr>
      <w:r w:rsidRPr="005A083F">
        <w:rPr>
          <w:sz w:val="26"/>
          <w:szCs w:val="26"/>
        </w:rPr>
        <w:t xml:space="preserve">The Complainant contacted ALJ Guhl’s office after 10:20 a.m. to indicate that she had been waiting outside for the hearing to begin. </w:t>
      </w:r>
      <w:r>
        <w:rPr>
          <w:sz w:val="26"/>
          <w:szCs w:val="26"/>
        </w:rPr>
        <w:t xml:space="preserve"> ALJ Guhl’s l</w:t>
      </w:r>
      <w:r w:rsidRPr="005A083F">
        <w:rPr>
          <w:sz w:val="26"/>
          <w:szCs w:val="26"/>
        </w:rPr>
        <w:t xml:space="preserve">egal assistant directed her to put the pertinent information in writing regarding her appearance for the hearing. </w:t>
      </w:r>
      <w:r>
        <w:rPr>
          <w:sz w:val="26"/>
          <w:szCs w:val="26"/>
        </w:rPr>
        <w:t xml:space="preserve"> On the same date, the Complainant</w:t>
      </w:r>
      <w:r w:rsidRPr="005A083F">
        <w:rPr>
          <w:sz w:val="26"/>
          <w:szCs w:val="26"/>
        </w:rPr>
        <w:t xml:space="preserve"> provided a hand</w:t>
      </w:r>
      <w:r>
        <w:rPr>
          <w:sz w:val="26"/>
          <w:szCs w:val="26"/>
        </w:rPr>
        <w:t>-</w:t>
      </w:r>
      <w:r w:rsidRPr="005A083F">
        <w:rPr>
          <w:sz w:val="26"/>
          <w:szCs w:val="26"/>
        </w:rPr>
        <w:t xml:space="preserve">written letter indicating that she had arrived at 10:02 a.m. and went to a window to sign in (sign in area for the Pennsylvania Department of Human Services) and that she was instructed to use the telephone in the center of the lobby to call the Philadelphia Office of Administrative Law Judge (OALJ) to be brought back for her hearing. </w:t>
      </w:r>
      <w:r>
        <w:rPr>
          <w:sz w:val="26"/>
          <w:szCs w:val="26"/>
        </w:rPr>
        <w:t xml:space="preserve"> The </w:t>
      </w:r>
      <w:r w:rsidRPr="005A083F">
        <w:rPr>
          <w:sz w:val="26"/>
          <w:szCs w:val="26"/>
        </w:rPr>
        <w:t>Complainant alleged that she had trouble reaching someone in the office and that the clerk (from the Pennsylvania Department of Human Services) who assisted her was able to contact the office.</w:t>
      </w:r>
      <w:r w:rsidR="009A106C">
        <w:rPr>
          <w:sz w:val="26"/>
          <w:szCs w:val="26"/>
        </w:rPr>
        <w:t xml:space="preserve">  I.D. at</w:t>
      </w:r>
      <w:r w:rsidR="003D4693">
        <w:rPr>
          <w:sz w:val="26"/>
          <w:szCs w:val="26"/>
        </w:rPr>
        <w:t> </w:t>
      </w:r>
      <w:r w:rsidR="009A106C">
        <w:rPr>
          <w:sz w:val="26"/>
          <w:szCs w:val="26"/>
        </w:rPr>
        <w:t>3.</w:t>
      </w:r>
    </w:p>
    <w:p w14:paraId="6CFFD69F" w14:textId="77777777" w:rsidR="005A083F" w:rsidRDefault="005A083F" w:rsidP="00027CB5">
      <w:pPr>
        <w:widowControl/>
        <w:autoSpaceDE w:val="0"/>
        <w:autoSpaceDN w:val="0"/>
        <w:adjustRightInd w:val="0"/>
        <w:spacing w:line="360" w:lineRule="auto"/>
        <w:ind w:firstLine="1440"/>
        <w:rPr>
          <w:sz w:val="26"/>
          <w:szCs w:val="26"/>
        </w:rPr>
      </w:pPr>
    </w:p>
    <w:p w14:paraId="2DD97412" w14:textId="6B630F1B" w:rsidR="009A106C" w:rsidRDefault="005A083F" w:rsidP="00027CB5">
      <w:pPr>
        <w:widowControl/>
        <w:autoSpaceDE w:val="0"/>
        <w:autoSpaceDN w:val="0"/>
        <w:adjustRightInd w:val="0"/>
        <w:spacing w:line="360" w:lineRule="auto"/>
        <w:ind w:firstLine="1440"/>
        <w:rPr>
          <w:sz w:val="23"/>
          <w:szCs w:val="23"/>
        </w:rPr>
      </w:pPr>
      <w:r w:rsidRPr="00694569">
        <w:rPr>
          <w:sz w:val="26"/>
          <w:szCs w:val="26"/>
        </w:rPr>
        <w:t>ALJ Guhl provided the Complainant’s letter to counsel for PECO via electronic mail and, on February 21, 2017, PECO sent correspondence via electronic mail in response to the Complainant’s claims.  PECO contended that the Complainant did not attend her first hearing due to a flat tire and that she did not initiate contact with the Commission to explain her circumstance</w:t>
      </w:r>
      <w:r w:rsidR="00694569" w:rsidRPr="00694569">
        <w:rPr>
          <w:sz w:val="26"/>
          <w:szCs w:val="26"/>
        </w:rPr>
        <w:t>,</w:t>
      </w:r>
      <w:r w:rsidRPr="00694569">
        <w:rPr>
          <w:sz w:val="26"/>
          <w:szCs w:val="26"/>
        </w:rPr>
        <w:t xml:space="preserve"> but rather PECO called her to find out where she was. </w:t>
      </w:r>
      <w:r w:rsidR="00694569" w:rsidRPr="00694569">
        <w:rPr>
          <w:sz w:val="26"/>
          <w:szCs w:val="26"/>
        </w:rPr>
        <w:t xml:space="preserve"> </w:t>
      </w:r>
      <w:r w:rsidRPr="00694569">
        <w:rPr>
          <w:sz w:val="26"/>
          <w:szCs w:val="26"/>
        </w:rPr>
        <w:t xml:space="preserve">Secondly, PECO alleged that on the date of the second hearing, PECO’s witness checked the hallway, lobby and telephone areas at approximately 10:10 a.m. and did not see anyone waiting there. </w:t>
      </w:r>
      <w:r w:rsidR="00694569" w:rsidRPr="00694569">
        <w:rPr>
          <w:sz w:val="26"/>
          <w:szCs w:val="26"/>
        </w:rPr>
        <w:t xml:space="preserve"> </w:t>
      </w:r>
      <w:r w:rsidRPr="00694569">
        <w:rPr>
          <w:sz w:val="26"/>
          <w:szCs w:val="26"/>
        </w:rPr>
        <w:t>PECO’s</w:t>
      </w:r>
      <w:r w:rsidR="00694569" w:rsidRPr="00694569">
        <w:rPr>
          <w:sz w:val="26"/>
          <w:szCs w:val="26"/>
        </w:rPr>
        <w:t xml:space="preserve"> counsel also noted that after the ALJ</w:t>
      </w:r>
      <w:r w:rsidRPr="00694569">
        <w:rPr>
          <w:sz w:val="26"/>
          <w:szCs w:val="26"/>
        </w:rPr>
        <w:t xml:space="preserve"> had adjourned the hearing, she and the witness</w:t>
      </w:r>
      <w:r w:rsidR="00694569" w:rsidRPr="00694569">
        <w:rPr>
          <w:sz w:val="26"/>
          <w:szCs w:val="26"/>
        </w:rPr>
        <w:t xml:space="preserve"> for the Company</w:t>
      </w:r>
      <w:r w:rsidRPr="00694569">
        <w:rPr>
          <w:sz w:val="26"/>
          <w:szCs w:val="26"/>
        </w:rPr>
        <w:t xml:space="preserve"> again did not see anyone in the </w:t>
      </w:r>
      <w:r w:rsidRPr="009A106C">
        <w:rPr>
          <w:sz w:val="26"/>
          <w:szCs w:val="26"/>
        </w:rPr>
        <w:t>hallway, lobby or telephone areas when leaving the building.</w:t>
      </w:r>
      <w:r w:rsidR="009A106C" w:rsidRPr="009A106C">
        <w:rPr>
          <w:sz w:val="26"/>
          <w:szCs w:val="26"/>
        </w:rPr>
        <w:t xml:space="preserve">  In the same letter, PECO moved that the Complaint be dismissed with prejudice for lack of prosecution (Motion) pursuant to 52 Pa.</w:t>
      </w:r>
      <w:r w:rsidR="009A106C">
        <w:rPr>
          <w:sz w:val="26"/>
          <w:szCs w:val="26"/>
        </w:rPr>
        <w:t xml:space="preserve"> </w:t>
      </w:r>
      <w:r w:rsidR="009A106C" w:rsidRPr="009A106C">
        <w:rPr>
          <w:sz w:val="26"/>
          <w:szCs w:val="26"/>
        </w:rPr>
        <w:t>Code § 5.245.  I.D. at 3.</w:t>
      </w:r>
    </w:p>
    <w:p w14:paraId="0A469602" w14:textId="77777777" w:rsidR="009A106C" w:rsidRDefault="009A106C" w:rsidP="00027CB5">
      <w:pPr>
        <w:widowControl/>
        <w:autoSpaceDE w:val="0"/>
        <w:autoSpaceDN w:val="0"/>
        <w:adjustRightInd w:val="0"/>
        <w:spacing w:line="360" w:lineRule="auto"/>
        <w:ind w:firstLine="1440"/>
        <w:rPr>
          <w:sz w:val="23"/>
          <w:szCs w:val="23"/>
        </w:rPr>
      </w:pPr>
    </w:p>
    <w:p w14:paraId="50F5786F" w14:textId="77777777" w:rsidR="0066095F" w:rsidRDefault="009A106C" w:rsidP="00027CB5">
      <w:pPr>
        <w:widowControl/>
        <w:spacing w:line="360" w:lineRule="auto"/>
        <w:ind w:firstLine="1440"/>
        <w:rPr>
          <w:rFonts w:eastAsiaTheme="minorHAnsi"/>
          <w:color w:val="000000"/>
          <w:sz w:val="26"/>
          <w:szCs w:val="26"/>
        </w:rPr>
      </w:pPr>
      <w:r>
        <w:rPr>
          <w:rFonts w:eastAsiaTheme="minorHAnsi"/>
          <w:color w:val="000000"/>
          <w:sz w:val="26"/>
          <w:szCs w:val="26"/>
        </w:rPr>
        <w:t>The record closed on May 13</w:t>
      </w:r>
      <w:r w:rsidR="00F91FC0" w:rsidRPr="00F91FC0">
        <w:rPr>
          <w:rFonts w:eastAsiaTheme="minorHAnsi"/>
          <w:color w:val="000000"/>
          <w:sz w:val="26"/>
          <w:szCs w:val="26"/>
        </w:rPr>
        <w:t xml:space="preserve">, 2017, </w:t>
      </w:r>
      <w:r>
        <w:rPr>
          <w:rFonts w:eastAsiaTheme="minorHAnsi"/>
          <w:color w:val="000000"/>
          <w:sz w:val="26"/>
          <w:szCs w:val="26"/>
        </w:rPr>
        <w:t>when ALJ Guhl received the hearing transcript</w:t>
      </w:r>
      <w:r w:rsidR="00F91FC0" w:rsidRPr="00F91FC0">
        <w:rPr>
          <w:rFonts w:eastAsiaTheme="minorHAnsi"/>
          <w:color w:val="000000"/>
          <w:sz w:val="26"/>
          <w:szCs w:val="26"/>
        </w:rPr>
        <w:t xml:space="preserve">. </w:t>
      </w:r>
      <w:r w:rsidR="00F465BA">
        <w:rPr>
          <w:rFonts w:eastAsiaTheme="minorHAnsi"/>
          <w:color w:val="000000"/>
          <w:sz w:val="26"/>
          <w:szCs w:val="26"/>
        </w:rPr>
        <w:t xml:space="preserve"> I.D. at </w:t>
      </w:r>
      <w:r>
        <w:rPr>
          <w:rFonts w:eastAsiaTheme="minorHAnsi"/>
          <w:color w:val="000000"/>
          <w:sz w:val="26"/>
          <w:szCs w:val="26"/>
        </w:rPr>
        <w:t>4</w:t>
      </w:r>
      <w:r w:rsidR="00F465BA">
        <w:rPr>
          <w:rFonts w:eastAsiaTheme="minorHAnsi"/>
          <w:color w:val="000000"/>
          <w:sz w:val="26"/>
          <w:szCs w:val="26"/>
        </w:rPr>
        <w:t>.</w:t>
      </w:r>
    </w:p>
    <w:p w14:paraId="741A0C85" w14:textId="77777777" w:rsidR="0066095F" w:rsidRDefault="0066095F" w:rsidP="00027CB5">
      <w:pPr>
        <w:widowControl/>
        <w:spacing w:line="360" w:lineRule="auto"/>
        <w:ind w:firstLine="1440"/>
        <w:rPr>
          <w:rFonts w:eastAsiaTheme="minorHAnsi"/>
          <w:color w:val="000000"/>
          <w:sz w:val="26"/>
          <w:szCs w:val="26"/>
        </w:rPr>
      </w:pPr>
    </w:p>
    <w:p w14:paraId="265F2E1F" w14:textId="786B19F7" w:rsidR="00AC6661" w:rsidRDefault="0066095F" w:rsidP="00027CB5">
      <w:pPr>
        <w:widowControl/>
        <w:spacing w:line="360" w:lineRule="auto"/>
        <w:ind w:firstLine="1440"/>
        <w:rPr>
          <w:rFonts w:eastAsiaTheme="minorHAnsi"/>
          <w:color w:val="000000"/>
          <w:sz w:val="26"/>
          <w:szCs w:val="26"/>
        </w:rPr>
      </w:pPr>
      <w:r>
        <w:rPr>
          <w:rFonts w:eastAsiaTheme="minorHAnsi"/>
          <w:color w:val="000000"/>
          <w:sz w:val="26"/>
          <w:szCs w:val="26"/>
        </w:rPr>
        <w:t xml:space="preserve">On June 6, 2017, the Initial Decision of ALJ </w:t>
      </w:r>
      <w:r w:rsidR="006E35F5">
        <w:rPr>
          <w:rFonts w:eastAsiaTheme="minorHAnsi"/>
          <w:color w:val="000000"/>
          <w:sz w:val="26"/>
          <w:szCs w:val="26"/>
        </w:rPr>
        <w:t>Guhl</w:t>
      </w:r>
      <w:r>
        <w:rPr>
          <w:rFonts w:eastAsiaTheme="minorHAnsi"/>
          <w:color w:val="000000"/>
          <w:sz w:val="26"/>
          <w:szCs w:val="26"/>
        </w:rPr>
        <w:t xml:space="preserve"> was issued</w:t>
      </w:r>
      <w:r w:rsidR="00140ABF">
        <w:rPr>
          <w:rFonts w:eastAsiaTheme="minorHAnsi"/>
          <w:color w:val="000000"/>
          <w:sz w:val="26"/>
          <w:szCs w:val="26"/>
        </w:rPr>
        <w:t xml:space="preserve"> by Commission Secretarial Letter.  The Initial Decision granted</w:t>
      </w:r>
      <w:r>
        <w:rPr>
          <w:rFonts w:eastAsiaTheme="minorHAnsi"/>
          <w:color w:val="000000"/>
          <w:sz w:val="26"/>
          <w:szCs w:val="26"/>
        </w:rPr>
        <w:t xml:space="preserve"> </w:t>
      </w:r>
      <w:r w:rsidR="00D74062">
        <w:rPr>
          <w:rFonts w:eastAsiaTheme="minorHAnsi"/>
          <w:color w:val="000000"/>
          <w:sz w:val="26"/>
          <w:szCs w:val="26"/>
        </w:rPr>
        <w:t>the Company</w:t>
      </w:r>
      <w:r w:rsidR="00F91FC0" w:rsidRPr="00F91FC0">
        <w:rPr>
          <w:rFonts w:eastAsiaTheme="minorHAnsi"/>
          <w:color w:val="000000"/>
          <w:sz w:val="26"/>
          <w:szCs w:val="26"/>
        </w:rPr>
        <w:t xml:space="preserve">’s motion </w:t>
      </w:r>
      <w:r>
        <w:rPr>
          <w:rFonts w:eastAsiaTheme="minorHAnsi"/>
          <w:color w:val="000000"/>
          <w:sz w:val="26"/>
          <w:szCs w:val="26"/>
        </w:rPr>
        <w:t>and dismiss</w:t>
      </w:r>
      <w:r w:rsidR="00140ABF">
        <w:rPr>
          <w:rFonts w:eastAsiaTheme="minorHAnsi"/>
          <w:color w:val="000000"/>
          <w:sz w:val="26"/>
          <w:szCs w:val="26"/>
        </w:rPr>
        <w:t>ed</w:t>
      </w:r>
      <w:r>
        <w:rPr>
          <w:rFonts w:eastAsiaTheme="minorHAnsi"/>
          <w:color w:val="000000"/>
          <w:sz w:val="26"/>
          <w:szCs w:val="26"/>
        </w:rPr>
        <w:t xml:space="preserve"> the complaint with prejudice. </w:t>
      </w:r>
      <w:r w:rsidR="00140ABF">
        <w:rPr>
          <w:rFonts w:eastAsiaTheme="minorHAnsi"/>
          <w:color w:val="000000"/>
          <w:sz w:val="26"/>
          <w:szCs w:val="26"/>
        </w:rPr>
        <w:t xml:space="preserve"> The Commission</w:t>
      </w:r>
      <w:r w:rsidR="00340D38">
        <w:rPr>
          <w:rFonts w:eastAsiaTheme="minorHAnsi"/>
          <w:color w:val="000000"/>
          <w:sz w:val="26"/>
          <w:szCs w:val="26"/>
        </w:rPr>
        <w:t>’s Secretarial Letter directed</w:t>
      </w:r>
      <w:r w:rsidR="00140ABF">
        <w:rPr>
          <w:rFonts w:eastAsiaTheme="minorHAnsi"/>
          <w:color w:val="000000"/>
          <w:sz w:val="26"/>
          <w:szCs w:val="26"/>
        </w:rPr>
        <w:t xml:space="preserve"> exceptions</w:t>
      </w:r>
      <w:r w:rsidR="00340D38">
        <w:rPr>
          <w:rFonts w:eastAsiaTheme="minorHAnsi"/>
          <w:color w:val="000000"/>
          <w:sz w:val="26"/>
          <w:szCs w:val="26"/>
        </w:rPr>
        <w:t xml:space="preserve"> to</w:t>
      </w:r>
      <w:r w:rsidR="00140ABF">
        <w:rPr>
          <w:rFonts w:eastAsiaTheme="minorHAnsi"/>
          <w:color w:val="000000"/>
          <w:sz w:val="26"/>
          <w:szCs w:val="26"/>
        </w:rPr>
        <w:t xml:space="preserve"> be filed within </w:t>
      </w:r>
      <w:r w:rsidR="00E50333">
        <w:rPr>
          <w:rFonts w:eastAsiaTheme="minorHAnsi"/>
          <w:color w:val="000000"/>
          <w:sz w:val="26"/>
          <w:szCs w:val="26"/>
        </w:rPr>
        <w:t xml:space="preserve">twenty </w:t>
      </w:r>
      <w:r w:rsidR="00140ABF">
        <w:rPr>
          <w:rFonts w:eastAsiaTheme="minorHAnsi"/>
          <w:color w:val="000000"/>
          <w:sz w:val="26"/>
          <w:szCs w:val="26"/>
        </w:rPr>
        <w:t>days of the date of the Secretarial Letter</w:t>
      </w:r>
      <w:r w:rsidR="00CA1BEF">
        <w:rPr>
          <w:rFonts w:eastAsiaTheme="minorHAnsi"/>
          <w:color w:val="000000"/>
          <w:sz w:val="26"/>
          <w:szCs w:val="26"/>
        </w:rPr>
        <w:t xml:space="preserve">, </w:t>
      </w:r>
      <w:r w:rsidR="00CA1BEF" w:rsidRPr="00CA1BEF">
        <w:rPr>
          <w:rFonts w:eastAsiaTheme="minorHAnsi"/>
          <w:i/>
          <w:color w:val="000000"/>
          <w:sz w:val="26"/>
          <w:szCs w:val="26"/>
        </w:rPr>
        <w:t>i.e</w:t>
      </w:r>
      <w:r w:rsidR="00CA1BEF">
        <w:rPr>
          <w:rFonts w:eastAsiaTheme="minorHAnsi"/>
          <w:color w:val="000000"/>
          <w:sz w:val="26"/>
          <w:szCs w:val="26"/>
        </w:rPr>
        <w:t>. June 26, 2017,</w:t>
      </w:r>
      <w:r w:rsidR="00140ABF">
        <w:rPr>
          <w:rFonts w:eastAsiaTheme="minorHAnsi"/>
          <w:color w:val="000000"/>
          <w:sz w:val="26"/>
          <w:szCs w:val="26"/>
        </w:rPr>
        <w:t xml:space="preserve"> and replies to exceptions be filed within </w:t>
      </w:r>
      <w:r w:rsidR="00E50333">
        <w:rPr>
          <w:rFonts w:eastAsiaTheme="minorHAnsi"/>
          <w:color w:val="000000"/>
          <w:sz w:val="26"/>
          <w:szCs w:val="26"/>
        </w:rPr>
        <w:t>ten</w:t>
      </w:r>
      <w:r w:rsidR="00140ABF">
        <w:rPr>
          <w:rFonts w:eastAsiaTheme="minorHAnsi"/>
          <w:color w:val="000000"/>
          <w:sz w:val="26"/>
          <w:szCs w:val="26"/>
        </w:rPr>
        <w:t xml:space="preserve"> days of the due date for exceptions</w:t>
      </w:r>
      <w:r w:rsidR="00CA1BEF">
        <w:rPr>
          <w:rFonts w:eastAsiaTheme="minorHAnsi"/>
          <w:color w:val="000000"/>
          <w:sz w:val="26"/>
          <w:szCs w:val="26"/>
        </w:rPr>
        <w:t xml:space="preserve">, </w:t>
      </w:r>
      <w:r w:rsidR="00CA1BEF" w:rsidRPr="00CA1BEF">
        <w:rPr>
          <w:rFonts w:eastAsiaTheme="minorHAnsi"/>
          <w:i/>
          <w:color w:val="000000"/>
          <w:sz w:val="26"/>
          <w:szCs w:val="26"/>
        </w:rPr>
        <w:t>i.e</w:t>
      </w:r>
      <w:r w:rsidR="00CA1BEF">
        <w:rPr>
          <w:rFonts w:eastAsiaTheme="minorHAnsi"/>
          <w:color w:val="000000"/>
          <w:sz w:val="26"/>
          <w:szCs w:val="26"/>
        </w:rPr>
        <w:t>. July 6, 2017</w:t>
      </w:r>
      <w:r w:rsidR="00140ABF">
        <w:rPr>
          <w:rFonts w:eastAsiaTheme="minorHAnsi"/>
          <w:color w:val="000000"/>
          <w:sz w:val="26"/>
          <w:szCs w:val="26"/>
        </w:rPr>
        <w:t>.</w:t>
      </w:r>
    </w:p>
    <w:p w14:paraId="2C793301" w14:textId="77777777" w:rsidR="0066095F" w:rsidRDefault="0066095F" w:rsidP="00027CB5">
      <w:pPr>
        <w:widowControl/>
        <w:spacing w:line="360" w:lineRule="auto"/>
        <w:ind w:firstLine="1440"/>
        <w:rPr>
          <w:rFonts w:eastAsiaTheme="minorHAnsi"/>
          <w:color w:val="000000"/>
          <w:sz w:val="26"/>
          <w:szCs w:val="26"/>
        </w:rPr>
      </w:pPr>
    </w:p>
    <w:p w14:paraId="40A67BBD" w14:textId="04D131F0" w:rsidR="0066095F" w:rsidRDefault="00CA1BEF" w:rsidP="00027CB5">
      <w:pPr>
        <w:widowControl/>
        <w:spacing w:line="360" w:lineRule="auto"/>
        <w:ind w:firstLine="1440"/>
        <w:rPr>
          <w:sz w:val="26"/>
          <w:szCs w:val="26"/>
        </w:rPr>
      </w:pPr>
      <w:r>
        <w:rPr>
          <w:sz w:val="26"/>
          <w:szCs w:val="26"/>
        </w:rPr>
        <w:t>T</w:t>
      </w:r>
      <w:r w:rsidR="0066095F">
        <w:rPr>
          <w:sz w:val="26"/>
          <w:szCs w:val="26"/>
        </w:rPr>
        <w:t>he Complainan</w:t>
      </w:r>
      <w:r>
        <w:rPr>
          <w:sz w:val="26"/>
          <w:szCs w:val="26"/>
        </w:rPr>
        <w:t>t</w:t>
      </w:r>
      <w:r w:rsidR="0066095F">
        <w:rPr>
          <w:sz w:val="26"/>
          <w:szCs w:val="26"/>
        </w:rPr>
        <w:t xml:space="preserve"> filed Exceptions</w:t>
      </w:r>
      <w:r>
        <w:rPr>
          <w:sz w:val="26"/>
          <w:szCs w:val="26"/>
        </w:rPr>
        <w:t xml:space="preserve"> to the Initial Decision</w:t>
      </w:r>
      <w:r w:rsidR="0066095F">
        <w:rPr>
          <w:sz w:val="26"/>
          <w:szCs w:val="26"/>
        </w:rPr>
        <w:t xml:space="preserve">.  The </w:t>
      </w:r>
      <w:r w:rsidR="00140ABF">
        <w:rPr>
          <w:sz w:val="26"/>
          <w:szCs w:val="26"/>
        </w:rPr>
        <w:t>Exceptions</w:t>
      </w:r>
      <w:r>
        <w:rPr>
          <w:sz w:val="26"/>
          <w:szCs w:val="26"/>
        </w:rPr>
        <w:t xml:space="preserve"> are hand written </w:t>
      </w:r>
      <w:r w:rsidR="007868AD">
        <w:rPr>
          <w:sz w:val="26"/>
          <w:szCs w:val="26"/>
        </w:rPr>
        <w:t>and in numbered paragraphs.  In the Commission’s file, the document was sent to the Commission’s Secretary’s Bureau by Certified Mail showing a postmark date of June 26, 2017.</w:t>
      </w:r>
      <w:r w:rsidR="007868AD">
        <w:rPr>
          <w:rStyle w:val="FootnoteReference"/>
          <w:sz w:val="26"/>
          <w:szCs w:val="26"/>
        </w:rPr>
        <w:footnoteReference w:id="2"/>
      </w:r>
    </w:p>
    <w:p w14:paraId="4DE5DB59" w14:textId="77777777" w:rsidR="007868AD" w:rsidRDefault="007868AD" w:rsidP="00027CB5">
      <w:pPr>
        <w:widowControl/>
        <w:spacing w:line="360" w:lineRule="auto"/>
        <w:ind w:firstLine="1440"/>
        <w:rPr>
          <w:sz w:val="26"/>
          <w:szCs w:val="26"/>
        </w:rPr>
      </w:pPr>
    </w:p>
    <w:p w14:paraId="061CCF6F" w14:textId="77777777" w:rsidR="007868AD" w:rsidRDefault="007868AD" w:rsidP="00027CB5">
      <w:pPr>
        <w:widowControl/>
        <w:spacing w:line="360" w:lineRule="auto"/>
        <w:ind w:firstLine="1440"/>
        <w:rPr>
          <w:sz w:val="26"/>
          <w:szCs w:val="26"/>
        </w:rPr>
      </w:pPr>
      <w:r>
        <w:rPr>
          <w:sz w:val="26"/>
          <w:szCs w:val="26"/>
        </w:rPr>
        <w:t xml:space="preserve">On July 3, 2017, the Secretary’s Bureau issued a Secretarial Letter returning the Complainant’s Exceptions dated June 26, 2017, for an original signature, pursuant to 52 Pa. Code § 1.35(a). </w:t>
      </w:r>
    </w:p>
    <w:p w14:paraId="1A4E9098" w14:textId="77777777" w:rsidR="007868AD" w:rsidRDefault="007868AD" w:rsidP="00027CB5">
      <w:pPr>
        <w:widowControl/>
        <w:spacing w:line="360" w:lineRule="auto"/>
        <w:ind w:firstLine="1440"/>
        <w:rPr>
          <w:sz w:val="26"/>
          <w:szCs w:val="26"/>
        </w:rPr>
      </w:pPr>
    </w:p>
    <w:p w14:paraId="530DE4B2" w14:textId="68756FA5" w:rsidR="007868AD" w:rsidRDefault="007868AD" w:rsidP="00027CB5">
      <w:pPr>
        <w:widowControl/>
        <w:spacing w:line="360" w:lineRule="auto"/>
        <w:ind w:firstLine="1440"/>
        <w:rPr>
          <w:sz w:val="26"/>
          <w:szCs w:val="26"/>
        </w:rPr>
      </w:pPr>
      <w:r>
        <w:rPr>
          <w:sz w:val="26"/>
          <w:szCs w:val="26"/>
        </w:rPr>
        <w:t>On July 13, 2017, the Complainant returned the signed Exceptions to the Secretary’s Bureau via Certified Mail.</w:t>
      </w:r>
    </w:p>
    <w:p w14:paraId="570B5375" w14:textId="77777777" w:rsidR="007868AD" w:rsidRDefault="007868AD" w:rsidP="00027CB5">
      <w:pPr>
        <w:widowControl/>
        <w:spacing w:line="360" w:lineRule="auto"/>
        <w:ind w:firstLine="1440"/>
        <w:rPr>
          <w:sz w:val="26"/>
          <w:szCs w:val="26"/>
        </w:rPr>
      </w:pPr>
    </w:p>
    <w:p w14:paraId="688DA4B1" w14:textId="3969B907" w:rsidR="007868AD" w:rsidRDefault="007868AD" w:rsidP="00027CB5">
      <w:pPr>
        <w:widowControl/>
        <w:spacing w:line="360" w:lineRule="auto"/>
        <w:ind w:firstLine="1440"/>
        <w:rPr>
          <w:sz w:val="26"/>
          <w:szCs w:val="26"/>
        </w:rPr>
      </w:pPr>
      <w:r>
        <w:rPr>
          <w:sz w:val="26"/>
          <w:szCs w:val="26"/>
        </w:rPr>
        <w:t>On July 20, 2017, the Secretary’s Bureau issued a Secretarial Letter indicating that the Complainant’s Exceptions did not include a Certificate of Service and served a copy thereof on PECO, and established a due date for Reply Exceptions of July</w:t>
      </w:r>
      <w:r w:rsidR="008540FF">
        <w:rPr>
          <w:sz w:val="26"/>
          <w:szCs w:val="26"/>
        </w:rPr>
        <w:t> </w:t>
      </w:r>
      <w:r>
        <w:rPr>
          <w:sz w:val="26"/>
          <w:szCs w:val="26"/>
        </w:rPr>
        <w:t>31, 2017.</w:t>
      </w:r>
    </w:p>
    <w:p w14:paraId="1CF3F770" w14:textId="77777777" w:rsidR="005B46CD" w:rsidRDefault="005B46CD" w:rsidP="00027CB5">
      <w:pPr>
        <w:widowControl/>
        <w:spacing w:line="360" w:lineRule="auto"/>
        <w:ind w:firstLine="1440"/>
        <w:rPr>
          <w:sz w:val="26"/>
          <w:szCs w:val="26"/>
        </w:rPr>
      </w:pPr>
    </w:p>
    <w:p w14:paraId="5668550F" w14:textId="77777777" w:rsidR="0066095F" w:rsidRDefault="007868AD" w:rsidP="00027CB5">
      <w:pPr>
        <w:widowControl/>
        <w:spacing w:line="360" w:lineRule="auto"/>
        <w:ind w:firstLine="1440"/>
        <w:rPr>
          <w:sz w:val="26"/>
          <w:szCs w:val="26"/>
        </w:rPr>
      </w:pPr>
      <w:r>
        <w:rPr>
          <w:sz w:val="26"/>
          <w:szCs w:val="26"/>
        </w:rPr>
        <w:t xml:space="preserve">On July 31, 2017, PECO </w:t>
      </w:r>
      <w:r w:rsidR="00140ABF">
        <w:rPr>
          <w:sz w:val="26"/>
          <w:szCs w:val="26"/>
        </w:rPr>
        <w:t>filed Replies to Exceptions.</w:t>
      </w:r>
    </w:p>
    <w:p w14:paraId="7B940453" w14:textId="77777777" w:rsidR="0066095F" w:rsidRPr="00F91FC0" w:rsidRDefault="0066095F" w:rsidP="00027CB5">
      <w:pPr>
        <w:widowControl/>
        <w:spacing w:line="360" w:lineRule="auto"/>
        <w:rPr>
          <w:b/>
          <w:sz w:val="26"/>
          <w:szCs w:val="26"/>
        </w:rPr>
      </w:pPr>
    </w:p>
    <w:p w14:paraId="7876E939" w14:textId="77777777" w:rsidR="001F0176" w:rsidRDefault="001F0176" w:rsidP="00027CB5">
      <w:pPr>
        <w:keepNext/>
        <w:keepLines/>
        <w:widowControl/>
        <w:spacing w:after="160" w:line="259" w:lineRule="auto"/>
        <w:jc w:val="center"/>
        <w:rPr>
          <w:b/>
          <w:sz w:val="26"/>
          <w:szCs w:val="26"/>
        </w:rPr>
      </w:pPr>
      <w:r w:rsidRPr="00FC3806">
        <w:rPr>
          <w:b/>
          <w:sz w:val="26"/>
          <w:szCs w:val="26"/>
        </w:rPr>
        <w:t>Discussion</w:t>
      </w:r>
    </w:p>
    <w:p w14:paraId="04DE2054" w14:textId="77777777" w:rsidR="00AC6661" w:rsidRDefault="00AC6661" w:rsidP="00027CB5">
      <w:pPr>
        <w:keepNext/>
        <w:keepLines/>
        <w:widowControl/>
        <w:overflowPunct w:val="0"/>
        <w:autoSpaceDE w:val="0"/>
        <w:autoSpaceDN w:val="0"/>
        <w:adjustRightInd w:val="0"/>
        <w:spacing w:line="360" w:lineRule="auto"/>
        <w:ind w:firstLine="1440"/>
        <w:textAlignment w:val="baseline"/>
        <w:rPr>
          <w:sz w:val="26"/>
          <w:szCs w:val="26"/>
        </w:rPr>
      </w:pPr>
    </w:p>
    <w:p w14:paraId="588AEA4A" w14:textId="635504A7" w:rsidR="00AC6661" w:rsidRPr="00FC3806" w:rsidRDefault="00A33402" w:rsidP="00027CB5">
      <w:pPr>
        <w:widowControl/>
        <w:spacing w:line="360" w:lineRule="auto"/>
        <w:ind w:firstLine="1440"/>
        <w:contextualSpacing/>
        <w:rPr>
          <w:sz w:val="26"/>
          <w:szCs w:val="26"/>
        </w:rPr>
      </w:pPr>
      <w:r>
        <w:rPr>
          <w:sz w:val="26"/>
          <w:szCs w:val="26"/>
        </w:rPr>
        <w:t>Preliminari</w:t>
      </w:r>
      <w:r w:rsidRPr="00FC3806">
        <w:rPr>
          <w:sz w:val="26"/>
          <w:szCs w:val="26"/>
        </w:rPr>
        <w:t xml:space="preserve">ly, </w:t>
      </w:r>
      <w:r>
        <w:rPr>
          <w:color w:val="212121"/>
          <w:sz w:val="26"/>
          <w:szCs w:val="26"/>
        </w:rPr>
        <w:t xml:space="preserve">we note that </w:t>
      </w:r>
      <w:r w:rsidR="0089265E" w:rsidRPr="00FC3806">
        <w:rPr>
          <w:sz w:val="26"/>
          <w:szCs w:val="26"/>
        </w:rPr>
        <w:t>any issue that we do not specifically delineate or address herein shall be deemed to have been duly considered and denied without further discussion.</w:t>
      </w:r>
      <w:r w:rsidR="0089265E">
        <w:rPr>
          <w:sz w:val="26"/>
          <w:szCs w:val="26"/>
        </w:rPr>
        <w:t xml:space="preserve">  I</w:t>
      </w:r>
      <w:r w:rsidR="00AC6661" w:rsidRPr="00FC3806">
        <w:rPr>
          <w:sz w:val="26"/>
          <w:szCs w:val="26"/>
        </w:rPr>
        <w:t>t is well</w:t>
      </w:r>
      <w:r w:rsidR="0089265E">
        <w:rPr>
          <w:sz w:val="26"/>
          <w:szCs w:val="26"/>
        </w:rPr>
        <w:t>-</w:t>
      </w:r>
      <w:r w:rsidR="00AC6661" w:rsidRPr="00FC3806">
        <w:rPr>
          <w:sz w:val="26"/>
          <w:szCs w:val="26"/>
        </w:rPr>
        <w:t xml:space="preserve">settled that the Commission is not required to consider expressly or at length each contention or argument raised by the parties.  </w:t>
      </w:r>
      <w:hyperlink r:id="rId8" w:history="1">
        <w:r w:rsidR="00AC6661" w:rsidRPr="00FC3806">
          <w:rPr>
            <w:i/>
            <w:iCs/>
            <w:sz w:val="26"/>
            <w:szCs w:val="26"/>
          </w:rPr>
          <w:t xml:space="preserve">Consolidated Rail Corp. v. Pa. PUC, </w:t>
        </w:r>
        <w:r w:rsidR="00AC6661" w:rsidRPr="00FC3806">
          <w:rPr>
            <w:sz w:val="26"/>
            <w:szCs w:val="26"/>
          </w:rPr>
          <w:t>625 A.2d 741, 744 (Pa. Cmwlth. 1993);</w:t>
        </w:r>
      </w:hyperlink>
      <w:r w:rsidR="00AC6661" w:rsidRPr="00FC3806">
        <w:rPr>
          <w:sz w:val="26"/>
          <w:szCs w:val="26"/>
        </w:rPr>
        <w:t xml:space="preserve"> </w:t>
      </w:r>
      <w:r w:rsidR="00AC6661" w:rsidRPr="00FC3806">
        <w:rPr>
          <w:i/>
          <w:sz w:val="26"/>
          <w:szCs w:val="26"/>
        </w:rPr>
        <w:t xml:space="preserve">also </w:t>
      </w:r>
      <w:r w:rsidR="00AC6661" w:rsidRPr="00FC3806">
        <w:rPr>
          <w:i/>
          <w:iCs/>
          <w:sz w:val="26"/>
          <w:szCs w:val="26"/>
        </w:rPr>
        <w:t xml:space="preserve">see, generally, </w:t>
      </w:r>
      <w:hyperlink r:id="rId9" w:history="1">
        <w:r w:rsidR="00AC6661" w:rsidRPr="00FC3806">
          <w:rPr>
            <w:i/>
            <w:iCs/>
            <w:sz w:val="26"/>
            <w:szCs w:val="26"/>
          </w:rPr>
          <w:t>University of Pennsylvania v. Pa. PUC</w:t>
        </w:r>
        <w:r w:rsidR="00AC6661" w:rsidRPr="00FC3806">
          <w:rPr>
            <w:sz w:val="26"/>
            <w:szCs w:val="26"/>
          </w:rPr>
          <w:t>, 485 A.2d 1217, 1222-1223 (Pa. Cmwlth. 1984).</w:t>
        </w:r>
      </w:hyperlink>
    </w:p>
    <w:p w14:paraId="644B066D" w14:textId="77777777" w:rsidR="001F0176" w:rsidRPr="00FC3806" w:rsidRDefault="001F0176" w:rsidP="00027CB5">
      <w:pPr>
        <w:widowControl/>
        <w:spacing w:line="360" w:lineRule="auto"/>
        <w:rPr>
          <w:sz w:val="26"/>
          <w:szCs w:val="26"/>
        </w:rPr>
      </w:pPr>
    </w:p>
    <w:p w14:paraId="2D4272DE" w14:textId="77777777" w:rsidR="001F0176" w:rsidRPr="00FC3806" w:rsidRDefault="001F0176" w:rsidP="00027CB5">
      <w:pPr>
        <w:keepNext/>
        <w:keepLines/>
        <w:widowControl/>
        <w:spacing w:line="360" w:lineRule="auto"/>
        <w:rPr>
          <w:b/>
          <w:sz w:val="26"/>
          <w:szCs w:val="26"/>
        </w:rPr>
      </w:pPr>
      <w:r w:rsidRPr="00FC3806">
        <w:rPr>
          <w:b/>
          <w:sz w:val="26"/>
          <w:szCs w:val="26"/>
        </w:rPr>
        <w:t>Legal Standard</w:t>
      </w:r>
      <w:r w:rsidR="009C0A32">
        <w:rPr>
          <w:b/>
          <w:sz w:val="26"/>
          <w:szCs w:val="26"/>
        </w:rPr>
        <w:t>s</w:t>
      </w:r>
    </w:p>
    <w:p w14:paraId="693D7E5F" w14:textId="77777777" w:rsidR="001F0176" w:rsidRDefault="001F0176" w:rsidP="00027CB5">
      <w:pPr>
        <w:keepNext/>
        <w:keepLines/>
        <w:widowControl/>
        <w:spacing w:line="360" w:lineRule="auto"/>
        <w:rPr>
          <w:b/>
          <w:sz w:val="26"/>
          <w:szCs w:val="26"/>
        </w:rPr>
      </w:pPr>
    </w:p>
    <w:p w14:paraId="7725E68A" w14:textId="77777777" w:rsidR="00ED6D2A" w:rsidRDefault="00FA7059" w:rsidP="00027CB5">
      <w:pPr>
        <w:widowControl/>
        <w:spacing w:line="360" w:lineRule="auto"/>
        <w:ind w:firstLine="720"/>
        <w:rPr>
          <w:b/>
          <w:sz w:val="26"/>
          <w:szCs w:val="26"/>
        </w:rPr>
      </w:pPr>
      <w:r>
        <w:rPr>
          <w:b/>
          <w:sz w:val="26"/>
          <w:szCs w:val="26"/>
        </w:rPr>
        <w:t>Administrative</w:t>
      </w:r>
      <w:r w:rsidR="00CF3F20">
        <w:rPr>
          <w:b/>
          <w:sz w:val="26"/>
          <w:szCs w:val="26"/>
        </w:rPr>
        <w:t xml:space="preserve"> Due Process</w:t>
      </w:r>
      <w:r>
        <w:rPr>
          <w:b/>
          <w:sz w:val="26"/>
          <w:szCs w:val="26"/>
        </w:rPr>
        <w:t xml:space="preserve"> and Waiver of Hearing</w:t>
      </w:r>
    </w:p>
    <w:p w14:paraId="040A28C8" w14:textId="77777777" w:rsidR="00ED6D2A" w:rsidRPr="00ED6D2A" w:rsidRDefault="00ED6D2A" w:rsidP="00027CB5">
      <w:pPr>
        <w:widowControl/>
        <w:spacing w:line="360" w:lineRule="auto"/>
        <w:ind w:firstLine="720"/>
        <w:rPr>
          <w:b/>
          <w:sz w:val="26"/>
          <w:szCs w:val="26"/>
        </w:rPr>
      </w:pPr>
    </w:p>
    <w:p w14:paraId="00E9B681" w14:textId="59579A51" w:rsidR="003F2439" w:rsidRPr="00616C44" w:rsidRDefault="003F2439" w:rsidP="00027CB5">
      <w:pPr>
        <w:widowControl/>
        <w:spacing w:line="360" w:lineRule="auto"/>
        <w:ind w:firstLine="1440"/>
        <w:rPr>
          <w:sz w:val="26"/>
          <w:szCs w:val="26"/>
        </w:rPr>
      </w:pPr>
      <w:r w:rsidRPr="00616C44">
        <w:rPr>
          <w:sz w:val="26"/>
          <w:szCs w:val="26"/>
        </w:rPr>
        <w:t xml:space="preserve">As an administrative agency of the Commonwealth, the Commission is required to provide due process to the parties appearing before it.  </w:t>
      </w:r>
      <w:r w:rsidRPr="00616C44">
        <w:rPr>
          <w:i/>
          <w:sz w:val="26"/>
          <w:szCs w:val="26"/>
        </w:rPr>
        <w:t>Schneider v. Pa. PUC</w:t>
      </w:r>
      <w:r w:rsidRPr="00616C44">
        <w:rPr>
          <w:sz w:val="26"/>
          <w:szCs w:val="26"/>
        </w:rPr>
        <w:t xml:space="preserve">, 479 A.2d 10, 15 (Pa. Cmwlth. 1984), citing </w:t>
      </w:r>
      <w:r w:rsidRPr="00616C44">
        <w:rPr>
          <w:i/>
          <w:sz w:val="26"/>
          <w:szCs w:val="26"/>
        </w:rPr>
        <w:t>Fusaro v. Pa. PUC</w:t>
      </w:r>
      <w:r w:rsidRPr="00616C44">
        <w:rPr>
          <w:sz w:val="26"/>
          <w:szCs w:val="26"/>
        </w:rPr>
        <w:t xml:space="preserve">, 382 A.2d 794 (Pa. Cmwlth. 1978).  Due process is satisfied when the parties are afforded notice and the opportunity to appear and be heard.  </w:t>
      </w:r>
      <w:r w:rsidRPr="00616C44">
        <w:rPr>
          <w:i/>
          <w:sz w:val="26"/>
          <w:szCs w:val="26"/>
        </w:rPr>
        <w:t>Schneider v. Pa. PUC</w:t>
      </w:r>
      <w:r w:rsidRPr="00616C44">
        <w:rPr>
          <w:sz w:val="26"/>
          <w:szCs w:val="26"/>
        </w:rPr>
        <w:t>, 479 A</w:t>
      </w:r>
      <w:r>
        <w:rPr>
          <w:sz w:val="26"/>
          <w:szCs w:val="26"/>
        </w:rPr>
        <w:t>.2d 10, 15 (Pa.  Cmwlth. 1984).</w:t>
      </w:r>
    </w:p>
    <w:p w14:paraId="210B2777" w14:textId="77777777" w:rsidR="003F2439" w:rsidRPr="00616C44" w:rsidRDefault="003F2439" w:rsidP="00027CB5">
      <w:pPr>
        <w:widowControl/>
        <w:spacing w:line="360" w:lineRule="auto"/>
        <w:ind w:firstLine="1440"/>
        <w:rPr>
          <w:sz w:val="26"/>
          <w:szCs w:val="26"/>
        </w:rPr>
      </w:pPr>
    </w:p>
    <w:p w14:paraId="43F5C757" w14:textId="15CFC10D" w:rsidR="003F2439" w:rsidRPr="00616C44" w:rsidRDefault="003F2439" w:rsidP="00027CB5">
      <w:pPr>
        <w:widowControl/>
        <w:spacing w:line="360" w:lineRule="auto"/>
        <w:ind w:firstLine="1440"/>
        <w:rPr>
          <w:sz w:val="26"/>
          <w:szCs w:val="26"/>
        </w:rPr>
      </w:pPr>
      <w:r w:rsidRPr="00616C44">
        <w:rPr>
          <w:sz w:val="26"/>
          <w:szCs w:val="26"/>
        </w:rPr>
        <w:t xml:space="preserve">The Commission is required to fix the time and place of a hearing in a complaint proceeding and to serve notice thereof upon the parties in interest.  </w:t>
      </w:r>
      <w:r w:rsidRPr="00616C44">
        <w:rPr>
          <w:i/>
          <w:sz w:val="26"/>
          <w:szCs w:val="26"/>
        </w:rPr>
        <w:t>See</w:t>
      </w:r>
      <w:r w:rsidRPr="00616C44">
        <w:rPr>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616C44">
        <w:rPr>
          <w:i/>
          <w:sz w:val="26"/>
          <w:szCs w:val="26"/>
        </w:rPr>
        <w:t>See</w:t>
      </w:r>
      <w:r>
        <w:rPr>
          <w:sz w:val="26"/>
          <w:szCs w:val="26"/>
        </w:rPr>
        <w:t>,</w:t>
      </w:r>
      <w:r w:rsidRPr="00616C44">
        <w:rPr>
          <w:sz w:val="26"/>
          <w:szCs w:val="26"/>
        </w:rPr>
        <w:t xml:space="preserve"> </w:t>
      </w:r>
      <w:r w:rsidRPr="00616C44">
        <w:rPr>
          <w:rFonts w:eastAsiaTheme="minorHAnsi"/>
          <w:i/>
          <w:color w:val="000000"/>
          <w:sz w:val="26"/>
          <w:szCs w:val="26"/>
        </w:rPr>
        <w:t>Berkowitz v. Mayflower Securities, Inc</w:t>
      </w:r>
      <w:r w:rsidRPr="00616C44">
        <w:rPr>
          <w:rFonts w:eastAsiaTheme="minorHAnsi"/>
          <w:color w:val="000000"/>
          <w:sz w:val="26"/>
          <w:szCs w:val="26"/>
        </w:rPr>
        <w:t>., 455 Pa. 531, 317 A.2d 584 (Pa. 1974)</w:t>
      </w:r>
      <w:r>
        <w:rPr>
          <w:rFonts w:eastAsiaTheme="minorHAnsi"/>
          <w:color w:val="000000"/>
          <w:sz w:val="26"/>
          <w:szCs w:val="26"/>
        </w:rPr>
        <w:t xml:space="preserve"> (</w:t>
      </w:r>
      <w:r w:rsidRPr="003B6A81">
        <w:rPr>
          <w:rFonts w:eastAsiaTheme="minorHAnsi"/>
          <w:i/>
          <w:color w:val="000000"/>
          <w:sz w:val="26"/>
          <w:szCs w:val="26"/>
        </w:rPr>
        <w:t>Mayflower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Meierdierck v. Miller</w:t>
      </w:r>
      <w:r w:rsidRPr="00616C44">
        <w:rPr>
          <w:rFonts w:eastAsiaTheme="minorHAnsi"/>
          <w:color w:val="000000"/>
          <w:sz w:val="26"/>
          <w:szCs w:val="26"/>
        </w:rPr>
        <w:t>, 147 A.2d 406 (Pa. 1959)</w:t>
      </w:r>
      <w:r>
        <w:rPr>
          <w:rFonts w:eastAsiaTheme="minorHAnsi"/>
          <w:color w:val="000000"/>
          <w:sz w:val="26"/>
          <w:szCs w:val="26"/>
        </w:rPr>
        <w:t xml:space="preserve"> (</w:t>
      </w:r>
      <w:r w:rsidRPr="003B6A81">
        <w:rPr>
          <w:rFonts w:eastAsiaTheme="minorHAnsi"/>
          <w:i/>
          <w:color w:val="000000"/>
          <w:sz w:val="26"/>
          <w:szCs w:val="26"/>
        </w:rPr>
        <w:t>Miller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Samaras v. Hartwick</w:t>
      </w:r>
      <w:r w:rsidRPr="00616C44">
        <w:rPr>
          <w:rFonts w:eastAsiaTheme="minorHAnsi"/>
          <w:color w:val="000000"/>
          <w:sz w:val="26"/>
          <w:szCs w:val="26"/>
        </w:rPr>
        <w:t>, 698 A.2d 71 (Pa. Super. 1997)</w:t>
      </w:r>
      <w:r>
        <w:rPr>
          <w:rFonts w:eastAsiaTheme="minorHAnsi"/>
          <w:color w:val="000000"/>
          <w:sz w:val="26"/>
          <w:szCs w:val="26"/>
        </w:rPr>
        <w:t xml:space="preserve"> (</w:t>
      </w:r>
      <w:r w:rsidRPr="003B6A81">
        <w:rPr>
          <w:rFonts w:eastAsiaTheme="minorHAnsi"/>
          <w:i/>
          <w:color w:val="000000"/>
          <w:sz w:val="26"/>
          <w:szCs w:val="26"/>
        </w:rPr>
        <w:t>Samaras</w:t>
      </w:r>
      <w:r>
        <w:rPr>
          <w:rFonts w:eastAsiaTheme="minorHAnsi"/>
          <w:color w:val="000000"/>
          <w:sz w:val="26"/>
          <w:szCs w:val="26"/>
        </w:rPr>
        <w:t>)</w:t>
      </w:r>
      <w:r w:rsidRPr="00616C44">
        <w:rPr>
          <w:rFonts w:eastAsiaTheme="minorHAnsi"/>
          <w:color w:val="000000"/>
          <w:sz w:val="26"/>
          <w:szCs w:val="26"/>
        </w:rPr>
        <w:t xml:space="preserve">; </w:t>
      </w:r>
      <w:r w:rsidRPr="00616C44">
        <w:rPr>
          <w:i/>
          <w:sz w:val="26"/>
          <w:szCs w:val="26"/>
        </w:rPr>
        <w:t>Chartiers Industrial and Commercial Development Authority v. Allegheny County Board of Property Assessment Appeals and Review</w:t>
      </w:r>
      <w:r w:rsidRPr="00616C44">
        <w:rPr>
          <w:sz w:val="26"/>
          <w:szCs w:val="26"/>
        </w:rPr>
        <w:t xml:space="preserve">, 645 A.2d 944, 946 (Pa. Cmwlth. 1994), </w:t>
      </w:r>
      <w:r w:rsidRPr="00616C44">
        <w:rPr>
          <w:i/>
          <w:sz w:val="26"/>
          <w:szCs w:val="26"/>
        </w:rPr>
        <w:t>appeal denied</w:t>
      </w:r>
      <w:r w:rsidRPr="00616C44">
        <w:rPr>
          <w:sz w:val="26"/>
          <w:szCs w:val="26"/>
        </w:rPr>
        <w:t xml:space="preserve"> 539 Pa. 696, 653 A.2d 1234 (1994); </w:t>
      </w:r>
      <w:r w:rsidRPr="00616C44">
        <w:rPr>
          <w:i/>
          <w:sz w:val="26"/>
          <w:szCs w:val="26"/>
        </w:rPr>
        <w:t>Geary v. Verizon Pennsylvania Inc</w:t>
      </w:r>
      <w:r w:rsidRPr="00616C44">
        <w:rPr>
          <w:sz w:val="26"/>
          <w:szCs w:val="26"/>
        </w:rPr>
        <w:t>., Docket No. C-2009-2118625 (Order entered September 16, 2010)</w:t>
      </w:r>
      <w:r>
        <w:rPr>
          <w:sz w:val="26"/>
          <w:szCs w:val="26"/>
        </w:rPr>
        <w:t xml:space="preserve"> (</w:t>
      </w:r>
      <w:r w:rsidRPr="003B6A81">
        <w:rPr>
          <w:i/>
          <w:sz w:val="26"/>
          <w:szCs w:val="26"/>
        </w:rPr>
        <w:t>Geary</w:t>
      </w:r>
      <w:r>
        <w:rPr>
          <w:sz w:val="26"/>
          <w:szCs w:val="26"/>
        </w:rPr>
        <w:t>)</w:t>
      </w:r>
      <w:r w:rsidRPr="00616C44">
        <w:rPr>
          <w:sz w:val="26"/>
          <w:szCs w:val="26"/>
        </w:rPr>
        <w:t>.</w:t>
      </w:r>
    </w:p>
    <w:p w14:paraId="46ED220B" w14:textId="77777777" w:rsidR="003F2439" w:rsidRPr="00616C44" w:rsidRDefault="003F2439" w:rsidP="00027CB5">
      <w:pPr>
        <w:widowControl/>
        <w:spacing w:line="360" w:lineRule="auto"/>
        <w:ind w:firstLine="1440"/>
        <w:rPr>
          <w:sz w:val="26"/>
          <w:szCs w:val="26"/>
        </w:rPr>
      </w:pPr>
    </w:p>
    <w:p w14:paraId="123FE274" w14:textId="2F32CCEE" w:rsidR="003F2439" w:rsidRPr="00616C44" w:rsidRDefault="003F2439" w:rsidP="00027CB5">
      <w:pPr>
        <w:widowControl/>
        <w:spacing w:line="360" w:lineRule="auto"/>
        <w:ind w:firstLine="1440"/>
        <w:rPr>
          <w:sz w:val="26"/>
          <w:szCs w:val="26"/>
        </w:rPr>
      </w:pPr>
      <w:r w:rsidRPr="00616C44">
        <w:rPr>
          <w:sz w:val="26"/>
          <w:szCs w:val="26"/>
        </w:rPr>
        <w:t xml:space="preserve">Once notice of a hearing and the opportunity to be heard have been provided by the Commission, it is the responsibility of the parties to appear and participate in the hearing.  </w:t>
      </w:r>
      <w:r w:rsidRPr="00616C44">
        <w:rPr>
          <w:i/>
          <w:sz w:val="26"/>
          <w:szCs w:val="26"/>
        </w:rPr>
        <w:t>Mumma v. PPL Electric Utilities Corporation</w:t>
      </w:r>
      <w:r w:rsidRPr="00616C44">
        <w:rPr>
          <w:sz w:val="26"/>
          <w:szCs w:val="26"/>
        </w:rPr>
        <w:t>, Docket No. C</w:t>
      </w:r>
      <w:r w:rsidR="008540FF">
        <w:rPr>
          <w:sz w:val="26"/>
          <w:szCs w:val="26"/>
        </w:rPr>
        <w:noBreakHyphen/>
      </w:r>
      <w:r w:rsidRPr="00616C44">
        <w:rPr>
          <w:sz w:val="26"/>
          <w:szCs w:val="26"/>
        </w:rPr>
        <w:t>00014869 (Order entered January 24, 2002) (</w:t>
      </w:r>
      <w:r w:rsidRPr="00616C44">
        <w:rPr>
          <w:i/>
          <w:sz w:val="26"/>
          <w:szCs w:val="26"/>
        </w:rPr>
        <w:t>Mumma</w:t>
      </w:r>
      <w:r w:rsidRPr="00616C44">
        <w:rPr>
          <w:sz w:val="26"/>
          <w:szCs w:val="26"/>
        </w:rPr>
        <w:t xml:space="preserve">); </w:t>
      </w:r>
      <w:r w:rsidRPr="00616C44">
        <w:rPr>
          <w:i/>
          <w:sz w:val="26"/>
          <w:szCs w:val="26"/>
        </w:rPr>
        <w:t>Sentner v. Bell Tel. Co. of PA</w:t>
      </w:r>
      <w:r w:rsidRPr="00616C44">
        <w:rPr>
          <w:sz w:val="26"/>
          <w:szCs w:val="26"/>
        </w:rPr>
        <w:t>, Docket No. F-00161106 (Order entered October 25, 1993) (</w:t>
      </w:r>
      <w:r w:rsidRPr="00616C44">
        <w:rPr>
          <w:i/>
          <w:sz w:val="26"/>
          <w:szCs w:val="26"/>
        </w:rPr>
        <w:t>Sentner</w:t>
      </w:r>
      <w:r w:rsidRPr="00616C44">
        <w:rPr>
          <w:sz w:val="26"/>
          <w:szCs w:val="26"/>
        </w:rPr>
        <w:t>).</w:t>
      </w:r>
    </w:p>
    <w:p w14:paraId="37DF498B" w14:textId="77777777" w:rsidR="003F2439" w:rsidRPr="00616C44" w:rsidRDefault="003F2439" w:rsidP="00027CB5">
      <w:pPr>
        <w:widowControl/>
        <w:spacing w:line="360" w:lineRule="auto"/>
        <w:ind w:firstLine="1440"/>
        <w:rPr>
          <w:sz w:val="26"/>
          <w:szCs w:val="26"/>
        </w:rPr>
      </w:pPr>
    </w:p>
    <w:p w14:paraId="0C152554" w14:textId="4AEC9AE8" w:rsidR="003F2439" w:rsidRPr="00616C44" w:rsidRDefault="003F2439" w:rsidP="00027CB5">
      <w:pPr>
        <w:widowControl/>
        <w:spacing w:line="360" w:lineRule="auto"/>
        <w:ind w:firstLine="1440"/>
        <w:rPr>
          <w:sz w:val="26"/>
          <w:szCs w:val="26"/>
        </w:rPr>
      </w:pPr>
      <w:r w:rsidRPr="00616C44">
        <w:rPr>
          <w:sz w:val="26"/>
          <w:szCs w:val="26"/>
        </w:rPr>
        <w:t xml:space="preserve">A party to a proceeding has the right to request a continuance of </w:t>
      </w:r>
      <w:r>
        <w:rPr>
          <w:sz w:val="26"/>
          <w:szCs w:val="26"/>
        </w:rPr>
        <w:t xml:space="preserve">the </w:t>
      </w:r>
      <w:r w:rsidRPr="00616C44">
        <w:rPr>
          <w:sz w:val="26"/>
          <w:szCs w:val="26"/>
        </w:rPr>
        <w:t xml:space="preserve">hearing, which may be granted by the presiding officer for “good cause.”  </w:t>
      </w:r>
      <w:r w:rsidRPr="00616C44">
        <w:rPr>
          <w:i/>
          <w:sz w:val="26"/>
          <w:szCs w:val="26"/>
        </w:rPr>
        <w:t>See</w:t>
      </w:r>
      <w:r w:rsidRPr="00616C44">
        <w:rPr>
          <w:sz w:val="26"/>
          <w:szCs w:val="26"/>
        </w:rPr>
        <w:t xml:space="preserve"> 52 Pa. Code § 1.15(b).  Pursuant to the Commission’s Regulations, a continuance request is required to be in writing and filed with the presiding officer at least five days prior to the hearing date, except that, during a hearing, an oral request for hearing continuance may be made before the presiding officer in the hearing room.  </w:t>
      </w:r>
      <w:r w:rsidRPr="00616C44">
        <w:rPr>
          <w:i/>
          <w:sz w:val="26"/>
          <w:szCs w:val="26"/>
        </w:rPr>
        <w:t>Id</w:t>
      </w:r>
      <w:r w:rsidRPr="00616C44">
        <w:rPr>
          <w:sz w:val="26"/>
          <w:szCs w:val="26"/>
        </w:rPr>
        <w:t xml:space="preserve">.  When “good cause” is shown for a hearing continuance, the Commission has acknowledged that the public interest is better served when all litigants, particularly </w:t>
      </w:r>
      <w:r w:rsidRPr="00616C44">
        <w:rPr>
          <w:i/>
          <w:sz w:val="26"/>
          <w:szCs w:val="26"/>
        </w:rPr>
        <w:t xml:space="preserve">pro se </w:t>
      </w:r>
      <w:r w:rsidRPr="00616C44">
        <w:rPr>
          <w:sz w:val="26"/>
          <w:szCs w:val="26"/>
        </w:rPr>
        <w:t>litigants, are afforded a meaningful opportunity to be heard.</w:t>
      </w:r>
      <w:r>
        <w:rPr>
          <w:sz w:val="26"/>
          <w:szCs w:val="26"/>
        </w:rPr>
        <w:t xml:space="preserve"> </w:t>
      </w:r>
      <w:r w:rsidRPr="00B57390">
        <w:rPr>
          <w:i/>
          <w:sz w:val="26"/>
          <w:szCs w:val="26"/>
        </w:rPr>
        <w:t xml:space="preserve"> </w:t>
      </w:r>
      <w:r w:rsidRPr="00827E17">
        <w:rPr>
          <w:i/>
          <w:sz w:val="26"/>
          <w:szCs w:val="26"/>
        </w:rPr>
        <w:t>See, e.g., Laurie Loucks v. Metropolitan Edison Company</w:t>
      </w:r>
      <w:r w:rsidRPr="00827E17">
        <w:rPr>
          <w:sz w:val="26"/>
          <w:szCs w:val="26"/>
        </w:rPr>
        <w:t>, Docket No. C-2017-2619974 (Order entered May 16, 2018) (reversed ALJ’s decision to dismiss complaint with prejudice and remanded for hearing because the complainant attended and participated in the first scheduled hearing, which was not completed due to a technical problem with the teleconference line, and complainant sought a continuance of the rescheduled hearing to review the Company’s newly proffered exhibits for which there was question in record as to whether such exhibits had been timely served on the complainant pursuant to the pr</w:t>
      </w:r>
      <w:r>
        <w:rPr>
          <w:sz w:val="26"/>
          <w:szCs w:val="26"/>
        </w:rPr>
        <w:t>ehearing order’s requirements).</w:t>
      </w:r>
      <w:r>
        <w:rPr>
          <w:rStyle w:val="FootnoteReference"/>
          <w:sz w:val="26"/>
          <w:szCs w:val="26"/>
        </w:rPr>
        <w:footnoteReference w:id="3"/>
      </w:r>
    </w:p>
    <w:p w14:paraId="2245B41A" w14:textId="77777777" w:rsidR="003F2439" w:rsidRPr="00616C44" w:rsidRDefault="003F2439" w:rsidP="00027CB5">
      <w:pPr>
        <w:widowControl/>
        <w:spacing w:line="360" w:lineRule="auto"/>
        <w:ind w:firstLine="1440"/>
        <w:rPr>
          <w:sz w:val="26"/>
          <w:szCs w:val="26"/>
        </w:rPr>
      </w:pPr>
    </w:p>
    <w:p w14:paraId="671AFFD7" w14:textId="6834DC51" w:rsidR="003F2439" w:rsidRPr="00616C44" w:rsidRDefault="003F2439" w:rsidP="00027CB5">
      <w:pPr>
        <w:widowControl/>
        <w:spacing w:line="360" w:lineRule="auto"/>
        <w:ind w:firstLine="1440"/>
        <w:rPr>
          <w:color w:val="000000" w:themeColor="text1"/>
          <w:sz w:val="26"/>
          <w:szCs w:val="26"/>
        </w:rPr>
      </w:pPr>
      <w:r w:rsidRPr="00616C44">
        <w:rPr>
          <w:sz w:val="26"/>
          <w:szCs w:val="26"/>
        </w:rPr>
        <w:t>If a party fails to attend a scheduled hearing, such failure to appear will be deemed a waiver of the party’s opportunity to participate in a hearing, unless the presiding officer determines that such failure was “unavoidable” and that the interests of the other parties and of the public would not be “prejudiced” by permitting such reopening or further examination.  66 Pa. C.S. § 332(f); 52 Pa. Code § 5.245(a)-(b).</w:t>
      </w:r>
    </w:p>
    <w:p w14:paraId="11D5D65E" w14:textId="77777777" w:rsidR="003F2439" w:rsidRPr="00616C44" w:rsidRDefault="003F2439" w:rsidP="00027CB5">
      <w:pPr>
        <w:widowControl/>
        <w:spacing w:line="360" w:lineRule="auto"/>
        <w:ind w:firstLine="1440"/>
        <w:rPr>
          <w:color w:val="000000" w:themeColor="text1"/>
          <w:sz w:val="26"/>
          <w:szCs w:val="26"/>
        </w:rPr>
      </w:pPr>
    </w:p>
    <w:p w14:paraId="538D7FE8" w14:textId="259FBC20" w:rsidR="003F2439" w:rsidRDefault="003F2439" w:rsidP="00027CB5">
      <w:pPr>
        <w:widowControl/>
        <w:spacing w:line="360" w:lineRule="auto"/>
        <w:ind w:firstLine="1440"/>
        <w:rPr>
          <w:spacing w:val="-3"/>
          <w:sz w:val="26"/>
          <w:szCs w:val="26"/>
        </w:rPr>
      </w:pPr>
      <w:r>
        <w:rPr>
          <w:sz w:val="26"/>
          <w:szCs w:val="26"/>
        </w:rPr>
        <w:t xml:space="preserve">Based on </w:t>
      </w:r>
      <w:r w:rsidRPr="00616C44">
        <w:rPr>
          <w:sz w:val="26"/>
          <w:szCs w:val="26"/>
        </w:rPr>
        <w:t xml:space="preserve">prior cases, to meet the “unavoidable” standard, the Commission will require a complainant to show, with supporting information, that the failure to appear was due to exigent circumstances.  </w:t>
      </w:r>
      <w:r w:rsidRPr="00827E17">
        <w:rPr>
          <w:i/>
          <w:sz w:val="26"/>
          <w:szCs w:val="26"/>
        </w:rPr>
        <w:t xml:space="preserve">See, e.g., </w:t>
      </w:r>
      <w:r w:rsidRPr="0014180D">
        <w:rPr>
          <w:i/>
          <w:sz w:val="26"/>
          <w:szCs w:val="26"/>
        </w:rPr>
        <w:t>El-Ayazra v. West Penn Power Company</w:t>
      </w:r>
      <w:r w:rsidRPr="0003143A">
        <w:rPr>
          <w:sz w:val="26"/>
          <w:szCs w:val="26"/>
        </w:rPr>
        <w:t>, Docket No. F-2015-2509292 (Opinion and Order entered Jun</w:t>
      </w:r>
      <w:r>
        <w:rPr>
          <w:sz w:val="26"/>
          <w:szCs w:val="26"/>
        </w:rPr>
        <w:t>e 30, 2016) (</w:t>
      </w:r>
      <w:r w:rsidRPr="0019321F">
        <w:rPr>
          <w:i/>
          <w:sz w:val="26"/>
          <w:szCs w:val="26"/>
        </w:rPr>
        <w:t>El-Ayazra</w:t>
      </w:r>
      <w:r>
        <w:rPr>
          <w:sz w:val="26"/>
          <w:szCs w:val="26"/>
        </w:rPr>
        <w:t xml:space="preserve">) (affirmed ALJ’s decision to dismiss complaint </w:t>
      </w:r>
      <w:r w:rsidRPr="0019321F">
        <w:rPr>
          <w:i/>
          <w:sz w:val="26"/>
          <w:szCs w:val="26"/>
        </w:rPr>
        <w:t>with prejudice</w:t>
      </w:r>
      <w:r>
        <w:rPr>
          <w:sz w:val="26"/>
          <w:szCs w:val="26"/>
        </w:rPr>
        <w:t xml:space="preserve"> because the complainant failed to follow the call-in instructions for the telephonic hearing).</w:t>
      </w:r>
      <w:r>
        <w:rPr>
          <w:rStyle w:val="FootnoteReference"/>
          <w:sz w:val="26"/>
          <w:szCs w:val="26"/>
        </w:rPr>
        <w:footnoteReference w:id="4"/>
      </w:r>
    </w:p>
    <w:p w14:paraId="7670C41D" w14:textId="77777777" w:rsidR="003F2439" w:rsidRDefault="003F2439" w:rsidP="00027CB5">
      <w:pPr>
        <w:widowControl/>
        <w:spacing w:line="360" w:lineRule="auto"/>
        <w:ind w:firstLine="1440"/>
        <w:rPr>
          <w:sz w:val="26"/>
          <w:szCs w:val="26"/>
        </w:rPr>
      </w:pPr>
    </w:p>
    <w:p w14:paraId="61C0810E" w14:textId="7C00E3C0" w:rsidR="003F2439" w:rsidRPr="00616C44" w:rsidRDefault="003F2439" w:rsidP="00027CB5">
      <w:pPr>
        <w:widowControl/>
        <w:spacing w:line="360" w:lineRule="auto"/>
        <w:ind w:firstLine="1440"/>
        <w:rPr>
          <w:sz w:val="26"/>
          <w:szCs w:val="26"/>
        </w:rPr>
      </w:pPr>
      <w:r w:rsidRPr="00616C44">
        <w:rPr>
          <w:sz w:val="26"/>
          <w:szCs w:val="26"/>
        </w:rPr>
        <w:t xml:space="preserve">Moreover, the Commission will exercise its discretion and excuse a complainant’s failure to appear at a hearing if the complainant demonstrates that he/she made a good faith attempt to attend the hearing.  </w:t>
      </w:r>
      <w:r w:rsidRPr="00827E17">
        <w:rPr>
          <w:i/>
          <w:sz w:val="26"/>
          <w:szCs w:val="26"/>
        </w:rPr>
        <w:t>See, e.g., Yomari Then v. Philadelphia Gas Works</w:t>
      </w:r>
      <w:r w:rsidRPr="00827E17">
        <w:rPr>
          <w:sz w:val="26"/>
          <w:szCs w:val="26"/>
        </w:rPr>
        <w:t xml:space="preserve">, Docket No. F-2012-2318264 (Order entered June 13, 2013) </w:t>
      </w:r>
      <w:r>
        <w:rPr>
          <w:sz w:val="26"/>
          <w:szCs w:val="26"/>
        </w:rPr>
        <w:t>(</w:t>
      </w:r>
      <w:r w:rsidRPr="00DB65E9">
        <w:rPr>
          <w:i/>
          <w:sz w:val="26"/>
          <w:szCs w:val="26"/>
        </w:rPr>
        <w:t>Yomari Then</w:t>
      </w:r>
      <w:r>
        <w:rPr>
          <w:sz w:val="26"/>
          <w:szCs w:val="26"/>
        </w:rPr>
        <w:t xml:space="preserve">) </w:t>
      </w:r>
      <w:r w:rsidRPr="00827E17">
        <w:rPr>
          <w:sz w:val="26"/>
          <w:szCs w:val="26"/>
        </w:rPr>
        <w:t>(vacated ALJ’s decision to dismiss complaint with prejudice and remanded for hearing because complainant attempted to attend the scheduled hearing, and appeared in the correct building, but was unable to locate the hearing room in the buildi</w:t>
      </w:r>
      <w:r>
        <w:rPr>
          <w:sz w:val="26"/>
          <w:szCs w:val="26"/>
        </w:rPr>
        <w:t>ng due to language challenges).</w:t>
      </w:r>
      <w:r>
        <w:rPr>
          <w:rStyle w:val="FootnoteReference"/>
          <w:sz w:val="26"/>
          <w:szCs w:val="26"/>
        </w:rPr>
        <w:footnoteReference w:id="5"/>
      </w:r>
      <w:r w:rsidR="00351D02">
        <w:rPr>
          <w:sz w:val="26"/>
          <w:szCs w:val="26"/>
        </w:rPr>
        <w:t xml:space="preserve">  </w:t>
      </w:r>
      <w:r w:rsidRPr="00616C44">
        <w:rPr>
          <w:sz w:val="26"/>
          <w:szCs w:val="26"/>
        </w:rPr>
        <w:t>I</w:t>
      </w:r>
      <w:r>
        <w:rPr>
          <w:sz w:val="26"/>
          <w:szCs w:val="26"/>
        </w:rPr>
        <w:t>f</w:t>
      </w:r>
      <w:r w:rsidRPr="00616C44">
        <w:rPr>
          <w:sz w:val="26"/>
          <w:szCs w:val="26"/>
        </w:rPr>
        <w:t xml:space="preserve"> </w:t>
      </w:r>
      <w:r>
        <w:rPr>
          <w:sz w:val="26"/>
          <w:szCs w:val="26"/>
        </w:rPr>
        <w:t xml:space="preserve">a complainant’s failure to appear was unavoidable or if the complainant made a good faith attempt to appear, </w:t>
      </w:r>
      <w:r w:rsidRPr="00616C44">
        <w:rPr>
          <w:sz w:val="26"/>
          <w:szCs w:val="26"/>
        </w:rPr>
        <w:t xml:space="preserve">the Commission has acknowledged that the public interest is better served when all litigants, particularly </w:t>
      </w:r>
      <w:r w:rsidRPr="00616C44">
        <w:rPr>
          <w:i/>
          <w:sz w:val="26"/>
          <w:szCs w:val="26"/>
        </w:rPr>
        <w:t xml:space="preserve">pro se </w:t>
      </w:r>
      <w:r w:rsidRPr="00616C44">
        <w:rPr>
          <w:sz w:val="26"/>
          <w:szCs w:val="26"/>
        </w:rPr>
        <w:t>litigants, are afforded a meaningful opportunity to be heard.</w:t>
      </w:r>
    </w:p>
    <w:p w14:paraId="3123ECB3" w14:textId="77777777" w:rsidR="003F2439" w:rsidRPr="00616C44" w:rsidRDefault="003F2439" w:rsidP="00027CB5">
      <w:pPr>
        <w:widowControl/>
        <w:spacing w:line="360" w:lineRule="auto"/>
        <w:ind w:firstLine="1440"/>
        <w:rPr>
          <w:sz w:val="26"/>
          <w:szCs w:val="26"/>
        </w:rPr>
      </w:pPr>
    </w:p>
    <w:p w14:paraId="4A3C571C" w14:textId="01ECC738" w:rsidR="003F2439" w:rsidRPr="00616C44" w:rsidRDefault="003F2439" w:rsidP="00027CB5">
      <w:pPr>
        <w:widowControl/>
        <w:spacing w:line="360" w:lineRule="auto"/>
        <w:ind w:firstLine="1440"/>
        <w:rPr>
          <w:rFonts w:eastAsiaTheme="minorHAnsi"/>
          <w:sz w:val="22"/>
          <w:szCs w:val="22"/>
        </w:rPr>
      </w:pPr>
      <w:r w:rsidRPr="00616C44">
        <w:rPr>
          <w:sz w:val="26"/>
          <w:szCs w:val="26"/>
        </w:rPr>
        <w:t>However, if a complainant’s failure to appear was not unavoidable, or if the complainant did not make a good faith attempt to attend the</w:t>
      </w:r>
      <w:r>
        <w:rPr>
          <w:sz w:val="26"/>
          <w:szCs w:val="26"/>
        </w:rPr>
        <w:t xml:space="preserve"> duly scheduled</w:t>
      </w:r>
      <w:r w:rsidRPr="00616C44">
        <w:rPr>
          <w:sz w:val="26"/>
          <w:szCs w:val="26"/>
        </w:rPr>
        <w:t xml:space="preserve"> hearing, the Commission has recognized that any further procedural activity in the docket would prejudice the public interest due to the wasteful use of the agency’s and the respondent’s time and resources in addressing the complaint.  </w:t>
      </w:r>
      <w:r w:rsidRPr="00827E17">
        <w:rPr>
          <w:i/>
          <w:sz w:val="26"/>
          <w:szCs w:val="26"/>
        </w:rPr>
        <w:t>See Jefferson v. UGI Utilities, Inc.</w:t>
      </w:r>
      <w:r w:rsidRPr="00827E17">
        <w:rPr>
          <w:sz w:val="26"/>
          <w:szCs w:val="26"/>
        </w:rPr>
        <w:t>,</w:t>
      </w:r>
      <w:r w:rsidRPr="00827E17">
        <w:rPr>
          <w:i/>
          <w:sz w:val="26"/>
          <w:szCs w:val="26"/>
        </w:rPr>
        <w:t xml:space="preserve"> </w:t>
      </w:r>
      <w:r w:rsidRPr="00827E17">
        <w:rPr>
          <w:sz w:val="26"/>
          <w:szCs w:val="26"/>
        </w:rPr>
        <w:t>Docket No. Z-00269892 (Order entered December 26, 1995) (“We are concerned with regard to the consequences that these “no-show” cases have on the already strained budget of the Commission</w:t>
      </w:r>
      <w:r w:rsidRPr="00827E17">
        <w:rPr>
          <w:i/>
          <w:sz w:val="26"/>
          <w:szCs w:val="26"/>
        </w:rPr>
        <w:t xml:space="preserve">. </w:t>
      </w:r>
      <w:r w:rsidRPr="00827E17">
        <w:rPr>
          <w:sz w:val="26"/>
          <w:szCs w:val="26"/>
        </w:rPr>
        <w:t xml:space="preserve"> Such cases waste the time and resources of the Commission and the utility.  We cannot condone the wastefulness of [a procedure] that permits a “no-show complainant” to refile a complaint and thereby institute yet another stay of termination on the account.  Such misuse of the process as in the case before us cannot be tolerated.”) (</w:t>
      </w:r>
      <w:r w:rsidRPr="00827E17">
        <w:rPr>
          <w:i/>
          <w:sz w:val="26"/>
          <w:szCs w:val="26"/>
        </w:rPr>
        <w:t>Jefferson</w:t>
      </w:r>
      <w:r>
        <w:rPr>
          <w:sz w:val="26"/>
          <w:szCs w:val="26"/>
        </w:rPr>
        <w:t xml:space="preserve">); </w:t>
      </w:r>
      <w:r w:rsidRPr="0019321F">
        <w:rPr>
          <w:i/>
          <w:sz w:val="26"/>
          <w:szCs w:val="26"/>
        </w:rPr>
        <w:t>see also</w:t>
      </w:r>
      <w:r w:rsidRPr="00AA5462">
        <w:rPr>
          <w:sz w:val="26"/>
          <w:szCs w:val="26"/>
        </w:rPr>
        <w:t>,</w:t>
      </w:r>
      <w:r>
        <w:rPr>
          <w:sz w:val="26"/>
          <w:szCs w:val="26"/>
        </w:rPr>
        <w:t xml:space="preserve"> </w:t>
      </w:r>
      <w:r w:rsidRPr="00604C39">
        <w:rPr>
          <w:i/>
          <w:sz w:val="26"/>
          <w:szCs w:val="26"/>
        </w:rPr>
        <w:t>supra</w:t>
      </w:r>
      <w:r>
        <w:rPr>
          <w:sz w:val="26"/>
          <w:szCs w:val="26"/>
        </w:rPr>
        <w:t xml:space="preserve">, </w:t>
      </w:r>
      <w:r w:rsidRPr="00827E17">
        <w:rPr>
          <w:i/>
          <w:sz w:val="26"/>
          <w:szCs w:val="26"/>
        </w:rPr>
        <w:t xml:space="preserve">e.g., </w:t>
      </w:r>
      <w:r>
        <w:rPr>
          <w:i/>
          <w:sz w:val="26"/>
          <w:szCs w:val="26"/>
        </w:rPr>
        <w:t xml:space="preserve">El-Ayazra; </w:t>
      </w:r>
      <w:r w:rsidRPr="00827E17">
        <w:rPr>
          <w:i/>
          <w:sz w:val="26"/>
          <w:szCs w:val="26"/>
        </w:rPr>
        <w:t>Santore Smith</w:t>
      </w:r>
      <w:r w:rsidRPr="00604C39">
        <w:rPr>
          <w:sz w:val="26"/>
          <w:szCs w:val="26"/>
        </w:rPr>
        <w:t>;</w:t>
      </w:r>
      <w:r>
        <w:rPr>
          <w:sz w:val="26"/>
          <w:szCs w:val="26"/>
        </w:rPr>
        <w:t xml:space="preserve"> </w:t>
      </w:r>
      <w:r w:rsidRPr="00827E17">
        <w:rPr>
          <w:i/>
          <w:sz w:val="26"/>
          <w:szCs w:val="26"/>
        </w:rPr>
        <w:t>Marilyn Day</w:t>
      </w:r>
      <w:r w:rsidRPr="00604C39">
        <w:rPr>
          <w:sz w:val="26"/>
          <w:szCs w:val="26"/>
        </w:rPr>
        <w:t xml:space="preserve">; </w:t>
      </w:r>
      <w:r w:rsidRPr="00827E17">
        <w:rPr>
          <w:i/>
          <w:sz w:val="26"/>
          <w:szCs w:val="26"/>
        </w:rPr>
        <w:t>Deborah</w:t>
      </w:r>
      <w:r w:rsidRPr="00827E17">
        <w:rPr>
          <w:sz w:val="26"/>
          <w:szCs w:val="26"/>
        </w:rPr>
        <w:t xml:space="preserve"> </w:t>
      </w:r>
      <w:r w:rsidRPr="00827E17">
        <w:rPr>
          <w:i/>
          <w:sz w:val="26"/>
          <w:szCs w:val="26"/>
        </w:rPr>
        <w:t>Bethay</w:t>
      </w:r>
      <w:r w:rsidRPr="00604C39">
        <w:rPr>
          <w:sz w:val="26"/>
          <w:szCs w:val="26"/>
        </w:rPr>
        <w:t>;</w:t>
      </w:r>
      <w:r>
        <w:rPr>
          <w:i/>
          <w:sz w:val="26"/>
          <w:szCs w:val="26"/>
        </w:rPr>
        <w:t xml:space="preserve"> </w:t>
      </w:r>
      <w:r w:rsidRPr="00827E17">
        <w:rPr>
          <w:i/>
          <w:sz w:val="26"/>
          <w:szCs w:val="26"/>
        </w:rPr>
        <w:t>Osuji</w:t>
      </w:r>
      <w:r w:rsidRPr="00604C39">
        <w:rPr>
          <w:sz w:val="26"/>
          <w:szCs w:val="26"/>
        </w:rPr>
        <w:t>;</w:t>
      </w:r>
      <w:r w:rsidRPr="00827E17">
        <w:rPr>
          <w:i/>
          <w:sz w:val="26"/>
          <w:szCs w:val="26"/>
        </w:rPr>
        <w:t xml:space="preserve"> </w:t>
      </w:r>
      <w:r>
        <w:rPr>
          <w:i/>
          <w:sz w:val="26"/>
          <w:szCs w:val="26"/>
        </w:rPr>
        <w:t>Madajewski</w:t>
      </w:r>
      <w:r>
        <w:rPr>
          <w:sz w:val="26"/>
          <w:szCs w:val="26"/>
        </w:rPr>
        <w:t xml:space="preserve">; </w:t>
      </w:r>
      <w:r w:rsidRPr="00AA5462">
        <w:rPr>
          <w:i/>
          <w:sz w:val="26"/>
          <w:szCs w:val="26"/>
        </w:rPr>
        <w:t>Nichols III</w:t>
      </w:r>
      <w:r>
        <w:rPr>
          <w:sz w:val="26"/>
          <w:szCs w:val="26"/>
        </w:rPr>
        <w:t xml:space="preserve">.  </w:t>
      </w:r>
      <w:r w:rsidRPr="00616C44">
        <w:rPr>
          <w:sz w:val="26"/>
          <w:szCs w:val="26"/>
        </w:rPr>
        <w:t xml:space="preserve">In such instances, to preserve judicial economy, the Commission typically will dismiss a complaint, </w:t>
      </w:r>
      <w:r w:rsidRPr="00616C44">
        <w:rPr>
          <w:i/>
          <w:sz w:val="26"/>
          <w:szCs w:val="26"/>
        </w:rPr>
        <w:t>with prejudice</w:t>
      </w:r>
      <w:r w:rsidRPr="00616C44">
        <w:rPr>
          <w:sz w:val="26"/>
          <w:szCs w:val="26"/>
        </w:rPr>
        <w:t>, barring the complainant from filing another complaint raising the same claims and issues presented in the dismissed complaint.</w:t>
      </w:r>
    </w:p>
    <w:p w14:paraId="47BA4200" w14:textId="77777777" w:rsidR="00AC6661" w:rsidRDefault="00AC6661" w:rsidP="00027CB5">
      <w:pPr>
        <w:widowControl/>
        <w:spacing w:line="360" w:lineRule="auto"/>
        <w:ind w:firstLine="1440"/>
        <w:rPr>
          <w:sz w:val="26"/>
          <w:szCs w:val="26"/>
        </w:rPr>
      </w:pPr>
    </w:p>
    <w:p w14:paraId="4F82DE2E" w14:textId="77777777" w:rsidR="000B7A70" w:rsidRDefault="000B7A70" w:rsidP="00027CB5">
      <w:pPr>
        <w:keepNext/>
        <w:keepLines/>
        <w:widowControl/>
        <w:spacing w:line="360" w:lineRule="auto"/>
        <w:ind w:firstLine="720"/>
        <w:rPr>
          <w:b/>
          <w:sz w:val="26"/>
          <w:szCs w:val="26"/>
        </w:rPr>
      </w:pPr>
      <w:r>
        <w:rPr>
          <w:b/>
          <w:sz w:val="26"/>
          <w:szCs w:val="26"/>
        </w:rPr>
        <w:t>Burden of Proof</w:t>
      </w:r>
    </w:p>
    <w:p w14:paraId="6A925EEE" w14:textId="77777777" w:rsidR="000B7A70" w:rsidRPr="00FC3806" w:rsidRDefault="000B7A70" w:rsidP="00027CB5">
      <w:pPr>
        <w:keepNext/>
        <w:keepLines/>
        <w:widowControl/>
        <w:spacing w:line="360" w:lineRule="auto"/>
        <w:rPr>
          <w:b/>
          <w:sz w:val="26"/>
          <w:szCs w:val="26"/>
        </w:rPr>
      </w:pPr>
    </w:p>
    <w:p w14:paraId="0C50B099" w14:textId="0B4A4C65" w:rsidR="000B7A70" w:rsidRPr="00BC7E17" w:rsidRDefault="000B7A70" w:rsidP="00027CB5">
      <w:pPr>
        <w:widowControl/>
        <w:spacing w:line="360" w:lineRule="auto"/>
        <w:ind w:firstLine="1440"/>
        <w:contextualSpacing/>
        <w:rPr>
          <w:sz w:val="26"/>
          <w:szCs w:val="26"/>
        </w:rPr>
      </w:pPr>
      <w:r w:rsidRPr="00BC7E17">
        <w:rPr>
          <w:sz w:val="26"/>
          <w:szCs w:val="26"/>
        </w:rPr>
        <w:t xml:space="preserve">As a matter of law, to establish a legally sufficient claim, a complainant must show that the named utility is responsible or accountable for the problem described in the complaint in order to prevail.  </w:t>
      </w:r>
      <w:r w:rsidRPr="00BC7E17">
        <w:rPr>
          <w:i/>
          <w:sz w:val="26"/>
          <w:szCs w:val="26"/>
        </w:rPr>
        <w:t>Patterson v. The Bell Telephone Company of Pennsylvania</w:t>
      </w:r>
      <w:r w:rsidRPr="00BC7E17">
        <w:rPr>
          <w:sz w:val="26"/>
          <w:szCs w:val="26"/>
        </w:rPr>
        <w:t>, 72 Pa. P.U.C. 196 (1990).  The offense must be a violation of the Public Utility Code, a Commission Regulation or Order or a violation of a Commission-approved tariff.  66 Pa. C.S. § 701.</w:t>
      </w:r>
    </w:p>
    <w:p w14:paraId="0E9392C9" w14:textId="77777777" w:rsidR="000B7A70" w:rsidRPr="00BC7E17" w:rsidRDefault="000B7A70" w:rsidP="00027CB5">
      <w:pPr>
        <w:widowControl/>
        <w:spacing w:line="360" w:lineRule="auto"/>
        <w:ind w:firstLine="1440"/>
        <w:rPr>
          <w:sz w:val="26"/>
          <w:szCs w:val="26"/>
        </w:rPr>
      </w:pPr>
    </w:p>
    <w:p w14:paraId="4E72DB25" w14:textId="5DB9C7F9" w:rsidR="000B7A70" w:rsidRDefault="000B7A70" w:rsidP="00027CB5">
      <w:pPr>
        <w:widowControl/>
        <w:spacing w:line="360" w:lineRule="auto"/>
        <w:ind w:firstLine="1440"/>
        <w:rPr>
          <w:rFonts w:ascii="Arial" w:hAnsi="Arial" w:cs="Arial"/>
          <w:sz w:val="21"/>
          <w:szCs w:val="21"/>
        </w:rPr>
      </w:pPr>
      <w:r w:rsidRPr="00BC7E17">
        <w:rPr>
          <w:sz w:val="26"/>
          <w:szCs w:val="26"/>
        </w:rPr>
        <w:t xml:space="preserve">Section 332(a) of the Public Utility Code (Code) provides that a complainant, as the party seeking affirmative relief from the Commission, has the burden of proof.  66 Pa. C.S. § 332(a).  The burden of proof for actions before the Commission is the “preponderance of the evidence” standard.  </w:t>
      </w:r>
      <w:r w:rsidRPr="00BC7E17">
        <w:rPr>
          <w:i/>
          <w:sz w:val="26"/>
          <w:szCs w:val="26"/>
        </w:rPr>
        <w:t>Suber v. Pennsylvania Com’n on Crime and 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 w:val="26"/>
          <w:szCs w:val="26"/>
        </w:rPr>
        <w:t xml:space="preserve">See </w:t>
      </w:r>
      <w:r w:rsidRPr="00BC7E17">
        <w:rPr>
          <w:i/>
          <w:iCs/>
          <w:sz w:val="26"/>
          <w:szCs w:val="26"/>
        </w:rPr>
        <w:t>Se-Ling Hosiery, Inc. v. Margulies,</w:t>
      </w:r>
      <w:r w:rsidRPr="00BC7E17">
        <w:rPr>
          <w:sz w:val="26"/>
          <w:szCs w:val="26"/>
        </w:rPr>
        <w:t xml:space="preserve"> 364 Pa. 45, 48-49, 70 A.2d 854, 855 (1950).</w:t>
      </w:r>
    </w:p>
    <w:p w14:paraId="274E0823" w14:textId="77777777" w:rsidR="000B7A70" w:rsidRDefault="000B7A70" w:rsidP="00027CB5">
      <w:pPr>
        <w:widowControl/>
        <w:spacing w:line="360" w:lineRule="auto"/>
        <w:contextualSpacing/>
        <w:rPr>
          <w:sz w:val="26"/>
          <w:szCs w:val="26"/>
        </w:rPr>
      </w:pPr>
    </w:p>
    <w:p w14:paraId="779AFD8E" w14:textId="77777777" w:rsidR="00007A6C" w:rsidRPr="000B7A70" w:rsidRDefault="00007A6C" w:rsidP="00027CB5">
      <w:pPr>
        <w:keepNext/>
        <w:keepLines/>
        <w:widowControl/>
        <w:spacing w:line="360" w:lineRule="auto"/>
        <w:contextualSpacing/>
        <w:rPr>
          <w:sz w:val="26"/>
          <w:szCs w:val="26"/>
        </w:rPr>
      </w:pPr>
      <w:r w:rsidRPr="002937C9">
        <w:rPr>
          <w:b/>
          <w:sz w:val="26"/>
          <w:szCs w:val="26"/>
        </w:rPr>
        <w:t>ALJ’s Initial Decision</w:t>
      </w:r>
      <w:r w:rsidRPr="00733B3A">
        <w:rPr>
          <w:b/>
          <w:sz w:val="26"/>
          <w:szCs w:val="26"/>
        </w:rPr>
        <w:t xml:space="preserve"> </w:t>
      </w:r>
    </w:p>
    <w:p w14:paraId="0FFE1E6F" w14:textId="77777777" w:rsidR="00007A6C" w:rsidRPr="00733B3A" w:rsidRDefault="00007A6C" w:rsidP="00027CB5">
      <w:pPr>
        <w:keepNext/>
        <w:keepLines/>
        <w:widowControl/>
        <w:spacing w:line="360" w:lineRule="auto"/>
        <w:rPr>
          <w:sz w:val="26"/>
          <w:szCs w:val="26"/>
        </w:rPr>
      </w:pPr>
    </w:p>
    <w:p w14:paraId="22E246E4" w14:textId="77777777" w:rsidR="004C4510" w:rsidRDefault="004C4510" w:rsidP="00027CB5">
      <w:pPr>
        <w:widowControl/>
        <w:spacing w:line="360" w:lineRule="auto"/>
        <w:ind w:firstLine="1440"/>
        <w:rPr>
          <w:sz w:val="26"/>
          <w:szCs w:val="26"/>
        </w:rPr>
      </w:pPr>
      <w:r w:rsidRPr="00A9787D">
        <w:rPr>
          <w:sz w:val="26"/>
          <w:szCs w:val="26"/>
        </w:rPr>
        <w:t>ALJ</w:t>
      </w:r>
      <w:r>
        <w:rPr>
          <w:sz w:val="26"/>
          <w:szCs w:val="26"/>
        </w:rPr>
        <w:t xml:space="preserve"> </w:t>
      </w:r>
      <w:r w:rsidR="0012749A">
        <w:rPr>
          <w:sz w:val="26"/>
          <w:szCs w:val="26"/>
        </w:rPr>
        <w:t>Guhl</w:t>
      </w:r>
      <w:r>
        <w:rPr>
          <w:sz w:val="26"/>
          <w:szCs w:val="26"/>
        </w:rPr>
        <w:t xml:space="preserve"> made </w:t>
      </w:r>
      <w:r w:rsidR="0012749A">
        <w:rPr>
          <w:sz w:val="26"/>
          <w:szCs w:val="26"/>
        </w:rPr>
        <w:t xml:space="preserve">eighteen </w:t>
      </w:r>
      <w:r w:rsidRPr="00A9787D">
        <w:rPr>
          <w:sz w:val="26"/>
          <w:szCs w:val="26"/>
        </w:rPr>
        <w:t>Find</w:t>
      </w:r>
      <w:r>
        <w:rPr>
          <w:sz w:val="26"/>
          <w:szCs w:val="26"/>
        </w:rPr>
        <w:t xml:space="preserve">ings of Fact and reached </w:t>
      </w:r>
      <w:r w:rsidR="0012749A">
        <w:rPr>
          <w:sz w:val="26"/>
          <w:szCs w:val="26"/>
        </w:rPr>
        <w:t>eight</w:t>
      </w:r>
      <w:r w:rsidRPr="00A9787D">
        <w:rPr>
          <w:sz w:val="26"/>
          <w:szCs w:val="26"/>
        </w:rPr>
        <w:t xml:space="preserve"> Conclusions of Law.  I.D. at </w:t>
      </w:r>
      <w:r w:rsidR="0012749A">
        <w:rPr>
          <w:sz w:val="26"/>
          <w:szCs w:val="26"/>
        </w:rPr>
        <w:t>4-5</w:t>
      </w:r>
      <w:r w:rsidRPr="00A9787D">
        <w:rPr>
          <w:sz w:val="26"/>
          <w:szCs w:val="26"/>
        </w:rPr>
        <w:t xml:space="preserve">, </w:t>
      </w:r>
      <w:r w:rsidR="0012749A">
        <w:rPr>
          <w:sz w:val="26"/>
          <w:szCs w:val="26"/>
        </w:rPr>
        <w:t>8-9</w:t>
      </w:r>
      <w:r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14:paraId="5DC66601" w14:textId="77777777" w:rsidR="004C4510" w:rsidRPr="00A9787D" w:rsidRDefault="004C4510" w:rsidP="00027CB5">
      <w:pPr>
        <w:widowControl/>
        <w:spacing w:line="360" w:lineRule="auto"/>
        <w:ind w:firstLine="1440"/>
        <w:rPr>
          <w:sz w:val="26"/>
          <w:szCs w:val="26"/>
        </w:rPr>
      </w:pPr>
    </w:p>
    <w:p w14:paraId="1F4411A7" w14:textId="226F9120" w:rsidR="001D5644" w:rsidRPr="0052333F" w:rsidRDefault="00C84168" w:rsidP="00027CB5">
      <w:pPr>
        <w:widowControl/>
        <w:spacing w:line="360" w:lineRule="auto"/>
        <w:ind w:firstLine="1440"/>
        <w:rPr>
          <w:rFonts w:eastAsiaTheme="minorHAnsi"/>
          <w:color w:val="000000"/>
          <w:sz w:val="26"/>
          <w:szCs w:val="26"/>
        </w:rPr>
      </w:pPr>
      <w:r>
        <w:rPr>
          <w:sz w:val="26"/>
          <w:szCs w:val="26"/>
        </w:rPr>
        <w:t>The ALJ noted that t</w:t>
      </w:r>
      <w:r w:rsidR="00340D38">
        <w:rPr>
          <w:sz w:val="26"/>
          <w:szCs w:val="26"/>
        </w:rPr>
        <w:t xml:space="preserve">he Commission sent </w:t>
      </w:r>
      <w:r w:rsidR="00796CDF">
        <w:rPr>
          <w:sz w:val="26"/>
          <w:szCs w:val="26"/>
        </w:rPr>
        <w:t xml:space="preserve">the Hearing </w:t>
      </w:r>
      <w:r w:rsidR="00340D38">
        <w:rPr>
          <w:sz w:val="26"/>
          <w:szCs w:val="26"/>
        </w:rPr>
        <w:t>N</w:t>
      </w:r>
      <w:r w:rsidR="0003143A" w:rsidRPr="0003143A">
        <w:rPr>
          <w:sz w:val="26"/>
          <w:szCs w:val="26"/>
        </w:rPr>
        <w:t>otice to the Complainant by regular first</w:t>
      </w:r>
      <w:r>
        <w:rPr>
          <w:sz w:val="26"/>
          <w:szCs w:val="26"/>
        </w:rPr>
        <w:t>-</w:t>
      </w:r>
      <w:r w:rsidR="0003143A" w:rsidRPr="0003143A">
        <w:rPr>
          <w:sz w:val="26"/>
          <w:szCs w:val="26"/>
        </w:rPr>
        <w:t>class mai</w:t>
      </w:r>
      <w:r>
        <w:rPr>
          <w:sz w:val="26"/>
          <w:szCs w:val="26"/>
        </w:rPr>
        <w:t xml:space="preserve">l to the </w:t>
      </w:r>
      <w:r w:rsidR="00796CDF">
        <w:rPr>
          <w:sz w:val="26"/>
          <w:szCs w:val="26"/>
        </w:rPr>
        <w:t xml:space="preserve">mailing </w:t>
      </w:r>
      <w:r>
        <w:rPr>
          <w:sz w:val="26"/>
          <w:szCs w:val="26"/>
        </w:rPr>
        <w:t>addre</w:t>
      </w:r>
      <w:r w:rsidR="00340D38">
        <w:rPr>
          <w:sz w:val="26"/>
          <w:szCs w:val="26"/>
        </w:rPr>
        <w:t xml:space="preserve">ss stated on the Complaint, and </w:t>
      </w:r>
      <w:r>
        <w:rPr>
          <w:sz w:val="26"/>
          <w:szCs w:val="26"/>
        </w:rPr>
        <w:t xml:space="preserve">such </w:t>
      </w:r>
      <w:r w:rsidR="0003143A" w:rsidRPr="0003143A">
        <w:rPr>
          <w:sz w:val="26"/>
          <w:szCs w:val="26"/>
        </w:rPr>
        <w:t>notice</w:t>
      </w:r>
      <w:r w:rsidR="00532462">
        <w:rPr>
          <w:sz w:val="26"/>
          <w:szCs w:val="26"/>
        </w:rPr>
        <w:t xml:space="preserve"> was not returned </w:t>
      </w:r>
      <w:r w:rsidR="00340D38">
        <w:rPr>
          <w:sz w:val="26"/>
          <w:szCs w:val="26"/>
        </w:rPr>
        <w:t xml:space="preserve">to sender </w:t>
      </w:r>
      <w:r w:rsidR="00CF3F20">
        <w:rPr>
          <w:sz w:val="26"/>
          <w:szCs w:val="26"/>
        </w:rPr>
        <w:t>as undeliverable.</w:t>
      </w:r>
      <w:r w:rsidR="0003143A" w:rsidRPr="0003143A">
        <w:rPr>
          <w:sz w:val="26"/>
          <w:szCs w:val="26"/>
        </w:rPr>
        <w:t xml:space="preserve"> </w:t>
      </w:r>
      <w:r w:rsidR="001D5644">
        <w:rPr>
          <w:sz w:val="26"/>
          <w:szCs w:val="26"/>
        </w:rPr>
        <w:t xml:space="preserve"> </w:t>
      </w:r>
      <w:r w:rsidR="00CF3F20">
        <w:rPr>
          <w:sz w:val="26"/>
          <w:szCs w:val="26"/>
        </w:rPr>
        <w:t>T</w:t>
      </w:r>
      <w:r w:rsidR="001D5644">
        <w:rPr>
          <w:sz w:val="26"/>
          <w:szCs w:val="26"/>
        </w:rPr>
        <w:t>he ALJ recognized that</w:t>
      </w:r>
      <w:r w:rsidR="00CF3F20" w:rsidRPr="00CF3F20">
        <w:rPr>
          <w:rFonts w:eastAsiaTheme="minorHAnsi"/>
          <w:color w:val="000000"/>
          <w:sz w:val="26"/>
          <w:szCs w:val="26"/>
        </w:rPr>
        <w:t xml:space="preserve"> </w:t>
      </w:r>
      <w:r w:rsidR="00CF3F20" w:rsidRPr="0003143A">
        <w:rPr>
          <w:rFonts w:eastAsiaTheme="minorHAnsi"/>
          <w:color w:val="000000"/>
          <w:sz w:val="26"/>
          <w:szCs w:val="26"/>
        </w:rPr>
        <w:t xml:space="preserve">under </w:t>
      </w:r>
      <w:r w:rsidR="00CF3F20">
        <w:rPr>
          <w:rFonts w:eastAsiaTheme="minorHAnsi"/>
          <w:color w:val="000000"/>
          <w:sz w:val="26"/>
          <w:szCs w:val="26"/>
        </w:rPr>
        <w:t>such</w:t>
      </w:r>
      <w:r w:rsidR="00CF3F20" w:rsidRPr="0003143A">
        <w:rPr>
          <w:rFonts w:eastAsiaTheme="minorHAnsi"/>
          <w:color w:val="000000"/>
          <w:sz w:val="26"/>
          <w:szCs w:val="26"/>
        </w:rPr>
        <w:t xml:space="preserve"> circumstances,</w:t>
      </w:r>
      <w:r w:rsidR="00CF3F20">
        <w:rPr>
          <w:sz w:val="26"/>
          <w:szCs w:val="26"/>
        </w:rPr>
        <w:t xml:space="preserve"> </w:t>
      </w:r>
      <w:r w:rsidR="001D5644">
        <w:rPr>
          <w:sz w:val="26"/>
          <w:szCs w:val="26"/>
        </w:rPr>
        <w:t xml:space="preserve">the </w:t>
      </w:r>
      <w:r w:rsidR="00796CDF">
        <w:rPr>
          <w:sz w:val="26"/>
          <w:szCs w:val="26"/>
        </w:rPr>
        <w:t>presumption is that the H</w:t>
      </w:r>
      <w:r w:rsidR="001D5644">
        <w:rPr>
          <w:sz w:val="26"/>
          <w:szCs w:val="26"/>
        </w:rPr>
        <w:t xml:space="preserve">earing </w:t>
      </w:r>
      <w:r w:rsidR="00796CDF">
        <w:rPr>
          <w:sz w:val="26"/>
          <w:szCs w:val="26"/>
        </w:rPr>
        <w:t>N</w:t>
      </w:r>
      <w:r w:rsidR="00577194">
        <w:rPr>
          <w:sz w:val="26"/>
          <w:szCs w:val="26"/>
        </w:rPr>
        <w:t>otice</w:t>
      </w:r>
      <w:r w:rsidR="001D5644">
        <w:rPr>
          <w:sz w:val="26"/>
          <w:szCs w:val="26"/>
        </w:rPr>
        <w:t xml:space="preserve"> </w:t>
      </w:r>
      <w:r w:rsidR="00796CDF">
        <w:rPr>
          <w:sz w:val="26"/>
          <w:szCs w:val="26"/>
        </w:rPr>
        <w:t>had been</w:t>
      </w:r>
      <w:r w:rsidR="001D5644" w:rsidRPr="0003143A">
        <w:rPr>
          <w:rFonts w:eastAsiaTheme="minorHAnsi"/>
          <w:color w:val="000000"/>
          <w:sz w:val="26"/>
          <w:szCs w:val="26"/>
        </w:rPr>
        <w:t xml:space="preserve"> received by </w:t>
      </w:r>
      <w:r w:rsidR="002D3A26">
        <w:rPr>
          <w:rFonts w:eastAsiaTheme="minorHAnsi"/>
          <w:color w:val="000000"/>
          <w:sz w:val="26"/>
          <w:szCs w:val="26"/>
        </w:rPr>
        <w:t xml:space="preserve">the </w:t>
      </w:r>
      <w:r w:rsidR="001D5644" w:rsidRPr="0003143A">
        <w:rPr>
          <w:rFonts w:eastAsiaTheme="minorHAnsi"/>
          <w:color w:val="000000"/>
          <w:sz w:val="26"/>
          <w:szCs w:val="26"/>
        </w:rPr>
        <w:t>Complainant.</w:t>
      </w:r>
      <w:r w:rsidR="00577194">
        <w:rPr>
          <w:sz w:val="26"/>
          <w:szCs w:val="26"/>
        </w:rPr>
        <w:t xml:space="preserve">  I.D. at 7</w:t>
      </w:r>
      <w:r w:rsidR="001D5644">
        <w:rPr>
          <w:sz w:val="26"/>
          <w:szCs w:val="26"/>
        </w:rPr>
        <w:t xml:space="preserve"> (</w:t>
      </w:r>
      <w:r w:rsidR="00F6525D">
        <w:rPr>
          <w:sz w:val="26"/>
          <w:szCs w:val="26"/>
        </w:rPr>
        <w:t xml:space="preserve">citing </w:t>
      </w:r>
      <w:r w:rsidR="00F6525D" w:rsidRPr="00F6525D">
        <w:rPr>
          <w:i/>
          <w:sz w:val="26"/>
          <w:szCs w:val="26"/>
        </w:rPr>
        <w:t>Miller</w:t>
      </w:r>
      <w:r w:rsidR="00F6525D">
        <w:rPr>
          <w:sz w:val="26"/>
          <w:szCs w:val="26"/>
        </w:rPr>
        <w:t xml:space="preserve">; </w:t>
      </w:r>
      <w:r w:rsidR="00F6525D" w:rsidRPr="00F6525D">
        <w:rPr>
          <w:i/>
          <w:sz w:val="26"/>
          <w:szCs w:val="26"/>
        </w:rPr>
        <w:t>Mayflower</w:t>
      </w:r>
      <w:r w:rsidR="00273868">
        <w:rPr>
          <w:sz w:val="26"/>
          <w:szCs w:val="26"/>
        </w:rPr>
        <w:t>).</w:t>
      </w:r>
    </w:p>
    <w:p w14:paraId="1165EC9E" w14:textId="77777777" w:rsidR="0003143A" w:rsidRPr="0003143A" w:rsidRDefault="0003143A" w:rsidP="00027CB5">
      <w:pPr>
        <w:pStyle w:val="Default"/>
        <w:spacing w:line="360" w:lineRule="auto"/>
        <w:ind w:firstLine="1440"/>
        <w:rPr>
          <w:sz w:val="26"/>
          <w:szCs w:val="26"/>
        </w:rPr>
      </w:pPr>
    </w:p>
    <w:p w14:paraId="0E331EAD" w14:textId="094ACEFD" w:rsidR="00577194" w:rsidRDefault="0003143A" w:rsidP="00027CB5">
      <w:pPr>
        <w:widowControl/>
        <w:autoSpaceDE w:val="0"/>
        <w:autoSpaceDN w:val="0"/>
        <w:adjustRightInd w:val="0"/>
        <w:spacing w:line="360" w:lineRule="auto"/>
        <w:ind w:firstLine="1440"/>
        <w:rPr>
          <w:rFonts w:eastAsiaTheme="minorHAnsi"/>
          <w:color w:val="000000"/>
          <w:sz w:val="26"/>
          <w:szCs w:val="26"/>
        </w:rPr>
      </w:pPr>
      <w:r w:rsidRPr="0003143A">
        <w:rPr>
          <w:rFonts w:eastAsiaTheme="minorHAnsi"/>
          <w:color w:val="000000"/>
          <w:sz w:val="26"/>
          <w:szCs w:val="26"/>
        </w:rPr>
        <w:t>The</w:t>
      </w:r>
      <w:r w:rsidR="001D5644">
        <w:rPr>
          <w:rFonts w:eastAsiaTheme="minorHAnsi"/>
          <w:color w:val="000000"/>
          <w:sz w:val="26"/>
          <w:szCs w:val="26"/>
        </w:rPr>
        <w:t xml:space="preserve"> ALJ explained</w:t>
      </w:r>
      <w:r w:rsidR="00577194">
        <w:rPr>
          <w:rFonts w:eastAsiaTheme="minorHAnsi"/>
          <w:color w:val="000000"/>
          <w:sz w:val="26"/>
          <w:szCs w:val="26"/>
        </w:rPr>
        <w:t>:</w:t>
      </w:r>
    </w:p>
    <w:p w14:paraId="15F372B7" w14:textId="77777777" w:rsidR="00507145" w:rsidRDefault="00507145" w:rsidP="00027CB5">
      <w:pPr>
        <w:widowControl/>
        <w:autoSpaceDE w:val="0"/>
        <w:autoSpaceDN w:val="0"/>
        <w:adjustRightInd w:val="0"/>
        <w:spacing w:line="360" w:lineRule="auto"/>
        <w:ind w:firstLine="1440"/>
        <w:rPr>
          <w:rFonts w:eastAsiaTheme="minorHAnsi"/>
          <w:color w:val="000000"/>
          <w:sz w:val="26"/>
          <w:szCs w:val="26"/>
        </w:rPr>
      </w:pPr>
    </w:p>
    <w:p w14:paraId="5A2C8BF1" w14:textId="230DEFF1" w:rsidR="00577194" w:rsidRDefault="00577194" w:rsidP="00027CB5">
      <w:pPr>
        <w:widowControl/>
        <w:autoSpaceDE w:val="0"/>
        <w:autoSpaceDN w:val="0"/>
        <w:adjustRightInd w:val="0"/>
        <w:ind w:left="1440" w:right="1440"/>
        <w:rPr>
          <w:sz w:val="26"/>
          <w:szCs w:val="26"/>
        </w:rPr>
      </w:pPr>
      <w:r w:rsidRPr="00577194">
        <w:rPr>
          <w:sz w:val="26"/>
          <w:szCs w:val="26"/>
        </w:rPr>
        <w:t xml:space="preserve">The Complainant was notified of the scheduled hearing date and time, and location for the hearing. </w:t>
      </w:r>
      <w:r w:rsidR="00F65247">
        <w:rPr>
          <w:sz w:val="26"/>
          <w:szCs w:val="26"/>
        </w:rPr>
        <w:t xml:space="preserve"> </w:t>
      </w:r>
      <w:r w:rsidRPr="00577194">
        <w:rPr>
          <w:i/>
          <w:sz w:val="26"/>
          <w:szCs w:val="26"/>
        </w:rPr>
        <w:t>Despite this, she made no attempt whatsoever to notify me that she was running late for the hearing. The Complainant also clearly failed to follow the procedures in the Prehearing Order, which indicated how to contact the Philadelphia OALJ office. This is the second time that the Complainant has failed to timely appear for a hearing</w:t>
      </w:r>
      <w:r w:rsidRPr="00577194">
        <w:rPr>
          <w:sz w:val="26"/>
          <w:szCs w:val="26"/>
        </w:rPr>
        <w:t>.</w:t>
      </w:r>
    </w:p>
    <w:p w14:paraId="23724A83" w14:textId="72A140F4" w:rsidR="00F65247" w:rsidRDefault="00F65247" w:rsidP="00027CB5">
      <w:pPr>
        <w:widowControl/>
        <w:autoSpaceDE w:val="0"/>
        <w:autoSpaceDN w:val="0"/>
        <w:adjustRightInd w:val="0"/>
        <w:ind w:left="1440" w:right="1440"/>
        <w:rPr>
          <w:rFonts w:eastAsiaTheme="minorHAnsi"/>
          <w:color w:val="000000"/>
          <w:sz w:val="26"/>
          <w:szCs w:val="26"/>
        </w:rPr>
      </w:pPr>
    </w:p>
    <w:p w14:paraId="2F45C7C7" w14:textId="77777777" w:rsidR="00F65247" w:rsidRPr="00577194" w:rsidRDefault="00F65247" w:rsidP="00027CB5">
      <w:pPr>
        <w:widowControl/>
        <w:autoSpaceDE w:val="0"/>
        <w:autoSpaceDN w:val="0"/>
        <w:adjustRightInd w:val="0"/>
        <w:ind w:left="1440" w:right="1440"/>
        <w:rPr>
          <w:rFonts w:eastAsiaTheme="minorHAnsi"/>
          <w:color w:val="000000"/>
          <w:sz w:val="26"/>
          <w:szCs w:val="26"/>
        </w:rPr>
      </w:pPr>
    </w:p>
    <w:p w14:paraId="278350D8" w14:textId="77777777" w:rsidR="00577194" w:rsidRDefault="00577194" w:rsidP="00027CB5">
      <w:pPr>
        <w:widowControl/>
        <w:autoSpaceDE w:val="0"/>
        <w:autoSpaceDN w:val="0"/>
        <w:adjustRightInd w:val="0"/>
        <w:spacing w:line="360" w:lineRule="auto"/>
        <w:rPr>
          <w:rFonts w:eastAsiaTheme="minorHAnsi"/>
          <w:color w:val="000000"/>
          <w:sz w:val="26"/>
          <w:szCs w:val="26"/>
        </w:rPr>
      </w:pPr>
      <w:r>
        <w:rPr>
          <w:rFonts w:eastAsiaTheme="minorHAnsi"/>
          <w:color w:val="000000"/>
          <w:sz w:val="26"/>
          <w:szCs w:val="26"/>
        </w:rPr>
        <w:t xml:space="preserve">I.D. at 7 (emphasis added).  </w:t>
      </w:r>
      <w:r>
        <w:rPr>
          <w:sz w:val="26"/>
          <w:szCs w:val="26"/>
        </w:rPr>
        <w:t>Under such</w:t>
      </w:r>
      <w:r w:rsidRPr="00577194">
        <w:rPr>
          <w:sz w:val="26"/>
          <w:szCs w:val="26"/>
        </w:rPr>
        <w:t xml:space="preserve"> circumstances, </w:t>
      </w:r>
      <w:r>
        <w:rPr>
          <w:sz w:val="26"/>
          <w:szCs w:val="26"/>
        </w:rPr>
        <w:t>the ALJ reasoned that the</w:t>
      </w:r>
      <w:r w:rsidRPr="00577194">
        <w:rPr>
          <w:sz w:val="26"/>
          <w:szCs w:val="26"/>
        </w:rPr>
        <w:t xml:space="preserve"> Complainant had ample opportunity</w:t>
      </w:r>
      <w:r>
        <w:rPr>
          <w:sz w:val="26"/>
          <w:szCs w:val="26"/>
        </w:rPr>
        <w:t xml:space="preserve"> to be heard in this proceeding</w:t>
      </w:r>
      <w:r w:rsidR="000038FB">
        <w:rPr>
          <w:sz w:val="26"/>
          <w:szCs w:val="26"/>
        </w:rPr>
        <w:t xml:space="preserve">, but failed to appear.  Therefore, the ALJ concluded </w:t>
      </w:r>
      <w:r>
        <w:rPr>
          <w:sz w:val="26"/>
          <w:szCs w:val="26"/>
        </w:rPr>
        <w:t>that</w:t>
      </w:r>
      <w:r w:rsidRPr="00577194">
        <w:rPr>
          <w:sz w:val="26"/>
          <w:szCs w:val="26"/>
        </w:rPr>
        <w:t xml:space="preserve"> the due process rights of the Complainant have been fully protected.</w:t>
      </w:r>
      <w:r>
        <w:rPr>
          <w:sz w:val="26"/>
          <w:szCs w:val="26"/>
        </w:rPr>
        <w:t xml:space="preserve">  I.D. at 7.</w:t>
      </w:r>
    </w:p>
    <w:p w14:paraId="73C1326D" w14:textId="77777777" w:rsidR="00577194" w:rsidRDefault="00577194" w:rsidP="00027CB5">
      <w:pPr>
        <w:widowControl/>
        <w:autoSpaceDE w:val="0"/>
        <w:autoSpaceDN w:val="0"/>
        <w:adjustRightInd w:val="0"/>
        <w:spacing w:line="360" w:lineRule="auto"/>
        <w:rPr>
          <w:rFonts w:eastAsiaTheme="minorHAnsi"/>
          <w:color w:val="000000"/>
          <w:sz w:val="26"/>
          <w:szCs w:val="26"/>
        </w:rPr>
      </w:pPr>
    </w:p>
    <w:p w14:paraId="55B87622" w14:textId="77777777" w:rsidR="00577194" w:rsidRDefault="000038FB" w:rsidP="00027CB5">
      <w:pPr>
        <w:widowControl/>
        <w:autoSpaceDE w:val="0"/>
        <w:autoSpaceDN w:val="0"/>
        <w:adjustRightInd w:val="0"/>
        <w:spacing w:line="360" w:lineRule="auto"/>
        <w:ind w:firstLine="1440"/>
        <w:rPr>
          <w:sz w:val="26"/>
          <w:szCs w:val="26"/>
        </w:rPr>
      </w:pPr>
      <w:r>
        <w:rPr>
          <w:sz w:val="26"/>
          <w:szCs w:val="26"/>
        </w:rPr>
        <w:t>The ALJ also concluded that b</w:t>
      </w:r>
      <w:r w:rsidR="00577194" w:rsidRPr="00577194">
        <w:rPr>
          <w:sz w:val="26"/>
          <w:szCs w:val="26"/>
        </w:rPr>
        <w:t xml:space="preserve">y not appearing for the scheduled hearing, the Complainant failed to </w:t>
      </w:r>
      <w:r w:rsidR="0018484A">
        <w:rPr>
          <w:sz w:val="26"/>
          <w:szCs w:val="26"/>
        </w:rPr>
        <w:t>carry</w:t>
      </w:r>
      <w:r w:rsidR="00577194" w:rsidRPr="00577194">
        <w:rPr>
          <w:sz w:val="26"/>
          <w:szCs w:val="26"/>
        </w:rPr>
        <w:t xml:space="preserve"> her burden of proof.</w:t>
      </w:r>
    </w:p>
    <w:p w14:paraId="2098DDFB" w14:textId="77777777" w:rsidR="00577194" w:rsidRPr="00577194" w:rsidRDefault="00577194" w:rsidP="00027CB5">
      <w:pPr>
        <w:widowControl/>
        <w:autoSpaceDE w:val="0"/>
        <w:autoSpaceDN w:val="0"/>
        <w:adjustRightInd w:val="0"/>
        <w:spacing w:line="360" w:lineRule="auto"/>
        <w:ind w:firstLine="1440"/>
        <w:rPr>
          <w:rFonts w:eastAsiaTheme="minorHAnsi"/>
          <w:color w:val="000000"/>
          <w:sz w:val="26"/>
          <w:szCs w:val="26"/>
        </w:rPr>
      </w:pPr>
    </w:p>
    <w:p w14:paraId="2388A1AE" w14:textId="68BAB170" w:rsidR="00577194" w:rsidRDefault="00577194" w:rsidP="00027CB5">
      <w:pPr>
        <w:widowControl/>
        <w:autoSpaceDE w:val="0"/>
        <w:autoSpaceDN w:val="0"/>
        <w:adjustRightInd w:val="0"/>
        <w:spacing w:line="360" w:lineRule="auto"/>
        <w:ind w:firstLine="1440"/>
        <w:rPr>
          <w:color w:val="000000"/>
          <w:sz w:val="26"/>
          <w:szCs w:val="26"/>
        </w:rPr>
      </w:pPr>
      <w:r>
        <w:rPr>
          <w:rFonts w:eastAsiaTheme="minorHAnsi"/>
          <w:color w:val="000000"/>
          <w:sz w:val="26"/>
          <w:szCs w:val="26"/>
        </w:rPr>
        <w:t xml:space="preserve">The ALJ </w:t>
      </w:r>
      <w:r w:rsidR="0018484A">
        <w:rPr>
          <w:rFonts w:eastAsiaTheme="minorHAnsi"/>
          <w:color w:val="000000"/>
          <w:sz w:val="26"/>
          <w:szCs w:val="26"/>
        </w:rPr>
        <w:t xml:space="preserve">indicated </w:t>
      </w:r>
      <w:r>
        <w:rPr>
          <w:rFonts w:eastAsiaTheme="minorHAnsi"/>
          <w:color w:val="000000"/>
          <w:sz w:val="26"/>
          <w:szCs w:val="26"/>
        </w:rPr>
        <w:t xml:space="preserve">that the </w:t>
      </w:r>
      <w:r w:rsidRPr="00577194">
        <w:rPr>
          <w:rFonts w:eastAsiaTheme="minorHAnsi"/>
          <w:color w:val="000000"/>
          <w:sz w:val="26"/>
          <w:szCs w:val="26"/>
        </w:rPr>
        <w:t xml:space="preserve">Complainant’s </w:t>
      </w:r>
      <w:r w:rsidR="000038FB">
        <w:rPr>
          <w:rFonts w:eastAsiaTheme="minorHAnsi"/>
          <w:color w:val="000000"/>
          <w:sz w:val="26"/>
          <w:szCs w:val="26"/>
        </w:rPr>
        <w:t>mistakes</w:t>
      </w:r>
      <w:r w:rsidRPr="00577194">
        <w:rPr>
          <w:rFonts w:eastAsiaTheme="minorHAnsi"/>
          <w:color w:val="000000"/>
          <w:sz w:val="26"/>
          <w:szCs w:val="26"/>
        </w:rPr>
        <w:t xml:space="preserve"> in failing to find t</w:t>
      </w:r>
      <w:r w:rsidR="000038FB">
        <w:rPr>
          <w:rFonts w:eastAsiaTheme="minorHAnsi"/>
          <w:color w:val="000000"/>
          <w:sz w:val="26"/>
          <w:szCs w:val="26"/>
        </w:rPr>
        <w:t>he hearing room were</w:t>
      </w:r>
      <w:r w:rsidRPr="00577194">
        <w:rPr>
          <w:rFonts w:eastAsiaTheme="minorHAnsi"/>
          <w:color w:val="000000"/>
          <w:sz w:val="26"/>
          <w:szCs w:val="26"/>
        </w:rPr>
        <w:t xml:space="preserve"> not sufficient</w:t>
      </w:r>
      <w:r w:rsidR="0034131C">
        <w:rPr>
          <w:rFonts w:eastAsiaTheme="minorHAnsi"/>
          <w:color w:val="000000"/>
          <w:sz w:val="26"/>
          <w:szCs w:val="26"/>
        </w:rPr>
        <w:t xml:space="preserve"> reason to reschedule the hearing</w:t>
      </w:r>
      <w:r w:rsidRPr="00577194">
        <w:rPr>
          <w:rFonts w:eastAsiaTheme="minorHAnsi"/>
          <w:color w:val="000000"/>
          <w:sz w:val="26"/>
          <w:szCs w:val="26"/>
        </w:rPr>
        <w:t xml:space="preserve">.  I.D. at 7 (citing to </w:t>
      </w:r>
      <w:r w:rsidRPr="00577194">
        <w:rPr>
          <w:i/>
          <w:iCs/>
          <w:sz w:val="26"/>
          <w:szCs w:val="26"/>
        </w:rPr>
        <w:t>Eat’N Park Hospitality Group, Inc. v. Unemployment Compensation Board of Review</w:t>
      </w:r>
      <w:r w:rsidRPr="00577194">
        <w:rPr>
          <w:sz w:val="26"/>
          <w:szCs w:val="26"/>
        </w:rPr>
        <w:t xml:space="preserve">, 970 </w:t>
      </w:r>
      <w:r>
        <w:rPr>
          <w:sz w:val="26"/>
          <w:szCs w:val="26"/>
        </w:rPr>
        <w:t>A.2d 492, 494 (Pa.Cmwlth. 2008)</w:t>
      </w:r>
      <w:r w:rsidRPr="00577194">
        <w:rPr>
          <w:color w:val="000000"/>
          <w:sz w:val="26"/>
          <w:szCs w:val="26"/>
        </w:rPr>
        <w:t xml:space="preserve"> </w:t>
      </w:r>
      <w:r>
        <w:rPr>
          <w:color w:val="000000"/>
          <w:sz w:val="26"/>
          <w:szCs w:val="26"/>
        </w:rPr>
        <w:t>(</w:t>
      </w:r>
      <w:r w:rsidRPr="00753DF4">
        <w:rPr>
          <w:color w:val="000000"/>
          <w:sz w:val="26"/>
          <w:szCs w:val="26"/>
        </w:rPr>
        <w:t>“a party’s own negligence is not sufficient good cause as a matter of law for failing to appear at a … hearing.”</w:t>
      </w:r>
      <w:r>
        <w:rPr>
          <w:color w:val="000000"/>
          <w:sz w:val="26"/>
          <w:szCs w:val="26"/>
        </w:rPr>
        <w:t>)).</w:t>
      </w:r>
    </w:p>
    <w:p w14:paraId="4BAF4C3A" w14:textId="77777777" w:rsidR="00577194" w:rsidRDefault="00577194" w:rsidP="00027CB5">
      <w:pPr>
        <w:widowControl/>
        <w:autoSpaceDE w:val="0"/>
        <w:autoSpaceDN w:val="0"/>
        <w:adjustRightInd w:val="0"/>
        <w:spacing w:line="360" w:lineRule="auto"/>
        <w:ind w:firstLine="1440"/>
        <w:rPr>
          <w:color w:val="000000"/>
          <w:sz w:val="26"/>
          <w:szCs w:val="26"/>
        </w:rPr>
      </w:pPr>
    </w:p>
    <w:p w14:paraId="1F0C39DE" w14:textId="5D35FB10" w:rsidR="00577194" w:rsidRPr="00577194" w:rsidRDefault="000F00D1"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Finally,</w:t>
      </w:r>
      <w:r w:rsidR="005926C7">
        <w:rPr>
          <w:rFonts w:eastAsiaTheme="minorHAnsi"/>
          <w:color w:val="000000"/>
          <w:sz w:val="26"/>
          <w:szCs w:val="26"/>
        </w:rPr>
        <w:t xml:space="preserve"> the ALJ stated that</w:t>
      </w:r>
      <w:r>
        <w:rPr>
          <w:rFonts w:eastAsiaTheme="minorHAnsi"/>
          <w:color w:val="000000"/>
          <w:sz w:val="26"/>
          <w:szCs w:val="26"/>
        </w:rPr>
        <w:t xml:space="preserve"> </w:t>
      </w:r>
      <w:r w:rsidR="0018484A">
        <w:rPr>
          <w:rFonts w:eastAsiaTheme="minorHAnsi"/>
          <w:color w:val="000000"/>
          <w:sz w:val="26"/>
          <w:szCs w:val="26"/>
        </w:rPr>
        <w:t>d</w:t>
      </w:r>
      <w:r w:rsidR="00577194" w:rsidRPr="00577194">
        <w:rPr>
          <w:rFonts w:eastAsiaTheme="minorHAnsi"/>
          <w:color w:val="000000"/>
          <w:sz w:val="26"/>
          <w:szCs w:val="26"/>
        </w:rPr>
        <w:t xml:space="preserve">ue to the waste of the Commission’s and Respondent’s time, money and energy occasioned by the Complainant’s failure to appear at a hearing of which she had notice, </w:t>
      </w:r>
      <w:r w:rsidR="00577194">
        <w:rPr>
          <w:rFonts w:eastAsiaTheme="minorHAnsi"/>
          <w:color w:val="000000"/>
          <w:sz w:val="26"/>
          <w:szCs w:val="26"/>
        </w:rPr>
        <w:t xml:space="preserve">the ALJ </w:t>
      </w:r>
      <w:r>
        <w:rPr>
          <w:rFonts w:eastAsiaTheme="minorHAnsi"/>
          <w:color w:val="000000"/>
          <w:sz w:val="26"/>
          <w:szCs w:val="26"/>
        </w:rPr>
        <w:t xml:space="preserve">ruled to </w:t>
      </w:r>
      <w:r w:rsidR="00577194">
        <w:rPr>
          <w:rFonts w:eastAsiaTheme="minorHAnsi"/>
          <w:color w:val="000000"/>
          <w:sz w:val="26"/>
          <w:szCs w:val="26"/>
        </w:rPr>
        <w:t>dismiss the Complaint</w:t>
      </w:r>
      <w:r w:rsidR="00577194" w:rsidRPr="00577194">
        <w:rPr>
          <w:rFonts w:eastAsiaTheme="minorHAnsi"/>
          <w:color w:val="000000"/>
          <w:sz w:val="26"/>
          <w:szCs w:val="26"/>
        </w:rPr>
        <w:t xml:space="preserve"> with prejudice </w:t>
      </w:r>
      <w:r w:rsidR="00577194">
        <w:rPr>
          <w:rFonts w:eastAsiaTheme="minorHAnsi"/>
          <w:color w:val="000000"/>
          <w:sz w:val="26"/>
          <w:szCs w:val="26"/>
        </w:rPr>
        <w:t>“</w:t>
      </w:r>
      <w:r w:rsidR="00577194" w:rsidRPr="00577194">
        <w:rPr>
          <w:rFonts w:eastAsiaTheme="minorHAnsi"/>
          <w:color w:val="000000"/>
          <w:sz w:val="26"/>
          <w:szCs w:val="26"/>
        </w:rPr>
        <w:t>in accordance with well-established Commission precedent.</w:t>
      </w:r>
      <w:r w:rsidR="00577194">
        <w:rPr>
          <w:rFonts w:eastAsiaTheme="minorHAnsi"/>
          <w:color w:val="000000"/>
          <w:sz w:val="26"/>
          <w:szCs w:val="26"/>
        </w:rPr>
        <w:t>”</w:t>
      </w:r>
      <w:r w:rsidR="00577194" w:rsidRPr="00577194">
        <w:rPr>
          <w:rFonts w:eastAsiaTheme="minorHAnsi"/>
          <w:color w:val="000000"/>
          <w:sz w:val="26"/>
          <w:szCs w:val="26"/>
        </w:rPr>
        <w:t xml:space="preserve">  I.D. at 7-8 (citing </w:t>
      </w:r>
      <w:r w:rsidR="00577194" w:rsidRPr="00577194">
        <w:rPr>
          <w:rFonts w:eastAsiaTheme="minorHAnsi"/>
          <w:i/>
          <w:iCs/>
          <w:color w:val="000000"/>
          <w:sz w:val="26"/>
          <w:szCs w:val="26"/>
        </w:rPr>
        <w:t>Jefferson</w:t>
      </w:r>
      <w:r w:rsidR="00577194" w:rsidRPr="00577194">
        <w:rPr>
          <w:rFonts w:eastAsiaTheme="minorHAnsi"/>
          <w:sz w:val="26"/>
          <w:szCs w:val="26"/>
        </w:rPr>
        <w:t xml:space="preserve">; </w:t>
      </w:r>
      <w:r w:rsidR="00577194" w:rsidRPr="00577194">
        <w:rPr>
          <w:rFonts w:eastAsiaTheme="minorHAnsi"/>
          <w:i/>
          <w:iCs/>
          <w:sz w:val="26"/>
          <w:szCs w:val="26"/>
        </w:rPr>
        <w:t>Evans v. Bell Atlantic-Pennsylvania, Inc.</w:t>
      </w:r>
      <w:r w:rsidR="00577194" w:rsidRPr="00577194">
        <w:rPr>
          <w:rFonts w:eastAsiaTheme="minorHAnsi"/>
          <w:sz w:val="26"/>
          <w:szCs w:val="26"/>
        </w:rPr>
        <w:t xml:space="preserve">, Docket No. C-00957229 (Opinion and Order entered July 12, 1996); </w:t>
      </w:r>
      <w:r w:rsidR="00577194" w:rsidRPr="00577194">
        <w:rPr>
          <w:rFonts w:eastAsiaTheme="minorHAnsi"/>
          <w:i/>
          <w:iCs/>
          <w:sz w:val="26"/>
          <w:szCs w:val="26"/>
        </w:rPr>
        <w:t>King v. PECO Energy Co</w:t>
      </w:r>
      <w:r w:rsidR="00577194" w:rsidRPr="00577194">
        <w:rPr>
          <w:rFonts w:eastAsiaTheme="minorHAnsi"/>
          <w:sz w:val="26"/>
          <w:szCs w:val="26"/>
        </w:rPr>
        <w:t xml:space="preserve">, Docket No. C-00967919 (Opinion and Order entered January 16, 1997); </w:t>
      </w:r>
      <w:r w:rsidR="00577194" w:rsidRPr="00577194">
        <w:rPr>
          <w:rFonts w:eastAsiaTheme="minorHAnsi"/>
          <w:i/>
          <w:iCs/>
          <w:sz w:val="26"/>
          <w:szCs w:val="26"/>
        </w:rPr>
        <w:t>Kenny v. PPL Electric Utilities Corporation</w:t>
      </w:r>
      <w:r w:rsidR="00577194" w:rsidRPr="00577194">
        <w:rPr>
          <w:rFonts w:eastAsiaTheme="minorHAnsi"/>
          <w:sz w:val="26"/>
          <w:szCs w:val="26"/>
        </w:rPr>
        <w:t>, Docket No. C-20042399 (Final Order entered October 13, 2004)</w:t>
      </w:r>
      <w:r w:rsidR="00577194" w:rsidRPr="00577194">
        <w:rPr>
          <w:rFonts w:eastAsiaTheme="minorHAnsi"/>
          <w:i/>
          <w:iCs/>
          <w:sz w:val="26"/>
          <w:szCs w:val="26"/>
        </w:rPr>
        <w:t>; Jones v. The Peoples Natural Gas Company d/b/a Dominion Peoples</w:t>
      </w:r>
      <w:r w:rsidR="00577194" w:rsidRPr="00577194">
        <w:rPr>
          <w:rFonts w:eastAsiaTheme="minorHAnsi"/>
          <w:sz w:val="26"/>
          <w:szCs w:val="26"/>
        </w:rPr>
        <w:t xml:space="preserve">, Docket No. C-20054885 (Opinion and Order entered February 14, 2006); </w:t>
      </w:r>
      <w:r w:rsidR="00C658C0">
        <w:rPr>
          <w:rFonts w:eastAsiaTheme="minorHAnsi"/>
          <w:i/>
          <w:iCs/>
          <w:sz w:val="26"/>
          <w:szCs w:val="26"/>
        </w:rPr>
        <w:t>El-Ayazra</w:t>
      </w:r>
      <w:r w:rsidR="00577194" w:rsidRPr="00577194">
        <w:rPr>
          <w:rFonts w:eastAsiaTheme="minorHAnsi"/>
          <w:sz w:val="26"/>
          <w:szCs w:val="26"/>
        </w:rPr>
        <w:t>.</w:t>
      </w:r>
    </w:p>
    <w:p w14:paraId="3314C999" w14:textId="77777777" w:rsidR="00AC6661" w:rsidRPr="00733B3A" w:rsidRDefault="00AC6661" w:rsidP="00027CB5">
      <w:pPr>
        <w:widowControl/>
        <w:spacing w:line="360" w:lineRule="auto"/>
        <w:rPr>
          <w:sz w:val="26"/>
          <w:szCs w:val="26"/>
        </w:rPr>
      </w:pPr>
    </w:p>
    <w:p w14:paraId="3F86C527" w14:textId="77777777" w:rsidR="001F0176" w:rsidRPr="00733B3A" w:rsidRDefault="001F0176" w:rsidP="00027CB5">
      <w:pPr>
        <w:keepNext/>
        <w:keepLines/>
        <w:widowControl/>
        <w:spacing w:line="360" w:lineRule="auto"/>
        <w:rPr>
          <w:b/>
          <w:sz w:val="26"/>
          <w:szCs w:val="26"/>
        </w:rPr>
      </w:pPr>
      <w:r w:rsidRPr="00733B3A">
        <w:rPr>
          <w:b/>
          <w:sz w:val="26"/>
          <w:szCs w:val="26"/>
        </w:rPr>
        <w:t>Exceptions and Replies to Exceptions</w:t>
      </w:r>
    </w:p>
    <w:p w14:paraId="30464974" w14:textId="77777777" w:rsidR="00007A6C" w:rsidRPr="00733B3A" w:rsidRDefault="00007A6C" w:rsidP="00027CB5">
      <w:pPr>
        <w:keepNext/>
        <w:keepLines/>
        <w:widowControl/>
        <w:spacing w:line="360" w:lineRule="auto"/>
        <w:rPr>
          <w:sz w:val="26"/>
          <w:szCs w:val="26"/>
        </w:rPr>
      </w:pPr>
    </w:p>
    <w:p w14:paraId="137CAA48" w14:textId="14217D9D" w:rsidR="006B3E50" w:rsidRDefault="003903B0" w:rsidP="00027CB5">
      <w:pPr>
        <w:widowControl/>
        <w:spacing w:line="360" w:lineRule="auto"/>
        <w:ind w:firstLine="1440"/>
        <w:rPr>
          <w:sz w:val="26"/>
          <w:szCs w:val="26"/>
        </w:rPr>
      </w:pPr>
      <w:r>
        <w:rPr>
          <w:sz w:val="26"/>
          <w:szCs w:val="26"/>
        </w:rPr>
        <w:t>In h</w:t>
      </w:r>
      <w:r w:rsidR="00066646">
        <w:rPr>
          <w:sz w:val="26"/>
          <w:szCs w:val="26"/>
        </w:rPr>
        <w:t>er</w:t>
      </w:r>
      <w:r>
        <w:rPr>
          <w:sz w:val="26"/>
          <w:szCs w:val="26"/>
        </w:rPr>
        <w:t xml:space="preserve"> Exceptions, </w:t>
      </w:r>
      <w:r w:rsidR="002F63AB">
        <w:rPr>
          <w:sz w:val="26"/>
          <w:szCs w:val="26"/>
        </w:rPr>
        <w:t xml:space="preserve">in relevant part, </w:t>
      </w:r>
      <w:r>
        <w:rPr>
          <w:sz w:val="26"/>
          <w:szCs w:val="26"/>
        </w:rPr>
        <w:t>the Complainant</w:t>
      </w:r>
      <w:r w:rsidR="00066646">
        <w:rPr>
          <w:sz w:val="26"/>
          <w:szCs w:val="26"/>
        </w:rPr>
        <w:t xml:space="preserve"> states that</w:t>
      </w:r>
      <w:r w:rsidR="006B3E50">
        <w:rPr>
          <w:sz w:val="26"/>
          <w:szCs w:val="26"/>
        </w:rPr>
        <w:t xml:space="preserve"> </w:t>
      </w:r>
      <w:r w:rsidR="00066646">
        <w:rPr>
          <w:sz w:val="26"/>
          <w:szCs w:val="26"/>
        </w:rPr>
        <w:t xml:space="preserve">when PECO’s counsel and witness checked the hallway they </w:t>
      </w:r>
      <w:r w:rsidR="004A7365">
        <w:rPr>
          <w:sz w:val="26"/>
          <w:szCs w:val="26"/>
        </w:rPr>
        <w:t>mad</w:t>
      </w:r>
      <w:r w:rsidR="006B3E50">
        <w:rPr>
          <w:sz w:val="26"/>
          <w:szCs w:val="26"/>
        </w:rPr>
        <w:t>e no</w:t>
      </w:r>
      <w:r w:rsidR="00066646">
        <w:rPr>
          <w:sz w:val="26"/>
          <w:szCs w:val="26"/>
        </w:rPr>
        <w:t xml:space="preserve"> mention </w:t>
      </w:r>
      <w:r w:rsidR="006B3E50">
        <w:rPr>
          <w:sz w:val="26"/>
          <w:szCs w:val="26"/>
        </w:rPr>
        <w:t>of whether they ever</w:t>
      </w:r>
      <w:r w:rsidR="00066646">
        <w:rPr>
          <w:sz w:val="26"/>
          <w:szCs w:val="26"/>
        </w:rPr>
        <w:t xml:space="preserve"> called out the Complainant’s name at any time.  The Complainant re-asserts that she was present in the </w:t>
      </w:r>
      <w:r w:rsidR="006B3E50">
        <w:rPr>
          <w:sz w:val="26"/>
          <w:szCs w:val="26"/>
        </w:rPr>
        <w:t xml:space="preserve">Commission’s </w:t>
      </w:r>
      <w:r w:rsidR="00066646">
        <w:rPr>
          <w:sz w:val="26"/>
          <w:szCs w:val="26"/>
        </w:rPr>
        <w:t xml:space="preserve">waiting seated area during the scheduled time for the hearing.  She </w:t>
      </w:r>
      <w:r w:rsidR="006B3E50">
        <w:rPr>
          <w:sz w:val="26"/>
          <w:szCs w:val="26"/>
        </w:rPr>
        <w:t xml:space="preserve">maintains that she arrived at the Commission at 10:02 a.m., and that after arrival, and with the assistance from the desk clerk who placed her second call to the Commission, she spoke with a legal assistant for the OALJ around 10:16 a.m.  She states that </w:t>
      </w:r>
      <w:r w:rsidR="005926C7">
        <w:rPr>
          <w:sz w:val="26"/>
          <w:szCs w:val="26"/>
        </w:rPr>
        <w:t xml:space="preserve">based on the documents </w:t>
      </w:r>
      <w:r w:rsidR="006B3E50">
        <w:rPr>
          <w:sz w:val="26"/>
          <w:szCs w:val="26"/>
        </w:rPr>
        <w:t xml:space="preserve">the hearing adjourned and her case was dismissed around 10:21 a.m. </w:t>
      </w:r>
      <w:r w:rsidR="005926C7">
        <w:rPr>
          <w:sz w:val="26"/>
          <w:szCs w:val="26"/>
        </w:rPr>
        <w:t>(</w:t>
      </w:r>
      <w:r w:rsidR="005926C7" w:rsidRPr="005926C7">
        <w:rPr>
          <w:i/>
          <w:sz w:val="26"/>
          <w:szCs w:val="26"/>
        </w:rPr>
        <w:t>see</w:t>
      </w:r>
      <w:r w:rsidR="005926C7">
        <w:rPr>
          <w:sz w:val="26"/>
          <w:szCs w:val="26"/>
        </w:rPr>
        <w:t xml:space="preserve"> Tr. at 6), </w:t>
      </w:r>
      <w:r w:rsidR="006B3E50">
        <w:rPr>
          <w:sz w:val="26"/>
          <w:szCs w:val="26"/>
        </w:rPr>
        <w:t>despite her not being present in the hearing room.  Exc. at</w:t>
      </w:r>
      <w:r w:rsidR="006B0210">
        <w:rPr>
          <w:sz w:val="26"/>
          <w:szCs w:val="26"/>
        </w:rPr>
        <w:t> </w:t>
      </w:r>
      <w:r w:rsidR="006B3E50">
        <w:rPr>
          <w:sz w:val="26"/>
          <w:szCs w:val="26"/>
        </w:rPr>
        <w:t>¶¶</w:t>
      </w:r>
      <w:r w:rsidR="006B0210">
        <w:rPr>
          <w:sz w:val="26"/>
          <w:szCs w:val="26"/>
        </w:rPr>
        <w:t> </w:t>
      </w:r>
      <w:r w:rsidR="006B3E50">
        <w:rPr>
          <w:sz w:val="26"/>
          <w:szCs w:val="26"/>
        </w:rPr>
        <w:t>1,</w:t>
      </w:r>
      <w:r w:rsidR="006B0210">
        <w:rPr>
          <w:sz w:val="26"/>
          <w:szCs w:val="26"/>
        </w:rPr>
        <w:t> </w:t>
      </w:r>
      <w:r w:rsidR="006B3E50">
        <w:rPr>
          <w:sz w:val="26"/>
          <w:szCs w:val="26"/>
        </w:rPr>
        <w:t>5.</w:t>
      </w:r>
    </w:p>
    <w:p w14:paraId="309D360B" w14:textId="77777777" w:rsidR="006B3E50" w:rsidRDefault="006B3E50" w:rsidP="00027CB5">
      <w:pPr>
        <w:widowControl/>
        <w:spacing w:line="360" w:lineRule="auto"/>
        <w:ind w:firstLine="1440"/>
        <w:rPr>
          <w:sz w:val="26"/>
          <w:szCs w:val="26"/>
        </w:rPr>
      </w:pPr>
    </w:p>
    <w:p w14:paraId="1A2F0C14" w14:textId="43BFFD5C" w:rsidR="006B3E50" w:rsidRDefault="002C656D" w:rsidP="00027CB5">
      <w:pPr>
        <w:widowControl/>
        <w:spacing w:line="360" w:lineRule="auto"/>
        <w:ind w:firstLine="1440"/>
        <w:rPr>
          <w:sz w:val="26"/>
          <w:szCs w:val="26"/>
        </w:rPr>
      </w:pPr>
      <w:r>
        <w:rPr>
          <w:sz w:val="26"/>
          <w:szCs w:val="26"/>
        </w:rPr>
        <w:t>In its Replies to Exceptions, P</w:t>
      </w:r>
      <w:r w:rsidR="006B3E50">
        <w:rPr>
          <w:sz w:val="26"/>
          <w:szCs w:val="26"/>
        </w:rPr>
        <w:t>ECO</w:t>
      </w:r>
      <w:r>
        <w:rPr>
          <w:sz w:val="26"/>
          <w:szCs w:val="26"/>
        </w:rPr>
        <w:t xml:space="preserve"> </w:t>
      </w:r>
      <w:r w:rsidR="006B3E50">
        <w:rPr>
          <w:sz w:val="26"/>
          <w:szCs w:val="26"/>
        </w:rPr>
        <w:t>argues that the Complainant’s representation of events cannot be true.  At ALJ Guhl’s instruction, at 10:10 a.m., PECO</w:t>
      </w:r>
      <w:r w:rsidR="004A7365">
        <w:rPr>
          <w:sz w:val="26"/>
          <w:szCs w:val="26"/>
        </w:rPr>
        <w:t>’s</w:t>
      </w:r>
      <w:r w:rsidR="006B3E50">
        <w:rPr>
          <w:sz w:val="26"/>
          <w:szCs w:val="26"/>
        </w:rPr>
        <w:t xml:space="preserve"> witness went out into the lobby to check to see if anyone was waiting.  PECO</w:t>
      </w:r>
      <w:r w:rsidR="006B0210">
        <w:rPr>
          <w:sz w:val="26"/>
          <w:szCs w:val="26"/>
        </w:rPr>
        <w:t xml:space="preserve"> avers that its </w:t>
      </w:r>
      <w:r w:rsidR="006B3E50">
        <w:rPr>
          <w:sz w:val="26"/>
          <w:szCs w:val="26"/>
        </w:rPr>
        <w:t xml:space="preserve">witness walked down to the Department of Public Welfare area and through the Commission’s area </w:t>
      </w:r>
      <w:r w:rsidR="006B0210">
        <w:rPr>
          <w:sz w:val="26"/>
          <w:szCs w:val="26"/>
        </w:rPr>
        <w:t>but t</w:t>
      </w:r>
      <w:r w:rsidR="006B3E50">
        <w:rPr>
          <w:sz w:val="26"/>
          <w:szCs w:val="26"/>
        </w:rPr>
        <w:t>here was no one there.  ALJ Guhl convened the hearing at approximately 10:15 a.m.  PECO’s counsel and PECO’s witness left the hearing room at approximately 10:20 a.m.  PECO represents</w:t>
      </w:r>
      <w:r w:rsidR="004A7365">
        <w:rPr>
          <w:sz w:val="26"/>
          <w:szCs w:val="26"/>
        </w:rPr>
        <w:t xml:space="preserve"> that </w:t>
      </w:r>
      <w:r w:rsidR="006B3E50">
        <w:rPr>
          <w:sz w:val="26"/>
          <w:szCs w:val="26"/>
        </w:rPr>
        <w:t xml:space="preserve">no one </w:t>
      </w:r>
      <w:r w:rsidR="004A7365">
        <w:rPr>
          <w:sz w:val="26"/>
          <w:szCs w:val="26"/>
        </w:rPr>
        <w:t xml:space="preserve">was </w:t>
      </w:r>
      <w:r w:rsidR="006B3E50">
        <w:rPr>
          <w:sz w:val="26"/>
          <w:szCs w:val="26"/>
        </w:rPr>
        <w:t>waiting at either end of the hallway or in the seating area reserved for the Department of Public Welfare hearings.  The Complainant contacted ALJ Guhl’s office at 10:20 a.m. to state that she had been waiting outside for the hearing to begin.  If she was indeed waiting outside for the hearing to begin, PECO’s attorney and PECO’s witness, would have seen her when they left the hearing.  R. Exc. at 2-3.</w:t>
      </w:r>
    </w:p>
    <w:p w14:paraId="19EF2B11" w14:textId="77777777" w:rsidR="006B3E50" w:rsidRDefault="006B3E50" w:rsidP="00027CB5">
      <w:pPr>
        <w:widowControl/>
        <w:spacing w:line="360" w:lineRule="auto"/>
        <w:ind w:firstLine="1440"/>
        <w:rPr>
          <w:sz w:val="26"/>
          <w:szCs w:val="26"/>
        </w:rPr>
      </w:pPr>
    </w:p>
    <w:p w14:paraId="0753EFD0" w14:textId="3F075612" w:rsidR="002C656D" w:rsidRDefault="006B3E50" w:rsidP="00027CB5">
      <w:pPr>
        <w:widowControl/>
        <w:spacing w:line="360" w:lineRule="auto"/>
        <w:ind w:firstLine="1440"/>
        <w:rPr>
          <w:sz w:val="26"/>
          <w:szCs w:val="26"/>
        </w:rPr>
      </w:pPr>
      <w:r>
        <w:rPr>
          <w:sz w:val="26"/>
          <w:szCs w:val="26"/>
        </w:rPr>
        <w:t>PECO argues that the Complainant’s failure to attend the hearing was not “</w:t>
      </w:r>
      <w:r w:rsidR="00CF4933">
        <w:rPr>
          <w:sz w:val="26"/>
          <w:szCs w:val="26"/>
        </w:rPr>
        <w:t>unavoidable</w:t>
      </w:r>
      <w:r>
        <w:rPr>
          <w:sz w:val="26"/>
          <w:szCs w:val="26"/>
        </w:rPr>
        <w:t>”</w:t>
      </w:r>
      <w:r w:rsidR="00CF4933">
        <w:rPr>
          <w:sz w:val="26"/>
          <w:szCs w:val="26"/>
        </w:rPr>
        <w:t xml:space="preserve"> and that the Complainant cannot establish as much.</w:t>
      </w:r>
      <w:r>
        <w:rPr>
          <w:sz w:val="26"/>
          <w:szCs w:val="26"/>
        </w:rPr>
        <w:t xml:space="preserve">  </w:t>
      </w:r>
      <w:r w:rsidR="00CF4933">
        <w:rPr>
          <w:sz w:val="26"/>
          <w:szCs w:val="26"/>
        </w:rPr>
        <w:t>I</w:t>
      </w:r>
      <w:r>
        <w:rPr>
          <w:sz w:val="26"/>
          <w:szCs w:val="26"/>
        </w:rPr>
        <w:t xml:space="preserve">f the Complainant was actually at the hearing location, which PECO asserts she was not, then PECO argues she had ample time to inform </w:t>
      </w:r>
      <w:r w:rsidR="00CF4933">
        <w:rPr>
          <w:sz w:val="26"/>
          <w:szCs w:val="26"/>
        </w:rPr>
        <w:t xml:space="preserve">ALJ Guhl that she was waiting. </w:t>
      </w:r>
      <w:r w:rsidR="00205577">
        <w:rPr>
          <w:sz w:val="26"/>
          <w:szCs w:val="26"/>
        </w:rPr>
        <w:t xml:space="preserve"> R. Exc. at 4.</w:t>
      </w:r>
    </w:p>
    <w:p w14:paraId="3A23C0BA" w14:textId="77777777" w:rsidR="00CF4933" w:rsidRDefault="00CF4933" w:rsidP="00027CB5">
      <w:pPr>
        <w:widowControl/>
        <w:spacing w:line="360" w:lineRule="auto"/>
        <w:ind w:firstLine="1440"/>
        <w:rPr>
          <w:sz w:val="26"/>
          <w:szCs w:val="26"/>
        </w:rPr>
      </w:pPr>
    </w:p>
    <w:p w14:paraId="08A561F6" w14:textId="77777777" w:rsidR="00CF4933" w:rsidRDefault="00CF4933" w:rsidP="00027CB5">
      <w:pPr>
        <w:widowControl/>
        <w:spacing w:line="360" w:lineRule="auto"/>
        <w:ind w:firstLine="1440"/>
        <w:rPr>
          <w:sz w:val="26"/>
          <w:szCs w:val="26"/>
        </w:rPr>
      </w:pPr>
      <w:r>
        <w:rPr>
          <w:sz w:val="26"/>
          <w:szCs w:val="26"/>
        </w:rPr>
        <w:t xml:space="preserve">PECO also argues that the Complainant cannot establish that a reopening of the proceeding would not prejudice the public’s or PECO’s interests due to the wasteful use of time and resources to prepare for hearings in which the Complainant does not appear.  PECO also argues that the stay on collection activity and the Complainant’s growing balance (which is at $2,294.00 at the time of filing its Replies to Exceptions), prejudices the public and PECO’s interests. </w:t>
      </w:r>
      <w:r w:rsidR="00205577">
        <w:rPr>
          <w:sz w:val="26"/>
          <w:szCs w:val="26"/>
        </w:rPr>
        <w:t xml:space="preserve"> R. Exc. at 4.</w:t>
      </w:r>
    </w:p>
    <w:p w14:paraId="4BABCB4C" w14:textId="77777777" w:rsidR="00AC6661" w:rsidRPr="00733B3A" w:rsidRDefault="00AC6661" w:rsidP="00027CB5">
      <w:pPr>
        <w:widowControl/>
        <w:spacing w:line="360" w:lineRule="auto"/>
        <w:rPr>
          <w:sz w:val="26"/>
          <w:szCs w:val="26"/>
        </w:rPr>
      </w:pPr>
    </w:p>
    <w:p w14:paraId="18A2ED8A" w14:textId="77777777" w:rsidR="001F0176" w:rsidRPr="00733B3A" w:rsidRDefault="001F0176" w:rsidP="00027CB5">
      <w:pPr>
        <w:keepNext/>
        <w:keepLines/>
        <w:widowControl/>
        <w:spacing w:line="360" w:lineRule="auto"/>
        <w:rPr>
          <w:sz w:val="26"/>
          <w:szCs w:val="26"/>
        </w:rPr>
      </w:pPr>
      <w:r w:rsidRPr="00733B3A">
        <w:rPr>
          <w:b/>
          <w:sz w:val="26"/>
          <w:szCs w:val="26"/>
        </w:rPr>
        <w:t>Disposition</w:t>
      </w:r>
    </w:p>
    <w:p w14:paraId="3D7F932F" w14:textId="77777777" w:rsidR="00007A6C" w:rsidRPr="00733B3A" w:rsidRDefault="00007A6C" w:rsidP="00027CB5">
      <w:pPr>
        <w:keepNext/>
        <w:keepLines/>
        <w:widowControl/>
        <w:spacing w:line="360" w:lineRule="auto"/>
        <w:rPr>
          <w:sz w:val="26"/>
          <w:szCs w:val="26"/>
        </w:rPr>
      </w:pPr>
    </w:p>
    <w:p w14:paraId="623E59EC" w14:textId="6F3DDEDF" w:rsidR="002937C9" w:rsidRDefault="00877396" w:rsidP="00027CB5">
      <w:pPr>
        <w:widowControl/>
        <w:overflowPunct w:val="0"/>
        <w:autoSpaceDE w:val="0"/>
        <w:autoSpaceDN w:val="0"/>
        <w:adjustRightInd w:val="0"/>
        <w:spacing w:line="360" w:lineRule="auto"/>
        <w:ind w:firstLine="1440"/>
        <w:textAlignment w:val="baseline"/>
        <w:rPr>
          <w:sz w:val="26"/>
          <w:szCs w:val="26"/>
        </w:rPr>
      </w:pPr>
      <w:r>
        <w:rPr>
          <w:color w:val="000000" w:themeColor="text1"/>
          <w:sz w:val="26"/>
        </w:rPr>
        <w:t xml:space="preserve">On consideration of the positions of the parties, we note that </w:t>
      </w:r>
      <w:r w:rsidR="002F64C8">
        <w:rPr>
          <w:color w:val="000000" w:themeColor="text1"/>
          <w:sz w:val="26"/>
        </w:rPr>
        <w:t>i</w:t>
      </w:r>
      <w:r w:rsidR="00273868">
        <w:rPr>
          <w:color w:val="000000" w:themeColor="text1"/>
          <w:sz w:val="26"/>
        </w:rPr>
        <w:t xml:space="preserve">t is within the </w:t>
      </w:r>
      <w:r w:rsidR="00273868" w:rsidRPr="00CB4BFA">
        <w:rPr>
          <w:color w:val="000000" w:themeColor="text1"/>
          <w:sz w:val="26"/>
          <w:szCs w:val="26"/>
        </w:rPr>
        <w:t xml:space="preserve">sound discretion of the </w:t>
      </w:r>
      <w:r w:rsidR="00273868">
        <w:rPr>
          <w:color w:val="000000" w:themeColor="text1"/>
          <w:sz w:val="26"/>
          <w:szCs w:val="26"/>
        </w:rPr>
        <w:t xml:space="preserve">ALJ to decide whether the Complainant’s failure to appear was unavoidable and whether permitting a hearing would prejudice the public interest or the interest of the </w:t>
      </w:r>
      <w:r w:rsidR="00CA1440">
        <w:rPr>
          <w:color w:val="000000" w:themeColor="text1"/>
          <w:sz w:val="26"/>
          <w:szCs w:val="26"/>
        </w:rPr>
        <w:t>other party</w:t>
      </w:r>
      <w:r w:rsidR="00273868">
        <w:rPr>
          <w:color w:val="000000" w:themeColor="text1"/>
          <w:sz w:val="26"/>
          <w:szCs w:val="26"/>
        </w:rPr>
        <w:t xml:space="preserve">.  </w:t>
      </w:r>
      <w:r w:rsidR="00273868" w:rsidRPr="008C2C13">
        <w:rPr>
          <w:i/>
          <w:sz w:val="26"/>
          <w:szCs w:val="26"/>
        </w:rPr>
        <w:t xml:space="preserve">See </w:t>
      </w:r>
      <w:r w:rsidR="00273868" w:rsidRPr="002A7FFC">
        <w:rPr>
          <w:sz w:val="26"/>
          <w:szCs w:val="26"/>
        </w:rPr>
        <w:t xml:space="preserve">66 Pa. C.S. § 332(f); </w:t>
      </w:r>
      <w:r w:rsidR="00273868" w:rsidRPr="002A7FFC">
        <w:rPr>
          <w:i/>
          <w:sz w:val="26"/>
          <w:szCs w:val="26"/>
        </w:rPr>
        <w:t>see also</w:t>
      </w:r>
      <w:r w:rsidR="00273868">
        <w:rPr>
          <w:sz w:val="26"/>
          <w:szCs w:val="26"/>
        </w:rPr>
        <w:t xml:space="preserve"> 52 Pa. Code § 5.245(a)-(b).  </w:t>
      </w:r>
      <w:r w:rsidR="004668D3">
        <w:rPr>
          <w:color w:val="000000" w:themeColor="text1"/>
          <w:sz w:val="26"/>
          <w:szCs w:val="26"/>
        </w:rPr>
        <w:t xml:space="preserve">In the matter before us, the ALJ </w:t>
      </w:r>
      <w:r w:rsidR="00B10E89">
        <w:rPr>
          <w:color w:val="000000" w:themeColor="text1"/>
          <w:sz w:val="26"/>
          <w:szCs w:val="26"/>
        </w:rPr>
        <w:t xml:space="preserve">ruled to dismiss </w:t>
      </w:r>
      <w:r w:rsidR="004668D3">
        <w:rPr>
          <w:color w:val="000000" w:themeColor="text1"/>
          <w:sz w:val="26"/>
          <w:szCs w:val="26"/>
        </w:rPr>
        <w:t xml:space="preserve">the </w:t>
      </w:r>
      <w:r w:rsidR="0040009E">
        <w:rPr>
          <w:color w:val="000000" w:themeColor="text1"/>
          <w:sz w:val="26"/>
          <w:szCs w:val="26"/>
        </w:rPr>
        <w:t>C</w:t>
      </w:r>
      <w:r w:rsidR="004668D3">
        <w:rPr>
          <w:color w:val="000000" w:themeColor="text1"/>
          <w:sz w:val="26"/>
          <w:szCs w:val="26"/>
        </w:rPr>
        <w:t>ompl</w:t>
      </w:r>
      <w:r w:rsidR="0040009E">
        <w:rPr>
          <w:color w:val="000000" w:themeColor="text1"/>
          <w:sz w:val="26"/>
          <w:szCs w:val="26"/>
        </w:rPr>
        <w:t>ai</w:t>
      </w:r>
      <w:r w:rsidR="004668D3">
        <w:rPr>
          <w:color w:val="000000" w:themeColor="text1"/>
          <w:sz w:val="26"/>
          <w:szCs w:val="26"/>
        </w:rPr>
        <w:t>nt</w:t>
      </w:r>
      <w:r w:rsidR="009F0BCF">
        <w:rPr>
          <w:color w:val="000000" w:themeColor="text1"/>
          <w:sz w:val="26"/>
          <w:szCs w:val="26"/>
        </w:rPr>
        <w:t>,</w:t>
      </w:r>
      <w:r w:rsidR="004668D3">
        <w:rPr>
          <w:color w:val="000000" w:themeColor="text1"/>
          <w:sz w:val="26"/>
          <w:szCs w:val="26"/>
        </w:rPr>
        <w:t xml:space="preserve"> </w:t>
      </w:r>
      <w:r w:rsidR="004668D3" w:rsidRPr="009F0BCF">
        <w:rPr>
          <w:i/>
          <w:color w:val="000000" w:themeColor="text1"/>
          <w:sz w:val="26"/>
          <w:szCs w:val="26"/>
        </w:rPr>
        <w:t>with prejudice</w:t>
      </w:r>
      <w:r w:rsidR="00C362B6">
        <w:rPr>
          <w:color w:val="000000" w:themeColor="text1"/>
          <w:sz w:val="26"/>
          <w:szCs w:val="26"/>
        </w:rPr>
        <w:t xml:space="preserve">, finding </w:t>
      </w:r>
      <w:r w:rsidR="00F2341A">
        <w:rPr>
          <w:color w:val="000000" w:themeColor="text1"/>
          <w:sz w:val="26"/>
          <w:szCs w:val="26"/>
        </w:rPr>
        <w:t>that</w:t>
      </w:r>
      <w:r w:rsidR="004668D3">
        <w:rPr>
          <w:sz w:val="26"/>
          <w:szCs w:val="26"/>
        </w:rPr>
        <w:t xml:space="preserve"> the</w:t>
      </w:r>
      <w:r w:rsidR="004668D3" w:rsidRPr="0003143A">
        <w:rPr>
          <w:sz w:val="26"/>
          <w:szCs w:val="26"/>
        </w:rPr>
        <w:t xml:space="preserve"> Complainant had ample opportunity to appear </w:t>
      </w:r>
      <w:r w:rsidR="00B10E89">
        <w:rPr>
          <w:sz w:val="26"/>
          <w:szCs w:val="26"/>
        </w:rPr>
        <w:t>and be heard in this proceeding</w:t>
      </w:r>
      <w:r w:rsidR="004668D3" w:rsidRPr="0003143A">
        <w:rPr>
          <w:sz w:val="26"/>
          <w:szCs w:val="26"/>
        </w:rPr>
        <w:t xml:space="preserve"> but </w:t>
      </w:r>
      <w:r w:rsidR="00241EA2">
        <w:rPr>
          <w:sz w:val="26"/>
          <w:szCs w:val="26"/>
        </w:rPr>
        <w:t xml:space="preserve">that the Complainant </w:t>
      </w:r>
      <w:r w:rsidR="004668D3" w:rsidRPr="0003143A">
        <w:rPr>
          <w:sz w:val="26"/>
          <w:szCs w:val="26"/>
        </w:rPr>
        <w:t>chose not to ca</w:t>
      </w:r>
      <w:r w:rsidR="00271950">
        <w:rPr>
          <w:sz w:val="26"/>
          <w:szCs w:val="26"/>
        </w:rPr>
        <w:t>ll into the hearing conference.</w:t>
      </w:r>
    </w:p>
    <w:p w14:paraId="4D7C776C" w14:textId="77777777" w:rsidR="0040009E" w:rsidRDefault="0040009E" w:rsidP="00027CB5">
      <w:pPr>
        <w:widowControl/>
        <w:overflowPunct w:val="0"/>
        <w:autoSpaceDE w:val="0"/>
        <w:autoSpaceDN w:val="0"/>
        <w:adjustRightInd w:val="0"/>
        <w:spacing w:line="360" w:lineRule="auto"/>
        <w:ind w:firstLine="1440"/>
        <w:textAlignment w:val="baseline"/>
        <w:rPr>
          <w:sz w:val="26"/>
          <w:szCs w:val="26"/>
        </w:rPr>
      </w:pPr>
    </w:p>
    <w:p w14:paraId="1F78C0BE" w14:textId="150EBD92" w:rsidR="0042160A" w:rsidRDefault="00D83B4C" w:rsidP="00027CB5">
      <w:pPr>
        <w:widowControl/>
        <w:spacing w:line="360" w:lineRule="auto"/>
        <w:ind w:firstLine="1440"/>
        <w:rPr>
          <w:color w:val="000000" w:themeColor="text1"/>
          <w:sz w:val="26"/>
          <w:szCs w:val="26"/>
        </w:rPr>
      </w:pPr>
      <w:r>
        <w:rPr>
          <w:color w:val="000000" w:themeColor="text1"/>
          <w:sz w:val="26"/>
          <w:szCs w:val="26"/>
        </w:rPr>
        <w:t>W</w:t>
      </w:r>
      <w:r w:rsidR="003E5039">
        <w:rPr>
          <w:color w:val="000000" w:themeColor="text1"/>
          <w:sz w:val="26"/>
          <w:szCs w:val="26"/>
        </w:rPr>
        <w:t xml:space="preserve">e recognize that </w:t>
      </w:r>
      <w:r w:rsidR="00CA1440">
        <w:rPr>
          <w:color w:val="000000" w:themeColor="text1"/>
          <w:sz w:val="26"/>
          <w:szCs w:val="26"/>
        </w:rPr>
        <w:t>the Complainant did not request a continuance of th</w:t>
      </w:r>
      <w:r w:rsidR="00A77404">
        <w:rPr>
          <w:color w:val="000000" w:themeColor="text1"/>
          <w:sz w:val="26"/>
          <w:szCs w:val="26"/>
        </w:rPr>
        <w:t>is</w:t>
      </w:r>
      <w:r w:rsidR="00CA1440">
        <w:rPr>
          <w:color w:val="000000" w:themeColor="text1"/>
          <w:sz w:val="26"/>
          <w:szCs w:val="26"/>
        </w:rPr>
        <w:t xml:space="preserve"> matter prior to or </w:t>
      </w:r>
      <w:r w:rsidR="003E5039">
        <w:rPr>
          <w:color w:val="000000" w:themeColor="text1"/>
          <w:sz w:val="26"/>
          <w:szCs w:val="26"/>
        </w:rPr>
        <w:t>during</w:t>
      </w:r>
      <w:r w:rsidR="00CA1440">
        <w:rPr>
          <w:color w:val="000000" w:themeColor="text1"/>
          <w:sz w:val="26"/>
          <w:szCs w:val="26"/>
        </w:rPr>
        <w:t xml:space="preserve"> the hearing.  </w:t>
      </w:r>
      <w:r w:rsidR="003E5039" w:rsidRPr="003E5039">
        <w:rPr>
          <w:i/>
          <w:color w:val="000000" w:themeColor="text1"/>
          <w:sz w:val="26"/>
          <w:szCs w:val="26"/>
        </w:rPr>
        <w:t>See</w:t>
      </w:r>
      <w:r w:rsidR="00D81BE7">
        <w:rPr>
          <w:color w:val="000000" w:themeColor="text1"/>
          <w:sz w:val="26"/>
          <w:szCs w:val="26"/>
        </w:rPr>
        <w:t xml:space="preserve"> FOF No. 13</w:t>
      </w:r>
      <w:r w:rsidR="003E5039">
        <w:rPr>
          <w:color w:val="000000" w:themeColor="text1"/>
          <w:sz w:val="26"/>
          <w:szCs w:val="26"/>
        </w:rPr>
        <w:t>.</w:t>
      </w:r>
      <w:r>
        <w:rPr>
          <w:color w:val="000000" w:themeColor="text1"/>
          <w:sz w:val="26"/>
          <w:szCs w:val="26"/>
        </w:rPr>
        <w:t xml:space="preserve">  W</w:t>
      </w:r>
      <w:r w:rsidR="00F96907">
        <w:rPr>
          <w:color w:val="000000" w:themeColor="text1"/>
          <w:sz w:val="26"/>
          <w:szCs w:val="26"/>
        </w:rPr>
        <w:t xml:space="preserve">e </w:t>
      </w:r>
      <w:r>
        <w:rPr>
          <w:color w:val="000000" w:themeColor="text1"/>
          <w:sz w:val="26"/>
          <w:szCs w:val="26"/>
        </w:rPr>
        <w:t xml:space="preserve">also </w:t>
      </w:r>
      <w:r w:rsidR="00F96907">
        <w:rPr>
          <w:color w:val="000000" w:themeColor="text1"/>
          <w:sz w:val="26"/>
          <w:szCs w:val="26"/>
        </w:rPr>
        <w:t xml:space="preserve">recognize that </w:t>
      </w:r>
      <w:r w:rsidR="009C0A32">
        <w:rPr>
          <w:color w:val="000000" w:themeColor="text1"/>
          <w:sz w:val="26"/>
          <w:szCs w:val="26"/>
        </w:rPr>
        <w:t>a</w:t>
      </w:r>
      <w:r w:rsidR="00FB53CD">
        <w:rPr>
          <w:color w:val="000000" w:themeColor="text1"/>
          <w:sz w:val="26"/>
          <w:szCs w:val="26"/>
        </w:rPr>
        <w:t>fter the ALJ convened th</w:t>
      </w:r>
      <w:r w:rsidR="0042160A">
        <w:rPr>
          <w:color w:val="000000" w:themeColor="text1"/>
          <w:sz w:val="26"/>
          <w:szCs w:val="26"/>
        </w:rPr>
        <w:t>e schedule</w:t>
      </w:r>
      <w:r w:rsidR="00205577">
        <w:rPr>
          <w:color w:val="000000" w:themeColor="text1"/>
          <w:sz w:val="26"/>
          <w:szCs w:val="26"/>
        </w:rPr>
        <w:t>d</w:t>
      </w:r>
      <w:r w:rsidR="0042160A">
        <w:rPr>
          <w:color w:val="000000" w:themeColor="text1"/>
          <w:sz w:val="26"/>
          <w:szCs w:val="26"/>
        </w:rPr>
        <w:t xml:space="preserve"> </w:t>
      </w:r>
      <w:r w:rsidR="000533D7">
        <w:rPr>
          <w:color w:val="000000" w:themeColor="text1"/>
          <w:sz w:val="26"/>
          <w:szCs w:val="26"/>
        </w:rPr>
        <w:t xml:space="preserve">in-person </w:t>
      </w:r>
      <w:r w:rsidR="0042160A">
        <w:rPr>
          <w:color w:val="000000" w:themeColor="text1"/>
          <w:sz w:val="26"/>
          <w:szCs w:val="26"/>
        </w:rPr>
        <w:t xml:space="preserve">hearing, </w:t>
      </w:r>
      <w:r w:rsidR="00482331">
        <w:rPr>
          <w:color w:val="000000" w:themeColor="text1"/>
          <w:sz w:val="26"/>
          <w:szCs w:val="26"/>
        </w:rPr>
        <w:t xml:space="preserve">the </w:t>
      </w:r>
      <w:r w:rsidR="00CA1440">
        <w:rPr>
          <w:color w:val="000000" w:themeColor="text1"/>
          <w:sz w:val="26"/>
          <w:szCs w:val="26"/>
        </w:rPr>
        <w:t xml:space="preserve">Complainant </w:t>
      </w:r>
      <w:r w:rsidR="0042160A">
        <w:rPr>
          <w:color w:val="000000" w:themeColor="text1"/>
          <w:sz w:val="26"/>
          <w:szCs w:val="26"/>
        </w:rPr>
        <w:t xml:space="preserve">did not </w:t>
      </w:r>
      <w:r w:rsidR="00205577">
        <w:rPr>
          <w:color w:val="000000" w:themeColor="text1"/>
          <w:sz w:val="26"/>
          <w:szCs w:val="26"/>
        </w:rPr>
        <w:t>appear at the</w:t>
      </w:r>
      <w:r w:rsidR="00BF466E">
        <w:rPr>
          <w:color w:val="000000" w:themeColor="text1"/>
          <w:sz w:val="26"/>
          <w:szCs w:val="26"/>
        </w:rPr>
        <w:t xml:space="preserve"> hearing</w:t>
      </w:r>
      <w:r w:rsidR="00FB53CD">
        <w:rPr>
          <w:color w:val="000000" w:themeColor="text1"/>
          <w:sz w:val="26"/>
          <w:szCs w:val="26"/>
        </w:rPr>
        <w:t>.</w:t>
      </w:r>
      <w:r w:rsidR="00F4320E">
        <w:rPr>
          <w:color w:val="000000" w:themeColor="text1"/>
          <w:sz w:val="26"/>
          <w:szCs w:val="26"/>
        </w:rPr>
        <w:t xml:space="preserve"> </w:t>
      </w:r>
      <w:r w:rsidR="00FB53CD">
        <w:rPr>
          <w:color w:val="000000" w:themeColor="text1"/>
          <w:sz w:val="26"/>
          <w:szCs w:val="26"/>
        </w:rPr>
        <w:t xml:space="preserve"> </w:t>
      </w:r>
      <w:r w:rsidR="005926C7">
        <w:rPr>
          <w:color w:val="000000" w:themeColor="text1"/>
          <w:sz w:val="26"/>
          <w:szCs w:val="26"/>
        </w:rPr>
        <w:t>From an administrative due process standpoint, t</w:t>
      </w:r>
      <w:r w:rsidR="0042160A">
        <w:rPr>
          <w:color w:val="000000" w:themeColor="text1"/>
          <w:sz w:val="26"/>
          <w:szCs w:val="26"/>
        </w:rPr>
        <w:t xml:space="preserve">he question is whether the Complainant’s failure to appear shall be deemed the Complainant’s waiver of the opportunity to participate in a hearing </w:t>
      </w:r>
      <w:r w:rsidR="00430883">
        <w:rPr>
          <w:color w:val="000000" w:themeColor="text1"/>
          <w:sz w:val="26"/>
          <w:szCs w:val="26"/>
        </w:rPr>
        <w:t>in this</w:t>
      </w:r>
      <w:r w:rsidR="0042160A">
        <w:rPr>
          <w:color w:val="000000" w:themeColor="text1"/>
          <w:sz w:val="26"/>
          <w:szCs w:val="26"/>
        </w:rPr>
        <w:t xml:space="preserve"> Complaint</w:t>
      </w:r>
      <w:r w:rsidR="00430883">
        <w:rPr>
          <w:color w:val="000000" w:themeColor="text1"/>
          <w:sz w:val="26"/>
          <w:szCs w:val="26"/>
        </w:rPr>
        <w:t xml:space="preserve"> proceeding</w:t>
      </w:r>
      <w:r w:rsidR="0042160A">
        <w:rPr>
          <w:color w:val="000000" w:themeColor="text1"/>
          <w:sz w:val="26"/>
          <w:szCs w:val="26"/>
        </w:rPr>
        <w:t>, pursuant to 66 Pa. C.S. § 332(f) and 52 Pa. Code § 5.245(a)-(b).</w:t>
      </w:r>
    </w:p>
    <w:p w14:paraId="7686F424" w14:textId="77777777" w:rsidR="00B859E6" w:rsidRDefault="00B859E6" w:rsidP="00027CB5">
      <w:pPr>
        <w:widowControl/>
        <w:spacing w:line="360" w:lineRule="auto"/>
        <w:ind w:firstLine="1440"/>
        <w:rPr>
          <w:color w:val="000000" w:themeColor="text1"/>
          <w:sz w:val="26"/>
          <w:szCs w:val="26"/>
        </w:rPr>
      </w:pPr>
    </w:p>
    <w:p w14:paraId="3250EEFB" w14:textId="76F72D78" w:rsidR="002F64C8" w:rsidRDefault="002F64C8" w:rsidP="00027CB5">
      <w:pPr>
        <w:widowControl/>
        <w:spacing w:line="360" w:lineRule="auto"/>
        <w:ind w:firstLine="1440"/>
        <w:rPr>
          <w:color w:val="000000" w:themeColor="text1"/>
          <w:sz w:val="26"/>
          <w:szCs w:val="26"/>
        </w:rPr>
      </w:pPr>
      <w:r>
        <w:rPr>
          <w:color w:val="000000" w:themeColor="text1"/>
          <w:sz w:val="26"/>
          <w:szCs w:val="26"/>
        </w:rPr>
        <w:t>To begin our analysis, b</w:t>
      </w:r>
      <w:r>
        <w:rPr>
          <w:sz w:val="26"/>
          <w:szCs w:val="26"/>
        </w:rPr>
        <w:t xml:space="preserve">ecause both the </w:t>
      </w:r>
      <w:r w:rsidR="00D83B4C">
        <w:rPr>
          <w:sz w:val="26"/>
          <w:szCs w:val="26"/>
        </w:rPr>
        <w:t>Rescheduled</w:t>
      </w:r>
      <w:r w:rsidR="004A7365">
        <w:rPr>
          <w:sz w:val="26"/>
          <w:szCs w:val="26"/>
        </w:rPr>
        <w:t xml:space="preserve"> </w:t>
      </w:r>
      <w:r>
        <w:rPr>
          <w:sz w:val="26"/>
          <w:szCs w:val="26"/>
        </w:rPr>
        <w:t xml:space="preserve">Hearing Notice and the Prehearing Order had been sent to the Complainant’s mailing address listed on the Complaint and had not been returned by the post office as undeliverable, we are to presume that the </w:t>
      </w:r>
      <w:r w:rsidR="00D83B4C">
        <w:rPr>
          <w:sz w:val="26"/>
          <w:szCs w:val="26"/>
        </w:rPr>
        <w:t>Rescheduled</w:t>
      </w:r>
      <w:r w:rsidR="004A7365">
        <w:rPr>
          <w:sz w:val="26"/>
          <w:szCs w:val="26"/>
        </w:rPr>
        <w:t xml:space="preserve"> </w:t>
      </w:r>
      <w:r>
        <w:rPr>
          <w:sz w:val="26"/>
          <w:szCs w:val="26"/>
        </w:rPr>
        <w:t>Hearing N</w:t>
      </w:r>
      <w:r w:rsidRPr="00FC3806">
        <w:rPr>
          <w:sz w:val="26"/>
          <w:szCs w:val="26"/>
        </w:rPr>
        <w:t>otice</w:t>
      </w:r>
      <w:r>
        <w:rPr>
          <w:sz w:val="26"/>
          <w:szCs w:val="26"/>
        </w:rPr>
        <w:t xml:space="preserve"> and the Prehearing Order were</w:t>
      </w:r>
      <w:r w:rsidRPr="00FC3806">
        <w:rPr>
          <w:sz w:val="26"/>
          <w:szCs w:val="26"/>
        </w:rPr>
        <w:t xml:space="preserve"> received</w:t>
      </w:r>
      <w:r>
        <w:rPr>
          <w:sz w:val="26"/>
          <w:szCs w:val="26"/>
        </w:rPr>
        <w:t xml:space="preserve"> by the Complainant.  No evidence was submitted in the</w:t>
      </w:r>
      <w:r w:rsidR="00745D1A">
        <w:rPr>
          <w:sz w:val="26"/>
          <w:szCs w:val="26"/>
        </w:rPr>
        <w:t xml:space="preserve"> record or the</w:t>
      </w:r>
      <w:r>
        <w:rPr>
          <w:sz w:val="26"/>
          <w:szCs w:val="26"/>
        </w:rPr>
        <w:t xml:space="preserve"> Complainant’s Exceptions to overcome this presumption.  Therefore, we agree with the ALJ that the Complainant received sufficient notice of the hearing.</w:t>
      </w:r>
    </w:p>
    <w:p w14:paraId="65ECEE38" w14:textId="77777777" w:rsidR="0042160A" w:rsidRDefault="0042160A" w:rsidP="00027CB5">
      <w:pPr>
        <w:widowControl/>
        <w:spacing w:line="360" w:lineRule="auto"/>
        <w:ind w:firstLine="1440"/>
        <w:rPr>
          <w:color w:val="000000" w:themeColor="text1"/>
          <w:sz w:val="26"/>
          <w:szCs w:val="26"/>
        </w:rPr>
      </w:pPr>
    </w:p>
    <w:p w14:paraId="4D7BCEC8" w14:textId="14BB6C41" w:rsidR="00E11FBD" w:rsidRPr="00B859E6" w:rsidRDefault="00205577" w:rsidP="00027CB5">
      <w:pPr>
        <w:widowControl/>
        <w:autoSpaceDE w:val="0"/>
        <w:autoSpaceDN w:val="0"/>
        <w:adjustRightInd w:val="0"/>
        <w:spacing w:line="360" w:lineRule="auto"/>
        <w:ind w:firstLine="1440"/>
        <w:rPr>
          <w:rFonts w:eastAsiaTheme="minorHAnsi"/>
          <w:color w:val="000000"/>
          <w:sz w:val="26"/>
          <w:szCs w:val="26"/>
        </w:rPr>
      </w:pPr>
      <w:r>
        <w:rPr>
          <w:color w:val="000000" w:themeColor="text1"/>
          <w:sz w:val="26"/>
          <w:szCs w:val="26"/>
        </w:rPr>
        <w:t xml:space="preserve">Next, the Complainant </w:t>
      </w:r>
      <w:r>
        <w:rPr>
          <w:sz w:val="26"/>
          <w:szCs w:val="26"/>
        </w:rPr>
        <w:t>indicates</w:t>
      </w:r>
      <w:r w:rsidR="00D81BE7">
        <w:rPr>
          <w:sz w:val="26"/>
          <w:szCs w:val="26"/>
        </w:rPr>
        <w:t xml:space="preserve"> in her</w:t>
      </w:r>
      <w:r>
        <w:rPr>
          <w:sz w:val="26"/>
          <w:szCs w:val="26"/>
        </w:rPr>
        <w:t xml:space="preserve"> Exceptions that </w:t>
      </w:r>
      <w:r w:rsidR="00D81BE7">
        <w:rPr>
          <w:sz w:val="26"/>
          <w:szCs w:val="26"/>
        </w:rPr>
        <w:t xml:space="preserve">she was waiting in the Commission’s seated area at or around 10:02 a.m. </w:t>
      </w:r>
      <w:r w:rsidR="00F96907">
        <w:rPr>
          <w:sz w:val="26"/>
          <w:szCs w:val="26"/>
        </w:rPr>
        <w:t xml:space="preserve">and that she attempted to contact the OALJ </w:t>
      </w:r>
      <w:r w:rsidR="00E11FBD">
        <w:rPr>
          <w:sz w:val="26"/>
          <w:szCs w:val="26"/>
        </w:rPr>
        <w:t xml:space="preserve">by phone per the desk clerk’s instructions in order to be retrieved </w:t>
      </w:r>
      <w:r w:rsidR="004A7365">
        <w:rPr>
          <w:sz w:val="26"/>
          <w:szCs w:val="26"/>
        </w:rPr>
        <w:t xml:space="preserve">and admitted into the hearing room. </w:t>
      </w:r>
      <w:r w:rsidR="009A15B2">
        <w:rPr>
          <w:sz w:val="26"/>
          <w:szCs w:val="26"/>
        </w:rPr>
        <w:t xml:space="preserve"> </w:t>
      </w:r>
      <w:r w:rsidR="00E11FBD">
        <w:rPr>
          <w:sz w:val="26"/>
          <w:szCs w:val="26"/>
        </w:rPr>
        <w:t>PECO categorially denies the Complainant’s account</w:t>
      </w:r>
      <w:r w:rsidR="004A7365">
        <w:rPr>
          <w:sz w:val="26"/>
          <w:szCs w:val="26"/>
        </w:rPr>
        <w:t xml:space="preserve"> of events</w:t>
      </w:r>
      <w:r w:rsidR="00E11FBD">
        <w:rPr>
          <w:sz w:val="26"/>
          <w:szCs w:val="26"/>
        </w:rPr>
        <w:t>.</w:t>
      </w:r>
      <w:r w:rsidR="00E11FBD" w:rsidRPr="00E11FBD">
        <w:rPr>
          <w:rFonts w:eastAsiaTheme="minorHAnsi"/>
          <w:color w:val="000000"/>
          <w:sz w:val="26"/>
          <w:szCs w:val="26"/>
        </w:rPr>
        <w:t xml:space="preserve"> </w:t>
      </w:r>
      <w:r w:rsidR="00E11FBD">
        <w:rPr>
          <w:rFonts w:eastAsiaTheme="minorHAnsi"/>
          <w:color w:val="000000"/>
          <w:sz w:val="26"/>
          <w:szCs w:val="26"/>
        </w:rPr>
        <w:t xml:space="preserve"> </w:t>
      </w:r>
      <w:r w:rsidR="00E11FBD" w:rsidRPr="00B859E6">
        <w:rPr>
          <w:rFonts w:eastAsiaTheme="minorHAnsi"/>
          <w:color w:val="000000"/>
          <w:sz w:val="26"/>
          <w:szCs w:val="26"/>
        </w:rPr>
        <w:t>The</w:t>
      </w:r>
      <w:r w:rsidR="004A7365">
        <w:rPr>
          <w:rFonts w:eastAsiaTheme="minorHAnsi"/>
          <w:color w:val="000000"/>
          <w:sz w:val="26"/>
          <w:szCs w:val="26"/>
        </w:rPr>
        <w:t xml:space="preserve"> ALJ stated</w:t>
      </w:r>
      <w:r w:rsidR="00E11FBD">
        <w:rPr>
          <w:rFonts w:eastAsiaTheme="minorHAnsi"/>
          <w:color w:val="000000"/>
          <w:sz w:val="26"/>
          <w:szCs w:val="26"/>
        </w:rPr>
        <w:t xml:space="preserve"> that </w:t>
      </w:r>
      <w:r w:rsidR="0004138C">
        <w:rPr>
          <w:rFonts w:eastAsiaTheme="minorHAnsi"/>
          <w:color w:val="000000"/>
          <w:sz w:val="26"/>
          <w:szCs w:val="26"/>
        </w:rPr>
        <w:t xml:space="preserve">the </w:t>
      </w:r>
      <w:r w:rsidR="00E11FBD" w:rsidRPr="00B859E6">
        <w:rPr>
          <w:rFonts w:eastAsiaTheme="minorHAnsi"/>
          <w:color w:val="000000"/>
          <w:sz w:val="26"/>
          <w:szCs w:val="26"/>
        </w:rPr>
        <w:t xml:space="preserve">Complainant did not contact the presiding officer’s office until after 10:20 a.m. on February 21, 2017. </w:t>
      </w:r>
      <w:r w:rsidR="00E11FBD" w:rsidRPr="00D81BE7">
        <w:rPr>
          <w:rFonts w:eastAsiaTheme="minorHAnsi"/>
          <w:color w:val="000000"/>
          <w:sz w:val="26"/>
          <w:szCs w:val="26"/>
        </w:rPr>
        <w:t xml:space="preserve"> FOF No. 15.  </w:t>
      </w:r>
      <w:r w:rsidR="00E11FBD">
        <w:rPr>
          <w:rFonts w:eastAsiaTheme="minorHAnsi"/>
          <w:color w:val="000000"/>
          <w:sz w:val="26"/>
          <w:szCs w:val="26"/>
        </w:rPr>
        <w:t>The ALJ also stated there</w:t>
      </w:r>
      <w:r w:rsidR="00E11FBD" w:rsidRPr="00B859E6">
        <w:rPr>
          <w:rFonts w:eastAsiaTheme="minorHAnsi"/>
          <w:color w:val="000000"/>
          <w:sz w:val="26"/>
          <w:szCs w:val="26"/>
        </w:rPr>
        <w:t xml:space="preserve"> was no indication that the Complainant arrived on time </w:t>
      </w:r>
      <w:r w:rsidR="00E11FBD" w:rsidRPr="00F31C44">
        <w:rPr>
          <w:rFonts w:eastAsiaTheme="minorHAnsi"/>
          <w:i/>
          <w:color w:val="000000"/>
          <w:sz w:val="26"/>
          <w:szCs w:val="26"/>
        </w:rPr>
        <w:t>or followed the instructions provided in the Prehearing Order prior to the hearing</w:t>
      </w:r>
      <w:r w:rsidR="00E11FBD" w:rsidRPr="00B859E6">
        <w:rPr>
          <w:rFonts w:eastAsiaTheme="minorHAnsi"/>
          <w:color w:val="000000"/>
          <w:sz w:val="26"/>
          <w:szCs w:val="26"/>
        </w:rPr>
        <w:t xml:space="preserve">. </w:t>
      </w:r>
      <w:r w:rsidR="00E11FBD" w:rsidRPr="00D81BE7">
        <w:rPr>
          <w:rFonts w:eastAsiaTheme="minorHAnsi"/>
          <w:color w:val="000000"/>
          <w:sz w:val="26"/>
          <w:szCs w:val="26"/>
        </w:rPr>
        <w:t xml:space="preserve"> FOF No. 16</w:t>
      </w:r>
      <w:r w:rsidR="00F31C44">
        <w:rPr>
          <w:rFonts w:eastAsiaTheme="minorHAnsi"/>
          <w:color w:val="000000"/>
          <w:sz w:val="26"/>
          <w:szCs w:val="26"/>
        </w:rPr>
        <w:t xml:space="preserve"> (emphasis added)</w:t>
      </w:r>
      <w:r w:rsidR="00E11FBD" w:rsidRPr="00D81BE7">
        <w:rPr>
          <w:rFonts w:eastAsiaTheme="minorHAnsi"/>
          <w:color w:val="000000"/>
          <w:sz w:val="26"/>
          <w:szCs w:val="26"/>
        </w:rPr>
        <w:t>.</w:t>
      </w:r>
    </w:p>
    <w:p w14:paraId="21B8B2D6" w14:textId="77777777" w:rsidR="00D81BE7" w:rsidRDefault="00D81BE7" w:rsidP="00027CB5">
      <w:pPr>
        <w:widowControl/>
        <w:spacing w:line="360" w:lineRule="auto"/>
        <w:ind w:firstLine="1440"/>
        <w:rPr>
          <w:sz w:val="26"/>
          <w:szCs w:val="26"/>
        </w:rPr>
      </w:pPr>
    </w:p>
    <w:p w14:paraId="7D295EC5" w14:textId="7246E1DE" w:rsidR="008412B0" w:rsidRDefault="00E11FBD" w:rsidP="00027CB5">
      <w:pPr>
        <w:widowControl/>
        <w:spacing w:line="360" w:lineRule="auto"/>
        <w:ind w:firstLine="1440"/>
        <w:rPr>
          <w:color w:val="000000" w:themeColor="text1"/>
          <w:sz w:val="26"/>
          <w:szCs w:val="26"/>
        </w:rPr>
      </w:pPr>
      <w:r>
        <w:rPr>
          <w:sz w:val="26"/>
          <w:szCs w:val="26"/>
        </w:rPr>
        <w:t xml:space="preserve">In deciding this matter, we appreciate the detail provided by the ALJ in the Initial Decision and in PECO’s Replies to Exceptions as to the steps taken by each to find the Complainant and bring her to the hearing room.  However, </w:t>
      </w:r>
      <w:r w:rsidR="007E1B73">
        <w:rPr>
          <w:sz w:val="26"/>
          <w:szCs w:val="26"/>
        </w:rPr>
        <w:t xml:space="preserve">we </w:t>
      </w:r>
      <w:r w:rsidR="008412B0">
        <w:rPr>
          <w:color w:val="000000" w:themeColor="text1"/>
          <w:sz w:val="26"/>
          <w:szCs w:val="26"/>
        </w:rPr>
        <w:t>will exercise our discretion and accept, as true, the statements set forth in the Complainant’s Exceptions.</w:t>
      </w:r>
    </w:p>
    <w:p w14:paraId="331DAB32" w14:textId="77777777" w:rsidR="008412B0" w:rsidRDefault="008412B0" w:rsidP="00027CB5">
      <w:pPr>
        <w:widowControl/>
        <w:spacing w:line="360" w:lineRule="auto"/>
        <w:ind w:firstLine="1440"/>
        <w:rPr>
          <w:color w:val="000000" w:themeColor="text1"/>
          <w:sz w:val="26"/>
          <w:szCs w:val="26"/>
        </w:rPr>
      </w:pPr>
    </w:p>
    <w:p w14:paraId="2708684A" w14:textId="440BEEA2" w:rsidR="005926C7" w:rsidRDefault="008412B0" w:rsidP="00027CB5">
      <w:pPr>
        <w:widowControl/>
        <w:spacing w:line="360" w:lineRule="auto"/>
        <w:ind w:firstLine="1440"/>
        <w:rPr>
          <w:sz w:val="26"/>
          <w:szCs w:val="26"/>
        </w:rPr>
      </w:pPr>
      <w:r>
        <w:rPr>
          <w:sz w:val="26"/>
          <w:szCs w:val="26"/>
        </w:rPr>
        <w:t>U</w:t>
      </w:r>
      <w:r w:rsidR="005926C7">
        <w:rPr>
          <w:sz w:val="26"/>
          <w:szCs w:val="26"/>
        </w:rPr>
        <w:t>pon close review</w:t>
      </w:r>
      <w:r w:rsidR="006262F2">
        <w:rPr>
          <w:sz w:val="26"/>
          <w:szCs w:val="26"/>
        </w:rPr>
        <w:t xml:space="preserve"> of </w:t>
      </w:r>
      <w:r w:rsidR="006A462D">
        <w:rPr>
          <w:sz w:val="26"/>
          <w:szCs w:val="26"/>
        </w:rPr>
        <w:t>the Prehearing Order issued in this case, we note the following instructions appear at the bottom of the first paragraph:</w:t>
      </w:r>
    </w:p>
    <w:p w14:paraId="0895A445" w14:textId="77777777" w:rsidR="005926C7" w:rsidRDefault="005926C7" w:rsidP="00027CB5">
      <w:pPr>
        <w:widowControl/>
        <w:spacing w:line="360" w:lineRule="auto"/>
        <w:ind w:firstLine="1440"/>
        <w:rPr>
          <w:sz w:val="26"/>
          <w:szCs w:val="26"/>
        </w:rPr>
      </w:pPr>
    </w:p>
    <w:p w14:paraId="6FCBA62F" w14:textId="3E413634" w:rsidR="005926C7" w:rsidRDefault="006A462D" w:rsidP="00027CB5">
      <w:pPr>
        <w:widowControl/>
        <w:ind w:left="1440" w:right="1440"/>
        <w:rPr>
          <w:sz w:val="26"/>
          <w:szCs w:val="26"/>
        </w:rPr>
      </w:pPr>
      <w:r w:rsidRPr="006A462D">
        <w:rPr>
          <w:sz w:val="26"/>
          <w:szCs w:val="26"/>
        </w:rPr>
        <w:t>When you arrive on the 4</w:t>
      </w:r>
      <w:r w:rsidRPr="006A462D">
        <w:rPr>
          <w:sz w:val="26"/>
          <w:szCs w:val="26"/>
          <w:vertAlign w:val="superscript"/>
        </w:rPr>
        <w:t>th</w:t>
      </w:r>
      <w:r w:rsidRPr="006A462D">
        <w:rPr>
          <w:sz w:val="26"/>
          <w:szCs w:val="26"/>
        </w:rPr>
        <w:t xml:space="preserve"> Floor, please use the house telephone located at the front desk and call 215-560-2105 to be </w:t>
      </w:r>
      <w:r w:rsidR="005926C7">
        <w:rPr>
          <w:sz w:val="26"/>
          <w:szCs w:val="26"/>
        </w:rPr>
        <w:t>admitted into the hearing room.</w:t>
      </w:r>
      <w:r w:rsidR="006262F2">
        <w:rPr>
          <w:rStyle w:val="FootnoteReference"/>
          <w:sz w:val="26"/>
          <w:szCs w:val="26"/>
        </w:rPr>
        <w:footnoteReference w:id="6"/>
      </w:r>
    </w:p>
    <w:p w14:paraId="72B33EF9" w14:textId="77777777" w:rsidR="005926C7" w:rsidRDefault="005926C7" w:rsidP="00027CB5">
      <w:pPr>
        <w:widowControl/>
        <w:spacing w:line="360" w:lineRule="auto"/>
        <w:rPr>
          <w:sz w:val="26"/>
          <w:szCs w:val="26"/>
        </w:rPr>
      </w:pPr>
    </w:p>
    <w:p w14:paraId="39F335DD" w14:textId="4A85DE4E" w:rsidR="00D83B4C" w:rsidRDefault="007E1B73" w:rsidP="00027CB5">
      <w:pPr>
        <w:widowControl/>
        <w:spacing w:line="360" w:lineRule="auto"/>
        <w:ind w:firstLine="1440"/>
        <w:rPr>
          <w:sz w:val="26"/>
          <w:szCs w:val="26"/>
        </w:rPr>
      </w:pPr>
      <w:r>
        <w:rPr>
          <w:sz w:val="26"/>
          <w:szCs w:val="26"/>
        </w:rPr>
        <w:t>However, s</w:t>
      </w:r>
      <w:r w:rsidR="00D83B4C">
        <w:rPr>
          <w:sz w:val="26"/>
          <w:szCs w:val="26"/>
        </w:rPr>
        <w:t>uch</w:t>
      </w:r>
      <w:r w:rsidR="005B46CD">
        <w:rPr>
          <w:sz w:val="26"/>
          <w:szCs w:val="26"/>
        </w:rPr>
        <w:t xml:space="preserve"> specific</w:t>
      </w:r>
      <w:r w:rsidR="004938DF">
        <w:rPr>
          <w:sz w:val="26"/>
          <w:szCs w:val="26"/>
        </w:rPr>
        <w:t xml:space="preserve"> instruction of </w:t>
      </w:r>
      <w:r w:rsidR="004938DF">
        <w:rPr>
          <w:color w:val="000000" w:themeColor="text1"/>
          <w:sz w:val="26"/>
          <w:szCs w:val="26"/>
        </w:rPr>
        <w:t>“</w:t>
      </w:r>
      <w:r w:rsidR="004938DF" w:rsidRPr="006A462D">
        <w:rPr>
          <w:sz w:val="26"/>
          <w:szCs w:val="26"/>
        </w:rPr>
        <w:t>use the house telephone located at the f</w:t>
      </w:r>
      <w:r w:rsidR="004938DF">
        <w:rPr>
          <w:sz w:val="26"/>
          <w:szCs w:val="26"/>
        </w:rPr>
        <w:t xml:space="preserve">ront desk and call 215-560-2105” </w:t>
      </w:r>
      <w:r w:rsidR="00610C8A">
        <w:rPr>
          <w:sz w:val="26"/>
          <w:szCs w:val="26"/>
        </w:rPr>
        <w:t>for being admitted into the hearing room</w:t>
      </w:r>
      <w:r w:rsidR="00F31C44">
        <w:rPr>
          <w:sz w:val="26"/>
          <w:szCs w:val="26"/>
        </w:rPr>
        <w:t xml:space="preserve"> </w:t>
      </w:r>
      <w:r w:rsidR="006A462D">
        <w:rPr>
          <w:sz w:val="26"/>
          <w:szCs w:val="26"/>
        </w:rPr>
        <w:t>does not appear</w:t>
      </w:r>
      <w:r w:rsidR="00F31C44">
        <w:rPr>
          <w:sz w:val="26"/>
          <w:szCs w:val="26"/>
        </w:rPr>
        <w:t xml:space="preserve"> in </w:t>
      </w:r>
      <w:r w:rsidR="00610C8A">
        <w:rPr>
          <w:sz w:val="26"/>
          <w:szCs w:val="26"/>
        </w:rPr>
        <w:t xml:space="preserve">either </w:t>
      </w:r>
      <w:r w:rsidR="00F31C44">
        <w:rPr>
          <w:sz w:val="26"/>
          <w:szCs w:val="26"/>
        </w:rPr>
        <w:t>the</w:t>
      </w:r>
      <w:r w:rsidR="00610C8A">
        <w:rPr>
          <w:sz w:val="26"/>
          <w:szCs w:val="26"/>
        </w:rPr>
        <w:t xml:space="preserve"> Hearing Notice or the </w:t>
      </w:r>
      <w:r w:rsidR="00F31C44">
        <w:rPr>
          <w:sz w:val="26"/>
          <w:szCs w:val="26"/>
        </w:rPr>
        <w:t>Reschedule</w:t>
      </w:r>
      <w:r w:rsidR="006262F2">
        <w:rPr>
          <w:sz w:val="26"/>
          <w:szCs w:val="26"/>
        </w:rPr>
        <w:t>d</w:t>
      </w:r>
      <w:r w:rsidR="00F31C44">
        <w:rPr>
          <w:sz w:val="26"/>
          <w:szCs w:val="26"/>
        </w:rPr>
        <w:t xml:space="preserve"> Hearing Notice</w:t>
      </w:r>
      <w:r w:rsidR="006A462D">
        <w:rPr>
          <w:sz w:val="26"/>
          <w:szCs w:val="26"/>
        </w:rPr>
        <w:t>.</w:t>
      </w:r>
    </w:p>
    <w:p w14:paraId="0A7A1CBC" w14:textId="77777777" w:rsidR="00D83B4C" w:rsidRDefault="00D83B4C" w:rsidP="00027CB5">
      <w:pPr>
        <w:widowControl/>
        <w:spacing w:line="360" w:lineRule="auto"/>
        <w:ind w:firstLine="1440"/>
        <w:rPr>
          <w:sz w:val="26"/>
          <w:szCs w:val="26"/>
        </w:rPr>
      </w:pPr>
    </w:p>
    <w:p w14:paraId="374E53C7" w14:textId="1360CA2B" w:rsidR="006A462D" w:rsidRDefault="00F31C44" w:rsidP="00027CB5">
      <w:pPr>
        <w:widowControl/>
        <w:spacing w:line="360" w:lineRule="auto"/>
        <w:ind w:firstLine="1440"/>
        <w:rPr>
          <w:sz w:val="26"/>
          <w:szCs w:val="26"/>
        </w:rPr>
      </w:pPr>
      <w:r>
        <w:rPr>
          <w:sz w:val="26"/>
          <w:szCs w:val="26"/>
        </w:rPr>
        <w:t xml:space="preserve">Rather, the </w:t>
      </w:r>
      <w:r w:rsidR="004938DF">
        <w:rPr>
          <w:sz w:val="26"/>
          <w:szCs w:val="26"/>
        </w:rPr>
        <w:t>instruction</w:t>
      </w:r>
      <w:r>
        <w:rPr>
          <w:sz w:val="26"/>
          <w:szCs w:val="26"/>
        </w:rPr>
        <w:t xml:space="preserve"> that appears in the </w:t>
      </w:r>
      <w:r w:rsidR="00D83B4C">
        <w:rPr>
          <w:sz w:val="26"/>
          <w:szCs w:val="26"/>
        </w:rPr>
        <w:t>Rescheduled</w:t>
      </w:r>
      <w:r>
        <w:rPr>
          <w:sz w:val="26"/>
          <w:szCs w:val="26"/>
        </w:rPr>
        <w:t xml:space="preserve"> Hearing Notice is as follows</w:t>
      </w:r>
      <w:r w:rsidR="00DD63DA">
        <w:rPr>
          <w:sz w:val="26"/>
          <w:szCs w:val="26"/>
        </w:rPr>
        <w:t xml:space="preserve"> (emphasis in the original)</w:t>
      </w:r>
      <w:r>
        <w:rPr>
          <w:sz w:val="26"/>
          <w:szCs w:val="26"/>
        </w:rPr>
        <w:t>:</w:t>
      </w:r>
    </w:p>
    <w:p w14:paraId="52F0D155" w14:textId="77777777" w:rsidR="006A462D" w:rsidRDefault="006A462D" w:rsidP="00027CB5">
      <w:pPr>
        <w:widowControl/>
        <w:spacing w:line="360" w:lineRule="auto"/>
        <w:ind w:firstLine="1440"/>
        <w:rPr>
          <w:sz w:val="26"/>
          <w:szCs w:val="26"/>
        </w:rPr>
      </w:pPr>
    </w:p>
    <w:p w14:paraId="7B9B9420" w14:textId="77777777" w:rsidR="006A462D" w:rsidRPr="006A462D" w:rsidRDefault="006A462D" w:rsidP="00027CB5">
      <w:pPr>
        <w:keepNext/>
        <w:keepLines/>
        <w:widowControl/>
        <w:ind w:left="1440" w:right="1440"/>
        <w:rPr>
          <w:b/>
          <w:sz w:val="26"/>
          <w:szCs w:val="26"/>
        </w:rPr>
      </w:pPr>
      <w:r w:rsidRPr="006A462D">
        <w:rPr>
          <w:sz w:val="26"/>
          <w:szCs w:val="26"/>
          <w:u w:val="single"/>
        </w:rPr>
        <w:t>Location</w:t>
      </w:r>
      <w:r w:rsidRPr="006A462D">
        <w:rPr>
          <w:sz w:val="26"/>
          <w:szCs w:val="26"/>
        </w:rPr>
        <w:t>:</w:t>
      </w:r>
      <w:r w:rsidRPr="006A462D">
        <w:rPr>
          <w:sz w:val="26"/>
          <w:szCs w:val="26"/>
        </w:rPr>
        <w:tab/>
      </w:r>
      <w:r w:rsidRPr="006A462D">
        <w:rPr>
          <w:b/>
          <w:sz w:val="26"/>
          <w:szCs w:val="26"/>
        </w:rPr>
        <w:t xml:space="preserve">In an available 4th Floor Hearing Room </w:t>
      </w:r>
    </w:p>
    <w:p w14:paraId="1A8E7F32" w14:textId="77777777" w:rsidR="006A462D" w:rsidRPr="006A462D" w:rsidRDefault="006A462D" w:rsidP="00027CB5">
      <w:pPr>
        <w:keepNext/>
        <w:keepLines/>
        <w:widowControl/>
        <w:ind w:left="2880" w:right="1440"/>
        <w:rPr>
          <w:b/>
          <w:sz w:val="26"/>
          <w:szCs w:val="26"/>
        </w:rPr>
      </w:pPr>
      <w:r w:rsidRPr="006A462D">
        <w:rPr>
          <w:b/>
          <w:sz w:val="26"/>
          <w:szCs w:val="26"/>
        </w:rPr>
        <w:t>(Take one of the last four elevators at the far end of the lobby)</w:t>
      </w:r>
    </w:p>
    <w:p w14:paraId="67B26678" w14:textId="77777777" w:rsidR="006A462D" w:rsidRPr="006A462D" w:rsidRDefault="006A462D" w:rsidP="00027CB5">
      <w:pPr>
        <w:keepNext/>
        <w:keepLines/>
        <w:widowControl/>
        <w:ind w:left="2160" w:right="1440" w:firstLine="720"/>
        <w:rPr>
          <w:b/>
          <w:sz w:val="26"/>
          <w:szCs w:val="26"/>
        </w:rPr>
      </w:pPr>
      <w:r w:rsidRPr="006A462D">
        <w:rPr>
          <w:b/>
          <w:sz w:val="26"/>
          <w:szCs w:val="26"/>
        </w:rPr>
        <w:t>801 Market Street (enter on 8th Street)</w:t>
      </w:r>
    </w:p>
    <w:p w14:paraId="42120A78" w14:textId="77777777" w:rsidR="006A462D" w:rsidRPr="006A462D" w:rsidRDefault="006A462D" w:rsidP="00027CB5">
      <w:pPr>
        <w:keepNext/>
        <w:keepLines/>
        <w:widowControl/>
        <w:ind w:left="2160" w:right="1440" w:firstLine="720"/>
        <w:rPr>
          <w:b/>
          <w:sz w:val="26"/>
          <w:szCs w:val="26"/>
        </w:rPr>
      </w:pPr>
      <w:r w:rsidRPr="006A462D">
        <w:rPr>
          <w:b/>
          <w:sz w:val="26"/>
          <w:szCs w:val="26"/>
        </w:rPr>
        <w:t>Philadelphia, PA  19107</w:t>
      </w:r>
    </w:p>
    <w:p w14:paraId="4928879E" w14:textId="77777777" w:rsidR="006A462D" w:rsidRPr="006A462D" w:rsidRDefault="006A462D" w:rsidP="00027CB5">
      <w:pPr>
        <w:widowControl/>
        <w:tabs>
          <w:tab w:val="left" w:pos="-720"/>
        </w:tabs>
        <w:ind w:left="1440" w:right="1440"/>
        <w:rPr>
          <w:sz w:val="26"/>
          <w:szCs w:val="26"/>
        </w:rPr>
      </w:pPr>
    </w:p>
    <w:p w14:paraId="32E79310" w14:textId="77777777" w:rsidR="006A462D" w:rsidRPr="006A462D" w:rsidRDefault="006A462D" w:rsidP="00027CB5">
      <w:pPr>
        <w:widowControl/>
        <w:tabs>
          <w:tab w:val="left" w:pos="-720"/>
        </w:tabs>
        <w:ind w:left="1440" w:right="1440"/>
        <w:rPr>
          <w:sz w:val="26"/>
          <w:szCs w:val="26"/>
        </w:rPr>
      </w:pPr>
      <w:r w:rsidRPr="006A462D">
        <w:rPr>
          <w:sz w:val="26"/>
          <w:szCs w:val="26"/>
          <w:u w:val="single"/>
        </w:rPr>
        <w:t>Presiding</w:t>
      </w:r>
      <w:r w:rsidRPr="006A462D">
        <w:rPr>
          <w:sz w:val="26"/>
          <w:szCs w:val="26"/>
        </w:rPr>
        <w:t>:</w:t>
      </w:r>
      <w:r w:rsidRPr="006A462D">
        <w:rPr>
          <w:b/>
          <w:sz w:val="26"/>
          <w:szCs w:val="26"/>
        </w:rPr>
        <w:tab/>
        <w:t>Administrative Law Judge Marta Guhl</w:t>
      </w:r>
    </w:p>
    <w:p w14:paraId="79019E68" w14:textId="77777777" w:rsidR="006A462D" w:rsidRPr="006A462D" w:rsidRDefault="006A462D" w:rsidP="00027CB5">
      <w:pPr>
        <w:widowControl/>
        <w:ind w:left="2160" w:right="1440" w:firstLine="720"/>
        <w:rPr>
          <w:sz w:val="26"/>
          <w:szCs w:val="26"/>
        </w:rPr>
      </w:pPr>
      <w:r w:rsidRPr="006A462D">
        <w:rPr>
          <w:sz w:val="26"/>
          <w:szCs w:val="26"/>
        </w:rPr>
        <w:t>Suite 4063</w:t>
      </w:r>
    </w:p>
    <w:p w14:paraId="4E26F491" w14:textId="77777777" w:rsidR="006A462D" w:rsidRPr="006A462D" w:rsidRDefault="006A462D" w:rsidP="00027CB5">
      <w:pPr>
        <w:widowControl/>
        <w:ind w:left="2160" w:right="1440" w:firstLine="720"/>
        <w:rPr>
          <w:sz w:val="26"/>
          <w:szCs w:val="26"/>
        </w:rPr>
      </w:pPr>
      <w:r w:rsidRPr="006A462D">
        <w:rPr>
          <w:sz w:val="26"/>
          <w:szCs w:val="26"/>
        </w:rPr>
        <w:t>801 Market Street</w:t>
      </w:r>
    </w:p>
    <w:p w14:paraId="47813106" w14:textId="77777777" w:rsidR="006A462D" w:rsidRPr="006A462D" w:rsidRDefault="006A462D" w:rsidP="00027CB5">
      <w:pPr>
        <w:widowControl/>
        <w:ind w:left="2160" w:right="1440" w:firstLine="720"/>
        <w:rPr>
          <w:sz w:val="26"/>
          <w:szCs w:val="26"/>
        </w:rPr>
      </w:pPr>
      <w:r w:rsidRPr="006A462D">
        <w:rPr>
          <w:sz w:val="26"/>
          <w:szCs w:val="26"/>
        </w:rPr>
        <w:t>Philadelphia, PA  19107</w:t>
      </w:r>
    </w:p>
    <w:p w14:paraId="42427E8F" w14:textId="77777777" w:rsidR="006A462D" w:rsidRPr="006A462D" w:rsidRDefault="00F31C44" w:rsidP="00027CB5">
      <w:pPr>
        <w:widowControl/>
        <w:tabs>
          <w:tab w:val="left" w:pos="-720"/>
        </w:tabs>
        <w:ind w:left="1440" w:right="1440"/>
        <w:rPr>
          <w:sz w:val="26"/>
          <w:szCs w:val="26"/>
        </w:rPr>
      </w:pPr>
      <w:r>
        <w:rPr>
          <w:sz w:val="26"/>
          <w:szCs w:val="26"/>
        </w:rPr>
        <w:tab/>
      </w:r>
      <w:r>
        <w:rPr>
          <w:sz w:val="26"/>
          <w:szCs w:val="26"/>
        </w:rPr>
        <w:tab/>
      </w:r>
      <w:r w:rsidR="006A462D" w:rsidRPr="006A462D">
        <w:rPr>
          <w:sz w:val="26"/>
          <w:szCs w:val="26"/>
        </w:rPr>
        <w:t>Telephone:</w:t>
      </w:r>
      <w:r w:rsidR="006A462D" w:rsidRPr="006A462D">
        <w:rPr>
          <w:sz w:val="26"/>
          <w:szCs w:val="26"/>
        </w:rPr>
        <w:tab/>
        <w:t>215.560.2105</w:t>
      </w:r>
    </w:p>
    <w:p w14:paraId="0BFE0374" w14:textId="77777777" w:rsidR="006A462D" w:rsidRPr="006A462D" w:rsidRDefault="00F31C44" w:rsidP="00027CB5">
      <w:pPr>
        <w:widowControl/>
        <w:tabs>
          <w:tab w:val="left" w:pos="-720"/>
        </w:tabs>
        <w:ind w:left="1440" w:right="1440"/>
        <w:rPr>
          <w:sz w:val="26"/>
          <w:szCs w:val="26"/>
        </w:rPr>
      </w:pPr>
      <w:r>
        <w:rPr>
          <w:sz w:val="26"/>
          <w:szCs w:val="26"/>
        </w:rPr>
        <w:tab/>
      </w:r>
      <w:r>
        <w:rPr>
          <w:sz w:val="26"/>
          <w:szCs w:val="26"/>
        </w:rPr>
        <w:tab/>
      </w:r>
      <w:r w:rsidR="006A462D" w:rsidRPr="006A462D">
        <w:rPr>
          <w:sz w:val="26"/>
          <w:szCs w:val="26"/>
        </w:rPr>
        <w:t>Fax:</w:t>
      </w:r>
      <w:r w:rsidR="006A462D" w:rsidRPr="006A462D">
        <w:rPr>
          <w:sz w:val="26"/>
          <w:szCs w:val="26"/>
        </w:rPr>
        <w:tab/>
      </w:r>
      <w:r w:rsidR="006A462D" w:rsidRPr="006A462D">
        <w:rPr>
          <w:sz w:val="26"/>
          <w:szCs w:val="26"/>
        </w:rPr>
        <w:tab/>
        <w:t>215.560.3133</w:t>
      </w:r>
    </w:p>
    <w:p w14:paraId="2AD721E7" w14:textId="77777777" w:rsidR="006A462D" w:rsidRDefault="006A462D" w:rsidP="00027CB5">
      <w:pPr>
        <w:widowControl/>
        <w:spacing w:line="360" w:lineRule="auto"/>
        <w:ind w:firstLine="1440"/>
        <w:rPr>
          <w:sz w:val="26"/>
          <w:szCs w:val="26"/>
        </w:rPr>
      </w:pPr>
    </w:p>
    <w:p w14:paraId="1A3C6D91" w14:textId="17D1ECD8" w:rsidR="00E11FBD" w:rsidRDefault="00097FA5" w:rsidP="00027CB5">
      <w:pPr>
        <w:widowControl/>
        <w:spacing w:line="360" w:lineRule="auto"/>
        <w:ind w:firstLine="1440"/>
        <w:rPr>
          <w:sz w:val="26"/>
          <w:szCs w:val="26"/>
        </w:rPr>
      </w:pPr>
      <w:r>
        <w:rPr>
          <w:sz w:val="26"/>
          <w:szCs w:val="26"/>
        </w:rPr>
        <w:t>In our view, a</w:t>
      </w:r>
      <w:r w:rsidR="00F31C44">
        <w:rPr>
          <w:sz w:val="26"/>
          <w:szCs w:val="26"/>
        </w:rPr>
        <w:t xml:space="preserve">n argument can be made that because the </w:t>
      </w:r>
      <w:r w:rsidR="00AC2873">
        <w:rPr>
          <w:sz w:val="26"/>
          <w:szCs w:val="26"/>
        </w:rPr>
        <w:t xml:space="preserve">specific </w:t>
      </w:r>
      <w:r w:rsidR="00F31C44">
        <w:rPr>
          <w:sz w:val="26"/>
          <w:szCs w:val="26"/>
        </w:rPr>
        <w:t>instructions for being admitted into the hearing</w:t>
      </w:r>
      <w:r w:rsidR="004A7365">
        <w:rPr>
          <w:sz w:val="26"/>
          <w:szCs w:val="26"/>
        </w:rPr>
        <w:t xml:space="preserve"> </w:t>
      </w:r>
      <w:r w:rsidR="00AC2873">
        <w:rPr>
          <w:sz w:val="26"/>
          <w:szCs w:val="26"/>
        </w:rPr>
        <w:t xml:space="preserve">room </w:t>
      </w:r>
      <w:r w:rsidR="00F31C44">
        <w:rPr>
          <w:sz w:val="26"/>
          <w:szCs w:val="26"/>
        </w:rPr>
        <w:t xml:space="preserve">did not appear in the </w:t>
      </w:r>
      <w:r w:rsidR="00610C8A">
        <w:rPr>
          <w:sz w:val="26"/>
          <w:szCs w:val="26"/>
        </w:rPr>
        <w:t xml:space="preserve">Hearing Notice or the </w:t>
      </w:r>
      <w:r w:rsidR="00D83B4C">
        <w:rPr>
          <w:sz w:val="26"/>
          <w:szCs w:val="26"/>
        </w:rPr>
        <w:t>Rescheduled</w:t>
      </w:r>
      <w:r w:rsidR="00610C8A">
        <w:rPr>
          <w:sz w:val="26"/>
          <w:szCs w:val="26"/>
        </w:rPr>
        <w:t xml:space="preserve"> Hearing Notice</w:t>
      </w:r>
      <w:r w:rsidR="00F31C44">
        <w:rPr>
          <w:sz w:val="26"/>
          <w:szCs w:val="26"/>
        </w:rPr>
        <w:t>, that the Complainant was not afforded a meaningful opportunity to participate in a hearing.</w:t>
      </w:r>
      <w:r w:rsidR="006262F2">
        <w:rPr>
          <w:sz w:val="26"/>
          <w:szCs w:val="26"/>
        </w:rPr>
        <w:t xml:space="preserve">  </w:t>
      </w:r>
      <w:r w:rsidR="006262F2" w:rsidRPr="006262F2">
        <w:rPr>
          <w:i/>
          <w:sz w:val="26"/>
          <w:szCs w:val="26"/>
        </w:rPr>
        <w:t>See</w:t>
      </w:r>
      <w:r w:rsidR="006262F2">
        <w:rPr>
          <w:sz w:val="26"/>
          <w:szCs w:val="26"/>
        </w:rPr>
        <w:t xml:space="preserve"> </w:t>
      </w:r>
      <w:r w:rsidR="006262F2" w:rsidRPr="00A44D54">
        <w:rPr>
          <w:i/>
          <w:sz w:val="26"/>
          <w:szCs w:val="26"/>
        </w:rPr>
        <w:t>Tracey McDonald v. Philadelphia Gas Works</w:t>
      </w:r>
      <w:r w:rsidR="006262F2">
        <w:rPr>
          <w:sz w:val="26"/>
          <w:szCs w:val="26"/>
        </w:rPr>
        <w:t xml:space="preserve">, Docket No. F-2013-2394318 (Order entered July 2, 2015) (Commission modified the ALJ’s decision and dismissed complaint, </w:t>
      </w:r>
      <w:r w:rsidR="006262F2" w:rsidRPr="007E1B73">
        <w:rPr>
          <w:sz w:val="26"/>
          <w:szCs w:val="26"/>
        </w:rPr>
        <w:t>without prejudice,</w:t>
      </w:r>
      <w:r w:rsidR="006262F2">
        <w:rPr>
          <w:sz w:val="26"/>
          <w:szCs w:val="26"/>
        </w:rPr>
        <w:t xml:space="preserve"> because the hearing times in the Hearing Notice and the Prehearing Order differed, implicating the complainant’s due process rights).</w:t>
      </w:r>
      <w:r w:rsidR="00D83B4C">
        <w:rPr>
          <w:rStyle w:val="FootnoteReference"/>
          <w:sz w:val="26"/>
          <w:szCs w:val="26"/>
        </w:rPr>
        <w:footnoteReference w:id="7"/>
      </w:r>
    </w:p>
    <w:p w14:paraId="79B4D0BC" w14:textId="4C3C9B64" w:rsidR="00A3095E" w:rsidRDefault="00A3095E" w:rsidP="00027CB5">
      <w:pPr>
        <w:widowControl/>
        <w:spacing w:line="360" w:lineRule="auto"/>
        <w:rPr>
          <w:sz w:val="26"/>
          <w:szCs w:val="26"/>
        </w:rPr>
      </w:pPr>
    </w:p>
    <w:p w14:paraId="4A0EDE4C" w14:textId="1B76DABC" w:rsidR="008412B0" w:rsidRDefault="008412B0" w:rsidP="00027CB5">
      <w:pPr>
        <w:widowControl/>
        <w:spacing w:line="360" w:lineRule="auto"/>
        <w:ind w:firstLine="1440"/>
        <w:rPr>
          <w:sz w:val="26"/>
          <w:szCs w:val="26"/>
        </w:rPr>
      </w:pPr>
      <w:r>
        <w:rPr>
          <w:sz w:val="26"/>
          <w:szCs w:val="26"/>
        </w:rPr>
        <w:t>Based on the foregoing</w:t>
      </w:r>
      <w:r w:rsidR="00745D1A">
        <w:rPr>
          <w:sz w:val="26"/>
          <w:szCs w:val="26"/>
        </w:rPr>
        <w:t xml:space="preserve"> circumstances</w:t>
      </w:r>
      <w:r>
        <w:rPr>
          <w:sz w:val="26"/>
          <w:szCs w:val="26"/>
        </w:rPr>
        <w:t xml:space="preserve">, this case appears analogous to the attempts made by the complainants in </w:t>
      </w:r>
      <w:r w:rsidRPr="0042160A">
        <w:rPr>
          <w:i/>
          <w:sz w:val="26"/>
          <w:szCs w:val="26"/>
        </w:rPr>
        <w:t>Wiggins</w:t>
      </w:r>
      <w:r>
        <w:rPr>
          <w:sz w:val="26"/>
          <w:szCs w:val="26"/>
        </w:rPr>
        <w:t xml:space="preserve"> and </w:t>
      </w:r>
      <w:r w:rsidRPr="0042160A">
        <w:rPr>
          <w:i/>
          <w:sz w:val="26"/>
          <w:szCs w:val="26"/>
        </w:rPr>
        <w:t>Yomari Then</w:t>
      </w:r>
      <w:r>
        <w:rPr>
          <w:sz w:val="26"/>
          <w:szCs w:val="26"/>
        </w:rPr>
        <w:t xml:space="preserve">, discussed </w:t>
      </w:r>
      <w:r w:rsidRPr="00E11FBD">
        <w:rPr>
          <w:i/>
          <w:sz w:val="26"/>
          <w:szCs w:val="26"/>
        </w:rPr>
        <w:t>supra</w:t>
      </w:r>
      <w:r>
        <w:rPr>
          <w:sz w:val="26"/>
          <w:szCs w:val="26"/>
        </w:rPr>
        <w:t xml:space="preserve">, in which the complainants appeared in the correct building but were mistaken as to the location of the hearing room and therefore failed to show for the hearing.  In both cases, the Commission declined to dismiss the complaints with prejudice because the complainants made good faith attempts to attend the hearing (the Commission remanded the matter in </w:t>
      </w:r>
      <w:r w:rsidRPr="006925A0">
        <w:rPr>
          <w:i/>
          <w:sz w:val="26"/>
          <w:szCs w:val="26"/>
        </w:rPr>
        <w:t>Yomari Then</w:t>
      </w:r>
      <w:r>
        <w:rPr>
          <w:sz w:val="26"/>
          <w:szCs w:val="26"/>
        </w:rPr>
        <w:t xml:space="preserve"> and dismissed the complaint </w:t>
      </w:r>
      <w:r w:rsidRPr="00745D1A">
        <w:rPr>
          <w:sz w:val="26"/>
          <w:szCs w:val="26"/>
        </w:rPr>
        <w:t>without prejudice</w:t>
      </w:r>
      <w:r>
        <w:rPr>
          <w:sz w:val="26"/>
          <w:szCs w:val="26"/>
        </w:rPr>
        <w:t xml:space="preserve"> in </w:t>
      </w:r>
      <w:r w:rsidRPr="006925A0">
        <w:rPr>
          <w:i/>
          <w:sz w:val="26"/>
          <w:szCs w:val="26"/>
        </w:rPr>
        <w:t>Wiggins</w:t>
      </w:r>
      <w:r>
        <w:rPr>
          <w:sz w:val="26"/>
          <w:szCs w:val="26"/>
        </w:rPr>
        <w:t>).  Absent sufficient information to find otherwise, it appears the Complainant in this case made a good faith attempt to attend the rescheduled hearing.</w:t>
      </w:r>
    </w:p>
    <w:p w14:paraId="50EBC857" w14:textId="355E8EB4" w:rsidR="00D83B4C" w:rsidRDefault="00D83B4C" w:rsidP="00027CB5">
      <w:pPr>
        <w:widowControl/>
        <w:spacing w:line="360" w:lineRule="auto"/>
        <w:rPr>
          <w:sz w:val="26"/>
          <w:szCs w:val="26"/>
        </w:rPr>
      </w:pPr>
    </w:p>
    <w:p w14:paraId="632FB5D7" w14:textId="1308695F" w:rsidR="004A7365" w:rsidRDefault="00A3095E" w:rsidP="00027CB5">
      <w:pPr>
        <w:widowControl/>
        <w:spacing w:line="360" w:lineRule="auto"/>
        <w:ind w:firstLine="1440"/>
        <w:rPr>
          <w:sz w:val="26"/>
          <w:szCs w:val="26"/>
        </w:rPr>
      </w:pPr>
      <w:r>
        <w:rPr>
          <w:sz w:val="26"/>
          <w:szCs w:val="26"/>
        </w:rPr>
        <w:t>Moreover</w:t>
      </w:r>
      <w:r w:rsidR="004A7365">
        <w:rPr>
          <w:sz w:val="26"/>
          <w:szCs w:val="26"/>
        </w:rPr>
        <w:t xml:space="preserve">, we wish to address the statements in the Initial Decision and PECO’s Replies regarding this being the second time the Complainant failed to appear for hearing.  </w:t>
      </w:r>
      <w:r w:rsidR="00DD63DA">
        <w:rPr>
          <w:sz w:val="26"/>
          <w:szCs w:val="26"/>
        </w:rPr>
        <w:t xml:space="preserve">We disagree with this characterization.  </w:t>
      </w:r>
      <w:r w:rsidR="0071475D">
        <w:rPr>
          <w:sz w:val="26"/>
          <w:szCs w:val="26"/>
        </w:rPr>
        <w:t>It is clear from our review of the record that the Complainant was granted a continuance of the first hearing</w:t>
      </w:r>
      <w:r w:rsidR="00DD63DA">
        <w:rPr>
          <w:sz w:val="26"/>
          <w:szCs w:val="26"/>
        </w:rPr>
        <w:t xml:space="preserve"> by the ALJ without objection by PECO</w:t>
      </w:r>
      <w:r w:rsidR="0071475D">
        <w:rPr>
          <w:sz w:val="26"/>
          <w:szCs w:val="26"/>
        </w:rPr>
        <w:t>.  We remind all that a</w:t>
      </w:r>
      <w:r w:rsidR="0071475D" w:rsidRPr="00616C44">
        <w:rPr>
          <w:sz w:val="26"/>
          <w:szCs w:val="26"/>
        </w:rPr>
        <w:t xml:space="preserve"> party to a proceeding has the right to request a continuance of hearing, which may be grante</w:t>
      </w:r>
      <w:r w:rsidR="0071475D">
        <w:rPr>
          <w:sz w:val="26"/>
          <w:szCs w:val="26"/>
        </w:rPr>
        <w:t>d by the presiding officer for good cause.</w:t>
      </w:r>
      <w:r w:rsidR="0071475D" w:rsidRPr="00616C44">
        <w:rPr>
          <w:sz w:val="26"/>
          <w:szCs w:val="26"/>
        </w:rPr>
        <w:t xml:space="preserve">  52 Pa. Code § 1.15(b).  </w:t>
      </w:r>
      <w:r w:rsidR="0071475D">
        <w:rPr>
          <w:sz w:val="26"/>
          <w:szCs w:val="26"/>
        </w:rPr>
        <w:t>Based on the record,</w:t>
      </w:r>
      <w:r w:rsidR="00DD63DA">
        <w:rPr>
          <w:sz w:val="26"/>
          <w:szCs w:val="26"/>
        </w:rPr>
        <w:t xml:space="preserve"> we understand that</w:t>
      </w:r>
      <w:r w:rsidR="0071475D">
        <w:rPr>
          <w:sz w:val="26"/>
          <w:szCs w:val="26"/>
        </w:rPr>
        <w:t xml:space="preserve"> the Complainant got a flat tire on her way to the Commission’s building</w:t>
      </w:r>
      <w:r w:rsidR="00DD63DA">
        <w:rPr>
          <w:sz w:val="26"/>
          <w:szCs w:val="26"/>
        </w:rPr>
        <w:t>,</w:t>
      </w:r>
      <w:r w:rsidR="0071475D">
        <w:rPr>
          <w:sz w:val="26"/>
          <w:szCs w:val="26"/>
        </w:rPr>
        <w:t xml:space="preserve"> and </w:t>
      </w:r>
      <w:r w:rsidR="00DD63DA">
        <w:rPr>
          <w:sz w:val="26"/>
          <w:szCs w:val="26"/>
        </w:rPr>
        <w:t xml:space="preserve">after contacting her and learning of the situation, </w:t>
      </w:r>
      <w:r w:rsidR="0071475D">
        <w:rPr>
          <w:sz w:val="26"/>
          <w:szCs w:val="26"/>
        </w:rPr>
        <w:t xml:space="preserve">PECO did not object to a hearing continuance, so the ALJ granted one.  </w:t>
      </w:r>
      <w:r w:rsidR="00DD63DA">
        <w:rPr>
          <w:sz w:val="26"/>
          <w:szCs w:val="26"/>
        </w:rPr>
        <w:t>If PECO wished to object</w:t>
      </w:r>
      <w:r w:rsidR="005B46CD">
        <w:rPr>
          <w:sz w:val="26"/>
          <w:szCs w:val="26"/>
        </w:rPr>
        <w:t xml:space="preserve"> to the</w:t>
      </w:r>
      <w:r w:rsidR="00DD63DA">
        <w:rPr>
          <w:sz w:val="26"/>
          <w:szCs w:val="26"/>
        </w:rPr>
        <w:t xml:space="preserve"> hearing continuance,</w:t>
      </w:r>
      <w:r w:rsidR="00931373">
        <w:rPr>
          <w:sz w:val="26"/>
          <w:szCs w:val="26"/>
        </w:rPr>
        <w:t xml:space="preserve"> or if the ALJ believed that “good cause” was absent for granting a continuance,</w:t>
      </w:r>
      <w:r w:rsidR="00DD63DA">
        <w:rPr>
          <w:sz w:val="26"/>
          <w:szCs w:val="26"/>
        </w:rPr>
        <w:t xml:space="preserve"> the appropriate time to </w:t>
      </w:r>
      <w:r w:rsidR="00931373">
        <w:rPr>
          <w:sz w:val="26"/>
          <w:szCs w:val="26"/>
        </w:rPr>
        <w:t>raise such matters</w:t>
      </w:r>
      <w:r w:rsidR="00DD63DA">
        <w:rPr>
          <w:sz w:val="26"/>
          <w:szCs w:val="26"/>
        </w:rPr>
        <w:t xml:space="preserve"> was at the first scheduled hearing.</w:t>
      </w:r>
      <w:r w:rsidR="00931373">
        <w:rPr>
          <w:sz w:val="26"/>
          <w:szCs w:val="26"/>
        </w:rPr>
        <w:t xml:space="preserve"> </w:t>
      </w:r>
      <w:r w:rsidR="00DD63DA">
        <w:rPr>
          <w:sz w:val="26"/>
          <w:szCs w:val="26"/>
        </w:rPr>
        <w:t xml:space="preserve"> </w:t>
      </w:r>
      <w:r>
        <w:rPr>
          <w:sz w:val="26"/>
          <w:szCs w:val="26"/>
        </w:rPr>
        <w:t>W</w:t>
      </w:r>
      <w:r w:rsidR="0071475D">
        <w:rPr>
          <w:sz w:val="26"/>
          <w:szCs w:val="26"/>
        </w:rPr>
        <w:t xml:space="preserve">e believe the interests of the public and the Company are not prejudiced by the fact that the Complainant obtained a single hearing continuance prior to the </w:t>
      </w:r>
      <w:r w:rsidR="005B46CD">
        <w:rPr>
          <w:sz w:val="26"/>
          <w:szCs w:val="26"/>
        </w:rPr>
        <w:t>rescheduled</w:t>
      </w:r>
      <w:r w:rsidR="0071475D">
        <w:rPr>
          <w:sz w:val="26"/>
          <w:szCs w:val="26"/>
        </w:rPr>
        <w:t xml:space="preserve"> hearing</w:t>
      </w:r>
      <w:r w:rsidR="005B46CD">
        <w:rPr>
          <w:sz w:val="26"/>
          <w:szCs w:val="26"/>
        </w:rPr>
        <w:t xml:space="preserve"> at issue in this Order</w:t>
      </w:r>
      <w:r w:rsidR="0071475D">
        <w:rPr>
          <w:sz w:val="26"/>
          <w:szCs w:val="26"/>
        </w:rPr>
        <w:t>.  66 Pa. C.S. §</w:t>
      </w:r>
      <w:r w:rsidR="00CE421F">
        <w:rPr>
          <w:sz w:val="26"/>
          <w:szCs w:val="26"/>
        </w:rPr>
        <w:t> </w:t>
      </w:r>
      <w:r w:rsidR="0071475D">
        <w:rPr>
          <w:sz w:val="26"/>
          <w:szCs w:val="26"/>
        </w:rPr>
        <w:t>332(f).</w:t>
      </w:r>
    </w:p>
    <w:p w14:paraId="21D2F598" w14:textId="2D592512" w:rsidR="00A3095E" w:rsidRDefault="00A3095E" w:rsidP="00027CB5">
      <w:pPr>
        <w:widowControl/>
        <w:spacing w:line="360" w:lineRule="auto"/>
        <w:ind w:firstLine="1440"/>
        <w:rPr>
          <w:sz w:val="26"/>
          <w:szCs w:val="26"/>
        </w:rPr>
      </w:pPr>
    </w:p>
    <w:p w14:paraId="5E74C6FE" w14:textId="3C62289C" w:rsidR="00A3095E" w:rsidRDefault="00A3095E" w:rsidP="00027CB5">
      <w:pPr>
        <w:widowControl/>
        <w:spacing w:line="360" w:lineRule="auto"/>
        <w:ind w:firstLine="1440"/>
        <w:rPr>
          <w:color w:val="000000" w:themeColor="text1"/>
          <w:sz w:val="26"/>
          <w:szCs w:val="26"/>
        </w:rPr>
      </w:pPr>
      <w:r>
        <w:rPr>
          <w:color w:val="000000" w:themeColor="text1"/>
          <w:sz w:val="26"/>
          <w:szCs w:val="26"/>
        </w:rPr>
        <w:t xml:space="preserve">As we have previously stated, it is in the public interest that all litigants, particularly </w:t>
      </w:r>
      <w:r w:rsidRPr="0071475D">
        <w:rPr>
          <w:i/>
          <w:color w:val="000000" w:themeColor="text1"/>
          <w:sz w:val="26"/>
          <w:szCs w:val="26"/>
        </w:rPr>
        <w:t>pro se</w:t>
      </w:r>
      <w:r>
        <w:rPr>
          <w:color w:val="000000" w:themeColor="text1"/>
          <w:sz w:val="26"/>
          <w:szCs w:val="26"/>
        </w:rPr>
        <w:t xml:space="preserve"> litigants, be afforded a meaningful opportunity to be heard.  </w:t>
      </w:r>
      <w:r w:rsidRPr="0071475D">
        <w:rPr>
          <w:i/>
          <w:color w:val="000000" w:themeColor="text1"/>
          <w:sz w:val="26"/>
          <w:szCs w:val="26"/>
        </w:rPr>
        <w:t>See, e.g</w:t>
      </w:r>
      <w:r w:rsidRPr="0071475D">
        <w:rPr>
          <w:color w:val="000000" w:themeColor="text1"/>
          <w:sz w:val="26"/>
          <w:szCs w:val="26"/>
        </w:rPr>
        <w:t>.,</w:t>
      </w:r>
      <w:r w:rsidRPr="0071475D">
        <w:rPr>
          <w:i/>
          <w:sz w:val="26"/>
          <w:szCs w:val="26"/>
        </w:rPr>
        <w:t xml:space="preserve"> </w:t>
      </w:r>
      <w:r w:rsidRPr="00AC2873">
        <w:rPr>
          <w:i/>
          <w:sz w:val="26"/>
          <w:szCs w:val="26"/>
        </w:rPr>
        <w:t>Miro Kamenik</w:t>
      </w:r>
      <w:r>
        <w:rPr>
          <w:i/>
          <w:sz w:val="26"/>
          <w:szCs w:val="26"/>
        </w:rPr>
        <w:t>, Amir Williams</w:t>
      </w:r>
      <w:r w:rsidRPr="0071475D">
        <w:rPr>
          <w:sz w:val="26"/>
          <w:szCs w:val="26"/>
        </w:rPr>
        <w:t>,</w:t>
      </w:r>
      <w:r>
        <w:rPr>
          <w:i/>
          <w:sz w:val="26"/>
          <w:szCs w:val="26"/>
        </w:rPr>
        <w:t xml:space="preserve"> supra</w:t>
      </w:r>
      <w:r>
        <w:rPr>
          <w:sz w:val="26"/>
          <w:szCs w:val="26"/>
        </w:rPr>
        <w:t>.</w:t>
      </w:r>
      <w:r>
        <w:rPr>
          <w:color w:val="000000" w:themeColor="text1"/>
          <w:sz w:val="26"/>
          <w:szCs w:val="26"/>
        </w:rPr>
        <w:t xml:space="preserve">  Accordingly, based on the foregoing discussion, we </w:t>
      </w:r>
      <w:r>
        <w:rPr>
          <w:sz w:val="26"/>
          <w:szCs w:val="26"/>
        </w:rPr>
        <w:t xml:space="preserve">decline to deem the Complainant’s non-attendance at the </w:t>
      </w:r>
      <w:r w:rsidRPr="00694569">
        <w:rPr>
          <w:sz w:val="26"/>
          <w:szCs w:val="26"/>
        </w:rPr>
        <w:t>February 21, 2017</w:t>
      </w:r>
      <w:r>
        <w:rPr>
          <w:sz w:val="26"/>
          <w:szCs w:val="26"/>
        </w:rPr>
        <w:t xml:space="preserve"> hearing as her waiver of a hearing regarding her Complaint in this docket, pursuant to 66 Pa. C.S. § 332(f) and 52 Pa. Code § 5.245.</w:t>
      </w:r>
    </w:p>
    <w:p w14:paraId="64EB3AB5" w14:textId="1A36B0D3" w:rsidR="00A3095E" w:rsidRDefault="00A3095E" w:rsidP="00027CB5">
      <w:pPr>
        <w:widowControl/>
        <w:spacing w:line="360" w:lineRule="auto"/>
        <w:ind w:firstLine="1440"/>
        <w:rPr>
          <w:sz w:val="26"/>
          <w:szCs w:val="26"/>
        </w:rPr>
      </w:pPr>
    </w:p>
    <w:p w14:paraId="3D0B1EC9" w14:textId="1CBCCAAE" w:rsidR="00B21FDB" w:rsidRDefault="00A3095E" w:rsidP="00027CB5">
      <w:pPr>
        <w:widowControl/>
        <w:spacing w:line="360" w:lineRule="auto"/>
        <w:ind w:firstLine="1440"/>
        <w:rPr>
          <w:sz w:val="26"/>
          <w:szCs w:val="26"/>
        </w:rPr>
      </w:pPr>
      <w:r>
        <w:rPr>
          <w:sz w:val="26"/>
          <w:szCs w:val="26"/>
        </w:rPr>
        <w:t>Accordingly, we will remand this matter to the OALJ for the scheduling of a hearing</w:t>
      </w:r>
      <w:r w:rsidR="006262F2">
        <w:rPr>
          <w:sz w:val="26"/>
          <w:szCs w:val="26"/>
        </w:rPr>
        <w:t xml:space="preserve"> on the merits of the claims set forth in the Complaint.  </w:t>
      </w:r>
      <w:r>
        <w:rPr>
          <w:sz w:val="26"/>
          <w:szCs w:val="26"/>
        </w:rPr>
        <w:t xml:space="preserve">In these circumstances, a remand for hearing is appropriate due to the lack of specific instruction in the Hearing Notices for being admitted into the hearing room.  However, overall, </w:t>
      </w:r>
      <w:r w:rsidR="006262F2">
        <w:rPr>
          <w:sz w:val="26"/>
          <w:szCs w:val="26"/>
        </w:rPr>
        <w:t>our actions herein pr</w:t>
      </w:r>
      <w:r>
        <w:rPr>
          <w:sz w:val="26"/>
          <w:szCs w:val="26"/>
        </w:rPr>
        <w:t>omote judicial efficiency by maintaining the record that has been developed to date and moving forward the Complaint to a potential final resolution for the customer, the utility and the Commission.</w:t>
      </w:r>
    </w:p>
    <w:p w14:paraId="10CCF3C7" w14:textId="77777777" w:rsidR="00A3095E" w:rsidRDefault="00A3095E" w:rsidP="00027CB5">
      <w:pPr>
        <w:widowControl/>
        <w:spacing w:line="360" w:lineRule="auto"/>
        <w:ind w:firstLine="1440"/>
        <w:rPr>
          <w:sz w:val="26"/>
          <w:szCs w:val="26"/>
        </w:rPr>
      </w:pPr>
    </w:p>
    <w:p w14:paraId="5034D3B0" w14:textId="77777777" w:rsidR="004A1A86" w:rsidRPr="004A1A86" w:rsidRDefault="004A1A86" w:rsidP="00027CB5">
      <w:pPr>
        <w:keepNext/>
        <w:keepLines/>
        <w:widowControl/>
        <w:autoSpaceDE w:val="0"/>
        <w:autoSpaceDN w:val="0"/>
        <w:adjustRightInd w:val="0"/>
        <w:jc w:val="center"/>
        <w:rPr>
          <w:b/>
          <w:sz w:val="26"/>
          <w:szCs w:val="26"/>
        </w:rPr>
      </w:pPr>
      <w:r w:rsidRPr="004A1A86">
        <w:rPr>
          <w:b/>
          <w:sz w:val="26"/>
          <w:szCs w:val="26"/>
        </w:rPr>
        <w:t>Conclusion</w:t>
      </w:r>
    </w:p>
    <w:p w14:paraId="15A9E4D3" w14:textId="77777777" w:rsidR="004A1A86" w:rsidRPr="00603C36" w:rsidRDefault="004A1A86" w:rsidP="00027CB5">
      <w:pPr>
        <w:keepNext/>
        <w:keepLines/>
        <w:widowControl/>
        <w:overflowPunct w:val="0"/>
        <w:autoSpaceDE w:val="0"/>
        <w:autoSpaceDN w:val="0"/>
        <w:adjustRightInd w:val="0"/>
        <w:spacing w:line="360" w:lineRule="auto"/>
        <w:textAlignment w:val="baseline"/>
        <w:rPr>
          <w:sz w:val="26"/>
          <w:szCs w:val="26"/>
        </w:rPr>
      </w:pPr>
    </w:p>
    <w:p w14:paraId="31BC3CFB" w14:textId="2C950B88" w:rsidR="00603C36" w:rsidRPr="00DD63DA" w:rsidRDefault="00603C36" w:rsidP="00027CB5">
      <w:pPr>
        <w:widowControl/>
        <w:autoSpaceDE w:val="0"/>
        <w:autoSpaceDN w:val="0"/>
        <w:adjustRightInd w:val="0"/>
        <w:spacing w:line="360" w:lineRule="auto"/>
        <w:ind w:firstLine="1440"/>
        <w:jc w:val="both"/>
        <w:rPr>
          <w:color w:val="000000"/>
          <w:sz w:val="26"/>
          <w:szCs w:val="26"/>
        </w:rPr>
      </w:pPr>
      <w:r w:rsidRPr="00DD63DA">
        <w:rPr>
          <w:color w:val="000000"/>
          <w:sz w:val="26"/>
          <w:szCs w:val="26"/>
        </w:rPr>
        <w:t xml:space="preserve">Upon review and consideration of the record of this proceeding, we shall </w:t>
      </w:r>
      <w:r w:rsidR="00626B80" w:rsidRPr="00DD63DA">
        <w:rPr>
          <w:color w:val="000000"/>
          <w:sz w:val="26"/>
          <w:szCs w:val="26"/>
        </w:rPr>
        <w:t>grant</w:t>
      </w:r>
      <w:r w:rsidRPr="00DD63DA">
        <w:rPr>
          <w:color w:val="000000"/>
          <w:sz w:val="26"/>
          <w:szCs w:val="26"/>
        </w:rPr>
        <w:t xml:space="preserve"> </w:t>
      </w:r>
      <w:r w:rsidR="00626B80" w:rsidRPr="00DD63DA">
        <w:rPr>
          <w:color w:val="000000"/>
          <w:sz w:val="26"/>
          <w:szCs w:val="26"/>
        </w:rPr>
        <w:t xml:space="preserve">the Complainant’s Exceptions, </w:t>
      </w:r>
      <w:r w:rsidR="005F76BA">
        <w:rPr>
          <w:color w:val="000000"/>
          <w:sz w:val="26"/>
          <w:szCs w:val="26"/>
        </w:rPr>
        <w:t>reverse</w:t>
      </w:r>
      <w:r w:rsidRPr="00DD63DA">
        <w:rPr>
          <w:color w:val="000000"/>
          <w:sz w:val="26"/>
          <w:szCs w:val="26"/>
        </w:rPr>
        <w:t xml:space="preserve"> the ALJ’s Initial Decision</w:t>
      </w:r>
      <w:r w:rsidR="00626B80" w:rsidRPr="00DD63DA">
        <w:rPr>
          <w:color w:val="000000"/>
          <w:sz w:val="26"/>
          <w:szCs w:val="26"/>
        </w:rPr>
        <w:t xml:space="preserve"> and remand the Complaint </w:t>
      </w:r>
      <w:r w:rsidR="00DD63DA" w:rsidRPr="00DD63DA">
        <w:rPr>
          <w:color w:val="000000"/>
          <w:sz w:val="26"/>
          <w:szCs w:val="26"/>
        </w:rPr>
        <w:t xml:space="preserve">to the Office of Administrative Law Judge </w:t>
      </w:r>
      <w:r w:rsidR="00626B80" w:rsidRPr="00DD63DA">
        <w:rPr>
          <w:color w:val="000000"/>
          <w:sz w:val="26"/>
          <w:szCs w:val="26"/>
        </w:rPr>
        <w:t xml:space="preserve">for </w:t>
      </w:r>
      <w:r w:rsidR="004A2C4A">
        <w:rPr>
          <w:color w:val="000000"/>
          <w:sz w:val="26"/>
          <w:szCs w:val="26"/>
        </w:rPr>
        <w:t xml:space="preserve">such </w:t>
      </w:r>
      <w:r w:rsidR="00626B80" w:rsidRPr="00DD63DA">
        <w:rPr>
          <w:color w:val="000000"/>
          <w:sz w:val="26"/>
          <w:szCs w:val="26"/>
        </w:rPr>
        <w:t>further proceedings</w:t>
      </w:r>
      <w:r w:rsidR="00CE421F">
        <w:rPr>
          <w:color w:val="000000"/>
          <w:sz w:val="26"/>
          <w:szCs w:val="26"/>
        </w:rPr>
        <w:t xml:space="preserve"> as may be necessary and the issuance of an Initial Decision on Remand</w:t>
      </w:r>
      <w:r w:rsidR="00DD63DA" w:rsidRPr="00DD63DA">
        <w:rPr>
          <w:color w:val="000000"/>
          <w:sz w:val="26"/>
          <w:szCs w:val="26"/>
        </w:rPr>
        <w:t>, consistent with this Opinion and Order</w:t>
      </w:r>
      <w:r w:rsidRPr="00DD63DA">
        <w:rPr>
          <w:color w:val="000000"/>
          <w:sz w:val="26"/>
          <w:szCs w:val="26"/>
        </w:rPr>
        <w:t xml:space="preserve">; </w:t>
      </w:r>
      <w:r w:rsidRPr="00DD63DA">
        <w:rPr>
          <w:b/>
          <w:bCs/>
          <w:color w:val="000000"/>
          <w:sz w:val="26"/>
          <w:szCs w:val="26"/>
        </w:rPr>
        <w:t>THEREFORE</w:t>
      </w:r>
      <w:r w:rsidRPr="00DD63DA">
        <w:rPr>
          <w:color w:val="000000"/>
          <w:sz w:val="26"/>
          <w:szCs w:val="26"/>
        </w:rPr>
        <w:t>,</w:t>
      </w:r>
    </w:p>
    <w:p w14:paraId="1D7C4A38" w14:textId="77777777" w:rsidR="006E1783" w:rsidRPr="005B46CD" w:rsidRDefault="006E1783" w:rsidP="00027CB5">
      <w:pPr>
        <w:widowControl/>
        <w:autoSpaceDE w:val="0"/>
        <w:autoSpaceDN w:val="0"/>
        <w:adjustRightInd w:val="0"/>
        <w:spacing w:line="360" w:lineRule="auto"/>
        <w:ind w:firstLine="1440"/>
        <w:jc w:val="both"/>
        <w:rPr>
          <w:color w:val="000000"/>
          <w:sz w:val="26"/>
          <w:szCs w:val="26"/>
        </w:rPr>
      </w:pPr>
    </w:p>
    <w:p w14:paraId="44380270" w14:textId="77777777" w:rsidR="006E1783" w:rsidRPr="005B46CD" w:rsidRDefault="006E1783" w:rsidP="00027CB5">
      <w:pPr>
        <w:widowControl/>
        <w:ind w:firstLine="1440"/>
        <w:rPr>
          <w:b/>
          <w:sz w:val="26"/>
          <w:szCs w:val="26"/>
        </w:rPr>
      </w:pPr>
      <w:r w:rsidRPr="005B46CD">
        <w:rPr>
          <w:b/>
          <w:sz w:val="26"/>
          <w:szCs w:val="26"/>
        </w:rPr>
        <w:t>IT IS ORDERED:</w:t>
      </w:r>
    </w:p>
    <w:p w14:paraId="33C25017" w14:textId="77777777" w:rsidR="006E1783" w:rsidRPr="005B46CD" w:rsidRDefault="006E1783" w:rsidP="00027CB5">
      <w:pPr>
        <w:widowControl/>
        <w:spacing w:line="360" w:lineRule="auto"/>
        <w:rPr>
          <w:sz w:val="26"/>
          <w:szCs w:val="26"/>
        </w:rPr>
      </w:pPr>
    </w:p>
    <w:p w14:paraId="40874E2F" w14:textId="09026289" w:rsidR="006E1783" w:rsidRPr="005B46CD" w:rsidRDefault="006E1783" w:rsidP="00027CB5">
      <w:pPr>
        <w:widowControl/>
        <w:numPr>
          <w:ilvl w:val="0"/>
          <w:numId w:val="4"/>
        </w:numPr>
        <w:tabs>
          <w:tab w:val="clear" w:pos="2160"/>
          <w:tab w:val="num" w:pos="0"/>
        </w:tabs>
        <w:spacing w:line="360" w:lineRule="auto"/>
        <w:ind w:left="0" w:firstLine="1440"/>
        <w:rPr>
          <w:sz w:val="26"/>
          <w:szCs w:val="26"/>
        </w:rPr>
      </w:pPr>
      <w:r w:rsidRPr="005B46CD">
        <w:rPr>
          <w:sz w:val="26"/>
          <w:szCs w:val="26"/>
        </w:rPr>
        <w:t xml:space="preserve">That the Exceptions of </w:t>
      </w:r>
      <w:r w:rsidR="005B46CD" w:rsidRPr="005B46CD">
        <w:rPr>
          <w:rFonts w:eastAsiaTheme="minorHAnsi"/>
          <w:color w:val="000000"/>
          <w:sz w:val="26"/>
          <w:szCs w:val="26"/>
        </w:rPr>
        <w:t>Eartha Page</w:t>
      </w:r>
      <w:r w:rsidRPr="005B46CD">
        <w:rPr>
          <w:sz w:val="26"/>
        </w:rPr>
        <w:t xml:space="preserve">, filed on </w:t>
      </w:r>
      <w:r w:rsidR="005B46CD">
        <w:rPr>
          <w:sz w:val="26"/>
          <w:szCs w:val="26"/>
        </w:rPr>
        <w:t>July 13</w:t>
      </w:r>
      <w:r w:rsidRPr="005B46CD">
        <w:rPr>
          <w:sz w:val="26"/>
          <w:szCs w:val="26"/>
        </w:rPr>
        <w:t>, 2017</w:t>
      </w:r>
      <w:r w:rsidRPr="005B46CD">
        <w:rPr>
          <w:sz w:val="26"/>
        </w:rPr>
        <w:t xml:space="preserve">, </w:t>
      </w:r>
      <w:r w:rsidR="00CE421F">
        <w:rPr>
          <w:sz w:val="26"/>
        </w:rPr>
        <w:t>at</w:t>
      </w:r>
      <w:r w:rsidRPr="005B46CD">
        <w:rPr>
          <w:sz w:val="26"/>
        </w:rPr>
        <w:t xml:space="preserve"> this docket,</w:t>
      </w:r>
      <w:r w:rsidRPr="005B46CD">
        <w:rPr>
          <w:sz w:val="26"/>
          <w:szCs w:val="26"/>
        </w:rPr>
        <w:t xml:space="preserve"> are </w:t>
      </w:r>
      <w:r w:rsidR="005B46CD">
        <w:rPr>
          <w:sz w:val="26"/>
          <w:szCs w:val="26"/>
        </w:rPr>
        <w:t>granted</w:t>
      </w:r>
      <w:r w:rsidRPr="005B46CD">
        <w:rPr>
          <w:sz w:val="26"/>
          <w:szCs w:val="26"/>
        </w:rPr>
        <w:t>.</w:t>
      </w:r>
    </w:p>
    <w:p w14:paraId="21CF3406" w14:textId="77777777" w:rsidR="006E1783" w:rsidRPr="005B46CD" w:rsidRDefault="006E1783" w:rsidP="00027CB5">
      <w:pPr>
        <w:widowControl/>
        <w:spacing w:line="360" w:lineRule="auto"/>
        <w:ind w:left="1440"/>
        <w:rPr>
          <w:sz w:val="26"/>
          <w:szCs w:val="26"/>
        </w:rPr>
      </w:pPr>
    </w:p>
    <w:p w14:paraId="250B8094" w14:textId="051F8B0B" w:rsidR="006E1783" w:rsidRPr="005B46CD" w:rsidRDefault="006E1783" w:rsidP="00027CB5">
      <w:pPr>
        <w:widowControl/>
        <w:numPr>
          <w:ilvl w:val="0"/>
          <w:numId w:val="4"/>
        </w:numPr>
        <w:tabs>
          <w:tab w:val="clear" w:pos="2160"/>
          <w:tab w:val="num" w:pos="0"/>
        </w:tabs>
        <w:spacing w:line="360" w:lineRule="auto"/>
        <w:ind w:left="0" w:firstLine="1440"/>
        <w:rPr>
          <w:sz w:val="26"/>
          <w:szCs w:val="26"/>
        </w:rPr>
      </w:pPr>
      <w:r w:rsidRPr="005B46CD">
        <w:rPr>
          <w:sz w:val="26"/>
          <w:szCs w:val="26"/>
        </w:rPr>
        <w:t xml:space="preserve">That the Initial Decision of Administrative Law Judge </w:t>
      </w:r>
      <w:r w:rsidR="005B46CD">
        <w:rPr>
          <w:sz w:val="26"/>
          <w:szCs w:val="26"/>
        </w:rPr>
        <w:t>Marta Guhl</w:t>
      </w:r>
      <w:r w:rsidRPr="005B46CD">
        <w:rPr>
          <w:sz w:val="26"/>
          <w:szCs w:val="26"/>
        </w:rPr>
        <w:t>, issued on June 6, 2017,</w:t>
      </w:r>
      <w:r w:rsidRPr="005B46CD">
        <w:rPr>
          <w:sz w:val="26"/>
        </w:rPr>
        <w:t xml:space="preserve"> </w:t>
      </w:r>
      <w:r w:rsidR="00CE421F">
        <w:rPr>
          <w:sz w:val="26"/>
        </w:rPr>
        <w:t>at</w:t>
      </w:r>
      <w:r w:rsidRPr="005B46CD">
        <w:rPr>
          <w:sz w:val="26"/>
        </w:rPr>
        <w:t xml:space="preserve"> this docket, is</w:t>
      </w:r>
      <w:r w:rsidR="005B46CD">
        <w:rPr>
          <w:sz w:val="26"/>
        </w:rPr>
        <w:t xml:space="preserve"> reversed, consistent with this Opinion and Order</w:t>
      </w:r>
      <w:r w:rsidRPr="005B46CD">
        <w:rPr>
          <w:sz w:val="26"/>
          <w:szCs w:val="26"/>
        </w:rPr>
        <w:t>.</w:t>
      </w:r>
    </w:p>
    <w:p w14:paraId="55B19774" w14:textId="5DCC98FF" w:rsidR="005F76BA" w:rsidRPr="005B46CD" w:rsidRDefault="005F76BA" w:rsidP="00027CB5">
      <w:pPr>
        <w:widowControl/>
        <w:rPr>
          <w:sz w:val="26"/>
          <w:szCs w:val="26"/>
        </w:rPr>
      </w:pPr>
    </w:p>
    <w:p w14:paraId="3CB15F84" w14:textId="45014AE8" w:rsidR="006E1783" w:rsidRPr="005B46CD" w:rsidRDefault="006E1783" w:rsidP="00027CB5">
      <w:pPr>
        <w:keepNext/>
        <w:keepLines/>
        <w:widowControl/>
        <w:numPr>
          <w:ilvl w:val="0"/>
          <w:numId w:val="4"/>
        </w:numPr>
        <w:tabs>
          <w:tab w:val="clear" w:pos="2160"/>
          <w:tab w:val="num" w:pos="0"/>
        </w:tabs>
        <w:spacing w:line="360" w:lineRule="auto"/>
        <w:ind w:left="0" w:firstLine="1440"/>
        <w:rPr>
          <w:sz w:val="26"/>
          <w:szCs w:val="26"/>
        </w:rPr>
      </w:pPr>
      <w:r w:rsidRPr="005B46CD">
        <w:rPr>
          <w:sz w:val="26"/>
          <w:szCs w:val="26"/>
        </w:rPr>
        <w:t xml:space="preserve">That the Formal Complaint of </w:t>
      </w:r>
      <w:r w:rsidR="005B46CD">
        <w:rPr>
          <w:rFonts w:eastAsiaTheme="minorHAnsi"/>
          <w:color w:val="000000"/>
          <w:sz w:val="26"/>
          <w:szCs w:val="26"/>
        </w:rPr>
        <w:t>Eartha Page</w:t>
      </w:r>
      <w:r w:rsidRPr="005B46CD">
        <w:rPr>
          <w:sz w:val="26"/>
        </w:rPr>
        <w:t xml:space="preserve">, filed on </w:t>
      </w:r>
      <w:r w:rsidR="005B46CD">
        <w:rPr>
          <w:rFonts w:eastAsiaTheme="minorHAnsi"/>
          <w:color w:val="000000"/>
          <w:sz w:val="26"/>
          <w:szCs w:val="26"/>
        </w:rPr>
        <w:t>October 9</w:t>
      </w:r>
      <w:r w:rsidRPr="005B46CD">
        <w:rPr>
          <w:rFonts w:eastAsiaTheme="minorHAnsi"/>
          <w:color w:val="000000"/>
          <w:sz w:val="26"/>
          <w:szCs w:val="26"/>
        </w:rPr>
        <w:t>, 201</w:t>
      </w:r>
      <w:r w:rsidR="005B46CD">
        <w:rPr>
          <w:rFonts w:eastAsiaTheme="minorHAnsi"/>
          <w:color w:val="000000"/>
          <w:sz w:val="26"/>
          <w:szCs w:val="26"/>
        </w:rPr>
        <w:t>6</w:t>
      </w:r>
      <w:r w:rsidRPr="005B46CD">
        <w:rPr>
          <w:sz w:val="26"/>
        </w:rPr>
        <w:t xml:space="preserve">, </w:t>
      </w:r>
      <w:r w:rsidR="00CE421F">
        <w:rPr>
          <w:sz w:val="26"/>
        </w:rPr>
        <w:t>at</w:t>
      </w:r>
      <w:r w:rsidRPr="005B46CD">
        <w:rPr>
          <w:sz w:val="26"/>
        </w:rPr>
        <w:t xml:space="preserve"> this docket, is </w:t>
      </w:r>
      <w:r w:rsidR="005B46CD">
        <w:rPr>
          <w:sz w:val="26"/>
        </w:rPr>
        <w:t xml:space="preserve">remanded to the Office of Administrative Law Judge for </w:t>
      </w:r>
      <w:r w:rsidR="004A2C4A">
        <w:rPr>
          <w:sz w:val="26"/>
        </w:rPr>
        <w:t xml:space="preserve">such </w:t>
      </w:r>
      <w:r w:rsidR="005B46CD">
        <w:rPr>
          <w:sz w:val="26"/>
        </w:rPr>
        <w:t>further proceedings</w:t>
      </w:r>
      <w:r w:rsidR="004A2C4A">
        <w:rPr>
          <w:sz w:val="26"/>
        </w:rPr>
        <w:t xml:space="preserve"> as may be necessary and the issuance of an Initial Decision on Remand</w:t>
      </w:r>
      <w:r w:rsidR="005B46CD">
        <w:rPr>
          <w:sz w:val="26"/>
        </w:rPr>
        <w:t>, consistent with this Opinion and Order.</w:t>
      </w:r>
      <w:r w:rsidRPr="005B46CD">
        <w:rPr>
          <w:sz w:val="26"/>
        </w:rPr>
        <w:t xml:space="preserve"> </w:t>
      </w:r>
    </w:p>
    <w:p w14:paraId="7BAA27C9" w14:textId="77777777" w:rsidR="006E1783" w:rsidRPr="002262C4" w:rsidRDefault="006E1783" w:rsidP="00027CB5">
      <w:pPr>
        <w:keepNext/>
        <w:keepLines/>
        <w:widowControl/>
        <w:rPr>
          <w:sz w:val="26"/>
          <w:szCs w:val="26"/>
        </w:rPr>
      </w:pPr>
    </w:p>
    <w:p w14:paraId="310ADB0A" w14:textId="2DF5B8DF" w:rsidR="006E1783" w:rsidRPr="002262C4" w:rsidRDefault="00744816" w:rsidP="00027CB5">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57CCD6D3" wp14:editId="378E5253">
            <wp:simplePos x="0" y="0"/>
            <wp:positionH relativeFrom="column">
              <wp:posOffset>3034692</wp:posOffset>
            </wp:positionH>
            <wp:positionV relativeFrom="paragraph">
              <wp:posOffset>191839</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E1783" w:rsidRPr="002262C4">
        <w:rPr>
          <w:b/>
          <w:sz w:val="26"/>
          <w:szCs w:val="26"/>
        </w:rPr>
        <w:t>BY THE COMMISSION,</w:t>
      </w:r>
    </w:p>
    <w:p w14:paraId="0881D36C" w14:textId="18E9FCD8" w:rsidR="006E1783" w:rsidRDefault="006E1783" w:rsidP="00027CB5">
      <w:pPr>
        <w:keepNext/>
        <w:keepLines/>
        <w:widowControl/>
        <w:tabs>
          <w:tab w:val="left" w:pos="-720"/>
        </w:tabs>
        <w:rPr>
          <w:sz w:val="26"/>
          <w:szCs w:val="26"/>
        </w:rPr>
      </w:pPr>
    </w:p>
    <w:p w14:paraId="679199F9" w14:textId="19BE209C" w:rsidR="00744816" w:rsidRDefault="00744816">
      <w:bookmarkStart w:id="0" w:name="_GoBack"/>
      <w:bookmarkEnd w:id="0"/>
    </w:p>
    <w:p w14:paraId="77987FF7" w14:textId="77777777" w:rsidR="005B46CD" w:rsidRPr="002262C4" w:rsidRDefault="005B46CD" w:rsidP="00027CB5">
      <w:pPr>
        <w:keepNext/>
        <w:keepLines/>
        <w:widowControl/>
        <w:tabs>
          <w:tab w:val="left" w:pos="-720"/>
        </w:tabs>
        <w:rPr>
          <w:sz w:val="26"/>
          <w:szCs w:val="26"/>
        </w:rPr>
      </w:pPr>
    </w:p>
    <w:p w14:paraId="30722D9A" w14:textId="77777777" w:rsidR="006E1783" w:rsidRPr="002262C4" w:rsidRDefault="006E1783" w:rsidP="00027CB5">
      <w:pPr>
        <w:keepNext/>
        <w:keepLines/>
        <w:widowControl/>
        <w:tabs>
          <w:tab w:val="left" w:pos="-720"/>
        </w:tabs>
        <w:rPr>
          <w:sz w:val="26"/>
          <w:szCs w:val="26"/>
        </w:rPr>
      </w:pPr>
    </w:p>
    <w:p w14:paraId="274C44FD" w14:textId="77777777" w:rsidR="006E1783" w:rsidRPr="002262C4" w:rsidRDefault="006E1783" w:rsidP="00027CB5">
      <w:pPr>
        <w:keepNext/>
        <w:keepLines/>
        <w:widowControl/>
        <w:tabs>
          <w:tab w:val="left" w:pos="-720"/>
        </w:tabs>
        <w:rPr>
          <w:sz w:val="26"/>
          <w:szCs w:val="26"/>
        </w:rPr>
      </w:pPr>
    </w:p>
    <w:p w14:paraId="33FF61CC" w14:textId="77777777" w:rsidR="006E1783" w:rsidRPr="002262C4" w:rsidRDefault="006E1783" w:rsidP="00027CB5">
      <w:pPr>
        <w:keepNext/>
        <w:keepLines/>
        <w:widowControl/>
        <w:tabs>
          <w:tab w:val="left" w:pos="-720"/>
        </w:tabs>
        <w:ind w:firstLine="5040"/>
        <w:rPr>
          <w:b/>
          <w:sz w:val="26"/>
          <w:szCs w:val="26"/>
        </w:rPr>
      </w:pPr>
      <w:r w:rsidRPr="002262C4">
        <w:rPr>
          <w:sz w:val="26"/>
          <w:szCs w:val="26"/>
        </w:rPr>
        <w:t>Rosemary Chiavetta</w:t>
      </w:r>
    </w:p>
    <w:p w14:paraId="67579850" w14:textId="77777777" w:rsidR="006E1783" w:rsidRPr="002262C4" w:rsidRDefault="006E1783" w:rsidP="00027CB5">
      <w:pPr>
        <w:keepNext/>
        <w:keepLines/>
        <w:widowControl/>
        <w:tabs>
          <w:tab w:val="left" w:pos="-720"/>
        </w:tabs>
        <w:ind w:firstLine="5040"/>
        <w:rPr>
          <w:sz w:val="26"/>
          <w:szCs w:val="26"/>
        </w:rPr>
      </w:pPr>
      <w:r w:rsidRPr="002262C4">
        <w:rPr>
          <w:sz w:val="26"/>
          <w:szCs w:val="26"/>
        </w:rPr>
        <w:t>Secretary</w:t>
      </w:r>
    </w:p>
    <w:p w14:paraId="267B20A9" w14:textId="77777777" w:rsidR="006E1783" w:rsidRPr="002262C4" w:rsidRDefault="006E1783" w:rsidP="00027CB5">
      <w:pPr>
        <w:keepNext/>
        <w:keepLines/>
        <w:widowControl/>
        <w:tabs>
          <w:tab w:val="left" w:pos="-720"/>
        </w:tabs>
        <w:rPr>
          <w:sz w:val="26"/>
          <w:szCs w:val="26"/>
        </w:rPr>
      </w:pPr>
    </w:p>
    <w:p w14:paraId="5CA0C6F0" w14:textId="77777777" w:rsidR="006E1783" w:rsidRPr="002262C4" w:rsidRDefault="006E1783" w:rsidP="00027CB5">
      <w:pPr>
        <w:keepNext/>
        <w:keepLines/>
        <w:widowControl/>
        <w:tabs>
          <w:tab w:val="left" w:pos="-720"/>
        </w:tabs>
        <w:rPr>
          <w:sz w:val="26"/>
          <w:szCs w:val="26"/>
        </w:rPr>
      </w:pPr>
      <w:r w:rsidRPr="002262C4">
        <w:rPr>
          <w:sz w:val="26"/>
          <w:szCs w:val="26"/>
        </w:rPr>
        <w:t>(SEAL)</w:t>
      </w:r>
    </w:p>
    <w:p w14:paraId="1EFCD356" w14:textId="77777777" w:rsidR="006E1783" w:rsidRPr="002262C4" w:rsidRDefault="006E1783" w:rsidP="00027CB5">
      <w:pPr>
        <w:keepNext/>
        <w:keepLines/>
        <w:widowControl/>
        <w:tabs>
          <w:tab w:val="left" w:pos="-720"/>
        </w:tabs>
        <w:rPr>
          <w:sz w:val="26"/>
          <w:szCs w:val="26"/>
        </w:rPr>
      </w:pPr>
    </w:p>
    <w:p w14:paraId="64443E2A" w14:textId="74CE9B3D" w:rsidR="006E1783" w:rsidRPr="002262C4" w:rsidRDefault="006E1783" w:rsidP="00027CB5">
      <w:pPr>
        <w:keepNext/>
        <w:keepLines/>
        <w:widowControl/>
        <w:tabs>
          <w:tab w:val="left" w:pos="-720"/>
        </w:tabs>
        <w:rPr>
          <w:sz w:val="26"/>
          <w:szCs w:val="26"/>
        </w:rPr>
      </w:pPr>
      <w:r w:rsidRPr="002262C4">
        <w:rPr>
          <w:sz w:val="26"/>
          <w:szCs w:val="26"/>
        </w:rPr>
        <w:t xml:space="preserve">ORDER ADOPTED: </w:t>
      </w:r>
      <w:r>
        <w:rPr>
          <w:sz w:val="26"/>
          <w:szCs w:val="26"/>
        </w:rPr>
        <w:t>Ju</w:t>
      </w:r>
      <w:r w:rsidR="008E06F7">
        <w:rPr>
          <w:sz w:val="26"/>
          <w:szCs w:val="26"/>
        </w:rPr>
        <w:t>ly</w:t>
      </w:r>
      <w:r>
        <w:rPr>
          <w:sz w:val="26"/>
          <w:szCs w:val="26"/>
        </w:rPr>
        <w:t xml:space="preserve"> 1</w:t>
      </w:r>
      <w:r w:rsidR="008E06F7">
        <w:rPr>
          <w:sz w:val="26"/>
          <w:szCs w:val="26"/>
        </w:rPr>
        <w:t>2</w:t>
      </w:r>
      <w:r>
        <w:rPr>
          <w:sz w:val="26"/>
          <w:szCs w:val="26"/>
        </w:rPr>
        <w:t>, 2018</w:t>
      </w:r>
    </w:p>
    <w:p w14:paraId="2911CCBE" w14:textId="77777777" w:rsidR="006E1783" w:rsidRPr="002262C4" w:rsidRDefault="006E1783" w:rsidP="00027CB5">
      <w:pPr>
        <w:keepNext/>
        <w:keepLines/>
        <w:widowControl/>
        <w:tabs>
          <w:tab w:val="left" w:pos="-720"/>
        </w:tabs>
        <w:rPr>
          <w:sz w:val="26"/>
          <w:szCs w:val="26"/>
        </w:rPr>
      </w:pPr>
    </w:p>
    <w:p w14:paraId="2AE855B0" w14:textId="49596209" w:rsidR="001F0176" w:rsidRDefault="006E1783" w:rsidP="00027CB5">
      <w:pPr>
        <w:widowControl/>
        <w:tabs>
          <w:tab w:val="left" w:pos="-720"/>
        </w:tabs>
      </w:pPr>
      <w:r w:rsidRPr="002262C4">
        <w:rPr>
          <w:sz w:val="26"/>
          <w:szCs w:val="26"/>
        </w:rPr>
        <w:t>ORDER ENTERED:</w:t>
      </w:r>
      <w:r w:rsidR="00744816">
        <w:rPr>
          <w:sz w:val="26"/>
          <w:szCs w:val="26"/>
        </w:rPr>
        <w:t xml:space="preserve">  July 12, 2018</w:t>
      </w:r>
    </w:p>
    <w:sectPr w:rsidR="001F0176" w:rsidSect="00C0518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6AA92" w14:textId="77777777" w:rsidR="00892371" w:rsidRDefault="00892371" w:rsidP="001F0176">
      <w:r>
        <w:separator/>
      </w:r>
    </w:p>
  </w:endnote>
  <w:endnote w:type="continuationSeparator" w:id="0">
    <w:p w14:paraId="684F3207" w14:textId="77777777" w:rsidR="00892371" w:rsidRDefault="00892371" w:rsidP="001F0176">
      <w:r>
        <w:continuationSeparator/>
      </w:r>
    </w:p>
  </w:endnote>
  <w:endnote w:type="continuationNotice" w:id="1">
    <w:p w14:paraId="3143ADA3" w14:textId="77777777" w:rsidR="00892371" w:rsidRDefault="00892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rPr>
    </w:sdtEndPr>
    <w:sdtContent>
      <w:p w14:paraId="38372D20" w14:textId="7A3786B3" w:rsidR="006A462D" w:rsidRDefault="006A462D">
        <w:pPr>
          <w:pStyle w:val="Footer"/>
          <w:jc w:val="center"/>
        </w:pPr>
        <w:r>
          <w:fldChar w:fldCharType="begin"/>
        </w:r>
        <w:r>
          <w:instrText xml:space="preserve"> PAGE   \* MERGEFORMAT </w:instrText>
        </w:r>
        <w:r>
          <w:fldChar w:fldCharType="separate"/>
        </w:r>
        <w:r w:rsidR="00745D1A">
          <w:rPr>
            <w:noProof/>
          </w:rPr>
          <w:t>18</w:t>
        </w:r>
        <w:r>
          <w:rPr>
            <w:noProof/>
          </w:rPr>
          <w:fldChar w:fldCharType="end"/>
        </w:r>
      </w:p>
    </w:sdtContent>
  </w:sdt>
  <w:p w14:paraId="37CAEF41" w14:textId="77777777" w:rsidR="006A462D" w:rsidRDefault="006A4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66395" w14:textId="77777777" w:rsidR="00892371" w:rsidRDefault="00892371" w:rsidP="001F0176">
      <w:r>
        <w:separator/>
      </w:r>
    </w:p>
  </w:footnote>
  <w:footnote w:type="continuationSeparator" w:id="0">
    <w:p w14:paraId="78B3D5C5" w14:textId="77777777" w:rsidR="00892371" w:rsidRDefault="00892371" w:rsidP="001F0176">
      <w:r>
        <w:continuationSeparator/>
      </w:r>
    </w:p>
  </w:footnote>
  <w:footnote w:type="continuationNotice" w:id="1">
    <w:p w14:paraId="3A55AD5A" w14:textId="77777777" w:rsidR="00892371" w:rsidRDefault="00892371"/>
  </w:footnote>
  <w:footnote w:id="2">
    <w:p w14:paraId="2E2C1169" w14:textId="5E64A96B" w:rsidR="006A462D" w:rsidRPr="008540FF" w:rsidRDefault="006A462D" w:rsidP="008540FF">
      <w:pPr>
        <w:pStyle w:val="FootnoteText"/>
        <w:keepNext/>
        <w:keepLines/>
        <w:widowControl/>
        <w:spacing w:after="120"/>
        <w:ind w:firstLine="720"/>
        <w:rPr>
          <w:sz w:val="26"/>
          <w:szCs w:val="26"/>
        </w:rPr>
      </w:pPr>
      <w:r w:rsidRPr="008540FF">
        <w:rPr>
          <w:rStyle w:val="FootnoteReference"/>
          <w:sz w:val="26"/>
          <w:szCs w:val="26"/>
        </w:rPr>
        <w:footnoteRef/>
      </w:r>
      <w:r w:rsidRPr="008540FF">
        <w:rPr>
          <w:sz w:val="26"/>
          <w:szCs w:val="26"/>
        </w:rPr>
        <w:tab/>
        <w:t>In the Commission’s electronic file, this same document appears with two document received dates of June 26, 2017</w:t>
      </w:r>
      <w:r w:rsidR="00E50333" w:rsidRPr="008540FF">
        <w:rPr>
          <w:sz w:val="26"/>
          <w:szCs w:val="26"/>
        </w:rPr>
        <w:t>,</w:t>
      </w:r>
      <w:r w:rsidRPr="008540FF">
        <w:rPr>
          <w:sz w:val="26"/>
          <w:szCs w:val="26"/>
        </w:rPr>
        <w:t xml:space="preserve"> and July 13, 2017, and the June 26, 2017 stamp is crossed out by a hand-written “X” over the stamp.</w:t>
      </w:r>
    </w:p>
  </w:footnote>
  <w:footnote w:id="3">
    <w:p w14:paraId="07E69CF9" w14:textId="789DF248" w:rsidR="003F2439" w:rsidRPr="008540FF" w:rsidRDefault="003F2439" w:rsidP="008540FF">
      <w:pPr>
        <w:pStyle w:val="FootnoteText"/>
        <w:keepNext/>
        <w:keepLines/>
        <w:widowControl/>
        <w:spacing w:after="120"/>
        <w:ind w:firstLine="720"/>
        <w:rPr>
          <w:sz w:val="26"/>
          <w:szCs w:val="26"/>
        </w:rPr>
      </w:pPr>
      <w:r w:rsidRPr="008540FF">
        <w:rPr>
          <w:rStyle w:val="FootnoteReference"/>
          <w:sz w:val="26"/>
          <w:szCs w:val="26"/>
        </w:rPr>
        <w:footnoteRef/>
      </w:r>
      <w:r w:rsidRPr="008540FF">
        <w:rPr>
          <w:sz w:val="26"/>
          <w:szCs w:val="26"/>
        </w:rPr>
        <w:tab/>
      </w:r>
      <w:r w:rsidRPr="008540FF">
        <w:rPr>
          <w:i/>
          <w:sz w:val="26"/>
          <w:szCs w:val="26"/>
        </w:rPr>
        <w:t>See also, e.g.,</w:t>
      </w:r>
      <w:r w:rsidRPr="008540FF">
        <w:rPr>
          <w:sz w:val="26"/>
          <w:szCs w:val="26"/>
        </w:rPr>
        <w:t xml:space="preserve"> </w:t>
      </w:r>
      <w:r w:rsidRPr="008540FF">
        <w:rPr>
          <w:i/>
          <w:sz w:val="26"/>
          <w:szCs w:val="26"/>
        </w:rPr>
        <w:t>Miro Kamenik v. PECO Energy Company</w:t>
      </w:r>
      <w:r w:rsidRPr="008540FF">
        <w:rPr>
          <w:sz w:val="26"/>
          <w:szCs w:val="26"/>
        </w:rPr>
        <w:t xml:space="preserve">, Docket No. C-2013-2379058 (Order entered July 29, 2015) (complaint dismissed, </w:t>
      </w:r>
      <w:r w:rsidRPr="008540FF">
        <w:rPr>
          <w:i/>
          <w:sz w:val="26"/>
          <w:szCs w:val="26"/>
        </w:rPr>
        <w:t>without prejudice</w:t>
      </w:r>
      <w:r w:rsidRPr="008540FF">
        <w:rPr>
          <w:sz w:val="26"/>
          <w:szCs w:val="26"/>
        </w:rPr>
        <w:t xml:space="preserve">, because presiding officer convened the scheduled hearing despite complainant having requested a continuance in writing to the presiding officer five days prior to hearing date explaining that a family situation prevented him from being able to attend the scheduled hearing); </w:t>
      </w:r>
      <w:r w:rsidRPr="008540FF">
        <w:rPr>
          <w:i/>
          <w:sz w:val="26"/>
          <w:szCs w:val="26"/>
        </w:rPr>
        <w:t>Amir V. Williams v. PECO Energy Co</w:t>
      </w:r>
      <w:r w:rsidRPr="008540FF">
        <w:rPr>
          <w:sz w:val="26"/>
          <w:szCs w:val="26"/>
        </w:rPr>
        <w:t>., Docket No. C-2010-2190024 (Order entered January 14, 2011) (</w:t>
      </w:r>
      <w:r w:rsidRPr="008540FF">
        <w:rPr>
          <w:i/>
          <w:sz w:val="26"/>
          <w:szCs w:val="26"/>
        </w:rPr>
        <w:t>Amir</w:t>
      </w:r>
      <w:r w:rsidRPr="008540FF">
        <w:rPr>
          <w:sz w:val="26"/>
          <w:szCs w:val="26"/>
        </w:rPr>
        <w:t xml:space="preserve"> </w:t>
      </w:r>
      <w:r w:rsidRPr="008540FF">
        <w:rPr>
          <w:i/>
          <w:sz w:val="26"/>
          <w:szCs w:val="26"/>
        </w:rPr>
        <w:t>Williams</w:t>
      </w:r>
      <w:r w:rsidRPr="008540FF">
        <w:rPr>
          <w:sz w:val="26"/>
          <w:szCs w:val="26"/>
        </w:rPr>
        <w:t xml:space="preserve">) (complaint dismissed, </w:t>
      </w:r>
      <w:r w:rsidRPr="008540FF">
        <w:rPr>
          <w:i/>
          <w:sz w:val="26"/>
          <w:szCs w:val="26"/>
        </w:rPr>
        <w:t>without prejudice</w:t>
      </w:r>
      <w:r w:rsidRPr="008540FF">
        <w:rPr>
          <w:sz w:val="26"/>
          <w:szCs w:val="26"/>
        </w:rPr>
        <w:t>, because complainant orally requested a continuance during the hearing due to complainant’s high blood pressure and record support that the complainant was not medically capable of testifying at the time of the scheduled hearing).</w:t>
      </w:r>
    </w:p>
  </w:footnote>
  <w:footnote w:id="4">
    <w:p w14:paraId="3520C118" w14:textId="50901196" w:rsidR="003F2439" w:rsidRPr="008540FF" w:rsidRDefault="003F2439" w:rsidP="008540FF">
      <w:pPr>
        <w:pStyle w:val="FootnoteText"/>
        <w:keepNext/>
        <w:keepLines/>
        <w:widowControl/>
        <w:spacing w:after="120"/>
        <w:ind w:firstLine="720"/>
        <w:rPr>
          <w:sz w:val="26"/>
          <w:szCs w:val="26"/>
        </w:rPr>
      </w:pPr>
      <w:r w:rsidRPr="008540FF">
        <w:rPr>
          <w:rStyle w:val="FootnoteReference"/>
          <w:sz w:val="26"/>
          <w:szCs w:val="26"/>
        </w:rPr>
        <w:footnoteRef/>
      </w:r>
      <w:r w:rsidRPr="008540FF">
        <w:rPr>
          <w:sz w:val="26"/>
          <w:szCs w:val="26"/>
        </w:rPr>
        <w:tab/>
      </w:r>
      <w:r w:rsidRPr="008540FF">
        <w:rPr>
          <w:i/>
          <w:sz w:val="26"/>
          <w:szCs w:val="26"/>
        </w:rPr>
        <w:t>See also, e.g.,</w:t>
      </w:r>
      <w:r w:rsidRPr="008540FF">
        <w:rPr>
          <w:sz w:val="26"/>
          <w:szCs w:val="26"/>
        </w:rPr>
        <w:t xml:space="preserve"> </w:t>
      </w:r>
      <w:r w:rsidRPr="008540FF">
        <w:rPr>
          <w:i/>
          <w:sz w:val="26"/>
          <w:szCs w:val="26"/>
        </w:rPr>
        <w:t>Cynthia Santore Smith v. PECO Energy Company</w:t>
      </w:r>
      <w:r w:rsidRPr="008540FF">
        <w:rPr>
          <w:sz w:val="26"/>
          <w:szCs w:val="26"/>
        </w:rPr>
        <w:t>, Docket No. F-2014-2446204 (Order entered September 3, 2015) (</w:t>
      </w:r>
      <w:r w:rsidRPr="008540FF">
        <w:rPr>
          <w:i/>
          <w:sz w:val="26"/>
          <w:szCs w:val="26"/>
        </w:rPr>
        <w:t>Santore Smith</w:t>
      </w:r>
      <w:r w:rsidRPr="008540FF">
        <w:rPr>
          <w:sz w:val="26"/>
          <w:szCs w:val="26"/>
        </w:rPr>
        <w:t xml:space="preserve">) (affirmed ALJ’s decision to dismiss complaint </w:t>
      </w:r>
      <w:r w:rsidRPr="008540FF">
        <w:rPr>
          <w:i/>
          <w:sz w:val="26"/>
          <w:szCs w:val="26"/>
        </w:rPr>
        <w:t>with prejudice</w:t>
      </w:r>
      <w:r w:rsidRPr="008540FF">
        <w:rPr>
          <w:sz w:val="26"/>
          <w:szCs w:val="26"/>
        </w:rPr>
        <w:t xml:space="preserve"> because, although the complainant’s failure to appear at hearing was due to the complainant’s contracting the flu, the complainant’s oral request for continuance was made the same day of the hearing and not supported by any written documentation submitted in the record);</w:t>
      </w:r>
      <w:r w:rsidRPr="008540FF">
        <w:rPr>
          <w:i/>
          <w:sz w:val="26"/>
          <w:szCs w:val="26"/>
        </w:rPr>
        <w:t xml:space="preserve"> Marilyn Day v. PECO Energy Company</w:t>
      </w:r>
      <w:r w:rsidRPr="008540FF">
        <w:rPr>
          <w:sz w:val="26"/>
          <w:szCs w:val="26"/>
        </w:rPr>
        <w:t>, Docket No. C-2010-2181515 (Order entered June 10, 2011) (</w:t>
      </w:r>
      <w:r w:rsidRPr="008540FF">
        <w:rPr>
          <w:i/>
          <w:sz w:val="26"/>
          <w:szCs w:val="26"/>
        </w:rPr>
        <w:t>Marilyn Day</w:t>
      </w:r>
      <w:r w:rsidRPr="008540FF">
        <w:rPr>
          <w:sz w:val="26"/>
          <w:szCs w:val="26"/>
        </w:rPr>
        <w:t xml:space="preserve">) (affirmed ALJ’s decision to dismiss complaint </w:t>
      </w:r>
      <w:r w:rsidRPr="008540FF">
        <w:rPr>
          <w:i/>
          <w:sz w:val="26"/>
          <w:szCs w:val="26"/>
        </w:rPr>
        <w:t>with prejudice</w:t>
      </w:r>
      <w:r w:rsidRPr="008540FF">
        <w:rPr>
          <w:sz w:val="26"/>
          <w:szCs w:val="26"/>
        </w:rPr>
        <w:t xml:space="preserve"> because, although the complainant’s failure to appear at hearing was due to a scheduling conflict with the start date of the complainant’s new employment, the oral request for continuance was made the same morning of the hearing and not supported by any written documentation); </w:t>
      </w:r>
      <w:r w:rsidRPr="008540FF">
        <w:rPr>
          <w:i/>
          <w:sz w:val="26"/>
          <w:szCs w:val="26"/>
        </w:rPr>
        <w:t>Deborah</w:t>
      </w:r>
      <w:r w:rsidRPr="008540FF">
        <w:rPr>
          <w:sz w:val="26"/>
          <w:szCs w:val="26"/>
        </w:rPr>
        <w:t xml:space="preserve"> </w:t>
      </w:r>
      <w:r w:rsidRPr="008540FF">
        <w:rPr>
          <w:i/>
          <w:sz w:val="26"/>
          <w:szCs w:val="26"/>
        </w:rPr>
        <w:t>Bethay v. PECO Energy Co</w:t>
      </w:r>
      <w:r w:rsidRPr="008540FF">
        <w:rPr>
          <w:sz w:val="26"/>
          <w:szCs w:val="26"/>
        </w:rPr>
        <w:t>., Docket No. F-2011-2266250 (Order entered August 2, 2012)</w:t>
      </w:r>
      <w:r w:rsidRPr="008540FF">
        <w:rPr>
          <w:i/>
          <w:sz w:val="26"/>
          <w:szCs w:val="26"/>
        </w:rPr>
        <w:t xml:space="preserve"> </w:t>
      </w:r>
      <w:r w:rsidRPr="008540FF">
        <w:rPr>
          <w:sz w:val="26"/>
          <w:szCs w:val="26"/>
        </w:rPr>
        <w:t>(</w:t>
      </w:r>
      <w:r w:rsidRPr="008540FF">
        <w:rPr>
          <w:i/>
          <w:sz w:val="26"/>
          <w:szCs w:val="26"/>
        </w:rPr>
        <w:t>Deborah</w:t>
      </w:r>
      <w:r w:rsidRPr="008540FF">
        <w:rPr>
          <w:sz w:val="26"/>
          <w:szCs w:val="26"/>
        </w:rPr>
        <w:t xml:space="preserve"> </w:t>
      </w:r>
      <w:r w:rsidRPr="008540FF">
        <w:rPr>
          <w:i/>
          <w:sz w:val="26"/>
          <w:szCs w:val="26"/>
        </w:rPr>
        <w:t>Bethay</w:t>
      </w:r>
      <w:r w:rsidRPr="008540FF">
        <w:rPr>
          <w:sz w:val="26"/>
          <w:szCs w:val="26"/>
        </w:rPr>
        <w:t xml:space="preserve">) (affirmed ALJ’s decision to dismiss complaint </w:t>
      </w:r>
      <w:r w:rsidRPr="008540FF">
        <w:rPr>
          <w:i/>
          <w:sz w:val="26"/>
          <w:szCs w:val="26"/>
        </w:rPr>
        <w:t>with prejudice</w:t>
      </w:r>
      <w:r w:rsidRPr="008540FF">
        <w:rPr>
          <w:sz w:val="26"/>
          <w:szCs w:val="26"/>
        </w:rPr>
        <w:t xml:space="preserve"> because, although the complainant’s failure to appear at hearing was due to the complainant’s hospitalization for surgery and rehabilitation and supported by written documentation attached to the complainant’s exceptions, the complainant had ample time and opportunity to timely request a hearing continuance prior to the scheduled hearing, but failed to do so); </w:t>
      </w:r>
      <w:r w:rsidRPr="008540FF">
        <w:rPr>
          <w:i/>
          <w:sz w:val="26"/>
          <w:szCs w:val="26"/>
        </w:rPr>
        <w:t>Osuji v. PECO Energy Co</w:t>
      </w:r>
      <w:r w:rsidRPr="008540FF">
        <w:rPr>
          <w:sz w:val="26"/>
          <w:szCs w:val="26"/>
        </w:rPr>
        <w:t>., Docket No. C-2008-2071982 (Order entered July 24, 2009) (</w:t>
      </w:r>
      <w:r w:rsidRPr="008540FF">
        <w:rPr>
          <w:i/>
          <w:sz w:val="26"/>
          <w:szCs w:val="26"/>
        </w:rPr>
        <w:t>Osuji</w:t>
      </w:r>
      <w:r w:rsidRPr="008540FF">
        <w:rPr>
          <w:sz w:val="26"/>
          <w:szCs w:val="26"/>
        </w:rPr>
        <w:t xml:space="preserve">)  (affirmed ALJ’s decision to dismiss complaint </w:t>
      </w:r>
      <w:r w:rsidRPr="008540FF">
        <w:rPr>
          <w:i/>
          <w:sz w:val="26"/>
          <w:szCs w:val="26"/>
        </w:rPr>
        <w:t>with prejudice</w:t>
      </w:r>
      <w:r w:rsidRPr="008540FF">
        <w:rPr>
          <w:sz w:val="26"/>
          <w:szCs w:val="26"/>
        </w:rPr>
        <w:t xml:space="preserve"> because, although the complainant’s failure to appear at hearing was due to being outside the country and unavailable as a result of a death in the family, the complainant did not request a continuance and did not submit any documentation to support her excuse); </w:t>
      </w:r>
      <w:r w:rsidRPr="008540FF">
        <w:rPr>
          <w:i/>
          <w:sz w:val="26"/>
          <w:szCs w:val="26"/>
        </w:rPr>
        <w:t>Madajewski v. UGI Utilities, Inc</w:t>
      </w:r>
      <w:r w:rsidRPr="008540FF">
        <w:rPr>
          <w:sz w:val="26"/>
          <w:szCs w:val="26"/>
        </w:rPr>
        <w:t>., Docket No. C-2008-2070793 (Order entered July 30, 2009) (</w:t>
      </w:r>
      <w:r w:rsidRPr="008540FF">
        <w:rPr>
          <w:i/>
          <w:sz w:val="26"/>
          <w:szCs w:val="26"/>
        </w:rPr>
        <w:t>Madajewski</w:t>
      </w:r>
      <w:r w:rsidRPr="008540FF">
        <w:rPr>
          <w:sz w:val="26"/>
          <w:szCs w:val="26"/>
        </w:rPr>
        <w:t xml:space="preserve">) (affirmed ALJ’s decision to dismiss complaint </w:t>
      </w:r>
      <w:r w:rsidRPr="008540FF">
        <w:rPr>
          <w:i/>
          <w:sz w:val="26"/>
          <w:szCs w:val="26"/>
        </w:rPr>
        <w:t>with prejudice</w:t>
      </w:r>
      <w:r w:rsidRPr="008540FF">
        <w:rPr>
          <w:sz w:val="26"/>
          <w:szCs w:val="26"/>
        </w:rPr>
        <w:t xml:space="preserve"> because the complainant sent a letter to presiding officer in advance of hearing not requesting a continuance but stating that his employer would not permit his participation in the hearing by telephone and it was “not worth the hassle” for him to request leave from his employment in order to participate in the hearing); </w:t>
      </w:r>
      <w:r w:rsidRPr="008540FF">
        <w:rPr>
          <w:i/>
          <w:sz w:val="26"/>
          <w:szCs w:val="26"/>
        </w:rPr>
        <w:t>Charles Nichols III v. Bell-Atlantic-Pennsyl</w:t>
      </w:r>
      <w:r w:rsidRPr="008540FF">
        <w:rPr>
          <w:i/>
          <w:sz w:val="26"/>
          <w:szCs w:val="26"/>
        </w:rPr>
        <w:softHyphen/>
        <w:t xml:space="preserve">vania, </w:t>
      </w:r>
      <w:r w:rsidRPr="008540FF">
        <w:rPr>
          <w:sz w:val="26"/>
          <w:szCs w:val="26"/>
        </w:rPr>
        <w:t>Docket No. </w:t>
      </w:r>
      <w:r w:rsidRPr="008540FF">
        <w:rPr>
          <w:spacing w:val="-3"/>
          <w:sz w:val="26"/>
          <w:szCs w:val="26"/>
        </w:rPr>
        <w:t>C</w:t>
      </w:r>
      <w:r w:rsidRPr="008540FF">
        <w:rPr>
          <w:spacing w:val="-3"/>
          <w:sz w:val="26"/>
          <w:szCs w:val="26"/>
        </w:rPr>
        <w:noBreakHyphen/>
        <w:t>00956667 (Opinion and Order entered August 4, 1995) (</w:t>
      </w:r>
      <w:r w:rsidRPr="008540FF">
        <w:rPr>
          <w:i/>
          <w:spacing w:val="-3"/>
          <w:sz w:val="26"/>
          <w:szCs w:val="26"/>
        </w:rPr>
        <w:t>Nichols III</w:t>
      </w:r>
      <w:r w:rsidRPr="008540FF">
        <w:rPr>
          <w:spacing w:val="-3"/>
          <w:sz w:val="26"/>
          <w:szCs w:val="26"/>
        </w:rPr>
        <w:t>) (affirmed ALJ’s decision to dismiss the complainant and found that the complainant’s excuse, as stated in the complainant’s exceptions - that he worked the graveyard shift and overslept and missed the hearing – “was not caused by unavoidable circumstances, but instead was caused by his own lack of diligence”).</w:t>
      </w:r>
    </w:p>
  </w:footnote>
  <w:footnote w:id="5">
    <w:p w14:paraId="449C77E1" w14:textId="63E12D34" w:rsidR="003F2439" w:rsidRPr="008540FF" w:rsidRDefault="003F2439" w:rsidP="008540FF">
      <w:pPr>
        <w:pStyle w:val="FootnoteText"/>
        <w:keepNext/>
        <w:keepLines/>
        <w:widowControl/>
        <w:spacing w:after="120"/>
        <w:ind w:firstLine="720"/>
        <w:rPr>
          <w:sz w:val="26"/>
          <w:szCs w:val="26"/>
        </w:rPr>
      </w:pPr>
      <w:r w:rsidRPr="008540FF">
        <w:rPr>
          <w:rStyle w:val="FootnoteReference"/>
          <w:sz w:val="26"/>
          <w:szCs w:val="26"/>
        </w:rPr>
        <w:footnoteRef/>
      </w:r>
      <w:r w:rsidRPr="008540FF">
        <w:rPr>
          <w:sz w:val="26"/>
          <w:szCs w:val="26"/>
        </w:rPr>
        <w:tab/>
      </w:r>
      <w:r w:rsidRPr="008540FF">
        <w:rPr>
          <w:i/>
          <w:sz w:val="26"/>
          <w:szCs w:val="26"/>
        </w:rPr>
        <w:t>See also, e.g</w:t>
      </w:r>
      <w:r w:rsidRPr="008540FF">
        <w:rPr>
          <w:sz w:val="26"/>
          <w:szCs w:val="26"/>
        </w:rPr>
        <w:t xml:space="preserve">., </w:t>
      </w:r>
      <w:r w:rsidRPr="008540FF">
        <w:rPr>
          <w:i/>
          <w:sz w:val="26"/>
          <w:szCs w:val="26"/>
        </w:rPr>
        <w:t>Windell C. Wiggins v. PECO Energy Company</w:t>
      </w:r>
      <w:r w:rsidRPr="008540FF">
        <w:rPr>
          <w:sz w:val="26"/>
          <w:szCs w:val="26"/>
        </w:rPr>
        <w:t>, Docket No. C-2010-2190335 (Order entered October 27, 2011) (</w:t>
      </w:r>
      <w:r w:rsidRPr="008540FF">
        <w:rPr>
          <w:i/>
          <w:sz w:val="26"/>
          <w:szCs w:val="26"/>
        </w:rPr>
        <w:t>Wiggins</w:t>
      </w:r>
      <w:r w:rsidRPr="008540FF">
        <w:rPr>
          <w:sz w:val="26"/>
          <w:szCs w:val="26"/>
        </w:rPr>
        <w:t xml:space="preserve">) (complaint dismissed </w:t>
      </w:r>
      <w:r w:rsidRPr="008540FF">
        <w:rPr>
          <w:i/>
          <w:sz w:val="26"/>
          <w:szCs w:val="26"/>
        </w:rPr>
        <w:t>without prejudice</w:t>
      </w:r>
      <w:r w:rsidRPr="008540FF">
        <w:rPr>
          <w:sz w:val="26"/>
          <w:szCs w:val="26"/>
        </w:rPr>
        <w:t xml:space="preserve"> because the complainant demonstrated an effort to timely attend the initial hearing but waited in an area used by the welfare department and its complainants rather than the Commission’s hearing room and the complainant did not attend the rescheduled hearing); </w:t>
      </w:r>
      <w:r w:rsidRPr="008540FF">
        <w:rPr>
          <w:i/>
          <w:sz w:val="26"/>
          <w:szCs w:val="26"/>
        </w:rPr>
        <w:t>Edward B. Ference v. Equitable Gas Company</w:t>
      </w:r>
      <w:r w:rsidRPr="008540FF">
        <w:rPr>
          <w:sz w:val="26"/>
          <w:szCs w:val="26"/>
        </w:rPr>
        <w:t>, Docket No. C</w:t>
      </w:r>
      <w:r w:rsidR="00D62B18">
        <w:rPr>
          <w:sz w:val="26"/>
          <w:szCs w:val="26"/>
        </w:rPr>
        <w:noBreakHyphen/>
      </w:r>
      <w:r w:rsidRPr="008540FF">
        <w:rPr>
          <w:sz w:val="26"/>
          <w:szCs w:val="26"/>
        </w:rPr>
        <w:t>20015840 (Order entered February 12, 2002) (reversed ALJ’s decision to dismiss complaint with prejudice and remanded for hearing upon demonstration that the complainant made a good faith attempt to attend the hearing but was unavoidably delayed due to late arrival of his taxicab, and such excuse was supported by a letter submitted in the record from the cab company confirming arrival time of the cab).</w:t>
      </w:r>
    </w:p>
  </w:footnote>
  <w:footnote w:id="6">
    <w:p w14:paraId="2A2B5BA5" w14:textId="25FB4716" w:rsidR="006262F2" w:rsidRPr="008540FF" w:rsidRDefault="006262F2" w:rsidP="00027CB5">
      <w:pPr>
        <w:keepNext/>
        <w:keepLines/>
        <w:widowControl/>
        <w:spacing w:after="120"/>
        <w:ind w:firstLine="720"/>
        <w:rPr>
          <w:sz w:val="26"/>
          <w:szCs w:val="26"/>
        </w:rPr>
      </w:pPr>
      <w:r w:rsidRPr="008540FF">
        <w:rPr>
          <w:rStyle w:val="FootnoteReference"/>
          <w:sz w:val="26"/>
          <w:szCs w:val="26"/>
        </w:rPr>
        <w:footnoteRef/>
      </w:r>
      <w:r w:rsidRPr="008540FF">
        <w:rPr>
          <w:sz w:val="26"/>
          <w:szCs w:val="26"/>
        </w:rPr>
        <w:tab/>
        <w:t xml:space="preserve">While such instruction is written in plain language, we recognize that it does not appear with any special font type to emphasize it.  Additionally, this sentence appears immediately following three lines of related instructions appearing </w:t>
      </w:r>
      <w:r w:rsidRPr="008540FF">
        <w:rPr>
          <w:color w:val="000000" w:themeColor="text1"/>
          <w:sz w:val="26"/>
          <w:szCs w:val="26"/>
        </w:rPr>
        <w:t>in bold and underlined lettering, which could possibly cause a reader to skip over it.</w:t>
      </w:r>
    </w:p>
  </w:footnote>
  <w:footnote w:id="7">
    <w:p w14:paraId="46F783B7" w14:textId="21096BDE" w:rsidR="00D83B4C" w:rsidRPr="008540FF" w:rsidRDefault="00D83B4C" w:rsidP="00AC5EAF">
      <w:pPr>
        <w:keepNext/>
        <w:keepLines/>
        <w:widowControl/>
        <w:spacing w:after="120"/>
        <w:ind w:firstLine="720"/>
        <w:rPr>
          <w:sz w:val="26"/>
          <w:szCs w:val="26"/>
        </w:rPr>
      </w:pPr>
      <w:r w:rsidRPr="008540FF">
        <w:rPr>
          <w:rStyle w:val="FootnoteReference"/>
          <w:sz w:val="26"/>
          <w:szCs w:val="26"/>
        </w:rPr>
        <w:footnoteRef/>
      </w:r>
      <w:r w:rsidRPr="008540FF">
        <w:rPr>
          <w:sz w:val="26"/>
          <w:szCs w:val="26"/>
        </w:rPr>
        <w:tab/>
      </w:r>
      <w:r w:rsidRPr="008540FF">
        <w:rPr>
          <w:color w:val="000000" w:themeColor="text1"/>
          <w:sz w:val="26"/>
          <w:szCs w:val="26"/>
        </w:rPr>
        <w:t>Additionally, we recognize that based on how modern waiting areas function in other contexts, it is not wholly unreasonable for an individual customer in the Complainant’s position to believe that taking the steps of informing the desk clerk of her arrival, providing her name and identification, and stating that she is present to attend a hearing would be sufficient to be admitted into the hearing room.  The Prehearing Order, for instance, does not contain a clear warning that informing the desk clerk of her presence will not get the Complainant admitted into the hearing room.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D4B2785"/>
    <w:multiLevelType w:val="hybridMultilevel"/>
    <w:tmpl w:val="1978632A"/>
    <w:lvl w:ilvl="0" w:tplc="4DF0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841D0"/>
    <w:multiLevelType w:val="hybridMultilevel"/>
    <w:tmpl w:val="E25A443E"/>
    <w:lvl w:ilvl="0" w:tplc="1AA4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AF075D"/>
    <w:multiLevelType w:val="hybridMultilevel"/>
    <w:tmpl w:val="56A42F0E"/>
    <w:lvl w:ilvl="0" w:tplc="767AC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6"/>
    <w:rsid w:val="000038FB"/>
    <w:rsid w:val="00005FD6"/>
    <w:rsid w:val="00007A6C"/>
    <w:rsid w:val="00027CB5"/>
    <w:rsid w:val="0003143A"/>
    <w:rsid w:val="0003317C"/>
    <w:rsid w:val="0004138C"/>
    <w:rsid w:val="000533D7"/>
    <w:rsid w:val="00063902"/>
    <w:rsid w:val="00066646"/>
    <w:rsid w:val="00086F68"/>
    <w:rsid w:val="000979F8"/>
    <w:rsid w:val="00097FA5"/>
    <w:rsid w:val="000A16A9"/>
    <w:rsid w:val="000B7A70"/>
    <w:rsid w:val="000C4E9F"/>
    <w:rsid w:val="000D3509"/>
    <w:rsid w:val="000D3CB7"/>
    <w:rsid w:val="000D6F39"/>
    <w:rsid w:val="000E513A"/>
    <w:rsid w:val="000F00D1"/>
    <w:rsid w:val="0010011C"/>
    <w:rsid w:val="001008F1"/>
    <w:rsid w:val="00104BBD"/>
    <w:rsid w:val="00126A0E"/>
    <w:rsid w:val="0012749A"/>
    <w:rsid w:val="001277CD"/>
    <w:rsid w:val="00140ABF"/>
    <w:rsid w:val="0014180D"/>
    <w:rsid w:val="001559FC"/>
    <w:rsid w:val="001565C8"/>
    <w:rsid w:val="00173840"/>
    <w:rsid w:val="00180FE2"/>
    <w:rsid w:val="0018300A"/>
    <w:rsid w:val="0018484A"/>
    <w:rsid w:val="001A048C"/>
    <w:rsid w:val="001C75C3"/>
    <w:rsid w:val="001D5644"/>
    <w:rsid w:val="001E4F37"/>
    <w:rsid w:val="001F0176"/>
    <w:rsid w:val="001F3A63"/>
    <w:rsid w:val="00202574"/>
    <w:rsid w:val="00205281"/>
    <w:rsid w:val="00205577"/>
    <w:rsid w:val="00211F86"/>
    <w:rsid w:val="00233498"/>
    <w:rsid w:val="00241EA2"/>
    <w:rsid w:val="00271950"/>
    <w:rsid w:val="00273868"/>
    <w:rsid w:val="0027593A"/>
    <w:rsid w:val="00281B04"/>
    <w:rsid w:val="00290EE6"/>
    <w:rsid w:val="00293120"/>
    <w:rsid w:val="002937C9"/>
    <w:rsid w:val="002A5127"/>
    <w:rsid w:val="002A7FFC"/>
    <w:rsid w:val="002B1339"/>
    <w:rsid w:val="002B2C4A"/>
    <w:rsid w:val="002C656D"/>
    <w:rsid w:val="002D24F0"/>
    <w:rsid w:val="002D2BEB"/>
    <w:rsid w:val="002D396E"/>
    <w:rsid w:val="002D3A26"/>
    <w:rsid w:val="002F2A52"/>
    <w:rsid w:val="002F63AB"/>
    <w:rsid w:val="002F64C8"/>
    <w:rsid w:val="003118C8"/>
    <w:rsid w:val="00316620"/>
    <w:rsid w:val="003265F5"/>
    <w:rsid w:val="00333F1C"/>
    <w:rsid w:val="0033797C"/>
    <w:rsid w:val="003400E1"/>
    <w:rsid w:val="00340D38"/>
    <w:rsid w:val="0034131C"/>
    <w:rsid w:val="00350470"/>
    <w:rsid w:val="0035084A"/>
    <w:rsid w:val="00351D02"/>
    <w:rsid w:val="00357B29"/>
    <w:rsid w:val="003611E6"/>
    <w:rsid w:val="003731DD"/>
    <w:rsid w:val="00390284"/>
    <w:rsid w:val="003903B0"/>
    <w:rsid w:val="00391B1A"/>
    <w:rsid w:val="0039748A"/>
    <w:rsid w:val="003B152C"/>
    <w:rsid w:val="003C5DFE"/>
    <w:rsid w:val="003D4693"/>
    <w:rsid w:val="003D5C5F"/>
    <w:rsid w:val="003D6E8E"/>
    <w:rsid w:val="003E0D4E"/>
    <w:rsid w:val="003E5039"/>
    <w:rsid w:val="003F2439"/>
    <w:rsid w:val="0040009E"/>
    <w:rsid w:val="00400B66"/>
    <w:rsid w:val="0040264A"/>
    <w:rsid w:val="00403AB1"/>
    <w:rsid w:val="0041520A"/>
    <w:rsid w:val="0042160A"/>
    <w:rsid w:val="004246A3"/>
    <w:rsid w:val="00430883"/>
    <w:rsid w:val="004354A4"/>
    <w:rsid w:val="0044122F"/>
    <w:rsid w:val="004668D3"/>
    <w:rsid w:val="00472263"/>
    <w:rsid w:val="0047617A"/>
    <w:rsid w:val="00482331"/>
    <w:rsid w:val="00483B8C"/>
    <w:rsid w:val="00491EAC"/>
    <w:rsid w:val="00492840"/>
    <w:rsid w:val="004938DF"/>
    <w:rsid w:val="004A1A86"/>
    <w:rsid w:val="004A2C4A"/>
    <w:rsid w:val="004A380F"/>
    <w:rsid w:val="004A7365"/>
    <w:rsid w:val="004B6D0C"/>
    <w:rsid w:val="004C4510"/>
    <w:rsid w:val="00506398"/>
    <w:rsid w:val="00506F43"/>
    <w:rsid w:val="00507145"/>
    <w:rsid w:val="00507480"/>
    <w:rsid w:val="00515E22"/>
    <w:rsid w:val="005164B8"/>
    <w:rsid w:val="0052081D"/>
    <w:rsid w:val="0052333F"/>
    <w:rsid w:val="00532462"/>
    <w:rsid w:val="00552636"/>
    <w:rsid w:val="00564F2E"/>
    <w:rsid w:val="005650B7"/>
    <w:rsid w:val="00571E2D"/>
    <w:rsid w:val="00577194"/>
    <w:rsid w:val="005926C7"/>
    <w:rsid w:val="005A083F"/>
    <w:rsid w:val="005B46CD"/>
    <w:rsid w:val="005B6415"/>
    <w:rsid w:val="005C0F83"/>
    <w:rsid w:val="005D29BB"/>
    <w:rsid w:val="005D6470"/>
    <w:rsid w:val="005E10A3"/>
    <w:rsid w:val="005E3BE5"/>
    <w:rsid w:val="005F76BA"/>
    <w:rsid w:val="005F7FEB"/>
    <w:rsid w:val="00601293"/>
    <w:rsid w:val="00603C36"/>
    <w:rsid w:val="00610C8A"/>
    <w:rsid w:val="00613F68"/>
    <w:rsid w:val="00616C44"/>
    <w:rsid w:val="006262F2"/>
    <w:rsid w:val="00626B80"/>
    <w:rsid w:val="00641757"/>
    <w:rsid w:val="00646A14"/>
    <w:rsid w:val="006513C4"/>
    <w:rsid w:val="006604AB"/>
    <w:rsid w:val="0066095F"/>
    <w:rsid w:val="00674E8E"/>
    <w:rsid w:val="00691948"/>
    <w:rsid w:val="006925A0"/>
    <w:rsid w:val="00694569"/>
    <w:rsid w:val="0069543F"/>
    <w:rsid w:val="006A462D"/>
    <w:rsid w:val="006B0210"/>
    <w:rsid w:val="006B3DC3"/>
    <w:rsid w:val="006B3E50"/>
    <w:rsid w:val="006C5C0E"/>
    <w:rsid w:val="006D4304"/>
    <w:rsid w:val="006D5B1B"/>
    <w:rsid w:val="006D5BF5"/>
    <w:rsid w:val="006E1783"/>
    <w:rsid w:val="006E35F5"/>
    <w:rsid w:val="006E4BEF"/>
    <w:rsid w:val="007004CC"/>
    <w:rsid w:val="00703797"/>
    <w:rsid w:val="00710EA4"/>
    <w:rsid w:val="0071475D"/>
    <w:rsid w:val="00715D74"/>
    <w:rsid w:val="00721606"/>
    <w:rsid w:val="00733B3A"/>
    <w:rsid w:val="00740BEB"/>
    <w:rsid w:val="00744816"/>
    <w:rsid w:val="00745D1A"/>
    <w:rsid w:val="00747261"/>
    <w:rsid w:val="00753DF4"/>
    <w:rsid w:val="007555FF"/>
    <w:rsid w:val="007766F9"/>
    <w:rsid w:val="007868AD"/>
    <w:rsid w:val="00796CDF"/>
    <w:rsid w:val="007A3AEC"/>
    <w:rsid w:val="007A6DFE"/>
    <w:rsid w:val="007A786B"/>
    <w:rsid w:val="007C2014"/>
    <w:rsid w:val="007C34EE"/>
    <w:rsid w:val="007C4AFE"/>
    <w:rsid w:val="007E094B"/>
    <w:rsid w:val="007E1B73"/>
    <w:rsid w:val="007E5DE6"/>
    <w:rsid w:val="007E7197"/>
    <w:rsid w:val="008057C6"/>
    <w:rsid w:val="00812686"/>
    <w:rsid w:val="008220F2"/>
    <w:rsid w:val="00832981"/>
    <w:rsid w:val="00834BD9"/>
    <w:rsid w:val="008412B0"/>
    <w:rsid w:val="0084527A"/>
    <w:rsid w:val="0084709A"/>
    <w:rsid w:val="008540FF"/>
    <w:rsid w:val="00862389"/>
    <w:rsid w:val="00867B31"/>
    <w:rsid w:val="00873D97"/>
    <w:rsid w:val="00873F67"/>
    <w:rsid w:val="00877396"/>
    <w:rsid w:val="00885E00"/>
    <w:rsid w:val="00892371"/>
    <w:rsid w:val="0089265E"/>
    <w:rsid w:val="008A133C"/>
    <w:rsid w:val="008B17FA"/>
    <w:rsid w:val="008B6A7F"/>
    <w:rsid w:val="008C2C13"/>
    <w:rsid w:val="008D1D9B"/>
    <w:rsid w:val="008E06F7"/>
    <w:rsid w:val="00911044"/>
    <w:rsid w:val="009115A4"/>
    <w:rsid w:val="00913D14"/>
    <w:rsid w:val="00921EF3"/>
    <w:rsid w:val="00930C55"/>
    <w:rsid w:val="00931373"/>
    <w:rsid w:val="00947BCC"/>
    <w:rsid w:val="00966A49"/>
    <w:rsid w:val="00971A89"/>
    <w:rsid w:val="00973A82"/>
    <w:rsid w:val="009770F4"/>
    <w:rsid w:val="009915F0"/>
    <w:rsid w:val="009A106C"/>
    <w:rsid w:val="009A15B2"/>
    <w:rsid w:val="009A1607"/>
    <w:rsid w:val="009A226D"/>
    <w:rsid w:val="009A2724"/>
    <w:rsid w:val="009C0A32"/>
    <w:rsid w:val="009C5538"/>
    <w:rsid w:val="009D3139"/>
    <w:rsid w:val="009D7B90"/>
    <w:rsid w:val="009E20F8"/>
    <w:rsid w:val="009F0BCF"/>
    <w:rsid w:val="009F10EE"/>
    <w:rsid w:val="009F2EC6"/>
    <w:rsid w:val="00A14D17"/>
    <w:rsid w:val="00A1682B"/>
    <w:rsid w:val="00A3095E"/>
    <w:rsid w:val="00A33402"/>
    <w:rsid w:val="00A44D54"/>
    <w:rsid w:val="00A46686"/>
    <w:rsid w:val="00A544A7"/>
    <w:rsid w:val="00A7505C"/>
    <w:rsid w:val="00A77404"/>
    <w:rsid w:val="00A92891"/>
    <w:rsid w:val="00AA0B3E"/>
    <w:rsid w:val="00AA0DBD"/>
    <w:rsid w:val="00AA79BA"/>
    <w:rsid w:val="00AC201A"/>
    <w:rsid w:val="00AC2873"/>
    <w:rsid w:val="00AC446E"/>
    <w:rsid w:val="00AC5EAF"/>
    <w:rsid w:val="00AC6661"/>
    <w:rsid w:val="00B00105"/>
    <w:rsid w:val="00B04A04"/>
    <w:rsid w:val="00B058A1"/>
    <w:rsid w:val="00B05E9E"/>
    <w:rsid w:val="00B07A0B"/>
    <w:rsid w:val="00B10E89"/>
    <w:rsid w:val="00B10F54"/>
    <w:rsid w:val="00B17C9E"/>
    <w:rsid w:val="00B21FDB"/>
    <w:rsid w:val="00B408BF"/>
    <w:rsid w:val="00B46AD4"/>
    <w:rsid w:val="00B5494B"/>
    <w:rsid w:val="00B55E0B"/>
    <w:rsid w:val="00B60ED3"/>
    <w:rsid w:val="00B6589C"/>
    <w:rsid w:val="00B859E6"/>
    <w:rsid w:val="00B946BC"/>
    <w:rsid w:val="00BC3017"/>
    <w:rsid w:val="00BC43F2"/>
    <w:rsid w:val="00BC7D2F"/>
    <w:rsid w:val="00BD70D6"/>
    <w:rsid w:val="00BF238E"/>
    <w:rsid w:val="00BF23FC"/>
    <w:rsid w:val="00BF466E"/>
    <w:rsid w:val="00C0136D"/>
    <w:rsid w:val="00C04D45"/>
    <w:rsid w:val="00C05183"/>
    <w:rsid w:val="00C0785B"/>
    <w:rsid w:val="00C13274"/>
    <w:rsid w:val="00C15EDA"/>
    <w:rsid w:val="00C362B6"/>
    <w:rsid w:val="00C45FAF"/>
    <w:rsid w:val="00C52E47"/>
    <w:rsid w:val="00C53428"/>
    <w:rsid w:val="00C57D54"/>
    <w:rsid w:val="00C631FF"/>
    <w:rsid w:val="00C658C0"/>
    <w:rsid w:val="00C84168"/>
    <w:rsid w:val="00C86EDF"/>
    <w:rsid w:val="00C9465A"/>
    <w:rsid w:val="00CA1440"/>
    <w:rsid w:val="00CA1BEF"/>
    <w:rsid w:val="00CA6C13"/>
    <w:rsid w:val="00CC64ED"/>
    <w:rsid w:val="00CE421F"/>
    <w:rsid w:val="00CF3F20"/>
    <w:rsid w:val="00CF4933"/>
    <w:rsid w:val="00D00409"/>
    <w:rsid w:val="00D00480"/>
    <w:rsid w:val="00D02E86"/>
    <w:rsid w:val="00D13F6C"/>
    <w:rsid w:val="00D22DF9"/>
    <w:rsid w:val="00D328B8"/>
    <w:rsid w:val="00D45052"/>
    <w:rsid w:val="00D477ED"/>
    <w:rsid w:val="00D549A2"/>
    <w:rsid w:val="00D62B18"/>
    <w:rsid w:val="00D74062"/>
    <w:rsid w:val="00D81BE7"/>
    <w:rsid w:val="00D83B4C"/>
    <w:rsid w:val="00D9277B"/>
    <w:rsid w:val="00D952C3"/>
    <w:rsid w:val="00DB65E9"/>
    <w:rsid w:val="00DD1F91"/>
    <w:rsid w:val="00DD59D8"/>
    <w:rsid w:val="00DD63DA"/>
    <w:rsid w:val="00DE41F2"/>
    <w:rsid w:val="00E0717C"/>
    <w:rsid w:val="00E11FBD"/>
    <w:rsid w:val="00E227EE"/>
    <w:rsid w:val="00E24439"/>
    <w:rsid w:val="00E317AF"/>
    <w:rsid w:val="00E4428D"/>
    <w:rsid w:val="00E50333"/>
    <w:rsid w:val="00E74F63"/>
    <w:rsid w:val="00E8586A"/>
    <w:rsid w:val="00EB267E"/>
    <w:rsid w:val="00EC0380"/>
    <w:rsid w:val="00ED6D2A"/>
    <w:rsid w:val="00EE5603"/>
    <w:rsid w:val="00EE779B"/>
    <w:rsid w:val="00F2341A"/>
    <w:rsid w:val="00F24AFE"/>
    <w:rsid w:val="00F3088E"/>
    <w:rsid w:val="00F31C44"/>
    <w:rsid w:val="00F4320E"/>
    <w:rsid w:val="00F465BA"/>
    <w:rsid w:val="00F65247"/>
    <w:rsid w:val="00F6525D"/>
    <w:rsid w:val="00F735AD"/>
    <w:rsid w:val="00F8631E"/>
    <w:rsid w:val="00F91FC0"/>
    <w:rsid w:val="00F96907"/>
    <w:rsid w:val="00FA7059"/>
    <w:rsid w:val="00FA79D3"/>
    <w:rsid w:val="00FB53CD"/>
    <w:rsid w:val="00FD5DB8"/>
    <w:rsid w:val="00FD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D81F"/>
  <w15:chartTrackingRefBased/>
  <w15:docId w15:val="{D678FBF3-B2D6-4AED-B52B-E2D5560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17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F0176"/>
    <w:pPr>
      <w:widowControl/>
      <w:spacing w:before="100" w:beforeAutospacing="1" w:after="100" w:afterAutospacing="1"/>
    </w:pPr>
    <w:rPr>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1F0176"/>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1F0176"/>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1F0176"/>
    <w:rPr>
      <w:vertAlign w:val="superscript"/>
    </w:rPr>
  </w:style>
  <w:style w:type="character" w:customStyle="1" w:styleId="term1">
    <w:name w:val="term1"/>
    <w:basedOn w:val="DefaultParagraphFont"/>
    <w:rsid w:val="001F0176"/>
    <w:rPr>
      <w:b/>
      <w:bCs/>
    </w:rPr>
  </w:style>
  <w:style w:type="paragraph" w:customStyle="1" w:styleId="Default">
    <w:name w:val="Default"/>
    <w:rsid w:val="001C75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785B"/>
    <w:pPr>
      <w:ind w:left="720"/>
      <w:contextualSpacing/>
    </w:pPr>
  </w:style>
  <w:style w:type="paragraph" w:styleId="Header">
    <w:name w:val="header"/>
    <w:basedOn w:val="Normal"/>
    <w:link w:val="HeaderChar"/>
    <w:uiPriority w:val="99"/>
    <w:unhideWhenUsed/>
    <w:rsid w:val="009D3139"/>
    <w:pPr>
      <w:tabs>
        <w:tab w:val="center" w:pos="4680"/>
        <w:tab w:val="right" w:pos="9360"/>
      </w:tabs>
    </w:pPr>
  </w:style>
  <w:style w:type="character" w:customStyle="1" w:styleId="HeaderChar">
    <w:name w:val="Header Char"/>
    <w:basedOn w:val="DefaultParagraphFont"/>
    <w:link w:val="Header"/>
    <w:uiPriority w:val="99"/>
    <w:rsid w:val="009D3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3139"/>
    <w:pPr>
      <w:tabs>
        <w:tab w:val="center" w:pos="4680"/>
        <w:tab w:val="right" w:pos="9360"/>
      </w:tabs>
    </w:pPr>
  </w:style>
  <w:style w:type="character" w:customStyle="1" w:styleId="FooterChar">
    <w:name w:val="Footer Char"/>
    <w:basedOn w:val="DefaultParagraphFont"/>
    <w:link w:val="Footer"/>
    <w:uiPriority w:val="99"/>
    <w:rsid w:val="009D31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4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6A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246A3"/>
    <w:rPr>
      <w:sz w:val="16"/>
      <w:szCs w:val="16"/>
    </w:rPr>
  </w:style>
  <w:style w:type="paragraph" w:styleId="CommentText">
    <w:name w:val="annotation text"/>
    <w:basedOn w:val="Normal"/>
    <w:link w:val="CommentTextChar"/>
    <w:uiPriority w:val="99"/>
    <w:semiHidden/>
    <w:unhideWhenUsed/>
    <w:rsid w:val="004246A3"/>
  </w:style>
  <w:style w:type="character" w:customStyle="1" w:styleId="CommentTextChar">
    <w:name w:val="Comment Text Char"/>
    <w:basedOn w:val="DefaultParagraphFont"/>
    <w:link w:val="CommentText"/>
    <w:uiPriority w:val="99"/>
    <w:semiHidden/>
    <w:rsid w:val="004246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6A3"/>
    <w:rPr>
      <w:b/>
      <w:bCs/>
    </w:rPr>
  </w:style>
  <w:style w:type="character" w:customStyle="1" w:styleId="CommentSubjectChar">
    <w:name w:val="Comment Subject Char"/>
    <w:basedOn w:val="CommentTextChar"/>
    <w:link w:val="CommentSubject"/>
    <w:uiPriority w:val="99"/>
    <w:semiHidden/>
    <w:rsid w:val="004246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46091">
      <w:bodyDiv w:val="1"/>
      <w:marLeft w:val="0"/>
      <w:marRight w:val="0"/>
      <w:marTop w:val="0"/>
      <w:marBottom w:val="0"/>
      <w:divBdr>
        <w:top w:val="none" w:sz="0" w:space="0" w:color="auto"/>
        <w:left w:val="none" w:sz="0" w:space="0" w:color="auto"/>
        <w:bottom w:val="none" w:sz="0" w:space="0" w:color="auto"/>
        <w:right w:val="none" w:sz="0" w:space="0" w:color="auto"/>
      </w:divBdr>
    </w:div>
    <w:div w:id="8615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98002-7E94-4273-9334-76A45590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Reynolds, Doris</cp:lastModifiedBy>
  <cp:revision>3</cp:revision>
  <cp:lastPrinted>2018-07-12T16:50:00Z</cp:lastPrinted>
  <dcterms:created xsi:type="dcterms:W3CDTF">2018-07-12T16:51:00Z</dcterms:created>
  <dcterms:modified xsi:type="dcterms:W3CDTF">2018-07-12T16:51:00Z</dcterms:modified>
</cp:coreProperties>
</file>