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B84F7" w14:textId="77777777" w:rsidR="007E0B70" w:rsidRPr="002C61BD" w:rsidRDefault="007E0B70" w:rsidP="007E0B70">
      <w:pPr>
        <w:pStyle w:val="Heading8"/>
        <w:ind w:left="270"/>
        <w:jc w:val="center"/>
        <w:rPr>
          <w:rFonts w:ascii="Arial" w:hAnsi="Arial" w:cs="Arial"/>
          <w:sz w:val="32"/>
          <w:szCs w:val="32"/>
        </w:rPr>
      </w:pPr>
    </w:p>
    <w:p w14:paraId="5EB8A4FC" w14:textId="77777777" w:rsidR="00C26FE9" w:rsidRPr="002C61BD" w:rsidRDefault="00C26FE9" w:rsidP="007E0B70">
      <w:pPr>
        <w:pStyle w:val="Title"/>
        <w:rPr>
          <w:rFonts w:ascii="Arial" w:hAnsi="Arial" w:cs="Arial"/>
          <w:sz w:val="36"/>
          <w:szCs w:val="36"/>
          <w:u w:val="none"/>
        </w:rPr>
      </w:pPr>
    </w:p>
    <w:p w14:paraId="6C9E4CA8" w14:textId="77777777" w:rsidR="00C26FE9" w:rsidRPr="002C61BD" w:rsidRDefault="00C26FE9" w:rsidP="007E0B70">
      <w:pPr>
        <w:pStyle w:val="Title"/>
        <w:rPr>
          <w:rFonts w:ascii="Arial" w:hAnsi="Arial" w:cs="Arial"/>
          <w:sz w:val="36"/>
          <w:szCs w:val="36"/>
          <w:u w:val="none"/>
        </w:rPr>
      </w:pPr>
    </w:p>
    <w:p w14:paraId="0FEFC591" w14:textId="77777777" w:rsidR="00C26FE9" w:rsidRPr="002C61BD" w:rsidRDefault="00C26FE9" w:rsidP="007E0B70">
      <w:pPr>
        <w:pStyle w:val="Title"/>
        <w:rPr>
          <w:rFonts w:ascii="Arial" w:hAnsi="Arial" w:cs="Arial"/>
          <w:sz w:val="36"/>
          <w:szCs w:val="36"/>
          <w:u w:val="none"/>
        </w:rPr>
      </w:pPr>
    </w:p>
    <w:p w14:paraId="7C7AFAF4" w14:textId="77777777" w:rsidR="00C26FE9" w:rsidRPr="002C61BD" w:rsidRDefault="00C26FE9" w:rsidP="007E0B70">
      <w:pPr>
        <w:pStyle w:val="Title"/>
        <w:rPr>
          <w:rFonts w:ascii="Arial" w:hAnsi="Arial" w:cs="Arial"/>
          <w:sz w:val="36"/>
          <w:szCs w:val="36"/>
          <w:u w:val="none"/>
        </w:rPr>
      </w:pPr>
    </w:p>
    <w:p w14:paraId="14FA5416" w14:textId="77777777" w:rsidR="00015B05" w:rsidRPr="00015B05" w:rsidRDefault="00015B05" w:rsidP="00015B05">
      <w:pPr>
        <w:pStyle w:val="Heading1"/>
        <w:rPr>
          <w:rFonts w:ascii="Arial" w:hAnsi="Arial" w:cs="Arial"/>
          <w:sz w:val="36"/>
          <w:szCs w:val="36"/>
          <w:u w:val="none"/>
        </w:rPr>
      </w:pPr>
      <w:r w:rsidRPr="00015B05">
        <w:rPr>
          <w:rFonts w:ascii="Arial" w:hAnsi="Arial" w:cs="Arial"/>
          <w:sz w:val="36"/>
          <w:szCs w:val="36"/>
          <w:u w:val="none"/>
        </w:rPr>
        <w:t>PECO ENERGY COMPANY</w:t>
      </w:r>
    </w:p>
    <w:p w14:paraId="627883C4" w14:textId="77777777" w:rsidR="007E0B70" w:rsidRPr="002C61BD" w:rsidRDefault="007E0B70" w:rsidP="007E0B70">
      <w:pPr>
        <w:pStyle w:val="Heading8"/>
        <w:jc w:val="center"/>
        <w:rPr>
          <w:rFonts w:ascii="Arial" w:hAnsi="Arial" w:cs="Arial"/>
          <w:sz w:val="24"/>
          <w:szCs w:val="24"/>
        </w:rPr>
      </w:pPr>
    </w:p>
    <w:p w14:paraId="4463E3C0" w14:textId="77777777" w:rsidR="007E0B70" w:rsidRPr="002C61BD" w:rsidRDefault="007E0B70" w:rsidP="007E0B70">
      <w:pPr>
        <w:pStyle w:val="BodyText2"/>
        <w:rPr>
          <w:rFonts w:ascii="Arial" w:hAnsi="Arial" w:cs="Arial"/>
          <w:sz w:val="24"/>
          <w:szCs w:val="24"/>
        </w:rPr>
      </w:pPr>
    </w:p>
    <w:p w14:paraId="472505A8" w14:textId="77777777" w:rsidR="007E0B70" w:rsidRPr="002C61BD" w:rsidRDefault="007E0B70" w:rsidP="007E0B70">
      <w:pPr>
        <w:pStyle w:val="BodyText2"/>
        <w:rPr>
          <w:rFonts w:ascii="Arial" w:hAnsi="Arial" w:cs="Arial"/>
          <w:sz w:val="24"/>
          <w:szCs w:val="24"/>
        </w:rPr>
      </w:pPr>
    </w:p>
    <w:p w14:paraId="7256CDC1" w14:textId="77777777" w:rsidR="007E0B70" w:rsidRPr="002C61BD" w:rsidRDefault="007E0B70" w:rsidP="007E0B70">
      <w:pPr>
        <w:pStyle w:val="BodyText2"/>
        <w:rPr>
          <w:rFonts w:ascii="Arial" w:hAnsi="Arial" w:cs="Arial"/>
          <w:sz w:val="24"/>
          <w:szCs w:val="24"/>
        </w:rPr>
      </w:pPr>
    </w:p>
    <w:p w14:paraId="07204925" w14:textId="77777777" w:rsidR="007E0B70" w:rsidRPr="002C61BD" w:rsidRDefault="007E0B70" w:rsidP="007E0B70">
      <w:pPr>
        <w:pStyle w:val="BodyText2"/>
        <w:rPr>
          <w:rFonts w:ascii="Arial" w:hAnsi="Arial" w:cs="Arial"/>
          <w:sz w:val="24"/>
          <w:szCs w:val="24"/>
        </w:rPr>
      </w:pPr>
    </w:p>
    <w:p w14:paraId="7CA2D6CC" w14:textId="77777777" w:rsidR="007E0B70" w:rsidRPr="002C61BD" w:rsidRDefault="007E0B70" w:rsidP="007E0B70">
      <w:pPr>
        <w:pStyle w:val="BodyText2"/>
        <w:rPr>
          <w:rFonts w:ascii="Arial" w:hAnsi="Arial" w:cs="Arial"/>
          <w:sz w:val="24"/>
          <w:szCs w:val="24"/>
        </w:rPr>
      </w:pPr>
    </w:p>
    <w:p w14:paraId="0E173F75" w14:textId="77777777" w:rsidR="00C5750D" w:rsidRDefault="00C5750D" w:rsidP="00C5750D">
      <w:pPr>
        <w:suppressAutoHyphens/>
        <w:jc w:val="center"/>
        <w:rPr>
          <w:rFonts w:ascii="Arial" w:hAnsi="Arial" w:cs="Arial"/>
          <w:b/>
          <w:sz w:val="28"/>
          <w:szCs w:val="28"/>
        </w:rPr>
      </w:pPr>
      <w:r w:rsidRPr="00F51E91">
        <w:rPr>
          <w:rFonts w:ascii="Arial" w:hAnsi="Arial" w:cs="Arial"/>
          <w:b/>
          <w:sz w:val="28"/>
          <w:szCs w:val="28"/>
        </w:rPr>
        <w:t xml:space="preserve">REPORT ON THE </w:t>
      </w:r>
      <w:r>
        <w:rPr>
          <w:rFonts w:ascii="Arial" w:hAnsi="Arial" w:cs="Arial"/>
          <w:b/>
          <w:sz w:val="28"/>
          <w:szCs w:val="28"/>
        </w:rPr>
        <w:t xml:space="preserve">STATEMENT OF </w:t>
      </w:r>
    </w:p>
    <w:p w14:paraId="2CEA1BFC" w14:textId="77777777" w:rsidR="00C5750D" w:rsidRDefault="00C5750D" w:rsidP="00C5750D">
      <w:pPr>
        <w:suppressAutoHyphens/>
        <w:jc w:val="center"/>
        <w:rPr>
          <w:rFonts w:ascii="Arial" w:hAnsi="Arial" w:cs="Arial"/>
          <w:b/>
          <w:sz w:val="28"/>
          <w:szCs w:val="28"/>
        </w:rPr>
      </w:pPr>
    </w:p>
    <w:p w14:paraId="5372BDC7" w14:textId="77777777" w:rsidR="00B7724B" w:rsidRDefault="00C5750D" w:rsidP="00C5750D">
      <w:pPr>
        <w:suppressAutoHyphens/>
        <w:jc w:val="center"/>
        <w:rPr>
          <w:rFonts w:ascii="Arial" w:hAnsi="Arial" w:cs="Arial"/>
          <w:b/>
          <w:sz w:val="28"/>
          <w:szCs w:val="28"/>
        </w:rPr>
      </w:pPr>
      <w:r w:rsidRPr="00F51E91">
        <w:rPr>
          <w:rFonts w:ascii="Arial" w:hAnsi="Arial" w:cs="Arial"/>
          <w:b/>
          <w:sz w:val="28"/>
          <w:szCs w:val="28"/>
        </w:rPr>
        <w:t xml:space="preserve">ENERGY EFFICIENCY AND CONSERVATION </w:t>
      </w:r>
    </w:p>
    <w:p w14:paraId="0B4CBB74" w14:textId="77777777" w:rsidR="00B7724B" w:rsidRDefault="00B7724B" w:rsidP="00C5750D">
      <w:pPr>
        <w:suppressAutoHyphens/>
        <w:jc w:val="center"/>
        <w:rPr>
          <w:rFonts w:ascii="Arial" w:hAnsi="Arial" w:cs="Arial"/>
          <w:b/>
          <w:sz w:val="28"/>
          <w:szCs w:val="28"/>
        </w:rPr>
      </w:pPr>
    </w:p>
    <w:p w14:paraId="67E86664" w14:textId="74618B61" w:rsidR="00C5750D" w:rsidRPr="00546BB7" w:rsidRDefault="00C5750D" w:rsidP="00C5750D">
      <w:pPr>
        <w:suppressAutoHyphens/>
        <w:jc w:val="center"/>
        <w:rPr>
          <w:rFonts w:ascii="Arial" w:hAnsi="Arial" w:cs="Arial"/>
          <w:b/>
          <w:sz w:val="28"/>
          <w:szCs w:val="28"/>
        </w:rPr>
      </w:pPr>
      <w:r w:rsidRPr="00F51E91">
        <w:rPr>
          <w:rFonts w:ascii="Arial" w:hAnsi="Arial" w:cs="Arial"/>
          <w:b/>
          <w:sz w:val="28"/>
          <w:szCs w:val="28"/>
        </w:rPr>
        <w:t xml:space="preserve">PROGRAM </w:t>
      </w:r>
      <w:r>
        <w:rPr>
          <w:rFonts w:ascii="Arial" w:hAnsi="Arial" w:cs="Arial"/>
          <w:b/>
          <w:sz w:val="28"/>
          <w:szCs w:val="28"/>
        </w:rPr>
        <w:t>COSTS PHASE II</w:t>
      </w:r>
    </w:p>
    <w:p w14:paraId="59ACEFDB" w14:textId="77777777" w:rsidR="00C5750D" w:rsidRPr="00F51E91" w:rsidRDefault="00C5750D" w:rsidP="00C5750D">
      <w:pPr>
        <w:suppressAutoHyphens/>
        <w:jc w:val="center"/>
        <w:rPr>
          <w:rFonts w:ascii="Arial" w:hAnsi="Arial" w:cs="Arial"/>
          <w:sz w:val="28"/>
          <w:szCs w:val="28"/>
        </w:rPr>
      </w:pPr>
    </w:p>
    <w:p w14:paraId="5A7A831E" w14:textId="77777777" w:rsidR="00C5750D" w:rsidRDefault="00C5750D" w:rsidP="00C5750D">
      <w:pPr>
        <w:suppressAutoHyphens/>
        <w:spacing w:line="480" w:lineRule="auto"/>
        <w:jc w:val="center"/>
        <w:rPr>
          <w:rFonts w:ascii="Arial" w:hAnsi="Arial" w:cs="Arial"/>
          <w:b/>
          <w:sz w:val="28"/>
          <w:szCs w:val="28"/>
        </w:rPr>
      </w:pPr>
      <w:r w:rsidRPr="00F51E91">
        <w:rPr>
          <w:rFonts w:ascii="Arial" w:hAnsi="Arial" w:cs="Arial"/>
          <w:b/>
          <w:sz w:val="28"/>
          <w:szCs w:val="28"/>
        </w:rPr>
        <w:t>FOR THE PERIOD</w:t>
      </w:r>
      <w:r>
        <w:rPr>
          <w:rFonts w:ascii="Arial" w:hAnsi="Arial" w:cs="Arial"/>
          <w:b/>
          <w:sz w:val="28"/>
          <w:szCs w:val="28"/>
        </w:rPr>
        <w:t xml:space="preserve"> JU</w:t>
      </w:r>
      <w:r w:rsidR="00DB6C5B">
        <w:rPr>
          <w:rFonts w:ascii="Arial" w:hAnsi="Arial" w:cs="Arial"/>
          <w:b/>
          <w:sz w:val="28"/>
          <w:szCs w:val="28"/>
        </w:rPr>
        <w:t>NE</w:t>
      </w:r>
      <w:r>
        <w:rPr>
          <w:rFonts w:ascii="Arial" w:hAnsi="Arial" w:cs="Arial"/>
          <w:b/>
          <w:sz w:val="28"/>
          <w:szCs w:val="28"/>
        </w:rPr>
        <w:t xml:space="preserve"> 1, 201</w:t>
      </w:r>
      <w:r w:rsidR="00DB6C5B">
        <w:rPr>
          <w:rFonts w:ascii="Arial" w:hAnsi="Arial" w:cs="Arial"/>
          <w:b/>
          <w:sz w:val="28"/>
          <w:szCs w:val="28"/>
        </w:rPr>
        <w:t>3</w:t>
      </w:r>
      <w:r>
        <w:rPr>
          <w:rFonts w:ascii="Arial" w:hAnsi="Arial" w:cs="Arial"/>
          <w:b/>
          <w:sz w:val="28"/>
          <w:szCs w:val="28"/>
        </w:rPr>
        <w:t xml:space="preserve"> THROUGH MA</w:t>
      </w:r>
      <w:r w:rsidR="00DB6C5B">
        <w:rPr>
          <w:rFonts w:ascii="Arial" w:hAnsi="Arial" w:cs="Arial"/>
          <w:b/>
          <w:sz w:val="28"/>
          <w:szCs w:val="28"/>
        </w:rPr>
        <w:t>RCH</w:t>
      </w:r>
      <w:r>
        <w:rPr>
          <w:rFonts w:ascii="Arial" w:hAnsi="Arial" w:cs="Arial"/>
          <w:b/>
          <w:sz w:val="28"/>
          <w:szCs w:val="28"/>
        </w:rPr>
        <w:t xml:space="preserve"> 31, 201</w:t>
      </w:r>
      <w:r w:rsidR="00DB6C5B">
        <w:rPr>
          <w:rFonts w:ascii="Arial" w:hAnsi="Arial" w:cs="Arial"/>
          <w:b/>
          <w:sz w:val="28"/>
          <w:szCs w:val="28"/>
        </w:rPr>
        <w:t>6</w:t>
      </w:r>
    </w:p>
    <w:p w14:paraId="2904F895" w14:textId="77777777" w:rsidR="007E0B70" w:rsidRPr="002C61BD" w:rsidRDefault="007E0B70" w:rsidP="007E0B70">
      <w:pPr>
        <w:pStyle w:val="BodyText2"/>
        <w:tabs>
          <w:tab w:val="clear" w:pos="4680"/>
        </w:tabs>
        <w:rPr>
          <w:rFonts w:ascii="Arial" w:hAnsi="Arial" w:cs="Arial"/>
          <w:sz w:val="24"/>
          <w:szCs w:val="24"/>
        </w:rPr>
      </w:pPr>
    </w:p>
    <w:p w14:paraId="3EC12812" w14:textId="77777777" w:rsidR="007E0B70" w:rsidRPr="002C61BD" w:rsidRDefault="007E0B70" w:rsidP="007E0B70">
      <w:pPr>
        <w:pStyle w:val="BodyText2"/>
        <w:tabs>
          <w:tab w:val="clear" w:pos="4680"/>
        </w:tabs>
        <w:rPr>
          <w:rFonts w:ascii="Arial" w:hAnsi="Arial" w:cs="Arial"/>
          <w:sz w:val="24"/>
          <w:szCs w:val="24"/>
        </w:rPr>
      </w:pPr>
    </w:p>
    <w:p w14:paraId="132B205F" w14:textId="77777777" w:rsidR="007E0B70" w:rsidRDefault="007E0B70" w:rsidP="007E0B70">
      <w:pPr>
        <w:pStyle w:val="BodyText2"/>
        <w:tabs>
          <w:tab w:val="clear" w:pos="4680"/>
        </w:tabs>
        <w:rPr>
          <w:rFonts w:ascii="Arial" w:hAnsi="Arial" w:cs="Arial"/>
          <w:sz w:val="28"/>
          <w:szCs w:val="24"/>
        </w:rPr>
      </w:pPr>
    </w:p>
    <w:p w14:paraId="78858A37" w14:textId="77777777" w:rsidR="00C428B6" w:rsidRPr="002C61BD" w:rsidRDefault="00C428B6" w:rsidP="007E0B70">
      <w:pPr>
        <w:pStyle w:val="BodyText2"/>
        <w:tabs>
          <w:tab w:val="clear" w:pos="4680"/>
        </w:tabs>
        <w:rPr>
          <w:rFonts w:ascii="Arial" w:hAnsi="Arial" w:cs="Arial"/>
          <w:sz w:val="28"/>
          <w:szCs w:val="24"/>
        </w:rPr>
      </w:pPr>
    </w:p>
    <w:p w14:paraId="3614588B" w14:textId="77777777" w:rsidR="007E0B70" w:rsidRDefault="007E0B70" w:rsidP="007E0B70">
      <w:pPr>
        <w:tabs>
          <w:tab w:val="center" w:pos="4680"/>
        </w:tabs>
        <w:suppressAutoHyphens/>
        <w:jc w:val="center"/>
        <w:rPr>
          <w:rFonts w:ascii="Arial" w:hAnsi="Arial" w:cs="Arial"/>
          <w:b/>
          <w:sz w:val="28"/>
          <w:szCs w:val="28"/>
        </w:rPr>
      </w:pPr>
    </w:p>
    <w:p w14:paraId="45958A03" w14:textId="77777777" w:rsidR="00075206" w:rsidRDefault="00075206" w:rsidP="007E0B70">
      <w:pPr>
        <w:tabs>
          <w:tab w:val="center" w:pos="4680"/>
        </w:tabs>
        <w:suppressAutoHyphens/>
        <w:jc w:val="center"/>
        <w:rPr>
          <w:rFonts w:ascii="Arial" w:hAnsi="Arial" w:cs="Arial"/>
          <w:b/>
          <w:sz w:val="28"/>
          <w:szCs w:val="28"/>
        </w:rPr>
      </w:pPr>
    </w:p>
    <w:p w14:paraId="14DC73CD" w14:textId="77777777" w:rsidR="00075206" w:rsidRPr="002C61BD" w:rsidRDefault="00075206" w:rsidP="007E0B70">
      <w:pPr>
        <w:tabs>
          <w:tab w:val="center" w:pos="4680"/>
        </w:tabs>
        <w:suppressAutoHyphens/>
        <w:jc w:val="center"/>
        <w:rPr>
          <w:rFonts w:ascii="Arial" w:hAnsi="Arial" w:cs="Arial"/>
          <w:b/>
          <w:sz w:val="28"/>
          <w:szCs w:val="28"/>
        </w:rPr>
      </w:pPr>
    </w:p>
    <w:p w14:paraId="685349B9" w14:textId="77777777" w:rsidR="00C26FE9" w:rsidRPr="002C61BD" w:rsidRDefault="00C26FE9" w:rsidP="007E0B70">
      <w:pPr>
        <w:tabs>
          <w:tab w:val="center" w:pos="4680"/>
        </w:tabs>
        <w:suppressAutoHyphens/>
        <w:jc w:val="center"/>
        <w:rPr>
          <w:rFonts w:ascii="Arial" w:hAnsi="Arial" w:cs="Arial"/>
          <w:b/>
          <w:sz w:val="28"/>
          <w:szCs w:val="28"/>
        </w:rPr>
      </w:pPr>
    </w:p>
    <w:p w14:paraId="5E403EA2" w14:textId="77777777" w:rsidR="00C26FE9" w:rsidRPr="002C61BD" w:rsidRDefault="00C26FE9" w:rsidP="007E0B70">
      <w:pPr>
        <w:tabs>
          <w:tab w:val="center" w:pos="4680"/>
        </w:tabs>
        <w:suppressAutoHyphens/>
        <w:jc w:val="center"/>
        <w:rPr>
          <w:rFonts w:ascii="Arial" w:hAnsi="Arial" w:cs="Arial"/>
          <w:b/>
          <w:sz w:val="28"/>
          <w:szCs w:val="28"/>
        </w:rPr>
      </w:pPr>
    </w:p>
    <w:p w14:paraId="61AFB36D" w14:textId="77777777" w:rsidR="007E0B70" w:rsidRPr="002C61BD" w:rsidRDefault="007E0B70" w:rsidP="007E0B70">
      <w:pPr>
        <w:tabs>
          <w:tab w:val="center" w:pos="4680"/>
        </w:tabs>
        <w:suppressAutoHyphens/>
        <w:jc w:val="center"/>
        <w:rPr>
          <w:rFonts w:ascii="Arial" w:hAnsi="Arial" w:cs="Arial"/>
          <w:b/>
          <w:sz w:val="28"/>
          <w:szCs w:val="28"/>
        </w:rPr>
      </w:pPr>
    </w:p>
    <w:p w14:paraId="2C834FFD" w14:textId="77777777" w:rsidR="007E0B70" w:rsidRDefault="007E0B70" w:rsidP="007E0B70">
      <w:pPr>
        <w:tabs>
          <w:tab w:val="center" w:pos="4680"/>
        </w:tabs>
        <w:suppressAutoHyphens/>
        <w:jc w:val="center"/>
        <w:rPr>
          <w:rFonts w:ascii="Arial" w:hAnsi="Arial" w:cs="Arial"/>
          <w:b/>
          <w:sz w:val="28"/>
          <w:szCs w:val="28"/>
        </w:rPr>
      </w:pPr>
    </w:p>
    <w:p w14:paraId="44A06C42" w14:textId="77777777" w:rsidR="00C428B6" w:rsidRPr="002C61BD" w:rsidRDefault="00C428B6" w:rsidP="007E0B70">
      <w:pPr>
        <w:tabs>
          <w:tab w:val="center" w:pos="4680"/>
        </w:tabs>
        <w:suppressAutoHyphens/>
        <w:jc w:val="center"/>
        <w:rPr>
          <w:rFonts w:ascii="Arial" w:hAnsi="Arial" w:cs="Arial"/>
          <w:b/>
          <w:sz w:val="28"/>
          <w:szCs w:val="28"/>
        </w:rPr>
      </w:pPr>
    </w:p>
    <w:p w14:paraId="59660787" w14:textId="77777777" w:rsidR="004C7D69" w:rsidRDefault="004C7D69" w:rsidP="007E0B70">
      <w:pPr>
        <w:tabs>
          <w:tab w:val="center" w:pos="4680"/>
        </w:tabs>
        <w:suppressAutoHyphens/>
        <w:jc w:val="center"/>
        <w:outlineLvl w:val="0"/>
        <w:rPr>
          <w:rFonts w:ascii="Arial" w:hAnsi="Arial" w:cs="Arial"/>
          <w:b/>
          <w:sz w:val="28"/>
          <w:szCs w:val="28"/>
        </w:rPr>
      </w:pPr>
    </w:p>
    <w:p w14:paraId="3A3BA0EF" w14:textId="77777777" w:rsidR="004C7D69" w:rsidRDefault="004C7D69" w:rsidP="007E0B70">
      <w:pPr>
        <w:tabs>
          <w:tab w:val="center" w:pos="4680"/>
        </w:tabs>
        <w:suppressAutoHyphens/>
        <w:jc w:val="center"/>
        <w:outlineLvl w:val="0"/>
        <w:rPr>
          <w:rFonts w:ascii="Arial" w:hAnsi="Arial" w:cs="Arial"/>
          <w:b/>
          <w:sz w:val="28"/>
          <w:szCs w:val="28"/>
        </w:rPr>
      </w:pPr>
    </w:p>
    <w:p w14:paraId="1C99B0F7" w14:textId="77777777" w:rsidR="004C7D69" w:rsidRDefault="004C7D69" w:rsidP="007E0B70">
      <w:pPr>
        <w:tabs>
          <w:tab w:val="center" w:pos="4680"/>
        </w:tabs>
        <w:suppressAutoHyphens/>
        <w:jc w:val="center"/>
        <w:outlineLvl w:val="0"/>
        <w:rPr>
          <w:rFonts w:ascii="Arial" w:hAnsi="Arial" w:cs="Arial"/>
          <w:b/>
          <w:sz w:val="28"/>
          <w:szCs w:val="28"/>
        </w:rPr>
      </w:pPr>
    </w:p>
    <w:p w14:paraId="4F26B9CA" w14:textId="77777777" w:rsidR="00E35E60" w:rsidRDefault="00E35E60" w:rsidP="007E0B70">
      <w:pPr>
        <w:tabs>
          <w:tab w:val="center" w:pos="4680"/>
        </w:tabs>
        <w:suppressAutoHyphens/>
        <w:jc w:val="center"/>
        <w:outlineLvl w:val="0"/>
        <w:rPr>
          <w:rFonts w:ascii="Arial" w:hAnsi="Arial" w:cs="Arial"/>
          <w:b/>
          <w:sz w:val="28"/>
          <w:szCs w:val="28"/>
        </w:rPr>
      </w:pPr>
    </w:p>
    <w:p w14:paraId="1BB24DDB" w14:textId="77777777" w:rsidR="007E0B70" w:rsidRPr="002C61BD" w:rsidRDefault="007E0B70" w:rsidP="007E0B70">
      <w:pPr>
        <w:tabs>
          <w:tab w:val="center" w:pos="4680"/>
        </w:tabs>
        <w:suppressAutoHyphens/>
        <w:jc w:val="center"/>
        <w:outlineLvl w:val="0"/>
        <w:rPr>
          <w:rFonts w:ascii="Arial" w:hAnsi="Arial" w:cs="Arial"/>
          <w:b/>
          <w:sz w:val="28"/>
          <w:szCs w:val="28"/>
        </w:rPr>
      </w:pPr>
      <w:r w:rsidRPr="002C61BD">
        <w:rPr>
          <w:rFonts w:ascii="Arial" w:hAnsi="Arial" w:cs="Arial"/>
          <w:b/>
          <w:sz w:val="28"/>
          <w:szCs w:val="28"/>
        </w:rPr>
        <w:t>Pennsylvania Public Utility Commission</w:t>
      </w:r>
    </w:p>
    <w:p w14:paraId="22618B60" w14:textId="77777777" w:rsidR="007E0B70" w:rsidRPr="002C61BD" w:rsidRDefault="007E0B70" w:rsidP="007E0B70">
      <w:pPr>
        <w:tabs>
          <w:tab w:val="center" w:pos="4680"/>
        </w:tabs>
        <w:suppressAutoHyphens/>
        <w:rPr>
          <w:rFonts w:ascii="Arial" w:hAnsi="Arial" w:cs="Arial"/>
          <w:b/>
          <w:sz w:val="28"/>
          <w:szCs w:val="28"/>
        </w:rPr>
      </w:pPr>
      <w:r w:rsidRPr="002C61BD">
        <w:rPr>
          <w:rFonts w:ascii="Arial" w:hAnsi="Arial" w:cs="Arial"/>
          <w:b/>
          <w:sz w:val="28"/>
          <w:szCs w:val="28"/>
        </w:rPr>
        <w:tab/>
        <w:t xml:space="preserve">Bureau </w:t>
      </w:r>
      <w:r w:rsidR="00E35E60">
        <w:rPr>
          <w:rFonts w:ascii="Arial" w:hAnsi="Arial" w:cs="Arial"/>
          <w:b/>
          <w:sz w:val="28"/>
          <w:szCs w:val="28"/>
        </w:rPr>
        <w:t>o</w:t>
      </w:r>
      <w:r w:rsidRPr="002C61BD">
        <w:rPr>
          <w:rFonts w:ascii="Arial" w:hAnsi="Arial" w:cs="Arial"/>
          <w:b/>
          <w:sz w:val="28"/>
          <w:szCs w:val="28"/>
        </w:rPr>
        <w:t>f Audits</w:t>
      </w:r>
    </w:p>
    <w:p w14:paraId="132C99ED" w14:textId="3C90A948" w:rsidR="007E0B70" w:rsidRDefault="007E0B70" w:rsidP="007E0B70">
      <w:pPr>
        <w:tabs>
          <w:tab w:val="center" w:pos="4680"/>
        </w:tabs>
        <w:suppressAutoHyphens/>
        <w:rPr>
          <w:rFonts w:ascii="Arial" w:hAnsi="Arial" w:cs="Arial"/>
          <w:b/>
          <w:sz w:val="28"/>
          <w:szCs w:val="28"/>
        </w:rPr>
      </w:pPr>
      <w:r w:rsidRPr="002C61BD">
        <w:rPr>
          <w:rFonts w:ascii="Arial" w:hAnsi="Arial" w:cs="Arial"/>
          <w:b/>
          <w:sz w:val="28"/>
          <w:szCs w:val="28"/>
        </w:rPr>
        <w:tab/>
      </w:r>
      <w:r w:rsidR="00E35E60">
        <w:rPr>
          <w:rFonts w:ascii="Arial" w:hAnsi="Arial" w:cs="Arial"/>
          <w:b/>
          <w:sz w:val="28"/>
          <w:szCs w:val="28"/>
        </w:rPr>
        <w:t xml:space="preserve">June </w:t>
      </w:r>
      <w:r w:rsidR="00192777">
        <w:rPr>
          <w:rFonts w:ascii="Arial" w:hAnsi="Arial" w:cs="Arial"/>
          <w:b/>
          <w:sz w:val="28"/>
          <w:szCs w:val="28"/>
        </w:rPr>
        <w:t>21</w:t>
      </w:r>
      <w:r w:rsidR="00E35E60">
        <w:rPr>
          <w:rFonts w:ascii="Arial" w:hAnsi="Arial" w:cs="Arial"/>
          <w:b/>
          <w:sz w:val="28"/>
          <w:szCs w:val="28"/>
        </w:rPr>
        <w:t>, 2018</w:t>
      </w:r>
    </w:p>
    <w:p w14:paraId="3119C77B" w14:textId="77777777" w:rsidR="00B92D69" w:rsidRPr="002C61BD" w:rsidRDefault="00B92D69" w:rsidP="007E0B70">
      <w:pPr>
        <w:tabs>
          <w:tab w:val="center" w:pos="4680"/>
        </w:tabs>
        <w:suppressAutoHyphens/>
        <w:rPr>
          <w:rFonts w:ascii="Arial" w:hAnsi="Arial" w:cs="Arial"/>
          <w:b/>
          <w:sz w:val="28"/>
          <w:szCs w:val="28"/>
        </w:rPr>
      </w:pPr>
    </w:p>
    <w:p w14:paraId="45067DDE" w14:textId="77777777" w:rsidR="00CB7699" w:rsidRPr="002C61BD" w:rsidRDefault="007E0B70" w:rsidP="007E0B70">
      <w:pPr>
        <w:tabs>
          <w:tab w:val="center" w:pos="4680"/>
        </w:tabs>
        <w:suppressAutoHyphens/>
        <w:rPr>
          <w:rFonts w:ascii="Arial" w:hAnsi="Arial" w:cs="Arial"/>
          <w:b/>
          <w:sz w:val="28"/>
          <w:szCs w:val="28"/>
        </w:rPr>
        <w:sectPr w:rsidR="00CB7699" w:rsidRPr="002C61BD" w:rsidSect="0099113D">
          <w:headerReference w:type="even" r:id="rId8"/>
          <w:headerReference w:type="default" r:id="rId9"/>
          <w:headerReference w:type="first" r:id="rId10"/>
          <w:footerReference w:type="first" r:id="rId11"/>
          <w:endnotePr>
            <w:numFmt w:val="decimal"/>
          </w:endnotePr>
          <w:pgSz w:w="12240" w:h="15840" w:code="1"/>
          <w:pgMar w:top="432" w:right="1440" w:bottom="1440" w:left="1440" w:header="720" w:footer="720" w:gutter="0"/>
          <w:pgNumType w:start="3"/>
          <w:cols w:space="720"/>
          <w:noEndnote/>
          <w:docGrid w:linePitch="326"/>
        </w:sectPr>
      </w:pPr>
      <w:r w:rsidRPr="002C61BD">
        <w:rPr>
          <w:rFonts w:ascii="Arial" w:hAnsi="Arial" w:cs="Arial"/>
          <w:b/>
          <w:sz w:val="28"/>
          <w:szCs w:val="28"/>
        </w:rPr>
        <w:tab/>
        <w:t>Docket: D-</w:t>
      </w:r>
      <w:r w:rsidR="004C7D69" w:rsidRPr="004C7D69">
        <w:rPr>
          <w:rFonts w:ascii="Arial" w:hAnsi="Arial" w:cs="Arial"/>
          <w:b/>
          <w:sz w:val="28"/>
          <w:szCs w:val="28"/>
        </w:rPr>
        <w:t>2017-2584031</w:t>
      </w:r>
    </w:p>
    <w:p w14:paraId="251792BB" w14:textId="77777777" w:rsidR="007E0B70" w:rsidRPr="002C61BD" w:rsidRDefault="007E0B70" w:rsidP="007E0B70">
      <w:pPr>
        <w:tabs>
          <w:tab w:val="left" w:pos="180"/>
          <w:tab w:val="left" w:pos="270"/>
        </w:tabs>
        <w:suppressAutoHyphens/>
        <w:rPr>
          <w:rFonts w:ascii="Arial" w:hAnsi="Arial" w:cs="Arial"/>
          <w:szCs w:val="24"/>
        </w:rPr>
      </w:pPr>
    </w:p>
    <w:p w14:paraId="1464C4B0" w14:textId="77777777" w:rsidR="007E0B70" w:rsidRPr="004A75C3" w:rsidRDefault="00F51E91" w:rsidP="007E0B70">
      <w:pPr>
        <w:jc w:val="center"/>
        <w:rPr>
          <w:rFonts w:ascii="Arial" w:hAnsi="Arial" w:cs="Arial"/>
          <w:b/>
          <w:sz w:val="26"/>
          <w:szCs w:val="26"/>
        </w:rPr>
      </w:pPr>
      <w:r w:rsidRPr="004A75C3">
        <w:rPr>
          <w:rFonts w:ascii="Arial" w:hAnsi="Arial" w:cs="Arial"/>
          <w:b/>
          <w:sz w:val="26"/>
          <w:szCs w:val="26"/>
        </w:rPr>
        <w:t xml:space="preserve">Table of </w:t>
      </w:r>
      <w:r w:rsidR="007E0B70" w:rsidRPr="004A75C3">
        <w:rPr>
          <w:rFonts w:ascii="Arial" w:hAnsi="Arial" w:cs="Arial"/>
          <w:b/>
          <w:sz w:val="26"/>
          <w:szCs w:val="26"/>
        </w:rPr>
        <w:t>Contents</w:t>
      </w:r>
    </w:p>
    <w:p w14:paraId="78DA429D" w14:textId="77777777" w:rsidR="007E0B70" w:rsidRPr="002C61BD" w:rsidRDefault="007E0B70" w:rsidP="007E0B70">
      <w:pPr>
        <w:tabs>
          <w:tab w:val="left" w:pos="-720"/>
          <w:tab w:val="left" w:pos="180"/>
          <w:tab w:val="left" w:pos="270"/>
        </w:tabs>
        <w:suppressAutoHyphens/>
        <w:ind w:right="-90"/>
        <w:rPr>
          <w:rFonts w:ascii="Arial" w:hAnsi="Arial" w:cs="Arial"/>
          <w:b/>
          <w:szCs w:val="24"/>
          <w:u w:val="single"/>
        </w:rPr>
      </w:pPr>
    </w:p>
    <w:p w14:paraId="683A8774" w14:textId="77777777" w:rsidR="007E0B70" w:rsidRPr="002C61BD" w:rsidRDefault="007E0B70" w:rsidP="007E0B70">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7E0B70" w:rsidRPr="002C61BD" w14:paraId="63DB3E67" w14:textId="77777777" w:rsidTr="00C5320E">
        <w:tc>
          <w:tcPr>
            <w:tcW w:w="8478" w:type="dxa"/>
          </w:tcPr>
          <w:p w14:paraId="286B6840" w14:textId="77777777" w:rsidR="007E0B70" w:rsidRPr="002C61BD" w:rsidRDefault="007E0B70" w:rsidP="00C5320E">
            <w:pPr>
              <w:tabs>
                <w:tab w:val="left" w:pos="-720"/>
                <w:tab w:val="left" w:pos="180"/>
                <w:tab w:val="left" w:pos="270"/>
              </w:tabs>
              <w:suppressAutoHyphens/>
              <w:rPr>
                <w:rFonts w:ascii="Arial" w:hAnsi="Arial" w:cs="Arial"/>
                <w:b/>
                <w:szCs w:val="24"/>
                <w:u w:val="single"/>
              </w:rPr>
            </w:pPr>
          </w:p>
        </w:tc>
        <w:tc>
          <w:tcPr>
            <w:tcW w:w="1098" w:type="dxa"/>
          </w:tcPr>
          <w:p w14:paraId="3B8B236F" w14:textId="77777777" w:rsidR="007E0B70" w:rsidRPr="002C61BD" w:rsidRDefault="007E0B70" w:rsidP="00C5320E">
            <w:pPr>
              <w:pStyle w:val="EndnoteText"/>
              <w:tabs>
                <w:tab w:val="left" w:pos="-720"/>
                <w:tab w:val="left" w:pos="180"/>
                <w:tab w:val="left" w:pos="270"/>
              </w:tabs>
              <w:suppressAutoHyphens/>
              <w:jc w:val="center"/>
              <w:rPr>
                <w:rFonts w:ascii="Arial" w:hAnsi="Arial" w:cs="Arial"/>
                <w:b/>
                <w:szCs w:val="24"/>
                <w:u w:val="single"/>
              </w:rPr>
            </w:pPr>
            <w:r w:rsidRPr="002C61BD">
              <w:rPr>
                <w:rFonts w:ascii="Arial" w:hAnsi="Arial" w:cs="Arial"/>
                <w:b/>
                <w:szCs w:val="24"/>
                <w:u w:val="single"/>
              </w:rPr>
              <w:t>Page</w:t>
            </w:r>
          </w:p>
        </w:tc>
      </w:tr>
      <w:tr w:rsidR="007E0B70" w:rsidRPr="002C61BD" w14:paraId="1BC309EA" w14:textId="77777777" w:rsidTr="00C5320E">
        <w:trPr>
          <w:trHeight w:hRule="exact" w:val="216"/>
        </w:trPr>
        <w:tc>
          <w:tcPr>
            <w:tcW w:w="8478" w:type="dxa"/>
          </w:tcPr>
          <w:p w14:paraId="6CF5D087" w14:textId="77777777" w:rsidR="007E0B70" w:rsidRPr="002C61BD" w:rsidRDefault="007E0B70" w:rsidP="00C5320E">
            <w:pPr>
              <w:tabs>
                <w:tab w:val="left" w:pos="-720"/>
                <w:tab w:val="left" w:pos="180"/>
                <w:tab w:val="left" w:pos="270"/>
              </w:tabs>
              <w:suppressAutoHyphens/>
              <w:rPr>
                <w:rFonts w:ascii="Arial" w:hAnsi="Arial" w:cs="Arial"/>
                <w:b/>
                <w:szCs w:val="24"/>
                <w:u w:val="single"/>
              </w:rPr>
            </w:pPr>
          </w:p>
        </w:tc>
        <w:tc>
          <w:tcPr>
            <w:tcW w:w="1098" w:type="dxa"/>
          </w:tcPr>
          <w:p w14:paraId="2D4DC674" w14:textId="77777777" w:rsidR="007E0B70" w:rsidRPr="002C61BD" w:rsidRDefault="007E0B70" w:rsidP="00C5320E">
            <w:pPr>
              <w:pStyle w:val="EndnoteText"/>
              <w:tabs>
                <w:tab w:val="left" w:pos="-720"/>
                <w:tab w:val="left" w:pos="180"/>
                <w:tab w:val="left" w:pos="270"/>
              </w:tabs>
              <w:suppressAutoHyphens/>
              <w:jc w:val="center"/>
              <w:rPr>
                <w:rFonts w:ascii="Arial" w:hAnsi="Arial" w:cs="Arial"/>
                <w:b/>
                <w:szCs w:val="24"/>
                <w:u w:val="single"/>
              </w:rPr>
            </w:pPr>
          </w:p>
        </w:tc>
      </w:tr>
      <w:tr w:rsidR="007E0B70" w:rsidRPr="006D1B53" w14:paraId="34140EB8" w14:textId="77777777" w:rsidTr="00C5320E">
        <w:tc>
          <w:tcPr>
            <w:tcW w:w="8478" w:type="dxa"/>
          </w:tcPr>
          <w:p w14:paraId="24600B35" w14:textId="77777777" w:rsidR="007E0B70" w:rsidRPr="006D1B53" w:rsidRDefault="007E0B70" w:rsidP="00C5320E">
            <w:pPr>
              <w:tabs>
                <w:tab w:val="left" w:pos="-720"/>
                <w:tab w:val="left" w:pos="180"/>
                <w:tab w:val="left" w:pos="270"/>
              </w:tabs>
              <w:suppressAutoHyphens/>
              <w:rPr>
                <w:rFonts w:ascii="Arial" w:hAnsi="Arial" w:cs="Arial"/>
                <w:b/>
                <w:szCs w:val="24"/>
              </w:rPr>
            </w:pPr>
            <w:r w:rsidRPr="006D1B53">
              <w:rPr>
                <w:rFonts w:ascii="Arial" w:hAnsi="Arial" w:cs="Arial"/>
                <w:b/>
                <w:szCs w:val="24"/>
              </w:rPr>
              <w:t xml:space="preserve">FINANCIAL REVIEW </w:t>
            </w:r>
          </w:p>
        </w:tc>
        <w:tc>
          <w:tcPr>
            <w:tcW w:w="1098" w:type="dxa"/>
          </w:tcPr>
          <w:p w14:paraId="139AC8BF" w14:textId="77777777" w:rsidR="007E0B70" w:rsidRPr="006D1B53" w:rsidRDefault="007E0B70" w:rsidP="00C5320E">
            <w:pPr>
              <w:pStyle w:val="EndnoteText"/>
              <w:tabs>
                <w:tab w:val="right" w:pos="562"/>
              </w:tabs>
              <w:suppressAutoHyphens/>
              <w:rPr>
                <w:rFonts w:ascii="Arial" w:hAnsi="Arial" w:cs="Arial"/>
                <w:szCs w:val="24"/>
              </w:rPr>
            </w:pPr>
          </w:p>
        </w:tc>
      </w:tr>
      <w:tr w:rsidR="007E0B70" w:rsidRPr="002C61BD" w14:paraId="00B3CFA8" w14:textId="77777777" w:rsidTr="00C5320E">
        <w:tc>
          <w:tcPr>
            <w:tcW w:w="8478" w:type="dxa"/>
          </w:tcPr>
          <w:p w14:paraId="00857FB1" w14:textId="77777777" w:rsidR="007E0B70" w:rsidRPr="002C61BD" w:rsidRDefault="007E0B70" w:rsidP="00C5320E">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Pr>
          <w:p w14:paraId="1C804A6C" w14:textId="77777777" w:rsidR="007E0B70" w:rsidRPr="002C61BD" w:rsidRDefault="007E0B70" w:rsidP="00C5320E">
            <w:pPr>
              <w:pStyle w:val="EndnoteText"/>
              <w:tabs>
                <w:tab w:val="right" w:pos="562"/>
              </w:tabs>
              <w:suppressAutoHyphens/>
              <w:rPr>
                <w:rFonts w:ascii="Arial" w:hAnsi="Arial" w:cs="Arial"/>
                <w:szCs w:val="24"/>
              </w:rPr>
            </w:pPr>
          </w:p>
        </w:tc>
      </w:tr>
      <w:tr w:rsidR="007E0B70" w:rsidRPr="002C61BD" w14:paraId="761E8A79" w14:textId="77777777" w:rsidTr="00C5320E">
        <w:tc>
          <w:tcPr>
            <w:tcW w:w="8478" w:type="dxa"/>
          </w:tcPr>
          <w:p w14:paraId="0D32046A" w14:textId="77777777" w:rsidR="007E0B70" w:rsidRPr="006D1B53" w:rsidRDefault="007E0B70" w:rsidP="00C5320E">
            <w:pPr>
              <w:pStyle w:val="EndnoteText"/>
              <w:tabs>
                <w:tab w:val="left" w:pos="-720"/>
                <w:tab w:val="left" w:pos="360"/>
                <w:tab w:val="left" w:pos="540"/>
                <w:tab w:val="left" w:pos="810"/>
                <w:tab w:val="left" w:pos="9180"/>
              </w:tabs>
              <w:suppressAutoHyphens/>
              <w:rPr>
                <w:rFonts w:ascii="Arial" w:hAnsi="Arial" w:cs="Arial"/>
                <w:szCs w:val="24"/>
              </w:rPr>
            </w:pPr>
            <w:r w:rsidRPr="006D1B53">
              <w:rPr>
                <w:rFonts w:ascii="Arial" w:hAnsi="Arial" w:cs="Arial"/>
                <w:szCs w:val="24"/>
              </w:rPr>
              <w:tab/>
              <w:t>Independent Auditor's Report</w:t>
            </w:r>
          </w:p>
        </w:tc>
        <w:tc>
          <w:tcPr>
            <w:tcW w:w="1098" w:type="dxa"/>
          </w:tcPr>
          <w:p w14:paraId="52DFFDF5" w14:textId="77777777" w:rsidR="007E0B70" w:rsidRPr="006D1B53" w:rsidRDefault="007E0B70" w:rsidP="00C5320E">
            <w:pPr>
              <w:pStyle w:val="EndnoteText"/>
              <w:tabs>
                <w:tab w:val="right" w:pos="562"/>
              </w:tabs>
              <w:suppressAutoHyphens/>
              <w:jc w:val="center"/>
              <w:rPr>
                <w:rFonts w:ascii="Arial" w:hAnsi="Arial" w:cs="Arial"/>
                <w:szCs w:val="24"/>
              </w:rPr>
            </w:pPr>
            <w:r w:rsidRPr="006D1B53">
              <w:rPr>
                <w:rFonts w:ascii="Arial" w:hAnsi="Arial" w:cs="Arial"/>
                <w:szCs w:val="24"/>
              </w:rPr>
              <w:t>1</w:t>
            </w:r>
          </w:p>
        </w:tc>
      </w:tr>
      <w:tr w:rsidR="007E0B70" w:rsidRPr="002C61BD" w14:paraId="5D2BE9D5" w14:textId="77777777" w:rsidTr="00C5320E">
        <w:tc>
          <w:tcPr>
            <w:tcW w:w="8478" w:type="dxa"/>
          </w:tcPr>
          <w:p w14:paraId="0CB3486F" w14:textId="77777777" w:rsidR="007E0B70" w:rsidRPr="006D1B53" w:rsidRDefault="007E0B70" w:rsidP="00C5320E">
            <w:pPr>
              <w:pStyle w:val="EndnoteText"/>
              <w:tabs>
                <w:tab w:val="left" w:pos="9180"/>
              </w:tabs>
              <w:suppressAutoHyphens/>
              <w:ind w:left="360"/>
              <w:rPr>
                <w:rFonts w:ascii="Arial" w:hAnsi="Arial" w:cs="Arial"/>
                <w:szCs w:val="24"/>
              </w:rPr>
            </w:pPr>
          </w:p>
        </w:tc>
        <w:tc>
          <w:tcPr>
            <w:tcW w:w="1098" w:type="dxa"/>
          </w:tcPr>
          <w:p w14:paraId="54EE8332" w14:textId="77777777" w:rsidR="007E0B70" w:rsidRPr="006D1B53" w:rsidRDefault="007E0B70" w:rsidP="00C5320E">
            <w:pPr>
              <w:tabs>
                <w:tab w:val="right" w:pos="562"/>
              </w:tabs>
              <w:suppressAutoHyphens/>
              <w:rPr>
                <w:rFonts w:ascii="Arial" w:hAnsi="Arial" w:cs="Arial"/>
                <w:szCs w:val="24"/>
              </w:rPr>
            </w:pPr>
          </w:p>
        </w:tc>
      </w:tr>
      <w:tr w:rsidR="00075206" w:rsidRPr="002C61BD" w14:paraId="12AAEC64" w14:textId="77777777" w:rsidTr="00C5320E">
        <w:tc>
          <w:tcPr>
            <w:tcW w:w="8478" w:type="dxa"/>
          </w:tcPr>
          <w:p w14:paraId="78B673F5" w14:textId="1B5A4217" w:rsidR="00075206" w:rsidRPr="006D1B53" w:rsidRDefault="008D4518" w:rsidP="00422583">
            <w:pPr>
              <w:pStyle w:val="EndnoteText"/>
              <w:tabs>
                <w:tab w:val="left" w:pos="9180"/>
              </w:tabs>
              <w:suppressAutoHyphens/>
              <w:ind w:left="360"/>
              <w:rPr>
                <w:rFonts w:ascii="Arial" w:hAnsi="Arial" w:cs="Arial"/>
                <w:szCs w:val="24"/>
              </w:rPr>
            </w:pPr>
            <w:r w:rsidRPr="006D1B53">
              <w:rPr>
                <w:rFonts w:ascii="Arial" w:hAnsi="Arial" w:cs="Arial"/>
                <w:szCs w:val="24"/>
              </w:rPr>
              <w:t xml:space="preserve">Condensed </w:t>
            </w:r>
            <w:r w:rsidR="00075206" w:rsidRPr="006D1B53">
              <w:rPr>
                <w:rFonts w:ascii="Arial" w:hAnsi="Arial" w:cs="Arial"/>
                <w:szCs w:val="24"/>
              </w:rPr>
              <w:t>Statement of Energy Efficiency and Conservation</w:t>
            </w:r>
            <w:r w:rsidRPr="006D1B53">
              <w:rPr>
                <w:rFonts w:ascii="Arial" w:hAnsi="Arial" w:cs="Arial"/>
                <w:szCs w:val="24"/>
              </w:rPr>
              <w:t xml:space="preserve"> Program</w:t>
            </w:r>
            <w:r w:rsidR="00075206" w:rsidRPr="006D1B53">
              <w:rPr>
                <w:rFonts w:ascii="Arial" w:hAnsi="Arial" w:cs="Arial"/>
                <w:szCs w:val="24"/>
              </w:rPr>
              <w:t xml:space="preserve"> C</w:t>
            </w:r>
            <w:r w:rsidR="00925941">
              <w:rPr>
                <w:rFonts w:ascii="Arial" w:hAnsi="Arial" w:cs="Arial"/>
                <w:szCs w:val="24"/>
              </w:rPr>
              <w:t>osts</w:t>
            </w:r>
            <w:r w:rsidR="00075206" w:rsidRPr="006D1B53">
              <w:rPr>
                <w:rFonts w:ascii="Arial" w:hAnsi="Arial" w:cs="Arial"/>
                <w:szCs w:val="24"/>
              </w:rPr>
              <w:t xml:space="preserve"> (EEPC) </w:t>
            </w:r>
            <w:r w:rsidR="0067347C">
              <w:rPr>
                <w:rFonts w:ascii="Arial" w:hAnsi="Arial" w:cs="Arial"/>
                <w:szCs w:val="24"/>
              </w:rPr>
              <w:t xml:space="preserve">Phase II </w:t>
            </w:r>
            <w:r w:rsidR="00075206" w:rsidRPr="006D1B53">
              <w:rPr>
                <w:rFonts w:ascii="Arial" w:hAnsi="Arial" w:cs="Arial"/>
                <w:szCs w:val="24"/>
              </w:rPr>
              <w:t xml:space="preserve">Over/(Under) Collections </w:t>
            </w:r>
            <w:r w:rsidR="00E27C50">
              <w:rPr>
                <w:rFonts w:ascii="Arial" w:hAnsi="Arial" w:cs="Arial"/>
                <w:szCs w:val="24"/>
              </w:rPr>
              <w:t xml:space="preserve">(Section 1307(e)) </w:t>
            </w:r>
            <w:r w:rsidR="0078115E">
              <w:rPr>
                <w:rFonts w:ascii="Arial" w:hAnsi="Arial" w:cs="Arial"/>
                <w:szCs w:val="24"/>
              </w:rPr>
              <w:t>f</w:t>
            </w:r>
            <w:r w:rsidR="00075206" w:rsidRPr="006D1B53">
              <w:rPr>
                <w:rFonts w:ascii="Arial" w:hAnsi="Arial" w:cs="Arial"/>
                <w:szCs w:val="24"/>
              </w:rPr>
              <w:t xml:space="preserve">or </w:t>
            </w:r>
            <w:r w:rsidR="0078115E">
              <w:rPr>
                <w:rFonts w:ascii="Arial" w:hAnsi="Arial" w:cs="Arial"/>
                <w:szCs w:val="24"/>
              </w:rPr>
              <w:t>t</w:t>
            </w:r>
            <w:r w:rsidR="00075206" w:rsidRPr="006D1B53">
              <w:rPr>
                <w:rFonts w:ascii="Arial" w:hAnsi="Arial" w:cs="Arial"/>
                <w:szCs w:val="24"/>
              </w:rPr>
              <w:t xml:space="preserve">he </w:t>
            </w:r>
            <w:r w:rsidR="00E27C50">
              <w:rPr>
                <w:rFonts w:ascii="Arial" w:hAnsi="Arial" w:cs="Arial"/>
                <w:szCs w:val="24"/>
              </w:rPr>
              <w:t>Period June 1, 2013 through</w:t>
            </w:r>
            <w:r w:rsidR="00075206" w:rsidRPr="006D1B53">
              <w:rPr>
                <w:rFonts w:ascii="Arial" w:hAnsi="Arial" w:cs="Arial"/>
                <w:szCs w:val="24"/>
              </w:rPr>
              <w:t xml:space="preserve"> Ma</w:t>
            </w:r>
            <w:r w:rsidR="00422583">
              <w:rPr>
                <w:rFonts w:ascii="Arial" w:hAnsi="Arial" w:cs="Arial"/>
                <w:szCs w:val="24"/>
              </w:rPr>
              <w:t>rch</w:t>
            </w:r>
            <w:r w:rsidR="00075206" w:rsidRPr="006D1B53">
              <w:rPr>
                <w:rFonts w:ascii="Arial" w:hAnsi="Arial" w:cs="Arial"/>
                <w:szCs w:val="24"/>
              </w:rPr>
              <w:t xml:space="preserve"> 31, 201</w:t>
            </w:r>
            <w:r w:rsidR="00422583">
              <w:rPr>
                <w:rFonts w:ascii="Arial" w:hAnsi="Arial" w:cs="Arial"/>
                <w:szCs w:val="24"/>
              </w:rPr>
              <w:t>6</w:t>
            </w:r>
          </w:p>
        </w:tc>
        <w:tc>
          <w:tcPr>
            <w:tcW w:w="1098" w:type="dxa"/>
          </w:tcPr>
          <w:p w14:paraId="0A8B6735" w14:textId="77777777" w:rsidR="00075206" w:rsidRPr="006D1B53" w:rsidRDefault="00075206" w:rsidP="00C54169">
            <w:pPr>
              <w:tabs>
                <w:tab w:val="right" w:pos="562"/>
              </w:tabs>
              <w:suppressAutoHyphens/>
              <w:jc w:val="center"/>
              <w:rPr>
                <w:rFonts w:ascii="Arial" w:hAnsi="Arial" w:cs="Arial"/>
                <w:szCs w:val="24"/>
              </w:rPr>
            </w:pPr>
          </w:p>
          <w:p w14:paraId="210310A2" w14:textId="77777777" w:rsidR="00075206" w:rsidRPr="006D1B53" w:rsidRDefault="00075206" w:rsidP="00C54169">
            <w:pPr>
              <w:tabs>
                <w:tab w:val="right" w:pos="562"/>
              </w:tabs>
              <w:suppressAutoHyphens/>
              <w:jc w:val="center"/>
              <w:rPr>
                <w:rFonts w:ascii="Arial" w:hAnsi="Arial" w:cs="Arial"/>
                <w:szCs w:val="24"/>
              </w:rPr>
            </w:pPr>
          </w:p>
          <w:p w14:paraId="0DA1C90F" w14:textId="77777777" w:rsidR="00075206" w:rsidRPr="006D1B53" w:rsidRDefault="001E2BFD" w:rsidP="00C54169">
            <w:pPr>
              <w:tabs>
                <w:tab w:val="right" w:pos="562"/>
              </w:tabs>
              <w:suppressAutoHyphens/>
              <w:jc w:val="center"/>
              <w:rPr>
                <w:rFonts w:ascii="Arial" w:hAnsi="Arial" w:cs="Arial"/>
                <w:szCs w:val="24"/>
              </w:rPr>
            </w:pPr>
            <w:r>
              <w:rPr>
                <w:rFonts w:ascii="Arial" w:hAnsi="Arial" w:cs="Arial"/>
                <w:szCs w:val="24"/>
              </w:rPr>
              <w:t>3</w:t>
            </w:r>
          </w:p>
        </w:tc>
      </w:tr>
      <w:tr w:rsidR="00075206" w:rsidRPr="002C61BD" w14:paraId="3DA3FC01" w14:textId="77777777" w:rsidTr="00C5320E">
        <w:tc>
          <w:tcPr>
            <w:tcW w:w="8478" w:type="dxa"/>
          </w:tcPr>
          <w:p w14:paraId="423B64B0" w14:textId="77777777" w:rsidR="00075206" w:rsidRPr="006D1B53" w:rsidRDefault="00075206">
            <w:pPr>
              <w:pStyle w:val="EndnoteText"/>
              <w:tabs>
                <w:tab w:val="left" w:pos="9180"/>
              </w:tabs>
              <w:suppressAutoHyphens/>
              <w:ind w:left="360"/>
              <w:rPr>
                <w:rFonts w:ascii="Arial" w:hAnsi="Arial" w:cs="Arial"/>
                <w:szCs w:val="24"/>
              </w:rPr>
            </w:pPr>
          </w:p>
        </w:tc>
        <w:tc>
          <w:tcPr>
            <w:tcW w:w="1098" w:type="dxa"/>
          </w:tcPr>
          <w:p w14:paraId="7B927BCA" w14:textId="77777777" w:rsidR="00075206" w:rsidRPr="006D1B53" w:rsidRDefault="00075206" w:rsidP="00C54169">
            <w:pPr>
              <w:tabs>
                <w:tab w:val="right" w:pos="562"/>
              </w:tabs>
              <w:suppressAutoHyphens/>
              <w:jc w:val="center"/>
              <w:rPr>
                <w:rFonts w:ascii="Arial" w:hAnsi="Arial" w:cs="Arial"/>
                <w:szCs w:val="24"/>
              </w:rPr>
            </w:pPr>
          </w:p>
        </w:tc>
      </w:tr>
      <w:tr w:rsidR="003D0F37" w:rsidRPr="002C61BD" w14:paraId="64280A62" w14:textId="77777777" w:rsidTr="003D0F37">
        <w:trPr>
          <w:trHeight w:val="252"/>
        </w:trPr>
        <w:tc>
          <w:tcPr>
            <w:tcW w:w="8478" w:type="dxa"/>
          </w:tcPr>
          <w:p w14:paraId="57078382" w14:textId="77777777" w:rsidR="003D0F37" w:rsidRPr="006D1B53" w:rsidRDefault="003D0F37" w:rsidP="003D0F37">
            <w:pPr>
              <w:tabs>
                <w:tab w:val="left" w:pos="390"/>
                <w:tab w:val="left" w:pos="9180"/>
              </w:tabs>
              <w:suppressAutoHyphens/>
              <w:ind w:left="360"/>
              <w:rPr>
                <w:rFonts w:ascii="Arial" w:hAnsi="Arial" w:cs="Arial"/>
                <w:szCs w:val="24"/>
              </w:rPr>
            </w:pPr>
            <w:r w:rsidRPr="006D1B53">
              <w:rPr>
                <w:rFonts w:ascii="Arial" w:hAnsi="Arial" w:cs="Arial"/>
                <w:szCs w:val="24"/>
              </w:rPr>
              <w:t xml:space="preserve">Notes </w:t>
            </w:r>
            <w:r w:rsidR="00D81F59">
              <w:rPr>
                <w:rFonts w:ascii="Arial" w:hAnsi="Arial" w:cs="Arial"/>
                <w:szCs w:val="24"/>
              </w:rPr>
              <w:t>t</w:t>
            </w:r>
            <w:r w:rsidRPr="006D1B53">
              <w:rPr>
                <w:rFonts w:ascii="Arial" w:hAnsi="Arial" w:cs="Arial"/>
                <w:szCs w:val="24"/>
              </w:rPr>
              <w:t xml:space="preserve">o </w:t>
            </w:r>
            <w:r w:rsidR="00D81F59">
              <w:rPr>
                <w:rFonts w:ascii="Arial" w:hAnsi="Arial" w:cs="Arial"/>
                <w:szCs w:val="24"/>
              </w:rPr>
              <w:t>t</w:t>
            </w:r>
            <w:r w:rsidRPr="006D1B53">
              <w:rPr>
                <w:rFonts w:ascii="Arial" w:hAnsi="Arial" w:cs="Arial"/>
                <w:szCs w:val="24"/>
              </w:rPr>
              <w:t>he Financial Statement</w:t>
            </w:r>
          </w:p>
        </w:tc>
        <w:tc>
          <w:tcPr>
            <w:tcW w:w="1098" w:type="dxa"/>
          </w:tcPr>
          <w:p w14:paraId="564D0790" w14:textId="77777777" w:rsidR="003D0F37" w:rsidRPr="006D1B53" w:rsidRDefault="001E2BFD" w:rsidP="003D0F37">
            <w:pPr>
              <w:tabs>
                <w:tab w:val="right" w:pos="562"/>
              </w:tabs>
              <w:suppressAutoHyphens/>
              <w:jc w:val="center"/>
              <w:rPr>
                <w:rFonts w:ascii="Arial" w:hAnsi="Arial" w:cs="Arial"/>
                <w:szCs w:val="24"/>
              </w:rPr>
            </w:pPr>
            <w:r>
              <w:rPr>
                <w:rFonts w:ascii="Arial" w:hAnsi="Arial" w:cs="Arial"/>
                <w:szCs w:val="24"/>
              </w:rPr>
              <w:t>4</w:t>
            </w:r>
          </w:p>
        </w:tc>
      </w:tr>
      <w:tr w:rsidR="00D81F59" w:rsidRPr="002C61BD" w14:paraId="2B50A013" w14:textId="77777777" w:rsidTr="003D0F37">
        <w:trPr>
          <w:trHeight w:val="252"/>
        </w:trPr>
        <w:tc>
          <w:tcPr>
            <w:tcW w:w="8478" w:type="dxa"/>
          </w:tcPr>
          <w:p w14:paraId="6F234118" w14:textId="77777777" w:rsidR="00D81F59" w:rsidRPr="006D1B53" w:rsidRDefault="00D81F59" w:rsidP="003D0F37">
            <w:pPr>
              <w:tabs>
                <w:tab w:val="left" w:pos="390"/>
                <w:tab w:val="left" w:pos="9180"/>
              </w:tabs>
              <w:suppressAutoHyphens/>
              <w:ind w:left="360"/>
              <w:rPr>
                <w:rFonts w:ascii="Arial" w:hAnsi="Arial" w:cs="Arial"/>
                <w:szCs w:val="24"/>
              </w:rPr>
            </w:pPr>
          </w:p>
        </w:tc>
        <w:tc>
          <w:tcPr>
            <w:tcW w:w="1098" w:type="dxa"/>
          </w:tcPr>
          <w:p w14:paraId="36851A59" w14:textId="77777777" w:rsidR="00D81F59" w:rsidRDefault="00D81F59" w:rsidP="003D0F37">
            <w:pPr>
              <w:tabs>
                <w:tab w:val="right" w:pos="562"/>
              </w:tabs>
              <w:suppressAutoHyphens/>
              <w:jc w:val="center"/>
              <w:rPr>
                <w:rFonts w:ascii="Arial" w:hAnsi="Arial" w:cs="Arial"/>
                <w:szCs w:val="24"/>
              </w:rPr>
            </w:pPr>
          </w:p>
        </w:tc>
      </w:tr>
      <w:tr w:rsidR="003D0F37" w:rsidRPr="006D1B53" w14:paraId="0B5E00C9" w14:textId="77777777" w:rsidTr="0055608A">
        <w:tc>
          <w:tcPr>
            <w:tcW w:w="8478" w:type="dxa"/>
          </w:tcPr>
          <w:p w14:paraId="4F19C747" w14:textId="77777777" w:rsidR="003D0F37" w:rsidRPr="006D1B53" w:rsidRDefault="00C8745C" w:rsidP="003D0F37">
            <w:pPr>
              <w:tabs>
                <w:tab w:val="left" w:pos="-2880"/>
                <w:tab w:val="left" w:pos="-720"/>
                <w:tab w:val="left" w:pos="1440"/>
                <w:tab w:val="left" w:pos="9180"/>
              </w:tabs>
              <w:suppressAutoHyphens/>
              <w:rPr>
                <w:rFonts w:ascii="Arial" w:hAnsi="Arial" w:cs="Arial"/>
                <w:szCs w:val="24"/>
              </w:rPr>
            </w:pPr>
            <w:r w:rsidRPr="006D1B53">
              <w:rPr>
                <w:rFonts w:ascii="Arial" w:hAnsi="Arial" w:cs="Arial"/>
                <w:b/>
                <w:szCs w:val="24"/>
              </w:rPr>
              <w:t xml:space="preserve">BACKGROUND </w:t>
            </w:r>
          </w:p>
        </w:tc>
        <w:tc>
          <w:tcPr>
            <w:tcW w:w="1098" w:type="dxa"/>
            <w:vAlign w:val="bottom"/>
          </w:tcPr>
          <w:p w14:paraId="2AFEC87C" w14:textId="77777777" w:rsidR="003D0F37" w:rsidRPr="006D1B53" w:rsidRDefault="005226CF" w:rsidP="0055608A">
            <w:pPr>
              <w:tabs>
                <w:tab w:val="right" w:pos="562"/>
              </w:tabs>
              <w:suppressAutoHyphens/>
              <w:jc w:val="center"/>
              <w:rPr>
                <w:rFonts w:ascii="Arial" w:hAnsi="Arial" w:cs="Arial"/>
                <w:szCs w:val="24"/>
              </w:rPr>
            </w:pPr>
            <w:r>
              <w:rPr>
                <w:rFonts w:ascii="Arial" w:hAnsi="Arial" w:cs="Arial"/>
                <w:szCs w:val="24"/>
              </w:rPr>
              <w:t>5</w:t>
            </w:r>
          </w:p>
        </w:tc>
      </w:tr>
      <w:tr w:rsidR="003D0F37" w:rsidRPr="002C61BD" w14:paraId="450D9A38" w14:textId="77777777" w:rsidTr="003D0F37">
        <w:tc>
          <w:tcPr>
            <w:tcW w:w="8478" w:type="dxa"/>
          </w:tcPr>
          <w:p w14:paraId="3050DA4A" w14:textId="77777777" w:rsidR="003D0F37" w:rsidRPr="002C61BD" w:rsidRDefault="003D0F37" w:rsidP="003D0F37">
            <w:pPr>
              <w:tabs>
                <w:tab w:val="left" w:pos="-720"/>
                <w:tab w:val="left" w:pos="360"/>
                <w:tab w:val="left" w:pos="1440"/>
                <w:tab w:val="left" w:pos="9180"/>
              </w:tabs>
              <w:suppressAutoHyphens/>
              <w:rPr>
                <w:rFonts w:ascii="Arial" w:hAnsi="Arial" w:cs="Arial"/>
                <w:b/>
                <w:szCs w:val="24"/>
                <w:u w:val="single"/>
              </w:rPr>
            </w:pPr>
          </w:p>
        </w:tc>
        <w:tc>
          <w:tcPr>
            <w:tcW w:w="1098" w:type="dxa"/>
          </w:tcPr>
          <w:p w14:paraId="28D3165C" w14:textId="77777777" w:rsidR="003D0F37" w:rsidRPr="002C61BD" w:rsidRDefault="003D0F37" w:rsidP="003D0F37">
            <w:pPr>
              <w:tabs>
                <w:tab w:val="right" w:pos="562"/>
              </w:tabs>
              <w:suppressAutoHyphens/>
              <w:rPr>
                <w:rFonts w:ascii="Arial" w:hAnsi="Arial" w:cs="Arial"/>
                <w:szCs w:val="24"/>
              </w:rPr>
            </w:pPr>
          </w:p>
        </w:tc>
      </w:tr>
      <w:tr w:rsidR="003D0F37" w:rsidRPr="002C61BD" w14:paraId="2DA146DA" w14:textId="77777777" w:rsidTr="003D0F37">
        <w:trPr>
          <w:trHeight w:val="261"/>
        </w:trPr>
        <w:tc>
          <w:tcPr>
            <w:tcW w:w="8478" w:type="dxa"/>
          </w:tcPr>
          <w:p w14:paraId="35E2252B" w14:textId="77777777" w:rsidR="003D0F37" w:rsidRPr="002C61BD" w:rsidRDefault="00311D8E" w:rsidP="00311D8E">
            <w:pPr>
              <w:tabs>
                <w:tab w:val="left" w:pos="-720"/>
                <w:tab w:val="left" w:pos="360"/>
                <w:tab w:val="left" w:pos="1440"/>
                <w:tab w:val="left" w:pos="9180"/>
              </w:tabs>
              <w:suppressAutoHyphens/>
              <w:ind w:left="360"/>
              <w:rPr>
                <w:rFonts w:ascii="Arial" w:hAnsi="Arial" w:cs="Arial"/>
                <w:szCs w:val="24"/>
              </w:rPr>
            </w:pPr>
            <w:r>
              <w:rPr>
                <w:rFonts w:ascii="Arial" w:hAnsi="Arial" w:cs="Arial"/>
                <w:szCs w:val="24"/>
              </w:rPr>
              <w:t>Disposition of Prior Period Audit Finding</w:t>
            </w:r>
          </w:p>
        </w:tc>
        <w:tc>
          <w:tcPr>
            <w:tcW w:w="1098" w:type="dxa"/>
          </w:tcPr>
          <w:p w14:paraId="3FB8BFC2" w14:textId="77777777" w:rsidR="003D0F37" w:rsidRPr="002C61BD" w:rsidRDefault="001E2BFD" w:rsidP="003D0F37">
            <w:pPr>
              <w:tabs>
                <w:tab w:val="right" w:pos="562"/>
              </w:tabs>
              <w:suppressAutoHyphens/>
              <w:jc w:val="center"/>
              <w:rPr>
                <w:rFonts w:ascii="Arial" w:hAnsi="Arial" w:cs="Arial"/>
                <w:szCs w:val="24"/>
              </w:rPr>
            </w:pPr>
            <w:r>
              <w:rPr>
                <w:rFonts w:ascii="Arial" w:hAnsi="Arial" w:cs="Arial"/>
                <w:szCs w:val="24"/>
              </w:rPr>
              <w:t>6</w:t>
            </w:r>
          </w:p>
        </w:tc>
      </w:tr>
      <w:tr w:rsidR="00311D8E" w:rsidRPr="002C61BD" w14:paraId="775EA944" w14:textId="77777777" w:rsidTr="003D0F37">
        <w:trPr>
          <w:trHeight w:val="261"/>
        </w:trPr>
        <w:tc>
          <w:tcPr>
            <w:tcW w:w="8478" w:type="dxa"/>
          </w:tcPr>
          <w:p w14:paraId="1F27D6B7" w14:textId="77777777" w:rsidR="00311D8E" w:rsidRPr="002C61BD" w:rsidRDefault="00311D8E" w:rsidP="003D0F37">
            <w:pPr>
              <w:tabs>
                <w:tab w:val="left" w:pos="-720"/>
                <w:tab w:val="left" w:pos="360"/>
                <w:tab w:val="left" w:pos="1440"/>
                <w:tab w:val="left" w:pos="9180"/>
              </w:tabs>
              <w:suppressAutoHyphens/>
              <w:rPr>
                <w:rFonts w:ascii="Arial" w:hAnsi="Arial" w:cs="Arial"/>
                <w:szCs w:val="24"/>
              </w:rPr>
            </w:pPr>
          </w:p>
        </w:tc>
        <w:tc>
          <w:tcPr>
            <w:tcW w:w="1098" w:type="dxa"/>
          </w:tcPr>
          <w:p w14:paraId="5664E2D3" w14:textId="77777777" w:rsidR="00311D8E" w:rsidRPr="002C61BD" w:rsidRDefault="00311D8E" w:rsidP="003D0F37">
            <w:pPr>
              <w:tabs>
                <w:tab w:val="right" w:pos="562"/>
              </w:tabs>
              <w:suppressAutoHyphens/>
              <w:jc w:val="center"/>
              <w:rPr>
                <w:rFonts w:ascii="Arial" w:hAnsi="Arial" w:cs="Arial"/>
                <w:szCs w:val="24"/>
              </w:rPr>
            </w:pPr>
          </w:p>
        </w:tc>
      </w:tr>
      <w:tr w:rsidR="00D739B9" w:rsidRPr="002C61BD" w14:paraId="1DF78572" w14:textId="77777777" w:rsidTr="00343C2B">
        <w:trPr>
          <w:trHeight w:val="74"/>
        </w:trPr>
        <w:tc>
          <w:tcPr>
            <w:tcW w:w="8478" w:type="dxa"/>
          </w:tcPr>
          <w:p w14:paraId="05909622" w14:textId="77777777" w:rsidR="00D739B9" w:rsidRPr="00D739B9" w:rsidRDefault="00F51E91" w:rsidP="002F03DE">
            <w:pPr>
              <w:tabs>
                <w:tab w:val="left" w:pos="-2880"/>
                <w:tab w:val="left" w:pos="-720"/>
                <w:tab w:val="left" w:pos="1440"/>
                <w:tab w:val="left" w:pos="9180"/>
              </w:tabs>
              <w:suppressAutoHyphens/>
              <w:rPr>
                <w:rFonts w:ascii="Arial" w:hAnsi="Arial" w:cs="Arial"/>
                <w:b/>
                <w:szCs w:val="24"/>
              </w:rPr>
            </w:pPr>
            <w:r>
              <w:rPr>
                <w:rFonts w:ascii="Arial" w:hAnsi="Arial" w:cs="Arial"/>
                <w:b/>
                <w:szCs w:val="24"/>
              </w:rPr>
              <w:t>ACKNOWLEDGEMENT</w:t>
            </w:r>
          </w:p>
        </w:tc>
        <w:tc>
          <w:tcPr>
            <w:tcW w:w="1098" w:type="dxa"/>
          </w:tcPr>
          <w:p w14:paraId="16DC56B8" w14:textId="77777777" w:rsidR="00D739B9" w:rsidRPr="002C61BD" w:rsidRDefault="00CD6FA6" w:rsidP="00D739B9">
            <w:pPr>
              <w:tabs>
                <w:tab w:val="right" w:pos="562"/>
              </w:tabs>
              <w:suppressAutoHyphens/>
              <w:jc w:val="center"/>
              <w:rPr>
                <w:rFonts w:ascii="Arial" w:hAnsi="Arial" w:cs="Arial"/>
                <w:szCs w:val="24"/>
              </w:rPr>
            </w:pPr>
            <w:r>
              <w:rPr>
                <w:rFonts w:ascii="Arial" w:hAnsi="Arial" w:cs="Arial"/>
                <w:szCs w:val="24"/>
              </w:rPr>
              <w:t>6</w:t>
            </w:r>
          </w:p>
        </w:tc>
      </w:tr>
      <w:tr w:rsidR="00D739B9" w:rsidRPr="00D739B9" w14:paraId="6471943E" w14:textId="77777777" w:rsidTr="00C5320E">
        <w:tc>
          <w:tcPr>
            <w:tcW w:w="8478" w:type="dxa"/>
          </w:tcPr>
          <w:p w14:paraId="3BC72D86" w14:textId="77777777" w:rsidR="00D739B9" w:rsidRPr="00D739B9" w:rsidRDefault="00D739B9" w:rsidP="00D739B9">
            <w:pPr>
              <w:tabs>
                <w:tab w:val="left" w:pos="-2880"/>
                <w:tab w:val="left" w:pos="-720"/>
                <w:tab w:val="left" w:pos="1440"/>
                <w:tab w:val="left" w:pos="9180"/>
              </w:tabs>
              <w:suppressAutoHyphens/>
              <w:rPr>
                <w:rFonts w:ascii="Arial" w:hAnsi="Arial" w:cs="Arial"/>
                <w:b/>
                <w:szCs w:val="24"/>
              </w:rPr>
            </w:pPr>
          </w:p>
        </w:tc>
        <w:tc>
          <w:tcPr>
            <w:tcW w:w="1098" w:type="dxa"/>
          </w:tcPr>
          <w:p w14:paraId="632A2F9D" w14:textId="77777777" w:rsidR="00D739B9" w:rsidRPr="00D739B9" w:rsidRDefault="00D739B9" w:rsidP="00D739B9">
            <w:pPr>
              <w:tabs>
                <w:tab w:val="left" w:pos="-2880"/>
                <w:tab w:val="left" w:pos="-720"/>
                <w:tab w:val="left" w:pos="1440"/>
                <w:tab w:val="left" w:pos="9180"/>
              </w:tabs>
              <w:suppressAutoHyphens/>
              <w:rPr>
                <w:rFonts w:ascii="Arial" w:hAnsi="Arial" w:cs="Arial"/>
                <w:b/>
                <w:szCs w:val="24"/>
              </w:rPr>
            </w:pPr>
          </w:p>
        </w:tc>
      </w:tr>
      <w:tr w:rsidR="00D739B9" w:rsidRPr="002C61BD" w14:paraId="0152D6A6" w14:textId="77777777" w:rsidTr="00C5320E">
        <w:tc>
          <w:tcPr>
            <w:tcW w:w="8478" w:type="dxa"/>
          </w:tcPr>
          <w:p w14:paraId="7450F22D" w14:textId="77777777" w:rsidR="00D739B9" w:rsidRPr="002C61BD" w:rsidRDefault="00D739B9" w:rsidP="004D2644">
            <w:pPr>
              <w:pStyle w:val="EndnoteText"/>
              <w:tabs>
                <w:tab w:val="left" w:pos="9180"/>
              </w:tabs>
              <w:suppressAutoHyphens/>
              <w:ind w:left="360"/>
              <w:rPr>
                <w:rFonts w:ascii="Arial" w:hAnsi="Arial" w:cs="Arial"/>
                <w:szCs w:val="24"/>
              </w:rPr>
            </w:pPr>
          </w:p>
        </w:tc>
        <w:tc>
          <w:tcPr>
            <w:tcW w:w="1098" w:type="dxa"/>
          </w:tcPr>
          <w:p w14:paraId="60679883" w14:textId="77777777" w:rsidR="00D739B9" w:rsidRPr="002C61BD" w:rsidRDefault="00D739B9" w:rsidP="00F04506">
            <w:pPr>
              <w:tabs>
                <w:tab w:val="right" w:pos="562"/>
              </w:tabs>
              <w:suppressAutoHyphens/>
              <w:jc w:val="center"/>
              <w:rPr>
                <w:rFonts w:ascii="Arial" w:hAnsi="Arial" w:cs="Arial"/>
                <w:szCs w:val="24"/>
              </w:rPr>
            </w:pPr>
          </w:p>
        </w:tc>
      </w:tr>
      <w:tr w:rsidR="00D739B9" w:rsidRPr="002C61BD" w14:paraId="12BDF784" w14:textId="77777777" w:rsidTr="00C5320E">
        <w:tc>
          <w:tcPr>
            <w:tcW w:w="8478" w:type="dxa"/>
          </w:tcPr>
          <w:p w14:paraId="620157D9" w14:textId="77777777" w:rsidR="00D739B9" w:rsidRPr="002C61BD" w:rsidRDefault="00D739B9" w:rsidP="00C5320E">
            <w:pPr>
              <w:pStyle w:val="EndnoteText"/>
              <w:tabs>
                <w:tab w:val="left" w:pos="9180"/>
              </w:tabs>
              <w:suppressAutoHyphens/>
              <w:ind w:left="360"/>
              <w:rPr>
                <w:rFonts w:ascii="Arial" w:hAnsi="Arial" w:cs="Arial"/>
                <w:szCs w:val="24"/>
              </w:rPr>
            </w:pPr>
          </w:p>
        </w:tc>
        <w:tc>
          <w:tcPr>
            <w:tcW w:w="1098" w:type="dxa"/>
          </w:tcPr>
          <w:p w14:paraId="68940CDA" w14:textId="77777777" w:rsidR="00D739B9" w:rsidRPr="002C61BD" w:rsidRDefault="00D739B9" w:rsidP="00C5320E">
            <w:pPr>
              <w:tabs>
                <w:tab w:val="right" w:pos="562"/>
              </w:tabs>
              <w:suppressAutoHyphens/>
              <w:rPr>
                <w:rFonts w:ascii="Arial" w:hAnsi="Arial" w:cs="Arial"/>
                <w:szCs w:val="24"/>
              </w:rPr>
            </w:pPr>
          </w:p>
        </w:tc>
      </w:tr>
      <w:tr w:rsidR="00D739B9" w:rsidRPr="002C61BD" w14:paraId="4F8AA59B" w14:textId="77777777" w:rsidTr="00C5320E">
        <w:tc>
          <w:tcPr>
            <w:tcW w:w="8478" w:type="dxa"/>
          </w:tcPr>
          <w:p w14:paraId="1CCD4125" w14:textId="77777777" w:rsidR="00D739B9" w:rsidRPr="002C61BD" w:rsidRDefault="00D739B9">
            <w:pPr>
              <w:pStyle w:val="EndnoteText"/>
              <w:tabs>
                <w:tab w:val="left" w:pos="9180"/>
              </w:tabs>
              <w:suppressAutoHyphens/>
              <w:ind w:left="360"/>
              <w:rPr>
                <w:rFonts w:ascii="Arial" w:hAnsi="Arial" w:cs="Arial"/>
                <w:szCs w:val="24"/>
              </w:rPr>
            </w:pPr>
          </w:p>
        </w:tc>
        <w:tc>
          <w:tcPr>
            <w:tcW w:w="1098" w:type="dxa"/>
          </w:tcPr>
          <w:p w14:paraId="0948F925" w14:textId="77777777" w:rsidR="00D739B9" w:rsidRPr="002C61BD" w:rsidRDefault="00D739B9" w:rsidP="00F04506">
            <w:pPr>
              <w:tabs>
                <w:tab w:val="right" w:pos="562"/>
              </w:tabs>
              <w:suppressAutoHyphens/>
              <w:jc w:val="center"/>
              <w:rPr>
                <w:rFonts w:ascii="Arial" w:hAnsi="Arial" w:cs="Arial"/>
                <w:szCs w:val="24"/>
              </w:rPr>
            </w:pPr>
          </w:p>
        </w:tc>
      </w:tr>
      <w:tr w:rsidR="00D739B9" w:rsidRPr="002C61BD" w14:paraId="19338077" w14:textId="77777777" w:rsidTr="00C5320E">
        <w:tc>
          <w:tcPr>
            <w:tcW w:w="8478" w:type="dxa"/>
          </w:tcPr>
          <w:p w14:paraId="150008BF" w14:textId="77777777" w:rsidR="00D739B9" w:rsidRPr="002C61BD" w:rsidRDefault="00D739B9" w:rsidP="00C5320E">
            <w:pPr>
              <w:pStyle w:val="EndnoteText"/>
              <w:tabs>
                <w:tab w:val="left" w:pos="9180"/>
              </w:tabs>
              <w:suppressAutoHyphens/>
              <w:ind w:left="360"/>
              <w:rPr>
                <w:rFonts w:ascii="Arial" w:hAnsi="Arial" w:cs="Arial"/>
                <w:szCs w:val="24"/>
              </w:rPr>
            </w:pPr>
          </w:p>
        </w:tc>
        <w:tc>
          <w:tcPr>
            <w:tcW w:w="1098" w:type="dxa"/>
          </w:tcPr>
          <w:p w14:paraId="3D5C4E45" w14:textId="77777777" w:rsidR="00D739B9" w:rsidRPr="002C61BD" w:rsidRDefault="00D739B9" w:rsidP="00C5320E">
            <w:pPr>
              <w:tabs>
                <w:tab w:val="right" w:pos="562"/>
              </w:tabs>
              <w:suppressAutoHyphens/>
              <w:rPr>
                <w:rFonts w:ascii="Arial" w:hAnsi="Arial" w:cs="Arial"/>
                <w:szCs w:val="24"/>
              </w:rPr>
            </w:pPr>
          </w:p>
        </w:tc>
      </w:tr>
      <w:tr w:rsidR="00D739B9" w:rsidRPr="002C61BD" w14:paraId="0B292CB2" w14:textId="77777777" w:rsidTr="00343C2B">
        <w:trPr>
          <w:trHeight w:val="87"/>
        </w:trPr>
        <w:tc>
          <w:tcPr>
            <w:tcW w:w="8478" w:type="dxa"/>
          </w:tcPr>
          <w:p w14:paraId="67D40F13" w14:textId="77777777" w:rsidR="00D739B9" w:rsidRPr="002C61BD" w:rsidRDefault="00D739B9" w:rsidP="00C5320E">
            <w:pPr>
              <w:tabs>
                <w:tab w:val="left" w:pos="-720"/>
                <w:tab w:val="left" w:pos="360"/>
                <w:tab w:val="left" w:pos="1440"/>
                <w:tab w:val="left" w:pos="9180"/>
              </w:tabs>
              <w:suppressAutoHyphens/>
              <w:rPr>
                <w:rFonts w:ascii="Arial" w:hAnsi="Arial" w:cs="Arial"/>
                <w:szCs w:val="24"/>
              </w:rPr>
            </w:pPr>
          </w:p>
        </w:tc>
        <w:tc>
          <w:tcPr>
            <w:tcW w:w="1098" w:type="dxa"/>
          </w:tcPr>
          <w:p w14:paraId="4D532E6F" w14:textId="77777777" w:rsidR="00D739B9" w:rsidRPr="002C61BD" w:rsidRDefault="00D739B9" w:rsidP="00C5320E">
            <w:pPr>
              <w:tabs>
                <w:tab w:val="right" w:pos="562"/>
              </w:tabs>
              <w:suppressAutoHyphens/>
              <w:jc w:val="center"/>
              <w:rPr>
                <w:rFonts w:ascii="Arial" w:hAnsi="Arial" w:cs="Arial"/>
                <w:szCs w:val="24"/>
              </w:rPr>
            </w:pPr>
          </w:p>
        </w:tc>
      </w:tr>
      <w:tr w:rsidR="00D739B9" w:rsidRPr="002C61BD" w14:paraId="1D07279F" w14:textId="77777777" w:rsidTr="00607D58">
        <w:trPr>
          <w:trHeight w:val="261"/>
        </w:trPr>
        <w:tc>
          <w:tcPr>
            <w:tcW w:w="8478" w:type="dxa"/>
          </w:tcPr>
          <w:p w14:paraId="45A4705F" w14:textId="77777777" w:rsidR="00D739B9" w:rsidRPr="002C61BD" w:rsidRDefault="00D739B9" w:rsidP="00C5320E">
            <w:pPr>
              <w:tabs>
                <w:tab w:val="left" w:pos="-720"/>
                <w:tab w:val="left" w:pos="360"/>
                <w:tab w:val="left" w:pos="1440"/>
                <w:tab w:val="left" w:pos="9180"/>
              </w:tabs>
              <w:suppressAutoHyphens/>
              <w:rPr>
                <w:rFonts w:ascii="Arial" w:hAnsi="Arial" w:cs="Arial"/>
                <w:szCs w:val="24"/>
              </w:rPr>
            </w:pPr>
          </w:p>
        </w:tc>
        <w:tc>
          <w:tcPr>
            <w:tcW w:w="1098" w:type="dxa"/>
          </w:tcPr>
          <w:p w14:paraId="5077BFD5" w14:textId="77777777" w:rsidR="00D739B9" w:rsidRPr="002C61BD" w:rsidRDefault="00D739B9" w:rsidP="00C5320E">
            <w:pPr>
              <w:tabs>
                <w:tab w:val="right" w:pos="562"/>
              </w:tabs>
              <w:suppressAutoHyphens/>
              <w:jc w:val="center"/>
              <w:rPr>
                <w:rFonts w:ascii="Arial" w:hAnsi="Arial" w:cs="Arial"/>
                <w:szCs w:val="24"/>
              </w:rPr>
            </w:pPr>
          </w:p>
        </w:tc>
      </w:tr>
      <w:tr w:rsidR="00D739B9" w:rsidRPr="002C61BD" w14:paraId="2A824313" w14:textId="77777777" w:rsidTr="00C5320E">
        <w:tc>
          <w:tcPr>
            <w:tcW w:w="8478" w:type="dxa"/>
          </w:tcPr>
          <w:p w14:paraId="3687BF0D" w14:textId="77777777" w:rsidR="00D739B9" w:rsidRPr="002C61BD" w:rsidRDefault="00D739B9" w:rsidP="00DA7513">
            <w:pPr>
              <w:tabs>
                <w:tab w:val="left" w:pos="-720"/>
                <w:tab w:val="left" w:pos="360"/>
                <w:tab w:val="left" w:pos="1440"/>
                <w:tab w:val="left" w:pos="9180"/>
              </w:tabs>
              <w:suppressAutoHyphens/>
              <w:ind w:left="360"/>
              <w:rPr>
                <w:rFonts w:ascii="Arial" w:hAnsi="Arial" w:cs="Arial"/>
                <w:szCs w:val="24"/>
              </w:rPr>
            </w:pPr>
          </w:p>
        </w:tc>
        <w:tc>
          <w:tcPr>
            <w:tcW w:w="1098" w:type="dxa"/>
          </w:tcPr>
          <w:p w14:paraId="10B929B8" w14:textId="77777777" w:rsidR="00D739B9" w:rsidRPr="002C61BD" w:rsidRDefault="00D739B9" w:rsidP="001D2717">
            <w:pPr>
              <w:tabs>
                <w:tab w:val="right" w:pos="562"/>
              </w:tabs>
              <w:suppressAutoHyphens/>
              <w:jc w:val="center"/>
              <w:rPr>
                <w:rFonts w:ascii="Arial" w:hAnsi="Arial" w:cs="Arial"/>
                <w:szCs w:val="24"/>
              </w:rPr>
            </w:pPr>
          </w:p>
        </w:tc>
      </w:tr>
      <w:tr w:rsidR="00D739B9" w:rsidRPr="002C61BD" w14:paraId="7EA5747A" w14:textId="77777777" w:rsidTr="00C5320E">
        <w:tc>
          <w:tcPr>
            <w:tcW w:w="8478" w:type="dxa"/>
          </w:tcPr>
          <w:p w14:paraId="6253F176" w14:textId="77777777" w:rsidR="00D739B9" w:rsidRPr="002C61BD" w:rsidRDefault="00D739B9" w:rsidP="00C5320E">
            <w:pPr>
              <w:tabs>
                <w:tab w:val="left" w:pos="-720"/>
                <w:tab w:val="left" w:pos="360"/>
                <w:tab w:val="left" w:pos="1440"/>
                <w:tab w:val="left" w:pos="9180"/>
              </w:tabs>
              <w:suppressAutoHyphens/>
              <w:rPr>
                <w:rFonts w:ascii="Arial" w:hAnsi="Arial" w:cs="Arial"/>
                <w:b/>
                <w:szCs w:val="24"/>
                <w:u w:val="single"/>
              </w:rPr>
            </w:pPr>
          </w:p>
        </w:tc>
        <w:tc>
          <w:tcPr>
            <w:tcW w:w="1098" w:type="dxa"/>
          </w:tcPr>
          <w:p w14:paraId="49633999" w14:textId="77777777" w:rsidR="00D739B9" w:rsidRPr="002C61BD" w:rsidRDefault="00D739B9" w:rsidP="001D2717">
            <w:pPr>
              <w:tabs>
                <w:tab w:val="right" w:pos="562"/>
              </w:tabs>
              <w:suppressAutoHyphens/>
              <w:jc w:val="center"/>
              <w:rPr>
                <w:rFonts w:ascii="Arial" w:hAnsi="Arial" w:cs="Arial"/>
                <w:szCs w:val="24"/>
              </w:rPr>
            </w:pPr>
          </w:p>
        </w:tc>
      </w:tr>
    </w:tbl>
    <w:p w14:paraId="2C725A9E" w14:textId="77777777" w:rsidR="007E0B70" w:rsidRDefault="007E0B70" w:rsidP="007E0B70">
      <w:pPr>
        <w:pStyle w:val="Heading4"/>
        <w:tabs>
          <w:tab w:val="clear" w:pos="4680"/>
        </w:tabs>
        <w:rPr>
          <w:rFonts w:ascii="Arial" w:hAnsi="Arial" w:cs="Arial"/>
          <w:sz w:val="36"/>
          <w:szCs w:val="24"/>
          <w:u w:val="none"/>
        </w:rPr>
      </w:pPr>
    </w:p>
    <w:p w14:paraId="3A0B2143" w14:textId="77777777" w:rsidR="00DF7BE0" w:rsidRPr="00DF7BE0" w:rsidRDefault="00DF7BE0" w:rsidP="00DF7BE0"/>
    <w:p w14:paraId="5807D437" w14:textId="77777777" w:rsidR="007B11B6" w:rsidRDefault="007B11B6" w:rsidP="00343C2B"/>
    <w:p w14:paraId="3F6529C2" w14:textId="77777777" w:rsidR="007B11B6" w:rsidRDefault="007B11B6" w:rsidP="00343C2B"/>
    <w:p w14:paraId="26FFC0E8" w14:textId="77777777" w:rsidR="007B11B6" w:rsidRDefault="007B11B6" w:rsidP="00343C2B"/>
    <w:p w14:paraId="3C985E6C" w14:textId="77777777" w:rsidR="007B11B6" w:rsidRDefault="007B11B6" w:rsidP="00343C2B"/>
    <w:p w14:paraId="3C6B1C6B" w14:textId="77777777" w:rsidR="007B11B6" w:rsidRPr="00343C2B" w:rsidRDefault="007B11B6" w:rsidP="00343C2B"/>
    <w:p w14:paraId="742DFDC6" w14:textId="77777777" w:rsidR="007E0B70" w:rsidRDefault="007E0B70" w:rsidP="007E0B70">
      <w:pPr>
        <w:pStyle w:val="Heading4"/>
        <w:tabs>
          <w:tab w:val="clear" w:pos="4680"/>
        </w:tabs>
        <w:rPr>
          <w:rFonts w:ascii="Arial" w:hAnsi="Arial" w:cs="Arial"/>
          <w:sz w:val="36"/>
          <w:szCs w:val="24"/>
          <w:u w:val="none"/>
        </w:rPr>
      </w:pPr>
    </w:p>
    <w:p w14:paraId="236D8B05" w14:textId="77777777" w:rsidR="007B0F67" w:rsidRDefault="007B0F67" w:rsidP="00343C2B"/>
    <w:p w14:paraId="3C7AFC7C" w14:textId="77777777" w:rsidR="007B0F67" w:rsidRPr="00343C2B" w:rsidRDefault="007B0F67" w:rsidP="00343C2B">
      <w:pPr>
        <w:rPr>
          <w:rFonts w:ascii="Arial" w:hAnsi="Arial" w:cs="Arial"/>
        </w:rPr>
      </w:pPr>
    </w:p>
    <w:p w14:paraId="5534E754" w14:textId="77777777" w:rsidR="007E0B70" w:rsidRPr="002C61BD" w:rsidRDefault="007E0B70" w:rsidP="007E0B70">
      <w:pPr>
        <w:pStyle w:val="Heading4"/>
        <w:tabs>
          <w:tab w:val="clear" w:pos="4680"/>
        </w:tabs>
        <w:rPr>
          <w:rFonts w:ascii="Arial" w:hAnsi="Arial" w:cs="Arial"/>
          <w:sz w:val="36"/>
          <w:szCs w:val="24"/>
          <w:u w:val="none"/>
        </w:rPr>
      </w:pPr>
    </w:p>
    <w:p w14:paraId="699B69E3" w14:textId="77777777" w:rsidR="007E0B70" w:rsidRPr="002C61BD" w:rsidRDefault="007E0B70" w:rsidP="007E0B70">
      <w:pPr>
        <w:pStyle w:val="Heading4"/>
        <w:tabs>
          <w:tab w:val="clear" w:pos="4680"/>
        </w:tabs>
        <w:rPr>
          <w:rFonts w:ascii="Arial" w:hAnsi="Arial" w:cs="Arial"/>
          <w:sz w:val="36"/>
          <w:szCs w:val="24"/>
          <w:u w:val="none"/>
        </w:rPr>
      </w:pPr>
    </w:p>
    <w:p w14:paraId="0A3A2AA5" w14:textId="77777777" w:rsidR="007E0B70" w:rsidRDefault="007E0B70" w:rsidP="007E0B70">
      <w:pPr>
        <w:pStyle w:val="Heading4"/>
        <w:tabs>
          <w:tab w:val="clear" w:pos="4680"/>
        </w:tabs>
        <w:rPr>
          <w:rFonts w:ascii="Arial" w:hAnsi="Arial" w:cs="Arial"/>
          <w:sz w:val="36"/>
          <w:szCs w:val="24"/>
          <w:u w:val="none"/>
        </w:rPr>
      </w:pPr>
    </w:p>
    <w:p w14:paraId="7482B51C" w14:textId="77777777" w:rsidR="000D0A79" w:rsidRPr="000D0A79" w:rsidRDefault="000D0A79" w:rsidP="000D0A79"/>
    <w:p w14:paraId="556AE3B7" w14:textId="77777777" w:rsidR="007E0B70" w:rsidRPr="002C61BD" w:rsidRDefault="007E0B70" w:rsidP="007E0B70">
      <w:pPr>
        <w:overflowPunct/>
        <w:autoSpaceDE/>
        <w:autoSpaceDN/>
        <w:adjustRightInd/>
        <w:textAlignment w:val="auto"/>
        <w:rPr>
          <w:rFonts w:ascii="Arial" w:hAnsi="Arial" w:cs="Arial"/>
          <w:szCs w:val="24"/>
        </w:rPr>
        <w:sectPr w:rsidR="007E0B70" w:rsidRPr="002C61BD" w:rsidSect="001C0782">
          <w:headerReference w:type="even" r:id="rId12"/>
          <w:headerReference w:type="default" r:id="rId13"/>
          <w:footerReference w:type="default" r:id="rId14"/>
          <w:headerReference w:type="first" r:id="rId15"/>
          <w:endnotePr>
            <w:numFmt w:val="decimal"/>
          </w:endnotePr>
          <w:pgSz w:w="12240" w:h="15840" w:code="1"/>
          <w:pgMar w:top="432" w:right="1440" w:bottom="1440" w:left="1440" w:header="720" w:footer="720" w:gutter="0"/>
          <w:pgNumType w:start="3"/>
          <w:cols w:space="720"/>
          <w:noEndnote/>
          <w:titlePg/>
          <w:docGrid w:linePitch="326"/>
        </w:sectPr>
      </w:pPr>
    </w:p>
    <w:tbl>
      <w:tblPr>
        <w:tblpPr w:leftFromText="180" w:rightFromText="180" w:horzAnchor="margin" w:tblpXSpec="center" w:tblpY="-876"/>
        <w:tblW w:w="10890" w:type="dxa"/>
        <w:tblLayout w:type="fixed"/>
        <w:tblLook w:val="0000" w:firstRow="0" w:lastRow="0" w:firstColumn="0" w:lastColumn="0" w:noHBand="0" w:noVBand="0"/>
      </w:tblPr>
      <w:tblGrid>
        <w:gridCol w:w="1363"/>
        <w:gridCol w:w="8075"/>
        <w:gridCol w:w="1452"/>
      </w:tblGrid>
      <w:tr w:rsidR="007E0B70" w:rsidRPr="002C61BD" w14:paraId="690F7A42" w14:textId="77777777" w:rsidTr="004863BC">
        <w:trPr>
          <w:trHeight w:val="990"/>
        </w:trPr>
        <w:tc>
          <w:tcPr>
            <w:tcW w:w="1363" w:type="dxa"/>
          </w:tcPr>
          <w:p w14:paraId="00AEB6BB" w14:textId="77777777" w:rsidR="007E0B70" w:rsidRPr="002C61BD" w:rsidRDefault="007E0B70" w:rsidP="004863BC">
            <w:pPr>
              <w:rPr>
                <w:rFonts w:ascii="Arial" w:hAnsi="Arial" w:cs="Arial"/>
                <w:szCs w:val="24"/>
              </w:rPr>
            </w:pPr>
            <w:r w:rsidRPr="002C61BD">
              <w:rPr>
                <w:rFonts w:ascii="Arial" w:hAnsi="Arial" w:cs="Arial"/>
                <w:noProof/>
                <w:spacing w:val="-2"/>
                <w:szCs w:val="24"/>
              </w:rPr>
              <w:lastRenderedPageBreak/>
              <w:drawing>
                <wp:inline distT="0" distB="0" distL="0" distR="0" wp14:anchorId="48A642C5" wp14:editId="2D5C6DCA">
                  <wp:extent cx="723265" cy="723265"/>
                  <wp:effectExtent l="19050" t="0" r="63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6"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8075" w:type="dxa"/>
          </w:tcPr>
          <w:p w14:paraId="49A4CFD7" w14:textId="77777777" w:rsidR="004863BC" w:rsidRDefault="004863BC" w:rsidP="004863BC">
            <w:pPr>
              <w:suppressAutoHyphens/>
              <w:spacing w:line="204" w:lineRule="auto"/>
              <w:jc w:val="center"/>
              <w:rPr>
                <w:rFonts w:ascii="Arial" w:hAnsi="Arial"/>
                <w:color w:val="000080"/>
                <w:spacing w:val="-3"/>
                <w:sz w:val="26"/>
              </w:rPr>
            </w:pPr>
          </w:p>
          <w:p w14:paraId="52C655E1" w14:textId="77777777" w:rsidR="004863BC" w:rsidRDefault="004863BC" w:rsidP="004863BC">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DD977D3" w14:textId="77777777" w:rsidR="004863BC" w:rsidRDefault="004863BC" w:rsidP="004863BC">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56D3BB6C" w14:textId="728F01C2" w:rsidR="007E0B70" w:rsidRPr="002C61BD" w:rsidRDefault="004863BC" w:rsidP="008579B9">
            <w:pPr>
              <w:jc w:val="center"/>
              <w:rPr>
                <w:rFonts w:ascii="Arial" w:hAnsi="Arial" w:cs="Arial"/>
                <w:szCs w:val="24"/>
              </w:rPr>
            </w:pPr>
            <w:r>
              <w:rPr>
                <w:rFonts w:ascii="Arial" w:hAnsi="Arial"/>
                <w:color w:val="000080"/>
                <w:spacing w:val="-3"/>
                <w:sz w:val="26"/>
              </w:rPr>
              <w:t>400 NORTH STREET</w:t>
            </w:r>
            <w:r w:rsidR="008579B9">
              <w:rPr>
                <w:rFonts w:ascii="Arial" w:hAnsi="Arial"/>
                <w:color w:val="000080"/>
                <w:spacing w:val="-3"/>
                <w:sz w:val="26"/>
              </w:rPr>
              <w:t xml:space="preserve">, </w:t>
            </w:r>
            <w:r>
              <w:rPr>
                <w:rFonts w:ascii="Arial" w:hAnsi="Arial"/>
                <w:color w:val="000080"/>
                <w:spacing w:val="-3"/>
                <w:sz w:val="26"/>
              </w:rPr>
              <w:t>HARRISBURG, PA  17120</w:t>
            </w:r>
          </w:p>
        </w:tc>
        <w:tc>
          <w:tcPr>
            <w:tcW w:w="1452" w:type="dxa"/>
          </w:tcPr>
          <w:p w14:paraId="13CA06B0" w14:textId="77777777" w:rsidR="007E0B70" w:rsidRPr="002C61BD" w:rsidRDefault="007E0B70" w:rsidP="004863BC">
            <w:pPr>
              <w:rPr>
                <w:rFonts w:ascii="Arial" w:hAnsi="Arial" w:cs="Arial"/>
                <w:sz w:val="18"/>
                <w:szCs w:val="24"/>
              </w:rPr>
            </w:pPr>
          </w:p>
          <w:p w14:paraId="486F495B" w14:textId="77777777" w:rsidR="007E0B70" w:rsidRPr="002C61BD" w:rsidRDefault="007E0B70" w:rsidP="004863BC">
            <w:pPr>
              <w:rPr>
                <w:rFonts w:ascii="Arial" w:hAnsi="Arial" w:cs="Arial"/>
                <w:sz w:val="12"/>
                <w:szCs w:val="24"/>
              </w:rPr>
            </w:pPr>
          </w:p>
          <w:p w14:paraId="705E0378" w14:textId="77777777" w:rsidR="007E0B70" w:rsidRPr="002C61BD" w:rsidRDefault="007E0B70" w:rsidP="004863BC">
            <w:pPr>
              <w:rPr>
                <w:rFonts w:ascii="Arial" w:hAnsi="Arial" w:cs="Arial"/>
                <w:sz w:val="12"/>
                <w:szCs w:val="24"/>
              </w:rPr>
            </w:pPr>
          </w:p>
          <w:p w14:paraId="61B80382" w14:textId="77777777" w:rsidR="007E0B70" w:rsidRPr="002C61BD" w:rsidRDefault="007E0B70" w:rsidP="004863BC">
            <w:pPr>
              <w:rPr>
                <w:rFonts w:ascii="Arial" w:hAnsi="Arial" w:cs="Arial"/>
                <w:sz w:val="12"/>
                <w:szCs w:val="24"/>
              </w:rPr>
            </w:pPr>
          </w:p>
          <w:p w14:paraId="6B6B883C" w14:textId="77777777" w:rsidR="007E0B70" w:rsidRPr="002C61BD" w:rsidRDefault="007E0B70" w:rsidP="004863BC">
            <w:pPr>
              <w:rPr>
                <w:rFonts w:ascii="Arial" w:hAnsi="Arial" w:cs="Arial"/>
                <w:sz w:val="12"/>
                <w:szCs w:val="24"/>
              </w:rPr>
            </w:pPr>
          </w:p>
          <w:p w14:paraId="17566939" w14:textId="77777777" w:rsidR="007E0B70" w:rsidRPr="002C61BD" w:rsidRDefault="007E0B70" w:rsidP="004863BC">
            <w:pPr>
              <w:rPr>
                <w:rFonts w:ascii="Arial" w:hAnsi="Arial" w:cs="Arial"/>
                <w:szCs w:val="24"/>
              </w:rPr>
            </w:pPr>
            <w:r w:rsidRPr="002C61BD">
              <w:rPr>
                <w:rFonts w:ascii="Arial" w:hAnsi="Arial" w:cs="Arial"/>
                <w:sz w:val="12"/>
                <w:szCs w:val="24"/>
              </w:rPr>
              <w:t>IN REPLY PLEASE REFER TO OUR FILE</w:t>
            </w:r>
          </w:p>
        </w:tc>
      </w:tr>
    </w:tbl>
    <w:p w14:paraId="11D22BEB" w14:textId="77777777" w:rsidR="00F16976" w:rsidRDefault="00F16976" w:rsidP="004F00DD">
      <w:pPr>
        <w:tabs>
          <w:tab w:val="center" w:pos="4680"/>
          <w:tab w:val="left" w:pos="8820"/>
        </w:tabs>
        <w:overflowPunct/>
        <w:autoSpaceDE/>
        <w:autoSpaceDN/>
        <w:adjustRightInd/>
        <w:jc w:val="center"/>
        <w:textAlignment w:val="auto"/>
        <w:outlineLvl w:val="0"/>
        <w:rPr>
          <w:rFonts w:ascii="Arial" w:hAnsi="Arial" w:cs="Arial"/>
          <w:b/>
          <w:sz w:val="28"/>
          <w:szCs w:val="28"/>
          <w:highlight w:val="yellow"/>
        </w:rPr>
      </w:pPr>
    </w:p>
    <w:p w14:paraId="46EB861A" w14:textId="77777777" w:rsidR="004F00DD" w:rsidRPr="00F16976" w:rsidRDefault="004F00DD" w:rsidP="004F00DD">
      <w:pPr>
        <w:tabs>
          <w:tab w:val="center" w:pos="4680"/>
          <w:tab w:val="left" w:pos="8820"/>
        </w:tabs>
        <w:overflowPunct/>
        <w:autoSpaceDE/>
        <w:autoSpaceDN/>
        <w:adjustRightInd/>
        <w:jc w:val="center"/>
        <w:textAlignment w:val="auto"/>
        <w:outlineLvl w:val="0"/>
        <w:rPr>
          <w:rFonts w:ascii="Arial" w:hAnsi="Arial" w:cs="Arial"/>
          <w:b/>
          <w:sz w:val="26"/>
          <w:szCs w:val="26"/>
        </w:rPr>
      </w:pPr>
      <w:r w:rsidRPr="00F16976">
        <w:rPr>
          <w:rFonts w:ascii="Arial" w:hAnsi="Arial" w:cs="Arial"/>
          <w:b/>
          <w:sz w:val="26"/>
          <w:szCs w:val="26"/>
        </w:rPr>
        <w:t>INDEPENDENT AUDITOR'S REPORT</w:t>
      </w:r>
    </w:p>
    <w:p w14:paraId="548461F8" w14:textId="77777777" w:rsidR="004F00DD" w:rsidRPr="004F00DD" w:rsidRDefault="004F00DD" w:rsidP="004F00DD">
      <w:pPr>
        <w:tabs>
          <w:tab w:val="left" w:pos="-720"/>
          <w:tab w:val="left" w:pos="8820"/>
        </w:tabs>
        <w:overflowPunct/>
        <w:autoSpaceDE/>
        <w:autoSpaceDN/>
        <w:adjustRightInd/>
        <w:textAlignment w:val="auto"/>
        <w:rPr>
          <w:rFonts w:ascii="Arial" w:hAnsi="Arial" w:cs="Arial"/>
          <w:sz w:val="26"/>
          <w:szCs w:val="26"/>
        </w:rPr>
      </w:pPr>
    </w:p>
    <w:p w14:paraId="75AF4EB7" w14:textId="77777777" w:rsidR="004F00DD" w:rsidRPr="004F00DD" w:rsidRDefault="005E3231" w:rsidP="004F00DD">
      <w:pPr>
        <w:tabs>
          <w:tab w:val="center" w:pos="4680"/>
          <w:tab w:val="left" w:pos="8820"/>
        </w:tabs>
        <w:overflowPunct/>
        <w:autoSpaceDE/>
        <w:autoSpaceDN/>
        <w:adjustRightInd/>
        <w:jc w:val="center"/>
        <w:textAlignment w:val="auto"/>
        <w:outlineLvl w:val="0"/>
        <w:rPr>
          <w:rFonts w:ascii="Arial" w:hAnsi="Arial" w:cs="Arial"/>
          <w:sz w:val="26"/>
          <w:szCs w:val="26"/>
        </w:rPr>
      </w:pPr>
      <w:r>
        <w:rPr>
          <w:rFonts w:ascii="Arial" w:hAnsi="Arial" w:cs="Arial"/>
          <w:b/>
          <w:sz w:val="26"/>
          <w:szCs w:val="26"/>
        </w:rPr>
        <w:t>t</w:t>
      </w:r>
      <w:r w:rsidR="004F00DD" w:rsidRPr="004F00DD">
        <w:rPr>
          <w:rFonts w:ascii="Arial" w:hAnsi="Arial" w:cs="Arial"/>
          <w:b/>
          <w:sz w:val="26"/>
          <w:szCs w:val="26"/>
        </w:rPr>
        <w:t xml:space="preserve">o </w:t>
      </w:r>
      <w:r>
        <w:rPr>
          <w:rFonts w:ascii="Arial" w:hAnsi="Arial" w:cs="Arial"/>
          <w:b/>
          <w:sz w:val="26"/>
          <w:szCs w:val="26"/>
        </w:rPr>
        <w:t>t</w:t>
      </w:r>
      <w:r w:rsidR="004F00DD" w:rsidRPr="004F00DD">
        <w:rPr>
          <w:rFonts w:ascii="Arial" w:hAnsi="Arial" w:cs="Arial"/>
          <w:b/>
          <w:sz w:val="26"/>
          <w:szCs w:val="26"/>
        </w:rPr>
        <w:t>he Pennsylvania Public Utility Commission</w:t>
      </w:r>
    </w:p>
    <w:p w14:paraId="616BCAB3" w14:textId="77777777" w:rsidR="004F00DD" w:rsidRPr="004F00DD" w:rsidRDefault="004F00DD" w:rsidP="004F00DD">
      <w:pPr>
        <w:tabs>
          <w:tab w:val="left" w:pos="-720"/>
          <w:tab w:val="left" w:pos="8820"/>
        </w:tabs>
        <w:overflowPunct/>
        <w:autoSpaceDE/>
        <w:autoSpaceDN/>
        <w:adjustRightInd/>
        <w:textAlignment w:val="auto"/>
        <w:rPr>
          <w:rFonts w:ascii="Arial" w:hAnsi="Arial" w:cs="Arial"/>
          <w:sz w:val="26"/>
          <w:szCs w:val="26"/>
        </w:rPr>
      </w:pPr>
    </w:p>
    <w:p w14:paraId="7F4C178E" w14:textId="77777777" w:rsidR="004F00DD" w:rsidRPr="004F00DD" w:rsidRDefault="004F00DD" w:rsidP="004F00DD">
      <w:pPr>
        <w:overflowPunct/>
        <w:autoSpaceDE/>
        <w:autoSpaceDN/>
        <w:adjustRightInd/>
        <w:textAlignment w:val="auto"/>
        <w:rPr>
          <w:rFonts w:ascii="Arial" w:hAnsi="Arial" w:cs="Arial"/>
          <w:b/>
          <w:bCs/>
          <w:szCs w:val="24"/>
        </w:rPr>
      </w:pPr>
      <w:r w:rsidRPr="004F00DD">
        <w:rPr>
          <w:rFonts w:ascii="Arial" w:hAnsi="Arial" w:cs="Arial"/>
          <w:b/>
          <w:bCs/>
          <w:szCs w:val="24"/>
        </w:rPr>
        <w:t>Report on the Financial Statement</w:t>
      </w:r>
    </w:p>
    <w:p w14:paraId="25309D52" w14:textId="77777777" w:rsidR="004F00DD" w:rsidRPr="004F00DD" w:rsidRDefault="004F00DD" w:rsidP="004F00DD">
      <w:pPr>
        <w:overflowPunct/>
        <w:autoSpaceDE/>
        <w:autoSpaceDN/>
        <w:adjustRightInd/>
        <w:textAlignment w:val="auto"/>
        <w:rPr>
          <w:rFonts w:ascii="Arial" w:hAnsi="Arial" w:cs="Arial"/>
          <w:b/>
          <w:bCs/>
          <w:szCs w:val="24"/>
        </w:rPr>
      </w:pPr>
    </w:p>
    <w:p w14:paraId="55101AA5" w14:textId="0DD262D9" w:rsidR="004F00DD" w:rsidRPr="004F00DD" w:rsidRDefault="004F00DD" w:rsidP="004F00DD">
      <w:pPr>
        <w:tabs>
          <w:tab w:val="left" w:pos="720"/>
        </w:tabs>
        <w:overflowPunct/>
        <w:autoSpaceDE/>
        <w:autoSpaceDN/>
        <w:adjustRightInd/>
        <w:textAlignment w:val="auto"/>
        <w:rPr>
          <w:rFonts w:ascii="Arial" w:hAnsi="Arial" w:cs="Arial"/>
          <w:szCs w:val="24"/>
        </w:rPr>
      </w:pPr>
      <w:r w:rsidRPr="004F00DD">
        <w:rPr>
          <w:rFonts w:ascii="CG Times" w:hAnsi="CG Times"/>
          <w:szCs w:val="24"/>
        </w:rPr>
        <w:tab/>
      </w:r>
      <w:r w:rsidRPr="00F16976">
        <w:rPr>
          <w:rFonts w:ascii="Arial" w:hAnsi="Arial" w:cs="Arial"/>
          <w:szCs w:val="24"/>
        </w:rPr>
        <w:t xml:space="preserve">We have audited </w:t>
      </w:r>
      <w:r w:rsidR="00CA571D" w:rsidRPr="00F16976">
        <w:rPr>
          <w:rFonts w:ascii="Arial" w:hAnsi="Arial" w:cs="Arial"/>
          <w:szCs w:val="24"/>
        </w:rPr>
        <w:t>PECO Energy</w:t>
      </w:r>
      <w:r w:rsidR="00F16976" w:rsidRPr="00F16976">
        <w:rPr>
          <w:rFonts w:ascii="Arial" w:hAnsi="Arial" w:cs="Arial"/>
          <w:szCs w:val="24"/>
        </w:rPr>
        <w:t xml:space="preserve"> Company’s</w:t>
      </w:r>
      <w:r w:rsidRPr="00F16976">
        <w:rPr>
          <w:rFonts w:ascii="Arial" w:hAnsi="Arial" w:cs="Arial"/>
          <w:szCs w:val="24"/>
        </w:rPr>
        <w:t xml:space="preserve"> Statement of </w:t>
      </w:r>
      <w:r w:rsidR="00CA571D" w:rsidRPr="00F16976">
        <w:rPr>
          <w:rFonts w:ascii="Arial" w:hAnsi="Arial" w:cs="Arial"/>
          <w:szCs w:val="24"/>
        </w:rPr>
        <w:t xml:space="preserve">Energy Efficiency and Conservation </w:t>
      </w:r>
      <w:r w:rsidR="00ED0732" w:rsidRPr="00F16976">
        <w:rPr>
          <w:rFonts w:ascii="Arial" w:hAnsi="Arial" w:cs="Arial"/>
          <w:szCs w:val="24"/>
        </w:rPr>
        <w:t xml:space="preserve">Program </w:t>
      </w:r>
      <w:r w:rsidR="00F16976" w:rsidRPr="00F16976">
        <w:rPr>
          <w:rFonts w:ascii="Arial" w:hAnsi="Arial" w:cs="Arial"/>
          <w:szCs w:val="24"/>
        </w:rPr>
        <w:t>C</w:t>
      </w:r>
      <w:r w:rsidR="007140B7">
        <w:rPr>
          <w:rFonts w:ascii="Arial" w:hAnsi="Arial" w:cs="Arial"/>
          <w:szCs w:val="24"/>
        </w:rPr>
        <w:t>osts</w:t>
      </w:r>
      <w:r w:rsidRPr="00F16976">
        <w:rPr>
          <w:rFonts w:ascii="Arial" w:hAnsi="Arial" w:cs="Arial"/>
          <w:szCs w:val="24"/>
        </w:rPr>
        <w:t xml:space="preserve"> </w:t>
      </w:r>
      <w:r w:rsidR="000D11AE">
        <w:rPr>
          <w:rFonts w:ascii="Arial" w:hAnsi="Arial" w:cs="Arial"/>
          <w:szCs w:val="24"/>
        </w:rPr>
        <w:t xml:space="preserve">Phase II </w:t>
      </w:r>
      <w:r w:rsidRPr="00F16976">
        <w:rPr>
          <w:rFonts w:ascii="Arial" w:hAnsi="Arial" w:cs="Arial"/>
          <w:szCs w:val="24"/>
        </w:rPr>
        <w:t>Over/Under Collections (Section 1307(</w:t>
      </w:r>
      <w:r w:rsidR="00CA571D" w:rsidRPr="00F16976">
        <w:rPr>
          <w:rFonts w:ascii="Arial" w:hAnsi="Arial" w:cs="Arial"/>
          <w:szCs w:val="24"/>
        </w:rPr>
        <w:t>e</w:t>
      </w:r>
      <w:r w:rsidRPr="00F16976">
        <w:rPr>
          <w:rFonts w:ascii="Arial" w:hAnsi="Arial" w:cs="Arial"/>
          <w:szCs w:val="24"/>
        </w:rPr>
        <w:t xml:space="preserve">)) for the </w:t>
      </w:r>
      <w:r w:rsidR="004F5281">
        <w:rPr>
          <w:rFonts w:ascii="Arial" w:hAnsi="Arial" w:cs="Arial"/>
          <w:szCs w:val="24"/>
        </w:rPr>
        <w:t>period June 1, 2013 through</w:t>
      </w:r>
      <w:r w:rsidR="00684B3A">
        <w:rPr>
          <w:rFonts w:ascii="Arial" w:hAnsi="Arial" w:cs="Arial"/>
          <w:szCs w:val="24"/>
        </w:rPr>
        <w:t xml:space="preserve"> March 31, 2016</w:t>
      </w:r>
      <w:r w:rsidR="004F5281">
        <w:rPr>
          <w:rFonts w:ascii="Arial" w:hAnsi="Arial" w:cs="Arial"/>
          <w:szCs w:val="24"/>
        </w:rPr>
        <w:t>.</w:t>
      </w:r>
    </w:p>
    <w:p w14:paraId="65DB0D32" w14:textId="77777777" w:rsidR="004F00DD" w:rsidRPr="004F00DD" w:rsidRDefault="004F00DD" w:rsidP="004F00DD">
      <w:pPr>
        <w:overflowPunct/>
        <w:autoSpaceDE/>
        <w:autoSpaceDN/>
        <w:adjustRightInd/>
        <w:textAlignment w:val="auto"/>
        <w:rPr>
          <w:rFonts w:ascii="Arial" w:hAnsi="Arial" w:cs="Arial"/>
          <w:i/>
          <w:szCs w:val="24"/>
        </w:rPr>
      </w:pPr>
    </w:p>
    <w:p w14:paraId="1F962E87" w14:textId="77777777" w:rsidR="004F00DD" w:rsidRPr="004F00DD" w:rsidRDefault="004F00DD" w:rsidP="004F00DD">
      <w:pPr>
        <w:overflowPunct/>
        <w:autoSpaceDE/>
        <w:autoSpaceDN/>
        <w:adjustRightInd/>
        <w:textAlignment w:val="auto"/>
        <w:rPr>
          <w:rFonts w:ascii="Arial" w:hAnsi="Arial" w:cs="Arial"/>
          <w:szCs w:val="24"/>
        </w:rPr>
      </w:pPr>
      <w:r w:rsidRPr="004F00DD">
        <w:rPr>
          <w:rFonts w:ascii="Arial" w:hAnsi="Arial" w:cs="Arial"/>
          <w:b/>
          <w:bCs/>
          <w:iCs/>
          <w:szCs w:val="24"/>
        </w:rPr>
        <w:t>Management’s Responsibility for the Financial Statement</w:t>
      </w:r>
    </w:p>
    <w:p w14:paraId="5F83B214" w14:textId="77777777" w:rsidR="004F00DD" w:rsidRPr="004F00DD" w:rsidRDefault="004F00DD" w:rsidP="004F00DD">
      <w:pPr>
        <w:overflowPunct/>
        <w:autoSpaceDE/>
        <w:autoSpaceDN/>
        <w:adjustRightInd/>
        <w:textAlignment w:val="auto"/>
        <w:rPr>
          <w:rFonts w:ascii="Arial" w:hAnsi="Arial" w:cs="Arial"/>
          <w:i/>
          <w:szCs w:val="24"/>
        </w:rPr>
      </w:pPr>
    </w:p>
    <w:p w14:paraId="5A539C94" w14:textId="77777777" w:rsidR="004F00DD" w:rsidRPr="004F00DD" w:rsidRDefault="004F00DD" w:rsidP="004F00DD">
      <w:pPr>
        <w:overflowPunct/>
        <w:autoSpaceDE/>
        <w:autoSpaceDN/>
        <w:adjustRightInd/>
        <w:ind w:firstLine="720"/>
        <w:textAlignment w:val="auto"/>
        <w:rPr>
          <w:rFonts w:ascii="Arial" w:hAnsi="Arial" w:cs="Arial"/>
          <w:szCs w:val="24"/>
        </w:rPr>
      </w:pPr>
      <w:r w:rsidRPr="004F00DD">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14:paraId="54AAC882" w14:textId="77777777" w:rsidR="004F00DD" w:rsidRPr="004F00DD" w:rsidRDefault="004F00DD" w:rsidP="004F00DD">
      <w:pPr>
        <w:overflowPunct/>
        <w:autoSpaceDE/>
        <w:autoSpaceDN/>
        <w:adjustRightInd/>
        <w:textAlignment w:val="auto"/>
        <w:rPr>
          <w:rFonts w:ascii="Arial" w:hAnsi="Arial" w:cs="Arial"/>
          <w:i/>
          <w:szCs w:val="24"/>
        </w:rPr>
      </w:pPr>
    </w:p>
    <w:p w14:paraId="36DB0EE6" w14:textId="77777777" w:rsidR="004F00DD" w:rsidRPr="004F00DD" w:rsidRDefault="004F00DD" w:rsidP="004F00DD">
      <w:pPr>
        <w:overflowPunct/>
        <w:autoSpaceDE/>
        <w:autoSpaceDN/>
        <w:adjustRightInd/>
        <w:textAlignment w:val="auto"/>
        <w:rPr>
          <w:rFonts w:ascii="Arial" w:hAnsi="Arial" w:cs="Arial"/>
          <w:b/>
          <w:bCs/>
          <w:iCs/>
          <w:szCs w:val="24"/>
        </w:rPr>
      </w:pPr>
      <w:r w:rsidRPr="004F00DD">
        <w:rPr>
          <w:rFonts w:ascii="Arial" w:hAnsi="Arial" w:cs="Arial"/>
          <w:b/>
          <w:bCs/>
          <w:iCs/>
          <w:szCs w:val="24"/>
        </w:rPr>
        <w:t>Auditor’s Responsibility</w:t>
      </w:r>
    </w:p>
    <w:p w14:paraId="0CD76812" w14:textId="77777777" w:rsidR="004F00DD" w:rsidRPr="004F00DD" w:rsidRDefault="004F00DD" w:rsidP="004F00DD">
      <w:pPr>
        <w:overflowPunct/>
        <w:autoSpaceDE/>
        <w:autoSpaceDN/>
        <w:adjustRightInd/>
        <w:textAlignment w:val="auto"/>
        <w:rPr>
          <w:rFonts w:ascii="Arial" w:hAnsi="Arial" w:cs="Arial"/>
          <w:szCs w:val="24"/>
        </w:rPr>
      </w:pPr>
    </w:p>
    <w:p w14:paraId="3EC03E33" w14:textId="77777777" w:rsidR="004F00DD" w:rsidRPr="004F00DD" w:rsidRDefault="004F00DD" w:rsidP="004F00DD">
      <w:pPr>
        <w:overflowPunct/>
        <w:autoSpaceDE/>
        <w:autoSpaceDN/>
        <w:adjustRightInd/>
        <w:ind w:firstLine="720"/>
        <w:textAlignment w:val="auto"/>
        <w:rPr>
          <w:rFonts w:ascii="Arial" w:hAnsi="Arial" w:cs="Arial"/>
          <w:szCs w:val="24"/>
        </w:rPr>
      </w:pPr>
      <w:r w:rsidRPr="004F00DD">
        <w:rPr>
          <w:rFonts w:ascii="Arial" w:hAnsi="Arial" w:cs="Arial"/>
          <w:szCs w:val="24"/>
        </w:rPr>
        <w:t>Our responsibility is to express an opinion on th</w:t>
      </w:r>
      <w:r w:rsidR="00EB28B3">
        <w:rPr>
          <w:rFonts w:ascii="Arial" w:hAnsi="Arial" w:cs="Arial"/>
          <w:szCs w:val="24"/>
        </w:rPr>
        <w:t>is</w:t>
      </w:r>
      <w:r w:rsidRPr="004F00DD">
        <w:rPr>
          <w:rFonts w:ascii="Arial" w:hAnsi="Arial" w:cs="Arial"/>
          <w:szCs w:val="24"/>
        </w:rPr>
        <w:t xml:space="preserve"> statement based on our audit.  We conducted our audit in accordance with auditing standards generally accepted in the United States of America.  Those standards require that we plan and perform the audit to obtain reasonable assurance about whether th</w:t>
      </w:r>
      <w:r w:rsidR="00EE231E">
        <w:rPr>
          <w:rFonts w:ascii="Arial" w:hAnsi="Arial" w:cs="Arial"/>
          <w:szCs w:val="24"/>
        </w:rPr>
        <w:t>is</w:t>
      </w:r>
      <w:r w:rsidRPr="004F00DD">
        <w:rPr>
          <w:rFonts w:ascii="Arial" w:hAnsi="Arial" w:cs="Arial"/>
          <w:szCs w:val="24"/>
        </w:rPr>
        <w:t xml:space="preserve"> statement </w:t>
      </w:r>
      <w:r w:rsidR="00EE231E">
        <w:rPr>
          <w:rFonts w:ascii="Arial" w:hAnsi="Arial" w:cs="Arial"/>
          <w:szCs w:val="24"/>
        </w:rPr>
        <w:t>is</w:t>
      </w:r>
      <w:r w:rsidRPr="004F00DD">
        <w:rPr>
          <w:rFonts w:ascii="Arial" w:hAnsi="Arial" w:cs="Arial"/>
          <w:szCs w:val="24"/>
        </w:rPr>
        <w:t xml:space="preserve"> free from material misstatement.  An audit involves performing procedures to obtain audit evidence about the amounts and disclosures in th</w:t>
      </w:r>
      <w:r w:rsidR="008E26B2">
        <w:rPr>
          <w:rFonts w:ascii="Arial" w:hAnsi="Arial" w:cs="Arial"/>
          <w:szCs w:val="24"/>
        </w:rPr>
        <w:t>is</w:t>
      </w:r>
      <w:r w:rsidRPr="004F00DD">
        <w:rPr>
          <w:rFonts w:ascii="Arial" w:hAnsi="Arial" w:cs="Arial"/>
          <w:szCs w:val="24"/>
        </w:rPr>
        <w:t xml:space="preserve"> statement.  The procedures selected depend on the auditor’s judgment, including the assessment of the risks of material misstatement of th</w:t>
      </w:r>
      <w:r w:rsidR="00427CB0">
        <w:rPr>
          <w:rFonts w:ascii="Arial" w:hAnsi="Arial" w:cs="Arial"/>
          <w:szCs w:val="24"/>
        </w:rPr>
        <w:t>is</w:t>
      </w:r>
      <w:r w:rsidRPr="004F00DD">
        <w:rPr>
          <w:rFonts w:ascii="Arial" w:hAnsi="Arial" w:cs="Arial"/>
          <w:szCs w:val="24"/>
        </w:rPr>
        <w:t xml:space="preserve"> statement, whether due to fraud or error.  In making those risk assessments, the auditor considers internal control relevant to the entity’s preparation and fair presentation of th</w:t>
      </w:r>
      <w:r w:rsidR="004560D1">
        <w:rPr>
          <w:rFonts w:ascii="Arial" w:hAnsi="Arial" w:cs="Arial"/>
          <w:szCs w:val="24"/>
        </w:rPr>
        <w:t>is</w:t>
      </w:r>
      <w:r w:rsidRPr="004F00DD">
        <w:rPr>
          <w:rFonts w:ascii="Arial" w:hAnsi="Arial" w:cs="Arial"/>
          <w:szCs w:val="24"/>
        </w:rPr>
        <w:t xml:space="preserve"> statement </w:t>
      </w:r>
      <w:proofErr w:type="gramStart"/>
      <w:r w:rsidRPr="004F00DD">
        <w:rPr>
          <w:rFonts w:ascii="Arial" w:hAnsi="Arial" w:cs="Arial"/>
          <w:szCs w:val="24"/>
        </w:rPr>
        <w:t>in order to</w:t>
      </w:r>
      <w:proofErr w:type="gramEnd"/>
      <w:r w:rsidRPr="004F00DD">
        <w:rPr>
          <w:rFonts w:ascii="Arial" w:hAnsi="Arial" w:cs="Arial"/>
          <w:szCs w:val="24"/>
        </w:rPr>
        <w:t xml:space="preserve"> design audit procedures that are appropriate in the circumstances, but not for the purpose of expressing an opinion on the effectiveness of the entity’s internal control</w:t>
      </w:r>
      <w:r w:rsidR="004028FF">
        <w:rPr>
          <w:rFonts w:ascii="Arial" w:hAnsi="Arial" w:cs="Arial"/>
          <w:szCs w:val="24"/>
        </w:rPr>
        <w:t>.</w:t>
      </w:r>
      <w:r w:rsidRPr="004F00DD">
        <w:rPr>
          <w:rFonts w:ascii="Arial" w:hAnsi="Arial" w:cs="Arial"/>
          <w:szCs w:val="24"/>
        </w:rPr>
        <w:t xml:space="preserve">  An audit also includes evaluating the appropriateness of accounting policies used and the reasonableness of significant accounting estimates made by management, as well as evaluating the overall presentation of th</w:t>
      </w:r>
      <w:r w:rsidR="00B05A75">
        <w:rPr>
          <w:rFonts w:ascii="Arial" w:hAnsi="Arial" w:cs="Arial"/>
          <w:szCs w:val="24"/>
        </w:rPr>
        <w:t>is</w:t>
      </w:r>
      <w:r w:rsidRPr="004F00DD">
        <w:rPr>
          <w:rFonts w:ascii="Arial" w:hAnsi="Arial" w:cs="Arial"/>
          <w:szCs w:val="24"/>
        </w:rPr>
        <w:t xml:space="preserve"> statement.  We believe that the audit evidence we have obtained is sufficient and appropriate to provide a basis for our audit opinion.</w:t>
      </w:r>
    </w:p>
    <w:p w14:paraId="701F0530" w14:textId="77777777" w:rsidR="004F00DD" w:rsidRPr="004F00DD" w:rsidRDefault="004F00DD" w:rsidP="004F00DD">
      <w:pPr>
        <w:overflowPunct/>
        <w:autoSpaceDE/>
        <w:autoSpaceDN/>
        <w:adjustRightInd/>
        <w:textAlignment w:val="auto"/>
        <w:rPr>
          <w:rFonts w:ascii="Arial" w:hAnsi="Arial" w:cs="Arial"/>
          <w:b/>
          <w:bCs/>
          <w:iCs/>
          <w:szCs w:val="24"/>
        </w:rPr>
      </w:pPr>
      <w:r w:rsidRPr="004F00DD">
        <w:rPr>
          <w:rFonts w:ascii="Arial" w:hAnsi="Arial" w:cs="Arial"/>
          <w:b/>
          <w:bCs/>
          <w:iCs/>
          <w:szCs w:val="24"/>
        </w:rPr>
        <w:br w:type="page"/>
      </w:r>
    </w:p>
    <w:p w14:paraId="1990ED8E" w14:textId="77777777" w:rsidR="004F00DD" w:rsidRPr="004F00DD" w:rsidRDefault="004F00DD" w:rsidP="004F00DD">
      <w:pPr>
        <w:overflowPunct/>
        <w:autoSpaceDE/>
        <w:autoSpaceDN/>
        <w:adjustRightInd/>
        <w:textAlignment w:val="auto"/>
        <w:rPr>
          <w:rFonts w:ascii="Arial" w:hAnsi="Arial" w:cs="Arial"/>
          <w:szCs w:val="24"/>
        </w:rPr>
      </w:pPr>
      <w:r w:rsidRPr="004F00DD">
        <w:rPr>
          <w:rFonts w:ascii="Arial" w:hAnsi="Arial" w:cs="Arial"/>
          <w:b/>
          <w:bCs/>
          <w:iCs/>
          <w:szCs w:val="24"/>
        </w:rPr>
        <w:lastRenderedPageBreak/>
        <w:t>Opinion</w:t>
      </w:r>
    </w:p>
    <w:p w14:paraId="67F6139C" w14:textId="77777777" w:rsidR="004F00DD" w:rsidRPr="004F00DD" w:rsidRDefault="004F00DD" w:rsidP="004F00DD">
      <w:pPr>
        <w:overflowPunct/>
        <w:autoSpaceDE/>
        <w:autoSpaceDN/>
        <w:adjustRightInd/>
        <w:textAlignment w:val="auto"/>
        <w:rPr>
          <w:rFonts w:ascii="Arial" w:hAnsi="Arial" w:cs="Arial"/>
          <w:szCs w:val="24"/>
        </w:rPr>
      </w:pPr>
    </w:p>
    <w:p w14:paraId="665B3C42" w14:textId="0BF25398" w:rsidR="004F00DD" w:rsidRPr="004F00DD" w:rsidRDefault="00D84DCA" w:rsidP="00CA571D">
      <w:pPr>
        <w:tabs>
          <w:tab w:val="left" w:pos="720"/>
        </w:tabs>
        <w:overflowPunct/>
        <w:autoSpaceDE/>
        <w:autoSpaceDN/>
        <w:adjustRightInd/>
        <w:textAlignment w:val="auto"/>
        <w:rPr>
          <w:rFonts w:ascii="Arial" w:hAnsi="Arial" w:cs="Arial"/>
          <w:szCs w:val="24"/>
        </w:rPr>
      </w:pPr>
      <w:r>
        <w:rPr>
          <w:rFonts w:ascii="Arial" w:hAnsi="Arial" w:cs="Arial"/>
          <w:szCs w:val="24"/>
        </w:rPr>
        <w:tab/>
      </w:r>
      <w:r w:rsidR="004F00DD" w:rsidRPr="004F00DD">
        <w:rPr>
          <w:rFonts w:ascii="Arial" w:hAnsi="Arial" w:cs="Arial"/>
          <w:szCs w:val="24"/>
        </w:rPr>
        <w:t xml:space="preserve">In our opinion, the information set forth in the accompanying condensed Statement of </w:t>
      </w:r>
      <w:r w:rsidR="00CA571D">
        <w:rPr>
          <w:rFonts w:ascii="Arial" w:hAnsi="Arial" w:cs="Arial"/>
          <w:szCs w:val="24"/>
        </w:rPr>
        <w:t xml:space="preserve">Energy Efficiency and Conservation </w:t>
      </w:r>
      <w:r w:rsidR="00500A04">
        <w:rPr>
          <w:rFonts w:ascii="Arial" w:hAnsi="Arial" w:cs="Arial"/>
          <w:szCs w:val="24"/>
        </w:rPr>
        <w:t xml:space="preserve">Program </w:t>
      </w:r>
      <w:r w:rsidR="00B94ACC" w:rsidRPr="00B94ACC">
        <w:rPr>
          <w:rFonts w:ascii="Arial" w:hAnsi="Arial" w:cs="Arial"/>
          <w:szCs w:val="24"/>
        </w:rPr>
        <w:t>C</w:t>
      </w:r>
      <w:r w:rsidR="00AF2671">
        <w:rPr>
          <w:rFonts w:ascii="Arial" w:hAnsi="Arial" w:cs="Arial"/>
          <w:szCs w:val="24"/>
        </w:rPr>
        <w:t>osts</w:t>
      </w:r>
      <w:r w:rsidR="00CA571D" w:rsidRPr="004F00DD">
        <w:rPr>
          <w:rFonts w:ascii="Arial" w:hAnsi="Arial" w:cs="Arial"/>
          <w:szCs w:val="24"/>
        </w:rPr>
        <w:t xml:space="preserve"> </w:t>
      </w:r>
      <w:r w:rsidR="002A5D2B">
        <w:rPr>
          <w:rFonts w:ascii="Arial" w:hAnsi="Arial" w:cs="Arial"/>
          <w:szCs w:val="24"/>
        </w:rPr>
        <w:t xml:space="preserve">Phase II </w:t>
      </w:r>
      <w:r w:rsidR="004F00DD" w:rsidRPr="004F00DD">
        <w:rPr>
          <w:rFonts w:ascii="Arial" w:hAnsi="Arial" w:cs="Arial"/>
          <w:szCs w:val="24"/>
        </w:rPr>
        <w:t xml:space="preserve">Over/Under Collections </w:t>
      </w:r>
      <w:r w:rsidR="003432FF">
        <w:rPr>
          <w:rFonts w:ascii="Arial" w:hAnsi="Arial" w:cs="Arial"/>
          <w:szCs w:val="24"/>
        </w:rPr>
        <w:t xml:space="preserve">(Section 1307(e)) </w:t>
      </w:r>
      <w:r w:rsidR="004F00DD" w:rsidRPr="004F00DD">
        <w:rPr>
          <w:rFonts w:ascii="Arial" w:hAnsi="Arial" w:cs="Arial"/>
          <w:szCs w:val="24"/>
        </w:rPr>
        <w:t xml:space="preserve">for the </w:t>
      </w:r>
      <w:r w:rsidR="00CA6763">
        <w:rPr>
          <w:rFonts w:ascii="Arial" w:hAnsi="Arial" w:cs="Arial"/>
          <w:szCs w:val="24"/>
        </w:rPr>
        <w:t>period June 1, 2013 through</w:t>
      </w:r>
      <w:r w:rsidR="000942D3">
        <w:rPr>
          <w:rFonts w:ascii="Arial" w:hAnsi="Arial" w:cs="Arial"/>
          <w:szCs w:val="24"/>
        </w:rPr>
        <w:t xml:space="preserve"> March 31, 2016</w:t>
      </w:r>
      <w:r w:rsidR="00FC09FC">
        <w:rPr>
          <w:rFonts w:ascii="Arial" w:hAnsi="Arial" w:cs="Arial"/>
          <w:szCs w:val="24"/>
        </w:rPr>
        <w:t xml:space="preserve"> </w:t>
      </w:r>
      <w:r w:rsidR="004F00DD" w:rsidRPr="004F00DD">
        <w:rPr>
          <w:rFonts w:ascii="Arial" w:hAnsi="Arial" w:cs="Arial"/>
          <w:szCs w:val="24"/>
        </w:rPr>
        <w:t xml:space="preserve">of </w:t>
      </w:r>
      <w:r w:rsidR="00CA571D" w:rsidRPr="00B94ACC">
        <w:rPr>
          <w:rFonts w:ascii="Arial" w:hAnsi="Arial" w:cs="Arial"/>
          <w:szCs w:val="24"/>
        </w:rPr>
        <w:t>PECO Energy</w:t>
      </w:r>
      <w:r w:rsidR="00B94ACC">
        <w:rPr>
          <w:rFonts w:ascii="Arial" w:hAnsi="Arial" w:cs="Arial"/>
          <w:szCs w:val="24"/>
        </w:rPr>
        <w:t xml:space="preserve"> Company</w:t>
      </w:r>
      <w:r w:rsidR="004F00DD" w:rsidRPr="004F00DD">
        <w:rPr>
          <w:rFonts w:ascii="Arial" w:hAnsi="Arial" w:cs="Arial"/>
          <w:szCs w:val="24"/>
        </w:rPr>
        <w:t xml:space="preserve"> presents fairly, in all material respects, in relation to the audited financial statement from which it </w:t>
      </w:r>
      <w:r w:rsidR="00AD7B07">
        <w:rPr>
          <w:rFonts w:ascii="Arial" w:hAnsi="Arial" w:cs="Arial"/>
          <w:szCs w:val="24"/>
        </w:rPr>
        <w:t>was</w:t>
      </w:r>
      <w:r w:rsidR="004F00DD" w:rsidRPr="004F00DD">
        <w:rPr>
          <w:rFonts w:ascii="Arial" w:hAnsi="Arial" w:cs="Arial"/>
          <w:szCs w:val="24"/>
        </w:rPr>
        <w:t xml:space="preserve"> derived.</w:t>
      </w:r>
    </w:p>
    <w:p w14:paraId="5523A217" w14:textId="77777777" w:rsidR="004F00DD" w:rsidRPr="004F00DD" w:rsidRDefault="004F00DD" w:rsidP="004F00DD">
      <w:pPr>
        <w:overflowPunct/>
        <w:autoSpaceDE/>
        <w:autoSpaceDN/>
        <w:adjustRightInd/>
        <w:textAlignment w:val="auto"/>
        <w:rPr>
          <w:rFonts w:ascii="Times New Roman" w:hAnsi="Times New Roman"/>
          <w:szCs w:val="24"/>
        </w:rPr>
      </w:pPr>
    </w:p>
    <w:p w14:paraId="530E3EB2" w14:textId="77777777" w:rsidR="004F00DD" w:rsidRPr="004F00DD" w:rsidRDefault="004F00DD" w:rsidP="004F00DD">
      <w:pPr>
        <w:overflowPunct/>
        <w:autoSpaceDE/>
        <w:autoSpaceDN/>
        <w:adjustRightInd/>
        <w:textAlignment w:val="auto"/>
        <w:rPr>
          <w:rFonts w:ascii="Arial" w:hAnsi="Arial" w:cs="Arial"/>
          <w:szCs w:val="24"/>
        </w:rPr>
      </w:pPr>
    </w:p>
    <w:p w14:paraId="6488138B" w14:textId="77777777" w:rsidR="004F00DD" w:rsidRPr="004F00DD" w:rsidRDefault="004F00DD" w:rsidP="004F00DD">
      <w:pPr>
        <w:overflowPunct/>
        <w:autoSpaceDE/>
        <w:autoSpaceDN/>
        <w:adjustRightInd/>
        <w:textAlignment w:val="auto"/>
        <w:rPr>
          <w:rFonts w:ascii="Arial" w:hAnsi="Arial" w:cs="Arial"/>
          <w:szCs w:val="24"/>
        </w:rPr>
      </w:pPr>
      <w:r w:rsidRPr="004F00DD">
        <w:rPr>
          <w:rFonts w:ascii="Arial" w:hAnsi="Arial" w:cs="Arial"/>
          <w:b/>
          <w:bCs/>
          <w:szCs w:val="24"/>
        </w:rPr>
        <w:t>Report on Other Legal and Regulatory Requirements</w:t>
      </w:r>
    </w:p>
    <w:p w14:paraId="5362B661" w14:textId="77777777" w:rsidR="004F00DD" w:rsidRPr="004F00DD" w:rsidRDefault="004F00DD" w:rsidP="004F00DD">
      <w:pPr>
        <w:overflowPunct/>
        <w:autoSpaceDE/>
        <w:autoSpaceDN/>
        <w:adjustRightInd/>
        <w:textAlignment w:val="auto"/>
        <w:rPr>
          <w:rFonts w:ascii="Arial" w:hAnsi="Arial" w:cs="Arial"/>
          <w:szCs w:val="24"/>
        </w:rPr>
      </w:pPr>
    </w:p>
    <w:p w14:paraId="0CFB7CE2" w14:textId="77777777" w:rsidR="004F00DD" w:rsidRPr="004F00DD" w:rsidRDefault="004F00DD" w:rsidP="004F00DD">
      <w:pPr>
        <w:overflowPunct/>
        <w:autoSpaceDE/>
        <w:autoSpaceDN/>
        <w:adjustRightInd/>
        <w:textAlignment w:val="auto"/>
        <w:rPr>
          <w:rFonts w:ascii="Arial" w:hAnsi="Arial" w:cs="Arial"/>
          <w:szCs w:val="24"/>
        </w:rPr>
      </w:pPr>
      <w:r w:rsidRPr="004F00DD">
        <w:rPr>
          <w:rFonts w:ascii="Arial" w:hAnsi="Arial" w:cs="Arial"/>
          <w:szCs w:val="24"/>
        </w:rPr>
        <w:tab/>
        <w:t>The accompanying statement</w:t>
      </w:r>
      <w:r w:rsidR="002F5315">
        <w:rPr>
          <w:rFonts w:ascii="Arial" w:hAnsi="Arial" w:cs="Arial"/>
          <w:szCs w:val="24"/>
        </w:rPr>
        <w:t xml:space="preserve"> was</w:t>
      </w:r>
      <w:r w:rsidRPr="004F00DD">
        <w:rPr>
          <w:rFonts w:ascii="Arial" w:hAnsi="Arial" w:cs="Arial"/>
          <w:szCs w:val="24"/>
        </w:rPr>
        <w:t xml:space="preserve"> prepared </w:t>
      </w:r>
      <w:proofErr w:type="gramStart"/>
      <w:r w:rsidRPr="004F00DD">
        <w:rPr>
          <w:rFonts w:ascii="Arial" w:hAnsi="Arial" w:cs="Arial"/>
          <w:szCs w:val="24"/>
        </w:rPr>
        <w:t>for the purpose of</w:t>
      </w:r>
      <w:proofErr w:type="gramEnd"/>
      <w:r w:rsidRPr="004F00DD">
        <w:rPr>
          <w:rFonts w:ascii="Arial" w:hAnsi="Arial" w:cs="Arial"/>
          <w:szCs w:val="24"/>
        </w:rPr>
        <w:t xml:space="preserve"> complying with the rules and regulations of the Pennsylvania Public Utility Commission and </w:t>
      </w:r>
      <w:r w:rsidR="00EC1211">
        <w:rPr>
          <w:rFonts w:ascii="Arial" w:hAnsi="Arial" w:cs="Arial"/>
          <w:szCs w:val="24"/>
        </w:rPr>
        <w:t>is</w:t>
      </w:r>
      <w:r w:rsidRPr="004F00DD">
        <w:rPr>
          <w:rFonts w:ascii="Arial" w:hAnsi="Arial" w:cs="Arial"/>
          <w:szCs w:val="24"/>
        </w:rPr>
        <w:t xml:space="preserve"> not intended to be a complete presentation of </w:t>
      </w:r>
      <w:r w:rsidR="00702FF1">
        <w:rPr>
          <w:rFonts w:ascii="Arial" w:hAnsi="Arial" w:cs="Arial"/>
          <w:szCs w:val="24"/>
        </w:rPr>
        <w:t>PECO Energy</w:t>
      </w:r>
      <w:r w:rsidRPr="004F00DD">
        <w:rPr>
          <w:rFonts w:ascii="Arial" w:hAnsi="Arial" w:cs="Arial"/>
          <w:szCs w:val="24"/>
        </w:rPr>
        <w:t xml:space="preserve"> Company’s revenues and expenses.</w:t>
      </w:r>
    </w:p>
    <w:p w14:paraId="26F2B52E" w14:textId="77777777" w:rsidR="004F00DD" w:rsidRPr="004F00DD" w:rsidRDefault="004F00DD" w:rsidP="004F00DD">
      <w:pPr>
        <w:overflowPunct/>
        <w:autoSpaceDE/>
        <w:autoSpaceDN/>
        <w:adjustRightInd/>
        <w:textAlignment w:val="auto"/>
        <w:rPr>
          <w:rFonts w:ascii="Arial" w:hAnsi="Arial" w:cs="Arial"/>
          <w:szCs w:val="24"/>
        </w:rPr>
      </w:pPr>
    </w:p>
    <w:p w14:paraId="481D7FB3" w14:textId="77777777" w:rsidR="004F00DD" w:rsidRPr="004F00DD" w:rsidRDefault="004F00DD" w:rsidP="004F00DD">
      <w:pPr>
        <w:overflowPunct/>
        <w:autoSpaceDE/>
        <w:autoSpaceDN/>
        <w:adjustRightInd/>
        <w:textAlignment w:val="auto"/>
        <w:rPr>
          <w:rFonts w:ascii="Arial" w:hAnsi="Arial" w:cs="Arial"/>
          <w:szCs w:val="24"/>
        </w:rPr>
      </w:pPr>
    </w:p>
    <w:p w14:paraId="2EB8D5A3" w14:textId="77777777" w:rsidR="004F00DD" w:rsidRPr="004F00DD" w:rsidRDefault="004F00DD" w:rsidP="004F00DD">
      <w:pPr>
        <w:overflowPunct/>
        <w:autoSpaceDE/>
        <w:autoSpaceDN/>
        <w:adjustRightInd/>
        <w:textAlignment w:val="auto"/>
        <w:rPr>
          <w:rFonts w:ascii="Arial" w:hAnsi="Arial" w:cs="Arial"/>
          <w:szCs w:val="24"/>
        </w:rPr>
      </w:pPr>
    </w:p>
    <w:p w14:paraId="1719ECCF" w14:textId="77777777" w:rsidR="002A719D" w:rsidRDefault="00702FF1" w:rsidP="005E3231">
      <w:pPr>
        <w:tabs>
          <w:tab w:val="left" w:pos="4680"/>
        </w:tabs>
        <w:overflowPunct/>
        <w:autoSpaceDE/>
        <w:autoSpaceDN/>
        <w:adjustRightInd/>
        <w:textAlignment w:val="auto"/>
        <w:rPr>
          <w:rFonts w:ascii="CG Times" w:hAnsi="CG Times"/>
          <w:szCs w:val="24"/>
        </w:rPr>
      </w:pPr>
      <w:r>
        <w:rPr>
          <w:rFonts w:ascii="CG Times" w:hAnsi="CG Times"/>
          <w:szCs w:val="24"/>
        </w:rPr>
        <w:tab/>
      </w:r>
    </w:p>
    <w:p w14:paraId="03E89F5E" w14:textId="589E7918" w:rsidR="004F00DD" w:rsidRPr="004F00DD" w:rsidRDefault="002A719D" w:rsidP="005E3231">
      <w:pPr>
        <w:tabs>
          <w:tab w:val="left" w:pos="4680"/>
        </w:tabs>
        <w:overflowPunct/>
        <w:autoSpaceDE/>
        <w:autoSpaceDN/>
        <w:adjustRightInd/>
        <w:textAlignment w:val="auto"/>
        <w:rPr>
          <w:rFonts w:ascii="Arial" w:hAnsi="Arial" w:cs="Arial"/>
          <w:szCs w:val="24"/>
        </w:rPr>
      </w:pPr>
      <w:r>
        <w:rPr>
          <w:rFonts w:ascii="Arial" w:hAnsi="Arial" w:cs="Arial"/>
          <w:szCs w:val="24"/>
        </w:rPr>
        <w:tab/>
      </w:r>
      <w:r w:rsidR="00702FF1">
        <w:rPr>
          <w:rFonts w:ascii="Arial" w:hAnsi="Arial" w:cs="Arial"/>
          <w:szCs w:val="24"/>
        </w:rPr>
        <w:t>Kelly A</w:t>
      </w:r>
      <w:r w:rsidR="004B402B">
        <w:rPr>
          <w:rFonts w:ascii="Arial" w:hAnsi="Arial" w:cs="Arial"/>
          <w:szCs w:val="24"/>
        </w:rPr>
        <w:t>.</w:t>
      </w:r>
      <w:r w:rsidR="00702FF1">
        <w:rPr>
          <w:rFonts w:ascii="Arial" w:hAnsi="Arial" w:cs="Arial"/>
          <w:szCs w:val="24"/>
        </w:rPr>
        <w:t xml:space="preserve"> Monaghan</w:t>
      </w:r>
      <w:r w:rsidR="004F00DD" w:rsidRPr="004F00DD">
        <w:rPr>
          <w:rFonts w:ascii="Arial" w:hAnsi="Arial" w:cs="Arial"/>
          <w:szCs w:val="24"/>
        </w:rPr>
        <w:t xml:space="preserve">, </w:t>
      </w:r>
      <w:r w:rsidR="00702FF1">
        <w:rPr>
          <w:rFonts w:ascii="Arial" w:hAnsi="Arial" w:cs="Arial"/>
          <w:szCs w:val="24"/>
        </w:rPr>
        <w:t>C</w:t>
      </w:r>
      <w:r w:rsidR="004F00DD" w:rsidRPr="004F00DD">
        <w:rPr>
          <w:rFonts w:ascii="Arial" w:hAnsi="Arial" w:cs="Arial"/>
          <w:szCs w:val="24"/>
        </w:rPr>
        <w:t>PA</w:t>
      </w:r>
      <w:r w:rsidR="00702FF1">
        <w:rPr>
          <w:rFonts w:ascii="Arial" w:hAnsi="Arial" w:cs="Arial"/>
          <w:szCs w:val="24"/>
        </w:rPr>
        <w:t>, CGFM, CFE</w:t>
      </w:r>
    </w:p>
    <w:p w14:paraId="0E3681C3" w14:textId="77777777" w:rsidR="004F00DD" w:rsidRPr="004F00DD" w:rsidRDefault="004F00DD" w:rsidP="005E3231">
      <w:pPr>
        <w:tabs>
          <w:tab w:val="left" w:pos="4680"/>
          <w:tab w:val="left" w:pos="5310"/>
        </w:tabs>
        <w:overflowPunct/>
        <w:autoSpaceDE/>
        <w:autoSpaceDN/>
        <w:adjustRightInd/>
        <w:textAlignment w:val="auto"/>
        <w:rPr>
          <w:rFonts w:ascii="Arial" w:hAnsi="Arial" w:cs="Arial"/>
          <w:szCs w:val="24"/>
        </w:rPr>
      </w:pPr>
      <w:r w:rsidRPr="004F00DD">
        <w:rPr>
          <w:rFonts w:ascii="Arial" w:hAnsi="Arial" w:cs="Arial"/>
          <w:szCs w:val="24"/>
        </w:rPr>
        <w:tab/>
        <w:t>Director</w:t>
      </w:r>
    </w:p>
    <w:p w14:paraId="5C1CDA8C" w14:textId="77777777" w:rsidR="004F00DD" w:rsidRPr="004F00DD" w:rsidRDefault="004F00DD" w:rsidP="005E3231">
      <w:pPr>
        <w:tabs>
          <w:tab w:val="left" w:pos="4680"/>
          <w:tab w:val="left" w:pos="5310"/>
          <w:tab w:val="left" w:pos="5400"/>
        </w:tabs>
        <w:overflowPunct/>
        <w:autoSpaceDE/>
        <w:autoSpaceDN/>
        <w:adjustRightInd/>
        <w:textAlignment w:val="auto"/>
        <w:rPr>
          <w:rFonts w:ascii="Arial" w:hAnsi="Arial" w:cs="Arial"/>
          <w:szCs w:val="24"/>
        </w:rPr>
      </w:pPr>
      <w:r w:rsidRPr="004F00DD">
        <w:rPr>
          <w:rFonts w:ascii="Arial" w:hAnsi="Arial" w:cs="Arial"/>
          <w:szCs w:val="24"/>
        </w:rPr>
        <w:tab/>
        <w:t>Bureau of Audits</w:t>
      </w:r>
    </w:p>
    <w:p w14:paraId="59F91C5A" w14:textId="77777777" w:rsidR="004F00DD" w:rsidRPr="004F00DD" w:rsidRDefault="004F00DD" w:rsidP="005E3231">
      <w:pPr>
        <w:tabs>
          <w:tab w:val="left" w:pos="4680"/>
          <w:tab w:val="left" w:pos="5310"/>
          <w:tab w:val="left" w:pos="5400"/>
        </w:tabs>
        <w:overflowPunct/>
        <w:autoSpaceDE/>
        <w:autoSpaceDN/>
        <w:adjustRightInd/>
        <w:textAlignment w:val="auto"/>
        <w:rPr>
          <w:rFonts w:ascii="Arial" w:hAnsi="Arial" w:cs="Arial"/>
          <w:szCs w:val="24"/>
        </w:rPr>
      </w:pPr>
      <w:r w:rsidRPr="004F00DD">
        <w:rPr>
          <w:rFonts w:ascii="Arial" w:hAnsi="Arial" w:cs="Arial"/>
          <w:szCs w:val="24"/>
        </w:rPr>
        <w:tab/>
        <w:t>Harrisburg, PA</w:t>
      </w:r>
    </w:p>
    <w:p w14:paraId="44C18D53" w14:textId="34460B25" w:rsidR="004F00DD" w:rsidRPr="004F00DD" w:rsidRDefault="004F00DD" w:rsidP="005E3231">
      <w:pPr>
        <w:tabs>
          <w:tab w:val="left" w:pos="4680"/>
        </w:tabs>
        <w:overflowPunct/>
        <w:autoSpaceDE/>
        <w:autoSpaceDN/>
        <w:adjustRightInd/>
        <w:textAlignment w:val="auto"/>
        <w:rPr>
          <w:rFonts w:ascii="Arial" w:hAnsi="Arial" w:cs="Arial"/>
          <w:szCs w:val="24"/>
        </w:rPr>
      </w:pPr>
      <w:r w:rsidRPr="004F00DD">
        <w:rPr>
          <w:rFonts w:ascii="Arial" w:hAnsi="Arial" w:cs="Arial"/>
          <w:szCs w:val="24"/>
        </w:rPr>
        <w:tab/>
      </w:r>
      <w:r w:rsidR="00B756D9">
        <w:rPr>
          <w:rFonts w:ascii="Arial" w:hAnsi="Arial" w:cs="Arial"/>
          <w:szCs w:val="24"/>
        </w:rPr>
        <w:t>June 21, 2018</w:t>
      </w:r>
      <w:bookmarkStart w:id="0" w:name="_GoBack"/>
      <w:bookmarkEnd w:id="0"/>
    </w:p>
    <w:p w14:paraId="505780D1" w14:textId="77777777" w:rsidR="002A5207" w:rsidRPr="002C61BD" w:rsidRDefault="002A5207" w:rsidP="006034E3">
      <w:pPr>
        <w:tabs>
          <w:tab w:val="center" w:pos="4680"/>
        </w:tabs>
        <w:suppressAutoHyphens/>
        <w:rPr>
          <w:rFonts w:ascii="Arial" w:hAnsi="Arial" w:cs="Arial"/>
          <w:szCs w:val="24"/>
        </w:rPr>
        <w:sectPr w:rsidR="002A5207" w:rsidRPr="002C61BD" w:rsidSect="009D2B2E">
          <w:headerReference w:type="even" r:id="rId17"/>
          <w:headerReference w:type="default" r:id="rId18"/>
          <w:headerReference w:type="first" r:id="rId19"/>
          <w:endnotePr>
            <w:numFmt w:val="decimal"/>
          </w:endnotePr>
          <w:pgSz w:w="12240" w:h="15840" w:code="1"/>
          <w:pgMar w:top="1440" w:right="1440" w:bottom="1440" w:left="1440" w:header="0" w:footer="720" w:gutter="0"/>
          <w:pgNumType w:fmt="numberInDash" w:start="1"/>
          <w:cols w:space="720"/>
          <w:noEndnote/>
          <w:docGrid w:linePitch="326"/>
        </w:sectPr>
      </w:pPr>
    </w:p>
    <w:tbl>
      <w:tblPr>
        <w:tblW w:w="8730" w:type="dxa"/>
        <w:jc w:val="center"/>
        <w:tblLook w:val="0000" w:firstRow="0" w:lastRow="0" w:firstColumn="0" w:lastColumn="0" w:noHBand="0" w:noVBand="0"/>
      </w:tblPr>
      <w:tblGrid>
        <w:gridCol w:w="8730"/>
      </w:tblGrid>
      <w:tr w:rsidR="006034E3" w:rsidRPr="002C61BD" w14:paraId="45EE24AE" w14:textId="77777777" w:rsidTr="009D0E10">
        <w:trPr>
          <w:trHeight w:val="277"/>
          <w:jc w:val="center"/>
        </w:trPr>
        <w:tc>
          <w:tcPr>
            <w:tcW w:w="8730" w:type="dxa"/>
            <w:tcBorders>
              <w:top w:val="nil"/>
              <w:left w:val="nil"/>
              <w:bottom w:val="nil"/>
              <w:right w:val="nil"/>
            </w:tcBorders>
            <w:shd w:val="clear" w:color="auto" w:fill="auto"/>
            <w:noWrap/>
            <w:vAlign w:val="bottom"/>
          </w:tcPr>
          <w:p w14:paraId="47F5BFB2" w14:textId="77777777" w:rsidR="009D7CF1" w:rsidRDefault="00EE5E76" w:rsidP="009D7CF1">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lastRenderedPageBreak/>
              <w:t>Condensed</w:t>
            </w:r>
            <w:r w:rsidR="009D7CF1">
              <w:rPr>
                <w:rFonts w:ascii="Arial" w:hAnsi="Arial" w:cs="Arial"/>
                <w:b/>
                <w:sz w:val="26"/>
                <w:szCs w:val="26"/>
              </w:rPr>
              <w:t xml:space="preserve"> </w:t>
            </w:r>
            <w:r w:rsidR="003C4157" w:rsidRPr="001D0DB6">
              <w:rPr>
                <w:rFonts w:ascii="Arial" w:hAnsi="Arial" w:cs="Arial"/>
                <w:b/>
                <w:sz w:val="26"/>
                <w:szCs w:val="26"/>
              </w:rPr>
              <w:t>Statement</w:t>
            </w:r>
            <w:r w:rsidR="00E40CFE">
              <w:rPr>
                <w:rStyle w:val="FootnoteReference"/>
                <w:rFonts w:ascii="Arial" w:hAnsi="Arial" w:cs="Arial"/>
                <w:b/>
                <w:sz w:val="26"/>
                <w:szCs w:val="26"/>
              </w:rPr>
              <w:footnoteReference w:id="1"/>
            </w:r>
            <w:r w:rsidR="003C4157" w:rsidRPr="001D0DB6">
              <w:rPr>
                <w:rFonts w:ascii="Arial" w:hAnsi="Arial" w:cs="Arial"/>
                <w:b/>
                <w:sz w:val="26"/>
                <w:szCs w:val="26"/>
              </w:rPr>
              <w:t xml:space="preserve"> </w:t>
            </w:r>
            <w:r w:rsidR="009D7CF1">
              <w:rPr>
                <w:rFonts w:ascii="Arial" w:hAnsi="Arial" w:cs="Arial"/>
                <w:b/>
                <w:sz w:val="26"/>
                <w:szCs w:val="26"/>
              </w:rPr>
              <w:t>o</w:t>
            </w:r>
            <w:r w:rsidR="003C4157" w:rsidRPr="001D0DB6">
              <w:rPr>
                <w:rFonts w:ascii="Arial" w:hAnsi="Arial" w:cs="Arial"/>
                <w:b/>
                <w:sz w:val="26"/>
                <w:szCs w:val="26"/>
              </w:rPr>
              <w:t xml:space="preserve">f </w:t>
            </w:r>
          </w:p>
          <w:p w14:paraId="39C7ED7A" w14:textId="30C4E64D" w:rsidR="006034E3" w:rsidRPr="001D0DB6" w:rsidRDefault="006034E3" w:rsidP="009D7CF1">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 xml:space="preserve">Energy Efficiency and Conservation </w:t>
            </w:r>
            <w:r w:rsidR="00CE7FE7" w:rsidRPr="001D0DB6">
              <w:rPr>
                <w:rFonts w:ascii="Arial" w:hAnsi="Arial" w:cs="Arial"/>
                <w:b/>
                <w:sz w:val="26"/>
                <w:szCs w:val="26"/>
              </w:rPr>
              <w:t xml:space="preserve">Program </w:t>
            </w:r>
            <w:r w:rsidRPr="001D0DB6">
              <w:rPr>
                <w:rFonts w:ascii="Arial" w:hAnsi="Arial" w:cs="Arial"/>
                <w:b/>
                <w:sz w:val="26"/>
                <w:szCs w:val="26"/>
              </w:rPr>
              <w:t>C</w:t>
            </w:r>
            <w:r w:rsidR="00892ABE">
              <w:rPr>
                <w:rFonts w:ascii="Arial" w:hAnsi="Arial" w:cs="Arial"/>
                <w:b/>
                <w:sz w:val="26"/>
                <w:szCs w:val="26"/>
              </w:rPr>
              <w:t>ost</w:t>
            </w:r>
            <w:r w:rsidR="00C360EB">
              <w:rPr>
                <w:rFonts w:ascii="Arial" w:hAnsi="Arial" w:cs="Arial"/>
                <w:b/>
                <w:sz w:val="26"/>
                <w:szCs w:val="26"/>
              </w:rPr>
              <w:t>s</w:t>
            </w:r>
            <w:r w:rsidR="00892ABE">
              <w:rPr>
                <w:rFonts w:ascii="Arial" w:hAnsi="Arial" w:cs="Arial"/>
                <w:b/>
                <w:sz w:val="26"/>
                <w:szCs w:val="26"/>
              </w:rPr>
              <w:t xml:space="preserve"> </w:t>
            </w:r>
            <w:r w:rsidR="00776A05" w:rsidRPr="001D0DB6">
              <w:rPr>
                <w:rFonts w:ascii="Arial" w:hAnsi="Arial" w:cs="Arial"/>
                <w:b/>
                <w:sz w:val="26"/>
                <w:szCs w:val="26"/>
              </w:rPr>
              <w:t>(EE</w:t>
            </w:r>
            <w:r w:rsidR="00CE7FE7" w:rsidRPr="001D0DB6">
              <w:rPr>
                <w:rFonts w:ascii="Arial" w:hAnsi="Arial" w:cs="Arial"/>
                <w:b/>
                <w:sz w:val="26"/>
                <w:szCs w:val="26"/>
              </w:rPr>
              <w:t>P</w:t>
            </w:r>
            <w:r w:rsidR="00776A05" w:rsidRPr="001D0DB6">
              <w:rPr>
                <w:rFonts w:ascii="Arial" w:hAnsi="Arial" w:cs="Arial"/>
                <w:b/>
                <w:sz w:val="26"/>
                <w:szCs w:val="26"/>
              </w:rPr>
              <w:t xml:space="preserve">C) </w:t>
            </w:r>
            <w:r w:rsidR="00892ABE">
              <w:rPr>
                <w:rFonts w:ascii="Arial" w:hAnsi="Arial" w:cs="Arial"/>
                <w:b/>
                <w:sz w:val="26"/>
                <w:szCs w:val="26"/>
              </w:rPr>
              <w:t xml:space="preserve">Phase II </w:t>
            </w:r>
            <w:r w:rsidRPr="001D0DB6">
              <w:rPr>
                <w:rFonts w:ascii="Arial" w:hAnsi="Arial" w:cs="Arial"/>
                <w:b/>
                <w:sz w:val="26"/>
                <w:szCs w:val="26"/>
              </w:rPr>
              <w:t>Over/(Under) Collections</w:t>
            </w:r>
            <w:r w:rsidR="00892ABE">
              <w:rPr>
                <w:rFonts w:ascii="Arial" w:hAnsi="Arial" w:cs="Arial"/>
                <w:b/>
                <w:sz w:val="26"/>
                <w:szCs w:val="26"/>
              </w:rPr>
              <w:t xml:space="preserve"> (Section 1307(e))</w:t>
            </w:r>
            <w:r w:rsidR="00451D6E">
              <w:rPr>
                <w:rStyle w:val="FootnoteReference"/>
                <w:rFonts w:ascii="Arial" w:hAnsi="Arial" w:cs="Arial"/>
                <w:b/>
                <w:sz w:val="26"/>
                <w:szCs w:val="26"/>
              </w:rPr>
              <w:footnoteReference w:id="2"/>
            </w:r>
          </w:p>
        </w:tc>
      </w:tr>
      <w:tr w:rsidR="006034E3" w:rsidRPr="002C61BD" w14:paraId="55A12DDE" w14:textId="77777777" w:rsidTr="00D44194">
        <w:trPr>
          <w:trHeight w:val="288"/>
          <w:jc w:val="center"/>
        </w:trPr>
        <w:tc>
          <w:tcPr>
            <w:tcW w:w="8730" w:type="dxa"/>
            <w:tcBorders>
              <w:top w:val="nil"/>
              <w:left w:val="nil"/>
              <w:bottom w:val="nil"/>
              <w:right w:val="nil"/>
            </w:tcBorders>
            <w:shd w:val="clear" w:color="auto" w:fill="auto"/>
            <w:noWrap/>
            <w:vAlign w:val="bottom"/>
          </w:tcPr>
          <w:p w14:paraId="5C020C5D" w14:textId="7A8C0F07" w:rsidR="006034E3" w:rsidRPr="001D0DB6" w:rsidRDefault="009D7CF1" w:rsidP="004F21DE">
            <w:pPr>
              <w:overflowPunct/>
              <w:autoSpaceDE/>
              <w:autoSpaceDN/>
              <w:adjustRightInd/>
              <w:jc w:val="center"/>
              <w:textAlignment w:val="auto"/>
              <w:rPr>
                <w:rFonts w:ascii="Arial" w:hAnsi="Arial" w:cs="Arial"/>
                <w:b/>
                <w:sz w:val="26"/>
                <w:szCs w:val="26"/>
              </w:rPr>
            </w:pPr>
            <w:r>
              <w:rPr>
                <w:rFonts w:ascii="Arial" w:hAnsi="Arial" w:cs="Arial"/>
                <w:b/>
                <w:sz w:val="26"/>
                <w:szCs w:val="26"/>
              </w:rPr>
              <w:t>f</w:t>
            </w:r>
            <w:r w:rsidR="00912C39" w:rsidRPr="001D0DB6">
              <w:rPr>
                <w:rFonts w:ascii="Arial" w:hAnsi="Arial" w:cs="Arial"/>
                <w:b/>
                <w:sz w:val="26"/>
                <w:szCs w:val="26"/>
              </w:rPr>
              <w:t xml:space="preserve">or </w:t>
            </w:r>
            <w:r>
              <w:rPr>
                <w:rFonts w:ascii="Arial" w:hAnsi="Arial" w:cs="Arial"/>
                <w:b/>
                <w:sz w:val="26"/>
                <w:szCs w:val="26"/>
              </w:rPr>
              <w:t>t</w:t>
            </w:r>
            <w:r w:rsidR="00912C39" w:rsidRPr="001D0DB6">
              <w:rPr>
                <w:rFonts w:ascii="Arial" w:hAnsi="Arial" w:cs="Arial"/>
                <w:b/>
                <w:sz w:val="26"/>
                <w:szCs w:val="26"/>
              </w:rPr>
              <w:t xml:space="preserve">he </w:t>
            </w:r>
            <w:r w:rsidR="00986B48">
              <w:rPr>
                <w:rFonts w:ascii="Arial" w:hAnsi="Arial" w:cs="Arial"/>
                <w:b/>
                <w:sz w:val="26"/>
                <w:szCs w:val="26"/>
              </w:rPr>
              <w:t>p</w:t>
            </w:r>
            <w:r>
              <w:rPr>
                <w:rFonts w:ascii="Arial" w:hAnsi="Arial" w:cs="Arial"/>
                <w:b/>
                <w:sz w:val="26"/>
                <w:szCs w:val="26"/>
              </w:rPr>
              <w:t>eriod June 1, 2013 through</w:t>
            </w:r>
            <w:r w:rsidR="00912C39" w:rsidRPr="001D0DB6">
              <w:rPr>
                <w:rFonts w:ascii="Arial" w:hAnsi="Arial" w:cs="Arial"/>
                <w:b/>
                <w:sz w:val="26"/>
                <w:szCs w:val="26"/>
              </w:rPr>
              <w:t xml:space="preserve"> Ma</w:t>
            </w:r>
            <w:r w:rsidR="00FF5E4A">
              <w:rPr>
                <w:rFonts w:ascii="Arial" w:hAnsi="Arial" w:cs="Arial"/>
                <w:b/>
                <w:sz w:val="26"/>
                <w:szCs w:val="26"/>
              </w:rPr>
              <w:t>rch</w:t>
            </w:r>
            <w:r w:rsidR="00912C39" w:rsidRPr="001D0DB6">
              <w:rPr>
                <w:rFonts w:ascii="Arial" w:hAnsi="Arial" w:cs="Arial"/>
                <w:b/>
                <w:sz w:val="26"/>
                <w:szCs w:val="26"/>
              </w:rPr>
              <w:t xml:space="preserve"> 31, 201</w:t>
            </w:r>
            <w:r w:rsidR="00FF5E4A">
              <w:rPr>
                <w:rFonts w:ascii="Arial" w:hAnsi="Arial" w:cs="Arial"/>
                <w:b/>
                <w:sz w:val="26"/>
                <w:szCs w:val="26"/>
              </w:rPr>
              <w:t>6</w:t>
            </w:r>
            <w:r w:rsidR="00E40CFE">
              <w:rPr>
                <w:rStyle w:val="FootnoteReference"/>
                <w:rFonts w:ascii="Arial" w:hAnsi="Arial" w:cs="Arial"/>
                <w:b/>
                <w:sz w:val="26"/>
                <w:szCs w:val="26"/>
              </w:rPr>
              <w:footnoteReference w:id="3"/>
            </w:r>
          </w:p>
        </w:tc>
      </w:tr>
    </w:tbl>
    <w:p w14:paraId="23696E93" w14:textId="77777777" w:rsidR="006034E3" w:rsidRPr="002C61BD" w:rsidRDefault="006034E3" w:rsidP="006034E3">
      <w:pPr>
        <w:rPr>
          <w:rFonts w:ascii="Arial" w:hAnsi="Arial" w:cs="Arial"/>
          <w:sz w:val="16"/>
          <w:szCs w:val="16"/>
        </w:rPr>
      </w:pPr>
    </w:p>
    <w:p w14:paraId="1EC3B779" w14:textId="77777777" w:rsidR="004C7C79" w:rsidRPr="002C61BD" w:rsidRDefault="004C7C79" w:rsidP="00DF7BE0">
      <w:pPr>
        <w:jc w:val="center"/>
        <w:rPr>
          <w:rFonts w:ascii="Arial" w:hAnsi="Arial" w:cs="Arial"/>
          <w:sz w:val="16"/>
          <w:szCs w:val="16"/>
        </w:rPr>
      </w:pPr>
    </w:p>
    <w:tbl>
      <w:tblPr>
        <w:tblW w:w="9180" w:type="dxa"/>
        <w:jc w:val="center"/>
        <w:tblLayout w:type="fixed"/>
        <w:tblLook w:val="0000" w:firstRow="0" w:lastRow="0" w:firstColumn="0" w:lastColumn="0" w:noHBand="0" w:noVBand="0"/>
      </w:tblPr>
      <w:tblGrid>
        <w:gridCol w:w="2070"/>
        <w:gridCol w:w="270"/>
        <w:gridCol w:w="2070"/>
        <w:gridCol w:w="270"/>
        <w:gridCol w:w="2160"/>
        <w:gridCol w:w="270"/>
        <w:gridCol w:w="2070"/>
      </w:tblGrid>
      <w:tr w:rsidR="009059D5" w:rsidRPr="00895078" w14:paraId="68C0DAB3" w14:textId="77777777" w:rsidTr="00475C15">
        <w:trPr>
          <w:jc w:val="center"/>
        </w:trPr>
        <w:tc>
          <w:tcPr>
            <w:tcW w:w="2070" w:type="dxa"/>
            <w:tcBorders>
              <w:top w:val="nil"/>
              <w:left w:val="nil"/>
              <w:bottom w:val="single" w:sz="12" w:space="0" w:color="auto"/>
              <w:right w:val="nil"/>
            </w:tcBorders>
            <w:shd w:val="clear" w:color="auto" w:fill="auto"/>
            <w:noWrap/>
            <w:vAlign w:val="bottom"/>
          </w:tcPr>
          <w:p w14:paraId="55626E07" w14:textId="77777777" w:rsidR="009059D5" w:rsidRDefault="009059D5" w:rsidP="00EE5E76">
            <w:pPr>
              <w:rPr>
                <w:rFonts w:ascii="Arial" w:hAnsi="Arial" w:cs="Arial"/>
                <w:szCs w:val="24"/>
              </w:rPr>
            </w:pPr>
          </w:p>
          <w:p w14:paraId="3C23F0EA" w14:textId="77777777" w:rsidR="009059D5" w:rsidRDefault="009059D5" w:rsidP="00EE5E76">
            <w:pPr>
              <w:rPr>
                <w:rFonts w:ascii="Arial" w:hAnsi="Arial" w:cs="Arial"/>
                <w:szCs w:val="24"/>
              </w:rPr>
            </w:pPr>
          </w:p>
          <w:p w14:paraId="49DE09D6" w14:textId="77777777" w:rsidR="009059D5" w:rsidRPr="00895078" w:rsidRDefault="009059D5" w:rsidP="009D7CF1">
            <w:pPr>
              <w:rPr>
                <w:rFonts w:ascii="Arial" w:hAnsi="Arial" w:cs="Arial"/>
                <w:szCs w:val="24"/>
              </w:rPr>
            </w:pPr>
            <w:r w:rsidRPr="006B67BF">
              <w:rPr>
                <w:rFonts w:ascii="Arial" w:hAnsi="Arial" w:cs="Arial"/>
                <w:b/>
                <w:szCs w:val="24"/>
              </w:rPr>
              <w:t>Customer Class</w:t>
            </w:r>
          </w:p>
        </w:tc>
        <w:tc>
          <w:tcPr>
            <w:tcW w:w="270" w:type="dxa"/>
            <w:tcBorders>
              <w:top w:val="nil"/>
              <w:left w:val="nil"/>
              <w:right w:val="nil"/>
            </w:tcBorders>
          </w:tcPr>
          <w:p w14:paraId="662C45DC" w14:textId="77777777" w:rsidR="009059D5" w:rsidRPr="004F21DE" w:rsidRDefault="009059D5" w:rsidP="00434880">
            <w:pPr>
              <w:jc w:val="center"/>
              <w:rPr>
                <w:rFonts w:ascii="Arial" w:hAnsi="Arial" w:cs="Arial"/>
                <w:b/>
                <w:szCs w:val="24"/>
              </w:rPr>
            </w:pPr>
          </w:p>
        </w:tc>
        <w:tc>
          <w:tcPr>
            <w:tcW w:w="2070" w:type="dxa"/>
            <w:tcBorders>
              <w:top w:val="nil"/>
              <w:left w:val="nil"/>
              <w:bottom w:val="single" w:sz="12" w:space="0" w:color="auto"/>
              <w:right w:val="nil"/>
            </w:tcBorders>
            <w:shd w:val="clear" w:color="auto" w:fill="auto"/>
            <w:noWrap/>
            <w:vAlign w:val="bottom"/>
          </w:tcPr>
          <w:p w14:paraId="4B80F112" w14:textId="77777777" w:rsidR="009059D5" w:rsidRDefault="009059D5" w:rsidP="00434880">
            <w:pPr>
              <w:jc w:val="center"/>
              <w:rPr>
                <w:rFonts w:ascii="Arial" w:hAnsi="Arial" w:cs="Arial"/>
                <w:b/>
                <w:szCs w:val="24"/>
              </w:rPr>
            </w:pPr>
            <w:r w:rsidRPr="004F21DE">
              <w:rPr>
                <w:rFonts w:ascii="Arial" w:hAnsi="Arial" w:cs="Arial"/>
                <w:b/>
                <w:szCs w:val="24"/>
              </w:rPr>
              <w:t xml:space="preserve">EEPC </w:t>
            </w:r>
          </w:p>
          <w:p w14:paraId="2CAD2BD0" w14:textId="77777777" w:rsidR="009059D5" w:rsidRPr="00895078" w:rsidRDefault="009059D5" w:rsidP="00434880">
            <w:pPr>
              <w:jc w:val="center"/>
              <w:rPr>
                <w:rFonts w:ascii="Arial" w:hAnsi="Arial" w:cs="Arial"/>
                <w:szCs w:val="24"/>
              </w:rPr>
            </w:pPr>
            <w:r w:rsidRPr="004F21DE">
              <w:rPr>
                <w:rFonts w:ascii="Arial" w:hAnsi="Arial" w:cs="Arial"/>
                <w:b/>
                <w:szCs w:val="24"/>
              </w:rPr>
              <w:t xml:space="preserve">Revenue </w:t>
            </w:r>
            <w:r>
              <w:rPr>
                <w:rFonts w:ascii="Arial" w:hAnsi="Arial" w:cs="Arial"/>
                <w:szCs w:val="24"/>
              </w:rPr>
              <w:t xml:space="preserve"> </w:t>
            </w:r>
          </w:p>
        </w:tc>
        <w:tc>
          <w:tcPr>
            <w:tcW w:w="270" w:type="dxa"/>
            <w:tcBorders>
              <w:top w:val="nil"/>
              <w:left w:val="nil"/>
              <w:right w:val="nil"/>
            </w:tcBorders>
          </w:tcPr>
          <w:p w14:paraId="0A769019" w14:textId="77777777" w:rsidR="009059D5" w:rsidRPr="004F21DE" w:rsidRDefault="009059D5" w:rsidP="007F5C8C">
            <w:pPr>
              <w:ind w:firstLine="6"/>
              <w:jc w:val="center"/>
              <w:rPr>
                <w:rFonts w:ascii="Arial" w:hAnsi="Arial" w:cs="Arial"/>
                <w:b/>
                <w:szCs w:val="24"/>
              </w:rPr>
            </w:pPr>
          </w:p>
        </w:tc>
        <w:tc>
          <w:tcPr>
            <w:tcW w:w="2160" w:type="dxa"/>
            <w:tcBorders>
              <w:top w:val="nil"/>
              <w:left w:val="nil"/>
              <w:bottom w:val="single" w:sz="12" w:space="0" w:color="auto"/>
              <w:right w:val="nil"/>
            </w:tcBorders>
            <w:vAlign w:val="bottom"/>
          </w:tcPr>
          <w:p w14:paraId="0182D824" w14:textId="77777777" w:rsidR="009059D5" w:rsidRDefault="009059D5" w:rsidP="007F5C8C">
            <w:pPr>
              <w:ind w:firstLine="6"/>
              <w:jc w:val="center"/>
              <w:rPr>
                <w:rFonts w:ascii="Arial" w:hAnsi="Arial" w:cs="Arial"/>
                <w:b/>
                <w:szCs w:val="24"/>
              </w:rPr>
            </w:pPr>
            <w:r w:rsidRPr="004F21DE">
              <w:rPr>
                <w:rFonts w:ascii="Arial" w:hAnsi="Arial" w:cs="Arial"/>
                <w:b/>
                <w:szCs w:val="24"/>
              </w:rPr>
              <w:t>EEPC</w:t>
            </w:r>
          </w:p>
          <w:p w14:paraId="13AA9461" w14:textId="77777777" w:rsidR="009059D5" w:rsidRPr="00895078" w:rsidRDefault="009059D5" w:rsidP="009D7CF1">
            <w:pPr>
              <w:ind w:firstLine="6"/>
              <w:jc w:val="center"/>
              <w:rPr>
                <w:rFonts w:ascii="Arial" w:hAnsi="Arial" w:cs="Arial"/>
                <w:szCs w:val="24"/>
              </w:rPr>
            </w:pPr>
            <w:r w:rsidRPr="004F21DE">
              <w:rPr>
                <w:rFonts w:ascii="Arial" w:hAnsi="Arial" w:cs="Arial"/>
                <w:b/>
                <w:szCs w:val="24"/>
              </w:rPr>
              <w:t xml:space="preserve"> </w:t>
            </w:r>
            <w:r>
              <w:rPr>
                <w:rFonts w:ascii="Arial" w:hAnsi="Arial" w:cs="Arial"/>
                <w:b/>
                <w:szCs w:val="24"/>
              </w:rPr>
              <w:t>Expenses</w:t>
            </w:r>
          </w:p>
        </w:tc>
        <w:tc>
          <w:tcPr>
            <w:tcW w:w="270" w:type="dxa"/>
            <w:tcBorders>
              <w:top w:val="nil"/>
              <w:left w:val="nil"/>
              <w:right w:val="nil"/>
            </w:tcBorders>
          </w:tcPr>
          <w:p w14:paraId="120B02AB" w14:textId="77777777" w:rsidR="009059D5" w:rsidRPr="00895078" w:rsidRDefault="009059D5" w:rsidP="009D0E10">
            <w:pPr>
              <w:jc w:val="center"/>
              <w:rPr>
                <w:rFonts w:ascii="Arial" w:hAnsi="Arial" w:cs="Arial"/>
                <w:szCs w:val="24"/>
              </w:rPr>
            </w:pPr>
          </w:p>
        </w:tc>
        <w:tc>
          <w:tcPr>
            <w:tcW w:w="2070" w:type="dxa"/>
            <w:tcBorders>
              <w:top w:val="nil"/>
              <w:left w:val="nil"/>
              <w:bottom w:val="single" w:sz="12" w:space="0" w:color="auto"/>
              <w:right w:val="nil"/>
            </w:tcBorders>
            <w:vAlign w:val="bottom"/>
          </w:tcPr>
          <w:p w14:paraId="4B72064A" w14:textId="77777777" w:rsidR="009059D5" w:rsidRPr="00895078" w:rsidRDefault="009059D5" w:rsidP="009D0E10">
            <w:pPr>
              <w:jc w:val="center"/>
              <w:rPr>
                <w:rFonts w:ascii="Arial" w:hAnsi="Arial" w:cs="Arial"/>
                <w:szCs w:val="24"/>
              </w:rPr>
            </w:pPr>
          </w:p>
          <w:p w14:paraId="706834DC" w14:textId="77777777" w:rsidR="009059D5" w:rsidRPr="00895078" w:rsidRDefault="009059D5" w:rsidP="009D7CF1">
            <w:pPr>
              <w:jc w:val="center"/>
              <w:rPr>
                <w:rFonts w:ascii="Arial" w:hAnsi="Arial" w:cs="Arial"/>
                <w:szCs w:val="24"/>
              </w:rPr>
            </w:pPr>
            <w:r w:rsidRPr="006B67BF">
              <w:rPr>
                <w:rFonts w:ascii="Arial" w:hAnsi="Arial" w:cs="Arial"/>
                <w:b/>
                <w:szCs w:val="24"/>
              </w:rPr>
              <w:t>Over/(Under) Collections</w:t>
            </w:r>
          </w:p>
        </w:tc>
      </w:tr>
      <w:tr w:rsidR="009059D5" w:rsidRPr="002C61BD" w14:paraId="214B2665" w14:textId="77777777" w:rsidTr="00475C15">
        <w:trPr>
          <w:trHeight w:val="255"/>
          <w:jc w:val="center"/>
        </w:trPr>
        <w:tc>
          <w:tcPr>
            <w:tcW w:w="2070" w:type="dxa"/>
            <w:tcBorders>
              <w:top w:val="single" w:sz="12" w:space="0" w:color="auto"/>
              <w:left w:val="nil"/>
              <w:bottom w:val="nil"/>
              <w:right w:val="nil"/>
            </w:tcBorders>
            <w:shd w:val="clear" w:color="auto" w:fill="auto"/>
            <w:noWrap/>
            <w:vAlign w:val="bottom"/>
          </w:tcPr>
          <w:p w14:paraId="4992EBC1" w14:textId="77777777" w:rsidR="009059D5" w:rsidRPr="002C61BD" w:rsidRDefault="009059D5" w:rsidP="009D0E10">
            <w:pPr>
              <w:jc w:val="center"/>
              <w:rPr>
                <w:rFonts w:ascii="Arial" w:hAnsi="Arial" w:cs="Arial"/>
                <w:szCs w:val="24"/>
              </w:rPr>
            </w:pPr>
          </w:p>
        </w:tc>
        <w:tc>
          <w:tcPr>
            <w:tcW w:w="270" w:type="dxa"/>
            <w:tcBorders>
              <w:left w:val="nil"/>
              <w:bottom w:val="nil"/>
              <w:right w:val="nil"/>
            </w:tcBorders>
          </w:tcPr>
          <w:p w14:paraId="246B2614" w14:textId="77777777" w:rsidR="009059D5" w:rsidRPr="00B52858" w:rsidRDefault="009059D5" w:rsidP="004F21DE">
            <w:pPr>
              <w:jc w:val="center"/>
              <w:rPr>
                <w:rFonts w:ascii="Arial" w:hAnsi="Arial" w:cs="Arial"/>
                <w:sz w:val="20"/>
              </w:rPr>
            </w:pPr>
          </w:p>
        </w:tc>
        <w:tc>
          <w:tcPr>
            <w:tcW w:w="2070" w:type="dxa"/>
            <w:tcBorders>
              <w:top w:val="single" w:sz="12" w:space="0" w:color="auto"/>
              <w:left w:val="nil"/>
              <w:bottom w:val="nil"/>
              <w:right w:val="nil"/>
            </w:tcBorders>
            <w:shd w:val="clear" w:color="auto" w:fill="auto"/>
            <w:noWrap/>
            <w:vAlign w:val="bottom"/>
          </w:tcPr>
          <w:p w14:paraId="3DA0945F" w14:textId="77777777" w:rsidR="009059D5" w:rsidRPr="00B52858" w:rsidRDefault="009059D5" w:rsidP="004F21DE">
            <w:pPr>
              <w:jc w:val="center"/>
              <w:rPr>
                <w:rFonts w:ascii="Arial" w:hAnsi="Arial" w:cs="Arial"/>
                <w:sz w:val="20"/>
              </w:rPr>
            </w:pPr>
            <w:r w:rsidRPr="00B52858">
              <w:rPr>
                <w:rFonts w:ascii="Arial" w:hAnsi="Arial" w:cs="Arial"/>
                <w:sz w:val="20"/>
              </w:rPr>
              <w:t>(1)</w:t>
            </w:r>
          </w:p>
        </w:tc>
        <w:tc>
          <w:tcPr>
            <w:tcW w:w="270" w:type="dxa"/>
            <w:tcBorders>
              <w:left w:val="nil"/>
              <w:bottom w:val="nil"/>
              <w:right w:val="nil"/>
            </w:tcBorders>
          </w:tcPr>
          <w:p w14:paraId="5468E8D0" w14:textId="77777777" w:rsidR="009059D5" w:rsidRPr="00B52858" w:rsidRDefault="009059D5" w:rsidP="004F21DE">
            <w:pPr>
              <w:jc w:val="center"/>
              <w:rPr>
                <w:rFonts w:ascii="Arial" w:hAnsi="Arial" w:cs="Arial"/>
                <w:sz w:val="20"/>
              </w:rPr>
            </w:pPr>
          </w:p>
        </w:tc>
        <w:tc>
          <w:tcPr>
            <w:tcW w:w="2160" w:type="dxa"/>
            <w:tcBorders>
              <w:top w:val="single" w:sz="12" w:space="0" w:color="auto"/>
              <w:left w:val="nil"/>
              <w:bottom w:val="nil"/>
              <w:right w:val="nil"/>
            </w:tcBorders>
            <w:vAlign w:val="bottom"/>
          </w:tcPr>
          <w:p w14:paraId="57B84768" w14:textId="77777777" w:rsidR="009059D5" w:rsidRPr="00B52858" w:rsidRDefault="009059D5" w:rsidP="004F21DE">
            <w:pPr>
              <w:jc w:val="center"/>
              <w:rPr>
                <w:rFonts w:ascii="Arial" w:hAnsi="Arial" w:cs="Arial"/>
                <w:sz w:val="20"/>
              </w:rPr>
            </w:pPr>
            <w:r w:rsidRPr="00B52858">
              <w:rPr>
                <w:rFonts w:ascii="Arial" w:hAnsi="Arial" w:cs="Arial"/>
                <w:sz w:val="20"/>
              </w:rPr>
              <w:t>(2)</w:t>
            </w:r>
          </w:p>
        </w:tc>
        <w:tc>
          <w:tcPr>
            <w:tcW w:w="270" w:type="dxa"/>
            <w:tcBorders>
              <w:left w:val="nil"/>
              <w:bottom w:val="nil"/>
              <w:right w:val="nil"/>
            </w:tcBorders>
          </w:tcPr>
          <w:p w14:paraId="5398446F" w14:textId="77777777" w:rsidR="009059D5" w:rsidRPr="00B52858" w:rsidRDefault="009059D5">
            <w:pPr>
              <w:jc w:val="center"/>
              <w:rPr>
                <w:rFonts w:ascii="Arial" w:hAnsi="Arial" w:cs="Arial"/>
                <w:sz w:val="20"/>
              </w:rPr>
            </w:pPr>
          </w:p>
        </w:tc>
        <w:tc>
          <w:tcPr>
            <w:tcW w:w="2070" w:type="dxa"/>
            <w:tcBorders>
              <w:top w:val="single" w:sz="12" w:space="0" w:color="auto"/>
              <w:left w:val="nil"/>
              <w:bottom w:val="nil"/>
              <w:right w:val="nil"/>
            </w:tcBorders>
            <w:vAlign w:val="bottom"/>
          </w:tcPr>
          <w:p w14:paraId="1386467F" w14:textId="77777777" w:rsidR="009059D5" w:rsidRPr="00B52858" w:rsidRDefault="009059D5">
            <w:pPr>
              <w:jc w:val="center"/>
              <w:rPr>
                <w:rFonts w:ascii="Arial" w:hAnsi="Arial" w:cs="Arial"/>
                <w:sz w:val="20"/>
              </w:rPr>
            </w:pPr>
            <w:r w:rsidRPr="00B52858">
              <w:rPr>
                <w:rFonts w:ascii="Arial" w:hAnsi="Arial" w:cs="Arial"/>
                <w:sz w:val="20"/>
              </w:rPr>
              <w:t>(3)</w:t>
            </w:r>
            <w:r>
              <w:rPr>
                <w:rFonts w:ascii="Arial" w:hAnsi="Arial" w:cs="Arial"/>
                <w:sz w:val="20"/>
              </w:rPr>
              <w:t xml:space="preserve"> </w:t>
            </w:r>
            <w:r w:rsidRPr="00B52858">
              <w:rPr>
                <w:rFonts w:ascii="Arial" w:hAnsi="Arial" w:cs="Arial"/>
                <w:sz w:val="20"/>
              </w:rPr>
              <w:t>=</w:t>
            </w:r>
            <w:r>
              <w:rPr>
                <w:rFonts w:ascii="Arial" w:hAnsi="Arial" w:cs="Arial"/>
                <w:sz w:val="20"/>
              </w:rPr>
              <w:t xml:space="preserve"> </w:t>
            </w:r>
            <w:r w:rsidRPr="00B52858">
              <w:rPr>
                <w:rFonts w:ascii="Arial" w:hAnsi="Arial" w:cs="Arial"/>
                <w:sz w:val="20"/>
              </w:rPr>
              <w:t>(1)</w:t>
            </w:r>
            <w:r>
              <w:rPr>
                <w:rFonts w:ascii="Arial" w:hAnsi="Arial" w:cs="Arial"/>
                <w:sz w:val="20"/>
              </w:rPr>
              <w:t xml:space="preserve"> </w:t>
            </w:r>
            <w:r w:rsidRPr="00B52858">
              <w:rPr>
                <w:rFonts w:ascii="Arial" w:hAnsi="Arial" w:cs="Arial"/>
                <w:sz w:val="20"/>
              </w:rPr>
              <w:t>-</w:t>
            </w:r>
            <w:r>
              <w:rPr>
                <w:rFonts w:ascii="Arial" w:hAnsi="Arial" w:cs="Arial"/>
                <w:sz w:val="20"/>
              </w:rPr>
              <w:t xml:space="preserve"> </w:t>
            </w:r>
            <w:r w:rsidRPr="00B52858">
              <w:rPr>
                <w:rFonts w:ascii="Arial" w:hAnsi="Arial" w:cs="Arial"/>
                <w:sz w:val="20"/>
              </w:rPr>
              <w:t>(2)</w:t>
            </w:r>
          </w:p>
        </w:tc>
      </w:tr>
      <w:tr w:rsidR="009059D5" w:rsidRPr="002C61BD" w14:paraId="2C66CEDC" w14:textId="77777777" w:rsidTr="00475C15">
        <w:trPr>
          <w:trHeight w:val="144"/>
          <w:jc w:val="center"/>
        </w:trPr>
        <w:tc>
          <w:tcPr>
            <w:tcW w:w="2070" w:type="dxa"/>
            <w:tcBorders>
              <w:top w:val="nil"/>
              <w:left w:val="nil"/>
              <w:bottom w:val="nil"/>
              <w:right w:val="nil"/>
            </w:tcBorders>
            <w:shd w:val="clear" w:color="auto" w:fill="auto"/>
            <w:noWrap/>
            <w:vAlign w:val="bottom"/>
          </w:tcPr>
          <w:p w14:paraId="5B0CA344" w14:textId="77777777" w:rsidR="009059D5" w:rsidRPr="002C61BD" w:rsidRDefault="009059D5" w:rsidP="009D0E10">
            <w:pPr>
              <w:rPr>
                <w:rFonts w:ascii="Arial" w:hAnsi="Arial" w:cs="Arial"/>
                <w:szCs w:val="24"/>
              </w:rPr>
            </w:pPr>
          </w:p>
        </w:tc>
        <w:tc>
          <w:tcPr>
            <w:tcW w:w="270" w:type="dxa"/>
            <w:tcBorders>
              <w:top w:val="nil"/>
              <w:left w:val="nil"/>
              <w:bottom w:val="nil"/>
              <w:right w:val="nil"/>
            </w:tcBorders>
          </w:tcPr>
          <w:p w14:paraId="0EE058D9" w14:textId="77777777" w:rsidR="009059D5" w:rsidRPr="002C61BD" w:rsidRDefault="009059D5" w:rsidP="001A778A">
            <w:pPr>
              <w:jc w:val="center"/>
              <w:rPr>
                <w:rFonts w:ascii="Arial" w:hAnsi="Arial" w:cs="Arial"/>
                <w:szCs w:val="24"/>
              </w:rPr>
            </w:pPr>
          </w:p>
        </w:tc>
        <w:tc>
          <w:tcPr>
            <w:tcW w:w="2070" w:type="dxa"/>
            <w:tcBorders>
              <w:top w:val="nil"/>
              <w:left w:val="nil"/>
              <w:bottom w:val="nil"/>
              <w:right w:val="nil"/>
            </w:tcBorders>
            <w:shd w:val="clear" w:color="auto" w:fill="auto"/>
            <w:noWrap/>
            <w:vAlign w:val="bottom"/>
          </w:tcPr>
          <w:p w14:paraId="4FBD3AF2" w14:textId="77777777" w:rsidR="009059D5" w:rsidRPr="002C61BD" w:rsidRDefault="009059D5" w:rsidP="001A778A">
            <w:pPr>
              <w:jc w:val="center"/>
              <w:rPr>
                <w:rFonts w:ascii="Arial" w:hAnsi="Arial" w:cs="Arial"/>
                <w:szCs w:val="24"/>
              </w:rPr>
            </w:pPr>
          </w:p>
        </w:tc>
        <w:tc>
          <w:tcPr>
            <w:tcW w:w="270" w:type="dxa"/>
            <w:tcBorders>
              <w:top w:val="nil"/>
              <w:left w:val="nil"/>
              <w:bottom w:val="nil"/>
              <w:right w:val="nil"/>
            </w:tcBorders>
          </w:tcPr>
          <w:p w14:paraId="298B4602" w14:textId="77777777" w:rsidR="009059D5" w:rsidRPr="002C61BD" w:rsidRDefault="009059D5" w:rsidP="001A778A">
            <w:pPr>
              <w:jc w:val="center"/>
              <w:rPr>
                <w:rFonts w:ascii="Arial" w:hAnsi="Arial" w:cs="Arial"/>
                <w:szCs w:val="24"/>
              </w:rPr>
            </w:pPr>
          </w:p>
        </w:tc>
        <w:tc>
          <w:tcPr>
            <w:tcW w:w="2160" w:type="dxa"/>
            <w:tcBorders>
              <w:top w:val="nil"/>
              <w:left w:val="nil"/>
              <w:bottom w:val="nil"/>
              <w:right w:val="nil"/>
            </w:tcBorders>
            <w:vAlign w:val="bottom"/>
          </w:tcPr>
          <w:p w14:paraId="5F098A60" w14:textId="77777777" w:rsidR="009059D5" w:rsidRPr="002C61BD" w:rsidRDefault="009059D5" w:rsidP="001A778A">
            <w:pPr>
              <w:jc w:val="center"/>
              <w:rPr>
                <w:rFonts w:ascii="Arial" w:hAnsi="Arial" w:cs="Arial"/>
                <w:szCs w:val="24"/>
              </w:rPr>
            </w:pPr>
          </w:p>
        </w:tc>
        <w:tc>
          <w:tcPr>
            <w:tcW w:w="270" w:type="dxa"/>
            <w:tcBorders>
              <w:top w:val="nil"/>
              <w:left w:val="nil"/>
              <w:bottom w:val="nil"/>
              <w:right w:val="nil"/>
            </w:tcBorders>
          </w:tcPr>
          <w:p w14:paraId="0C0E61F0" w14:textId="77777777" w:rsidR="009059D5" w:rsidRPr="002C61BD" w:rsidRDefault="009059D5" w:rsidP="00DF7BE0">
            <w:pPr>
              <w:jc w:val="center"/>
              <w:rPr>
                <w:rFonts w:ascii="Arial" w:hAnsi="Arial" w:cs="Arial"/>
                <w:szCs w:val="24"/>
              </w:rPr>
            </w:pPr>
          </w:p>
        </w:tc>
        <w:tc>
          <w:tcPr>
            <w:tcW w:w="2070" w:type="dxa"/>
            <w:tcBorders>
              <w:top w:val="nil"/>
              <w:left w:val="nil"/>
              <w:bottom w:val="nil"/>
              <w:right w:val="nil"/>
            </w:tcBorders>
          </w:tcPr>
          <w:p w14:paraId="1ECFFE98" w14:textId="77777777" w:rsidR="009059D5" w:rsidRPr="002C61BD" w:rsidRDefault="009059D5" w:rsidP="00DF7BE0">
            <w:pPr>
              <w:jc w:val="center"/>
              <w:rPr>
                <w:rFonts w:ascii="Arial" w:hAnsi="Arial" w:cs="Arial"/>
                <w:szCs w:val="24"/>
              </w:rPr>
            </w:pPr>
          </w:p>
        </w:tc>
      </w:tr>
      <w:tr w:rsidR="009059D5" w:rsidRPr="002C61BD" w14:paraId="268451F9" w14:textId="77777777" w:rsidTr="00475C15">
        <w:trPr>
          <w:trHeight w:val="20"/>
          <w:jc w:val="center"/>
        </w:trPr>
        <w:tc>
          <w:tcPr>
            <w:tcW w:w="2070" w:type="dxa"/>
            <w:tcBorders>
              <w:top w:val="nil"/>
              <w:left w:val="nil"/>
              <w:bottom w:val="nil"/>
              <w:right w:val="nil"/>
            </w:tcBorders>
            <w:shd w:val="clear" w:color="auto" w:fill="auto"/>
            <w:noWrap/>
            <w:vAlign w:val="bottom"/>
          </w:tcPr>
          <w:p w14:paraId="7F1A85E4" w14:textId="77777777" w:rsidR="009059D5" w:rsidRPr="00BB35D7" w:rsidRDefault="009059D5" w:rsidP="004F21DE">
            <w:pPr>
              <w:rPr>
                <w:rFonts w:ascii="Arial" w:hAnsi="Arial" w:cs="Arial"/>
                <w:szCs w:val="24"/>
              </w:rPr>
            </w:pPr>
            <w:r w:rsidRPr="00BB35D7">
              <w:rPr>
                <w:rFonts w:ascii="Arial" w:hAnsi="Arial" w:cs="Arial"/>
                <w:szCs w:val="24"/>
              </w:rPr>
              <w:t>Residential</w:t>
            </w:r>
          </w:p>
        </w:tc>
        <w:tc>
          <w:tcPr>
            <w:tcW w:w="270" w:type="dxa"/>
            <w:tcBorders>
              <w:top w:val="nil"/>
              <w:left w:val="nil"/>
              <w:bottom w:val="nil"/>
              <w:right w:val="nil"/>
            </w:tcBorders>
          </w:tcPr>
          <w:p w14:paraId="378F6FF8" w14:textId="77777777" w:rsidR="009059D5" w:rsidRPr="00BB35D7" w:rsidRDefault="009059D5" w:rsidP="00BB35D7">
            <w:pPr>
              <w:rPr>
                <w:rFonts w:ascii="Arial" w:hAnsi="Arial" w:cs="Arial"/>
                <w:szCs w:val="24"/>
              </w:rPr>
            </w:pPr>
          </w:p>
        </w:tc>
        <w:tc>
          <w:tcPr>
            <w:tcW w:w="2070" w:type="dxa"/>
            <w:tcBorders>
              <w:top w:val="nil"/>
              <w:left w:val="nil"/>
              <w:bottom w:val="nil"/>
              <w:right w:val="nil"/>
            </w:tcBorders>
            <w:shd w:val="clear" w:color="auto" w:fill="auto"/>
            <w:noWrap/>
            <w:vAlign w:val="bottom"/>
          </w:tcPr>
          <w:p w14:paraId="14C7458D" w14:textId="77777777" w:rsidR="009059D5" w:rsidRPr="00BB35D7" w:rsidRDefault="009059D5" w:rsidP="008834DF">
            <w:pPr>
              <w:jc w:val="right"/>
              <w:rPr>
                <w:rFonts w:ascii="Arial" w:hAnsi="Arial" w:cs="Arial"/>
                <w:szCs w:val="24"/>
              </w:rPr>
            </w:pPr>
            <w:r w:rsidRPr="00BB35D7">
              <w:rPr>
                <w:rFonts w:ascii="Arial" w:hAnsi="Arial" w:cs="Arial"/>
                <w:szCs w:val="24"/>
              </w:rPr>
              <w:t xml:space="preserve">    </w:t>
            </w:r>
            <w:r w:rsidR="00475C15">
              <w:rPr>
                <w:rFonts w:ascii="Arial" w:hAnsi="Arial" w:cs="Arial"/>
                <w:szCs w:val="24"/>
              </w:rPr>
              <w:t xml:space="preserve">$ </w:t>
            </w:r>
            <w:r w:rsidRPr="00FE581A">
              <w:rPr>
                <w:rFonts w:ascii="Arial" w:hAnsi="Arial" w:cs="Arial"/>
                <w:szCs w:val="24"/>
              </w:rPr>
              <w:t>126,732,130</w:t>
            </w:r>
          </w:p>
        </w:tc>
        <w:tc>
          <w:tcPr>
            <w:tcW w:w="270" w:type="dxa"/>
            <w:tcBorders>
              <w:top w:val="nil"/>
              <w:left w:val="nil"/>
              <w:bottom w:val="nil"/>
              <w:right w:val="nil"/>
            </w:tcBorders>
          </w:tcPr>
          <w:p w14:paraId="3BC3FE80" w14:textId="77777777" w:rsidR="009059D5" w:rsidRPr="00BB35D7" w:rsidRDefault="009059D5" w:rsidP="00BB35D7">
            <w:pPr>
              <w:jc w:val="center"/>
              <w:rPr>
                <w:rFonts w:ascii="Arial" w:hAnsi="Arial" w:cs="Arial"/>
                <w:szCs w:val="24"/>
              </w:rPr>
            </w:pPr>
          </w:p>
        </w:tc>
        <w:tc>
          <w:tcPr>
            <w:tcW w:w="2160" w:type="dxa"/>
            <w:tcBorders>
              <w:top w:val="nil"/>
              <w:left w:val="nil"/>
              <w:bottom w:val="nil"/>
              <w:right w:val="nil"/>
            </w:tcBorders>
            <w:vAlign w:val="bottom"/>
          </w:tcPr>
          <w:p w14:paraId="69074AE4" w14:textId="77777777" w:rsidR="009059D5" w:rsidRPr="00BB35D7" w:rsidRDefault="009059D5" w:rsidP="008834DF">
            <w:pPr>
              <w:jc w:val="right"/>
              <w:rPr>
                <w:rFonts w:ascii="Arial" w:hAnsi="Arial" w:cs="Arial"/>
                <w:szCs w:val="24"/>
              </w:rPr>
            </w:pPr>
            <w:r w:rsidRPr="00BB35D7">
              <w:rPr>
                <w:rFonts w:ascii="Arial" w:hAnsi="Arial" w:cs="Arial"/>
                <w:szCs w:val="24"/>
              </w:rPr>
              <w:t>$</w:t>
            </w:r>
            <w:r w:rsidR="00475C15">
              <w:rPr>
                <w:rFonts w:ascii="Arial" w:hAnsi="Arial" w:cs="Arial"/>
                <w:szCs w:val="24"/>
              </w:rPr>
              <w:t xml:space="preserve"> </w:t>
            </w:r>
            <w:r w:rsidRPr="00FE581A">
              <w:rPr>
                <w:rFonts w:ascii="Arial" w:hAnsi="Arial" w:cs="Arial"/>
                <w:szCs w:val="24"/>
              </w:rPr>
              <w:t>128,015,488</w:t>
            </w:r>
          </w:p>
        </w:tc>
        <w:tc>
          <w:tcPr>
            <w:tcW w:w="270" w:type="dxa"/>
            <w:tcBorders>
              <w:top w:val="nil"/>
              <w:left w:val="nil"/>
              <w:bottom w:val="nil"/>
              <w:right w:val="nil"/>
            </w:tcBorders>
          </w:tcPr>
          <w:p w14:paraId="57D0F73A" w14:textId="77777777" w:rsidR="009059D5" w:rsidRPr="00BB35D7" w:rsidRDefault="009059D5" w:rsidP="00BB35D7">
            <w:pPr>
              <w:jc w:val="center"/>
              <w:rPr>
                <w:rFonts w:ascii="Arial" w:hAnsi="Arial" w:cs="Arial"/>
                <w:szCs w:val="24"/>
              </w:rPr>
            </w:pPr>
          </w:p>
        </w:tc>
        <w:tc>
          <w:tcPr>
            <w:tcW w:w="2070" w:type="dxa"/>
            <w:tcBorders>
              <w:top w:val="nil"/>
              <w:left w:val="nil"/>
              <w:bottom w:val="nil"/>
              <w:right w:val="nil"/>
            </w:tcBorders>
            <w:vAlign w:val="bottom"/>
          </w:tcPr>
          <w:p w14:paraId="06A94337" w14:textId="77777777" w:rsidR="009059D5" w:rsidRPr="002C61BD" w:rsidRDefault="009059D5" w:rsidP="008834DF">
            <w:pPr>
              <w:jc w:val="right"/>
              <w:rPr>
                <w:rFonts w:ascii="Arial" w:hAnsi="Arial" w:cs="Arial"/>
                <w:szCs w:val="24"/>
              </w:rPr>
            </w:pPr>
            <w:r w:rsidRPr="00BB35D7">
              <w:rPr>
                <w:rFonts w:ascii="Arial" w:hAnsi="Arial" w:cs="Arial"/>
                <w:szCs w:val="24"/>
              </w:rPr>
              <w:t xml:space="preserve"> </w:t>
            </w:r>
            <w:r>
              <w:rPr>
                <w:rFonts w:ascii="Arial" w:hAnsi="Arial" w:cs="Arial"/>
                <w:szCs w:val="24"/>
              </w:rPr>
              <w:t>$</w:t>
            </w:r>
            <w:r w:rsidR="00475C15">
              <w:rPr>
                <w:rFonts w:ascii="Arial" w:hAnsi="Arial" w:cs="Arial"/>
                <w:szCs w:val="24"/>
              </w:rPr>
              <w:t xml:space="preserve"> </w:t>
            </w:r>
            <w:r w:rsidRPr="00FE581A">
              <w:rPr>
                <w:rFonts w:ascii="Arial" w:hAnsi="Arial" w:cs="Arial"/>
                <w:szCs w:val="24"/>
              </w:rPr>
              <w:t>(1,283,357)</w:t>
            </w:r>
          </w:p>
        </w:tc>
      </w:tr>
      <w:tr w:rsidR="009059D5" w:rsidRPr="002C61BD" w14:paraId="36220E55" w14:textId="77777777" w:rsidTr="00475C15">
        <w:trPr>
          <w:trHeight w:val="144"/>
          <w:jc w:val="center"/>
        </w:trPr>
        <w:tc>
          <w:tcPr>
            <w:tcW w:w="2070" w:type="dxa"/>
            <w:tcBorders>
              <w:top w:val="nil"/>
              <w:left w:val="nil"/>
              <w:bottom w:val="nil"/>
              <w:right w:val="nil"/>
            </w:tcBorders>
            <w:shd w:val="clear" w:color="auto" w:fill="auto"/>
            <w:noWrap/>
            <w:vAlign w:val="bottom"/>
          </w:tcPr>
          <w:p w14:paraId="3D4991C0" w14:textId="77777777" w:rsidR="009059D5" w:rsidRPr="002C61BD" w:rsidRDefault="009059D5" w:rsidP="004F21DE">
            <w:pPr>
              <w:rPr>
                <w:rFonts w:ascii="Arial" w:hAnsi="Arial" w:cs="Arial"/>
                <w:szCs w:val="24"/>
              </w:rPr>
            </w:pPr>
          </w:p>
        </w:tc>
        <w:tc>
          <w:tcPr>
            <w:tcW w:w="270" w:type="dxa"/>
            <w:tcBorders>
              <w:top w:val="nil"/>
              <w:left w:val="nil"/>
              <w:bottom w:val="nil"/>
              <w:right w:val="nil"/>
            </w:tcBorders>
          </w:tcPr>
          <w:p w14:paraId="4A6959DA" w14:textId="77777777" w:rsidR="009059D5" w:rsidRDefault="009059D5" w:rsidP="001A778A">
            <w:pPr>
              <w:jc w:val="center"/>
              <w:rPr>
                <w:rFonts w:ascii="Arial" w:hAnsi="Arial" w:cs="Arial"/>
                <w:szCs w:val="24"/>
              </w:rPr>
            </w:pPr>
          </w:p>
        </w:tc>
        <w:tc>
          <w:tcPr>
            <w:tcW w:w="2070" w:type="dxa"/>
            <w:tcBorders>
              <w:top w:val="nil"/>
              <w:left w:val="nil"/>
              <w:bottom w:val="nil"/>
              <w:right w:val="nil"/>
            </w:tcBorders>
            <w:shd w:val="clear" w:color="auto" w:fill="auto"/>
            <w:noWrap/>
            <w:vAlign w:val="bottom"/>
          </w:tcPr>
          <w:p w14:paraId="46A8D7A3" w14:textId="77777777" w:rsidR="009059D5" w:rsidRDefault="009059D5" w:rsidP="008834DF">
            <w:pPr>
              <w:jc w:val="right"/>
              <w:rPr>
                <w:rFonts w:ascii="Arial" w:hAnsi="Arial" w:cs="Arial"/>
                <w:szCs w:val="24"/>
              </w:rPr>
            </w:pPr>
          </w:p>
        </w:tc>
        <w:tc>
          <w:tcPr>
            <w:tcW w:w="270" w:type="dxa"/>
            <w:tcBorders>
              <w:top w:val="nil"/>
              <w:left w:val="nil"/>
              <w:bottom w:val="nil"/>
              <w:right w:val="nil"/>
            </w:tcBorders>
          </w:tcPr>
          <w:p w14:paraId="56656114" w14:textId="77777777" w:rsidR="009059D5" w:rsidRDefault="009059D5" w:rsidP="001A778A">
            <w:pPr>
              <w:jc w:val="center"/>
              <w:rPr>
                <w:rFonts w:ascii="Arial" w:hAnsi="Arial" w:cs="Arial"/>
                <w:szCs w:val="24"/>
              </w:rPr>
            </w:pPr>
          </w:p>
        </w:tc>
        <w:tc>
          <w:tcPr>
            <w:tcW w:w="2160" w:type="dxa"/>
            <w:tcBorders>
              <w:top w:val="nil"/>
              <w:left w:val="nil"/>
              <w:bottom w:val="nil"/>
              <w:right w:val="nil"/>
            </w:tcBorders>
            <w:vAlign w:val="bottom"/>
          </w:tcPr>
          <w:p w14:paraId="0A4A2671" w14:textId="77777777" w:rsidR="009059D5" w:rsidRDefault="009059D5" w:rsidP="008834DF">
            <w:pPr>
              <w:jc w:val="right"/>
              <w:rPr>
                <w:rFonts w:ascii="Arial" w:hAnsi="Arial" w:cs="Arial"/>
                <w:szCs w:val="24"/>
              </w:rPr>
            </w:pPr>
          </w:p>
        </w:tc>
        <w:tc>
          <w:tcPr>
            <w:tcW w:w="270" w:type="dxa"/>
            <w:tcBorders>
              <w:top w:val="nil"/>
              <w:left w:val="nil"/>
              <w:bottom w:val="nil"/>
              <w:right w:val="nil"/>
            </w:tcBorders>
          </w:tcPr>
          <w:p w14:paraId="59B17F49" w14:textId="77777777" w:rsidR="009059D5" w:rsidRDefault="009059D5" w:rsidP="006B67BF">
            <w:pPr>
              <w:jc w:val="center"/>
              <w:rPr>
                <w:rFonts w:ascii="Arial" w:hAnsi="Arial" w:cs="Arial"/>
                <w:szCs w:val="24"/>
              </w:rPr>
            </w:pPr>
          </w:p>
        </w:tc>
        <w:tc>
          <w:tcPr>
            <w:tcW w:w="2070" w:type="dxa"/>
            <w:tcBorders>
              <w:top w:val="nil"/>
              <w:left w:val="nil"/>
              <w:bottom w:val="nil"/>
              <w:right w:val="nil"/>
            </w:tcBorders>
            <w:vAlign w:val="bottom"/>
          </w:tcPr>
          <w:p w14:paraId="096D033E" w14:textId="77777777" w:rsidR="009059D5" w:rsidRDefault="009059D5" w:rsidP="008834DF">
            <w:pPr>
              <w:jc w:val="right"/>
              <w:rPr>
                <w:rFonts w:ascii="Arial" w:hAnsi="Arial" w:cs="Arial"/>
                <w:szCs w:val="24"/>
              </w:rPr>
            </w:pPr>
          </w:p>
        </w:tc>
      </w:tr>
      <w:tr w:rsidR="009059D5" w:rsidRPr="002C61BD" w14:paraId="0FE6156C" w14:textId="77777777" w:rsidTr="00475C15">
        <w:trPr>
          <w:trHeight w:val="288"/>
          <w:jc w:val="center"/>
        </w:trPr>
        <w:tc>
          <w:tcPr>
            <w:tcW w:w="2070" w:type="dxa"/>
            <w:tcBorders>
              <w:top w:val="nil"/>
              <w:left w:val="nil"/>
              <w:bottom w:val="nil"/>
              <w:right w:val="nil"/>
            </w:tcBorders>
            <w:shd w:val="clear" w:color="auto" w:fill="auto"/>
            <w:noWrap/>
            <w:vAlign w:val="bottom"/>
          </w:tcPr>
          <w:p w14:paraId="538C9E2E" w14:textId="77777777" w:rsidR="009059D5" w:rsidRPr="002C61BD" w:rsidRDefault="009059D5" w:rsidP="009D0E10">
            <w:pPr>
              <w:rPr>
                <w:rFonts w:ascii="Arial" w:hAnsi="Arial" w:cs="Arial"/>
                <w:szCs w:val="24"/>
              </w:rPr>
            </w:pPr>
            <w:r w:rsidRPr="002C61BD">
              <w:rPr>
                <w:rFonts w:ascii="Arial" w:hAnsi="Arial" w:cs="Arial"/>
                <w:szCs w:val="24"/>
              </w:rPr>
              <w:t>Commercial</w:t>
            </w:r>
          </w:p>
        </w:tc>
        <w:tc>
          <w:tcPr>
            <w:tcW w:w="270" w:type="dxa"/>
            <w:tcBorders>
              <w:top w:val="nil"/>
              <w:left w:val="nil"/>
              <w:bottom w:val="nil"/>
              <w:right w:val="nil"/>
            </w:tcBorders>
          </w:tcPr>
          <w:p w14:paraId="549D399B" w14:textId="77777777" w:rsidR="009059D5" w:rsidRDefault="009059D5" w:rsidP="001A778A">
            <w:pPr>
              <w:jc w:val="center"/>
              <w:rPr>
                <w:rFonts w:ascii="Arial" w:hAnsi="Arial" w:cs="Arial"/>
                <w:szCs w:val="24"/>
              </w:rPr>
            </w:pPr>
          </w:p>
        </w:tc>
        <w:tc>
          <w:tcPr>
            <w:tcW w:w="2070" w:type="dxa"/>
            <w:tcBorders>
              <w:top w:val="nil"/>
              <w:left w:val="nil"/>
              <w:bottom w:val="nil"/>
              <w:right w:val="nil"/>
            </w:tcBorders>
            <w:shd w:val="clear" w:color="auto" w:fill="auto"/>
            <w:noWrap/>
            <w:vAlign w:val="bottom"/>
          </w:tcPr>
          <w:p w14:paraId="2EB7C28E" w14:textId="77777777" w:rsidR="009059D5" w:rsidRPr="002C61BD" w:rsidRDefault="009059D5" w:rsidP="008834DF">
            <w:pPr>
              <w:jc w:val="right"/>
              <w:rPr>
                <w:rFonts w:ascii="Arial" w:hAnsi="Arial" w:cs="Arial"/>
                <w:szCs w:val="24"/>
              </w:rPr>
            </w:pPr>
            <w:r>
              <w:rPr>
                <w:rFonts w:ascii="Arial" w:hAnsi="Arial" w:cs="Arial"/>
                <w:szCs w:val="24"/>
              </w:rPr>
              <w:t xml:space="preserve">     </w:t>
            </w:r>
            <w:r w:rsidRPr="00FE581A">
              <w:rPr>
                <w:rFonts w:ascii="Arial" w:hAnsi="Arial" w:cs="Arial"/>
                <w:szCs w:val="24"/>
              </w:rPr>
              <w:t>51,827,384</w:t>
            </w:r>
          </w:p>
        </w:tc>
        <w:tc>
          <w:tcPr>
            <w:tcW w:w="270" w:type="dxa"/>
            <w:tcBorders>
              <w:top w:val="nil"/>
              <w:left w:val="nil"/>
              <w:bottom w:val="nil"/>
              <w:right w:val="nil"/>
            </w:tcBorders>
          </w:tcPr>
          <w:p w14:paraId="5AAF93DB" w14:textId="77777777" w:rsidR="009059D5" w:rsidRDefault="009059D5" w:rsidP="001A778A">
            <w:pPr>
              <w:ind w:right="-253"/>
              <w:jc w:val="center"/>
              <w:rPr>
                <w:rFonts w:ascii="Arial" w:hAnsi="Arial" w:cs="Arial"/>
                <w:szCs w:val="24"/>
              </w:rPr>
            </w:pPr>
          </w:p>
        </w:tc>
        <w:tc>
          <w:tcPr>
            <w:tcW w:w="2160" w:type="dxa"/>
            <w:tcBorders>
              <w:top w:val="nil"/>
              <w:left w:val="nil"/>
              <w:bottom w:val="nil"/>
              <w:right w:val="nil"/>
            </w:tcBorders>
            <w:vAlign w:val="bottom"/>
          </w:tcPr>
          <w:p w14:paraId="1CC82355" w14:textId="77777777" w:rsidR="009059D5" w:rsidRPr="002C61BD" w:rsidRDefault="009059D5" w:rsidP="00104BE3">
            <w:pPr>
              <w:jc w:val="right"/>
              <w:rPr>
                <w:rFonts w:ascii="Arial" w:hAnsi="Arial" w:cs="Arial"/>
                <w:szCs w:val="24"/>
              </w:rPr>
            </w:pPr>
            <w:r>
              <w:rPr>
                <w:rFonts w:ascii="Arial" w:hAnsi="Arial" w:cs="Arial"/>
                <w:szCs w:val="24"/>
              </w:rPr>
              <w:t xml:space="preserve"> </w:t>
            </w:r>
            <w:r w:rsidRPr="00FE581A">
              <w:rPr>
                <w:rFonts w:ascii="Arial" w:hAnsi="Arial" w:cs="Arial"/>
                <w:szCs w:val="24"/>
              </w:rPr>
              <w:t>30,676,005</w:t>
            </w:r>
          </w:p>
        </w:tc>
        <w:tc>
          <w:tcPr>
            <w:tcW w:w="270" w:type="dxa"/>
            <w:tcBorders>
              <w:top w:val="nil"/>
              <w:left w:val="nil"/>
              <w:bottom w:val="nil"/>
              <w:right w:val="nil"/>
            </w:tcBorders>
          </w:tcPr>
          <w:p w14:paraId="45004780" w14:textId="77777777" w:rsidR="009059D5" w:rsidRPr="00FE581A" w:rsidRDefault="009059D5" w:rsidP="00DB2EBE">
            <w:pPr>
              <w:ind w:right="-113"/>
              <w:jc w:val="center"/>
              <w:rPr>
                <w:rFonts w:ascii="Arial" w:hAnsi="Arial" w:cs="Arial"/>
                <w:szCs w:val="24"/>
              </w:rPr>
            </w:pPr>
          </w:p>
        </w:tc>
        <w:tc>
          <w:tcPr>
            <w:tcW w:w="2070" w:type="dxa"/>
            <w:tcBorders>
              <w:top w:val="nil"/>
              <w:left w:val="nil"/>
              <w:bottom w:val="nil"/>
              <w:right w:val="nil"/>
            </w:tcBorders>
            <w:vAlign w:val="bottom"/>
          </w:tcPr>
          <w:p w14:paraId="36C3C840" w14:textId="77777777" w:rsidR="009059D5" w:rsidRPr="002C61BD" w:rsidRDefault="009059D5" w:rsidP="00263961">
            <w:pPr>
              <w:ind w:right="78"/>
              <w:jc w:val="right"/>
              <w:rPr>
                <w:rFonts w:ascii="Arial" w:hAnsi="Arial" w:cs="Arial"/>
                <w:szCs w:val="24"/>
              </w:rPr>
            </w:pPr>
            <w:r w:rsidRPr="00FE581A">
              <w:rPr>
                <w:rFonts w:ascii="Arial" w:hAnsi="Arial" w:cs="Arial"/>
                <w:szCs w:val="24"/>
              </w:rPr>
              <w:t>21,151,379</w:t>
            </w:r>
          </w:p>
        </w:tc>
      </w:tr>
      <w:tr w:rsidR="009059D5" w:rsidRPr="002C61BD" w14:paraId="6B22F7DE" w14:textId="77777777" w:rsidTr="00475C15">
        <w:trPr>
          <w:trHeight w:val="144"/>
          <w:jc w:val="center"/>
        </w:trPr>
        <w:tc>
          <w:tcPr>
            <w:tcW w:w="2070" w:type="dxa"/>
            <w:tcBorders>
              <w:top w:val="nil"/>
              <w:left w:val="nil"/>
              <w:bottom w:val="nil"/>
              <w:right w:val="nil"/>
            </w:tcBorders>
            <w:shd w:val="clear" w:color="auto" w:fill="auto"/>
            <w:noWrap/>
            <w:vAlign w:val="bottom"/>
          </w:tcPr>
          <w:p w14:paraId="08D07F5E" w14:textId="77777777" w:rsidR="009059D5" w:rsidRPr="002C61BD" w:rsidRDefault="009059D5" w:rsidP="009D0E10">
            <w:pPr>
              <w:rPr>
                <w:rFonts w:ascii="Arial" w:hAnsi="Arial" w:cs="Arial"/>
                <w:szCs w:val="24"/>
              </w:rPr>
            </w:pPr>
          </w:p>
        </w:tc>
        <w:tc>
          <w:tcPr>
            <w:tcW w:w="270" w:type="dxa"/>
            <w:tcBorders>
              <w:top w:val="nil"/>
              <w:left w:val="nil"/>
              <w:bottom w:val="nil"/>
              <w:right w:val="nil"/>
            </w:tcBorders>
          </w:tcPr>
          <w:p w14:paraId="41B2F64A" w14:textId="77777777" w:rsidR="009059D5" w:rsidRPr="002C61BD" w:rsidRDefault="009059D5" w:rsidP="001A778A">
            <w:pPr>
              <w:jc w:val="center"/>
              <w:rPr>
                <w:rFonts w:ascii="Arial" w:hAnsi="Arial" w:cs="Arial"/>
                <w:szCs w:val="24"/>
              </w:rPr>
            </w:pPr>
          </w:p>
        </w:tc>
        <w:tc>
          <w:tcPr>
            <w:tcW w:w="2070" w:type="dxa"/>
            <w:tcBorders>
              <w:top w:val="nil"/>
              <w:left w:val="nil"/>
              <w:bottom w:val="nil"/>
              <w:right w:val="nil"/>
            </w:tcBorders>
            <w:shd w:val="clear" w:color="auto" w:fill="auto"/>
            <w:noWrap/>
            <w:vAlign w:val="bottom"/>
          </w:tcPr>
          <w:p w14:paraId="099F571E" w14:textId="77777777" w:rsidR="009059D5" w:rsidRPr="002C61BD" w:rsidRDefault="009059D5" w:rsidP="008834DF">
            <w:pPr>
              <w:jc w:val="right"/>
              <w:rPr>
                <w:rFonts w:ascii="Arial" w:hAnsi="Arial" w:cs="Arial"/>
                <w:szCs w:val="24"/>
              </w:rPr>
            </w:pPr>
          </w:p>
        </w:tc>
        <w:tc>
          <w:tcPr>
            <w:tcW w:w="270" w:type="dxa"/>
            <w:tcBorders>
              <w:top w:val="nil"/>
              <w:left w:val="nil"/>
              <w:bottom w:val="nil"/>
              <w:right w:val="nil"/>
            </w:tcBorders>
          </w:tcPr>
          <w:p w14:paraId="40DDD265" w14:textId="77777777" w:rsidR="009059D5" w:rsidRPr="002C61BD" w:rsidRDefault="009059D5" w:rsidP="001A778A">
            <w:pPr>
              <w:jc w:val="center"/>
              <w:rPr>
                <w:rFonts w:ascii="Arial" w:hAnsi="Arial" w:cs="Arial"/>
                <w:szCs w:val="24"/>
              </w:rPr>
            </w:pPr>
          </w:p>
        </w:tc>
        <w:tc>
          <w:tcPr>
            <w:tcW w:w="2160" w:type="dxa"/>
            <w:tcBorders>
              <w:top w:val="nil"/>
              <w:left w:val="nil"/>
              <w:bottom w:val="nil"/>
              <w:right w:val="nil"/>
            </w:tcBorders>
            <w:vAlign w:val="bottom"/>
          </w:tcPr>
          <w:p w14:paraId="18DD44E2" w14:textId="77777777" w:rsidR="009059D5" w:rsidRPr="002C61BD" w:rsidRDefault="009059D5" w:rsidP="008834DF">
            <w:pPr>
              <w:jc w:val="right"/>
              <w:rPr>
                <w:rFonts w:ascii="Arial" w:hAnsi="Arial" w:cs="Arial"/>
                <w:szCs w:val="24"/>
              </w:rPr>
            </w:pPr>
          </w:p>
        </w:tc>
        <w:tc>
          <w:tcPr>
            <w:tcW w:w="270" w:type="dxa"/>
            <w:tcBorders>
              <w:top w:val="nil"/>
              <w:left w:val="nil"/>
              <w:bottom w:val="nil"/>
              <w:right w:val="nil"/>
            </w:tcBorders>
          </w:tcPr>
          <w:p w14:paraId="7BA863EC" w14:textId="77777777" w:rsidR="009059D5" w:rsidRPr="002C61BD" w:rsidRDefault="009059D5" w:rsidP="00DF7BE0">
            <w:pPr>
              <w:jc w:val="center"/>
              <w:rPr>
                <w:rFonts w:ascii="Arial" w:hAnsi="Arial" w:cs="Arial"/>
                <w:szCs w:val="24"/>
              </w:rPr>
            </w:pPr>
          </w:p>
        </w:tc>
        <w:tc>
          <w:tcPr>
            <w:tcW w:w="2070" w:type="dxa"/>
            <w:tcBorders>
              <w:top w:val="nil"/>
              <w:left w:val="nil"/>
              <w:bottom w:val="nil"/>
              <w:right w:val="nil"/>
            </w:tcBorders>
            <w:vAlign w:val="bottom"/>
          </w:tcPr>
          <w:p w14:paraId="060E3C10" w14:textId="77777777" w:rsidR="009059D5" w:rsidRPr="002C61BD" w:rsidRDefault="009059D5" w:rsidP="008834DF">
            <w:pPr>
              <w:jc w:val="right"/>
              <w:rPr>
                <w:rFonts w:ascii="Arial" w:hAnsi="Arial" w:cs="Arial"/>
                <w:szCs w:val="24"/>
              </w:rPr>
            </w:pPr>
          </w:p>
        </w:tc>
      </w:tr>
      <w:tr w:rsidR="009059D5" w:rsidRPr="002C61BD" w14:paraId="7D586600" w14:textId="77777777" w:rsidTr="00475C15">
        <w:trPr>
          <w:trHeight w:val="288"/>
          <w:jc w:val="center"/>
        </w:trPr>
        <w:tc>
          <w:tcPr>
            <w:tcW w:w="2070" w:type="dxa"/>
            <w:tcBorders>
              <w:top w:val="nil"/>
              <w:left w:val="nil"/>
              <w:bottom w:val="nil"/>
              <w:right w:val="nil"/>
            </w:tcBorders>
            <w:shd w:val="clear" w:color="auto" w:fill="auto"/>
            <w:noWrap/>
            <w:vAlign w:val="bottom"/>
          </w:tcPr>
          <w:p w14:paraId="378BF97C" w14:textId="77777777" w:rsidR="009059D5" w:rsidRPr="002C61BD" w:rsidRDefault="009059D5" w:rsidP="009D0E10">
            <w:pPr>
              <w:rPr>
                <w:rFonts w:ascii="Arial" w:hAnsi="Arial" w:cs="Arial"/>
                <w:szCs w:val="24"/>
              </w:rPr>
            </w:pPr>
            <w:r w:rsidRPr="002C61BD">
              <w:rPr>
                <w:rFonts w:ascii="Arial" w:hAnsi="Arial" w:cs="Arial"/>
                <w:szCs w:val="24"/>
              </w:rPr>
              <w:t>Industrial</w:t>
            </w:r>
          </w:p>
        </w:tc>
        <w:tc>
          <w:tcPr>
            <w:tcW w:w="270" w:type="dxa"/>
            <w:tcBorders>
              <w:top w:val="nil"/>
              <w:left w:val="nil"/>
              <w:bottom w:val="nil"/>
              <w:right w:val="nil"/>
            </w:tcBorders>
          </w:tcPr>
          <w:p w14:paraId="0FEECB03" w14:textId="77777777" w:rsidR="009059D5" w:rsidRDefault="009059D5" w:rsidP="001A778A">
            <w:pPr>
              <w:jc w:val="center"/>
              <w:rPr>
                <w:rFonts w:ascii="Arial" w:hAnsi="Arial" w:cs="Arial"/>
                <w:szCs w:val="24"/>
              </w:rPr>
            </w:pPr>
          </w:p>
        </w:tc>
        <w:tc>
          <w:tcPr>
            <w:tcW w:w="2070" w:type="dxa"/>
            <w:tcBorders>
              <w:top w:val="nil"/>
              <w:left w:val="nil"/>
              <w:bottom w:val="nil"/>
              <w:right w:val="nil"/>
            </w:tcBorders>
            <w:shd w:val="clear" w:color="auto" w:fill="auto"/>
            <w:noWrap/>
            <w:vAlign w:val="bottom"/>
          </w:tcPr>
          <w:p w14:paraId="56EEF812" w14:textId="77777777" w:rsidR="009059D5" w:rsidRPr="002C61BD" w:rsidRDefault="009059D5" w:rsidP="008834DF">
            <w:pPr>
              <w:jc w:val="right"/>
              <w:rPr>
                <w:rFonts w:ascii="Arial" w:hAnsi="Arial" w:cs="Arial"/>
                <w:szCs w:val="24"/>
              </w:rPr>
            </w:pPr>
            <w:r>
              <w:rPr>
                <w:rFonts w:ascii="Arial" w:hAnsi="Arial" w:cs="Arial"/>
                <w:szCs w:val="24"/>
              </w:rPr>
              <w:t xml:space="preserve">     </w:t>
            </w:r>
            <w:r w:rsidRPr="00FE581A">
              <w:rPr>
                <w:rFonts w:ascii="Arial" w:hAnsi="Arial" w:cs="Arial"/>
                <w:szCs w:val="24"/>
              </w:rPr>
              <w:t>63,710,000</w:t>
            </w:r>
          </w:p>
        </w:tc>
        <w:tc>
          <w:tcPr>
            <w:tcW w:w="270" w:type="dxa"/>
            <w:tcBorders>
              <w:top w:val="nil"/>
              <w:left w:val="nil"/>
              <w:bottom w:val="nil"/>
              <w:right w:val="nil"/>
            </w:tcBorders>
          </w:tcPr>
          <w:p w14:paraId="28AFBD68" w14:textId="77777777" w:rsidR="009059D5" w:rsidRDefault="009059D5" w:rsidP="007F5C8C">
            <w:pPr>
              <w:jc w:val="center"/>
              <w:rPr>
                <w:rFonts w:ascii="Arial" w:hAnsi="Arial" w:cs="Arial"/>
                <w:szCs w:val="24"/>
              </w:rPr>
            </w:pPr>
          </w:p>
        </w:tc>
        <w:tc>
          <w:tcPr>
            <w:tcW w:w="2160" w:type="dxa"/>
            <w:tcBorders>
              <w:top w:val="nil"/>
              <w:left w:val="nil"/>
              <w:bottom w:val="nil"/>
              <w:right w:val="nil"/>
            </w:tcBorders>
            <w:vAlign w:val="bottom"/>
          </w:tcPr>
          <w:p w14:paraId="790203B6" w14:textId="77777777" w:rsidR="009059D5" w:rsidRPr="002C61BD" w:rsidRDefault="009059D5" w:rsidP="008834DF">
            <w:pPr>
              <w:jc w:val="right"/>
              <w:rPr>
                <w:rFonts w:ascii="Arial" w:hAnsi="Arial" w:cs="Arial"/>
                <w:szCs w:val="24"/>
              </w:rPr>
            </w:pPr>
            <w:r>
              <w:rPr>
                <w:rFonts w:ascii="Arial" w:hAnsi="Arial" w:cs="Arial"/>
                <w:szCs w:val="24"/>
              </w:rPr>
              <w:t xml:space="preserve">    </w:t>
            </w:r>
            <w:r w:rsidRPr="00FE581A">
              <w:rPr>
                <w:rFonts w:ascii="Arial" w:hAnsi="Arial" w:cs="Arial"/>
                <w:szCs w:val="24"/>
              </w:rPr>
              <w:t xml:space="preserve"> 48,254,105</w:t>
            </w:r>
          </w:p>
        </w:tc>
        <w:tc>
          <w:tcPr>
            <w:tcW w:w="270" w:type="dxa"/>
            <w:tcBorders>
              <w:top w:val="nil"/>
              <w:left w:val="nil"/>
              <w:bottom w:val="nil"/>
              <w:right w:val="nil"/>
            </w:tcBorders>
          </w:tcPr>
          <w:p w14:paraId="5D556184" w14:textId="77777777" w:rsidR="009059D5" w:rsidRDefault="009059D5" w:rsidP="00003235">
            <w:pPr>
              <w:jc w:val="center"/>
              <w:rPr>
                <w:rFonts w:ascii="Arial" w:hAnsi="Arial" w:cs="Arial"/>
                <w:szCs w:val="24"/>
              </w:rPr>
            </w:pPr>
          </w:p>
        </w:tc>
        <w:tc>
          <w:tcPr>
            <w:tcW w:w="2070" w:type="dxa"/>
            <w:tcBorders>
              <w:top w:val="nil"/>
              <w:left w:val="nil"/>
              <w:bottom w:val="nil"/>
              <w:right w:val="nil"/>
            </w:tcBorders>
            <w:vAlign w:val="bottom"/>
          </w:tcPr>
          <w:p w14:paraId="2F8ADD4B" w14:textId="77777777" w:rsidR="009059D5" w:rsidRPr="002C61BD" w:rsidRDefault="009059D5" w:rsidP="00263961">
            <w:pPr>
              <w:ind w:right="78"/>
              <w:jc w:val="right"/>
              <w:rPr>
                <w:rFonts w:ascii="Arial" w:hAnsi="Arial" w:cs="Arial"/>
                <w:szCs w:val="24"/>
              </w:rPr>
            </w:pPr>
            <w:r>
              <w:rPr>
                <w:rFonts w:ascii="Arial" w:hAnsi="Arial" w:cs="Arial"/>
                <w:szCs w:val="24"/>
              </w:rPr>
              <w:t xml:space="preserve">  </w:t>
            </w:r>
            <w:r w:rsidRPr="00FE581A">
              <w:rPr>
                <w:rFonts w:ascii="Arial" w:hAnsi="Arial" w:cs="Arial"/>
                <w:szCs w:val="24"/>
              </w:rPr>
              <w:t>15,455,895</w:t>
            </w:r>
          </w:p>
        </w:tc>
      </w:tr>
      <w:tr w:rsidR="009059D5" w:rsidRPr="002C61BD" w14:paraId="65176C71" w14:textId="77777777" w:rsidTr="00475C15">
        <w:trPr>
          <w:trHeight w:val="144"/>
          <w:jc w:val="center"/>
        </w:trPr>
        <w:tc>
          <w:tcPr>
            <w:tcW w:w="2070" w:type="dxa"/>
            <w:tcBorders>
              <w:top w:val="nil"/>
              <w:left w:val="nil"/>
              <w:bottom w:val="nil"/>
              <w:right w:val="nil"/>
            </w:tcBorders>
            <w:shd w:val="clear" w:color="auto" w:fill="auto"/>
            <w:noWrap/>
            <w:vAlign w:val="bottom"/>
          </w:tcPr>
          <w:p w14:paraId="434E1373" w14:textId="77777777" w:rsidR="009059D5" w:rsidRPr="002C61BD" w:rsidRDefault="009059D5" w:rsidP="009D0E10">
            <w:pPr>
              <w:rPr>
                <w:rFonts w:ascii="Arial" w:hAnsi="Arial" w:cs="Arial"/>
                <w:szCs w:val="24"/>
              </w:rPr>
            </w:pPr>
          </w:p>
        </w:tc>
        <w:tc>
          <w:tcPr>
            <w:tcW w:w="270" w:type="dxa"/>
            <w:tcBorders>
              <w:top w:val="nil"/>
              <w:left w:val="nil"/>
              <w:bottom w:val="nil"/>
              <w:right w:val="nil"/>
            </w:tcBorders>
          </w:tcPr>
          <w:p w14:paraId="254CE996" w14:textId="77777777" w:rsidR="009059D5" w:rsidRPr="002C61BD" w:rsidRDefault="009059D5" w:rsidP="001A778A">
            <w:pPr>
              <w:jc w:val="center"/>
              <w:rPr>
                <w:rFonts w:ascii="Arial" w:hAnsi="Arial" w:cs="Arial"/>
                <w:szCs w:val="24"/>
              </w:rPr>
            </w:pPr>
          </w:p>
        </w:tc>
        <w:tc>
          <w:tcPr>
            <w:tcW w:w="2070" w:type="dxa"/>
            <w:tcBorders>
              <w:top w:val="nil"/>
              <w:left w:val="nil"/>
              <w:bottom w:val="nil"/>
              <w:right w:val="nil"/>
            </w:tcBorders>
            <w:shd w:val="clear" w:color="auto" w:fill="auto"/>
            <w:noWrap/>
            <w:vAlign w:val="bottom"/>
          </w:tcPr>
          <w:p w14:paraId="12A9EBEC" w14:textId="77777777" w:rsidR="009059D5" w:rsidRPr="002C61BD" w:rsidRDefault="009059D5" w:rsidP="008834DF">
            <w:pPr>
              <w:jc w:val="right"/>
              <w:rPr>
                <w:rFonts w:ascii="Arial" w:hAnsi="Arial" w:cs="Arial"/>
                <w:szCs w:val="24"/>
              </w:rPr>
            </w:pPr>
          </w:p>
        </w:tc>
        <w:tc>
          <w:tcPr>
            <w:tcW w:w="270" w:type="dxa"/>
            <w:tcBorders>
              <w:top w:val="nil"/>
              <w:left w:val="nil"/>
              <w:bottom w:val="nil"/>
              <w:right w:val="nil"/>
            </w:tcBorders>
          </w:tcPr>
          <w:p w14:paraId="1BCC7AB4" w14:textId="77777777" w:rsidR="009059D5" w:rsidRPr="002C61BD" w:rsidRDefault="009059D5" w:rsidP="001A778A">
            <w:pPr>
              <w:jc w:val="center"/>
              <w:rPr>
                <w:rFonts w:ascii="Arial" w:hAnsi="Arial" w:cs="Arial"/>
                <w:szCs w:val="24"/>
              </w:rPr>
            </w:pPr>
          </w:p>
        </w:tc>
        <w:tc>
          <w:tcPr>
            <w:tcW w:w="2160" w:type="dxa"/>
            <w:tcBorders>
              <w:top w:val="nil"/>
              <w:left w:val="nil"/>
              <w:bottom w:val="nil"/>
              <w:right w:val="nil"/>
            </w:tcBorders>
            <w:vAlign w:val="bottom"/>
          </w:tcPr>
          <w:p w14:paraId="0E8C0730" w14:textId="77777777" w:rsidR="009059D5" w:rsidRPr="002C61BD" w:rsidRDefault="009059D5" w:rsidP="008834DF">
            <w:pPr>
              <w:jc w:val="right"/>
              <w:rPr>
                <w:rFonts w:ascii="Arial" w:hAnsi="Arial" w:cs="Arial"/>
                <w:szCs w:val="24"/>
              </w:rPr>
            </w:pPr>
          </w:p>
        </w:tc>
        <w:tc>
          <w:tcPr>
            <w:tcW w:w="270" w:type="dxa"/>
            <w:tcBorders>
              <w:top w:val="nil"/>
              <w:left w:val="nil"/>
              <w:bottom w:val="nil"/>
              <w:right w:val="nil"/>
            </w:tcBorders>
          </w:tcPr>
          <w:p w14:paraId="2CFC6DF7" w14:textId="77777777" w:rsidR="009059D5" w:rsidRPr="002C61BD" w:rsidRDefault="009059D5" w:rsidP="00DF7BE0">
            <w:pPr>
              <w:jc w:val="center"/>
              <w:rPr>
                <w:rFonts w:ascii="Arial" w:hAnsi="Arial" w:cs="Arial"/>
                <w:szCs w:val="24"/>
              </w:rPr>
            </w:pPr>
          </w:p>
        </w:tc>
        <w:tc>
          <w:tcPr>
            <w:tcW w:w="2070" w:type="dxa"/>
            <w:tcBorders>
              <w:top w:val="nil"/>
              <w:left w:val="nil"/>
              <w:bottom w:val="nil"/>
              <w:right w:val="nil"/>
            </w:tcBorders>
            <w:vAlign w:val="bottom"/>
          </w:tcPr>
          <w:p w14:paraId="6B13790A" w14:textId="77777777" w:rsidR="009059D5" w:rsidRPr="002C61BD" w:rsidRDefault="009059D5" w:rsidP="008834DF">
            <w:pPr>
              <w:jc w:val="right"/>
              <w:rPr>
                <w:rFonts w:ascii="Arial" w:hAnsi="Arial" w:cs="Arial"/>
                <w:szCs w:val="24"/>
              </w:rPr>
            </w:pPr>
          </w:p>
        </w:tc>
      </w:tr>
      <w:tr w:rsidR="009059D5" w:rsidRPr="002C61BD" w14:paraId="7730F293" w14:textId="77777777" w:rsidTr="00475C15">
        <w:trPr>
          <w:trHeight w:val="288"/>
          <w:jc w:val="center"/>
        </w:trPr>
        <w:tc>
          <w:tcPr>
            <w:tcW w:w="2070" w:type="dxa"/>
            <w:tcBorders>
              <w:top w:val="nil"/>
              <w:left w:val="nil"/>
              <w:bottom w:val="nil"/>
              <w:right w:val="nil"/>
            </w:tcBorders>
            <w:shd w:val="clear" w:color="auto" w:fill="auto"/>
            <w:noWrap/>
            <w:vAlign w:val="bottom"/>
          </w:tcPr>
          <w:p w14:paraId="4EA815F9" w14:textId="77777777" w:rsidR="009059D5" w:rsidRPr="002C61BD" w:rsidRDefault="009059D5" w:rsidP="008834DF">
            <w:pPr>
              <w:rPr>
                <w:rFonts w:ascii="Arial" w:hAnsi="Arial" w:cs="Arial"/>
                <w:szCs w:val="24"/>
              </w:rPr>
            </w:pPr>
            <w:r w:rsidRPr="002C61BD">
              <w:rPr>
                <w:rFonts w:ascii="Arial" w:hAnsi="Arial" w:cs="Arial"/>
                <w:szCs w:val="24"/>
              </w:rPr>
              <w:t>Street Lighting</w:t>
            </w:r>
          </w:p>
        </w:tc>
        <w:tc>
          <w:tcPr>
            <w:tcW w:w="270" w:type="dxa"/>
            <w:tcBorders>
              <w:top w:val="nil"/>
              <w:left w:val="nil"/>
              <w:bottom w:val="nil"/>
              <w:right w:val="nil"/>
            </w:tcBorders>
          </w:tcPr>
          <w:p w14:paraId="215FD304" w14:textId="77777777" w:rsidR="009059D5" w:rsidRPr="00BB35D7" w:rsidRDefault="009059D5" w:rsidP="00BB35D7">
            <w:pPr>
              <w:jc w:val="center"/>
              <w:rPr>
                <w:rFonts w:ascii="Arial" w:hAnsi="Arial" w:cs="Arial"/>
                <w:szCs w:val="24"/>
                <w:u w:val="single"/>
              </w:rPr>
            </w:pPr>
          </w:p>
        </w:tc>
        <w:tc>
          <w:tcPr>
            <w:tcW w:w="2070" w:type="dxa"/>
            <w:tcBorders>
              <w:top w:val="nil"/>
              <w:left w:val="nil"/>
              <w:bottom w:val="single" w:sz="4" w:space="0" w:color="auto"/>
              <w:right w:val="nil"/>
            </w:tcBorders>
            <w:shd w:val="clear" w:color="auto" w:fill="auto"/>
            <w:noWrap/>
            <w:vAlign w:val="bottom"/>
          </w:tcPr>
          <w:p w14:paraId="742F06F5" w14:textId="77777777" w:rsidR="009059D5" w:rsidRPr="009059D5" w:rsidRDefault="009059D5" w:rsidP="008834DF">
            <w:pPr>
              <w:jc w:val="right"/>
              <w:rPr>
                <w:rFonts w:ascii="Arial" w:hAnsi="Arial" w:cs="Arial"/>
                <w:szCs w:val="24"/>
              </w:rPr>
            </w:pPr>
            <w:r w:rsidRPr="009059D5">
              <w:rPr>
                <w:rFonts w:ascii="Arial" w:hAnsi="Arial" w:cs="Arial"/>
                <w:szCs w:val="24"/>
              </w:rPr>
              <w:t xml:space="preserve">       1,734,941</w:t>
            </w:r>
          </w:p>
        </w:tc>
        <w:tc>
          <w:tcPr>
            <w:tcW w:w="270" w:type="dxa"/>
            <w:tcBorders>
              <w:top w:val="nil"/>
              <w:left w:val="nil"/>
              <w:bottom w:val="nil"/>
              <w:right w:val="nil"/>
            </w:tcBorders>
          </w:tcPr>
          <w:p w14:paraId="4B2AE249" w14:textId="77777777" w:rsidR="009059D5" w:rsidRPr="009059D5" w:rsidRDefault="009059D5" w:rsidP="00BB35D7">
            <w:pPr>
              <w:ind w:right="-73"/>
              <w:jc w:val="center"/>
              <w:rPr>
                <w:rFonts w:ascii="Arial" w:hAnsi="Arial" w:cs="Arial"/>
                <w:szCs w:val="24"/>
              </w:rPr>
            </w:pPr>
          </w:p>
        </w:tc>
        <w:tc>
          <w:tcPr>
            <w:tcW w:w="2160" w:type="dxa"/>
            <w:tcBorders>
              <w:top w:val="nil"/>
              <w:left w:val="nil"/>
              <w:bottom w:val="single" w:sz="4" w:space="0" w:color="auto"/>
              <w:right w:val="nil"/>
            </w:tcBorders>
            <w:vAlign w:val="bottom"/>
          </w:tcPr>
          <w:p w14:paraId="4737D8F8" w14:textId="77777777" w:rsidR="009059D5" w:rsidRPr="009059D5" w:rsidRDefault="009059D5" w:rsidP="00104BE3">
            <w:pPr>
              <w:jc w:val="right"/>
              <w:rPr>
                <w:rFonts w:ascii="Arial" w:hAnsi="Arial" w:cs="Arial"/>
                <w:szCs w:val="24"/>
              </w:rPr>
            </w:pPr>
            <w:r w:rsidRPr="009059D5">
              <w:rPr>
                <w:rFonts w:ascii="Arial" w:hAnsi="Arial" w:cs="Arial"/>
                <w:szCs w:val="24"/>
              </w:rPr>
              <w:t xml:space="preserve">         968,675</w:t>
            </w:r>
          </w:p>
        </w:tc>
        <w:tc>
          <w:tcPr>
            <w:tcW w:w="270" w:type="dxa"/>
            <w:tcBorders>
              <w:top w:val="nil"/>
              <w:left w:val="nil"/>
              <w:bottom w:val="nil"/>
              <w:right w:val="nil"/>
            </w:tcBorders>
          </w:tcPr>
          <w:p w14:paraId="448B82C0" w14:textId="77777777" w:rsidR="009059D5" w:rsidRPr="009059D5" w:rsidRDefault="009059D5" w:rsidP="00DF7BE0">
            <w:pPr>
              <w:jc w:val="center"/>
              <w:rPr>
                <w:rFonts w:ascii="Arial" w:hAnsi="Arial" w:cs="Arial"/>
                <w:szCs w:val="24"/>
              </w:rPr>
            </w:pPr>
          </w:p>
        </w:tc>
        <w:tc>
          <w:tcPr>
            <w:tcW w:w="2070" w:type="dxa"/>
            <w:tcBorders>
              <w:top w:val="nil"/>
              <w:left w:val="nil"/>
              <w:bottom w:val="single" w:sz="4" w:space="0" w:color="auto"/>
              <w:right w:val="nil"/>
            </w:tcBorders>
            <w:vAlign w:val="bottom"/>
          </w:tcPr>
          <w:p w14:paraId="3723E5BA" w14:textId="77777777" w:rsidR="009059D5" w:rsidRPr="009059D5" w:rsidRDefault="009059D5" w:rsidP="00263961">
            <w:pPr>
              <w:ind w:right="78"/>
              <w:jc w:val="right"/>
              <w:rPr>
                <w:rFonts w:ascii="Arial" w:hAnsi="Arial" w:cs="Arial"/>
                <w:szCs w:val="24"/>
              </w:rPr>
            </w:pPr>
            <w:r w:rsidRPr="009059D5">
              <w:rPr>
                <w:rFonts w:ascii="Arial" w:hAnsi="Arial" w:cs="Arial"/>
                <w:szCs w:val="24"/>
              </w:rPr>
              <w:t xml:space="preserve">       766,266</w:t>
            </w:r>
          </w:p>
        </w:tc>
      </w:tr>
      <w:tr w:rsidR="00901DE1" w:rsidRPr="002C61BD" w14:paraId="46FEEF30" w14:textId="77777777" w:rsidTr="00475C15">
        <w:trPr>
          <w:trHeight w:val="144"/>
          <w:jc w:val="center"/>
        </w:trPr>
        <w:tc>
          <w:tcPr>
            <w:tcW w:w="2070" w:type="dxa"/>
            <w:tcBorders>
              <w:top w:val="nil"/>
              <w:left w:val="nil"/>
              <w:bottom w:val="nil"/>
              <w:right w:val="nil"/>
            </w:tcBorders>
            <w:shd w:val="clear" w:color="auto" w:fill="auto"/>
            <w:noWrap/>
            <w:vAlign w:val="bottom"/>
          </w:tcPr>
          <w:p w14:paraId="2BD6E1B9" w14:textId="77777777" w:rsidR="00901DE1" w:rsidRPr="002C61BD" w:rsidRDefault="00901DE1" w:rsidP="008834DF">
            <w:pPr>
              <w:rPr>
                <w:rFonts w:ascii="Arial" w:hAnsi="Arial" w:cs="Arial"/>
                <w:szCs w:val="24"/>
              </w:rPr>
            </w:pPr>
          </w:p>
        </w:tc>
        <w:tc>
          <w:tcPr>
            <w:tcW w:w="270" w:type="dxa"/>
            <w:tcBorders>
              <w:top w:val="nil"/>
              <w:left w:val="nil"/>
              <w:bottom w:val="nil"/>
              <w:right w:val="nil"/>
            </w:tcBorders>
          </w:tcPr>
          <w:p w14:paraId="6D9E3478" w14:textId="77777777" w:rsidR="00901DE1" w:rsidRPr="00BB35D7" w:rsidRDefault="00901DE1" w:rsidP="00BB35D7">
            <w:pPr>
              <w:jc w:val="center"/>
              <w:rPr>
                <w:rFonts w:ascii="Arial" w:hAnsi="Arial" w:cs="Arial"/>
                <w:szCs w:val="24"/>
                <w:u w:val="single"/>
              </w:rPr>
            </w:pPr>
          </w:p>
        </w:tc>
        <w:tc>
          <w:tcPr>
            <w:tcW w:w="2070" w:type="dxa"/>
            <w:tcBorders>
              <w:top w:val="single" w:sz="4" w:space="0" w:color="auto"/>
              <w:left w:val="nil"/>
              <w:right w:val="nil"/>
            </w:tcBorders>
            <w:shd w:val="clear" w:color="auto" w:fill="auto"/>
            <w:noWrap/>
            <w:vAlign w:val="bottom"/>
          </w:tcPr>
          <w:p w14:paraId="694FDD9F" w14:textId="77777777" w:rsidR="00901DE1" w:rsidRPr="009059D5" w:rsidRDefault="00901DE1" w:rsidP="008834DF">
            <w:pPr>
              <w:jc w:val="right"/>
              <w:rPr>
                <w:rFonts w:ascii="Arial" w:hAnsi="Arial" w:cs="Arial"/>
                <w:szCs w:val="24"/>
              </w:rPr>
            </w:pPr>
          </w:p>
        </w:tc>
        <w:tc>
          <w:tcPr>
            <w:tcW w:w="270" w:type="dxa"/>
            <w:tcBorders>
              <w:top w:val="nil"/>
              <w:left w:val="nil"/>
              <w:bottom w:val="nil"/>
              <w:right w:val="nil"/>
            </w:tcBorders>
          </w:tcPr>
          <w:p w14:paraId="37F60AAF" w14:textId="77777777" w:rsidR="00901DE1" w:rsidRPr="009059D5" w:rsidRDefault="00901DE1" w:rsidP="00BB35D7">
            <w:pPr>
              <w:ind w:right="-73"/>
              <w:jc w:val="center"/>
              <w:rPr>
                <w:rFonts w:ascii="Arial" w:hAnsi="Arial" w:cs="Arial"/>
                <w:szCs w:val="24"/>
              </w:rPr>
            </w:pPr>
          </w:p>
        </w:tc>
        <w:tc>
          <w:tcPr>
            <w:tcW w:w="2160" w:type="dxa"/>
            <w:tcBorders>
              <w:top w:val="single" w:sz="4" w:space="0" w:color="auto"/>
              <w:left w:val="nil"/>
              <w:right w:val="nil"/>
            </w:tcBorders>
            <w:vAlign w:val="bottom"/>
          </w:tcPr>
          <w:p w14:paraId="7504A0F4" w14:textId="77777777" w:rsidR="00901DE1" w:rsidRPr="009059D5" w:rsidRDefault="00901DE1" w:rsidP="008834DF">
            <w:pPr>
              <w:ind w:right="-73"/>
              <w:jc w:val="right"/>
              <w:rPr>
                <w:rFonts w:ascii="Arial" w:hAnsi="Arial" w:cs="Arial"/>
                <w:szCs w:val="24"/>
              </w:rPr>
            </w:pPr>
          </w:p>
        </w:tc>
        <w:tc>
          <w:tcPr>
            <w:tcW w:w="270" w:type="dxa"/>
            <w:tcBorders>
              <w:top w:val="nil"/>
              <w:left w:val="nil"/>
              <w:bottom w:val="nil"/>
              <w:right w:val="nil"/>
            </w:tcBorders>
          </w:tcPr>
          <w:p w14:paraId="4D9FB87C" w14:textId="77777777" w:rsidR="00901DE1" w:rsidRPr="009059D5" w:rsidRDefault="00901DE1" w:rsidP="00DF7BE0">
            <w:pPr>
              <w:jc w:val="center"/>
              <w:rPr>
                <w:rFonts w:ascii="Arial" w:hAnsi="Arial" w:cs="Arial"/>
                <w:szCs w:val="24"/>
              </w:rPr>
            </w:pPr>
          </w:p>
        </w:tc>
        <w:tc>
          <w:tcPr>
            <w:tcW w:w="2070" w:type="dxa"/>
            <w:tcBorders>
              <w:top w:val="single" w:sz="4" w:space="0" w:color="auto"/>
              <w:left w:val="nil"/>
              <w:right w:val="nil"/>
            </w:tcBorders>
            <w:vAlign w:val="bottom"/>
          </w:tcPr>
          <w:p w14:paraId="03755307" w14:textId="77777777" w:rsidR="00901DE1" w:rsidRPr="009059D5" w:rsidRDefault="00901DE1" w:rsidP="008834DF">
            <w:pPr>
              <w:jc w:val="right"/>
              <w:rPr>
                <w:rFonts w:ascii="Arial" w:hAnsi="Arial" w:cs="Arial"/>
                <w:szCs w:val="24"/>
              </w:rPr>
            </w:pPr>
          </w:p>
        </w:tc>
      </w:tr>
      <w:tr w:rsidR="009059D5" w:rsidRPr="002C61BD" w14:paraId="72911E88" w14:textId="77777777" w:rsidTr="00475C15">
        <w:trPr>
          <w:trHeight w:val="288"/>
          <w:jc w:val="center"/>
        </w:trPr>
        <w:tc>
          <w:tcPr>
            <w:tcW w:w="2070" w:type="dxa"/>
            <w:tcBorders>
              <w:top w:val="nil"/>
              <w:left w:val="nil"/>
              <w:bottom w:val="nil"/>
              <w:right w:val="nil"/>
            </w:tcBorders>
            <w:shd w:val="clear" w:color="auto" w:fill="auto"/>
            <w:noWrap/>
            <w:vAlign w:val="bottom"/>
          </w:tcPr>
          <w:p w14:paraId="3D2ACE64" w14:textId="77777777" w:rsidR="009059D5" w:rsidRPr="002C61BD" w:rsidRDefault="009059D5" w:rsidP="009D0E10">
            <w:pPr>
              <w:rPr>
                <w:rFonts w:ascii="Arial" w:hAnsi="Arial" w:cs="Arial"/>
                <w:szCs w:val="24"/>
              </w:rPr>
            </w:pPr>
            <w:r>
              <w:rPr>
                <w:rFonts w:ascii="Arial" w:hAnsi="Arial" w:cs="Arial"/>
                <w:szCs w:val="24"/>
              </w:rPr>
              <w:t xml:space="preserve">     </w:t>
            </w:r>
            <w:r w:rsidRPr="002C61BD">
              <w:rPr>
                <w:rFonts w:ascii="Arial" w:hAnsi="Arial" w:cs="Arial"/>
                <w:szCs w:val="24"/>
              </w:rPr>
              <w:t>Total</w:t>
            </w:r>
          </w:p>
        </w:tc>
        <w:tc>
          <w:tcPr>
            <w:tcW w:w="270" w:type="dxa"/>
            <w:tcBorders>
              <w:top w:val="nil"/>
              <w:left w:val="nil"/>
              <w:bottom w:val="nil"/>
              <w:right w:val="nil"/>
            </w:tcBorders>
          </w:tcPr>
          <w:p w14:paraId="2E3CB6E2" w14:textId="77777777" w:rsidR="009059D5" w:rsidRPr="00BB35D7" w:rsidRDefault="009059D5" w:rsidP="001A778A">
            <w:pPr>
              <w:jc w:val="center"/>
              <w:rPr>
                <w:rFonts w:ascii="Arial" w:hAnsi="Arial" w:cs="Arial"/>
                <w:szCs w:val="24"/>
                <w:u w:val="double"/>
              </w:rPr>
            </w:pPr>
          </w:p>
        </w:tc>
        <w:tc>
          <w:tcPr>
            <w:tcW w:w="2070" w:type="dxa"/>
            <w:tcBorders>
              <w:left w:val="nil"/>
              <w:bottom w:val="double" w:sz="4" w:space="0" w:color="auto"/>
              <w:right w:val="nil"/>
            </w:tcBorders>
            <w:shd w:val="clear" w:color="auto" w:fill="auto"/>
            <w:noWrap/>
            <w:vAlign w:val="bottom"/>
          </w:tcPr>
          <w:p w14:paraId="6A40CCCC" w14:textId="77777777" w:rsidR="009059D5" w:rsidRPr="009059D5" w:rsidRDefault="009059D5" w:rsidP="008834DF">
            <w:pPr>
              <w:jc w:val="right"/>
              <w:rPr>
                <w:rFonts w:ascii="Arial" w:hAnsi="Arial" w:cs="Arial"/>
                <w:szCs w:val="24"/>
              </w:rPr>
            </w:pPr>
            <w:r w:rsidRPr="009059D5">
              <w:rPr>
                <w:rFonts w:ascii="Arial" w:hAnsi="Arial" w:cs="Arial"/>
                <w:szCs w:val="24"/>
              </w:rPr>
              <w:t>$ 244,004,456</w:t>
            </w:r>
          </w:p>
        </w:tc>
        <w:tc>
          <w:tcPr>
            <w:tcW w:w="270" w:type="dxa"/>
            <w:tcBorders>
              <w:top w:val="nil"/>
              <w:left w:val="nil"/>
              <w:bottom w:val="nil"/>
              <w:right w:val="nil"/>
            </w:tcBorders>
          </w:tcPr>
          <w:p w14:paraId="52FDA000" w14:textId="77777777" w:rsidR="009059D5" w:rsidRPr="009059D5" w:rsidRDefault="009059D5" w:rsidP="004F21DE">
            <w:pPr>
              <w:jc w:val="center"/>
              <w:rPr>
                <w:rFonts w:ascii="Arial" w:hAnsi="Arial" w:cs="Arial"/>
                <w:szCs w:val="24"/>
              </w:rPr>
            </w:pPr>
          </w:p>
        </w:tc>
        <w:tc>
          <w:tcPr>
            <w:tcW w:w="2160" w:type="dxa"/>
            <w:tcBorders>
              <w:left w:val="nil"/>
              <w:bottom w:val="double" w:sz="4" w:space="0" w:color="auto"/>
              <w:right w:val="nil"/>
            </w:tcBorders>
            <w:vAlign w:val="bottom"/>
          </w:tcPr>
          <w:p w14:paraId="66EFFD6F" w14:textId="77777777" w:rsidR="009059D5" w:rsidRPr="009059D5" w:rsidRDefault="009059D5" w:rsidP="008834DF">
            <w:pPr>
              <w:jc w:val="right"/>
              <w:rPr>
                <w:rFonts w:ascii="Arial" w:hAnsi="Arial" w:cs="Arial"/>
                <w:szCs w:val="24"/>
              </w:rPr>
            </w:pPr>
            <w:r w:rsidRPr="009059D5">
              <w:rPr>
                <w:rFonts w:ascii="Arial" w:hAnsi="Arial" w:cs="Arial"/>
                <w:szCs w:val="24"/>
              </w:rPr>
              <w:t>$</w:t>
            </w:r>
            <w:r w:rsidR="00475C15">
              <w:rPr>
                <w:rFonts w:ascii="Arial" w:hAnsi="Arial" w:cs="Arial"/>
                <w:szCs w:val="24"/>
              </w:rPr>
              <w:t xml:space="preserve"> </w:t>
            </w:r>
            <w:r w:rsidRPr="009059D5">
              <w:rPr>
                <w:rFonts w:ascii="Arial" w:hAnsi="Arial" w:cs="Arial"/>
                <w:szCs w:val="24"/>
              </w:rPr>
              <w:t>207,914,273</w:t>
            </w:r>
          </w:p>
        </w:tc>
        <w:tc>
          <w:tcPr>
            <w:tcW w:w="270" w:type="dxa"/>
            <w:tcBorders>
              <w:top w:val="nil"/>
              <w:left w:val="nil"/>
              <w:bottom w:val="nil"/>
              <w:right w:val="nil"/>
            </w:tcBorders>
          </w:tcPr>
          <w:p w14:paraId="1FDA7892" w14:textId="77777777" w:rsidR="009059D5" w:rsidRPr="009059D5" w:rsidRDefault="009059D5" w:rsidP="00BB35D7">
            <w:pPr>
              <w:jc w:val="center"/>
              <w:rPr>
                <w:rFonts w:ascii="Arial" w:hAnsi="Arial" w:cs="Arial"/>
                <w:szCs w:val="24"/>
              </w:rPr>
            </w:pPr>
          </w:p>
        </w:tc>
        <w:tc>
          <w:tcPr>
            <w:tcW w:w="2070" w:type="dxa"/>
            <w:tcBorders>
              <w:left w:val="nil"/>
              <w:bottom w:val="double" w:sz="4" w:space="0" w:color="auto"/>
              <w:right w:val="nil"/>
            </w:tcBorders>
            <w:vAlign w:val="bottom"/>
          </w:tcPr>
          <w:p w14:paraId="1B504C70" w14:textId="77777777" w:rsidR="009059D5" w:rsidRPr="009059D5" w:rsidRDefault="009059D5" w:rsidP="00263961">
            <w:pPr>
              <w:ind w:right="78"/>
              <w:jc w:val="right"/>
              <w:rPr>
                <w:rFonts w:ascii="Arial" w:hAnsi="Arial" w:cs="Arial"/>
                <w:szCs w:val="24"/>
              </w:rPr>
            </w:pPr>
            <w:r w:rsidRPr="009059D5">
              <w:rPr>
                <w:rFonts w:ascii="Arial" w:hAnsi="Arial" w:cs="Arial"/>
                <w:szCs w:val="24"/>
              </w:rPr>
              <w:t xml:space="preserve"> $ 36,090,183</w:t>
            </w:r>
          </w:p>
        </w:tc>
      </w:tr>
    </w:tbl>
    <w:p w14:paraId="444D29F0" w14:textId="77777777" w:rsidR="006034E3" w:rsidRPr="002C61BD" w:rsidRDefault="006034E3" w:rsidP="00BB35D7">
      <w:pPr>
        <w:tabs>
          <w:tab w:val="center" w:pos="4680"/>
        </w:tabs>
        <w:suppressAutoHyphens/>
        <w:rPr>
          <w:rFonts w:ascii="Arial" w:hAnsi="Arial" w:cs="Arial"/>
          <w:sz w:val="22"/>
          <w:szCs w:val="22"/>
        </w:rPr>
      </w:pPr>
    </w:p>
    <w:p w14:paraId="5F4EB0A1" w14:textId="77777777" w:rsidR="006034E3" w:rsidRPr="002C61BD" w:rsidRDefault="006034E3" w:rsidP="006034E3">
      <w:pPr>
        <w:tabs>
          <w:tab w:val="center" w:pos="4680"/>
        </w:tabs>
        <w:suppressAutoHyphens/>
        <w:rPr>
          <w:rFonts w:ascii="Arial" w:hAnsi="Arial" w:cs="Arial"/>
          <w:szCs w:val="24"/>
        </w:rPr>
      </w:pPr>
    </w:p>
    <w:p w14:paraId="68DB0586" w14:textId="77777777" w:rsidR="002A5207" w:rsidRPr="002C61BD" w:rsidRDefault="002A5207" w:rsidP="006034E3">
      <w:pPr>
        <w:tabs>
          <w:tab w:val="center" w:pos="4680"/>
        </w:tabs>
        <w:suppressAutoHyphens/>
        <w:rPr>
          <w:rFonts w:ascii="Arial" w:hAnsi="Arial" w:cs="Arial"/>
          <w:szCs w:val="24"/>
        </w:rPr>
      </w:pPr>
    </w:p>
    <w:p w14:paraId="356FDB3E" w14:textId="77777777" w:rsidR="00E40CFE" w:rsidRPr="00E40CFE" w:rsidRDefault="00E40CFE" w:rsidP="00E40CFE">
      <w:pPr>
        <w:tabs>
          <w:tab w:val="center" w:pos="4680"/>
        </w:tabs>
        <w:suppressAutoHyphens/>
        <w:rPr>
          <w:rFonts w:ascii="Arial" w:hAnsi="Arial" w:cs="Arial"/>
          <w:sz w:val="16"/>
          <w:szCs w:val="16"/>
        </w:rPr>
      </w:pPr>
    </w:p>
    <w:p w14:paraId="1F3AB324" w14:textId="77777777" w:rsidR="00E40CFE" w:rsidRPr="00E40CFE" w:rsidRDefault="00E40CFE" w:rsidP="00E40CFE">
      <w:pPr>
        <w:tabs>
          <w:tab w:val="center" w:pos="4680"/>
        </w:tabs>
        <w:suppressAutoHyphens/>
        <w:rPr>
          <w:rFonts w:ascii="Arial" w:hAnsi="Arial" w:cs="Arial"/>
          <w:sz w:val="16"/>
          <w:szCs w:val="16"/>
        </w:rPr>
      </w:pPr>
      <w:r w:rsidRPr="00E40CFE">
        <w:rPr>
          <w:rFonts w:ascii="Arial" w:hAnsi="Arial" w:cs="Arial"/>
          <w:sz w:val="16"/>
          <w:szCs w:val="16"/>
        </w:rPr>
        <w:t xml:space="preserve">* </w:t>
      </w:r>
    </w:p>
    <w:p w14:paraId="29F728D9" w14:textId="77777777" w:rsidR="00E40CFE" w:rsidRPr="00E40CFE" w:rsidRDefault="00E40CFE" w:rsidP="00E40CFE">
      <w:pPr>
        <w:tabs>
          <w:tab w:val="center" w:pos="4680"/>
        </w:tabs>
        <w:suppressAutoHyphens/>
        <w:rPr>
          <w:rFonts w:ascii="Arial" w:hAnsi="Arial" w:cs="Arial"/>
          <w:sz w:val="16"/>
          <w:szCs w:val="16"/>
        </w:rPr>
      </w:pPr>
    </w:p>
    <w:p w14:paraId="09E6CC3A" w14:textId="77777777" w:rsidR="00E40CFE" w:rsidRPr="00E40CFE" w:rsidRDefault="00E40CFE" w:rsidP="00E40CFE">
      <w:pPr>
        <w:tabs>
          <w:tab w:val="center" w:pos="4680"/>
        </w:tabs>
        <w:suppressAutoHyphens/>
        <w:rPr>
          <w:rFonts w:ascii="Arial" w:hAnsi="Arial" w:cs="Arial"/>
          <w:sz w:val="16"/>
          <w:szCs w:val="16"/>
        </w:rPr>
      </w:pPr>
    </w:p>
    <w:p w14:paraId="763573CE" w14:textId="77777777" w:rsidR="00DE100D" w:rsidRDefault="00DE100D" w:rsidP="006034E3">
      <w:pPr>
        <w:tabs>
          <w:tab w:val="center" w:pos="4680"/>
        </w:tabs>
        <w:suppressAutoHyphens/>
        <w:rPr>
          <w:rFonts w:ascii="Arial" w:hAnsi="Arial" w:cs="Arial"/>
          <w:szCs w:val="24"/>
        </w:rPr>
      </w:pPr>
    </w:p>
    <w:p w14:paraId="7BA8A283" w14:textId="77777777" w:rsidR="00DE100D" w:rsidRDefault="00DE100D" w:rsidP="006034E3">
      <w:pPr>
        <w:tabs>
          <w:tab w:val="center" w:pos="4680"/>
        </w:tabs>
        <w:suppressAutoHyphens/>
        <w:rPr>
          <w:rFonts w:ascii="Arial" w:hAnsi="Arial" w:cs="Arial"/>
          <w:szCs w:val="24"/>
        </w:rPr>
      </w:pPr>
    </w:p>
    <w:p w14:paraId="0F6F8563" w14:textId="77777777" w:rsidR="00DE100D" w:rsidRDefault="00DE100D" w:rsidP="006034E3">
      <w:pPr>
        <w:tabs>
          <w:tab w:val="center" w:pos="4680"/>
        </w:tabs>
        <w:suppressAutoHyphens/>
        <w:rPr>
          <w:rFonts w:ascii="Arial" w:hAnsi="Arial" w:cs="Arial"/>
          <w:szCs w:val="24"/>
        </w:rPr>
      </w:pPr>
    </w:p>
    <w:p w14:paraId="445CDBF0" w14:textId="77777777" w:rsidR="00DE100D" w:rsidRDefault="00DE100D" w:rsidP="006034E3">
      <w:pPr>
        <w:tabs>
          <w:tab w:val="center" w:pos="4680"/>
        </w:tabs>
        <w:suppressAutoHyphens/>
        <w:rPr>
          <w:rFonts w:ascii="Arial" w:hAnsi="Arial" w:cs="Arial"/>
          <w:szCs w:val="24"/>
        </w:rPr>
      </w:pPr>
    </w:p>
    <w:p w14:paraId="396E7023" w14:textId="77777777" w:rsidR="00DE100D" w:rsidRDefault="00DE100D" w:rsidP="006034E3">
      <w:pPr>
        <w:tabs>
          <w:tab w:val="center" w:pos="4680"/>
        </w:tabs>
        <w:suppressAutoHyphens/>
        <w:rPr>
          <w:rFonts w:ascii="Arial" w:hAnsi="Arial" w:cs="Arial"/>
          <w:szCs w:val="24"/>
        </w:rPr>
      </w:pPr>
    </w:p>
    <w:p w14:paraId="5CD0C269" w14:textId="77777777" w:rsidR="00DE100D" w:rsidRDefault="00DE100D" w:rsidP="006034E3">
      <w:pPr>
        <w:tabs>
          <w:tab w:val="center" w:pos="4680"/>
        </w:tabs>
        <w:suppressAutoHyphens/>
        <w:rPr>
          <w:rFonts w:ascii="Arial" w:hAnsi="Arial" w:cs="Arial"/>
          <w:szCs w:val="24"/>
        </w:rPr>
      </w:pPr>
    </w:p>
    <w:p w14:paraId="4FBF0BDD" w14:textId="77777777" w:rsidR="00DE100D" w:rsidRDefault="00DE100D" w:rsidP="006034E3">
      <w:pPr>
        <w:tabs>
          <w:tab w:val="center" w:pos="4680"/>
        </w:tabs>
        <w:suppressAutoHyphens/>
        <w:rPr>
          <w:rFonts w:ascii="Arial" w:hAnsi="Arial" w:cs="Arial"/>
          <w:szCs w:val="24"/>
        </w:rPr>
      </w:pPr>
    </w:p>
    <w:p w14:paraId="6F36EF54" w14:textId="77777777" w:rsidR="00DE100D" w:rsidRDefault="00DE100D" w:rsidP="006034E3">
      <w:pPr>
        <w:tabs>
          <w:tab w:val="center" w:pos="4680"/>
        </w:tabs>
        <w:suppressAutoHyphens/>
        <w:rPr>
          <w:rFonts w:ascii="Arial" w:hAnsi="Arial" w:cs="Arial"/>
          <w:szCs w:val="24"/>
        </w:rPr>
      </w:pPr>
    </w:p>
    <w:p w14:paraId="298865C0" w14:textId="77777777" w:rsidR="00DE100D" w:rsidRDefault="00DE100D" w:rsidP="006034E3">
      <w:pPr>
        <w:tabs>
          <w:tab w:val="center" w:pos="4680"/>
        </w:tabs>
        <w:suppressAutoHyphens/>
        <w:rPr>
          <w:rFonts w:ascii="Arial" w:hAnsi="Arial" w:cs="Arial"/>
          <w:szCs w:val="24"/>
        </w:rPr>
      </w:pPr>
    </w:p>
    <w:p w14:paraId="70B43084" w14:textId="77777777" w:rsidR="00DE100D" w:rsidRDefault="00DE100D" w:rsidP="006034E3">
      <w:pPr>
        <w:tabs>
          <w:tab w:val="center" w:pos="4680"/>
        </w:tabs>
        <w:suppressAutoHyphens/>
        <w:rPr>
          <w:rFonts w:ascii="Arial" w:hAnsi="Arial" w:cs="Arial"/>
          <w:szCs w:val="24"/>
        </w:rPr>
      </w:pPr>
    </w:p>
    <w:p w14:paraId="4BB639E1" w14:textId="77777777" w:rsidR="00DE100D" w:rsidRDefault="00DE100D" w:rsidP="006034E3">
      <w:pPr>
        <w:tabs>
          <w:tab w:val="center" w:pos="4680"/>
        </w:tabs>
        <w:suppressAutoHyphens/>
        <w:rPr>
          <w:rFonts w:ascii="Arial" w:hAnsi="Arial" w:cs="Arial"/>
          <w:szCs w:val="24"/>
        </w:rPr>
      </w:pPr>
    </w:p>
    <w:p w14:paraId="28D74561" w14:textId="77777777" w:rsidR="00DE100D" w:rsidRDefault="00DE100D" w:rsidP="006034E3">
      <w:pPr>
        <w:tabs>
          <w:tab w:val="center" w:pos="4680"/>
        </w:tabs>
        <w:suppressAutoHyphens/>
        <w:rPr>
          <w:rFonts w:ascii="Arial" w:hAnsi="Arial" w:cs="Arial"/>
          <w:szCs w:val="24"/>
        </w:rPr>
      </w:pPr>
    </w:p>
    <w:p w14:paraId="658D6F81" w14:textId="77777777" w:rsidR="00DE100D" w:rsidRDefault="00DE100D" w:rsidP="006034E3">
      <w:pPr>
        <w:tabs>
          <w:tab w:val="center" w:pos="4680"/>
        </w:tabs>
        <w:suppressAutoHyphens/>
        <w:rPr>
          <w:rFonts w:ascii="Arial" w:hAnsi="Arial" w:cs="Arial"/>
          <w:szCs w:val="24"/>
        </w:rPr>
      </w:pPr>
    </w:p>
    <w:p w14:paraId="38BC393F" w14:textId="77777777" w:rsidR="00CB7699" w:rsidRPr="002C61BD" w:rsidRDefault="00CB7699" w:rsidP="006034E3">
      <w:pPr>
        <w:tabs>
          <w:tab w:val="center" w:pos="4680"/>
        </w:tabs>
        <w:suppressAutoHyphens/>
        <w:rPr>
          <w:rFonts w:ascii="Arial" w:hAnsi="Arial" w:cs="Arial"/>
          <w:szCs w:val="24"/>
        </w:rPr>
        <w:sectPr w:rsidR="00CB7699" w:rsidRPr="002C61BD" w:rsidSect="009D2B2E">
          <w:headerReference w:type="even" r:id="rId20"/>
          <w:headerReference w:type="default" r:id="rId21"/>
          <w:footerReference w:type="default" r:id="rId22"/>
          <w:headerReference w:type="first" r:id="rId23"/>
          <w:endnotePr>
            <w:numFmt w:val="decimal"/>
          </w:endnotePr>
          <w:pgSz w:w="12240" w:h="15840" w:code="1"/>
          <w:pgMar w:top="1440" w:right="1440" w:bottom="1440" w:left="1440" w:header="720" w:footer="720" w:gutter="0"/>
          <w:pgNumType w:fmt="numberInDash" w:start="3"/>
          <w:cols w:space="720"/>
          <w:noEndnote/>
          <w:docGrid w:linePitch="326"/>
        </w:sectPr>
      </w:pPr>
    </w:p>
    <w:p w14:paraId="27ED03A0" w14:textId="77777777" w:rsidR="007E0B70" w:rsidRPr="001D0DB6" w:rsidRDefault="007E0B70" w:rsidP="005A4B5E">
      <w:pPr>
        <w:pStyle w:val="Heading1"/>
        <w:rPr>
          <w:rFonts w:ascii="Arial" w:hAnsi="Arial" w:cs="Arial"/>
          <w:b w:val="0"/>
          <w:sz w:val="26"/>
          <w:szCs w:val="26"/>
          <w:u w:val="none"/>
        </w:rPr>
      </w:pPr>
      <w:r w:rsidRPr="00553451">
        <w:rPr>
          <w:rFonts w:ascii="Arial" w:hAnsi="Arial" w:cs="Arial"/>
          <w:sz w:val="26"/>
          <w:szCs w:val="26"/>
          <w:u w:val="none"/>
        </w:rPr>
        <w:lastRenderedPageBreak/>
        <w:t>Notes to the Financial Statement</w:t>
      </w:r>
    </w:p>
    <w:p w14:paraId="4AB0CD84" w14:textId="77777777" w:rsidR="004B51AF" w:rsidRPr="001D0DB6" w:rsidRDefault="004B51AF" w:rsidP="005B56C7">
      <w:pPr>
        <w:rPr>
          <w:rFonts w:ascii="Arial" w:hAnsi="Arial" w:cs="Arial"/>
          <w:b/>
          <w:sz w:val="26"/>
          <w:szCs w:val="26"/>
          <w:u w:val="single"/>
        </w:rPr>
      </w:pPr>
    </w:p>
    <w:p w14:paraId="7BC92A39" w14:textId="77777777" w:rsidR="005A4B5E" w:rsidRPr="002C61BD" w:rsidRDefault="005A4B5E" w:rsidP="005A4B5E">
      <w:pPr>
        <w:tabs>
          <w:tab w:val="left" w:pos="360"/>
        </w:tabs>
        <w:jc w:val="both"/>
        <w:rPr>
          <w:rFonts w:ascii="Arial" w:hAnsi="Arial" w:cs="Arial"/>
          <w:b/>
          <w:szCs w:val="24"/>
          <w:u w:val="single"/>
        </w:rPr>
      </w:pPr>
    </w:p>
    <w:p w14:paraId="6F65D4C6" w14:textId="77777777" w:rsidR="003D0F37" w:rsidRPr="00C21D21" w:rsidRDefault="003D0F37" w:rsidP="003D0F37">
      <w:pPr>
        <w:rPr>
          <w:rFonts w:ascii="Arial" w:hAnsi="Arial" w:cs="Arial"/>
          <w:b/>
          <w:szCs w:val="24"/>
          <w:u w:val="single"/>
        </w:rPr>
      </w:pPr>
      <w:r w:rsidRPr="00C21D21">
        <w:rPr>
          <w:rFonts w:ascii="Arial" w:hAnsi="Arial" w:cs="Arial"/>
          <w:b/>
          <w:szCs w:val="24"/>
          <w:u w:val="single"/>
        </w:rPr>
        <w:t>1</w:t>
      </w:r>
      <w:r w:rsidR="00193032" w:rsidRPr="00C21D21">
        <w:rPr>
          <w:rFonts w:ascii="Arial" w:hAnsi="Arial" w:cs="Arial"/>
          <w:b/>
          <w:szCs w:val="24"/>
          <w:u w:val="single"/>
        </w:rPr>
        <w:t xml:space="preserve"> </w:t>
      </w:r>
      <w:r w:rsidRPr="00C21D21">
        <w:rPr>
          <w:rFonts w:ascii="Arial" w:hAnsi="Arial" w:cs="Arial"/>
          <w:b/>
          <w:szCs w:val="24"/>
          <w:u w:val="single"/>
        </w:rPr>
        <w:t xml:space="preserve">- </w:t>
      </w:r>
      <w:r w:rsidR="001E31CB" w:rsidRPr="00C21D21">
        <w:rPr>
          <w:rFonts w:ascii="Arial" w:hAnsi="Arial" w:cs="Arial"/>
          <w:b/>
          <w:szCs w:val="24"/>
          <w:u w:val="single"/>
        </w:rPr>
        <w:t>Condensed Statement</w:t>
      </w:r>
    </w:p>
    <w:p w14:paraId="30A0AABD" w14:textId="77777777" w:rsidR="003D0F37" w:rsidRPr="002C61BD" w:rsidRDefault="003D0F37" w:rsidP="003D0F37">
      <w:pPr>
        <w:rPr>
          <w:rFonts w:ascii="Arial" w:hAnsi="Arial" w:cs="Arial"/>
          <w:b/>
          <w:szCs w:val="24"/>
          <w:u w:val="single"/>
        </w:rPr>
      </w:pPr>
    </w:p>
    <w:p w14:paraId="1EC2E36A" w14:textId="57EF1471" w:rsidR="005A4B5E" w:rsidRDefault="002127E2" w:rsidP="00DF6F35">
      <w:pPr>
        <w:ind w:left="360"/>
        <w:rPr>
          <w:rFonts w:ascii="Arial" w:hAnsi="Arial" w:cs="Arial"/>
          <w:szCs w:val="24"/>
        </w:rPr>
      </w:pPr>
      <w:r>
        <w:rPr>
          <w:rFonts w:ascii="Arial" w:hAnsi="Arial" w:cs="Arial"/>
          <w:szCs w:val="24"/>
        </w:rPr>
        <w:t xml:space="preserve">The Statement of Energy Efficiency and Conservation Program </w:t>
      </w:r>
      <w:r w:rsidR="0075756C">
        <w:rPr>
          <w:rFonts w:ascii="Arial" w:hAnsi="Arial" w:cs="Arial"/>
          <w:szCs w:val="24"/>
        </w:rPr>
        <w:t>Costs</w:t>
      </w:r>
      <w:r>
        <w:rPr>
          <w:rFonts w:ascii="Arial" w:hAnsi="Arial" w:cs="Arial"/>
          <w:szCs w:val="24"/>
        </w:rPr>
        <w:t xml:space="preserve"> (EEPC) </w:t>
      </w:r>
      <w:r w:rsidR="0075756C">
        <w:rPr>
          <w:rFonts w:ascii="Arial" w:hAnsi="Arial" w:cs="Arial"/>
          <w:szCs w:val="24"/>
        </w:rPr>
        <w:t xml:space="preserve">Phase II </w:t>
      </w:r>
      <w:r>
        <w:rPr>
          <w:rFonts w:ascii="Arial" w:hAnsi="Arial" w:cs="Arial"/>
          <w:szCs w:val="24"/>
        </w:rPr>
        <w:t xml:space="preserve">Over/(Under) Collections presented in this report is condensed from the officially filed statement </w:t>
      </w:r>
      <w:r w:rsidR="00C8428E">
        <w:rPr>
          <w:rFonts w:ascii="Arial" w:hAnsi="Arial" w:cs="Arial"/>
          <w:szCs w:val="24"/>
        </w:rPr>
        <w:t>for</w:t>
      </w:r>
      <w:r>
        <w:rPr>
          <w:rFonts w:ascii="Arial" w:hAnsi="Arial" w:cs="Arial"/>
          <w:szCs w:val="24"/>
        </w:rPr>
        <w:t xml:space="preserve"> clarity.  T</w:t>
      </w:r>
      <w:r w:rsidR="00591BEB">
        <w:rPr>
          <w:rFonts w:ascii="Arial" w:hAnsi="Arial" w:cs="Arial"/>
          <w:szCs w:val="24"/>
        </w:rPr>
        <w:t xml:space="preserve">he </w:t>
      </w:r>
      <w:r w:rsidR="004C005D">
        <w:rPr>
          <w:rFonts w:ascii="Arial" w:hAnsi="Arial" w:cs="Arial"/>
          <w:szCs w:val="24"/>
        </w:rPr>
        <w:t>a</w:t>
      </w:r>
      <w:r w:rsidR="00591BEB">
        <w:rPr>
          <w:rFonts w:ascii="Arial" w:hAnsi="Arial" w:cs="Arial"/>
          <w:szCs w:val="24"/>
        </w:rPr>
        <w:t>udit was conducted on PECO Energy Company’s (PECO)</w:t>
      </w:r>
      <w:r>
        <w:rPr>
          <w:rFonts w:ascii="Arial" w:hAnsi="Arial" w:cs="Arial"/>
          <w:szCs w:val="24"/>
        </w:rPr>
        <w:t xml:space="preserve"> officially filed 1307(e) </w:t>
      </w:r>
      <w:proofErr w:type="gramStart"/>
      <w:r>
        <w:rPr>
          <w:rFonts w:ascii="Arial" w:hAnsi="Arial" w:cs="Arial"/>
          <w:szCs w:val="24"/>
        </w:rPr>
        <w:t>statement</w:t>
      </w:r>
      <w:proofErr w:type="gramEnd"/>
      <w:r>
        <w:rPr>
          <w:rFonts w:ascii="Arial" w:hAnsi="Arial" w:cs="Arial"/>
          <w:szCs w:val="24"/>
        </w:rPr>
        <w:t xml:space="preserve"> submitted to the </w:t>
      </w:r>
      <w:r w:rsidR="00591BEB">
        <w:rPr>
          <w:rFonts w:ascii="Arial" w:hAnsi="Arial" w:cs="Arial"/>
          <w:szCs w:val="24"/>
        </w:rPr>
        <w:t xml:space="preserve">Pennsylvania Public Utility </w:t>
      </w:r>
      <w:r>
        <w:rPr>
          <w:rFonts w:ascii="Arial" w:hAnsi="Arial" w:cs="Arial"/>
          <w:szCs w:val="24"/>
        </w:rPr>
        <w:t>Commission</w:t>
      </w:r>
      <w:r w:rsidR="00591BEB">
        <w:rPr>
          <w:rFonts w:ascii="Arial" w:hAnsi="Arial" w:cs="Arial"/>
          <w:szCs w:val="24"/>
        </w:rPr>
        <w:t xml:space="preserve"> (PUC or Commission) in accordance with section 1307(e)(1) of the Public Utility Code</w:t>
      </w:r>
      <w:r>
        <w:rPr>
          <w:rFonts w:ascii="Arial" w:hAnsi="Arial" w:cs="Arial"/>
          <w:szCs w:val="24"/>
        </w:rPr>
        <w:t xml:space="preserve"> on </w:t>
      </w:r>
      <w:r w:rsidR="00920D26">
        <w:rPr>
          <w:rFonts w:ascii="Arial" w:hAnsi="Arial" w:cs="Arial"/>
          <w:szCs w:val="24"/>
        </w:rPr>
        <w:t xml:space="preserve">May 20, 2016 and </w:t>
      </w:r>
      <w:r w:rsidR="00A755AC" w:rsidRPr="00C4493C">
        <w:rPr>
          <w:rFonts w:ascii="Arial" w:hAnsi="Arial" w:cs="Arial"/>
          <w:szCs w:val="24"/>
        </w:rPr>
        <w:t xml:space="preserve">May </w:t>
      </w:r>
      <w:r w:rsidR="00E02C34">
        <w:rPr>
          <w:rFonts w:ascii="Arial" w:hAnsi="Arial" w:cs="Arial"/>
          <w:szCs w:val="24"/>
        </w:rPr>
        <w:t>31</w:t>
      </w:r>
      <w:r w:rsidR="00A755AC" w:rsidRPr="00C4493C">
        <w:rPr>
          <w:rFonts w:ascii="Arial" w:hAnsi="Arial" w:cs="Arial"/>
          <w:szCs w:val="24"/>
        </w:rPr>
        <w:t>, 2016</w:t>
      </w:r>
      <w:r w:rsidR="00DF6F35">
        <w:rPr>
          <w:rFonts w:ascii="Arial" w:hAnsi="Arial" w:cs="Arial"/>
          <w:szCs w:val="24"/>
        </w:rPr>
        <w:t>.  The statement is available on the PUC’s website (</w:t>
      </w:r>
      <w:hyperlink r:id="rId24" w:history="1">
        <w:r w:rsidR="00DF6F35" w:rsidRPr="00687826">
          <w:rPr>
            <w:rStyle w:val="Hyperlink"/>
            <w:rFonts w:ascii="Arial" w:hAnsi="Arial" w:cs="Arial"/>
            <w:szCs w:val="24"/>
          </w:rPr>
          <w:t>http://www.puc.pa.gov</w:t>
        </w:r>
      </w:hyperlink>
      <w:r w:rsidR="00DF6F35">
        <w:rPr>
          <w:rFonts w:ascii="Arial" w:hAnsi="Arial" w:cs="Arial"/>
          <w:szCs w:val="24"/>
        </w:rPr>
        <w:t>)</w:t>
      </w:r>
      <w:r w:rsidR="00DF6F35" w:rsidRPr="00131281">
        <w:rPr>
          <w:rFonts w:ascii="Arial" w:hAnsi="Arial" w:cs="Arial"/>
          <w:szCs w:val="24"/>
        </w:rPr>
        <w:t xml:space="preserve"> at Docket No</w:t>
      </w:r>
      <w:r w:rsidR="00DF6F35">
        <w:rPr>
          <w:rFonts w:ascii="Arial" w:hAnsi="Arial" w:cs="Arial"/>
          <w:szCs w:val="24"/>
        </w:rPr>
        <w:t>.</w:t>
      </w:r>
      <w:r w:rsidRPr="00C4493C">
        <w:rPr>
          <w:rFonts w:ascii="Arial" w:hAnsi="Arial" w:cs="Arial"/>
          <w:szCs w:val="24"/>
        </w:rPr>
        <w:t xml:space="preserve"> </w:t>
      </w:r>
      <w:r w:rsidR="00A755AC" w:rsidRPr="00C4493C">
        <w:rPr>
          <w:rFonts w:ascii="Arial" w:hAnsi="Arial" w:cs="Arial"/>
          <w:szCs w:val="24"/>
        </w:rPr>
        <w:t>M-2016-2546449</w:t>
      </w:r>
      <w:r w:rsidR="00DF6F35">
        <w:rPr>
          <w:rFonts w:ascii="Arial" w:hAnsi="Arial" w:cs="Arial"/>
          <w:szCs w:val="24"/>
        </w:rPr>
        <w:t>.</w:t>
      </w:r>
    </w:p>
    <w:p w14:paraId="359B0950" w14:textId="77777777" w:rsidR="00DF6F35" w:rsidRPr="002C61BD" w:rsidRDefault="00DF6F35" w:rsidP="00DF6F35">
      <w:pPr>
        <w:ind w:left="360"/>
        <w:rPr>
          <w:rFonts w:ascii="Arial" w:hAnsi="Arial" w:cs="Arial"/>
          <w:b/>
          <w:szCs w:val="24"/>
          <w:u w:val="single"/>
        </w:rPr>
      </w:pPr>
    </w:p>
    <w:p w14:paraId="17C1178F" w14:textId="77777777" w:rsidR="005A4B5E" w:rsidRPr="00C21D21" w:rsidRDefault="003D0F37" w:rsidP="005A4B5E">
      <w:pPr>
        <w:tabs>
          <w:tab w:val="left" w:pos="360"/>
        </w:tabs>
        <w:jc w:val="both"/>
        <w:rPr>
          <w:rFonts w:ascii="Arial" w:hAnsi="Arial" w:cs="Arial"/>
          <w:b/>
          <w:szCs w:val="24"/>
          <w:u w:val="single"/>
        </w:rPr>
      </w:pPr>
      <w:r w:rsidRPr="00C21D21">
        <w:rPr>
          <w:rFonts w:ascii="Arial" w:hAnsi="Arial" w:cs="Arial"/>
          <w:b/>
          <w:szCs w:val="24"/>
          <w:u w:val="single"/>
        </w:rPr>
        <w:t xml:space="preserve">2 </w:t>
      </w:r>
      <w:r w:rsidR="005A4B5E" w:rsidRPr="00C21D21">
        <w:rPr>
          <w:rFonts w:ascii="Arial" w:hAnsi="Arial" w:cs="Arial"/>
          <w:b/>
          <w:szCs w:val="24"/>
          <w:u w:val="single"/>
        </w:rPr>
        <w:t>-</w:t>
      </w:r>
      <w:r w:rsidR="005A4B5E" w:rsidRPr="00C21D21">
        <w:rPr>
          <w:rFonts w:ascii="Arial" w:hAnsi="Arial" w:cs="Arial"/>
          <w:b/>
          <w:szCs w:val="24"/>
          <w:u w:val="single"/>
        </w:rPr>
        <w:tab/>
      </w:r>
      <w:r w:rsidR="00D243EA" w:rsidRPr="00C21D21">
        <w:rPr>
          <w:rFonts w:ascii="Arial" w:hAnsi="Arial" w:cs="Arial"/>
          <w:b/>
          <w:szCs w:val="24"/>
          <w:u w:val="single"/>
        </w:rPr>
        <w:t>EEPC Revenue</w:t>
      </w:r>
    </w:p>
    <w:p w14:paraId="65B18617" w14:textId="77777777" w:rsidR="005A4B5E" w:rsidRPr="002C61BD" w:rsidRDefault="005A4B5E" w:rsidP="005A4B5E">
      <w:pPr>
        <w:tabs>
          <w:tab w:val="left" w:pos="360"/>
        </w:tabs>
        <w:jc w:val="both"/>
        <w:rPr>
          <w:rFonts w:ascii="Arial" w:hAnsi="Arial" w:cs="Arial"/>
          <w:b/>
          <w:szCs w:val="24"/>
          <w:u w:val="single"/>
        </w:rPr>
      </w:pPr>
    </w:p>
    <w:p w14:paraId="66720296" w14:textId="77777777" w:rsidR="00E90F3E" w:rsidRDefault="00E90F3E" w:rsidP="00E90F3E">
      <w:pPr>
        <w:tabs>
          <w:tab w:val="left" w:pos="360"/>
        </w:tabs>
        <w:ind w:left="360"/>
        <w:rPr>
          <w:rFonts w:ascii="Arial" w:hAnsi="Arial" w:cs="Arial"/>
          <w:szCs w:val="24"/>
        </w:rPr>
      </w:pPr>
      <w:r w:rsidRPr="00D62C56">
        <w:rPr>
          <w:rFonts w:ascii="Arial" w:hAnsi="Arial" w:cs="Arial"/>
          <w:szCs w:val="24"/>
        </w:rPr>
        <w:t>EEPC Revenue</w:t>
      </w:r>
      <w:r>
        <w:rPr>
          <w:rFonts w:ascii="Arial" w:hAnsi="Arial" w:cs="Arial"/>
          <w:szCs w:val="24"/>
        </w:rPr>
        <w:t xml:space="preserve"> is</w:t>
      </w:r>
      <w:r w:rsidRPr="00D62C56">
        <w:rPr>
          <w:rFonts w:ascii="Arial" w:hAnsi="Arial" w:cs="Arial"/>
          <w:szCs w:val="24"/>
        </w:rPr>
        <w:t xml:space="preserve"> </w:t>
      </w:r>
      <w:r w:rsidRPr="00245FAA">
        <w:rPr>
          <w:rFonts w:ascii="Arial" w:hAnsi="Arial" w:cs="Arial"/>
          <w:szCs w:val="24"/>
        </w:rPr>
        <w:t xml:space="preserve">derived </w:t>
      </w:r>
      <w:r>
        <w:rPr>
          <w:rFonts w:ascii="Arial" w:hAnsi="Arial" w:cs="Arial"/>
          <w:szCs w:val="24"/>
        </w:rPr>
        <w:t xml:space="preserve">by multiplying the sales volumes billed during the month by the applicable EEPC rate.  </w:t>
      </w:r>
      <w:r w:rsidRPr="00D62C56">
        <w:rPr>
          <w:rFonts w:ascii="Arial" w:hAnsi="Arial" w:cs="Arial"/>
          <w:szCs w:val="24"/>
        </w:rPr>
        <w:t>The EEPC applies to all Customers.</w:t>
      </w:r>
      <w:r w:rsidRPr="002C61BD">
        <w:rPr>
          <w:rFonts w:ascii="Arial" w:hAnsi="Arial" w:cs="Arial"/>
          <w:szCs w:val="24"/>
        </w:rPr>
        <w:t xml:space="preserve">  </w:t>
      </w:r>
    </w:p>
    <w:p w14:paraId="3EDA135A" w14:textId="77777777" w:rsidR="00B76FCC" w:rsidRPr="002C61BD" w:rsidRDefault="00B76FCC" w:rsidP="005A4B5E">
      <w:pPr>
        <w:tabs>
          <w:tab w:val="left" w:pos="360"/>
        </w:tabs>
        <w:ind w:left="360"/>
        <w:rPr>
          <w:rFonts w:ascii="Arial" w:hAnsi="Arial" w:cs="Arial"/>
          <w:szCs w:val="24"/>
        </w:rPr>
      </w:pPr>
    </w:p>
    <w:p w14:paraId="4F253BE3" w14:textId="32700C93" w:rsidR="005A4B5E" w:rsidRPr="00C21D21" w:rsidRDefault="003D0F37" w:rsidP="005A4B5E">
      <w:pPr>
        <w:pStyle w:val="EndnoteText"/>
        <w:tabs>
          <w:tab w:val="left" w:pos="360"/>
        </w:tabs>
        <w:suppressAutoHyphens/>
        <w:rPr>
          <w:rFonts w:ascii="Arial" w:hAnsi="Arial" w:cs="Arial"/>
          <w:b/>
          <w:szCs w:val="24"/>
          <w:u w:val="single"/>
        </w:rPr>
      </w:pPr>
      <w:r w:rsidRPr="00C21D21">
        <w:rPr>
          <w:rFonts w:ascii="Arial" w:hAnsi="Arial" w:cs="Arial"/>
          <w:b/>
          <w:szCs w:val="24"/>
          <w:u w:val="single"/>
        </w:rPr>
        <w:t xml:space="preserve">3 </w:t>
      </w:r>
      <w:r w:rsidR="005A4B5E" w:rsidRPr="00C21D21">
        <w:rPr>
          <w:rFonts w:ascii="Arial" w:hAnsi="Arial" w:cs="Arial"/>
          <w:b/>
          <w:szCs w:val="24"/>
          <w:u w:val="single"/>
        </w:rPr>
        <w:t>-</w:t>
      </w:r>
      <w:r w:rsidR="005A4B5E" w:rsidRPr="00C21D21">
        <w:rPr>
          <w:rFonts w:ascii="Arial" w:hAnsi="Arial" w:cs="Arial"/>
          <w:b/>
          <w:szCs w:val="24"/>
          <w:u w:val="single"/>
        </w:rPr>
        <w:tab/>
      </w:r>
      <w:r w:rsidR="00D243EA" w:rsidRPr="00C21D21">
        <w:rPr>
          <w:rFonts w:ascii="Arial" w:hAnsi="Arial" w:cs="Arial"/>
          <w:b/>
          <w:szCs w:val="24"/>
          <w:u w:val="single"/>
        </w:rPr>
        <w:t>EEPC</w:t>
      </w:r>
      <w:r w:rsidR="005A4B5E" w:rsidRPr="00C21D21">
        <w:rPr>
          <w:rFonts w:ascii="Arial" w:hAnsi="Arial" w:cs="Arial"/>
          <w:b/>
          <w:szCs w:val="24"/>
          <w:u w:val="single"/>
        </w:rPr>
        <w:t xml:space="preserve"> </w:t>
      </w:r>
      <w:r w:rsidR="00A4515D" w:rsidRPr="00C21D21">
        <w:rPr>
          <w:rFonts w:ascii="Arial" w:hAnsi="Arial" w:cs="Arial"/>
          <w:b/>
          <w:szCs w:val="24"/>
          <w:u w:val="single"/>
        </w:rPr>
        <w:t>Expense</w:t>
      </w:r>
      <w:r w:rsidR="009F7819">
        <w:rPr>
          <w:rFonts w:ascii="Arial" w:hAnsi="Arial" w:cs="Arial"/>
          <w:b/>
          <w:szCs w:val="24"/>
          <w:u w:val="single"/>
        </w:rPr>
        <w:t>s</w:t>
      </w:r>
      <w:r w:rsidR="005A4B5E" w:rsidRPr="00C21D21">
        <w:rPr>
          <w:rFonts w:ascii="Arial" w:hAnsi="Arial" w:cs="Arial"/>
          <w:b/>
          <w:szCs w:val="24"/>
          <w:u w:val="single"/>
        </w:rPr>
        <w:t xml:space="preserve"> </w:t>
      </w:r>
    </w:p>
    <w:p w14:paraId="62774549" w14:textId="77777777" w:rsidR="005A4B5E" w:rsidRPr="002C61BD" w:rsidRDefault="005A4B5E" w:rsidP="005A4B5E">
      <w:pPr>
        <w:tabs>
          <w:tab w:val="left" w:pos="360"/>
        </w:tabs>
        <w:ind w:left="360"/>
        <w:rPr>
          <w:rFonts w:ascii="Arial" w:hAnsi="Arial" w:cs="Arial"/>
          <w:szCs w:val="24"/>
        </w:rPr>
      </w:pPr>
    </w:p>
    <w:p w14:paraId="14A9E8D9" w14:textId="77777777" w:rsidR="009567A2" w:rsidRPr="002C61BD" w:rsidRDefault="009567A2" w:rsidP="009567A2">
      <w:pPr>
        <w:tabs>
          <w:tab w:val="left" w:pos="360"/>
        </w:tabs>
        <w:ind w:left="360"/>
        <w:rPr>
          <w:rFonts w:ascii="Arial" w:hAnsi="Arial" w:cs="Arial"/>
          <w:szCs w:val="24"/>
        </w:rPr>
      </w:pPr>
      <w:r w:rsidRPr="00B13816">
        <w:rPr>
          <w:rFonts w:ascii="Arial" w:hAnsi="Arial" w:cs="Arial"/>
          <w:szCs w:val="24"/>
        </w:rPr>
        <w:t xml:space="preserve">EEPC </w:t>
      </w:r>
      <w:r>
        <w:rPr>
          <w:rFonts w:ascii="Arial" w:hAnsi="Arial" w:cs="Arial"/>
          <w:szCs w:val="24"/>
        </w:rPr>
        <w:t>Expenses</w:t>
      </w:r>
      <w:r w:rsidRPr="00B13816">
        <w:rPr>
          <w:rFonts w:ascii="Arial" w:hAnsi="Arial" w:cs="Arial"/>
          <w:szCs w:val="24"/>
        </w:rPr>
        <w:t xml:space="preserve"> are the </w:t>
      </w:r>
      <w:r w:rsidR="00A00F76">
        <w:rPr>
          <w:rFonts w:ascii="Arial" w:hAnsi="Arial" w:cs="Arial"/>
          <w:szCs w:val="24"/>
        </w:rPr>
        <w:t xml:space="preserve">actual </w:t>
      </w:r>
      <w:r>
        <w:rPr>
          <w:rFonts w:ascii="Arial" w:hAnsi="Arial" w:cs="Arial"/>
          <w:szCs w:val="24"/>
        </w:rPr>
        <w:t>expenses</w:t>
      </w:r>
      <w:r w:rsidRPr="00B13816">
        <w:rPr>
          <w:rFonts w:ascii="Arial" w:hAnsi="Arial" w:cs="Arial"/>
          <w:szCs w:val="24"/>
        </w:rPr>
        <w:t xml:space="preserve"> incurred by </w:t>
      </w:r>
      <w:r w:rsidR="00A00F76">
        <w:rPr>
          <w:rFonts w:ascii="Arial" w:hAnsi="Arial" w:cs="Arial"/>
          <w:szCs w:val="24"/>
        </w:rPr>
        <w:t>PECO</w:t>
      </w:r>
      <w:r w:rsidRPr="00B13816">
        <w:rPr>
          <w:rFonts w:ascii="Arial" w:hAnsi="Arial" w:cs="Arial"/>
          <w:szCs w:val="24"/>
        </w:rPr>
        <w:t xml:space="preserve"> to meet the energy conservation targets established by the Pennsylvania General Assembly </w:t>
      </w:r>
      <w:r>
        <w:rPr>
          <w:rFonts w:ascii="Arial" w:hAnsi="Arial" w:cs="Arial"/>
          <w:szCs w:val="24"/>
        </w:rPr>
        <w:t>in Act 129 of 2008.</w:t>
      </w:r>
    </w:p>
    <w:p w14:paraId="555692D0" w14:textId="77777777" w:rsidR="009567A2" w:rsidRDefault="009567A2" w:rsidP="005A4B5E">
      <w:pPr>
        <w:tabs>
          <w:tab w:val="left" w:pos="360"/>
        </w:tabs>
        <w:ind w:left="360"/>
        <w:rPr>
          <w:rFonts w:ascii="Arial" w:hAnsi="Arial" w:cs="Arial"/>
          <w:szCs w:val="24"/>
        </w:rPr>
      </w:pPr>
    </w:p>
    <w:p w14:paraId="754B286D" w14:textId="77777777" w:rsidR="005A4B5E" w:rsidRPr="00C21D21" w:rsidRDefault="003D0F37" w:rsidP="005A4B5E">
      <w:pPr>
        <w:tabs>
          <w:tab w:val="left" w:pos="360"/>
        </w:tabs>
        <w:jc w:val="both"/>
        <w:rPr>
          <w:rFonts w:ascii="Arial" w:hAnsi="Arial" w:cs="Arial"/>
          <w:b/>
          <w:szCs w:val="24"/>
          <w:u w:val="single"/>
        </w:rPr>
      </w:pPr>
      <w:r w:rsidRPr="00C21D21">
        <w:rPr>
          <w:rFonts w:ascii="Arial" w:hAnsi="Arial" w:cs="Arial"/>
          <w:b/>
          <w:szCs w:val="24"/>
          <w:u w:val="single"/>
        </w:rPr>
        <w:t xml:space="preserve">4 </w:t>
      </w:r>
      <w:r w:rsidR="005A4B5E" w:rsidRPr="00C21D21">
        <w:rPr>
          <w:rFonts w:ascii="Arial" w:hAnsi="Arial" w:cs="Arial"/>
          <w:b/>
          <w:szCs w:val="24"/>
          <w:u w:val="single"/>
        </w:rPr>
        <w:t>-</w:t>
      </w:r>
      <w:r w:rsidR="005A4B5E" w:rsidRPr="00C21D21">
        <w:rPr>
          <w:rFonts w:ascii="Arial" w:hAnsi="Arial" w:cs="Arial"/>
          <w:b/>
          <w:szCs w:val="24"/>
          <w:u w:val="single"/>
        </w:rPr>
        <w:tab/>
        <w:t>Over/(Under) Collections</w:t>
      </w:r>
    </w:p>
    <w:p w14:paraId="5F5AC8E5" w14:textId="77777777" w:rsidR="005A4B5E" w:rsidRPr="002C61BD" w:rsidRDefault="005A4B5E" w:rsidP="005A4B5E">
      <w:pPr>
        <w:tabs>
          <w:tab w:val="left" w:pos="360"/>
        </w:tabs>
        <w:jc w:val="both"/>
        <w:rPr>
          <w:rFonts w:ascii="Arial" w:hAnsi="Arial" w:cs="Arial"/>
          <w:b/>
          <w:szCs w:val="24"/>
          <w:u w:val="single"/>
        </w:rPr>
      </w:pPr>
    </w:p>
    <w:p w14:paraId="38D9D73A" w14:textId="76FA3484" w:rsidR="005A4B5E" w:rsidRPr="00B13816" w:rsidRDefault="005A4B5E" w:rsidP="005A4B5E">
      <w:pPr>
        <w:pStyle w:val="EndnoteText"/>
        <w:tabs>
          <w:tab w:val="left" w:pos="-720"/>
        </w:tabs>
        <w:suppressAutoHyphens/>
        <w:ind w:left="360" w:hanging="720"/>
        <w:rPr>
          <w:rFonts w:ascii="Arial" w:hAnsi="Arial" w:cs="Arial"/>
          <w:szCs w:val="24"/>
        </w:rPr>
      </w:pPr>
      <w:r w:rsidRPr="002C61BD">
        <w:rPr>
          <w:rFonts w:ascii="Arial" w:hAnsi="Arial" w:cs="Arial"/>
          <w:szCs w:val="24"/>
        </w:rPr>
        <w:tab/>
      </w:r>
      <w:r w:rsidRPr="00B13816">
        <w:rPr>
          <w:rFonts w:ascii="Arial" w:hAnsi="Arial" w:cs="Arial"/>
          <w:szCs w:val="24"/>
        </w:rPr>
        <w:t>The Over/(Under) Collection</w:t>
      </w:r>
      <w:r w:rsidR="005A1562">
        <w:rPr>
          <w:rFonts w:ascii="Arial" w:hAnsi="Arial" w:cs="Arial"/>
          <w:szCs w:val="24"/>
        </w:rPr>
        <w:t xml:space="preserve"> is</w:t>
      </w:r>
      <w:r w:rsidRPr="00B13816">
        <w:rPr>
          <w:rFonts w:ascii="Arial" w:hAnsi="Arial" w:cs="Arial"/>
          <w:szCs w:val="24"/>
        </w:rPr>
        <w:t xml:space="preserve"> the difference between the EE</w:t>
      </w:r>
      <w:r w:rsidR="00B13816" w:rsidRPr="00B13816">
        <w:rPr>
          <w:rFonts w:ascii="Arial" w:hAnsi="Arial" w:cs="Arial"/>
          <w:szCs w:val="24"/>
        </w:rPr>
        <w:t>P</w:t>
      </w:r>
      <w:r w:rsidR="004217BE" w:rsidRPr="00B13816">
        <w:rPr>
          <w:rFonts w:ascii="Arial" w:hAnsi="Arial" w:cs="Arial"/>
          <w:szCs w:val="24"/>
        </w:rPr>
        <w:t>C</w:t>
      </w:r>
      <w:r w:rsidRPr="00B13816">
        <w:rPr>
          <w:rFonts w:ascii="Arial" w:hAnsi="Arial" w:cs="Arial"/>
          <w:szCs w:val="24"/>
        </w:rPr>
        <w:t xml:space="preserve"> Revenue and</w:t>
      </w:r>
      <w:r w:rsidR="005A1562">
        <w:rPr>
          <w:rFonts w:ascii="Arial" w:hAnsi="Arial" w:cs="Arial"/>
          <w:szCs w:val="24"/>
        </w:rPr>
        <w:t xml:space="preserve"> </w:t>
      </w:r>
      <w:r w:rsidR="004217BE" w:rsidRPr="00B13816">
        <w:rPr>
          <w:rFonts w:ascii="Arial" w:hAnsi="Arial" w:cs="Arial"/>
          <w:szCs w:val="24"/>
        </w:rPr>
        <w:t>EE</w:t>
      </w:r>
      <w:r w:rsidR="00B13816" w:rsidRPr="00B13816">
        <w:rPr>
          <w:rFonts w:ascii="Arial" w:hAnsi="Arial" w:cs="Arial"/>
          <w:szCs w:val="24"/>
        </w:rPr>
        <w:t>P</w:t>
      </w:r>
      <w:r w:rsidR="004217BE" w:rsidRPr="00B13816">
        <w:rPr>
          <w:rFonts w:ascii="Arial" w:hAnsi="Arial" w:cs="Arial"/>
          <w:szCs w:val="24"/>
        </w:rPr>
        <w:t>C</w:t>
      </w:r>
      <w:r w:rsidRPr="00B13816">
        <w:rPr>
          <w:rFonts w:ascii="Arial" w:hAnsi="Arial" w:cs="Arial"/>
          <w:szCs w:val="24"/>
        </w:rPr>
        <w:t xml:space="preserve"> </w:t>
      </w:r>
      <w:r w:rsidR="005A1562">
        <w:rPr>
          <w:rFonts w:ascii="Arial" w:hAnsi="Arial" w:cs="Arial"/>
          <w:szCs w:val="24"/>
        </w:rPr>
        <w:t>Expense</w:t>
      </w:r>
      <w:r w:rsidRPr="00B13816">
        <w:rPr>
          <w:rFonts w:ascii="Arial" w:hAnsi="Arial" w:cs="Arial"/>
          <w:szCs w:val="24"/>
        </w:rPr>
        <w:t xml:space="preserve">.  The resulting </w:t>
      </w:r>
      <w:r w:rsidR="00713CDF">
        <w:rPr>
          <w:rFonts w:ascii="Arial" w:hAnsi="Arial" w:cs="Arial"/>
          <w:szCs w:val="24"/>
        </w:rPr>
        <w:t>a</w:t>
      </w:r>
      <w:r w:rsidRPr="00B13816">
        <w:rPr>
          <w:rFonts w:ascii="Arial" w:hAnsi="Arial" w:cs="Arial"/>
          <w:szCs w:val="24"/>
        </w:rPr>
        <w:t>mount</w:t>
      </w:r>
      <w:r w:rsidR="00713CDF">
        <w:rPr>
          <w:rFonts w:ascii="Arial" w:hAnsi="Arial" w:cs="Arial"/>
          <w:szCs w:val="24"/>
        </w:rPr>
        <w:t>s</w:t>
      </w:r>
      <w:r w:rsidRPr="00B13816">
        <w:rPr>
          <w:rFonts w:ascii="Arial" w:hAnsi="Arial" w:cs="Arial"/>
          <w:szCs w:val="24"/>
        </w:rPr>
        <w:t xml:space="preserve"> represent the portion of </w:t>
      </w:r>
      <w:r w:rsidR="004500B9">
        <w:rPr>
          <w:rFonts w:ascii="Arial" w:hAnsi="Arial" w:cs="Arial"/>
          <w:szCs w:val="24"/>
        </w:rPr>
        <w:t>EEPC Revenue refundable</w:t>
      </w:r>
      <w:r w:rsidR="00304FB4">
        <w:rPr>
          <w:rFonts w:ascii="Arial" w:hAnsi="Arial" w:cs="Arial"/>
          <w:szCs w:val="24"/>
        </w:rPr>
        <w:t xml:space="preserve"> to </w:t>
      </w:r>
      <w:r w:rsidRPr="00B13816">
        <w:rPr>
          <w:rFonts w:ascii="Arial" w:hAnsi="Arial" w:cs="Arial"/>
          <w:szCs w:val="24"/>
        </w:rPr>
        <w:t xml:space="preserve">or </w:t>
      </w:r>
      <w:r w:rsidR="004500B9">
        <w:rPr>
          <w:rFonts w:ascii="Arial" w:hAnsi="Arial" w:cs="Arial"/>
          <w:szCs w:val="24"/>
        </w:rPr>
        <w:t xml:space="preserve">EEPC Expenses </w:t>
      </w:r>
      <w:r w:rsidRPr="00B13816">
        <w:rPr>
          <w:rFonts w:ascii="Arial" w:hAnsi="Arial" w:cs="Arial"/>
          <w:szCs w:val="24"/>
        </w:rPr>
        <w:t>re</w:t>
      </w:r>
      <w:r w:rsidR="00304FB4">
        <w:rPr>
          <w:rFonts w:ascii="Arial" w:hAnsi="Arial" w:cs="Arial"/>
          <w:szCs w:val="24"/>
        </w:rPr>
        <w:t>coverable</w:t>
      </w:r>
      <w:r w:rsidRPr="00B13816">
        <w:rPr>
          <w:rFonts w:ascii="Arial" w:hAnsi="Arial" w:cs="Arial"/>
          <w:szCs w:val="24"/>
        </w:rPr>
        <w:t xml:space="preserve"> from customers</w:t>
      </w:r>
      <w:r w:rsidR="00F86E61" w:rsidRPr="00B13816">
        <w:rPr>
          <w:rFonts w:ascii="Arial" w:hAnsi="Arial" w:cs="Arial"/>
          <w:szCs w:val="24"/>
        </w:rPr>
        <w:t xml:space="preserve"> </w:t>
      </w:r>
      <w:r w:rsidR="00304FB4">
        <w:rPr>
          <w:rFonts w:ascii="Arial" w:hAnsi="Arial" w:cs="Arial"/>
          <w:szCs w:val="24"/>
        </w:rPr>
        <w:t xml:space="preserve">through </w:t>
      </w:r>
      <w:r w:rsidR="00F86E61" w:rsidRPr="00B13816">
        <w:rPr>
          <w:rFonts w:ascii="Arial" w:hAnsi="Arial" w:cs="Arial"/>
          <w:szCs w:val="24"/>
        </w:rPr>
        <w:t>subsequent EE</w:t>
      </w:r>
      <w:r w:rsidR="00B13816" w:rsidRPr="00B13816">
        <w:rPr>
          <w:rFonts w:ascii="Arial" w:hAnsi="Arial" w:cs="Arial"/>
          <w:szCs w:val="24"/>
        </w:rPr>
        <w:t>P</w:t>
      </w:r>
      <w:r w:rsidR="00012316" w:rsidRPr="00B13816">
        <w:rPr>
          <w:rFonts w:ascii="Arial" w:hAnsi="Arial" w:cs="Arial"/>
          <w:szCs w:val="24"/>
        </w:rPr>
        <w:t>C</w:t>
      </w:r>
      <w:r w:rsidR="00F86E61" w:rsidRPr="00B13816">
        <w:rPr>
          <w:rFonts w:ascii="Arial" w:hAnsi="Arial" w:cs="Arial"/>
          <w:szCs w:val="24"/>
        </w:rPr>
        <w:t xml:space="preserve"> rate</w:t>
      </w:r>
      <w:r w:rsidR="00304FB4">
        <w:rPr>
          <w:rFonts w:ascii="Arial" w:hAnsi="Arial" w:cs="Arial"/>
          <w:szCs w:val="24"/>
        </w:rPr>
        <w:t>s</w:t>
      </w:r>
      <w:r w:rsidRPr="00B13816">
        <w:rPr>
          <w:rFonts w:ascii="Arial" w:hAnsi="Arial" w:cs="Arial"/>
          <w:szCs w:val="24"/>
        </w:rPr>
        <w:t>.  The differences arise for two primary reasons:</w:t>
      </w:r>
    </w:p>
    <w:p w14:paraId="1822A457" w14:textId="77777777" w:rsidR="005A4B5E" w:rsidRPr="00B13816" w:rsidRDefault="005A4B5E" w:rsidP="005A4B5E">
      <w:pPr>
        <w:pStyle w:val="EndnoteText"/>
        <w:tabs>
          <w:tab w:val="left" w:pos="-720"/>
        </w:tabs>
        <w:suppressAutoHyphens/>
        <w:ind w:left="360" w:hanging="720"/>
        <w:rPr>
          <w:rFonts w:ascii="Arial" w:hAnsi="Arial" w:cs="Arial"/>
          <w:szCs w:val="24"/>
        </w:rPr>
      </w:pPr>
    </w:p>
    <w:p w14:paraId="04075009" w14:textId="77777777" w:rsidR="005A4B5E" w:rsidRPr="00B13816" w:rsidRDefault="005A4B5E" w:rsidP="005A4B5E">
      <w:pPr>
        <w:pStyle w:val="EndnoteText"/>
        <w:numPr>
          <w:ilvl w:val="0"/>
          <w:numId w:val="4"/>
        </w:numPr>
        <w:tabs>
          <w:tab w:val="left" w:pos="-720"/>
        </w:tabs>
        <w:suppressAutoHyphens/>
        <w:textAlignment w:val="auto"/>
        <w:rPr>
          <w:rFonts w:ascii="Arial" w:hAnsi="Arial" w:cs="Arial"/>
          <w:szCs w:val="24"/>
        </w:rPr>
      </w:pPr>
      <w:r w:rsidRPr="00B13816">
        <w:rPr>
          <w:rFonts w:ascii="Arial" w:hAnsi="Arial" w:cs="Arial"/>
          <w:szCs w:val="24"/>
        </w:rPr>
        <w:t xml:space="preserve">Variation between the actual </w:t>
      </w:r>
      <w:r w:rsidR="00FA222B">
        <w:rPr>
          <w:rFonts w:ascii="Arial" w:hAnsi="Arial" w:cs="Arial"/>
          <w:szCs w:val="24"/>
        </w:rPr>
        <w:t>volumes billed</w:t>
      </w:r>
      <w:r w:rsidRPr="00B13816">
        <w:rPr>
          <w:rFonts w:ascii="Arial" w:hAnsi="Arial" w:cs="Arial"/>
          <w:szCs w:val="24"/>
        </w:rPr>
        <w:t xml:space="preserve"> and the estimates used to determine the EE</w:t>
      </w:r>
      <w:r w:rsidR="00B13816" w:rsidRPr="00B13816">
        <w:rPr>
          <w:rFonts w:ascii="Arial" w:hAnsi="Arial" w:cs="Arial"/>
          <w:szCs w:val="24"/>
        </w:rPr>
        <w:t>P</w:t>
      </w:r>
      <w:r w:rsidR="004217BE" w:rsidRPr="00B13816">
        <w:rPr>
          <w:rFonts w:ascii="Arial" w:hAnsi="Arial" w:cs="Arial"/>
          <w:szCs w:val="24"/>
        </w:rPr>
        <w:t>C</w:t>
      </w:r>
      <w:r w:rsidRPr="00B13816">
        <w:rPr>
          <w:rFonts w:ascii="Arial" w:hAnsi="Arial" w:cs="Arial"/>
          <w:szCs w:val="24"/>
        </w:rPr>
        <w:t xml:space="preserve"> rates</w:t>
      </w:r>
      <w:r w:rsidR="003D24C0">
        <w:rPr>
          <w:rFonts w:ascii="Arial" w:hAnsi="Arial" w:cs="Arial"/>
          <w:szCs w:val="24"/>
        </w:rPr>
        <w:t>; and,</w:t>
      </w:r>
    </w:p>
    <w:p w14:paraId="2796261D" w14:textId="77777777" w:rsidR="005A4B5E" w:rsidRPr="00B13816" w:rsidRDefault="005A4B5E" w:rsidP="005A4B5E">
      <w:pPr>
        <w:rPr>
          <w:rFonts w:ascii="Arial" w:hAnsi="Arial" w:cs="Arial"/>
        </w:rPr>
      </w:pPr>
    </w:p>
    <w:p w14:paraId="4640ECE5" w14:textId="77777777" w:rsidR="005A4B5E" w:rsidRPr="00B13816" w:rsidRDefault="00FA5724" w:rsidP="00FA5724">
      <w:pPr>
        <w:pStyle w:val="ListParagraph"/>
        <w:numPr>
          <w:ilvl w:val="0"/>
          <w:numId w:val="4"/>
        </w:numPr>
        <w:rPr>
          <w:rFonts w:ascii="Arial" w:hAnsi="Arial" w:cs="Arial"/>
          <w:szCs w:val="24"/>
        </w:rPr>
      </w:pPr>
      <w:r w:rsidRPr="00B13816">
        <w:rPr>
          <w:rFonts w:ascii="Arial" w:hAnsi="Arial" w:cs="Arial"/>
          <w:szCs w:val="24"/>
        </w:rPr>
        <w:t xml:space="preserve">Variation between </w:t>
      </w:r>
      <w:r w:rsidR="002E782D">
        <w:rPr>
          <w:rFonts w:ascii="Arial" w:hAnsi="Arial" w:cs="Arial"/>
          <w:szCs w:val="24"/>
        </w:rPr>
        <w:t xml:space="preserve">the </w:t>
      </w:r>
      <w:r w:rsidRPr="00B13816">
        <w:rPr>
          <w:rFonts w:ascii="Arial" w:hAnsi="Arial" w:cs="Arial"/>
          <w:szCs w:val="24"/>
        </w:rPr>
        <w:t>actual EE</w:t>
      </w:r>
      <w:r w:rsidR="00B13816" w:rsidRPr="00B13816">
        <w:rPr>
          <w:rFonts w:ascii="Arial" w:hAnsi="Arial" w:cs="Arial"/>
          <w:szCs w:val="24"/>
        </w:rPr>
        <w:t>P</w:t>
      </w:r>
      <w:r w:rsidR="004217BE" w:rsidRPr="00B13816">
        <w:rPr>
          <w:rFonts w:ascii="Arial" w:hAnsi="Arial" w:cs="Arial"/>
          <w:szCs w:val="24"/>
        </w:rPr>
        <w:t>C</w:t>
      </w:r>
      <w:r w:rsidRPr="00B13816">
        <w:rPr>
          <w:rFonts w:ascii="Arial" w:hAnsi="Arial" w:cs="Arial"/>
          <w:szCs w:val="24"/>
        </w:rPr>
        <w:t xml:space="preserve"> </w:t>
      </w:r>
      <w:r w:rsidR="002E782D">
        <w:rPr>
          <w:rFonts w:ascii="Arial" w:hAnsi="Arial" w:cs="Arial"/>
          <w:szCs w:val="24"/>
        </w:rPr>
        <w:t>Expenses</w:t>
      </w:r>
      <w:r w:rsidRPr="00B13816">
        <w:rPr>
          <w:rFonts w:ascii="Arial" w:hAnsi="Arial" w:cs="Arial"/>
          <w:szCs w:val="24"/>
        </w:rPr>
        <w:t xml:space="preserve"> and </w:t>
      </w:r>
      <w:r w:rsidR="002E782D">
        <w:rPr>
          <w:rFonts w:ascii="Arial" w:hAnsi="Arial" w:cs="Arial"/>
          <w:szCs w:val="24"/>
        </w:rPr>
        <w:t xml:space="preserve">estimates </w:t>
      </w:r>
      <w:r w:rsidRPr="00B13816">
        <w:rPr>
          <w:rFonts w:ascii="Arial" w:hAnsi="Arial" w:cs="Arial"/>
          <w:szCs w:val="24"/>
        </w:rPr>
        <w:t xml:space="preserve">used to determine the </w:t>
      </w:r>
      <w:r w:rsidR="00F86E61" w:rsidRPr="00B13816">
        <w:rPr>
          <w:rFonts w:ascii="Arial" w:hAnsi="Arial" w:cs="Arial"/>
          <w:szCs w:val="24"/>
        </w:rPr>
        <w:t>EE</w:t>
      </w:r>
      <w:r w:rsidR="00B13816" w:rsidRPr="00B13816">
        <w:rPr>
          <w:rFonts w:ascii="Arial" w:hAnsi="Arial" w:cs="Arial"/>
          <w:szCs w:val="24"/>
        </w:rPr>
        <w:t>P</w:t>
      </w:r>
      <w:r w:rsidR="004217BE" w:rsidRPr="00B13816">
        <w:rPr>
          <w:rFonts w:ascii="Arial" w:hAnsi="Arial" w:cs="Arial"/>
          <w:szCs w:val="24"/>
        </w:rPr>
        <w:t>C</w:t>
      </w:r>
      <w:r w:rsidRPr="00B13816">
        <w:rPr>
          <w:rFonts w:ascii="Arial" w:hAnsi="Arial" w:cs="Arial"/>
          <w:szCs w:val="24"/>
        </w:rPr>
        <w:t xml:space="preserve"> </w:t>
      </w:r>
      <w:r w:rsidR="004217BE" w:rsidRPr="00B13816">
        <w:rPr>
          <w:rFonts w:ascii="Arial" w:hAnsi="Arial" w:cs="Arial"/>
          <w:szCs w:val="24"/>
        </w:rPr>
        <w:t>r</w:t>
      </w:r>
      <w:r w:rsidRPr="00B13816">
        <w:rPr>
          <w:rFonts w:ascii="Arial" w:hAnsi="Arial" w:cs="Arial"/>
          <w:szCs w:val="24"/>
        </w:rPr>
        <w:t>ate</w:t>
      </w:r>
      <w:r w:rsidR="00012316" w:rsidRPr="00B13816">
        <w:rPr>
          <w:rFonts w:ascii="Arial" w:hAnsi="Arial" w:cs="Arial"/>
          <w:szCs w:val="24"/>
        </w:rPr>
        <w:t>s</w:t>
      </w:r>
      <w:r w:rsidRPr="00B13816">
        <w:rPr>
          <w:rFonts w:ascii="Arial" w:hAnsi="Arial" w:cs="Arial"/>
          <w:szCs w:val="24"/>
        </w:rPr>
        <w:t>.</w:t>
      </w:r>
    </w:p>
    <w:p w14:paraId="43CCD62C" w14:textId="77777777" w:rsidR="00CB7699" w:rsidRPr="002C61BD" w:rsidRDefault="00CB7699" w:rsidP="005A4B5E">
      <w:pPr>
        <w:rPr>
          <w:rFonts w:ascii="Arial" w:hAnsi="Arial" w:cs="Arial"/>
          <w:b/>
          <w:szCs w:val="24"/>
          <w:u w:val="single"/>
        </w:rPr>
        <w:sectPr w:rsidR="00CB7699" w:rsidRPr="002C61BD" w:rsidSect="009D2B2E">
          <w:headerReference w:type="even" r:id="rId25"/>
          <w:headerReference w:type="default" r:id="rId26"/>
          <w:headerReference w:type="first" r:id="rId27"/>
          <w:footerReference w:type="first" r:id="rId28"/>
          <w:endnotePr>
            <w:numFmt w:val="decimal"/>
          </w:endnotePr>
          <w:pgSz w:w="12240" w:h="15840" w:code="1"/>
          <w:pgMar w:top="1440" w:right="1440" w:bottom="1440" w:left="1440" w:header="720" w:footer="720" w:gutter="0"/>
          <w:pgNumType w:fmt="numberInDash" w:start="4"/>
          <w:cols w:space="720"/>
          <w:noEndnote/>
          <w:titlePg/>
          <w:docGrid w:linePitch="326"/>
        </w:sectPr>
      </w:pPr>
    </w:p>
    <w:p w14:paraId="24412CAE" w14:textId="77777777" w:rsidR="004F00DD" w:rsidRPr="001D0DB6" w:rsidRDefault="004F00DD" w:rsidP="004F00DD">
      <w:pPr>
        <w:tabs>
          <w:tab w:val="left" w:pos="360"/>
        </w:tabs>
        <w:overflowPunct/>
        <w:autoSpaceDE/>
        <w:autoSpaceDN/>
        <w:adjustRightInd/>
        <w:jc w:val="center"/>
        <w:textAlignment w:val="auto"/>
        <w:rPr>
          <w:rFonts w:ascii="Arial" w:hAnsi="Arial" w:cs="Arial"/>
          <w:sz w:val="26"/>
          <w:szCs w:val="26"/>
        </w:rPr>
      </w:pPr>
      <w:r w:rsidRPr="00100692">
        <w:rPr>
          <w:rFonts w:ascii="Arial" w:hAnsi="Arial" w:cs="Arial"/>
          <w:b/>
          <w:sz w:val="26"/>
          <w:szCs w:val="26"/>
        </w:rPr>
        <w:lastRenderedPageBreak/>
        <w:t>Background</w:t>
      </w:r>
    </w:p>
    <w:p w14:paraId="735BC8C1" w14:textId="77777777" w:rsidR="004F00DD" w:rsidRDefault="004F00DD" w:rsidP="004F00DD">
      <w:pPr>
        <w:overflowPunct/>
        <w:autoSpaceDE/>
        <w:autoSpaceDN/>
        <w:adjustRightInd/>
        <w:spacing w:after="200" w:line="276" w:lineRule="auto"/>
        <w:ind w:firstLine="720"/>
        <w:textAlignment w:val="auto"/>
        <w:rPr>
          <w:rFonts w:ascii="Arial" w:hAnsi="Arial" w:cs="Arial"/>
          <w:szCs w:val="24"/>
        </w:rPr>
      </w:pPr>
    </w:p>
    <w:p w14:paraId="23318123" w14:textId="77777777" w:rsidR="00EE50D1" w:rsidRPr="00982C30" w:rsidRDefault="00EE50D1" w:rsidP="00EE50D1">
      <w:pPr>
        <w:spacing w:after="200"/>
        <w:ind w:firstLine="720"/>
        <w:rPr>
          <w:rFonts w:ascii="Arial" w:hAnsi="Arial" w:cs="Arial"/>
          <w:szCs w:val="24"/>
        </w:rPr>
      </w:pPr>
      <w:r w:rsidRPr="00982C30">
        <w:rPr>
          <w:rFonts w:ascii="Arial" w:hAnsi="Arial" w:cs="Arial"/>
          <w:szCs w:val="24"/>
        </w:rPr>
        <w:t xml:space="preserve">This section was developed from unaudited data </w:t>
      </w:r>
      <w:r>
        <w:rPr>
          <w:rFonts w:ascii="Arial" w:hAnsi="Arial" w:cs="Arial"/>
          <w:szCs w:val="24"/>
        </w:rPr>
        <w:t>provided</w:t>
      </w:r>
      <w:r w:rsidRPr="00982C30">
        <w:rPr>
          <w:rFonts w:ascii="Arial" w:hAnsi="Arial" w:cs="Arial"/>
          <w:szCs w:val="24"/>
        </w:rPr>
        <w:t xml:space="preserve"> by PECO and is presented solely for informational purposes.</w:t>
      </w:r>
    </w:p>
    <w:p w14:paraId="3D33DA48" w14:textId="77777777" w:rsidR="005746F8" w:rsidRDefault="00526BC1" w:rsidP="005746F8">
      <w:pPr>
        <w:ind w:firstLine="720"/>
        <w:rPr>
          <w:rFonts w:ascii="Arial" w:hAnsi="Arial" w:cs="Arial"/>
        </w:rPr>
      </w:pPr>
      <w:r w:rsidRPr="00406891">
        <w:rPr>
          <w:rFonts w:ascii="Arial" w:hAnsi="Arial" w:cs="Arial"/>
        </w:rPr>
        <w:t xml:space="preserve">PECO is </w:t>
      </w:r>
      <w:r>
        <w:rPr>
          <w:rFonts w:ascii="Arial" w:hAnsi="Arial" w:cs="Arial"/>
        </w:rPr>
        <w:t xml:space="preserve">a company </w:t>
      </w:r>
      <w:r w:rsidRPr="00406891">
        <w:rPr>
          <w:rFonts w:ascii="Arial" w:hAnsi="Arial" w:cs="Arial"/>
        </w:rPr>
        <w:t>principally engaged in providing transmission and distribution of electric and natural gas services to retail customers in southeastern Pennsylvania.</w:t>
      </w:r>
      <w:r>
        <w:rPr>
          <w:rFonts w:ascii="Arial" w:hAnsi="Arial" w:cs="Arial"/>
        </w:rPr>
        <w:t xml:space="preserve"> </w:t>
      </w:r>
      <w:r w:rsidRPr="00406891">
        <w:rPr>
          <w:rFonts w:ascii="Arial" w:hAnsi="Arial" w:cs="Arial"/>
        </w:rPr>
        <w:t xml:space="preserve"> </w:t>
      </w:r>
      <w:r>
        <w:rPr>
          <w:rFonts w:ascii="Arial" w:hAnsi="Arial" w:cs="Arial"/>
        </w:rPr>
        <w:t>A</w:t>
      </w:r>
      <w:r w:rsidRPr="00406891">
        <w:rPr>
          <w:rFonts w:ascii="Arial" w:hAnsi="Arial" w:cs="Arial"/>
        </w:rPr>
        <w:t>s an electric distribution and natural gas distribution company</w:t>
      </w:r>
      <w:r>
        <w:rPr>
          <w:rFonts w:ascii="Arial" w:hAnsi="Arial" w:cs="Arial"/>
        </w:rPr>
        <w:t>, PECO’s operations</w:t>
      </w:r>
      <w:r w:rsidRPr="00406891">
        <w:rPr>
          <w:rFonts w:ascii="Arial" w:hAnsi="Arial" w:cs="Arial"/>
        </w:rPr>
        <w:t xml:space="preserve"> are subject to regulation by the Commission. </w:t>
      </w:r>
      <w:r>
        <w:rPr>
          <w:rFonts w:ascii="Arial" w:hAnsi="Arial" w:cs="Arial"/>
        </w:rPr>
        <w:t xml:space="preserve"> </w:t>
      </w:r>
      <w:r w:rsidRPr="00406891">
        <w:rPr>
          <w:rFonts w:ascii="Arial" w:hAnsi="Arial" w:cs="Arial"/>
        </w:rPr>
        <w:t>PECO is a wholly</w:t>
      </w:r>
      <w:r>
        <w:rPr>
          <w:rFonts w:ascii="Arial" w:hAnsi="Arial" w:cs="Arial"/>
        </w:rPr>
        <w:noBreakHyphen/>
      </w:r>
      <w:r w:rsidRPr="00406891">
        <w:rPr>
          <w:rFonts w:ascii="Arial" w:hAnsi="Arial" w:cs="Arial"/>
        </w:rPr>
        <w:t>owned subsidiary of Exelon Corporation headquartered in Chicago, Illinois.</w:t>
      </w:r>
      <w:r>
        <w:rPr>
          <w:rFonts w:ascii="Arial" w:hAnsi="Arial" w:cs="Arial"/>
        </w:rPr>
        <w:t xml:space="preserve"> </w:t>
      </w:r>
      <w:r w:rsidRPr="00406891">
        <w:rPr>
          <w:rFonts w:ascii="Arial" w:hAnsi="Arial" w:cs="Arial"/>
        </w:rPr>
        <w:t xml:space="preserve"> </w:t>
      </w:r>
      <w:r>
        <w:rPr>
          <w:rFonts w:ascii="Arial" w:hAnsi="Arial" w:cs="Arial"/>
        </w:rPr>
        <w:t xml:space="preserve">According to </w:t>
      </w:r>
      <w:r>
        <w:rPr>
          <w:rFonts w:ascii="Arial" w:hAnsi="Arial" w:cs="Arial"/>
          <w:color w:val="000000"/>
        </w:rPr>
        <w:t>PECO’s annual reports filed with the PUC, for the years 2015</w:t>
      </w:r>
      <w:r w:rsidR="003B1D8A">
        <w:rPr>
          <w:rFonts w:ascii="Arial" w:hAnsi="Arial" w:cs="Arial"/>
          <w:color w:val="000000"/>
        </w:rPr>
        <w:t>,</w:t>
      </w:r>
      <w:r>
        <w:rPr>
          <w:rFonts w:ascii="Arial" w:hAnsi="Arial" w:cs="Arial"/>
          <w:color w:val="000000"/>
        </w:rPr>
        <w:t xml:space="preserve"> 2014,</w:t>
      </w:r>
      <w:r w:rsidR="003B1D8A">
        <w:rPr>
          <w:rFonts w:ascii="Arial" w:hAnsi="Arial" w:cs="Arial"/>
          <w:color w:val="000000"/>
        </w:rPr>
        <w:t xml:space="preserve"> and </w:t>
      </w:r>
      <w:r w:rsidR="005746F8">
        <w:rPr>
          <w:rFonts w:ascii="Arial" w:hAnsi="Arial" w:cs="Arial"/>
          <w:color w:val="000000"/>
        </w:rPr>
        <w:t xml:space="preserve">2013, PECO’s total </w:t>
      </w:r>
      <w:r w:rsidR="005746F8" w:rsidRPr="00E113B3">
        <w:rPr>
          <w:rFonts w:ascii="Arial" w:hAnsi="Arial" w:cs="Arial"/>
        </w:rPr>
        <w:t>electric distribution revenues</w:t>
      </w:r>
      <w:r w:rsidR="005746F8">
        <w:rPr>
          <w:rFonts w:ascii="Arial" w:hAnsi="Arial" w:cs="Arial"/>
        </w:rPr>
        <w:t xml:space="preserve">, including default service sales, from customers were </w:t>
      </w:r>
      <w:r w:rsidR="00AE43FC">
        <w:rPr>
          <w:rFonts w:ascii="Arial" w:hAnsi="Arial" w:cs="Arial"/>
        </w:rPr>
        <w:t xml:space="preserve">     $2,281,526,387; </w:t>
      </w:r>
      <w:r w:rsidR="005746F8" w:rsidRPr="00C24D82">
        <w:rPr>
          <w:rFonts w:ascii="Arial" w:hAnsi="Arial" w:cs="Arial"/>
        </w:rPr>
        <w:t>$</w:t>
      </w:r>
      <w:r w:rsidR="005746F8">
        <w:rPr>
          <w:rFonts w:ascii="Arial" w:hAnsi="Arial" w:cs="Arial"/>
        </w:rPr>
        <w:t>2,232,887,499</w:t>
      </w:r>
      <w:r w:rsidR="00AE43FC">
        <w:rPr>
          <w:rFonts w:ascii="Arial" w:hAnsi="Arial" w:cs="Arial"/>
        </w:rPr>
        <w:t>;</w:t>
      </w:r>
      <w:r w:rsidR="005746F8">
        <w:rPr>
          <w:rFonts w:ascii="Arial" w:hAnsi="Arial" w:cs="Arial"/>
        </w:rPr>
        <w:t xml:space="preserve"> </w:t>
      </w:r>
      <w:r w:rsidR="00AE43FC">
        <w:rPr>
          <w:rFonts w:ascii="Arial" w:hAnsi="Arial" w:cs="Arial"/>
        </w:rPr>
        <w:t xml:space="preserve">and </w:t>
      </w:r>
      <w:r w:rsidR="005746F8">
        <w:rPr>
          <w:rFonts w:ascii="Arial" w:hAnsi="Arial" w:cs="Arial"/>
        </w:rPr>
        <w:t xml:space="preserve">$2,288,160,253; </w:t>
      </w:r>
      <w:r w:rsidR="00AE43FC">
        <w:rPr>
          <w:rFonts w:ascii="Arial" w:hAnsi="Arial" w:cs="Arial"/>
        </w:rPr>
        <w:t>r</w:t>
      </w:r>
      <w:r w:rsidR="005746F8">
        <w:rPr>
          <w:rFonts w:ascii="Arial" w:hAnsi="Arial" w:cs="Arial"/>
        </w:rPr>
        <w:t>espectively.</w:t>
      </w:r>
    </w:p>
    <w:p w14:paraId="0949C956" w14:textId="77777777" w:rsidR="00526BC1" w:rsidRDefault="00526BC1" w:rsidP="00616E9C">
      <w:pPr>
        <w:ind w:firstLine="720"/>
        <w:rPr>
          <w:rFonts w:ascii="Arial" w:hAnsi="Arial" w:cs="Arial"/>
        </w:rPr>
      </w:pPr>
    </w:p>
    <w:p w14:paraId="6EBD9F29" w14:textId="4D19A820" w:rsidR="00066015" w:rsidRDefault="00066015" w:rsidP="00066015">
      <w:pPr>
        <w:rPr>
          <w:rFonts w:ascii="Arial" w:hAnsi="Arial" w:cs="Arial"/>
        </w:rPr>
      </w:pPr>
      <w:r>
        <w:rPr>
          <w:rFonts w:ascii="Arial" w:hAnsi="Arial" w:cs="Arial"/>
        </w:rPr>
        <w:tab/>
      </w:r>
      <w:r w:rsidRPr="000E03E3">
        <w:rPr>
          <w:rFonts w:ascii="Arial" w:hAnsi="Arial" w:cs="Arial"/>
        </w:rPr>
        <w:t xml:space="preserve">PECO provides electric distribution service in an area of approximately 1,900 square miles with a population of approximately </w:t>
      </w:r>
      <w:r w:rsidR="000B3C21">
        <w:rPr>
          <w:rFonts w:ascii="Arial" w:hAnsi="Arial" w:cs="Arial"/>
        </w:rPr>
        <w:t>4</w:t>
      </w:r>
      <w:r w:rsidR="007A570F" w:rsidRPr="000740FE">
        <w:rPr>
          <w:rFonts w:ascii="Arial" w:hAnsi="Arial" w:cs="Arial"/>
        </w:rPr>
        <w:t xml:space="preserve"> </w:t>
      </w:r>
      <w:r w:rsidRPr="000E03E3">
        <w:rPr>
          <w:rFonts w:ascii="Arial" w:hAnsi="Arial" w:cs="Arial"/>
        </w:rPr>
        <w:t xml:space="preserve">million, including </w:t>
      </w:r>
      <w:r w:rsidRPr="000740FE">
        <w:rPr>
          <w:rFonts w:ascii="Arial" w:hAnsi="Arial" w:cs="Arial"/>
        </w:rPr>
        <w:t>1.</w:t>
      </w:r>
      <w:r w:rsidR="005B47AE">
        <w:rPr>
          <w:rFonts w:ascii="Arial" w:hAnsi="Arial" w:cs="Arial"/>
        </w:rPr>
        <w:t>6</w:t>
      </w:r>
      <w:r w:rsidR="004A421C" w:rsidRPr="000740FE">
        <w:rPr>
          <w:rFonts w:ascii="Arial" w:hAnsi="Arial" w:cs="Arial"/>
        </w:rPr>
        <w:t xml:space="preserve"> </w:t>
      </w:r>
      <w:r w:rsidRPr="000E03E3">
        <w:rPr>
          <w:rFonts w:ascii="Arial" w:hAnsi="Arial" w:cs="Arial"/>
        </w:rPr>
        <w:t xml:space="preserve">million in the city of Philadelphia.  During </w:t>
      </w:r>
      <w:r w:rsidRPr="000740FE">
        <w:rPr>
          <w:rFonts w:ascii="Arial" w:hAnsi="Arial" w:cs="Arial"/>
        </w:rPr>
        <w:t>201</w:t>
      </w:r>
      <w:r w:rsidR="00616E9C">
        <w:rPr>
          <w:rFonts w:ascii="Arial" w:hAnsi="Arial" w:cs="Arial"/>
        </w:rPr>
        <w:t>6</w:t>
      </w:r>
      <w:r w:rsidRPr="000E03E3">
        <w:rPr>
          <w:rFonts w:ascii="Arial" w:hAnsi="Arial" w:cs="Arial"/>
        </w:rPr>
        <w:t>, PECO delivered electricity to approximately 1</w:t>
      </w:r>
      <w:r w:rsidR="00F03265">
        <w:rPr>
          <w:rFonts w:ascii="Arial" w:hAnsi="Arial" w:cs="Arial"/>
        </w:rPr>
        <w:t xml:space="preserve">.6 </w:t>
      </w:r>
      <w:r w:rsidR="00034724">
        <w:rPr>
          <w:rFonts w:ascii="Arial" w:hAnsi="Arial" w:cs="Arial"/>
        </w:rPr>
        <w:t>million</w:t>
      </w:r>
      <w:r w:rsidRPr="000E03E3">
        <w:rPr>
          <w:rFonts w:ascii="Arial" w:hAnsi="Arial" w:cs="Arial"/>
        </w:rPr>
        <w:t xml:space="preserve"> residential, commercial</w:t>
      </w:r>
      <w:r w:rsidR="00F03265">
        <w:rPr>
          <w:rFonts w:ascii="Arial" w:hAnsi="Arial" w:cs="Arial"/>
        </w:rPr>
        <w:t>,</w:t>
      </w:r>
      <w:r w:rsidRPr="000E03E3">
        <w:rPr>
          <w:rFonts w:ascii="Arial" w:hAnsi="Arial" w:cs="Arial"/>
        </w:rPr>
        <w:t xml:space="preserve"> and industrial customers</w:t>
      </w:r>
      <w:r w:rsidR="00213381">
        <w:rPr>
          <w:rFonts w:ascii="Arial" w:hAnsi="Arial" w:cs="Arial"/>
        </w:rPr>
        <w:t>.</w:t>
      </w:r>
    </w:p>
    <w:p w14:paraId="7B8FED90" w14:textId="77777777" w:rsidR="00F33713" w:rsidRDefault="00F33713" w:rsidP="00066015">
      <w:pPr>
        <w:rPr>
          <w:rFonts w:ascii="Arial" w:hAnsi="Arial" w:cs="Arial"/>
        </w:rPr>
      </w:pPr>
    </w:p>
    <w:p w14:paraId="3DD2DC82" w14:textId="0C49B831" w:rsidR="009920ED" w:rsidRDefault="00066015" w:rsidP="009920ED">
      <w:pPr>
        <w:suppressAutoHyphens/>
        <w:rPr>
          <w:rFonts w:ascii="Arial" w:hAnsi="Arial"/>
          <w:szCs w:val="26"/>
        </w:rPr>
      </w:pPr>
      <w:r>
        <w:rPr>
          <w:rFonts w:ascii="Arial" w:hAnsi="Arial" w:cs="Arial"/>
        </w:rPr>
        <w:tab/>
      </w:r>
      <w:r w:rsidR="009930DB">
        <w:rPr>
          <w:rFonts w:ascii="Arial" w:hAnsi="Arial"/>
          <w:szCs w:val="26"/>
        </w:rPr>
        <w:t xml:space="preserve">On October 15, 2008, Act 129 became law and required the Commission to develop an Energy Efficiency and Conservation Program applicable to electric distribution companies with at least 100,000 customers.  It permitted companies to implement a surcharge mechanism to recover the costs associated with implementing an Energy Efficiency and Conservation Program (EEPC) Plan.  </w:t>
      </w:r>
      <w:r w:rsidR="00842215" w:rsidRPr="00DB2DF3">
        <w:rPr>
          <w:rFonts w:ascii="Arial" w:hAnsi="Arial"/>
          <w:szCs w:val="26"/>
        </w:rPr>
        <w:t>The EEPC</w:t>
      </w:r>
      <w:r w:rsidR="009930DB" w:rsidRPr="00DB2DF3">
        <w:rPr>
          <w:rFonts w:ascii="Arial" w:hAnsi="Arial"/>
          <w:szCs w:val="26"/>
        </w:rPr>
        <w:t xml:space="preserve"> is a non</w:t>
      </w:r>
      <w:r w:rsidR="004D3781">
        <w:rPr>
          <w:rFonts w:ascii="Arial" w:hAnsi="Arial"/>
          <w:szCs w:val="26"/>
        </w:rPr>
        <w:noBreakHyphen/>
      </w:r>
      <w:proofErr w:type="spellStart"/>
      <w:r w:rsidR="009930DB" w:rsidRPr="00DB2DF3">
        <w:rPr>
          <w:rFonts w:ascii="Arial" w:hAnsi="Arial"/>
          <w:szCs w:val="26"/>
        </w:rPr>
        <w:t>bypassable</w:t>
      </w:r>
      <w:proofErr w:type="spellEnd"/>
      <w:r w:rsidR="009930DB" w:rsidRPr="00DB2DF3">
        <w:rPr>
          <w:rFonts w:ascii="Arial" w:hAnsi="Arial"/>
          <w:szCs w:val="26"/>
        </w:rPr>
        <w:t xml:space="preserve"> surcharge applied to all customer bills.  </w:t>
      </w:r>
    </w:p>
    <w:p w14:paraId="20F6ADF0" w14:textId="77777777" w:rsidR="00066015" w:rsidRDefault="00066015" w:rsidP="00066015">
      <w:pPr>
        <w:rPr>
          <w:rFonts w:ascii="Arial" w:hAnsi="Arial" w:cs="Arial"/>
        </w:rPr>
      </w:pPr>
    </w:p>
    <w:p w14:paraId="327B9486" w14:textId="73FF69A1" w:rsidR="00066015" w:rsidRDefault="00066015" w:rsidP="00242993">
      <w:pPr>
        <w:overflowPunct/>
        <w:textAlignment w:val="auto"/>
        <w:rPr>
          <w:rFonts w:ascii="Arial" w:hAnsi="Arial" w:cs="Arial"/>
        </w:rPr>
      </w:pPr>
      <w:r>
        <w:rPr>
          <w:rFonts w:ascii="Arial" w:hAnsi="Arial" w:cs="Arial"/>
        </w:rPr>
        <w:tab/>
      </w:r>
      <w:r w:rsidR="00242993" w:rsidRPr="00242993">
        <w:rPr>
          <w:rFonts w:ascii="Arial" w:hAnsi="Arial" w:cs="Arial"/>
        </w:rPr>
        <w:t xml:space="preserve">The </w:t>
      </w:r>
      <w:r w:rsidR="00242993">
        <w:rPr>
          <w:rFonts w:ascii="Arial" w:hAnsi="Arial" w:cs="Arial"/>
        </w:rPr>
        <w:t xml:space="preserve">EEPC </w:t>
      </w:r>
      <w:r w:rsidR="00A05329">
        <w:rPr>
          <w:rFonts w:ascii="Arial" w:hAnsi="Arial" w:cs="Arial"/>
        </w:rPr>
        <w:t>surcharge</w:t>
      </w:r>
      <w:r w:rsidR="00242993">
        <w:rPr>
          <w:rFonts w:ascii="Arial" w:hAnsi="Arial" w:cs="Arial"/>
        </w:rPr>
        <w:t xml:space="preserve"> allows PECO to recover costs associated with</w:t>
      </w:r>
      <w:r w:rsidR="00DC03E8">
        <w:rPr>
          <w:rFonts w:ascii="Arial" w:hAnsi="Arial" w:cs="Arial"/>
        </w:rPr>
        <w:t xml:space="preserve"> </w:t>
      </w:r>
      <w:r w:rsidR="00242993" w:rsidRPr="00242993">
        <w:rPr>
          <w:rFonts w:ascii="Arial" w:hAnsi="Arial" w:cs="Arial"/>
        </w:rPr>
        <w:t>all expenditures, of the individual programs such</w:t>
      </w:r>
      <w:r w:rsidR="00242993">
        <w:rPr>
          <w:rFonts w:ascii="Arial" w:hAnsi="Arial" w:cs="Arial"/>
        </w:rPr>
        <w:t xml:space="preserve"> </w:t>
      </w:r>
      <w:r w:rsidR="00242993" w:rsidRPr="00242993">
        <w:rPr>
          <w:rFonts w:ascii="Arial" w:hAnsi="Arial" w:cs="Arial"/>
        </w:rPr>
        <w:t>as materials, equipment, installation, custom programs, evaluation measurement/verification, educating customers about</w:t>
      </w:r>
      <w:r w:rsidR="00242993">
        <w:rPr>
          <w:rFonts w:ascii="Arial" w:hAnsi="Arial" w:cs="Arial"/>
        </w:rPr>
        <w:t xml:space="preserve"> </w:t>
      </w:r>
      <w:r w:rsidR="00242993" w:rsidRPr="00242993">
        <w:rPr>
          <w:rFonts w:ascii="Arial" w:hAnsi="Arial" w:cs="Arial"/>
        </w:rPr>
        <w:t xml:space="preserve">availability to the extent not included in Consumer Education cost, and any other cost associated with implementation of the programs. Any direct load control benefits to </w:t>
      </w:r>
      <w:r w:rsidR="0095571B">
        <w:rPr>
          <w:rFonts w:ascii="Arial" w:hAnsi="Arial" w:cs="Arial"/>
        </w:rPr>
        <w:t>PECO</w:t>
      </w:r>
      <w:r w:rsidR="00242993" w:rsidRPr="00242993">
        <w:rPr>
          <w:rFonts w:ascii="Arial" w:hAnsi="Arial" w:cs="Arial"/>
        </w:rPr>
        <w:t xml:space="preserve"> from the</w:t>
      </w:r>
      <w:r w:rsidR="00242993">
        <w:rPr>
          <w:rFonts w:ascii="Arial" w:hAnsi="Arial" w:cs="Arial"/>
        </w:rPr>
        <w:t xml:space="preserve"> </w:t>
      </w:r>
      <w:r w:rsidR="00242993" w:rsidRPr="00242993">
        <w:rPr>
          <w:rFonts w:ascii="Arial" w:hAnsi="Arial" w:cs="Arial"/>
        </w:rPr>
        <w:t xml:space="preserve">programs shall be credited against the cost. </w:t>
      </w:r>
    </w:p>
    <w:p w14:paraId="49FDA555" w14:textId="77777777" w:rsidR="00920C6F" w:rsidRPr="002C61BD" w:rsidRDefault="00920C6F" w:rsidP="00C53765">
      <w:pPr>
        <w:tabs>
          <w:tab w:val="left" w:pos="-1440"/>
          <w:tab w:val="left" w:pos="-720"/>
        </w:tabs>
        <w:suppressAutoHyphens/>
        <w:rPr>
          <w:rFonts w:ascii="Arial" w:hAnsi="Arial" w:cs="Arial"/>
          <w:szCs w:val="24"/>
        </w:rPr>
        <w:sectPr w:rsidR="00920C6F" w:rsidRPr="002C61BD" w:rsidSect="009D2B2E">
          <w:headerReference w:type="even" r:id="rId29"/>
          <w:headerReference w:type="default" r:id="rId30"/>
          <w:footerReference w:type="default" r:id="rId31"/>
          <w:headerReference w:type="first" r:id="rId32"/>
          <w:endnotePr>
            <w:numFmt w:val="decimal"/>
          </w:endnotePr>
          <w:pgSz w:w="12240" w:h="15840" w:code="1"/>
          <w:pgMar w:top="1170" w:right="1440" w:bottom="1440" w:left="1440" w:header="720" w:footer="720" w:gutter="0"/>
          <w:pgNumType w:fmt="numberInDash" w:start="5"/>
          <w:cols w:space="720"/>
          <w:noEndnote/>
          <w:docGrid w:linePitch="326"/>
        </w:sectPr>
      </w:pPr>
    </w:p>
    <w:p w14:paraId="22BC80C0" w14:textId="77777777" w:rsidR="00277368" w:rsidRPr="007A7DAE" w:rsidRDefault="00277368" w:rsidP="00277368">
      <w:pPr>
        <w:tabs>
          <w:tab w:val="left" w:pos="720"/>
          <w:tab w:val="center" w:pos="4680"/>
        </w:tabs>
        <w:suppressAutoHyphens/>
        <w:jc w:val="center"/>
        <w:rPr>
          <w:rFonts w:ascii="Arial" w:hAnsi="Arial" w:cs="Arial"/>
          <w:b/>
          <w:spacing w:val="-3"/>
          <w:sz w:val="26"/>
          <w:szCs w:val="26"/>
        </w:rPr>
      </w:pPr>
      <w:r>
        <w:rPr>
          <w:rFonts w:ascii="Arial" w:hAnsi="Arial" w:cs="Arial"/>
          <w:b/>
          <w:spacing w:val="-3"/>
          <w:sz w:val="26"/>
          <w:szCs w:val="26"/>
        </w:rPr>
        <w:lastRenderedPageBreak/>
        <w:t>Disposition of Prior Period Audit Finding</w:t>
      </w:r>
    </w:p>
    <w:p w14:paraId="34A41B8B" w14:textId="77777777" w:rsidR="00277368" w:rsidRPr="00DF518D" w:rsidRDefault="00277368" w:rsidP="00277368">
      <w:pPr>
        <w:tabs>
          <w:tab w:val="left" w:pos="720"/>
          <w:tab w:val="center" w:pos="4680"/>
        </w:tabs>
        <w:suppressAutoHyphens/>
        <w:jc w:val="center"/>
        <w:rPr>
          <w:rFonts w:ascii="Arial" w:hAnsi="Arial" w:cs="Arial"/>
          <w:b/>
          <w:spacing w:val="-3"/>
          <w:sz w:val="26"/>
          <w:szCs w:val="26"/>
          <w:u w:val="single"/>
        </w:rPr>
      </w:pPr>
    </w:p>
    <w:p w14:paraId="16C17C84" w14:textId="77777777" w:rsidR="00277368" w:rsidRDefault="00277368" w:rsidP="00277368">
      <w:pPr>
        <w:rPr>
          <w:rFonts w:ascii="Arial" w:hAnsi="Arial" w:cs="Arial"/>
        </w:rPr>
      </w:pPr>
    </w:p>
    <w:p w14:paraId="17D27F57" w14:textId="7B506256" w:rsidR="00277368" w:rsidRPr="009E73ED" w:rsidRDefault="00277368" w:rsidP="000806B0">
      <w:pPr>
        <w:ind w:firstLine="720"/>
        <w:rPr>
          <w:rFonts w:ascii="Arial" w:hAnsi="Arial" w:cs="Arial"/>
        </w:rPr>
      </w:pPr>
      <w:r>
        <w:rPr>
          <w:rFonts w:ascii="Arial" w:hAnsi="Arial" w:cs="Arial"/>
        </w:rPr>
        <w:t xml:space="preserve">Our previous audit of </w:t>
      </w:r>
      <w:r w:rsidR="004F677C">
        <w:rPr>
          <w:rFonts w:ascii="Arial" w:hAnsi="Arial" w:cs="Arial"/>
        </w:rPr>
        <w:t>PECO</w:t>
      </w:r>
      <w:r w:rsidR="004F74D5">
        <w:rPr>
          <w:rFonts w:ascii="Arial" w:hAnsi="Arial" w:cs="Arial"/>
        </w:rPr>
        <w:t xml:space="preserve"> Energy Company</w:t>
      </w:r>
      <w:r w:rsidR="00B4471C">
        <w:rPr>
          <w:rFonts w:ascii="Arial" w:hAnsi="Arial" w:cs="Arial"/>
        </w:rPr>
        <w:t>’s</w:t>
      </w:r>
      <w:r w:rsidR="004F677C">
        <w:rPr>
          <w:rFonts w:ascii="Arial" w:hAnsi="Arial" w:cs="Arial"/>
        </w:rPr>
        <w:t xml:space="preserve"> E</w:t>
      </w:r>
      <w:r w:rsidR="004F74D5">
        <w:rPr>
          <w:rFonts w:ascii="Arial" w:hAnsi="Arial" w:cs="Arial"/>
        </w:rPr>
        <w:t>EPC</w:t>
      </w:r>
      <w:r w:rsidR="004F677C">
        <w:rPr>
          <w:rFonts w:ascii="Arial" w:hAnsi="Arial" w:cs="Arial"/>
        </w:rPr>
        <w:t xml:space="preserve"> Phase I</w:t>
      </w:r>
      <w:r>
        <w:rPr>
          <w:rFonts w:ascii="Arial" w:hAnsi="Arial" w:cs="Arial"/>
        </w:rPr>
        <w:t xml:space="preserve"> </w:t>
      </w:r>
      <w:r w:rsidRPr="009E73ED">
        <w:rPr>
          <w:rFonts w:ascii="Arial" w:hAnsi="Arial" w:cs="Arial"/>
        </w:rPr>
        <w:t xml:space="preserve">for the </w:t>
      </w:r>
      <w:r w:rsidR="004F677C">
        <w:rPr>
          <w:rFonts w:ascii="Arial" w:hAnsi="Arial" w:cs="Arial"/>
        </w:rPr>
        <w:t>period January 1, 2010 through May 31, 2013 and the Reconciliation True-up period June 1, 2013 through May 31, 2014</w:t>
      </w:r>
      <w:r w:rsidRPr="009E73ED">
        <w:rPr>
          <w:rFonts w:ascii="Arial" w:hAnsi="Arial" w:cs="Arial"/>
        </w:rPr>
        <w:t xml:space="preserve">, </w:t>
      </w:r>
      <w:r w:rsidR="00D615B2">
        <w:rPr>
          <w:rFonts w:ascii="Arial" w:hAnsi="Arial" w:cs="Arial"/>
        </w:rPr>
        <w:t xml:space="preserve">at </w:t>
      </w:r>
      <w:r w:rsidR="00D615B2" w:rsidRPr="00D615B2">
        <w:rPr>
          <w:rFonts w:ascii="Arial" w:hAnsi="Arial" w:cs="Arial"/>
        </w:rPr>
        <w:t>Docket No. D-2014-2438031</w:t>
      </w:r>
      <w:r w:rsidR="00D615B2">
        <w:rPr>
          <w:rFonts w:ascii="Arial" w:hAnsi="Arial" w:cs="Arial"/>
        </w:rPr>
        <w:t>,</w:t>
      </w:r>
      <w:r w:rsidR="00D615B2" w:rsidRPr="00D615B2">
        <w:rPr>
          <w:rFonts w:ascii="Arial" w:hAnsi="Arial" w:cs="Arial"/>
        </w:rPr>
        <w:t xml:space="preserve"> </w:t>
      </w:r>
      <w:r>
        <w:rPr>
          <w:rFonts w:ascii="Arial" w:hAnsi="Arial" w:cs="Arial"/>
        </w:rPr>
        <w:t>disclosed</w:t>
      </w:r>
      <w:r w:rsidRPr="009E73ED">
        <w:rPr>
          <w:rFonts w:ascii="Arial" w:hAnsi="Arial" w:cs="Arial"/>
        </w:rPr>
        <w:t xml:space="preserve"> the following</w:t>
      </w:r>
      <w:r w:rsidR="004F74D5">
        <w:rPr>
          <w:rFonts w:ascii="Arial" w:hAnsi="Arial" w:cs="Arial"/>
        </w:rPr>
        <w:t xml:space="preserve"> finding:</w:t>
      </w:r>
    </w:p>
    <w:p w14:paraId="016BE69B" w14:textId="77777777" w:rsidR="00277368" w:rsidRDefault="00277368" w:rsidP="00277368">
      <w:pPr>
        <w:tabs>
          <w:tab w:val="left" w:pos="-1440"/>
          <w:tab w:val="left" w:pos="-720"/>
          <w:tab w:val="left" w:pos="720"/>
          <w:tab w:val="left" w:pos="2430"/>
          <w:tab w:val="decimal" w:pos="6192"/>
          <w:tab w:val="decimal" w:pos="7344"/>
          <w:tab w:val="left" w:pos="8550"/>
        </w:tabs>
        <w:suppressAutoHyphens/>
        <w:ind w:left="1800" w:hanging="1800"/>
        <w:rPr>
          <w:rFonts w:ascii="Arial" w:hAnsi="Arial" w:cs="Arial"/>
          <w:b/>
        </w:rPr>
      </w:pPr>
    </w:p>
    <w:p w14:paraId="237A6C0D" w14:textId="52181189" w:rsidR="00277368" w:rsidRPr="00B25512" w:rsidRDefault="00BD60E6" w:rsidP="00113D47">
      <w:pPr>
        <w:tabs>
          <w:tab w:val="left" w:pos="-1440"/>
          <w:tab w:val="left" w:pos="-720"/>
          <w:tab w:val="left" w:pos="720"/>
          <w:tab w:val="left" w:pos="2430"/>
          <w:tab w:val="decimal" w:pos="6192"/>
          <w:tab w:val="decimal" w:pos="7344"/>
          <w:tab w:val="left" w:pos="8550"/>
        </w:tabs>
        <w:suppressAutoHyphens/>
        <w:rPr>
          <w:rFonts w:ascii="Arial" w:hAnsi="Arial" w:cs="Arial"/>
          <w:b/>
        </w:rPr>
      </w:pPr>
      <w:r>
        <w:rPr>
          <w:rFonts w:ascii="Arial" w:hAnsi="Arial" w:cs="Arial"/>
          <w:b/>
        </w:rPr>
        <w:t>The Energy Efficiency a</w:t>
      </w:r>
      <w:r w:rsidR="00277368">
        <w:rPr>
          <w:rFonts w:ascii="Arial" w:hAnsi="Arial" w:cs="Arial"/>
          <w:b/>
        </w:rPr>
        <w:t>nd Conservation Program Revenue for the Commerci</w:t>
      </w:r>
      <w:r>
        <w:rPr>
          <w:rFonts w:ascii="Arial" w:hAnsi="Arial" w:cs="Arial"/>
          <w:b/>
        </w:rPr>
        <w:t>al Customer Class w</w:t>
      </w:r>
      <w:r w:rsidR="00C07E48">
        <w:rPr>
          <w:rFonts w:ascii="Arial" w:hAnsi="Arial" w:cs="Arial"/>
          <w:b/>
        </w:rPr>
        <w:t>as</w:t>
      </w:r>
      <w:r w:rsidR="00277368">
        <w:rPr>
          <w:rFonts w:ascii="Arial" w:hAnsi="Arial" w:cs="Arial"/>
          <w:b/>
        </w:rPr>
        <w:t xml:space="preserve"> </w:t>
      </w:r>
      <w:r w:rsidR="004F74D5">
        <w:rPr>
          <w:rFonts w:ascii="Arial" w:hAnsi="Arial" w:cs="Arial"/>
          <w:b/>
        </w:rPr>
        <w:t>i</w:t>
      </w:r>
      <w:r w:rsidR="00277368">
        <w:rPr>
          <w:rFonts w:ascii="Arial" w:hAnsi="Arial" w:cs="Arial"/>
          <w:b/>
        </w:rPr>
        <w:t xml:space="preserve">naccurately </w:t>
      </w:r>
      <w:r w:rsidR="004F74D5">
        <w:rPr>
          <w:rFonts w:ascii="Arial" w:hAnsi="Arial" w:cs="Arial"/>
          <w:b/>
        </w:rPr>
        <w:t>r</w:t>
      </w:r>
      <w:r w:rsidR="00277368">
        <w:rPr>
          <w:rFonts w:ascii="Arial" w:hAnsi="Arial" w:cs="Arial"/>
          <w:b/>
        </w:rPr>
        <w:t>eported</w:t>
      </w:r>
      <w:r w:rsidR="00277368" w:rsidRPr="00B25512">
        <w:rPr>
          <w:rFonts w:ascii="Arial" w:hAnsi="Arial" w:cs="Arial"/>
          <w:b/>
        </w:rPr>
        <w:t xml:space="preserve">.    </w:t>
      </w:r>
    </w:p>
    <w:p w14:paraId="2A8FFADA" w14:textId="77777777" w:rsidR="00277368" w:rsidRPr="00DF518D" w:rsidRDefault="00277368" w:rsidP="00277368">
      <w:pPr>
        <w:tabs>
          <w:tab w:val="left" w:pos="-1440"/>
          <w:tab w:val="left" w:pos="-720"/>
          <w:tab w:val="left" w:pos="864"/>
          <w:tab w:val="decimal" w:pos="6192"/>
          <w:tab w:val="decimal" w:pos="7344"/>
        </w:tabs>
        <w:suppressAutoHyphens/>
        <w:rPr>
          <w:rFonts w:ascii="Arial" w:hAnsi="Arial" w:cs="Arial"/>
        </w:rPr>
      </w:pPr>
    </w:p>
    <w:p w14:paraId="70975126" w14:textId="77777777" w:rsidR="00277368" w:rsidRPr="00B25512" w:rsidRDefault="00277368" w:rsidP="00277368">
      <w:pPr>
        <w:tabs>
          <w:tab w:val="left" w:pos="-1440"/>
          <w:tab w:val="left" w:pos="-720"/>
          <w:tab w:val="left" w:pos="864"/>
          <w:tab w:val="decimal" w:pos="6192"/>
          <w:tab w:val="decimal" w:pos="7344"/>
        </w:tabs>
        <w:suppressAutoHyphens/>
        <w:rPr>
          <w:rFonts w:ascii="Arial" w:hAnsi="Arial" w:cs="Arial"/>
          <w:b/>
        </w:rPr>
      </w:pPr>
      <w:r>
        <w:rPr>
          <w:rFonts w:ascii="Arial" w:hAnsi="Arial" w:cs="Arial"/>
          <w:b/>
        </w:rPr>
        <w:t>Recommendation</w:t>
      </w:r>
    </w:p>
    <w:p w14:paraId="78112017" w14:textId="77777777" w:rsidR="00277368" w:rsidRPr="00DF518D" w:rsidRDefault="00277368" w:rsidP="00277368">
      <w:pPr>
        <w:tabs>
          <w:tab w:val="left" w:pos="-1440"/>
          <w:tab w:val="left" w:pos="-720"/>
          <w:tab w:val="left" w:pos="864"/>
          <w:tab w:val="decimal" w:pos="6192"/>
          <w:tab w:val="decimal" w:pos="7344"/>
        </w:tabs>
        <w:suppressAutoHyphens/>
        <w:rPr>
          <w:rFonts w:ascii="Arial" w:hAnsi="Arial" w:cs="Arial"/>
          <w:b/>
          <w:sz w:val="26"/>
          <w:szCs w:val="26"/>
          <w:u w:val="single"/>
        </w:rPr>
      </w:pPr>
    </w:p>
    <w:p w14:paraId="44090F90" w14:textId="483EA22B" w:rsidR="005A32E8" w:rsidRDefault="00277368" w:rsidP="005A32E8">
      <w:pPr>
        <w:tabs>
          <w:tab w:val="center" w:pos="4680"/>
        </w:tabs>
        <w:suppressAutoHyphens/>
        <w:ind w:firstLine="720"/>
        <w:rPr>
          <w:rFonts w:ascii="Arial" w:hAnsi="Arial" w:cs="Arial"/>
          <w:szCs w:val="26"/>
        </w:rPr>
      </w:pPr>
      <w:r w:rsidRPr="00DF518D">
        <w:rPr>
          <w:rFonts w:ascii="Arial" w:hAnsi="Arial" w:cs="Arial"/>
        </w:rPr>
        <w:tab/>
      </w:r>
      <w:r w:rsidR="005A32E8">
        <w:rPr>
          <w:rFonts w:ascii="Arial" w:hAnsi="Arial" w:cs="Arial"/>
          <w:szCs w:val="26"/>
        </w:rPr>
        <w:t>Staff</w:t>
      </w:r>
      <w:r w:rsidR="005A32E8" w:rsidRPr="00065DE7">
        <w:rPr>
          <w:rFonts w:ascii="Arial" w:hAnsi="Arial" w:cs="Arial"/>
          <w:szCs w:val="26"/>
        </w:rPr>
        <w:t xml:space="preserve"> recommend</w:t>
      </w:r>
      <w:r w:rsidR="005A32E8">
        <w:rPr>
          <w:rFonts w:ascii="Arial" w:hAnsi="Arial" w:cs="Arial"/>
          <w:szCs w:val="26"/>
        </w:rPr>
        <w:t>ed</w:t>
      </w:r>
      <w:r w:rsidR="005A32E8" w:rsidRPr="00065DE7">
        <w:rPr>
          <w:rFonts w:ascii="Arial" w:hAnsi="Arial" w:cs="Arial"/>
          <w:szCs w:val="26"/>
        </w:rPr>
        <w:t xml:space="preserve"> that </w:t>
      </w:r>
      <w:r w:rsidR="005A32E8">
        <w:rPr>
          <w:rFonts w:ascii="Arial" w:hAnsi="Arial" w:cs="Arial"/>
          <w:szCs w:val="26"/>
        </w:rPr>
        <w:t xml:space="preserve">PECO prepare written procedures on which reports to use and how to prepare the </w:t>
      </w:r>
      <w:proofErr w:type="gramStart"/>
      <w:r w:rsidR="005A32E8">
        <w:rPr>
          <w:rFonts w:ascii="Arial" w:hAnsi="Arial" w:cs="Arial"/>
          <w:szCs w:val="26"/>
        </w:rPr>
        <w:t>1307</w:t>
      </w:r>
      <w:r w:rsidR="005A32E8" w:rsidRPr="00065DE7">
        <w:rPr>
          <w:rFonts w:ascii="Arial" w:hAnsi="Arial" w:cs="Arial"/>
          <w:szCs w:val="26"/>
        </w:rPr>
        <w:t>(e)</w:t>
      </w:r>
      <w:r w:rsidR="005A32E8">
        <w:rPr>
          <w:rFonts w:ascii="Arial" w:hAnsi="Arial" w:cs="Arial"/>
          <w:szCs w:val="26"/>
        </w:rPr>
        <w:t xml:space="preserve"> reconciliation</w:t>
      </w:r>
      <w:proofErr w:type="gramEnd"/>
      <w:r w:rsidR="005A32E8">
        <w:rPr>
          <w:rFonts w:ascii="Arial" w:hAnsi="Arial" w:cs="Arial"/>
          <w:szCs w:val="26"/>
        </w:rPr>
        <w:t xml:space="preserve"> statement</w:t>
      </w:r>
      <w:r w:rsidR="005A32E8" w:rsidRPr="00065DE7">
        <w:rPr>
          <w:rFonts w:ascii="Arial" w:hAnsi="Arial" w:cs="Arial"/>
          <w:szCs w:val="26"/>
        </w:rPr>
        <w:t xml:space="preserve">. </w:t>
      </w:r>
      <w:r w:rsidR="005A32E8">
        <w:rPr>
          <w:rFonts w:ascii="Arial" w:hAnsi="Arial" w:cs="Arial"/>
          <w:szCs w:val="26"/>
        </w:rPr>
        <w:t xml:space="preserve"> </w:t>
      </w:r>
      <w:r w:rsidR="00B74C7D">
        <w:rPr>
          <w:rFonts w:ascii="Arial" w:hAnsi="Arial" w:cs="Arial"/>
          <w:szCs w:val="26"/>
        </w:rPr>
        <w:t>Staff</w:t>
      </w:r>
      <w:r w:rsidR="005A32E8">
        <w:rPr>
          <w:rFonts w:ascii="Arial" w:hAnsi="Arial" w:cs="Arial"/>
          <w:szCs w:val="26"/>
        </w:rPr>
        <w:t xml:space="preserve"> </w:t>
      </w:r>
      <w:r w:rsidR="00DB7FF9">
        <w:rPr>
          <w:rFonts w:ascii="Arial" w:hAnsi="Arial" w:cs="Arial"/>
          <w:szCs w:val="26"/>
        </w:rPr>
        <w:t xml:space="preserve">also </w:t>
      </w:r>
      <w:r w:rsidR="005A32E8">
        <w:rPr>
          <w:rFonts w:ascii="Arial" w:hAnsi="Arial" w:cs="Arial"/>
          <w:szCs w:val="26"/>
        </w:rPr>
        <w:t>recommend</w:t>
      </w:r>
      <w:r w:rsidR="00B74C7D">
        <w:rPr>
          <w:rFonts w:ascii="Arial" w:hAnsi="Arial" w:cs="Arial"/>
          <w:szCs w:val="26"/>
        </w:rPr>
        <w:t>ed</w:t>
      </w:r>
      <w:r w:rsidR="005A32E8">
        <w:rPr>
          <w:rFonts w:ascii="Arial" w:hAnsi="Arial" w:cs="Arial"/>
          <w:szCs w:val="26"/>
        </w:rPr>
        <w:t xml:space="preserve"> that </w:t>
      </w:r>
      <w:r w:rsidR="002805CA">
        <w:rPr>
          <w:rFonts w:ascii="Arial" w:hAnsi="Arial" w:cs="Arial"/>
          <w:szCs w:val="26"/>
        </w:rPr>
        <w:t>PECO</w:t>
      </w:r>
      <w:r w:rsidR="005A32E8" w:rsidRPr="00065DE7">
        <w:rPr>
          <w:rFonts w:ascii="Arial" w:hAnsi="Arial" w:cs="Arial"/>
          <w:szCs w:val="26"/>
        </w:rPr>
        <w:t xml:space="preserve"> re</w:t>
      </w:r>
      <w:r w:rsidR="005A32E8">
        <w:rPr>
          <w:rFonts w:ascii="Arial" w:hAnsi="Arial" w:cs="Arial"/>
          <w:szCs w:val="26"/>
        </w:rPr>
        <w:t>fund $14,078 to its Commercial Customers by making an adjustment to the Phase I E-Factor balance in its next EEPC rate filing</w:t>
      </w:r>
      <w:r w:rsidR="005A32E8" w:rsidRPr="00065DE7">
        <w:rPr>
          <w:rFonts w:ascii="Arial" w:hAnsi="Arial" w:cs="Arial"/>
          <w:szCs w:val="26"/>
        </w:rPr>
        <w:t>.</w:t>
      </w:r>
    </w:p>
    <w:p w14:paraId="2AA6CEDF" w14:textId="77777777" w:rsidR="00277368" w:rsidRDefault="00277368" w:rsidP="00277368">
      <w:pPr>
        <w:tabs>
          <w:tab w:val="center" w:pos="4680"/>
        </w:tabs>
        <w:suppressAutoHyphens/>
        <w:ind w:firstLine="720"/>
        <w:rPr>
          <w:rFonts w:ascii="Arial" w:hAnsi="Arial" w:cs="Arial"/>
          <w:szCs w:val="26"/>
        </w:rPr>
      </w:pPr>
    </w:p>
    <w:p w14:paraId="5C5B0665" w14:textId="77777777" w:rsidR="00277368" w:rsidRPr="00B25512" w:rsidRDefault="00277368" w:rsidP="00277368">
      <w:pPr>
        <w:tabs>
          <w:tab w:val="left" w:pos="-1440"/>
          <w:tab w:val="left" w:pos="-720"/>
          <w:tab w:val="left" w:pos="864"/>
          <w:tab w:val="decimal" w:pos="6192"/>
          <w:tab w:val="decimal" w:pos="7344"/>
        </w:tabs>
        <w:suppressAutoHyphens/>
        <w:rPr>
          <w:rFonts w:ascii="Arial" w:hAnsi="Arial" w:cs="Arial"/>
          <w:b/>
        </w:rPr>
      </w:pPr>
      <w:r w:rsidRPr="00B25512">
        <w:rPr>
          <w:rFonts w:ascii="Arial" w:hAnsi="Arial" w:cs="Arial"/>
          <w:b/>
        </w:rPr>
        <w:t>Disposition</w:t>
      </w:r>
    </w:p>
    <w:p w14:paraId="2B11322D" w14:textId="77777777" w:rsidR="00277368" w:rsidRPr="00DF518D" w:rsidRDefault="00277368" w:rsidP="00277368">
      <w:pPr>
        <w:tabs>
          <w:tab w:val="left" w:pos="-1440"/>
          <w:tab w:val="left" w:pos="-720"/>
          <w:tab w:val="left" w:pos="864"/>
          <w:tab w:val="decimal" w:pos="6192"/>
          <w:tab w:val="decimal" w:pos="7344"/>
        </w:tabs>
        <w:suppressAutoHyphens/>
        <w:rPr>
          <w:rFonts w:ascii="Arial" w:hAnsi="Arial" w:cs="Arial"/>
        </w:rPr>
      </w:pPr>
    </w:p>
    <w:p w14:paraId="4DBEA7E3" w14:textId="1B3855CD" w:rsidR="00277368" w:rsidRDefault="00277368" w:rsidP="00277368">
      <w:pPr>
        <w:tabs>
          <w:tab w:val="left" w:pos="-1440"/>
          <w:tab w:val="left" w:pos="-720"/>
          <w:tab w:val="left" w:pos="864"/>
          <w:tab w:val="decimal" w:pos="6192"/>
          <w:tab w:val="decimal" w:pos="7344"/>
        </w:tabs>
        <w:suppressAutoHyphens/>
        <w:rPr>
          <w:rFonts w:ascii="Arial" w:hAnsi="Arial" w:cs="Arial"/>
        </w:rPr>
      </w:pPr>
      <w:r>
        <w:rPr>
          <w:rFonts w:ascii="Arial" w:hAnsi="Arial" w:cs="Arial"/>
        </w:rPr>
        <w:tab/>
      </w:r>
      <w:r w:rsidR="00B74C7D">
        <w:rPr>
          <w:rFonts w:ascii="Arial" w:hAnsi="Arial" w:cs="Arial"/>
          <w:szCs w:val="24"/>
        </w:rPr>
        <w:t xml:space="preserve">PECO created a procedure to use information provided by Revenue Accounting, which is derived through the Customer Information Management System, when preparing the </w:t>
      </w:r>
      <w:r w:rsidR="006D394E">
        <w:rPr>
          <w:rFonts w:ascii="Arial" w:hAnsi="Arial" w:cs="Arial"/>
          <w:szCs w:val="24"/>
        </w:rPr>
        <w:t xml:space="preserve">EEPC </w:t>
      </w:r>
      <w:r w:rsidR="00B74C7D">
        <w:rPr>
          <w:rFonts w:ascii="Arial" w:hAnsi="Arial" w:cs="Arial"/>
          <w:szCs w:val="24"/>
        </w:rPr>
        <w:t xml:space="preserve">1307(e) reconciliation statement.  </w:t>
      </w:r>
      <w:r w:rsidR="00AA15AD">
        <w:rPr>
          <w:rFonts w:ascii="Arial" w:hAnsi="Arial" w:cs="Arial"/>
          <w:szCs w:val="24"/>
        </w:rPr>
        <w:t xml:space="preserve">Additionally, </w:t>
      </w:r>
      <w:r w:rsidR="00582635">
        <w:rPr>
          <w:rFonts w:ascii="Arial" w:hAnsi="Arial" w:cs="Arial"/>
          <w:szCs w:val="24"/>
        </w:rPr>
        <w:t xml:space="preserve">PECO </w:t>
      </w:r>
      <w:r w:rsidR="00582635">
        <w:rPr>
          <w:rFonts w:ascii="Arial" w:hAnsi="Arial" w:cs="Arial"/>
        </w:rPr>
        <w:t xml:space="preserve">included an </w:t>
      </w:r>
      <w:r>
        <w:rPr>
          <w:rFonts w:ascii="Arial" w:hAnsi="Arial" w:cs="Arial"/>
        </w:rPr>
        <w:t>adjustment</w:t>
      </w:r>
      <w:r w:rsidR="00582635">
        <w:rPr>
          <w:rFonts w:ascii="Arial" w:hAnsi="Arial" w:cs="Arial"/>
        </w:rPr>
        <w:t xml:space="preserve"> of $14,078</w:t>
      </w:r>
      <w:r>
        <w:rPr>
          <w:rFonts w:ascii="Arial" w:hAnsi="Arial" w:cs="Arial"/>
        </w:rPr>
        <w:t xml:space="preserve"> in the </w:t>
      </w:r>
      <w:r w:rsidR="004D4DD2">
        <w:rPr>
          <w:rFonts w:ascii="Arial" w:hAnsi="Arial" w:cs="Arial"/>
        </w:rPr>
        <w:t>EEPC</w:t>
      </w:r>
      <w:r>
        <w:rPr>
          <w:rFonts w:ascii="Arial" w:hAnsi="Arial" w:cs="Arial"/>
        </w:rPr>
        <w:t xml:space="preserve"> </w:t>
      </w:r>
      <w:r w:rsidR="00AA15AD">
        <w:rPr>
          <w:rFonts w:ascii="Arial" w:hAnsi="Arial" w:cs="Arial"/>
        </w:rPr>
        <w:t xml:space="preserve">Commercial Class </w:t>
      </w:r>
      <w:r>
        <w:rPr>
          <w:rFonts w:ascii="Arial" w:hAnsi="Arial" w:cs="Arial"/>
        </w:rPr>
        <w:t xml:space="preserve">rate </w:t>
      </w:r>
      <w:r w:rsidR="00582635">
        <w:rPr>
          <w:rFonts w:ascii="Arial" w:hAnsi="Arial" w:cs="Arial"/>
        </w:rPr>
        <w:t xml:space="preserve">calculation </w:t>
      </w:r>
      <w:r>
        <w:rPr>
          <w:rFonts w:ascii="Arial" w:hAnsi="Arial" w:cs="Arial"/>
        </w:rPr>
        <w:t xml:space="preserve">that became effective </w:t>
      </w:r>
      <w:r w:rsidR="004D4DD2">
        <w:rPr>
          <w:rFonts w:ascii="Arial" w:hAnsi="Arial" w:cs="Arial"/>
        </w:rPr>
        <w:t xml:space="preserve">June 1, 2016 </w:t>
      </w:r>
      <w:r w:rsidR="00582635">
        <w:rPr>
          <w:rFonts w:ascii="Arial" w:hAnsi="Arial" w:cs="Arial"/>
        </w:rPr>
        <w:t>at Docket No.</w:t>
      </w:r>
      <w:r>
        <w:rPr>
          <w:rFonts w:ascii="Arial" w:hAnsi="Arial" w:cs="Arial"/>
        </w:rPr>
        <w:t xml:space="preserve"> </w:t>
      </w:r>
      <w:r w:rsidR="00415909" w:rsidRPr="00415909">
        <w:rPr>
          <w:rFonts w:ascii="Arial" w:hAnsi="Arial" w:cs="Arial"/>
        </w:rPr>
        <w:t>M-2016-2547161</w:t>
      </w:r>
      <w:r w:rsidR="00582635">
        <w:rPr>
          <w:rFonts w:ascii="Arial" w:hAnsi="Arial" w:cs="Arial"/>
        </w:rPr>
        <w:t>.</w:t>
      </w:r>
    </w:p>
    <w:p w14:paraId="263B8A81" w14:textId="77777777" w:rsidR="00277368" w:rsidRDefault="00277368" w:rsidP="00277368">
      <w:pPr>
        <w:tabs>
          <w:tab w:val="left" w:pos="-1440"/>
          <w:tab w:val="left" w:pos="-720"/>
          <w:tab w:val="left" w:pos="864"/>
          <w:tab w:val="decimal" w:pos="6192"/>
          <w:tab w:val="decimal" w:pos="7344"/>
        </w:tabs>
        <w:suppressAutoHyphens/>
        <w:rPr>
          <w:rFonts w:ascii="Arial" w:hAnsi="Arial" w:cs="Arial"/>
        </w:rPr>
      </w:pPr>
      <w:r>
        <w:rPr>
          <w:rFonts w:ascii="Arial" w:hAnsi="Arial" w:cs="Arial"/>
        </w:rPr>
        <w:tab/>
      </w:r>
      <w:r>
        <w:rPr>
          <w:rFonts w:ascii="Arial" w:hAnsi="Arial" w:cs="Arial"/>
        </w:rPr>
        <w:tab/>
      </w:r>
    </w:p>
    <w:p w14:paraId="553D44F0" w14:textId="77777777" w:rsidR="000B4C28" w:rsidRDefault="000B4C28" w:rsidP="00277368">
      <w:pPr>
        <w:tabs>
          <w:tab w:val="left" w:pos="-1440"/>
          <w:tab w:val="left" w:pos="-720"/>
          <w:tab w:val="left" w:pos="864"/>
          <w:tab w:val="decimal" w:pos="6192"/>
          <w:tab w:val="decimal" w:pos="7344"/>
        </w:tabs>
        <w:suppressAutoHyphens/>
        <w:rPr>
          <w:rFonts w:ascii="Arial" w:hAnsi="Arial" w:cs="Arial"/>
        </w:rPr>
      </w:pPr>
    </w:p>
    <w:p w14:paraId="2A8A8F5E" w14:textId="77777777" w:rsidR="000945A7" w:rsidRPr="00F00643" w:rsidRDefault="000945A7" w:rsidP="000945A7">
      <w:pPr>
        <w:pStyle w:val="Heading1"/>
        <w:rPr>
          <w:rFonts w:ascii="Arial" w:hAnsi="Arial" w:cs="Arial"/>
          <w:sz w:val="26"/>
          <w:szCs w:val="24"/>
          <w:u w:val="none"/>
        </w:rPr>
      </w:pPr>
      <w:r w:rsidRPr="00F00643">
        <w:rPr>
          <w:rFonts w:ascii="Arial" w:hAnsi="Arial" w:cs="Arial"/>
          <w:sz w:val="26"/>
          <w:szCs w:val="24"/>
          <w:u w:val="none"/>
        </w:rPr>
        <w:t>ACKNOWLEDGEMENT</w:t>
      </w:r>
    </w:p>
    <w:p w14:paraId="20AADD5F" w14:textId="77777777" w:rsidR="000945A7" w:rsidRPr="002C61BD" w:rsidRDefault="000945A7" w:rsidP="000945A7">
      <w:pPr>
        <w:rPr>
          <w:rFonts w:ascii="Arial" w:hAnsi="Arial" w:cs="Arial"/>
          <w:b/>
          <w:szCs w:val="24"/>
          <w:u w:val="single"/>
        </w:rPr>
      </w:pPr>
    </w:p>
    <w:p w14:paraId="55FB3F48" w14:textId="77777777" w:rsidR="00BD60B9" w:rsidRPr="0012697C" w:rsidRDefault="00BD60B9" w:rsidP="00BD60B9">
      <w:pPr>
        <w:ind w:firstLine="720"/>
        <w:rPr>
          <w:rFonts w:ascii="Arial" w:hAnsi="Arial" w:cs="Arial"/>
          <w:szCs w:val="24"/>
        </w:rPr>
      </w:pPr>
      <w:r w:rsidRPr="00982C30">
        <w:rPr>
          <w:rFonts w:ascii="Arial" w:hAnsi="Arial" w:cs="Arial"/>
          <w:szCs w:val="24"/>
        </w:rPr>
        <w:t>We wish to express our appreciation to the officers and staff of PECO Energy Company for the</w:t>
      </w:r>
      <w:r>
        <w:rPr>
          <w:rFonts w:ascii="Arial" w:hAnsi="Arial" w:cs="Arial"/>
          <w:szCs w:val="24"/>
        </w:rPr>
        <w:t>ir</w:t>
      </w:r>
      <w:r w:rsidRPr="00982C30">
        <w:rPr>
          <w:rFonts w:ascii="Arial" w:hAnsi="Arial" w:cs="Arial"/>
          <w:szCs w:val="24"/>
        </w:rPr>
        <w:t xml:space="preserve"> cooperation and assistance</w:t>
      </w:r>
      <w:r>
        <w:rPr>
          <w:rFonts w:ascii="Arial" w:hAnsi="Arial" w:cs="Arial"/>
          <w:szCs w:val="24"/>
        </w:rPr>
        <w:t>.</w:t>
      </w:r>
      <w:r w:rsidRPr="00982C30">
        <w:rPr>
          <w:rFonts w:ascii="Arial" w:hAnsi="Arial" w:cs="Arial"/>
          <w:szCs w:val="24"/>
        </w:rPr>
        <w:t xml:space="preserve">  The audit was conducted by </w:t>
      </w:r>
      <w:r>
        <w:rPr>
          <w:rFonts w:ascii="Arial" w:hAnsi="Arial" w:cs="Arial"/>
          <w:szCs w:val="24"/>
        </w:rPr>
        <w:t>Katrina S. Johnson</w:t>
      </w:r>
      <w:r w:rsidRPr="00982C30">
        <w:rPr>
          <w:rFonts w:ascii="Arial" w:hAnsi="Arial" w:cs="Arial"/>
          <w:szCs w:val="24"/>
        </w:rPr>
        <w:t xml:space="preserve">, assisted by </w:t>
      </w:r>
      <w:r>
        <w:rPr>
          <w:rFonts w:ascii="Arial" w:hAnsi="Arial" w:cs="Arial"/>
          <w:szCs w:val="24"/>
        </w:rPr>
        <w:t>Darrell C. Baxter</w:t>
      </w:r>
      <w:r w:rsidRPr="00982C30">
        <w:rPr>
          <w:rFonts w:ascii="Arial" w:hAnsi="Arial" w:cs="Arial"/>
          <w:szCs w:val="24"/>
        </w:rPr>
        <w:t>.</w:t>
      </w:r>
    </w:p>
    <w:p w14:paraId="22B788B9" w14:textId="77777777" w:rsidR="000945A7" w:rsidRPr="002C61BD" w:rsidRDefault="000945A7" w:rsidP="000945A7">
      <w:pPr>
        <w:rPr>
          <w:rFonts w:ascii="Arial" w:hAnsi="Arial" w:cs="Arial"/>
          <w:b/>
          <w:szCs w:val="24"/>
          <w:u w:val="single"/>
        </w:rPr>
      </w:pPr>
    </w:p>
    <w:p w14:paraId="7604D355" w14:textId="77777777" w:rsidR="00E26A3A" w:rsidRDefault="000945A7" w:rsidP="00C654AA">
      <w:r w:rsidRPr="002C61BD">
        <w:rPr>
          <w:rFonts w:ascii="Arial" w:hAnsi="Arial" w:cs="Arial"/>
          <w:szCs w:val="24"/>
        </w:rPr>
        <w:tab/>
        <w:t xml:space="preserve"> </w:t>
      </w:r>
    </w:p>
    <w:p w14:paraId="322C5193" w14:textId="77777777" w:rsidR="00BF7F33" w:rsidRPr="002C61BD" w:rsidRDefault="00BF7F33" w:rsidP="00E26A3A">
      <w:pPr>
        <w:rPr>
          <w:rFonts w:ascii="Arial" w:hAnsi="Arial" w:cs="Arial"/>
          <w:szCs w:val="24"/>
        </w:rPr>
      </w:pPr>
    </w:p>
    <w:sectPr w:rsidR="00BF7F33" w:rsidRPr="002C61BD" w:rsidSect="009D2B2E">
      <w:headerReference w:type="even" r:id="rId33"/>
      <w:headerReference w:type="default" r:id="rId34"/>
      <w:footerReference w:type="default" r:id="rId35"/>
      <w:headerReference w:type="first" r:id="rId36"/>
      <w:endnotePr>
        <w:numFmt w:val="decimal"/>
      </w:endnotePr>
      <w:pgSz w:w="12240" w:h="15840" w:code="1"/>
      <w:pgMar w:top="1440" w:right="1440" w:bottom="1440" w:left="1440" w:header="720" w:footer="720" w:gutter="0"/>
      <w:pgNumType w:fmt="numberInDash" w:start="6"/>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CF5B9" w14:textId="77777777" w:rsidR="00A556E7" w:rsidRDefault="00A556E7" w:rsidP="005E2A00">
      <w:r>
        <w:separator/>
      </w:r>
    </w:p>
  </w:endnote>
  <w:endnote w:type="continuationSeparator" w:id="0">
    <w:p w14:paraId="42ACE7B9" w14:textId="77777777" w:rsidR="00A556E7" w:rsidRDefault="00A556E7" w:rsidP="005E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C6C7" w14:textId="78B1B912" w:rsidR="00D054BC" w:rsidRDefault="00D054BC">
    <w:pPr>
      <w:pStyle w:val="Footer"/>
      <w:jc w:val="center"/>
    </w:pPr>
  </w:p>
  <w:p w14:paraId="56FAA2D3" w14:textId="77777777" w:rsidR="00D054BC" w:rsidRDefault="00D05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993493"/>
      <w:docPartObj>
        <w:docPartGallery w:val="Page Numbers (Bottom of Page)"/>
        <w:docPartUnique/>
      </w:docPartObj>
    </w:sdtPr>
    <w:sdtEndPr>
      <w:rPr>
        <w:rFonts w:ascii="Arial" w:hAnsi="Arial" w:cs="Arial"/>
        <w:noProof/>
      </w:rPr>
    </w:sdtEndPr>
    <w:sdtContent>
      <w:p w14:paraId="308FCAC7" w14:textId="4B7E7E6A" w:rsidR="009D2B2E" w:rsidRPr="00500DBB" w:rsidRDefault="009D2B2E">
        <w:pPr>
          <w:pStyle w:val="Footer"/>
          <w:jc w:val="center"/>
          <w:rPr>
            <w:rFonts w:ascii="Arial" w:hAnsi="Arial" w:cs="Arial"/>
          </w:rPr>
        </w:pPr>
        <w:r w:rsidRPr="00500DBB">
          <w:rPr>
            <w:rFonts w:ascii="Arial" w:hAnsi="Arial" w:cs="Arial"/>
          </w:rPr>
          <w:fldChar w:fldCharType="begin"/>
        </w:r>
        <w:r w:rsidRPr="00500DBB">
          <w:rPr>
            <w:rFonts w:ascii="Arial" w:hAnsi="Arial" w:cs="Arial"/>
          </w:rPr>
          <w:instrText xml:space="preserve"> PAGE   \* MERGEFORMAT </w:instrText>
        </w:r>
        <w:r w:rsidRPr="00500DBB">
          <w:rPr>
            <w:rFonts w:ascii="Arial" w:hAnsi="Arial" w:cs="Arial"/>
          </w:rPr>
          <w:fldChar w:fldCharType="separate"/>
        </w:r>
        <w:r w:rsidRPr="00500DBB">
          <w:rPr>
            <w:rFonts w:ascii="Arial" w:hAnsi="Arial" w:cs="Arial"/>
            <w:noProof/>
          </w:rPr>
          <w:t>2</w:t>
        </w:r>
        <w:r w:rsidRPr="00500DBB">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88949"/>
      <w:docPartObj>
        <w:docPartGallery w:val="Page Numbers (Bottom of Page)"/>
        <w:docPartUnique/>
      </w:docPartObj>
    </w:sdtPr>
    <w:sdtEndPr>
      <w:rPr>
        <w:rFonts w:ascii="Arial" w:hAnsi="Arial" w:cs="Arial"/>
        <w:noProof/>
      </w:rPr>
    </w:sdtEndPr>
    <w:sdtContent>
      <w:p w14:paraId="6492E702" w14:textId="2D0A18D1" w:rsidR="009D2B2E" w:rsidRPr="009D2B2E" w:rsidRDefault="009D2B2E">
        <w:pPr>
          <w:pStyle w:val="Footer"/>
          <w:jc w:val="center"/>
          <w:rPr>
            <w:rFonts w:ascii="Arial" w:hAnsi="Arial" w:cs="Arial"/>
          </w:rPr>
        </w:pPr>
        <w:r w:rsidRPr="009D2B2E">
          <w:rPr>
            <w:rFonts w:ascii="Arial" w:hAnsi="Arial" w:cs="Arial"/>
          </w:rPr>
          <w:fldChar w:fldCharType="begin"/>
        </w:r>
        <w:r w:rsidRPr="009D2B2E">
          <w:rPr>
            <w:rFonts w:ascii="Arial" w:hAnsi="Arial" w:cs="Arial"/>
          </w:rPr>
          <w:instrText xml:space="preserve"> PAGE   \* MERGEFORMAT </w:instrText>
        </w:r>
        <w:r w:rsidRPr="009D2B2E">
          <w:rPr>
            <w:rFonts w:ascii="Arial" w:hAnsi="Arial" w:cs="Arial"/>
          </w:rPr>
          <w:fldChar w:fldCharType="separate"/>
        </w:r>
        <w:r w:rsidRPr="009D2B2E">
          <w:rPr>
            <w:rFonts w:ascii="Arial" w:hAnsi="Arial" w:cs="Arial"/>
            <w:noProof/>
          </w:rPr>
          <w:t>2</w:t>
        </w:r>
        <w:r w:rsidRPr="009D2B2E">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781341"/>
      <w:docPartObj>
        <w:docPartGallery w:val="Page Numbers (Bottom of Page)"/>
        <w:docPartUnique/>
      </w:docPartObj>
    </w:sdtPr>
    <w:sdtEndPr>
      <w:rPr>
        <w:rFonts w:ascii="Arial" w:hAnsi="Arial" w:cs="Arial"/>
        <w:noProof/>
      </w:rPr>
    </w:sdtEndPr>
    <w:sdtContent>
      <w:p w14:paraId="5BC94B50" w14:textId="4569D055" w:rsidR="009D2B2E" w:rsidRPr="00303CCA" w:rsidRDefault="009D2B2E">
        <w:pPr>
          <w:pStyle w:val="Footer"/>
          <w:jc w:val="center"/>
          <w:rPr>
            <w:rFonts w:ascii="Arial" w:hAnsi="Arial" w:cs="Arial"/>
          </w:rPr>
        </w:pPr>
        <w:r w:rsidRPr="00303CCA">
          <w:rPr>
            <w:rFonts w:ascii="Arial" w:hAnsi="Arial" w:cs="Arial"/>
          </w:rPr>
          <w:fldChar w:fldCharType="begin"/>
        </w:r>
        <w:r w:rsidRPr="00303CCA">
          <w:rPr>
            <w:rFonts w:ascii="Arial" w:hAnsi="Arial" w:cs="Arial"/>
          </w:rPr>
          <w:instrText xml:space="preserve"> PAGE   \* MERGEFORMAT </w:instrText>
        </w:r>
        <w:r w:rsidRPr="00303CCA">
          <w:rPr>
            <w:rFonts w:ascii="Arial" w:hAnsi="Arial" w:cs="Arial"/>
          </w:rPr>
          <w:fldChar w:fldCharType="separate"/>
        </w:r>
        <w:r w:rsidRPr="00303CCA">
          <w:rPr>
            <w:rFonts w:ascii="Arial" w:hAnsi="Arial" w:cs="Arial"/>
            <w:noProof/>
          </w:rPr>
          <w:t>2</w:t>
        </w:r>
        <w:r w:rsidRPr="00303CCA">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49692"/>
      <w:docPartObj>
        <w:docPartGallery w:val="Page Numbers (Bottom of Page)"/>
        <w:docPartUnique/>
      </w:docPartObj>
    </w:sdtPr>
    <w:sdtEndPr>
      <w:rPr>
        <w:rFonts w:ascii="Arial" w:hAnsi="Arial" w:cs="Arial"/>
        <w:noProof/>
      </w:rPr>
    </w:sdtEndPr>
    <w:sdtContent>
      <w:p w14:paraId="51862307" w14:textId="25385880" w:rsidR="009D2B2E" w:rsidRPr="00787FA2" w:rsidRDefault="009D2B2E">
        <w:pPr>
          <w:pStyle w:val="Footer"/>
          <w:jc w:val="center"/>
          <w:rPr>
            <w:rFonts w:ascii="Arial" w:hAnsi="Arial" w:cs="Arial"/>
          </w:rPr>
        </w:pPr>
        <w:r w:rsidRPr="00787FA2">
          <w:rPr>
            <w:rFonts w:ascii="Arial" w:hAnsi="Arial" w:cs="Arial"/>
          </w:rPr>
          <w:fldChar w:fldCharType="begin"/>
        </w:r>
        <w:r w:rsidRPr="00787FA2">
          <w:rPr>
            <w:rFonts w:ascii="Arial" w:hAnsi="Arial" w:cs="Arial"/>
          </w:rPr>
          <w:instrText xml:space="preserve"> PAGE   \* MERGEFORMAT </w:instrText>
        </w:r>
        <w:r w:rsidRPr="00787FA2">
          <w:rPr>
            <w:rFonts w:ascii="Arial" w:hAnsi="Arial" w:cs="Arial"/>
          </w:rPr>
          <w:fldChar w:fldCharType="separate"/>
        </w:r>
        <w:r w:rsidRPr="00787FA2">
          <w:rPr>
            <w:rFonts w:ascii="Arial" w:hAnsi="Arial" w:cs="Arial"/>
            <w:noProof/>
          </w:rPr>
          <w:t>2</w:t>
        </w:r>
        <w:r w:rsidRPr="00787FA2">
          <w:rPr>
            <w:rFonts w:ascii="Arial" w:hAnsi="Arial"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829862299"/>
      <w:docPartObj>
        <w:docPartGallery w:val="Page Numbers (Bottom of Page)"/>
        <w:docPartUnique/>
      </w:docPartObj>
    </w:sdtPr>
    <w:sdtEndPr>
      <w:rPr>
        <w:noProof/>
      </w:rPr>
    </w:sdtEndPr>
    <w:sdtContent>
      <w:p w14:paraId="61EB771A" w14:textId="6E6512A3" w:rsidR="009D2B2E" w:rsidRPr="004426B0" w:rsidRDefault="009D2B2E">
        <w:pPr>
          <w:pStyle w:val="Footer"/>
          <w:jc w:val="center"/>
          <w:rPr>
            <w:rFonts w:ascii="Arial" w:hAnsi="Arial" w:cs="Arial"/>
          </w:rPr>
        </w:pPr>
        <w:r w:rsidRPr="004426B0">
          <w:rPr>
            <w:rFonts w:ascii="Arial" w:hAnsi="Arial" w:cs="Arial"/>
          </w:rPr>
          <w:fldChar w:fldCharType="begin"/>
        </w:r>
        <w:r w:rsidRPr="004426B0">
          <w:rPr>
            <w:rFonts w:ascii="Arial" w:hAnsi="Arial" w:cs="Arial"/>
          </w:rPr>
          <w:instrText xml:space="preserve"> PAGE   \* MERGEFORMAT </w:instrText>
        </w:r>
        <w:r w:rsidRPr="004426B0">
          <w:rPr>
            <w:rFonts w:ascii="Arial" w:hAnsi="Arial" w:cs="Arial"/>
          </w:rPr>
          <w:fldChar w:fldCharType="separate"/>
        </w:r>
        <w:r w:rsidRPr="004426B0">
          <w:rPr>
            <w:rFonts w:ascii="Arial" w:hAnsi="Arial" w:cs="Arial"/>
            <w:noProof/>
          </w:rPr>
          <w:t>2</w:t>
        </w:r>
        <w:r w:rsidRPr="004426B0">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9C659" w14:textId="77777777" w:rsidR="00A556E7" w:rsidRDefault="00A556E7" w:rsidP="005E2A00">
      <w:r>
        <w:separator/>
      </w:r>
    </w:p>
  </w:footnote>
  <w:footnote w:type="continuationSeparator" w:id="0">
    <w:p w14:paraId="5BA2635E" w14:textId="77777777" w:rsidR="00A556E7" w:rsidRDefault="00A556E7" w:rsidP="005E2A00">
      <w:r>
        <w:continuationSeparator/>
      </w:r>
    </w:p>
  </w:footnote>
  <w:footnote w:id="1">
    <w:p w14:paraId="51D7AF14" w14:textId="4155015B" w:rsidR="00BD33D2" w:rsidRPr="00451D6E" w:rsidRDefault="00E40CFE" w:rsidP="00BD33D2">
      <w:pPr>
        <w:pStyle w:val="FootnoteText"/>
        <w:ind w:left="-180" w:firstLine="180"/>
        <w:rPr>
          <w:rFonts w:ascii="Arial" w:hAnsi="Arial" w:cs="Arial"/>
          <w:sz w:val="16"/>
          <w:szCs w:val="16"/>
        </w:rPr>
      </w:pPr>
      <w:r w:rsidRPr="00451D6E">
        <w:rPr>
          <w:rStyle w:val="FootnoteReference"/>
          <w:rFonts w:ascii="Arial" w:hAnsi="Arial" w:cs="Arial"/>
          <w:sz w:val="16"/>
          <w:szCs w:val="16"/>
        </w:rPr>
        <w:footnoteRef/>
      </w:r>
      <w:r w:rsidRPr="00451D6E">
        <w:rPr>
          <w:rFonts w:ascii="Arial" w:hAnsi="Arial" w:cs="Arial"/>
          <w:sz w:val="16"/>
          <w:szCs w:val="16"/>
        </w:rPr>
        <w:t xml:space="preserve"> As reported to the Commission at Docket No. M-2016-2546449.</w:t>
      </w:r>
      <w:r w:rsidR="00BD33D2" w:rsidRPr="00451D6E">
        <w:rPr>
          <w:rFonts w:ascii="Arial" w:hAnsi="Arial" w:cs="Arial"/>
          <w:sz w:val="16"/>
          <w:szCs w:val="16"/>
        </w:rPr>
        <w:t xml:space="preserve">  </w:t>
      </w:r>
    </w:p>
    <w:p w14:paraId="5A646848" w14:textId="77777777" w:rsidR="00E40CFE" w:rsidRPr="00451D6E" w:rsidRDefault="00E40CFE">
      <w:pPr>
        <w:pStyle w:val="FootnoteText"/>
        <w:rPr>
          <w:rFonts w:ascii="Arial" w:hAnsi="Arial" w:cs="Arial"/>
          <w:sz w:val="16"/>
          <w:szCs w:val="16"/>
        </w:rPr>
      </w:pPr>
    </w:p>
  </w:footnote>
  <w:footnote w:id="2">
    <w:p w14:paraId="37AF4108" w14:textId="77777777" w:rsidR="00451D6E" w:rsidRPr="00451D6E" w:rsidRDefault="00451D6E" w:rsidP="00451D6E">
      <w:pPr>
        <w:tabs>
          <w:tab w:val="center" w:pos="4680"/>
        </w:tabs>
        <w:suppressAutoHyphens/>
        <w:rPr>
          <w:rFonts w:ascii="Arial" w:hAnsi="Arial" w:cs="Arial"/>
          <w:sz w:val="16"/>
          <w:szCs w:val="16"/>
        </w:rPr>
      </w:pPr>
      <w:r w:rsidRPr="00451D6E">
        <w:rPr>
          <w:rStyle w:val="FootnoteReference"/>
          <w:rFonts w:ascii="Arial" w:hAnsi="Arial" w:cs="Arial"/>
          <w:sz w:val="16"/>
          <w:szCs w:val="16"/>
        </w:rPr>
        <w:footnoteRef/>
      </w:r>
      <w:r w:rsidRPr="00451D6E">
        <w:rPr>
          <w:rFonts w:ascii="Arial" w:hAnsi="Arial" w:cs="Arial"/>
          <w:sz w:val="16"/>
          <w:szCs w:val="16"/>
        </w:rPr>
        <w:t xml:space="preserve"> Arithmetic differences are due to rounding.</w:t>
      </w:r>
    </w:p>
    <w:p w14:paraId="0CC3F650" w14:textId="57E4CAA0" w:rsidR="00451D6E" w:rsidRPr="00451D6E" w:rsidRDefault="00451D6E">
      <w:pPr>
        <w:pStyle w:val="FootnoteText"/>
        <w:rPr>
          <w:rFonts w:ascii="Arial" w:hAnsi="Arial" w:cs="Arial"/>
          <w:sz w:val="16"/>
          <w:szCs w:val="16"/>
        </w:rPr>
      </w:pPr>
    </w:p>
  </w:footnote>
  <w:footnote w:id="3">
    <w:p w14:paraId="59018013" w14:textId="77777777" w:rsidR="00E40CFE" w:rsidRDefault="00E40CFE">
      <w:pPr>
        <w:pStyle w:val="FootnoteText"/>
      </w:pPr>
      <w:r w:rsidRPr="00451D6E">
        <w:rPr>
          <w:rStyle w:val="FootnoteReference"/>
          <w:rFonts w:ascii="Arial" w:hAnsi="Arial" w:cs="Arial"/>
          <w:sz w:val="16"/>
          <w:szCs w:val="16"/>
        </w:rPr>
        <w:footnoteRef/>
      </w:r>
      <w:r w:rsidRPr="00451D6E">
        <w:rPr>
          <w:rFonts w:ascii="Arial" w:hAnsi="Arial" w:cs="Arial"/>
          <w:sz w:val="16"/>
          <w:szCs w:val="16"/>
        </w:rPr>
        <w:t xml:space="preserve"> Notes to the Financial Statement are an integral part of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9D1C" w14:textId="7362FDCD" w:rsidR="005C5256" w:rsidRDefault="005C525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DD1E" w14:textId="768ED007" w:rsidR="00D054BC" w:rsidRDefault="00D054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77C8" w14:textId="5FCF9267" w:rsidR="00D054BC" w:rsidRDefault="00B87FDB" w:rsidP="00B87FDB">
    <w:pPr>
      <w:pStyle w:val="Header"/>
      <w:jc w:val="center"/>
    </w:pPr>
    <w:r w:rsidRPr="00FF5E4A">
      <w:rPr>
        <w:rFonts w:ascii="Arial" w:hAnsi="Arial" w:cs="Arial"/>
        <w:b/>
        <w:sz w:val="26"/>
        <w:szCs w:val="26"/>
      </w:rPr>
      <w:t>PECO ENERGY COMPANY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755E" w14:textId="0D399ED4" w:rsidR="00B87FDB" w:rsidRPr="001D0DB6" w:rsidRDefault="00B87FDB" w:rsidP="00B87FDB">
    <w:pPr>
      <w:pStyle w:val="Heading1"/>
      <w:rPr>
        <w:rFonts w:ascii="Arial" w:hAnsi="Arial" w:cs="Arial"/>
        <w:sz w:val="26"/>
        <w:szCs w:val="26"/>
        <w:u w:val="none"/>
      </w:rPr>
    </w:pPr>
    <w:r w:rsidRPr="001D0DB6">
      <w:rPr>
        <w:rFonts w:ascii="Arial" w:hAnsi="Arial" w:cs="Arial"/>
        <w:sz w:val="26"/>
        <w:szCs w:val="26"/>
        <w:u w:val="none"/>
      </w:rPr>
      <w:t xml:space="preserve">PECO ENERGY COMPANY </w:t>
    </w:r>
  </w:p>
  <w:p w14:paraId="51CA62AD" w14:textId="77777777" w:rsidR="00D054BC" w:rsidRDefault="00D054B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38D0B" w14:textId="121E6CCD" w:rsidR="005C5256" w:rsidRDefault="005C525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253B" w14:textId="3440B13E" w:rsidR="005C5256" w:rsidRDefault="005C52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0F94" w14:textId="39306EFB" w:rsidR="005C5256" w:rsidRDefault="00C4167D" w:rsidP="00C4167D">
    <w:pPr>
      <w:pStyle w:val="Header"/>
      <w:jc w:val="center"/>
    </w:pPr>
    <w:r w:rsidRPr="00FF5E4A">
      <w:rPr>
        <w:rFonts w:ascii="Arial" w:hAnsi="Arial" w:cs="Arial"/>
        <w:b/>
        <w:sz w:val="26"/>
        <w:szCs w:val="26"/>
      </w:rPr>
      <w:t>PECO ENERGY COMPANY</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FA8D9" w14:textId="0FFF1C1D" w:rsidR="00D054BC" w:rsidRDefault="00D054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AD58" w14:textId="48E6347D" w:rsidR="00B87FDB" w:rsidRPr="001D0DB6" w:rsidRDefault="00B87FDB" w:rsidP="00B87FDB">
    <w:pPr>
      <w:keepNext/>
      <w:tabs>
        <w:tab w:val="left" w:pos="360"/>
      </w:tabs>
      <w:overflowPunct/>
      <w:autoSpaceDE/>
      <w:autoSpaceDN/>
      <w:adjustRightInd/>
      <w:jc w:val="center"/>
      <w:textAlignment w:val="auto"/>
      <w:outlineLvl w:val="5"/>
      <w:rPr>
        <w:rFonts w:ascii="Arial" w:hAnsi="Arial" w:cs="Arial"/>
        <w:b/>
        <w:sz w:val="26"/>
        <w:szCs w:val="26"/>
      </w:rPr>
    </w:pPr>
    <w:r w:rsidRPr="001D0DB6">
      <w:rPr>
        <w:rFonts w:ascii="Arial" w:hAnsi="Arial" w:cs="Arial"/>
        <w:b/>
        <w:sz w:val="26"/>
        <w:szCs w:val="26"/>
      </w:rPr>
      <w:t>PECO ENERGY COMPANY</w:t>
    </w:r>
  </w:p>
  <w:p w14:paraId="0E83D10E" w14:textId="77777777" w:rsidR="00D054BC" w:rsidRDefault="00D054B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603F" w14:textId="30DC56EA" w:rsidR="00D054BC" w:rsidRDefault="00D054B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A912" w14:textId="24404D5F" w:rsidR="005C5256" w:rsidRDefault="005C5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FEA6" w14:textId="37AF910B" w:rsidR="005C5256" w:rsidRDefault="005C525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F9277" w14:textId="51E4F221" w:rsidR="005C5256" w:rsidRDefault="00BA113C" w:rsidP="00BA113C">
    <w:pPr>
      <w:pStyle w:val="Header"/>
      <w:jc w:val="center"/>
    </w:pPr>
    <w:r w:rsidRPr="00FF5E4A">
      <w:rPr>
        <w:rFonts w:ascii="Arial" w:hAnsi="Arial" w:cs="Arial"/>
        <w:b/>
        <w:sz w:val="26"/>
        <w:szCs w:val="26"/>
      </w:rPr>
      <w:t>PECO ENERGY COMPANY</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F97A" w14:textId="427882D7" w:rsidR="005C5256" w:rsidRDefault="005C5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7C8E9" w14:textId="6FE65BF7" w:rsidR="001C0782" w:rsidRDefault="001C0782" w:rsidP="001C0782">
    <w:pPr>
      <w:pStyle w:val="Header"/>
      <w:jc w:val="center"/>
    </w:pPr>
    <w:r w:rsidRPr="00FF5E4A">
      <w:rPr>
        <w:rFonts w:ascii="Arial" w:hAnsi="Arial" w:cs="Arial"/>
        <w:b/>
        <w:sz w:val="26"/>
        <w:szCs w:val="26"/>
      </w:rPr>
      <w:t>PECO ENERGY COMPANY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95783" w14:textId="191D42DA" w:rsidR="005C5256" w:rsidRDefault="005C52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C553E" w14:textId="129A68DC" w:rsidR="005C5256" w:rsidRDefault="005C52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A5A1" w14:textId="655C184E" w:rsidR="005C5256" w:rsidRDefault="005C4203" w:rsidP="005C4203">
    <w:pPr>
      <w:pStyle w:val="Header"/>
      <w:jc w:val="center"/>
    </w:pPr>
    <w:r w:rsidRPr="00FF5E4A">
      <w:rPr>
        <w:rFonts w:ascii="Arial" w:hAnsi="Arial" w:cs="Arial"/>
        <w:b/>
        <w:sz w:val="26"/>
        <w:szCs w:val="26"/>
      </w:rPr>
      <w:t>PECO ENERGY COMPANY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B977" w14:textId="7438804D" w:rsidR="00D054BC" w:rsidRDefault="00D054B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0A65" w14:textId="369F02C2" w:rsidR="00D054BC" w:rsidRDefault="00D054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41874" w14:textId="48B57439" w:rsidR="00D054BC" w:rsidRDefault="00D05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225C"/>
    <w:multiLevelType w:val="hybridMultilevel"/>
    <w:tmpl w:val="CF58117E"/>
    <w:lvl w:ilvl="0" w:tplc="7D5C8F16">
      <w:numFmt w:val="bullet"/>
      <w:lvlText w:val="-"/>
      <w:lvlJc w:val="left"/>
      <w:pPr>
        <w:ind w:left="1740" w:hanging="13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F7352"/>
    <w:multiLevelType w:val="hybridMultilevel"/>
    <w:tmpl w:val="9E28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FE0D5B"/>
    <w:multiLevelType w:val="hybridMultilevel"/>
    <w:tmpl w:val="71B22EF2"/>
    <w:lvl w:ilvl="0" w:tplc="4368596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B70"/>
    <w:rsid w:val="00000B6D"/>
    <w:rsid w:val="00003235"/>
    <w:rsid w:val="000044B2"/>
    <w:rsid w:val="0001001D"/>
    <w:rsid w:val="00012316"/>
    <w:rsid w:val="00012C2D"/>
    <w:rsid w:val="00015B05"/>
    <w:rsid w:val="0002575C"/>
    <w:rsid w:val="00026CE1"/>
    <w:rsid w:val="00034724"/>
    <w:rsid w:val="0004387E"/>
    <w:rsid w:val="0004676D"/>
    <w:rsid w:val="000524BF"/>
    <w:rsid w:val="00054582"/>
    <w:rsid w:val="00057816"/>
    <w:rsid w:val="00062804"/>
    <w:rsid w:val="00062D0C"/>
    <w:rsid w:val="00064F26"/>
    <w:rsid w:val="00066015"/>
    <w:rsid w:val="000740FE"/>
    <w:rsid w:val="00074389"/>
    <w:rsid w:val="00075206"/>
    <w:rsid w:val="0007590C"/>
    <w:rsid w:val="000806B0"/>
    <w:rsid w:val="000916A7"/>
    <w:rsid w:val="00092997"/>
    <w:rsid w:val="000942D3"/>
    <w:rsid w:val="000945A7"/>
    <w:rsid w:val="000A20A6"/>
    <w:rsid w:val="000B0C75"/>
    <w:rsid w:val="000B1D11"/>
    <w:rsid w:val="000B3C21"/>
    <w:rsid w:val="000B4C28"/>
    <w:rsid w:val="000B7A2D"/>
    <w:rsid w:val="000C43E1"/>
    <w:rsid w:val="000D0A79"/>
    <w:rsid w:val="000D0F23"/>
    <w:rsid w:val="000D11AE"/>
    <w:rsid w:val="000D624F"/>
    <w:rsid w:val="000D6D1A"/>
    <w:rsid w:val="000E03E3"/>
    <w:rsid w:val="000E68F8"/>
    <w:rsid w:val="000F0FFD"/>
    <w:rsid w:val="000F2030"/>
    <w:rsid w:val="00100692"/>
    <w:rsid w:val="00103666"/>
    <w:rsid w:val="00104B0A"/>
    <w:rsid w:val="00104BE3"/>
    <w:rsid w:val="00105756"/>
    <w:rsid w:val="0010716B"/>
    <w:rsid w:val="00110DBD"/>
    <w:rsid w:val="00113D47"/>
    <w:rsid w:val="001407BE"/>
    <w:rsid w:val="00145B13"/>
    <w:rsid w:val="00146496"/>
    <w:rsid w:val="00150CC5"/>
    <w:rsid w:val="00151038"/>
    <w:rsid w:val="00152E73"/>
    <w:rsid w:val="001551F7"/>
    <w:rsid w:val="00171CCE"/>
    <w:rsid w:val="001725F3"/>
    <w:rsid w:val="001741FA"/>
    <w:rsid w:val="00174DAB"/>
    <w:rsid w:val="0018182B"/>
    <w:rsid w:val="00182192"/>
    <w:rsid w:val="0018591C"/>
    <w:rsid w:val="00191C30"/>
    <w:rsid w:val="00192777"/>
    <w:rsid w:val="00193032"/>
    <w:rsid w:val="00196885"/>
    <w:rsid w:val="001A115E"/>
    <w:rsid w:val="001A381E"/>
    <w:rsid w:val="001A778A"/>
    <w:rsid w:val="001B0F02"/>
    <w:rsid w:val="001B5A48"/>
    <w:rsid w:val="001B739A"/>
    <w:rsid w:val="001C0782"/>
    <w:rsid w:val="001D0DB6"/>
    <w:rsid w:val="001D2717"/>
    <w:rsid w:val="001D55C8"/>
    <w:rsid w:val="001D5696"/>
    <w:rsid w:val="001E1922"/>
    <w:rsid w:val="001E2BFD"/>
    <w:rsid w:val="001E31CB"/>
    <w:rsid w:val="001E7532"/>
    <w:rsid w:val="001F0A2C"/>
    <w:rsid w:val="001F54D1"/>
    <w:rsid w:val="00200481"/>
    <w:rsid w:val="0020301A"/>
    <w:rsid w:val="002127E2"/>
    <w:rsid w:val="00213381"/>
    <w:rsid w:val="00227718"/>
    <w:rsid w:val="00233FB3"/>
    <w:rsid w:val="00240629"/>
    <w:rsid w:val="00242993"/>
    <w:rsid w:val="00253F41"/>
    <w:rsid w:val="00254C2B"/>
    <w:rsid w:val="00263961"/>
    <w:rsid w:val="00277368"/>
    <w:rsid w:val="002805CA"/>
    <w:rsid w:val="00293DD1"/>
    <w:rsid w:val="002A097E"/>
    <w:rsid w:val="002A40DA"/>
    <w:rsid w:val="002A5207"/>
    <w:rsid w:val="002A5D2B"/>
    <w:rsid w:val="002A719D"/>
    <w:rsid w:val="002C61BD"/>
    <w:rsid w:val="002D3442"/>
    <w:rsid w:val="002D4581"/>
    <w:rsid w:val="002E447C"/>
    <w:rsid w:val="002E782D"/>
    <w:rsid w:val="002F03DE"/>
    <w:rsid w:val="002F3332"/>
    <w:rsid w:val="002F3DE3"/>
    <w:rsid w:val="002F5315"/>
    <w:rsid w:val="003010B3"/>
    <w:rsid w:val="00303CCA"/>
    <w:rsid w:val="00304FB4"/>
    <w:rsid w:val="0030587F"/>
    <w:rsid w:val="00306FB7"/>
    <w:rsid w:val="00307B6E"/>
    <w:rsid w:val="00311D8E"/>
    <w:rsid w:val="00312052"/>
    <w:rsid w:val="00314E35"/>
    <w:rsid w:val="003221A3"/>
    <w:rsid w:val="003346C5"/>
    <w:rsid w:val="00334DDB"/>
    <w:rsid w:val="0034172E"/>
    <w:rsid w:val="003432FF"/>
    <w:rsid w:val="00343C2B"/>
    <w:rsid w:val="00344301"/>
    <w:rsid w:val="00344CDD"/>
    <w:rsid w:val="003512B8"/>
    <w:rsid w:val="003514D8"/>
    <w:rsid w:val="00353288"/>
    <w:rsid w:val="00353A04"/>
    <w:rsid w:val="00362058"/>
    <w:rsid w:val="0036254A"/>
    <w:rsid w:val="00364C8F"/>
    <w:rsid w:val="00367032"/>
    <w:rsid w:val="003701D0"/>
    <w:rsid w:val="0037313F"/>
    <w:rsid w:val="003819CF"/>
    <w:rsid w:val="00383998"/>
    <w:rsid w:val="00390AB1"/>
    <w:rsid w:val="00392DF4"/>
    <w:rsid w:val="003944C3"/>
    <w:rsid w:val="003A0348"/>
    <w:rsid w:val="003A43BD"/>
    <w:rsid w:val="003A628A"/>
    <w:rsid w:val="003B1D8A"/>
    <w:rsid w:val="003C0D72"/>
    <w:rsid w:val="003C2BBD"/>
    <w:rsid w:val="003C4157"/>
    <w:rsid w:val="003C5607"/>
    <w:rsid w:val="003D0F37"/>
    <w:rsid w:val="003D24C0"/>
    <w:rsid w:val="003E4581"/>
    <w:rsid w:val="003E703F"/>
    <w:rsid w:val="003F0080"/>
    <w:rsid w:val="004028FF"/>
    <w:rsid w:val="00415909"/>
    <w:rsid w:val="004163D6"/>
    <w:rsid w:val="00417BA1"/>
    <w:rsid w:val="004217BE"/>
    <w:rsid w:val="004224AC"/>
    <w:rsid w:val="00422583"/>
    <w:rsid w:val="00423ED4"/>
    <w:rsid w:val="004253EB"/>
    <w:rsid w:val="00427CB0"/>
    <w:rsid w:val="004340F7"/>
    <w:rsid w:val="00434880"/>
    <w:rsid w:val="00441453"/>
    <w:rsid w:val="004418A1"/>
    <w:rsid w:val="0044214F"/>
    <w:rsid w:val="004426B0"/>
    <w:rsid w:val="0044516E"/>
    <w:rsid w:val="004500B9"/>
    <w:rsid w:val="004501B5"/>
    <w:rsid w:val="00451D6E"/>
    <w:rsid w:val="004560D1"/>
    <w:rsid w:val="004714C1"/>
    <w:rsid w:val="00471F61"/>
    <w:rsid w:val="00475C15"/>
    <w:rsid w:val="004771EF"/>
    <w:rsid w:val="00477B56"/>
    <w:rsid w:val="00481887"/>
    <w:rsid w:val="00483652"/>
    <w:rsid w:val="004863BC"/>
    <w:rsid w:val="00491053"/>
    <w:rsid w:val="004917DA"/>
    <w:rsid w:val="00496A30"/>
    <w:rsid w:val="004A421C"/>
    <w:rsid w:val="004A6646"/>
    <w:rsid w:val="004A75C3"/>
    <w:rsid w:val="004B402B"/>
    <w:rsid w:val="004B51AF"/>
    <w:rsid w:val="004B6A58"/>
    <w:rsid w:val="004B73E9"/>
    <w:rsid w:val="004C005D"/>
    <w:rsid w:val="004C0D1E"/>
    <w:rsid w:val="004C448E"/>
    <w:rsid w:val="004C7C79"/>
    <w:rsid w:val="004C7D69"/>
    <w:rsid w:val="004C7E1B"/>
    <w:rsid w:val="004D0639"/>
    <w:rsid w:val="004D2644"/>
    <w:rsid w:val="004D3781"/>
    <w:rsid w:val="004D4DD2"/>
    <w:rsid w:val="004E6772"/>
    <w:rsid w:val="004E792F"/>
    <w:rsid w:val="004E7F40"/>
    <w:rsid w:val="004F00DD"/>
    <w:rsid w:val="004F0E6E"/>
    <w:rsid w:val="004F21DE"/>
    <w:rsid w:val="004F2716"/>
    <w:rsid w:val="004F5281"/>
    <w:rsid w:val="004F5A51"/>
    <w:rsid w:val="004F677C"/>
    <w:rsid w:val="004F74D5"/>
    <w:rsid w:val="005003AC"/>
    <w:rsid w:val="00500A04"/>
    <w:rsid w:val="00500DBB"/>
    <w:rsid w:val="00501609"/>
    <w:rsid w:val="00502CDA"/>
    <w:rsid w:val="00520D7F"/>
    <w:rsid w:val="005226CF"/>
    <w:rsid w:val="0052293D"/>
    <w:rsid w:val="005233E2"/>
    <w:rsid w:val="00526BC1"/>
    <w:rsid w:val="00526C4A"/>
    <w:rsid w:val="00530DA9"/>
    <w:rsid w:val="00533ACB"/>
    <w:rsid w:val="0053751D"/>
    <w:rsid w:val="0054019C"/>
    <w:rsid w:val="00542877"/>
    <w:rsid w:val="00544C85"/>
    <w:rsid w:val="00545B94"/>
    <w:rsid w:val="00546BB7"/>
    <w:rsid w:val="005476FA"/>
    <w:rsid w:val="00553353"/>
    <w:rsid w:val="00553451"/>
    <w:rsid w:val="0055464A"/>
    <w:rsid w:val="0055608A"/>
    <w:rsid w:val="00557CA2"/>
    <w:rsid w:val="005678C1"/>
    <w:rsid w:val="00570935"/>
    <w:rsid w:val="00573C82"/>
    <w:rsid w:val="005743F8"/>
    <w:rsid w:val="005746F8"/>
    <w:rsid w:val="005770F1"/>
    <w:rsid w:val="0057722E"/>
    <w:rsid w:val="00582635"/>
    <w:rsid w:val="0059093A"/>
    <w:rsid w:val="00590DDE"/>
    <w:rsid w:val="00591BEB"/>
    <w:rsid w:val="0059425F"/>
    <w:rsid w:val="005A1562"/>
    <w:rsid w:val="005A2E27"/>
    <w:rsid w:val="005A32E8"/>
    <w:rsid w:val="005A4B5E"/>
    <w:rsid w:val="005B47AE"/>
    <w:rsid w:val="005B56C7"/>
    <w:rsid w:val="005B7853"/>
    <w:rsid w:val="005B7F88"/>
    <w:rsid w:val="005C4203"/>
    <w:rsid w:val="005C4D25"/>
    <w:rsid w:val="005C5256"/>
    <w:rsid w:val="005C7145"/>
    <w:rsid w:val="005D0D92"/>
    <w:rsid w:val="005D1D5E"/>
    <w:rsid w:val="005E266C"/>
    <w:rsid w:val="005E2A00"/>
    <w:rsid w:val="005E2B48"/>
    <w:rsid w:val="005E3231"/>
    <w:rsid w:val="005E3330"/>
    <w:rsid w:val="005E48CC"/>
    <w:rsid w:val="005F40A1"/>
    <w:rsid w:val="00600EC2"/>
    <w:rsid w:val="006034E3"/>
    <w:rsid w:val="006038C1"/>
    <w:rsid w:val="00604EF8"/>
    <w:rsid w:val="0060640C"/>
    <w:rsid w:val="00606871"/>
    <w:rsid w:val="00607D58"/>
    <w:rsid w:val="006144E6"/>
    <w:rsid w:val="00616E9C"/>
    <w:rsid w:val="00617D30"/>
    <w:rsid w:val="00621F07"/>
    <w:rsid w:val="006239A3"/>
    <w:rsid w:val="00635ED0"/>
    <w:rsid w:val="00637FB0"/>
    <w:rsid w:val="006470C0"/>
    <w:rsid w:val="00650BEF"/>
    <w:rsid w:val="00651A2F"/>
    <w:rsid w:val="00651E39"/>
    <w:rsid w:val="00657C6A"/>
    <w:rsid w:val="00667FC8"/>
    <w:rsid w:val="00670CF5"/>
    <w:rsid w:val="0067347C"/>
    <w:rsid w:val="006754E9"/>
    <w:rsid w:val="00675CD8"/>
    <w:rsid w:val="00680A3A"/>
    <w:rsid w:val="00684B3A"/>
    <w:rsid w:val="00686937"/>
    <w:rsid w:val="00687598"/>
    <w:rsid w:val="00692167"/>
    <w:rsid w:val="00694907"/>
    <w:rsid w:val="006A01E6"/>
    <w:rsid w:val="006A0946"/>
    <w:rsid w:val="006B0873"/>
    <w:rsid w:val="006B5BF1"/>
    <w:rsid w:val="006B67BF"/>
    <w:rsid w:val="006B7B5C"/>
    <w:rsid w:val="006C4830"/>
    <w:rsid w:val="006C78D3"/>
    <w:rsid w:val="006D1B53"/>
    <w:rsid w:val="006D394E"/>
    <w:rsid w:val="006D507B"/>
    <w:rsid w:val="006D5D5F"/>
    <w:rsid w:val="006E05F6"/>
    <w:rsid w:val="006F0B9D"/>
    <w:rsid w:val="006F27B0"/>
    <w:rsid w:val="006F4196"/>
    <w:rsid w:val="00701043"/>
    <w:rsid w:val="00702FF1"/>
    <w:rsid w:val="0070351C"/>
    <w:rsid w:val="007053BF"/>
    <w:rsid w:val="00710724"/>
    <w:rsid w:val="0071151E"/>
    <w:rsid w:val="00713A90"/>
    <w:rsid w:val="00713CDF"/>
    <w:rsid w:val="007140B7"/>
    <w:rsid w:val="00715FE9"/>
    <w:rsid w:val="00720F71"/>
    <w:rsid w:val="00721624"/>
    <w:rsid w:val="00726C4A"/>
    <w:rsid w:val="007309A5"/>
    <w:rsid w:val="00730D4A"/>
    <w:rsid w:val="00731E2C"/>
    <w:rsid w:val="007346A2"/>
    <w:rsid w:val="00737BD5"/>
    <w:rsid w:val="00741806"/>
    <w:rsid w:val="00746FDA"/>
    <w:rsid w:val="00747F9E"/>
    <w:rsid w:val="00750212"/>
    <w:rsid w:val="0075348D"/>
    <w:rsid w:val="00754773"/>
    <w:rsid w:val="0075756C"/>
    <w:rsid w:val="0076175D"/>
    <w:rsid w:val="00765C83"/>
    <w:rsid w:val="007675B2"/>
    <w:rsid w:val="00771E67"/>
    <w:rsid w:val="00775237"/>
    <w:rsid w:val="00776A05"/>
    <w:rsid w:val="0078115E"/>
    <w:rsid w:val="00782312"/>
    <w:rsid w:val="00787FA2"/>
    <w:rsid w:val="007978EB"/>
    <w:rsid w:val="007A1D3C"/>
    <w:rsid w:val="007A2E01"/>
    <w:rsid w:val="007A56D9"/>
    <w:rsid w:val="007A570F"/>
    <w:rsid w:val="007A68AF"/>
    <w:rsid w:val="007B0F67"/>
    <w:rsid w:val="007B11B6"/>
    <w:rsid w:val="007B39AF"/>
    <w:rsid w:val="007C642B"/>
    <w:rsid w:val="007D37DF"/>
    <w:rsid w:val="007D4251"/>
    <w:rsid w:val="007E0A17"/>
    <w:rsid w:val="007E0B70"/>
    <w:rsid w:val="007E5138"/>
    <w:rsid w:val="007F2FA1"/>
    <w:rsid w:val="007F5C8C"/>
    <w:rsid w:val="007F62BA"/>
    <w:rsid w:val="008022B4"/>
    <w:rsid w:val="0080344A"/>
    <w:rsid w:val="00805C1C"/>
    <w:rsid w:val="00810987"/>
    <w:rsid w:val="00810BD8"/>
    <w:rsid w:val="0081455F"/>
    <w:rsid w:val="00815A53"/>
    <w:rsid w:val="00824BF7"/>
    <w:rsid w:val="00825C50"/>
    <w:rsid w:val="008309C1"/>
    <w:rsid w:val="008315DA"/>
    <w:rsid w:val="00832300"/>
    <w:rsid w:val="00833D97"/>
    <w:rsid w:val="008374F3"/>
    <w:rsid w:val="0084151C"/>
    <w:rsid w:val="00841E65"/>
    <w:rsid w:val="00842215"/>
    <w:rsid w:val="00844282"/>
    <w:rsid w:val="008579B9"/>
    <w:rsid w:val="00864E82"/>
    <w:rsid w:val="0087384C"/>
    <w:rsid w:val="00875EEA"/>
    <w:rsid w:val="008834DF"/>
    <w:rsid w:val="00886502"/>
    <w:rsid w:val="00892ABE"/>
    <w:rsid w:val="0089455B"/>
    <w:rsid w:val="00895078"/>
    <w:rsid w:val="008A05E1"/>
    <w:rsid w:val="008A2A2B"/>
    <w:rsid w:val="008B06D2"/>
    <w:rsid w:val="008B5DDA"/>
    <w:rsid w:val="008B66EC"/>
    <w:rsid w:val="008B7119"/>
    <w:rsid w:val="008C002E"/>
    <w:rsid w:val="008C3AC2"/>
    <w:rsid w:val="008C5FE1"/>
    <w:rsid w:val="008D356B"/>
    <w:rsid w:val="008D4518"/>
    <w:rsid w:val="008D5451"/>
    <w:rsid w:val="008E1185"/>
    <w:rsid w:val="008E26B2"/>
    <w:rsid w:val="008E6F4D"/>
    <w:rsid w:val="008F694E"/>
    <w:rsid w:val="008F7BE0"/>
    <w:rsid w:val="00901DE1"/>
    <w:rsid w:val="009059D5"/>
    <w:rsid w:val="00906F05"/>
    <w:rsid w:val="00911E78"/>
    <w:rsid w:val="00912C39"/>
    <w:rsid w:val="00920C6F"/>
    <w:rsid w:val="00920D26"/>
    <w:rsid w:val="009240FB"/>
    <w:rsid w:val="009256DA"/>
    <w:rsid w:val="00925941"/>
    <w:rsid w:val="009350D1"/>
    <w:rsid w:val="009365FD"/>
    <w:rsid w:val="009372EF"/>
    <w:rsid w:val="0094662F"/>
    <w:rsid w:val="00950CE5"/>
    <w:rsid w:val="0095571B"/>
    <w:rsid w:val="009567A2"/>
    <w:rsid w:val="00957C23"/>
    <w:rsid w:val="00962174"/>
    <w:rsid w:val="00965331"/>
    <w:rsid w:val="00965929"/>
    <w:rsid w:val="00965F80"/>
    <w:rsid w:val="00967346"/>
    <w:rsid w:val="0097236F"/>
    <w:rsid w:val="00972C29"/>
    <w:rsid w:val="00975A60"/>
    <w:rsid w:val="00977EA5"/>
    <w:rsid w:val="00980F9F"/>
    <w:rsid w:val="00983221"/>
    <w:rsid w:val="00986B48"/>
    <w:rsid w:val="0099113D"/>
    <w:rsid w:val="00991DAD"/>
    <w:rsid w:val="009920ED"/>
    <w:rsid w:val="00992FE4"/>
    <w:rsid w:val="009930DB"/>
    <w:rsid w:val="00994AC7"/>
    <w:rsid w:val="009A014E"/>
    <w:rsid w:val="009A01D2"/>
    <w:rsid w:val="009A1178"/>
    <w:rsid w:val="009A73FB"/>
    <w:rsid w:val="009A741C"/>
    <w:rsid w:val="009B2223"/>
    <w:rsid w:val="009B25F5"/>
    <w:rsid w:val="009B6C6B"/>
    <w:rsid w:val="009C65F8"/>
    <w:rsid w:val="009C7B2F"/>
    <w:rsid w:val="009D0E10"/>
    <w:rsid w:val="009D1231"/>
    <w:rsid w:val="009D1F96"/>
    <w:rsid w:val="009D2B2E"/>
    <w:rsid w:val="009D62CF"/>
    <w:rsid w:val="009D7CF1"/>
    <w:rsid w:val="009E0235"/>
    <w:rsid w:val="009E2197"/>
    <w:rsid w:val="009E4A32"/>
    <w:rsid w:val="009E69E3"/>
    <w:rsid w:val="009F7819"/>
    <w:rsid w:val="009F79F3"/>
    <w:rsid w:val="009F7E82"/>
    <w:rsid w:val="00A002E2"/>
    <w:rsid w:val="00A00F76"/>
    <w:rsid w:val="00A01366"/>
    <w:rsid w:val="00A05329"/>
    <w:rsid w:val="00A10018"/>
    <w:rsid w:val="00A11560"/>
    <w:rsid w:val="00A269DE"/>
    <w:rsid w:val="00A31DAC"/>
    <w:rsid w:val="00A4515D"/>
    <w:rsid w:val="00A45384"/>
    <w:rsid w:val="00A45511"/>
    <w:rsid w:val="00A4722A"/>
    <w:rsid w:val="00A556E7"/>
    <w:rsid w:val="00A57A52"/>
    <w:rsid w:val="00A60325"/>
    <w:rsid w:val="00A755AC"/>
    <w:rsid w:val="00A819DB"/>
    <w:rsid w:val="00A849B7"/>
    <w:rsid w:val="00A85660"/>
    <w:rsid w:val="00A91206"/>
    <w:rsid w:val="00A95D4A"/>
    <w:rsid w:val="00A96589"/>
    <w:rsid w:val="00AA1181"/>
    <w:rsid w:val="00AA15AD"/>
    <w:rsid w:val="00AB1910"/>
    <w:rsid w:val="00AB22F3"/>
    <w:rsid w:val="00AB24D8"/>
    <w:rsid w:val="00AB4297"/>
    <w:rsid w:val="00AB63D4"/>
    <w:rsid w:val="00AC4BF6"/>
    <w:rsid w:val="00AD327E"/>
    <w:rsid w:val="00AD50EE"/>
    <w:rsid w:val="00AD7B07"/>
    <w:rsid w:val="00AE43FC"/>
    <w:rsid w:val="00AF0532"/>
    <w:rsid w:val="00AF1F15"/>
    <w:rsid w:val="00AF2671"/>
    <w:rsid w:val="00AF39D1"/>
    <w:rsid w:val="00AF6170"/>
    <w:rsid w:val="00B0095F"/>
    <w:rsid w:val="00B013DF"/>
    <w:rsid w:val="00B02C1A"/>
    <w:rsid w:val="00B05A75"/>
    <w:rsid w:val="00B067E3"/>
    <w:rsid w:val="00B13816"/>
    <w:rsid w:val="00B16CD0"/>
    <w:rsid w:val="00B30C11"/>
    <w:rsid w:val="00B36A4D"/>
    <w:rsid w:val="00B407C9"/>
    <w:rsid w:val="00B4471C"/>
    <w:rsid w:val="00B469F4"/>
    <w:rsid w:val="00B50494"/>
    <w:rsid w:val="00B50507"/>
    <w:rsid w:val="00B50812"/>
    <w:rsid w:val="00B52858"/>
    <w:rsid w:val="00B53436"/>
    <w:rsid w:val="00B70BA2"/>
    <w:rsid w:val="00B74C7D"/>
    <w:rsid w:val="00B756D9"/>
    <w:rsid w:val="00B76FCC"/>
    <w:rsid w:val="00B7724B"/>
    <w:rsid w:val="00B8109C"/>
    <w:rsid w:val="00B8587B"/>
    <w:rsid w:val="00B87FDB"/>
    <w:rsid w:val="00B92D69"/>
    <w:rsid w:val="00B94ACC"/>
    <w:rsid w:val="00B95684"/>
    <w:rsid w:val="00BA113C"/>
    <w:rsid w:val="00BA7FBF"/>
    <w:rsid w:val="00BB0708"/>
    <w:rsid w:val="00BB12CD"/>
    <w:rsid w:val="00BB2F02"/>
    <w:rsid w:val="00BB35D7"/>
    <w:rsid w:val="00BB5A87"/>
    <w:rsid w:val="00BC0157"/>
    <w:rsid w:val="00BC03B2"/>
    <w:rsid w:val="00BC3472"/>
    <w:rsid w:val="00BC5639"/>
    <w:rsid w:val="00BC6CAB"/>
    <w:rsid w:val="00BD2031"/>
    <w:rsid w:val="00BD33D2"/>
    <w:rsid w:val="00BD470B"/>
    <w:rsid w:val="00BD60B9"/>
    <w:rsid w:val="00BD60E6"/>
    <w:rsid w:val="00BE24BD"/>
    <w:rsid w:val="00BE5009"/>
    <w:rsid w:val="00BF1805"/>
    <w:rsid w:val="00BF1B64"/>
    <w:rsid w:val="00BF39C4"/>
    <w:rsid w:val="00BF7F33"/>
    <w:rsid w:val="00C03B5F"/>
    <w:rsid w:val="00C0738C"/>
    <w:rsid w:val="00C07E48"/>
    <w:rsid w:val="00C20715"/>
    <w:rsid w:val="00C21D21"/>
    <w:rsid w:val="00C24D82"/>
    <w:rsid w:val="00C26FE9"/>
    <w:rsid w:val="00C272E8"/>
    <w:rsid w:val="00C30BD6"/>
    <w:rsid w:val="00C33467"/>
    <w:rsid w:val="00C360EB"/>
    <w:rsid w:val="00C4167D"/>
    <w:rsid w:val="00C428B6"/>
    <w:rsid w:val="00C42E04"/>
    <w:rsid w:val="00C4493C"/>
    <w:rsid w:val="00C5320E"/>
    <w:rsid w:val="00C53765"/>
    <w:rsid w:val="00C54169"/>
    <w:rsid w:val="00C54BEF"/>
    <w:rsid w:val="00C55780"/>
    <w:rsid w:val="00C5750D"/>
    <w:rsid w:val="00C654AA"/>
    <w:rsid w:val="00C74A61"/>
    <w:rsid w:val="00C77ED2"/>
    <w:rsid w:val="00C804B0"/>
    <w:rsid w:val="00C8428E"/>
    <w:rsid w:val="00C850E1"/>
    <w:rsid w:val="00C86E88"/>
    <w:rsid w:val="00C8745C"/>
    <w:rsid w:val="00C91F73"/>
    <w:rsid w:val="00C93DFA"/>
    <w:rsid w:val="00C96D99"/>
    <w:rsid w:val="00CA0112"/>
    <w:rsid w:val="00CA0E39"/>
    <w:rsid w:val="00CA2626"/>
    <w:rsid w:val="00CA571D"/>
    <w:rsid w:val="00CA670B"/>
    <w:rsid w:val="00CA6763"/>
    <w:rsid w:val="00CB7699"/>
    <w:rsid w:val="00CC2A60"/>
    <w:rsid w:val="00CC62F5"/>
    <w:rsid w:val="00CD6FA6"/>
    <w:rsid w:val="00CE031F"/>
    <w:rsid w:val="00CE311A"/>
    <w:rsid w:val="00CE6285"/>
    <w:rsid w:val="00CE7951"/>
    <w:rsid w:val="00CE7FE7"/>
    <w:rsid w:val="00CF1577"/>
    <w:rsid w:val="00CF2099"/>
    <w:rsid w:val="00CF6E5F"/>
    <w:rsid w:val="00CF788E"/>
    <w:rsid w:val="00CF7F82"/>
    <w:rsid w:val="00D05077"/>
    <w:rsid w:val="00D05090"/>
    <w:rsid w:val="00D054BC"/>
    <w:rsid w:val="00D0648A"/>
    <w:rsid w:val="00D070F9"/>
    <w:rsid w:val="00D10BD0"/>
    <w:rsid w:val="00D16586"/>
    <w:rsid w:val="00D23CA5"/>
    <w:rsid w:val="00D243EA"/>
    <w:rsid w:val="00D24565"/>
    <w:rsid w:val="00D26ACA"/>
    <w:rsid w:val="00D30A48"/>
    <w:rsid w:val="00D41F34"/>
    <w:rsid w:val="00D44194"/>
    <w:rsid w:val="00D44A25"/>
    <w:rsid w:val="00D4755E"/>
    <w:rsid w:val="00D51858"/>
    <w:rsid w:val="00D53D77"/>
    <w:rsid w:val="00D542A8"/>
    <w:rsid w:val="00D549A7"/>
    <w:rsid w:val="00D573B1"/>
    <w:rsid w:val="00D615B2"/>
    <w:rsid w:val="00D62259"/>
    <w:rsid w:val="00D629D1"/>
    <w:rsid w:val="00D62C56"/>
    <w:rsid w:val="00D71206"/>
    <w:rsid w:val="00D7184E"/>
    <w:rsid w:val="00D72E7B"/>
    <w:rsid w:val="00D739B9"/>
    <w:rsid w:val="00D74869"/>
    <w:rsid w:val="00D76DDA"/>
    <w:rsid w:val="00D81F59"/>
    <w:rsid w:val="00D84DCA"/>
    <w:rsid w:val="00D85B19"/>
    <w:rsid w:val="00D90F24"/>
    <w:rsid w:val="00D96FE1"/>
    <w:rsid w:val="00DA05AE"/>
    <w:rsid w:val="00DA5521"/>
    <w:rsid w:val="00DA634E"/>
    <w:rsid w:val="00DA6445"/>
    <w:rsid w:val="00DA7513"/>
    <w:rsid w:val="00DB2DF3"/>
    <w:rsid w:val="00DB2EBE"/>
    <w:rsid w:val="00DB319D"/>
    <w:rsid w:val="00DB42FB"/>
    <w:rsid w:val="00DB48F0"/>
    <w:rsid w:val="00DB6C5B"/>
    <w:rsid w:val="00DB7FF9"/>
    <w:rsid w:val="00DC03E8"/>
    <w:rsid w:val="00DC2440"/>
    <w:rsid w:val="00DC2F81"/>
    <w:rsid w:val="00DC3CF8"/>
    <w:rsid w:val="00DC5C32"/>
    <w:rsid w:val="00DD0C42"/>
    <w:rsid w:val="00DE100D"/>
    <w:rsid w:val="00DE3A51"/>
    <w:rsid w:val="00DE4920"/>
    <w:rsid w:val="00DF2D99"/>
    <w:rsid w:val="00DF4C98"/>
    <w:rsid w:val="00DF6F35"/>
    <w:rsid w:val="00DF7BE0"/>
    <w:rsid w:val="00E01EB3"/>
    <w:rsid w:val="00E02152"/>
    <w:rsid w:val="00E02C34"/>
    <w:rsid w:val="00E035AE"/>
    <w:rsid w:val="00E17EC0"/>
    <w:rsid w:val="00E20709"/>
    <w:rsid w:val="00E2145A"/>
    <w:rsid w:val="00E2248D"/>
    <w:rsid w:val="00E224DB"/>
    <w:rsid w:val="00E25FAC"/>
    <w:rsid w:val="00E26A3A"/>
    <w:rsid w:val="00E27C50"/>
    <w:rsid w:val="00E35E60"/>
    <w:rsid w:val="00E36E15"/>
    <w:rsid w:val="00E37D70"/>
    <w:rsid w:val="00E40339"/>
    <w:rsid w:val="00E40CFE"/>
    <w:rsid w:val="00E46475"/>
    <w:rsid w:val="00E51D7F"/>
    <w:rsid w:val="00E532F3"/>
    <w:rsid w:val="00E56159"/>
    <w:rsid w:val="00E6312A"/>
    <w:rsid w:val="00E63E64"/>
    <w:rsid w:val="00E67E81"/>
    <w:rsid w:val="00E83205"/>
    <w:rsid w:val="00E83CEC"/>
    <w:rsid w:val="00E84367"/>
    <w:rsid w:val="00E90333"/>
    <w:rsid w:val="00E90F3E"/>
    <w:rsid w:val="00E95DFA"/>
    <w:rsid w:val="00EA0C86"/>
    <w:rsid w:val="00EA319B"/>
    <w:rsid w:val="00EA3B73"/>
    <w:rsid w:val="00EA51BC"/>
    <w:rsid w:val="00EA56DD"/>
    <w:rsid w:val="00EB18F7"/>
    <w:rsid w:val="00EB28B3"/>
    <w:rsid w:val="00EB5774"/>
    <w:rsid w:val="00EB5F3C"/>
    <w:rsid w:val="00EC1211"/>
    <w:rsid w:val="00EC28DD"/>
    <w:rsid w:val="00EC5CE1"/>
    <w:rsid w:val="00ED0732"/>
    <w:rsid w:val="00ED42F8"/>
    <w:rsid w:val="00EE231E"/>
    <w:rsid w:val="00EE3395"/>
    <w:rsid w:val="00EE50D1"/>
    <w:rsid w:val="00EE5E76"/>
    <w:rsid w:val="00EE6BA7"/>
    <w:rsid w:val="00EF260E"/>
    <w:rsid w:val="00EF53B4"/>
    <w:rsid w:val="00EF7615"/>
    <w:rsid w:val="00EF7773"/>
    <w:rsid w:val="00F00643"/>
    <w:rsid w:val="00F0258F"/>
    <w:rsid w:val="00F03265"/>
    <w:rsid w:val="00F04506"/>
    <w:rsid w:val="00F07E9D"/>
    <w:rsid w:val="00F12A7F"/>
    <w:rsid w:val="00F1464C"/>
    <w:rsid w:val="00F16976"/>
    <w:rsid w:val="00F224BE"/>
    <w:rsid w:val="00F2273F"/>
    <w:rsid w:val="00F27F9E"/>
    <w:rsid w:val="00F309E9"/>
    <w:rsid w:val="00F33713"/>
    <w:rsid w:val="00F36702"/>
    <w:rsid w:val="00F40355"/>
    <w:rsid w:val="00F4151D"/>
    <w:rsid w:val="00F44333"/>
    <w:rsid w:val="00F4617C"/>
    <w:rsid w:val="00F46995"/>
    <w:rsid w:val="00F47217"/>
    <w:rsid w:val="00F51952"/>
    <w:rsid w:val="00F51E91"/>
    <w:rsid w:val="00F52420"/>
    <w:rsid w:val="00F701A0"/>
    <w:rsid w:val="00F7784F"/>
    <w:rsid w:val="00F81343"/>
    <w:rsid w:val="00F84769"/>
    <w:rsid w:val="00F8542F"/>
    <w:rsid w:val="00F86E61"/>
    <w:rsid w:val="00F86ED6"/>
    <w:rsid w:val="00F9274E"/>
    <w:rsid w:val="00F931DF"/>
    <w:rsid w:val="00F9396B"/>
    <w:rsid w:val="00F93F28"/>
    <w:rsid w:val="00F97782"/>
    <w:rsid w:val="00FA211E"/>
    <w:rsid w:val="00FA222B"/>
    <w:rsid w:val="00FA4747"/>
    <w:rsid w:val="00FA5724"/>
    <w:rsid w:val="00FA5FEB"/>
    <w:rsid w:val="00FA622C"/>
    <w:rsid w:val="00FA62DD"/>
    <w:rsid w:val="00FB045E"/>
    <w:rsid w:val="00FC0025"/>
    <w:rsid w:val="00FC09FC"/>
    <w:rsid w:val="00FC3545"/>
    <w:rsid w:val="00FC742D"/>
    <w:rsid w:val="00FD275C"/>
    <w:rsid w:val="00FD4216"/>
    <w:rsid w:val="00FD584D"/>
    <w:rsid w:val="00FE2FE7"/>
    <w:rsid w:val="00FE3536"/>
    <w:rsid w:val="00FE581A"/>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E20AF"/>
  <w15:docId w15:val="{9CD03DE8-329F-4564-99E4-EC954A4B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6">
    <w:name w:val="heading 6"/>
    <w:basedOn w:val="Normal"/>
    <w:next w:val="Normal"/>
    <w:link w:val="Heading6Char"/>
    <w:uiPriority w:val="9"/>
    <w:semiHidden/>
    <w:unhideWhenUsed/>
    <w:qFormat/>
    <w:rsid w:val="004F00D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rsid w:val="007E0B70"/>
    <w:pPr>
      <w:tabs>
        <w:tab w:val="center" w:pos="4320"/>
        <w:tab w:val="right" w:pos="8640"/>
      </w:tabs>
    </w:pPr>
  </w:style>
  <w:style w:type="character" w:customStyle="1" w:styleId="HeaderChar">
    <w:name w:val="Header Char"/>
    <w:basedOn w:val="DefaultParagraphFont"/>
    <w:link w:val="Header"/>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character" w:styleId="CommentReference">
    <w:name w:val="annotation reference"/>
    <w:basedOn w:val="DefaultParagraphFont"/>
    <w:uiPriority w:val="99"/>
    <w:unhideWhenUsed/>
    <w:rsid w:val="004F00DD"/>
    <w:rPr>
      <w:sz w:val="16"/>
      <w:szCs w:val="16"/>
    </w:rPr>
  </w:style>
  <w:style w:type="paragraph" w:customStyle="1" w:styleId="CommentText1">
    <w:name w:val="Comment Text1"/>
    <w:basedOn w:val="Normal"/>
    <w:next w:val="CommentText"/>
    <w:link w:val="CommentTextChar"/>
    <w:uiPriority w:val="99"/>
    <w:semiHidden/>
    <w:unhideWhenUsed/>
    <w:rsid w:val="004F00DD"/>
    <w:pPr>
      <w:overflowPunct/>
      <w:autoSpaceDE/>
      <w:autoSpaceDN/>
      <w:adjustRightInd/>
      <w:spacing w:after="200"/>
      <w:textAlignment w:val="auto"/>
    </w:pPr>
    <w:rPr>
      <w:rFonts w:ascii="Times New Roman" w:hAnsi="Times New Roman"/>
      <w:sz w:val="20"/>
    </w:rPr>
  </w:style>
  <w:style w:type="character" w:customStyle="1" w:styleId="CommentTextChar">
    <w:name w:val="Comment Text Char"/>
    <w:basedOn w:val="DefaultParagraphFont"/>
    <w:link w:val="CommentText1"/>
    <w:uiPriority w:val="99"/>
    <w:semiHidden/>
    <w:rsid w:val="004F00DD"/>
    <w:rPr>
      <w:rFonts w:ascii="Times New Roman" w:eastAsia="Times New Roman" w:hAnsi="Times New Roman" w:cs="Times New Roman"/>
      <w:sz w:val="20"/>
      <w:szCs w:val="20"/>
    </w:rPr>
  </w:style>
  <w:style w:type="paragraph" w:styleId="CommentText">
    <w:name w:val="annotation text"/>
    <w:basedOn w:val="Normal"/>
    <w:link w:val="CommentTextChar1"/>
    <w:uiPriority w:val="99"/>
    <w:semiHidden/>
    <w:unhideWhenUsed/>
    <w:rsid w:val="004F00DD"/>
    <w:rPr>
      <w:sz w:val="20"/>
    </w:rPr>
  </w:style>
  <w:style w:type="character" w:customStyle="1" w:styleId="CommentTextChar1">
    <w:name w:val="Comment Text Char1"/>
    <w:basedOn w:val="DefaultParagraphFont"/>
    <w:link w:val="CommentText"/>
    <w:uiPriority w:val="99"/>
    <w:semiHidden/>
    <w:rsid w:val="004F00DD"/>
    <w:rPr>
      <w:rFonts w:ascii="Book Antiqua" w:eastAsia="Times New Roman" w:hAnsi="Book Antiqua" w:cs="Times New Roman"/>
      <w:sz w:val="20"/>
      <w:szCs w:val="20"/>
    </w:rPr>
  </w:style>
  <w:style w:type="character" w:customStyle="1" w:styleId="Heading6Char">
    <w:name w:val="Heading 6 Char"/>
    <w:basedOn w:val="DefaultParagraphFont"/>
    <w:link w:val="Heading6"/>
    <w:uiPriority w:val="9"/>
    <w:semiHidden/>
    <w:rsid w:val="004F00DD"/>
    <w:rPr>
      <w:rFonts w:asciiTheme="majorHAnsi" w:eastAsiaTheme="majorEastAsia" w:hAnsiTheme="majorHAnsi" w:cstheme="majorBidi"/>
      <w:i/>
      <w:iCs/>
      <w:color w:val="243F60" w:themeColor="accent1" w:themeShade="7F"/>
      <w:sz w:val="24"/>
      <w:szCs w:val="20"/>
    </w:rPr>
  </w:style>
  <w:style w:type="paragraph" w:styleId="FootnoteText">
    <w:name w:val="footnote text"/>
    <w:basedOn w:val="Normal"/>
    <w:link w:val="FootnoteTextChar"/>
    <w:uiPriority w:val="99"/>
    <w:unhideWhenUsed/>
    <w:rsid w:val="00E40CFE"/>
    <w:rPr>
      <w:sz w:val="20"/>
    </w:rPr>
  </w:style>
  <w:style w:type="character" w:customStyle="1" w:styleId="FootnoteTextChar">
    <w:name w:val="Footnote Text Char"/>
    <w:basedOn w:val="DefaultParagraphFont"/>
    <w:link w:val="FootnoteText"/>
    <w:uiPriority w:val="99"/>
    <w:rsid w:val="00E40CFE"/>
    <w:rPr>
      <w:rFonts w:ascii="Book Antiqua" w:eastAsia="Times New Roman" w:hAnsi="Book Antiqua" w:cs="Times New Roman"/>
      <w:sz w:val="20"/>
      <w:szCs w:val="20"/>
    </w:rPr>
  </w:style>
  <w:style w:type="character" w:styleId="FootnoteReference">
    <w:name w:val="footnote reference"/>
    <w:basedOn w:val="DefaultParagraphFont"/>
    <w:uiPriority w:val="99"/>
    <w:semiHidden/>
    <w:unhideWhenUsed/>
    <w:rsid w:val="00E40CFE"/>
    <w:rPr>
      <w:vertAlign w:val="superscript"/>
    </w:rPr>
  </w:style>
  <w:style w:type="character" w:styleId="Hyperlink">
    <w:name w:val="Hyperlink"/>
    <w:basedOn w:val="DefaultParagraphFont"/>
    <w:rsid w:val="00DF6F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80218">
      <w:bodyDiv w:val="1"/>
      <w:marLeft w:val="0"/>
      <w:marRight w:val="0"/>
      <w:marTop w:val="0"/>
      <w:marBottom w:val="0"/>
      <w:divBdr>
        <w:top w:val="none" w:sz="0" w:space="0" w:color="auto"/>
        <w:left w:val="none" w:sz="0" w:space="0" w:color="auto"/>
        <w:bottom w:val="none" w:sz="0" w:space="0" w:color="auto"/>
        <w:right w:val="none" w:sz="0" w:space="0" w:color="auto"/>
      </w:divBdr>
    </w:div>
    <w:div w:id="411119781">
      <w:bodyDiv w:val="1"/>
      <w:marLeft w:val="0"/>
      <w:marRight w:val="0"/>
      <w:marTop w:val="0"/>
      <w:marBottom w:val="0"/>
      <w:divBdr>
        <w:top w:val="none" w:sz="0" w:space="0" w:color="auto"/>
        <w:left w:val="none" w:sz="0" w:space="0" w:color="auto"/>
        <w:bottom w:val="none" w:sz="0" w:space="0" w:color="auto"/>
        <w:right w:val="none" w:sz="0" w:space="0" w:color="auto"/>
      </w:divBdr>
    </w:div>
    <w:div w:id="482041392">
      <w:bodyDiv w:val="1"/>
      <w:marLeft w:val="0"/>
      <w:marRight w:val="0"/>
      <w:marTop w:val="0"/>
      <w:marBottom w:val="0"/>
      <w:divBdr>
        <w:top w:val="none" w:sz="0" w:space="0" w:color="auto"/>
        <w:left w:val="none" w:sz="0" w:space="0" w:color="auto"/>
        <w:bottom w:val="none" w:sz="0" w:space="0" w:color="auto"/>
        <w:right w:val="none" w:sz="0" w:space="0" w:color="auto"/>
      </w:divBdr>
    </w:div>
    <w:div w:id="800922763">
      <w:bodyDiv w:val="1"/>
      <w:marLeft w:val="0"/>
      <w:marRight w:val="0"/>
      <w:marTop w:val="0"/>
      <w:marBottom w:val="0"/>
      <w:divBdr>
        <w:top w:val="none" w:sz="0" w:space="0" w:color="auto"/>
        <w:left w:val="none" w:sz="0" w:space="0" w:color="auto"/>
        <w:bottom w:val="none" w:sz="0" w:space="0" w:color="auto"/>
        <w:right w:val="none" w:sz="0" w:space="0" w:color="auto"/>
      </w:divBdr>
    </w:div>
    <w:div w:id="1234504646">
      <w:bodyDiv w:val="1"/>
      <w:marLeft w:val="0"/>
      <w:marRight w:val="0"/>
      <w:marTop w:val="0"/>
      <w:marBottom w:val="0"/>
      <w:divBdr>
        <w:top w:val="none" w:sz="0" w:space="0" w:color="auto"/>
        <w:left w:val="none" w:sz="0" w:space="0" w:color="auto"/>
        <w:bottom w:val="none" w:sz="0" w:space="0" w:color="auto"/>
        <w:right w:val="none" w:sz="0" w:space="0" w:color="auto"/>
      </w:divBdr>
    </w:div>
    <w:div w:id="1312910025">
      <w:bodyDiv w:val="1"/>
      <w:marLeft w:val="0"/>
      <w:marRight w:val="0"/>
      <w:marTop w:val="0"/>
      <w:marBottom w:val="0"/>
      <w:divBdr>
        <w:top w:val="none" w:sz="0" w:space="0" w:color="auto"/>
        <w:left w:val="none" w:sz="0" w:space="0" w:color="auto"/>
        <w:bottom w:val="none" w:sz="0" w:space="0" w:color="auto"/>
        <w:right w:val="none" w:sz="0" w:space="0" w:color="auto"/>
      </w:divBdr>
    </w:div>
    <w:div w:id="1365671654">
      <w:bodyDiv w:val="1"/>
      <w:marLeft w:val="0"/>
      <w:marRight w:val="0"/>
      <w:marTop w:val="0"/>
      <w:marBottom w:val="0"/>
      <w:divBdr>
        <w:top w:val="none" w:sz="0" w:space="0" w:color="auto"/>
        <w:left w:val="none" w:sz="0" w:space="0" w:color="auto"/>
        <w:bottom w:val="none" w:sz="0" w:space="0" w:color="auto"/>
        <w:right w:val="none" w:sz="0" w:space="0" w:color="auto"/>
      </w:divBdr>
    </w:div>
    <w:div w:id="16919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0.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puc.pa.gov" TargetMode="Externa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footer" Target="footer4.xml"/><Relationship Id="rId36"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2345C-11ED-4C0E-A9AA-0D60A314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8</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Burger, Lori</cp:lastModifiedBy>
  <cp:revision>209</cp:revision>
  <cp:lastPrinted>2018-05-30T15:34:00Z</cp:lastPrinted>
  <dcterms:created xsi:type="dcterms:W3CDTF">2017-01-23T18:17:00Z</dcterms:created>
  <dcterms:modified xsi:type="dcterms:W3CDTF">2018-06-21T15:07:00Z</dcterms:modified>
</cp:coreProperties>
</file>