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ADF96" w14:textId="77777777" w:rsidR="00B4613A" w:rsidRPr="002A5D4B" w:rsidRDefault="00B4613A" w:rsidP="00B4613A">
      <w:pPr>
        <w:spacing w:line="240" w:lineRule="auto"/>
        <w:ind w:firstLine="0"/>
        <w:rPr>
          <w:b/>
          <w:sz w:val="26"/>
          <w:szCs w:val="26"/>
        </w:rPr>
      </w:pPr>
      <w:r w:rsidRPr="002A5D4B">
        <w:rPr>
          <w:b/>
          <w:sz w:val="26"/>
          <w:szCs w:val="26"/>
        </w:rPr>
        <w:t>PENNSYLVANIA</w:t>
      </w:r>
    </w:p>
    <w:p w14:paraId="158037A4" w14:textId="77777777" w:rsidR="00B4613A" w:rsidRPr="002A5D4B" w:rsidRDefault="00B4613A" w:rsidP="00B4613A">
      <w:pPr>
        <w:spacing w:line="240" w:lineRule="auto"/>
        <w:ind w:firstLine="0"/>
        <w:rPr>
          <w:b/>
          <w:sz w:val="26"/>
          <w:szCs w:val="26"/>
        </w:rPr>
      </w:pPr>
      <w:r w:rsidRPr="002A5D4B">
        <w:rPr>
          <w:b/>
          <w:sz w:val="26"/>
          <w:szCs w:val="26"/>
        </w:rPr>
        <w:t>PUBLIC UTILITY COMMISSION</w:t>
      </w:r>
    </w:p>
    <w:p w14:paraId="72E34041" w14:textId="77777777" w:rsidR="00B4613A" w:rsidRDefault="00B4613A" w:rsidP="00B4613A">
      <w:pPr>
        <w:spacing w:line="240" w:lineRule="auto"/>
        <w:ind w:firstLine="0"/>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14:paraId="1324E7DD" w14:textId="109D5E81" w:rsidR="00B4613A" w:rsidRDefault="00B4613A" w:rsidP="00B4613A">
      <w:pPr>
        <w:spacing w:line="240" w:lineRule="auto"/>
        <w:ind w:firstLine="0"/>
        <w:jc w:val="left"/>
        <w:rPr>
          <w:sz w:val="26"/>
          <w:szCs w:val="26"/>
        </w:rPr>
      </w:pPr>
    </w:p>
    <w:p w14:paraId="003F2BF2" w14:textId="77777777" w:rsidR="00B44F64" w:rsidRPr="00BA66A4" w:rsidRDefault="00B44F64" w:rsidP="00B4613A">
      <w:pPr>
        <w:spacing w:line="240" w:lineRule="auto"/>
        <w:ind w:firstLine="0"/>
        <w:jc w:val="left"/>
        <w:rPr>
          <w:sz w:val="26"/>
          <w:szCs w:val="26"/>
        </w:rPr>
      </w:pPr>
    </w:p>
    <w:p w14:paraId="09DFD2A5" w14:textId="5876199C" w:rsidR="00B4613A" w:rsidRPr="002A5D4B" w:rsidRDefault="00B4613A" w:rsidP="00B4613A">
      <w:pPr>
        <w:ind w:firstLine="0"/>
        <w:jc w:val="right"/>
        <w:rPr>
          <w:sz w:val="26"/>
          <w:szCs w:val="26"/>
        </w:rPr>
      </w:pPr>
      <w:r>
        <w:rPr>
          <w:sz w:val="26"/>
          <w:szCs w:val="26"/>
        </w:rPr>
        <w:t>P</w:t>
      </w:r>
      <w:r w:rsidRPr="002A5D4B">
        <w:rPr>
          <w:sz w:val="26"/>
          <w:szCs w:val="26"/>
        </w:rPr>
        <w:t xml:space="preserve">ublic Meeting held </w:t>
      </w:r>
      <w:r w:rsidR="00B746FE">
        <w:rPr>
          <w:sz w:val="26"/>
          <w:szCs w:val="26"/>
        </w:rPr>
        <w:t>Ju</w:t>
      </w:r>
      <w:r w:rsidR="001C32F4">
        <w:rPr>
          <w:sz w:val="26"/>
          <w:szCs w:val="26"/>
        </w:rPr>
        <w:t>ly 12</w:t>
      </w:r>
      <w:r>
        <w:rPr>
          <w:sz w:val="26"/>
          <w:szCs w:val="26"/>
        </w:rPr>
        <w:t>,</w:t>
      </w:r>
      <w:r w:rsidRPr="00B01CA9">
        <w:rPr>
          <w:kern w:val="1"/>
          <w:sz w:val="26"/>
          <w:szCs w:val="26"/>
        </w:rPr>
        <w:t xml:space="preserve"> 20</w:t>
      </w:r>
      <w:r>
        <w:rPr>
          <w:kern w:val="1"/>
          <w:sz w:val="26"/>
          <w:szCs w:val="26"/>
        </w:rPr>
        <w:t>1</w:t>
      </w:r>
      <w:r w:rsidR="005C041B">
        <w:rPr>
          <w:kern w:val="1"/>
          <w:sz w:val="26"/>
          <w:szCs w:val="26"/>
        </w:rPr>
        <w:t>8</w:t>
      </w:r>
    </w:p>
    <w:p w14:paraId="6AA0B0BF" w14:textId="77777777" w:rsidR="00B4613A" w:rsidRPr="002A5D4B" w:rsidRDefault="00B4613A" w:rsidP="00B4613A">
      <w:pPr>
        <w:spacing w:line="240" w:lineRule="auto"/>
        <w:ind w:firstLine="0"/>
        <w:jc w:val="left"/>
        <w:rPr>
          <w:sz w:val="26"/>
          <w:szCs w:val="26"/>
        </w:rPr>
      </w:pPr>
    </w:p>
    <w:p w14:paraId="31A9810E" w14:textId="77777777" w:rsidR="00B4613A" w:rsidRPr="002A5D4B" w:rsidRDefault="00B4613A" w:rsidP="00B4613A">
      <w:pPr>
        <w:spacing w:line="240" w:lineRule="auto"/>
        <w:ind w:firstLine="0"/>
        <w:jc w:val="left"/>
        <w:rPr>
          <w:sz w:val="26"/>
          <w:szCs w:val="26"/>
        </w:rPr>
      </w:pPr>
      <w:r w:rsidRPr="002A5D4B">
        <w:rPr>
          <w:sz w:val="26"/>
          <w:szCs w:val="26"/>
        </w:rPr>
        <w:t>Commissioners Present:</w:t>
      </w:r>
    </w:p>
    <w:p w14:paraId="4EC8BE9E" w14:textId="77777777" w:rsidR="00B4613A" w:rsidRPr="002A5D4B" w:rsidRDefault="00B4613A" w:rsidP="00B4613A">
      <w:pPr>
        <w:spacing w:line="240" w:lineRule="auto"/>
        <w:ind w:firstLine="0"/>
        <w:jc w:val="left"/>
        <w:rPr>
          <w:sz w:val="26"/>
          <w:szCs w:val="26"/>
        </w:rPr>
      </w:pPr>
    </w:p>
    <w:p w14:paraId="064586A6" w14:textId="50E4D3EB" w:rsidR="00B4613A" w:rsidRPr="002A5D4B" w:rsidRDefault="00B4613A" w:rsidP="00B4613A">
      <w:pPr>
        <w:spacing w:line="240" w:lineRule="auto"/>
        <w:ind w:firstLine="0"/>
        <w:jc w:val="left"/>
        <w:rPr>
          <w:sz w:val="26"/>
          <w:szCs w:val="26"/>
        </w:rPr>
      </w:pPr>
      <w:r>
        <w:rPr>
          <w:sz w:val="26"/>
          <w:szCs w:val="26"/>
        </w:rPr>
        <w:tab/>
        <w:t>Gladys M. Brown</w:t>
      </w:r>
      <w:r w:rsidRPr="002A5D4B">
        <w:rPr>
          <w:sz w:val="26"/>
          <w:szCs w:val="26"/>
        </w:rPr>
        <w:t>, Chairman</w:t>
      </w:r>
      <w:r w:rsidR="0053308A">
        <w:rPr>
          <w:sz w:val="26"/>
          <w:szCs w:val="26"/>
        </w:rPr>
        <w:t>, Statement, dissenting</w:t>
      </w:r>
    </w:p>
    <w:p w14:paraId="344B3A37" w14:textId="61C893E7" w:rsidR="00B4613A" w:rsidRDefault="00B4613A" w:rsidP="00B4613A">
      <w:pPr>
        <w:spacing w:line="240" w:lineRule="auto"/>
        <w:ind w:firstLine="0"/>
        <w:jc w:val="left"/>
        <w:rPr>
          <w:sz w:val="26"/>
          <w:szCs w:val="26"/>
        </w:rPr>
      </w:pPr>
      <w:r>
        <w:rPr>
          <w:sz w:val="26"/>
          <w:szCs w:val="26"/>
        </w:rPr>
        <w:tab/>
        <w:t>Andrew G. Place</w:t>
      </w:r>
      <w:r w:rsidRPr="002A5D4B">
        <w:rPr>
          <w:sz w:val="26"/>
          <w:szCs w:val="26"/>
        </w:rPr>
        <w:t>, Vice Chairman</w:t>
      </w:r>
      <w:r w:rsidR="0053308A">
        <w:rPr>
          <w:sz w:val="26"/>
          <w:szCs w:val="26"/>
        </w:rPr>
        <w:t>, dissenting</w:t>
      </w:r>
    </w:p>
    <w:p w14:paraId="45051464" w14:textId="77777777" w:rsidR="00B4613A" w:rsidRDefault="00B4613A" w:rsidP="00B4613A">
      <w:pPr>
        <w:spacing w:line="240" w:lineRule="auto"/>
        <w:ind w:firstLine="0"/>
        <w:jc w:val="left"/>
        <w:rPr>
          <w:sz w:val="26"/>
          <w:szCs w:val="26"/>
        </w:rPr>
      </w:pPr>
      <w:r>
        <w:rPr>
          <w:sz w:val="26"/>
          <w:szCs w:val="26"/>
        </w:rPr>
        <w:tab/>
        <w:t>Norman J. Kennard</w:t>
      </w:r>
    </w:p>
    <w:p w14:paraId="6EEC13F2" w14:textId="77777777" w:rsidR="00B4613A" w:rsidRDefault="00B4613A" w:rsidP="00B4613A">
      <w:pPr>
        <w:spacing w:line="240" w:lineRule="auto"/>
        <w:jc w:val="left"/>
        <w:rPr>
          <w:sz w:val="26"/>
          <w:szCs w:val="26"/>
        </w:rPr>
      </w:pPr>
      <w:r>
        <w:rPr>
          <w:sz w:val="26"/>
          <w:szCs w:val="26"/>
        </w:rPr>
        <w:t>David W. Sweet</w:t>
      </w:r>
    </w:p>
    <w:p w14:paraId="71C62006" w14:textId="77777777" w:rsidR="00B4613A" w:rsidRPr="002A5D4B" w:rsidRDefault="00B4613A" w:rsidP="00B4613A">
      <w:pPr>
        <w:spacing w:line="240" w:lineRule="auto"/>
        <w:jc w:val="left"/>
        <w:rPr>
          <w:sz w:val="26"/>
          <w:szCs w:val="26"/>
        </w:rPr>
      </w:pPr>
      <w:r>
        <w:rPr>
          <w:sz w:val="26"/>
          <w:szCs w:val="26"/>
        </w:rPr>
        <w:t>John F. Coleman, Jr.</w:t>
      </w:r>
    </w:p>
    <w:p w14:paraId="58C782C9" w14:textId="77777777" w:rsidR="00B4613A" w:rsidRPr="002A5D4B" w:rsidRDefault="00B4613A" w:rsidP="00B4613A">
      <w:pPr>
        <w:spacing w:line="240" w:lineRule="auto"/>
        <w:ind w:firstLine="0"/>
        <w:jc w:val="left"/>
        <w:rPr>
          <w:sz w:val="26"/>
          <w:szCs w:val="26"/>
        </w:rPr>
      </w:pPr>
      <w:r w:rsidRPr="002A5D4B">
        <w:rPr>
          <w:sz w:val="26"/>
          <w:szCs w:val="26"/>
        </w:rPr>
        <w:tab/>
      </w:r>
    </w:p>
    <w:p w14:paraId="78F1358E" w14:textId="77777777" w:rsidR="00B4613A" w:rsidRPr="007F73BF" w:rsidRDefault="00B4613A" w:rsidP="00B4613A">
      <w:pPr>
        <w:spacing w:line="240" w:lineRule="auto"/>
        <w:ind w:firstLine="0"/>
        <w:rPr>
          <w:sz w:val="26"/>
          <w:szCs w:val="26"/>
        </w:rPr>
      </w:pPr>
    </w:p>
    <w:p w14:paraId="58A06EF0" w14:textId="77777777" w:rsidR="00B4613A" w:rsidRPr="007F73BF" w:rsidRDefault="00B4613A" w:rsidP="00B4613A">
      <w:pPr>
        <w:spacing w:line="240" w:lineRule="auto"/>
        <w:ind w:firstLine="0"/>
        <w:rPr>
          <w:sz w:val="26"/>
          <w:szCs w:val="26"/>
        </w:rPr>
      </w:pPr>
    </w:p>
    <w:p w14:paraId="1DCCCBD3" w14:textId="5E5D1E09" w:rsidR="00B4613A" w:rsidRDefault="00B44F64" w:rsidP="00B4613A">
      <w:pPr>
        <w:tabs>
          <w:tab w:val="left" w:pos="-720"/>
          <w:tab w:val="left" w:pos="0"/>
        </w:tabs>
        <w:suppressAutoHyphens/>
        <w:spacing w:line="240" w:lineRule="auto"/>
        <w:ind w:firstLine="0"/>
        <w:jc w:val="left"/>
        <w:rPr>
          <w:sz w:val="26"/>
          <w:szCs w:val="26"/>
        </w:rPr>
      </w:pPr>
      <w:r>
        <w:rPr>
          <w:sz w:val="26"/>
          <w:szCs w:val="26"/>
        </w:rPr>
        <w:t xml:space="preserve">Robert Strydio  </w:t>
      </w:r>
      <w:r w:rsidR="00B4613A">
        <w:rPr>
          <w:sz w:val="26"/>
          <w:szCs w:val="26"/>
        </w:rPr>
        <w:tab/>
      </w:r>
      <w:r w:rsidR="00B4613A">
        <w:rPr>
          <w:sz w:val="26"/>
          <w:szCs w:val="26"/>
        </w:rPr>
        <w:tab/>
      </w:r>
      <w:r w:rsidR="00B4613A">
        <w:rPr>
          <w:sz w:val="26"/>
          <w:szCs w:val="26"/>
        </w:rPr>
        <w:tab/>
      </w:r>
      <w:r w:rsidR="00B4613A">
        <w:rPr>
          <w:sz w:val="26"/>
          <w:szCs w:val="26"/>
        </w:rPr>
        <w:tab/>
      </w:r>
      <w:r w:rsidR="00B4613A">
        <w:rPr>
          <w:sz w:val="26"/>
          <w:szCs w:val="26"/>
        </w:rPr>
        <w:tab/>
      </w:r>
      <w:r>
        <w:rPr>
          <w:sz w:val="26"/>
          <w:szCs w:val="26"/>
        </w:rPr>
        <w:t xml:space="preserve"> </w:t>
      </w:r>
      <w:r w:rsidR="00B4613A">
        <w:rPr>
          <w:sz w:val="26"/>
          <w:szCs w:val="26"/>
        </w:rPr>
        <w:tab/>
      </w:r>
      <w:r w:rsidR="00B746FE">
        <w:rPr>
          <w:sz w:val="26"/>
          <w:szCs w:val="26"/>
        </w:rPr>
        <w:t xml:space="preserve">           </w:t>
      </w:r>
      <w:r w:rsidR="00B746FE">
        <w:rPr>
          <w:sz w:val="26"/>
          <w:szCs w:val="26"/>
        </w:rPr>
        <w:tab/>
      </w:r>
      <w:r w:rsidR="00B746FE">
        <w:rPr>
          <w:sz w:val="26"/>
          <w:szCs w:val="26"/>
        </w:rPr>
        <w:tab/>
      </w:r>
      <w:r>
        <w:rPr>
          <w:sz w:val="26"/>
          <w:szCs w:val="26"/>
        </w:rPr>
        <w:t xml:space="preserve">     C-2017-2633043 </w:t>
      </w:r>
    </w:p>
    <w:p w14:paraId="54B420F0" w14:textId="77777777" w:rsidR="00B4613A" w:rsidRDefault="00B4613A" w:rsidP="00B4613A">
      <w:pPr>
        <w:tabs>
          <w:tab w:val="left" w:pos="-720"/>
          <w:tab w:val="left" w:pos="0"/>
        </w:tabs>
        <w:suppressAutoHyphens/>
        <w:spacing w:line="240" w:lineRule="auto"/>
        <w:ind w:firstLine="0"/>
        <w:jc w:val="left"/>
        <w:rPr>
          <w:b/>
          <w:sz w:val="26"/>
          <w:szCs w:val="26"/>
        </w:rPr>
      </w:pPr>
    </w:p>
    <w:p w14:paraId="1D607560" w14:textId="77777777" w:rsidR="00B4613A" w:rsidRDefault="00B4613A" w:rsidP="00B4613A">
      <w:pPr>
        <w:tabs>
          <w:tab w:val="left" w:pos="-720"/>
          <w:tab w:val="left" w:pos="0"/>
        </w:tabs>
        <w:suppressAutoHyphens/>
        <w:spacing w:line="240" w:lineRule="auto"/>
        <w:ind w:firstLine="0"/>
        <w:jc w:val="left"/>
        <w:rPr>
          <w:sz w:val="26"/>
          <w:szCs w:val="26"/>
        </w:rPr>
      </w:pPr>
      <w:r>
        <w:rPr>
          <w:b/>
          <w:sz w:val="26"/>
          <w:szCs w:val="26"/>
        </w:rPr>
        <w:tab/>
        <w:t xml:space="preserve">     </w:t>
      </w:r>
      <w:r>
        <w:rPr>
          <w:sz w:val="26"/>
          <w:szCs w:val="26"/>
        </w:rPr>
        <w:t>v.</w:t>
      </w:r>
    </w:p>
    <w:p w14:paraId="1883A3B7" w14:textId="77777777" w:rsidR="00B4613A" w:rsidRDefault="00B4613A" w:rsidP="00B4613A">
      <w:pPr>
        <w:tabs>
          <w:tab w:val="left" w:pos="-720"/>
          <w:tab w:val="left" w:pos="0"/>
        </w:tabs>
        <w:suppressAutoHyphens/>
        <w:spacing w:line="240" w:lineRule="auto"/>
        <w:ind w:firstLine="0"/>
        <w:jc w:val="left"/>
        <w:rPr>
          <w:sz w:val="26"/>
          <w:szCs w:val="26"/>
        </w:rPr>
      </w:pPr>
    </w:p>
    <w:p w14:paraId="0D2C7408" w14:textId="583E6B4B" w:rsidR="00B4613A" w:rsidRDefault="00B44F64" w:rsidP="00B4613A">
      <w:pPr>
        <w:tabs>
          <w:tab w:val="left" w:pos="-720"/>
          <w:tab w:val="left" w:pos="0"/>
        </w:tabs>
        <w:suppressAutoHyphens/>
        <w:spacing w:line="240" w:lineRule="auto"/>
        <w:ind w:firstLine="0"/>
        <w:jc w:val="left"/>
        <w:rPr>
          <w:sz w:val="26"/>
          <w:szCs w:val="26"/>
        </w:rPr>
      </w:pPr>
      <w:r>
        <w:rPr>
          <w:sz w:val="26"/>
          <w:szCs w:val="26"/>
        </w:rPr>
        <w:t>PPL Electric Utilities Corporation</w:t>
      </w:r>
    </w:p>
    <w:p w14:paraId="7D6C147E" w14:textId="77777777" w:rsidR="00B4613A" w:rsidRPr="001E0694" w:rsidRDefault="00B4613A" w:rsidP="00B4613A">
      <w:pPr>
        <w:tabs>
          <w:tab w:val="left" w:pos="-720"/>
          <w:tab w:val="left" w:pos="0"/>
        </w:tabs>
        <w:suppressAutoHyphens/>
        <w:spacing w:line="240" w:lineRule="auto"/>
        <w:ind w:firstLine="0"/>
        <w:jc w:val="left"/>
        <w:rPr>
          <w:sz w:val="26"/>
          <w:szCs w:val="26"/>
        </w:rPr>
      </w:pPr>
    </w:p>
    <w:p w14:paraId="365B31D1" w14:textId="77777777" w:rsidR="00B4613A" w:rsidRDefault="00B4613A" w:rsidP="00B4613A">
      <w:pPr>
        <w:tabs>
          <w:tab w:val="left" w:pos="-720"/>
        </w:tabs>
        <w:suppressAutoHyphens/>
        <w:ind w:firstLine="0"/>
        <w:jc w:val="left"/>
        <w:rPr>
          <w:sz w:val="26"/>
        </w:rPr>
      </w:pPr>
    </w:p>
    <w:p w14:paraId="6392E522" w14:textId="77777777" w:rsidR="00B4613A" w:rsidRDefault="00B4613A" w:rsidP="00B4613A">
      <w:pPr>
        <w:suppressAutoHyphens/>
        <w:ind w:firstLine="0"/>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14:paraId="156D2AC3" w14:textId="77777777" w:rsidR="00B4613A" w:rsidRDefault="00B4613A" w:rsidP="00B4613A">
      <w:pPr>
        <w:suppressAutoHyphens/>
        <w:ind w:firstLine="0"/>
        <w:rPr>
          <w:b/>
          <w:sz w:val="26"/>
          <w:szCs w:val="26"/>
        </w:rPr>
      </w:pPr>
    </w:p>
    <w:p w14:paraId="180E336A" w14:textId="77777777" w:rsidR="00B4613A" w:rsidRDefault="00B4613A" w:rsidP="00B4613A">
      <w:pPr>
        <w:tabs>
          <w:tab w:val="left" w:pos="-720"/>
        </w:tabs>
        <w:suppressAutoHyphens/>
        <w:ind w:firstLine="0"/>
        <w:jc w:val="left"/>
        <w:rPr>
          <w:sz w:val="26"/>
        </w:rPr>
      </w:pPr>
      <w:r w:rsidRPr="00624B80">
        <w:rPr>
          <w:b/>
          <w:sz w:val="26"/>
        </w:rPr>
        <w:t>BY THE COMMISSION:</w:t>
      </w:r>
    </w:p>
    <w:p w14:paraId="73D7224D" w14:textId="77777777" w:rsidR="00B4613A" w:rsidRDefault="00B4613A" w:rsidP="00B4613A">
      <w:pPr>
        <w:ind w:firstLine="0"/>
        <w:jc w:val="left"/>
        <w:rPr>
          <w:sz w:val="26"/>
          <w:szCs w:val="26"/>
        </w:rPr>
      </w:pPr>
    </w:p>
    <w:p w14:paraId="3BABB90C" w14:textId="60B0936A" w:rsidR="004A44D1" w:rsidRDefault="00D51C18" w:rsidP="00D42242">
      <w:pPr>
        <w:ind w:firstLine="1440"/>
        <w:jc w:val="left"/>
        <w:rPr>
          <w:sz w:val="26"/>
          <w:szCs w:val="26"/>
        </w:rPr>
      </w:pPr>
      <w:r w:rsidRPr="00FD25A0">
        <w:rPr>
          <w:sz w:val="26"/>
          <w:szCs w:val="26"/>
        </w:rPr>
        <w:t>Before the Pennsylvania Public Utility Commission (Commission) for consideration an</w:t>
      </w:r>
      <w:r w:rsidR="00E37594">
        <w:rPr>
          <w:sz w:val="26"/>
          <w:szCs w:val="26"/>
        </w:rPr>
        <w:t xml:space="preserve">d disposition </w:t>
      </w:r>
      <w:r w:rsidR="000C04EA">
        <w:rPr>
          <w:sz w:val="26"/>
          <w:szCs w:val="26"/>
        </w:rPr>
        <w:t xml:space="preserve">is </w:t>
      </w:r>
      <w:r w:rsidRPr="00FD25A0">
        <w:rPr>
          <w:sz w:val="26"/>
          <w:szCs w:val="26"/>
        </w:rPr>
        <w:t xml:space="preserve">the Initial Decision (I.D.) of Administrative Law Judge (ALJ) </w:t>
      </w:r>
      <w:r w:rsidR="009035E3">
        <w:rPr>
          <w:sz w:val="26"/>
          <w:szCs w:val="26"/>
        </w:rPr>
        <w:t>David A. Salapa</w:t>
      </w:r>
      <w:r w:rsidR="007603D5">
        <w:rPr>
          <w:sz w:val="26"/>
          <w:szCs w:val="26"/>
        </w:rPr>
        <w:t>,</w:t>
      </w:r>
      <w:r w:rsidR="001A0B3D">
        <w:rPr>
          <w:sz w:val="26"/>
          <w:szCs w:val="26"/>
        </w:rPr>
        <w:t xml:space="preserve"> which was issued</w:t>
      </w:r>
      <w:r w:rsidR="009035E3">
        <w:rPr>
          <w:sz w:val="26"/>
          <w:szCs w:val="26"/>
        </w:rPr>
        <w:t xml:space="preserve"> February 14, 2018</w:t>
      </w:r>
      <w:r w:rsidR="000C04EA">
        <w:rPr>
          <w:sz w:val="26"/>
          <w:szCs w:val="26"/>
        </w:rPr>
        <w:t>, dismissing with prejudice the above-captioned Formal Complaint (Complaint) of Robert Strydio (Complainant) against PPL Electric Utilities Corporation (PPL or Company).</w:t>
      </w:r>
      <w:r w:rsidR="00E37594">
        <w:rPr>
          <w:sz w:val="26"/>
          <w:szCs w:val="26"/>
        </w:rPr>
        <w:t xml:space="preserve"> </w:t>
      </w:r>
      <w:r w:rsidR="000C04EA">
        <w:rPr>
          <w:sz w:val="26"/>
          <w:szCs w:val="26"/>
        </w:rPr>
        <w:t xml:space="preserve"> The Complainant filed Exceptions to the Initial Decision on February 22, 2018, and PPL filed</w:t>
      </w:r>
      <w:r w:rsidR="00E37594">
        <w:rPr>
          <w:sz w:val="26"/>
          <w:szCs w:val="26"/>
        </w:rPr>
        <w:t xml:space="preserve"> </w:t>
      </w:r>
      <w:r w:rsidR="000C04EA">
        <w:rPr>
          <w:sz w:val="26"/>
          <w:szCs w:val="26"/>
        </w:rPr>
        <w:t>Replies to</w:t>
      </w:r>
      <w:r w:rsidR="001A0B3D">
        <w:rPr>
          <w:sz w:val="26"/>
          <w:szCs w:val="26"/>
        </w:rPr>
        <w:t xml:space="preserve"> Exceptions on </w:t>
      </w:r>
      <w:r w:rsidR="00767EB3">
        <w:rPr>
          <w:sz w:val="26"/>
          <w:szCs w:val="26"/>
        </w:rPr>
        <w:t>March 6, 2018</w:t>
      </w:r>
      <w:r w:rsidR="00E37594" w:rsidRPr="00C43E49">
        <w:rPr>
          <w:sz w:val="26"/>
          <w:szCs w:val="26"/>
        </w:rPr>
        <w:t xml:space="preserve">. </w:t>
      </w:r>
      <w:r w:rsidR="00F27014" w:rsidRPr="00C43E49">
        <w:rPr>
          <w:sz w:val="26"/>
          <w:szCs w:val="26"/>
        </w:rPr>
        <w:t xml:space="preserve"> </w:t>
      </w:r>
      <w:r w:rsidR="00C43E49" w:rsidRPr="007A020F">
        <w:rPr>
          <w:sz w:val="26"/>
          <w:szCs w:val="26"/>
        </w:rPr>
        <w:t>For the reasons</w:t>
      </w:r>
      <w:r w:rsidR="00EF0386">
        <w:rPr>
          <w:sz w:val="26"/>
          <w:szCs w:val="26"/>
        </w:rPr>
        <w:t xml:space="preserve"> set forth </w:t>
      </w:r>
      <w:r w:rsidR="0028557B">
        <w:rPr>
          <w:sz w:val="26"/>
          <w:szCs w:val="26"/>
        </w:rPr>
        <w:t>herein, we shall deny</w:t>
      </w:r>
      <w:r w:rsidR="000B47EB" w:rsidRPr="000B47EB">
        <w:rPr>
          <w:sz w:val="26"/>
          <w:szCs w:val="26"/>
        </w:rPr>
        <w:t xml:space="preserve"> </w:t>
      </w:r>
      <w:r w:rsidR="00C43E49" w:rsidRPr="000B47EB">
        <w:rPr>
          <w:sz w:val="26"/>
          <w:szCs w:val="26"/>
        </w:rPr>
        <w:t xml:space="preserve">the </w:t>
      </w:r>
      <w:r w:rsidR="00C43E49" w:rsidRPr="000B47EB">
        <w:rPr>
          <w:sz w:val="26"/>
          <w:szCs w:val="26"/>
        </w:rPr>
        <w:lastRenderedPageBreak/>
        <w:t xml:space="preserve">Complainant’s </w:t>
      </w:r>
      <w:r w:rsidR="00EF0386" w:rsidRPr="000B47EB">
        <w:rPr>
          <w:sz w:val="26"/>
          <w:szCs w:val="26"/>
        </w:rPr>
        <w:t xml:space="preserve">Exceptions, </w:t>
      </w:r>
      <w:r w:rsidR="0028557B">
        <w:rPr>
          <w:sz w:val="26"/>
          <w:szCs w:val="26"/>
        </w:rPr>
        <w:t>adopt</w:t>
      </w:r>
      <w:r w:rsidR="007A020F" w:rsidRPr="000B47EB">
        <w:rPr>
          <w:sz w:val="26"/>
          <w:szCs w:val="26"/>
        </w:rPr>
        <w:t xml:space="preserve"> the </w:t>
      </w:r>
      <w:r w:rsidR="000E7A4D">
        <w:rPr>
          <w:sz w:val="26"/>
          <w:szCs w:val="26"/>
        </w:rPr>
        <w:t xml:space="preserve">ALJ’s </w:t>
      </w:r>
      <w:r w:rsidR="007A020F" w:rsidRPr="000B47EB">
        <w:rPr>
          <w:sz w:val="26"/>
          <w:szCs w:val="26"/>
        </w:rPr>
        <w:t>Initial Decision,</w:t>
      </w:r>
      <w:r w:rsidR="000B47EB" w:rsidRPr="000B47EB">
        <w:rPr>
          <w:sz w:val="26"/>
          <w:szCs w:val="26"/>
        </w:rPr>
        <w:t xml:space="preserve"> and</w:t>
      </w:r>
      <w:r w:rsidR="0028557B">
        <w:rPr>
          <w:sz w:val="26"/>
          <w:szCs w:val="26"/>
        </w:rPr>
        <w:t xml:space="preserve"> dismiss </w:t>
      </w:r>
      <w:r w:rsidR="0028557B">
        <w:rPr>
          <w:color w:val="000000" w:themeColor="text1"/>
          <w:sz w:val="26"/>
          <w:szCs w:val="26"/>
        </w:rPr>
        <w:t>the Complaint,</w:t>
      </w:r>
      <w:r w:rsidR="0028557B" w:rsidRPr="0028557B">
        <w:rPr>
          <w:sz w:val="26"/>
          <w:szCs w:val="26"/>
        </w:rPr>
        <w:t xml:space="preserve"> </w:t>
      </w:r>
      <w:r w:rsidR="0028557B" w:rsidRPr="0003143A">
        <w:rPr>
          <w:sz w:val="26"/>
          <w:szCs w:val="26"/>
        </w:rPr>
        <w:t>with prejudice</w:t>
      </w:r>
      <w:r w:rsidR="000E7A4D">
        <w:rPr>
          <w:sz w:val="26"/>
          <w:szCs w:val="26"/>
        </w:rPr>
        <w:t xml:space="preserve">, </w:t>
      </w:r>
      <w:r w:rsidR="007A020F" w:rsidRPr="000B47EB">
        <w:rPr>
          <w:sz w:val="26"/>
          <w:szCs w:val="26"/>
        </w:rPr>
        <w:t>consistent with this Opinion and Order.</w:t>
      </w:r>
    </w:p>
    <w:p w14:paraId="6BA90628" w14:textId="77777777" w:rsidR="000B47EB" w:rsidRDefault="000B47EB" w:rsidP="00D42242">
      <w:pPr>
        <w:ind w:firstLine="1440"/>
        <w:jc w:val="left"/>
        <w:rPr>
          <w:sz w:val="26"/>
          <w:szCs w:val="26"/>
        </w:rPr>
      </w:pPr>
    </w:p>
    <w:p w14:paraId="45E6CACA" w14:textId="73DEF1F9" w:rsidR="00B4613A" w:rsidRDefault="00B4613A" w:rsidP="000D5317">
      <w:pPr>
        <w:pStyle w:val="ListParagraph"/>
        <w:keepNext/>
        <w:keepLines/>
        <w:ind w:left="0" w:firstLine="0"/>
        <w:rPr>
          <w:b/>
          <w:sz w:val="26"/>
          <w:szCs w:val="26"/>
        </w:rPr>
      </w:pPr>
      <w:r w:rsidRPr="00D46080">
        <w:rPr>
          <w:b/>
          <w:sz w:val="26"/>
          <w:szCs w:val="26"/>
        </w:rPr>
        <w:t>History of the Proceeding</w:t>
      </w:r>
    </w:p>
    <w:p w14:paraId="41FE8186" w14:textId="77777777" w:rsidR="00D46080" w:rsidRDefault="00D46080" w:rsidP="000D5317">
      <w:pPr>
        <w:pStyle w:val="ListParagraph"/>
        <w:keepNext/>
        <w:keepLines/>
        <w:ind w:left="0" w:firstLine="0"/>
        <w:jc w:val="both"/>
        <w:rPr>
          <w:b/>
          <w:sz w:val="26"/>
          <w:szCs w:val="26"/>
        </w:rPr>
      </w:pPr>
    </w:p>
    <w:p w14:paraId="79B0D146" w14:textId="0E2159DA" w:rsidR="008A417E" w:rsidRPr="000C04EA" w:rsidRDefault="000C04EA" w:rsidP="000C04EA">
      <w:pPr>
        <w:pStyle w:val="Default"/>
        <w:spacing w:line="360" w:lineRule="auto"/>
        <w:ind w:firstLine="1440"/>
        <w:rPr>
          <w:sz w:val="26"/>
          <w:szCs w:val="26"/>
        </w:rPr>
      </w:pPr>
      <w:r w:rsidRPr="000C04EA">
        <w:rPr>
          <w:sz w:val="26"/>
          <w:szCs w:val="26"/>
        </w:rPr>
        <w:t>On November 6, 2017, t</w:t>
      </w:r>
      <w:r w:rsidR="008A417E" w:rsidRPr="000C04EA">
        <w:rPr>
          <w:sz w:val="26"/>
          <w:szCs w:val="26"/>
        </w:rPr>
        <w:t xml:space="preserve">he Complainant filed </w:t>
      </w:r>
      <w:r w:rsidRPr="000C04EA">
        <w:rPr>
          <w:sz w:val="26"/>
          <w:szCs w:val="26"/>
        </w:rPr>
        <w:t>the instant</w:t>
      </w:r>
      <w:r w:rsidR="008A417E" w:rsidRPr="000C04EA">
        <w:rPr>
          <w:sz w:val="26"/>
          <w:szCs w:val="26"/>
        </w:rPr>
        <w:t xml:space="preserve"> Complaint</w:t>
      </w:r>
      <w:r w:rsidRPr="000C04EA">
        <w:rPr>
          <w:sz w:val="26"/>
          <w:szCs w:val="26"/>
        </w:rPr>
        <w:t xml:space="preserve"> with the Commission, alleging</w:t>
      </w:r>
      <w:r>
        <w:rPr>
          <w:sz w:val="26"/>
          <w:szCs w:val="26"/>
        </w:rPr>
        <w:t>, in relevant part,</w:t>
      </w:r>
      <w:r w:rsidRPr="000C04EA">
        <w:rPr>
          <w:sz w:val="26"/>
          <w:szCs w:val="26"/>
        </w:rPr>
        <w:t xml:space="preserve"> that PPL was threatening to shut off the Complainant’s service and that PPL’s employees refused to respond to the Complainant’s inquiries about his account. </w:t>
      </w:r>
      <w:r w:rsidR="001D57EF">
        <w:rPr>
          <w:sz w:val="26"/>
          <w:szCs w:val="26"/>
        </w:rPr>
        <w:t xml:space="preserve"> </w:t>
      </w:r>
      <w:r w:rsidRPr="000C04EA">
        <w:rPr>
          <w:sz w:val="26"/>
          <w:szCs w:val="26"/>
        </w:rPr>
        <w:t>The Complainant requested that the Commission order a payment arrangement for the Complainant.  I.D. at 1; Complaint at ¶</w:t>
      </w:r>
      <w:r>
        <w:rPr>
          <w:sz w:val="26"/>
          <w:szCs w:val="26"/>
        </w:rPr>
        <w:t>¶</w:t>
      </w:r>
      <w:r w:rsidRPr="000C04EA">
        <w:rPr>
          <w:sz w:val="26"/>
          <w:szCs w:val="26"/>
        </w:rPr>
        <w:t xml:space="preserve"> 4</w:t>
      </w:r>
      <w:r>
        <w:rPr>
          <w:sz w:val="26"/>
          <w:szCs w:val="26"/>
        </w:rPr>
        <w:t>-5</w:t>
      </w:r>
      <w:r w:rsidRPr="000C04EA">
        <w:rPr>
          <w:sz w:val="26"/>
          <w:szCs w:val="26"/>
        </w:rPr>
        <w:t>.</w:t>
      </w:r>
    </w:p>
    <w:p w14:paraId="38780065" w14:textId="58CBEC5E" w:rsidR="00AF47EC" w:rsidRPr="003F6E2A" w:rsidRDefault="00AF47EC" w:rsidP="006101F6">
      <w:pPr>
        <w:pStyle w:val="Default"/>
        <w:spacing w:line="360" w:lineRule="auto"/>
        <w:ind w:firstLine="1440"/>
        <w:rPr>
          <w:sz w:val="26"/>
          <w:szCs w:val="26"/>
        </w:rPr>
      </w:pPr>
    </w:p>
    <w:p w14:paraId="432BA8AE" w14:textId="0197D6E5" w:rsidR="002611B2" w:rsidRPr="000C04EA" w:rsidRDefault="000B5458" w:rsidP="006101F6">
      <w:pPr>
        <w:pStyle w:val="Default"/>
        <w:spacing w:line="360" w:lineRule="auto"/>
        <w:ind w:firstLine="1440"/>
        <w:rPr>
          <w:color w:val="auto"/>
          <w:sz w:val="26"/>
          <w:szCs w:val="26"/>
        </w:rPr>
      </w:pPr>
      <w:r w:rsidRPr="00357E45">
        <w:rPr>
          <w:color w:val="auto"/>
          <w:sz w:val="26"/>
          <w:szCs w:val="26"/>
        </w:rPr>
        <w:t xml:space="preserve">On </w:t>
      </w:r>
      <w:r w:rsidR="002611B2">
        <w:rPr>
          <w:color w:val="auto"/>
          <w:sz w:val="26"/>
          <w:szCs w:val="26"/>
        </w:rPr>
        <w:t>November 29</w:t>
      </w:r>
      <w:r w:rsidR="001D5D09">
        <w:rPr>
          <w:color w:val="auto"/>
          <w:sz w:val="26"/>
          <w:szCs w:val="26"/>
        </w:rPr>
        <w:t>, 2017</w:t>
      </w:r>
      <w:r w:rsidR="00B63502" w:rsidRPr="00357E45">
        <w:rPr>
          <w:color w:val="auto"/>
          <w:sz w:val="26"/>
          <w:szCs w:val="26"/>
        </w:rPr>
        <w:t>,</w:t>
      </w:r>
      <w:r w:rsidR="002611B2">
        <w:rPr>
          <w:color w:val="auto"/>
          <w:sz w:val="26"/>
          <w:szCs w:val="26"/>
        </w:rPr>
        <w:t xml:space="preserve"> PPL</w:t>
      </w:r>
      <w:r w:rsidR="00D46080" w:rsidRPr="00D46080">
        <w:rPr>
          <w:color w:val="auto"/>
          <w:sz w:val="26"/>
          <w:szCs w:val="26"/>
        </w:rPr>
        <w:t xml:space="preserve"> filed an </w:t>
      </w:r>
      <w:r w:rsidR="001D698E">
        <w:rPr>
          <w:color w:val="auto"/>
          <w:sz w:val="26"/>
          <w:szCs w:val="26"/>
        </w:rPr>
        <w:t>A</w:t>
      </w:r>
      <w:r w:rsidR="00D46080" w:rsidRPr="00D46080">
        <w:rPr>
          <w:color w:val="auto"/>
          <w:sz w:val="26"/>
          <w:szCs w:val="26"/>
        </w:rPr>
        <w:t>nswer</w:t>
      </w:r>
      <w:r w:rsidR="003F6A98">
        <w:rPr>
          <w:color w:val="auto"/>
          <w:sz w:val="26"/>
          <w:szCs w:val="26"/>
        </w:rPr>
        <w:t xml:space="preserve"> (Answer)</w:t>
      </w:r>
      <w:r w:rsidR="000C04EA">
        <w:rPr>
          <w:color w:val="auto"/>
          <w:sz w:val="26"/>
          <w:szCs w:val="26"/>
        </w:rPr>
        <w:t>,</w:t>
      </w:r>
      <w:r w:rsidR="00D75E22">
        <w:rPr>
          <w:color w:val="auto"/>
          <w:sz w:val="26"/>
          <w:szCs w:val="26"/>
        </w:rPr>
        <w:t xml:space="preserve"> </w:t>
      </w:r>
      <w:r w:rsidR="002611B2">
        <w:rPr>
          <w:color w:val="auto"/>
          <w:sz w:val="26"/>
          <w:szCs w:val="26"/>
        </w:rPr>
        <w:t xml:space="preserve">admitting that it provided electric utility service to the Complainant and that a termination notice was issued for the Complainant’s service address for an unpaid balance.  </w:t>
      </w:r>
      <w:r w:rsidR="000C04EA">
        <w:rPr>
          <w:color w:val="auto"/>
          <w:sz w:val="26"/>
          <w:szCs w:val="26"/>
        </w:rPr>
        <w:t xml:space="preserve">I.D. at 1; </w:t>
      </w:r>
      <w:r w:rsidR="002611B2">
        <w:rPr>
          <w:color w:val="auto"/>
          <w:sz w:val="26"/>
          <w:szCs w:val="26"/>
        </w:rPr>
        <w:t>Answer at</w:t>
      </w:r>
      <w:r w:rsidR="000D5317">
        <w:rPr>
          <w:color w:val="auto"/>
          <w:sz w:val="26"/>
          <w:szCs w:val="26"/>
        </w:rPr>
        <w:t> </w:t>
      </w:r>
      <w:r w:rsidR="002611B2">
        <w:rPr>
          <w:color w:val="auto"/>
          <w:sz w:val="26"/>
          <w:szCs w:val="26"/>
        </w:rPr>
        <w:t xml:space="preserve">1.  </w:t>
      </w:r>
      <w:r w:rsidR="0046702F">
        <w:rPr>
          <w:color w:val="auto"/>
          <w:sz w:val="26"/>
          <w:szCs w:val="26"/>
        </w:rPr>
        <w:t xml:space="preserve">PPL alleged in its </w:t>
      </w:r>
      <w:r w:rsidR="000C04EA">
        <w:rPr>
          <w:color w:val="auto"/>
          <w:sz w:val="26"/>
          <w:szCs w:val="26"/>
        </w:rPr>
        <w:t>Answer that</w:t>
      </w:r>
      <w:r w:rsidR="002611B2">
        <w:rPr>
          <w:color w:val="auto"/>
          <w:sz w:val="26"/>
          <w:szCs w:val="26"/>
        </w:rPr>
        <w:t xml:space="preserve"> on September 21, 2017</w:t>
      </w:r>
      <w:r w:rsidR="0046702F">
        <w:rPr>
          <w:color w:val="auto"/>
          <w:sz w:val="26"/>
          <w:szCs w:val="26"/>
        </w:rPr>
        <w:t>,</w:t>
      </w:r>
      <w:r w:rsidR="002611B2">
        <w:rPr>
          <w:color w:val="auto"/>
          <w:sz w:val="26"/>
          <w:szCs w:val="26"/>
        </w:rPr>
        <w:t xml:space="preserve"> it requested the Complainant to agree to pay $2,618 no later than September 27, 2017, and $217.93 no later than October 10, 2017, to avoid a scheduled termination on September 28, 2017.  </w:t>
      </w:r>
      <w:r w:rsidR="00144F54">
        <w:rPr>
          <w:color w:val="auto"/>
          <w:sz w:val="26"/>
          <w:szCs w:val="26"/>
        </w:rPr>
        <w:t xml:space="preserve">PPL </w:t>
      </w:r>
      <w:r w:rsidR="000C04EA">
        <w:rPr>
          <w:color w:val="auto"/>
          <w:sz w:val="26"/>
          <w:szCs w:val="26"/>
        </w:rPr>
        <w:t xml:space="preserve">also alleged that the Commission previously ordered a payment arrangement and </w:t>
      </w:r>
      <w:r w:rsidR="00144F54">
        <w:rPr>
          <w:color w:val="auto"/>
          <w:sz w:val="26"/>
          <w:szCs w:val="26"/>
        </w:rPr>
        <w:t>indicated</w:t>
      </w:r>
      <w:r w:rsidR="002611B2">
        <w:rPr>
          <w:color w:val="auto"/>
          <w:sz w:val="26"/>
          <w:szCs w:val="26"/>
        </w:rPr>
        <w:t xml:space="preserve"> that it </w:t>
      </w:r>
      <w:r w:rsidR="000C04EA">
        <w:rPr>
          <w:color w:val="auto"/>
          <w:sz w:val="26"/>
          <w:szCs w:val="26"/>
        </w:rPr>
        <w:t>agreed with the terms of</w:t>
      </w:r>
      <w:r w:rsidR="002611B2">
        <w:rPr>
          <w:color w:val="auto"/>
          <w:sz w:val="26"/>
          <w:szCs w:val="26"/>
        </w:rPr>
        <w:t xml:space="preserve"> BCS Decision No. </w:t>
      </w:r>
      <w:r w:rsidR="00144F54">
        <w:rPr>
          <w:color w:val="auto"/>
          <w:sz w:val="26"/>
          <w:szCs w:val="26"/>
        </w:rPr>
        <w:t>3501369, which directed</w:t>
      </w:r>
      <w:r w:rsidR="002611B2">
        <w:rPr>
          <w:color w:val="auto"/>
          <w:sz w:val="26"/>
          <w:szCs w:val="26"/>
        </w:rPr>
        <w:t xml:space="preserve"> the Complainant to pay his regular monthly budget bill plus $170 per month toward arrearages, until all arrearages are paid in full.  </w:t>
      </w:r>
      <w:r w:rsidR="000C04EA">
        <w:rPr>
          <w:i/>
          <w:color w:val="auto"/>
          <w:sz w:val="26"/>
          <w:szCs w:val="26"/>
        </w:rPr>
        <w:t xml:space="preserve">See generally </w:t>
      </w:r>
      <w:r w:rsidR="000C04EA">
        <w:rPr>
          <w:color w:val="auto"/>
          <w:sz w:val="26"/>
          <w:szCs w:val="26"/>
        </w:rPr>
        <w:t>Answer.  The Answer requested that the Commission deny the Complaint.   I.D. at 2.</w:t>
      </w:r>
    </w:p>
    <w:p w14:paraId="1854CA3E" w14:textId="637B014F" w:rsidR="0004245D" w:rsidRDefault="0004245D" w:rsidP="00D66F1D">
      <w:pPr>
        <w:pStyle w:val="Default"/>
        <w:spacing w:line="360" w:lineRule="auto"/>
        <w:rPr>
          <w:color w:val="auto"/>
          <w:sz w:val="26"/>
          <w:szCs w:val="26"/>
        </w:rPr>
      </w:pPr>
    </w:p>
    <w:p w14:paraId="125F44B1" w14:textId="1FA5EF91" w:rsidR="00392BB0" w:rsidRDefault="000F50C9" w:rsidP="005F1CCF">
      <w:pPr>
        <w:pStyle w:val="ParaTab1"/>
        <w:spacing w:line="360" w:lineRule="auto"/>
        <w:ind w:firstLine="1354"/>
        <w:rPr>
          <w:rFonts w:ascii="Times New Roman" w:hAnsi="Times New Roman" w:cs="Times New Roman"/>
          <w:sz w:val="26"/>
        </w:rPr>
      </w:pPr>
      <w:r>
        <w:rPr>
          <w:rFonts w:ascii="Times New Roman" w:hAnsi="Times New Roman" w:cs="Times New Roman"/>
          <w:sz w:val="26"/>
        </w:rPr>
        <w:t xml:space="preserve">By </w:t>
      </w:r>
      <w:r w:rsidR="00392BB0">
        <w:rPr>
          <w:rFonts w:ascii="Times New Roman" w:hAnsi="Times New Roman" w:cs="Times New Roman"/>
          <w:sz w:val="26"/>
        </w:rPr>
        <w:t xml:space="preserve">Hearing Notice </w:t>
      </w:r>
      <w:r w:rsidR="00392BB0" w:rsidRPr="003C2000">
        <w:rPr>
          <w:rFonts w:ascii="Times New Roman" w:hAnsi="Times New Roman" w:cs="Times New Roman"/>
          <w:sz w:val="26"/>
        </w:rPr>
        <w:t xml:space="preserve">dated </w:t>
      </w:r>
      <w:r>
        <w:rPr>
          <w:rFonts w:ascii="Times New Roman" w:hAnsi="Times New Roman" w:cs="Times New Roman"/>
          <w:spacing w:val="-3"/>
          <w:sz w:val="26"/>
        </w:rPr>
        <w:t>December 1</w:t>
      </w:r>
      <w:r w:rsidR="00392BB0">
        <w:rPr>
          <w:rFonts w:ascii="Times New Roman" w:hAnsi="Times New Roman" w:cs="Times New Roman"/>
          <w:spacing w:val="-3"/>
          <w:sz w:val="26"/>
        </w:rPr>
        <w:t>5, 2017</w:t>
      </w:r>
      <w:r w:rsidR="000C04EA">
        <w:rPr>
          <w:rFonts w:ascii="Times New Roman" w:hAnsi="Times New Roman" w:cs="Times New Roman"/>
          <w:spacing w:val="-3"/>
          <w:sz w:val="26"/>
        </w:rPr>
        <w:t xml:space="preserve"> (Hearing Notice)</w:t>
      </w:r>
      <w:r w:rsidR="00392BB0" w:rsidRPr="003C2000">
        <w:rPr>
          <w:rFonts w:ascii="Times New Roman" w:hAnsi="Times New Roman" w:cs="Times New Roman"/>
          <w:sz w:val="26"/>
        </w:rPr>
        <w:t>, an Initial</w:t>
      </w:r>
      <w:r w:rsidR="00392BB0">
        <w:rPr>
          <w:rFonts w:ascii="Times New Roman" w:hAnsi="Times New Roman" w:cs="Times New Roman"/>
          <w:sz w:val="26"/>
        </w:rPr>
        <w:t xml:space="preserve"> Telephonic</w:t>
      </w:r>
      <w:r w:rsidR="00392BB0" w:rsidRPr="003C2000">
        <w:rPr>
          <w:rFonts w:ascii="Times New Roman" w:hAnsi="Times New Roman" w:cs="Times New Roman"/>
          <w:sz w:val="26"/>
        </w:rPr>
        <w:t xml:space="preserve"> Hearing </w:t>
      </w:r>
      <w:r w:rsidR="00392BB0">
        <w:rPr>
          <w:rFonts w:ascii="Times New Roman" w:hAnsi="Times New Roman" w:cs="Times New Roman"/>
          <w:sz w:val="26"/>
        </w:rPr>
        <w:t>was scheduled for</w:t>
      </w:r>
      <w:r w:rsidR="00392BB0" w:rsidRPr="003C2000">
        <w:rPr>
          <w:rFonts w:ascii="Times New Roman" w:hAnsi="Times New Roman" w:cs="Times New Roman"/>
          <w:sz w:val="26"/>
        </w:rPr>
        <w:t xml:space="preserve"> </w:t>
      </w:r>
      <w:r>
        <w:rPr>
          <w:rFonts w:ascii="Times New Roman" w:hAnsi="Times New Roman" w:cs="Times New Roman"/>
          <w:spacing w:val="-3"/>
          <w:sz w:val="26"/>
        </w:rPr>
        <w:t>January 25, 2018</w:t>
      </w:r>
      <w:r w:rsidR="008B5379">
        <w:rPr>
          <w:rFonts w:ascii="Times New Roman" w:hAnsi="Times New Roman" w:cs="Times New Roman"/>
          <w:spacing w:val="-3"/>
          <w:sz w:val="26"/>
        </w:rPr>
        <w:t>,</w:t>
      </w:r>
      <w:r>
        <w:rPr>
          <w:rFonts w:ascii="Times New Roman" w:hAnsi="Times New Roman" w:cs="Times New Roman"/>
          <w:spacing w:val="-3"/>
          <w:sz w:val="26"/>
        </w:rPr>
        <w:t xml:space="preserve"> at 1:00 p.m</w:t>
      </w:r>
      <w:r w:rsidR="00392BB0" w:rsidRPr="003C2000">
        <w:rPr>
          <w:rFonts w:ascii="Times New Roman" w:hAnsi="Times New Roman" w:cs="Times New Roman"/>
          <w:spacing w:val="-3"/>
          <w:sz w:val="26"/>
        </w:rPr>
        <w:t>.</w:t>
      </w:r>
      <w:r w:rsidR="000C04EA">
        <w:rPr>
          <w:rFonts w:ascii="Times New Roman" w:hAnsi="Times New Roman" w:cs="Times New Roman"/>
          <w:sz w:val="26"/>
        </w:rPr>
        <w:t xml:space="preserve">  The Hearing Notice, included</w:t>
      </w:r>
      <w:r w:rsidR="00392BB0" w:rsidRPr="003C2000">
        <w:rPr>
          <w:rFonts w:ascii="Times New Roman" w:hAnsi="Times New Roman" w:cs="Times New Roman"/>
          <w:sz w:val="26"/>
        </w:rPr>
        <w:t xml:space="preserve"> the date, location</w:t>
      </w:r>
      <w:r w:rsidR="00392BB0">
        <w:rPr>
          <w:rFonts w:ascii="Times New Roman" w:hAnsi="Times New Roman" w:cs="Times New Roman"/>
          <w:sz w:val="26"/>
        </w:rPr>
        <w:t>,</w:t>
      </w:r>
      <w:r w:rsidR="00392BB0" w:rsidRPr="003C2000">
        <w:rPr>
          <w:rFonts w:ascii="Times New Roman" w:hAnsi="Times New Roman" w:cs="Times New Roman"/>
          <w:sz w:val="26"/>
        </w:rPr>
        <w:t xml:space="preserve"> and time of the hearing, </w:t>
      </w:r>
      <w:r w:rsidR="000C04EA">
        <w:rPr>
          <w:rFonts w:ascii="Times New Roman" w:hAnsi="Times New Roman" w:cs="Times New Roman"/>
          <w:sz w:val="26"/>
        </w:rPr>
        <w:t xml:space="preserve">and </w:t>
      </w:r>
      <w:r w:rsidR="00392BB0" w:rsidRPr="003C2000">
        <w:rPr>
          <w:rFonts w:ascii="Times New Roman" w:hAnsi="Times New Roman" w:cs="Times New Roman"/>
          <w:sz w:val="26"/>
        </w:rPr>
        <w:t xml:space="preserve">was mailed to </w:t>
      </w:r>
      <w:r w:rsidR="00392BB0">
        <w:rPr>
          <w:rFonts w:ascii="Times New Roman" w:hAnsi="Times New Roman" w:cs="Times New Roman"/>
          <w:sz w:val="26"/>
        </w:rPr>
        <w:t>the Parties</w:t>
      </w:r>
      <w:r w:rsidR="00392BB0" w:rsidRPr="003C2000">
        <w:rPr>
          <w:rFonts w:ascii="Times New Roman" w:hAnsi="Times New Roman" w:cs="Times New Roman"/>
          <w:sz w:val="26"/>
        </w:rPr>
        <w:t xml:space="preserve">. </w:t>
      </w:r>
      <w:r w:rsidR="000C04EA" w:rsidRPr="006367B2">
        <w:rPr>
          <w:sz w:val="26"/>
          <w:szCs w:val="26"/>
        </w:rPr>
        <w:t>The Hearing Notice further stated: “</w:t>
      </w:r>
      <w:r w:rsidR="000C04EA" w:rsidRPr="006367B2">
        <w:rPr>
          <w:i/>
          <w:sz w:val="26"/>
          <w:szCs w:val="26"/>
          <w:u w:val="single"/>
        </w:rPr>
        <w:t>Attention</w:t>
      </w:r>
      <w:r w:rsidR="000C04EA" w:rsidRPr="006367B2">
        <w:rPr>
          <w:i/>
          <w:sz w:val="26"/>
          <w:szCs w:val="26"/>
        </w:rPr>
        <w:t>:  You may lose the case if you do not take part in this hearing and present facts on the issues raised.</w:t>
      </w:r>
      <w:r w:rsidR="000C04EA" w:rsidRPr="006367B2">
        <w:rPr>
          <w:sz w:val="26"/>
          <w:szCs w:val="26"/>
        </w:rPr>
        <w:t>”  (emphasis in original).</w:t>
      </w:r>
      <w:r w:rsidR="00191DCE">
        <w:rPr>
          <w:sz w:val="26"/>
          <w:szCs w:val="26"/>
        </w:rPr>
        <w:t xml:space="preserve">  I.D. at 2; Hearing Notice.</w:t>
      </w:r>
    </w:p>
    <w:p w14:paraId="2F86C1D9" w14:textId="56835C66" w:rsidR="00392BB0" w:rsidRPr="003C2000" w:rsidRDefault="00392BB0" w:rsidP="00392BB0">
      <w:pPr>
        <w:pStyle w:val="ParaTab1"/>
        <w:spacing w:line="360" w:lineRule="auto"/>
        <w:rPr>
          <w:rFonts w:ascii="Times New Roman" w:hAnsi="Times New Roman" w:cs="Times New Roman"/>
          <w:sz w:val="26"/>
        </w:rPr>
      </w:pPr>
      <w:r>
        <w:rPr>
          <w:rFonts w:ascii="Times New Roman" w:hAnsi="Times New Roman" w:cs="Times New Roman"/>
          <w:sz w:val="26"/>
        </w:rPr>
        <w:t xml:space="preserve">The ALJ issued the Parties a </w:t>
      </w:r>
      <w:r w:rsidRPr="003C2000">
        <w:rPr>
          <w:rFonts w:ascii="Times New Roman" w:hAnsi="Times New Roman" w:cs="Times New Roman"/>
          <w:sz w:val="26"/>
        </w:rPr>
        <w:t>Prehearing Order</w:t>
      </w:r>
      <w:r w:rsidR="000F50C9">
        <w:rPr>
          <w:rFonts w:ascii="Times New Roman" w:hAnsi="Times New Roman" w:cs="Times New Roman"/>
          <w:sz w:val="26"/>
        </w:rPr>
        <w:t xml:space="preserve"> dated December 18</w:t>
      </w:r>
      <w:r>
        <w:rPr>
          <w:rFonts w:ascii="Times New Roman" w:hAnsi="Times New Roman" w:cs="Times New Roman"/>
          <w:sz w:val="26"/>
        </w:rPr>
        <w:t>, 2017</w:t>
      </w:r>
      <w:r w:rsidR="00191DCE">
        <w:rPr>
          <w:rFonts w:ascii="Times New Roman" w:hAnsi="Times New Roman" w:cs="Times New Roman"/>
          <w:sz w:val="26"/>
        </w:rPr>
        <w:t xml:space="preserve"> (Prehearing Order)</w:t>
      </w:r>
      <w:r w:rsidRPr="003C2000">
        <w:rPr>
          <w:rFonts w:ascii="Times New Roman" w:hAnsi="Times New Roman" w:cs="Times New Roman"/>
          <w:sz w:val="26"/>
        </w:rPr>
        <w:t xml:space="preserve">, </w:t>
      </w:r>
      <w:r>
        <w:rPr>
          <w:rFonts w:ascii="Times New Roman" w:hAnsi="Times New Roman" w:cs="Times New Roman"/>
          <w:sz w:val="26"/>
        </w:rPr>
        <w:t xml:space="preserve">which </w:t>
      </w:r>
      <w:r w:rsidRPr="003C2000">
        <w:rPr>
          <w:rFonts w:ascii="Times New Roman" w:hAnsi="Times New Roman" w:cs="Times New Roman"/>
          <w:sz w:val="26"/>
        </w:rPr>
        <w:t>also contain</w:t>
      </w:r>
      <w:r>
        <w:rPr>
          <w:rFonts w:ascii="Times New Roman" w:hAnsi="Times New Roman" w:cs="Times New Roman"/>
          <w:sz w:val="26"/>
        </w:rPr>
        <w:t>ed</w:t>
      </w:r>
      <w:r w:rsidRPr="003C2000">
        <w:rPr>
          <w:rFonts w:ascii="Times New Roman" w:hAnsi="Times New Roman" w:cs="Times New Roman"/>
          <w:sz w:val="26"/>
        </w:rPr>
        <w:t xml:space="preserve"> the date, time</w:t>
      </w:r>
      <w:r>
        <w:rPr>
          <w:rFonts w:ascii="Times New Roman" w:hAnsi="Times New Roman" w:cs="Times New Roman"/>
          <w:sz w:val="26"/>
        </w:rPr>
        <w:t>,</w:t>
      </w:r>
      <w:r w:rsidRPr="003C2000">
        <w:rPr>
          <w:rFonts w:ascii="Times New Roman" w:hAnsi="Times New Roman" w:cs="Times New Roman"/>
          <w:sz w:val="26"/>
        </w:rPr>
        <w:t xml:space="preserve"> and location of the hearing</w:t>
      </w:r>
      <w:r>
        <w:rPr>
          <w:rFonts w:ascii="Times New Roman" w:hAnsi="Times New Roman" w:cs="Times New Roman"/>
          <w:sz w:val="26"/>
        </w:rPr>
        <w:t>.  The Prehearing Order stated that, pursuant to 52 Pa. Code § 1.15(b), a request for a change of the scheduled hearing date must be submitted in writing no later than five business days prior to the hearing.</w:t>
      </w:r>
      <w:r w:rsidR="00191DCE">
        <w:rPr>
          <w:rFonts w:ascii="Times New Roman" w:hAnsi="Times New Roman" w:cs="Times New Roman"/>
          <w:sz w:val="26"/>
        </w:rPr>
        <w:t xml:space="preserve">  I.D. at 2; Prehearing Order.</w:t>
      </w:r>
    </w:p>
    <w:p w14:paraId="0EC14C00" w14:textId="62791B87" w:rsidR="00392BB0" w:rsidRPr="001B20BE" w:rsidRDefault="00392BB0" w:rsidP="001B20BE">
      <w:pPr>
        <w:pStyle w:val="Default"/>
        <w:spacing w:line="360" w:lineRule="auto"/>
        <w:ind w:firstLine="1440"/>
        <w:rPr>
          <w:color w:val="auto"/>
          <w:sz w:val="26"/>
          <w:szCs w:val="26"/>
        </w:rPr>
      </w:pPr>
    </w:p>
    <w:p w14:paraId="0C736E72" w14:textId="2DEEC722" w:rsidR="001B20BE" w:rsidRPr="001B20BE" w:rsidRDefault="00DF6E24" w:rsidP="001B20BE">
      <w:pPr>
        <w:pStyle w:val="Default"/>
        <w:spacing w:line="360" w:lineRule="auto"/>
        <w:ind w:firstLine="1440"/>
        <w:rPr>
          <w:sz w:val="26"/>
          <w:szCs w:val="26"/>
        </w:rPr>
      </w:pPr>
      <w:r w:rsidRPr="001B20BE">
        <w:rPr>
          <w:color w:val="auto"/>
          <w:sz w:val="26"/>
          <w:szCs w:val="26"/>
        </w:rPr>
        <w:t>On January 25, 2018, ALJ Salapa convened the</w:t>
      </w:r>
      <w:r w:rsidR="008238CC" w:rsidRPr="001B20BE">
        <w:rPr>
          <w:color w:val="auto"/>
          <w:sz w:val="26"/>
          <w:szCs w:val="26"/>
        </w:rPr>
        <w:t xml:space="preserve"> telephonic evidentiary hearing, as scheduled.  </w:t>
      </w:r>
      <w:r w:rsidR="001B20BE" w:rsidRPr="001B20BE">
        <w:rPr>
          <w:sz w:val="26"/>
          <w:szCs w:val="26"/>
        </w:rPr>
        <w:t xml:space="preserve">The Complainant failed to appear for that hearing.  The ALJ attempted to call the Complainant at approximately 1:00 p.m. at the telephone number shown on the Complaint.  The ALJ stated that he </w:t>
      </w:r>
      <w:r w:rsidR="00BD3880">
        <w:rPr>
          <w:sz w:val="26"/>
          <w:szCs w:val="26"/>
        </w:rPr>
        <w:t>was directed to the Complainant’s voice mail</w:t>
      </w:r>
      <w:r w:rsidR="001B20BE" w:rsidRPr="001B20BE">
        <w:rPr>
          <w:sz w:val="26"/>
          <w:szCs w:val="26"/>
        </w:rPr>
        <w:t>.  The ALJ left a message on the Complainant’s voice mail, identifying himself and the purpose of his call.  The ALJ indicated on the voicemail that he would call the Complainant again in approximately ten minutes.  I.D. at 2.</w:t>
      </w:r>
    </w:p>
    <w:p w14:paraId="260A5113" w14:textId="77777777" w:rsidR="001B20BE" w:rsidRPr="001B20BE" w:rsidRDefault="001B20BE" w:rsidP="001B20BE">
      <w:pPr>
        <w:pStyle w:val="Default"/>
        <w:spacing w:line="360" w:lineRule="auto"/>
        <w:ind w:firstLine="1440"/>
        <w:rPr>
          <w:sz w:val="26"/>
          <w:szCs w:val="26"/>
        </w:rPr>
      </w:pPr>
    </w:p>
    <w:p w14:paraId="4360BC44" w14:textId="557A121D" w:rsidR="001B20BE" w:rsidRPr="001B20BE" w:rsidRDefault="001B20BE" w:rsidP="001B20BE">
      <w:pPr>
        <w:autoSpaceDE w:val="0"/>
        <w:autoSpaceDN w:val="0"/>
        <w:adjustRightInd w:val="0"/>
        <w:ind w:firstLine="1440"/>
        <w:jc w:val="left"/>
        <w:rPr>
          <w:rFonts w:eastAsiaTheme="minorHAnsi"/>
          <w:color w:val="000000"/>
          <w:sz w:val="26"/>
          <w:szCs w:val="26"/>
        </w:rPr>
      </w:pPr>
      <w:r w:rsidRPr="001B20BE">
        <w:rPr>
          <w:rFonts w:eastAsiaTheme="minorHAnsi"/>
          <w:color w:val="000000"/>
          <w:sz w:val="26"/>
          <w:szCs w:val="26"/>
        </w:rPr>
        <w:t xml:space="preserve">The ALJ stated that he then verified with the support staff for the Office of Administrative Law Judge (OALJ) in Harrisburg that the Complainant </w:t>
      </w:r>
      <w:r w:rsidR="0045770A">
        <w:rPr>
          <w:rFonts w:eastAsiaTheme="minorHAnsi"/>
          <w:color w:val="000000"/>
          <w:sz w:val="26"/>
          <w:szCs w:val="26"/>
        </w:rPr>
        <w:t xml:space="preserve">did </w:t>
      </w:r>
      <w:r w:rsidRPr="001B20BE">
        <w:rPr>
          <w:rFonts w:eastAsiaTheme="minorHAnsi"/>
          <w:color w:val="000000"/>
          <w:sz w:val="26"/>
          <w:szCs w:val="26"/>
        </w:rPr>
        <w:t xml:space="preserve">not contact that office to indicate that he would be unable to participate in the telephonic hearing.  The ALJ also checked his voice mail and email but received no messages from the Complainant stating that he would be unable to participate in the hearing. </w:t>
      </w:r>
      <w:r>
        <w:rPr>
          <w:rFonts w:eastAsiaTheme="minorHAnsi"/>
          <w:color w:val="000000"/>
          <w:sz w:val="26"/>
          <w:szCs w:val="26"/>
        </w:rPr>
        <w:t xml:space="preserve"> I.D. at 2.</w:t>
      </w:r>
    </w:p>
    <w:p w14:paraId="208CDCEC" w14:textId="77777777" w:rsidR="001B20BE" w:rsidRPr="001B20BE" w:rsidRDefault="001B20BE" w:rsidP="001B20BE">
      <w:pPr>
        <w:pStyle w:val="Default"/>
        <w:spacing w:line="360" w:lineRule="auto"/>
        <w:ind w:firstLine="1440"/>
        <w:rPr>
          <w:sz w:val="26"/>
          <w:szCs w:val="26"/>
        </w:rPr>
      </w:pPr>
    </w:p>
    <w:p w14:paraId="0A628B25" w14:textId="272D0C39" w:rsidR="001B20BE" w:rsidRDefault="001B20BE" w:rsidP="001B20BE">
      <w:pPr>
        <w:pStyle w:val="Default"/>
        <w:spacing w:line="360" w:lineRule="auto"/>
        <w:ind w:firstLine="1440"/>
        <w:rPr>
          <w:sz w:val="26"/>
          <w:szCs w:val="26"/>
        </w:rPr>
      </w:pPr>
      <w:r w:rsidRPr="001B20BE">
        <w:rPr>
          <w:sz w:val="26"/>
          <w:szCs w:val="26"/>
        </w:rPr>
        <w:t xml:space="preserve">After verifying that the Complainant </w:t>
      </w:r>
      <w:r w:rsidR="0045770A">
        <w:rPr>
          <w:sz w:val="26"/>
          <w:szCs w:val="26"/>
        </w:rPr>
        <w:t xml:space="preserve">did </w:t>
      </w:r>
      <w:r w:rsidRPr="001B20BE">
        <w:rPr>
          <w:sz w:val="26"/>
          <w:szCs w:val="26"/>
        </w:rPr>
        <w:t>not contact</w:t>
      </w:r>
      <w:r w:rsidR="0045770A">
        <w:rPr>
          <w:sz w:val="26"/>
          <w:szCs w:val="26"/>
        </w:rPr>
        <w:t xml:space="preserve"> the</w:t>
      </w:r>
      <w:r w:rsidRPr="001B20BE">
        <w:rPr>
          <w:sz w:val="26"/>
          <w:szCs w:val="26"/>
        </w:rPr>
        <w:t xml:space="preserve"> OALJ in Harrisburg, the ALJ attempted to call the Complainant a second time at approximately 1:10 p.m</w:t>
      </w:r>
      <w:r w:rsidR="00BD3880">
        <w:rPr>
          <w:sz w:val="26"/>
          <w:szCs w:val="26"/>
        </w:rPr>
        <w:t>. at the same telephone number the ALJ</w:t>
      </w:r>
      <w:r w:rsidRPr="001B20BE">
        <w:rPr>
          <w:sz w:val="26"/>
          <w:szCs w:val="26"/>
        </w:rPr>
        <w:t xml:space="preserve"> previously called. </w:t>
      </w:r>
      <w:r w:rsidR="0045770A">
        <w:rPr>
          <w:sz w:val="26"/>
          <w:szCs w:val="26"/>
        </w:rPr>
        <w:t xml:space="preserve"> </w:t>
      </w:r>
      <w:r w:rsidRPr="001B20BE">
        <w:rPr>
          <w:sz w:val="26"/>
          <w:szCs w:val="26"/>
        </w:rPr>
        <w:t xml:space="preserve">Again, the ALJ </w:t>
      </w:r>
      <w:r w:rsidR="00BD3880">
        <w:rPr>
          <w:sz w:val="26"/>
          <w:szCs w:val="26"/>
        </w:rPr>
        <w:t xml:space="preserve">stated that he was directed to the Complainant’s voice mail.  </w:t>
      </w:r>
      <w:r w:rsidRPr="001B20BE">
        <w:rPr>
          <w:sz w:val="26"/>
          <w:szCs w:val="26"/>
        </w:rPr>
        <w:t>The ALJ left a message on the Complainant’s voice mail, identifying himself and indicating that the hearing would proceed without the Complainant.</w:t>
      </w:r>
      <w:r>
        <w:rPr>
          <w:sz w:val="26"/>
          <w:szCs w:val="26"/>
        </w:rPr>
        <w:t xml:space="preserve">  I.D. at 2.</w:t>
      </w:r>
    </w:p>
    <w:p w14:paraId="676CC8FF" w14:textId="77777777" w:rsidR="001B20BE" w:rsidRDefault="001B20BE" w:rsidP="001B20BE">
      <w:pPr>
        <w:pStyle w:val="Default"/>
        <w:spacing w:line="360" w:lineRule="auto"/>
        <w:ind w:firstLine="1440"/>
        <w:rPr>
          <w:sz w:val="26"/>
          <w:szCs w:val="26"/>
        </w:rPr>
      </w:pPr>
    </w:p>
    <w:p w14:paraId="1E497E47" w14:textId="067F9466" w:rsidR="001B20BE" w:rsidRPr="001B20BE" w:rsidRDefault="001B20BE" w:rsidP="001B20BE">
      <w:pPr>
        <w:pStyle w:val="Default"/>
        <w:spacing w:line="360" w:lineRule="auto"/>
        <w:ind w:firstLine="1440"/>
        <w:rPr>
          <w:sz w:val="26"/>
          <w:szCs w:val="26"/>
        </w:rPr>
      </w:pPr>
      <w:r w:rsidRPr="001B20BE">
        <w:rPr>
          <w:sz w:val="26"/>
          <w:szCs w:val="26"/>
        </w:rPr>
        <w:t xml:space="preserve">Upon commencement of the hearing, counsel for the Company moved to dismiss the Complaint for failure to appear and prosecute.  The ALJ advised that he would take the motion under advisement.  I.D. at 2. </w:t>
      </w:r>
    </w:p>
    <w:p w14:paraId="49E37B24" w14:textId="1AE383A6" w:rsidR="00602DD7" w:rsidRDefault="00602DD7" w:rsidP="00602DD7">
      <w:pPr>
        <w:pStyle w:val="Default"/>
        <w:spacing w:line="360" w:lineRule="auto"/>
        <w:rPr>
          <w:color w:val="auto"/>
          <w:sz w:val="26"/>
          <w:szCs w:val="26"/>
        </w:rPr>
      </w:pPr>
    </w:p>
    <w:p w14:paraId="2FF508A7" w14:textId="16E43130" w:rsidR="00006984" w:rsidRDefault="00602DD7" w:rsidP="00602DD7">
      <w:pPr>
        <w:pStyle w:val="Default"/>
        <w:spacing w:line="360" w:lineRule="auto"/>
        <w:ind w:firstLine="1440"/>
        <w:rPr>
          <w:color w:val="auto"/>
          <w:sz w:val="26"/>
          <w:szCs w:val="26"/>
        </w:rPr>
      </w:pPr>
      <w:r>
        <w:rPr>
          <w:color w:val="auto"/>
          <w:sz w:val="26"/>
          <w:szCs w:val="26"/>
        </w:rPr>
        <w:t xml:space="preserve">The record closed on February 1, 2018, </w:t>
      </w:r>
      <w:r w:rsidR="001B20BE">
        <w:rPr>
          <w:color w:val="auto"/>
          <w:sz w:val="26"/>
          <w:szCs w:val="26"/>
        </w:rPr>
        <w:t>the date the transcript was filed with the Secretary’s Bureau</w:t>
      </w:r>
      <w:r>
        <w:rPr>
          <w:color w:val="auto"/>
          <w:sz w:val="26"/>
          <w:szCs w:val="26"/>
        </w:rPr>
        <w:t>.</w:t>
      </w:r>
      <w:r w:rsidR="001B20BE">
        <w:rPr>
          <w:color w:val="auto"/>
          <w:sz w:val="26"/>
          <w:szCs w:val="26"/>
        </w:rPr>
        <w:t xml:space="preserve">  I.D. at 3.</w:t>
      </w:r>
    </w:p>
    <w:p w14:paraId="169FABEC" w14:textId="77777777" w:rsidR="00006984" w:rsidRDefault="00006984" w:rsidP="00602DD7">
      <w:pPr>
        <w:pStyle w:val="Default"/>
        <w:spacing w:line="360" w:lineRule="auto"/>
        <w:ind w:firstLine="1440"/>
        <w:rPr>
          <w:color w:val="auto"/>
          <w:sz w:val="26"/>
          <w:szCs w:val="26"/>
        </w:rPr>
      </w:pPr>
    </w:p>
    <w:p w14:paraId="29CDF676" w14:textId="67C3F6B8" w:rsidR="001B20BE" w:rsidRDefault="00602DD7" w:rsidP="00602DD7">
      <w:pPr>
        <w:pStyle w:val="Default"/>
        <w:spacing w:line="360" w:lineRule="auto"/>
        <w:ind w:firstLine="1440"/>
        <w:rPr>
          <w:color w:val="auto"/>
          <w:sz w:val="26"/>
          <w:szCs w:val="26"/>
        </w:rPr>
      </w:pPr>
      <w:r>
        <w:rPr>
          <w:color w:val="auto"/>
          <w:sz w:val="26"/>
          <w:szCs w:val="26"/>
        </w:rPr>
        <w:t>On February 1</w:t>
      </w:r>
      <w:r w:rsidR="00B068CE">
        <w:rPr>
          <w:color w:val="auto"/>
          <w:sz w:val="26"/>
          <w:szCs w:val="26"/>
        </w:rPr>
        <w:t>4</w:t>
      </w:r>
      <w:r>
        <w:rPr>
          <w:color w:val="auto"/>
          <w:sz w:val="26"/>
          <w:szCs w:val="26"/>
        </w:rPr>
        <w:t>, 2018, the Initial Decision of ALJ Salapa was issued</w:t>
      </w:r>
      <w:r w:rsidR="00006984">
        <w:rPr>
          <w:color w:val="auto"/>
          <w:sz w:val="26"/>
          <w:szCs w:val="26"/>
        </w:rPr>
        <w:t xml:space="preserve"> by Secretarial Letter</w:t>
      </w:r>
      <w:r>
        <w:rPr>
          <w:color w:val="auto"/>
          <w:sz w:val="26"/>
          <w:szCs w:val="26"/>
        </w:rPr>
        <w:t xml:space="preserve">.  </w:t>
      </w:r>
      <w:r w:rsidR="001B20BE">
        <w:rPr>
          <w:color w:val="auto"/>
          <w:sz w:val="26"/>
          <w:szCs w:val="26"/>
        </w:rPr>
        <w:t xml:space="preserve">The Initial Decision granted the Company’s motion and dismissed the Complaint with prejudice.  </w:t>
      </w:r>
      <w:r w:rsidR="001B20BE">
        <w:rPr>
          <w:sz w:val="26"/>
          <w:szCs w:val="26"/>
        </w:rPr>
        <w:t xml:space="preserve">The Commission’s Secretarial Letter directed Exceptions to be filed within </w:t>
      </w:r>
      <w:r w:rsidR="000B5D4F">
        <w:rPr>
          <w:sz w:val="26"/>
          <w:szCs w:val="26"/>
        </w:rPr>
        <w:t>twenty</w:t>
      </w:r>
      <w:r w:rsidR="001B20BE">
        <w:rPr>
          <w:sz w:val="26"/>
          <w:szCs w:val="26"/>
        </w:rPr>
        <w:t xml:space="preserve"> days of the date of the Secretarial Letter and Replies to Exceptions be filed within </w:t>
      </w:r>
      <w:r w:rsidR="000B5D4F">
        <w:rPr>
          <w:sz w:val="26"/>
          <w:szCs w:val="26"/>
        </w:rPr>
        <w:t>ten</w:t>
      </w:r>
      <w:r w:rsidR="001B20BE">
        <w:rPr>
          <w:sz w:val="26"/>
          <w:szCs w:val="26"/>
        </w:rPr>
        <w:t xml:space="preserve"> days of the due date for Exceptions.</w:t>
      </w:r>
    </w:p>
    <w:p w14:paraId="66D83E19" w14:textId="77777777" w:rsidR="001B20BE" w:rsidRDefault="001B20BE" w:rsidP="00602DD7">
      <w:pPr>
        <w:pStyle w:val="Default"/>
        <w:spacing w:line="360" w:lineRule="auto"/>
        <w:ind w:firstLine="1440"/>
        <w:rPr>
          <w:color w:val="auto"/>
          <w:sz w:val="26"/>
          <w:szCs w:val="26"/>
        </w:rPr>
      </w:pPr>
    </w:p>
    <w:p w14:paraId="7EB80255" w14:textId="3FB03BEF" w:rsidR="001B20BE" w:rsidRDefault="001B20BE" w:rsidP="001B20BE">
      <w:pPr>
        <w:ind w:firstLine="1440"/>
        <w:jc w:val="left"/>
        <w:rPr>
          <w:sz w:val="26"/>
          <w:szCs w:val="26"/>
        </w:rPr>
      </w:pPr>
      <w:r>
        <w:rPr>
          <w:sz w:val="26"/>
          <w:szCs w:val="26"/>
        </w:rPr>
        <w:t>On February 22, 2018, the Complainant filed Exceptions.</w:t>
      </w:r>
      <w:r w:rsidR="002279AF">
        <w:rPr>
          <w:sz w:val="26"/>
          <w:szCs w:val="26"/>
        </w:rPr>
        <w:t xml:space="preserve">  </w:t>
      </w:r>
      <w:r>
        <w:rPr>
          <w:sz w:val="26"/>
          <w:szCs w:val="26"/>
        </w:rPr>
        <w:t>On March 6, 2018, PPL filed Replies to Exceptions.</w:t>
      </w:r>
      <w:r w:rsidR="002279AF">
        <w:rPr>
          <w:sz w:val="26"/>
          <w:szCs w:val="26"/>
        </w:rPr>
        <w:t xml:space="preserve">  </w:t>
      </w:r>
      <w:r>
        <w:rPr>
          <w:sz w:val="26"/>
          <w:szCs w:val="26"/>
        </w:rPr>
        <w:t>On May 14, 2018, the Complainant filed a response to PPL’s Replies to Exceptions.</w:t>
      </w:r>
    </w:p>
    <w:p w14:paraId="1E8D8CFD" w14:textId="5D33D819" w:rsidR="00001CD3" w:rsidRPr="00155364" w:rsidRDefault="00001CD3" w:rsidP="00155364">
      <w:pPr>
        <w:ind w:firstLine="0"/>
        <w:jc w:val="both"/>
        <w:rPr>
          <w:sz w:val="26"/>
          <w:szCs w:val="26"/>
        </w:rPr>
      </w:pPr>
    </w:p>
    <w:p w14:paraId="3766860D" w14:textId="6426D749" w:rsidR="00001CD3" w:rsidRDefault="00001CD3" w:rsidP="004A44D1">
      <w:pPr>
        <w:ind w:firstLine="0"/>
        <w:rPr>
          <w:b/>
          <w:sz w:val="26"/>
          <w:szCs w:val="26"/>
        </w:rPr>
      </w:pPr>
      <w:r w:rsidRPr="004A44D1">
        <w:rPr>
          <w:b/>
          <w:sz w:val="26"/>
          <w:szCs w:val="26"/>
        </w:rPr>
        <w:t>Discussion</w:t>
      </w:r>
    </w:p>
    <w:p w14:paraId="5420A32B" w14:textId="1FE93FC5" w:rsidR="00112628" w:rsidRPr="00112628" w:rsidRDefault="00112628" w:rsidP="00112628">
      <w:pPr>
        <w:tabs>
          <w:tab w:val="left" w:pos="-720"/>
        </w:tabs>
        <w:suppressAutoHyphens/>
        <w:ind w:firstLine="0"/>
        <w:jc w:val="left"/>
        <w:rPr>
          <w:rFonts w:eastAsia="Times New Roman"/>
          <w:sz w:val="26"/>
          <w:szCs w:val="20"/>
        </w:rPr>
      </w:pPr>
    </w:p>
    <w:p w14:paraId="4E6EF6C8" w14:textId="770FB9E5" w:rsidR="00B21C95" w:rsidRDefault="00B21C95" w:rsidP="00B21C95">
      <w:pPr>
        <w:ind w:firstLine="1440"/>
        <w:contextualSpacing/>
        <w:jc w:val="left"/>
        <w:rPr>
          <w:sz w:val="26"/>
          <w:szCs w:val="26"/>
        </w:rPr>
      </w:pPr>
      <w:r>
        <w:rPr>
          <w:sz w:val="26"/>
          <w:szCs w:val="26"/>
        </w:rPr>
        <w:t xml:space="preserve">As a preliminary matter, we note that we will not consider the response filed by the Complainant in this docket on May 14, 2018.  Our Regulations do not permit the filing of responses to Replies to Exceptions.  </w:t>
      </w:r>
      <w:r w:rsidRPr="005337CF">
        <w:rPr>
          <w:i/>
          <w:sz w:val="26"/>
          <w:szCs w:val="26"/>
        </w:rPr>
        <w:t>S</w:t>
      </w:r>
      <w:r w:rsidRPr="007A4135">
        <w:rPr>
          <w:i/>
          <w:sz w:val="26"/>
          <w:szCs w:val="26"/>
        </w:rPr>
        <w:t>ee</w:t>
      </w:r>
      <w:r>
        <w:rPr>
          <w:sz w:val="26"/>
          <w:szCs w:val="26"/>
        </w:rPr>
        <w:t xml:space="preserve"> 52 Pa. Code §§ 5.533, 5.535.</w:t>
      </w:r>
    </w:p>
    <w:p w14:paraId="315B8545" w14:textId="77777777" w:rsidR="00B83949" w:rsidRDefault="00B83949" w:rsidP="00B21C95">
      <w:pPr>
        <w:ind w:firstLine="1440"/>
        <w:contextualSpacing/>
        <w:jc w:val="left"/>
        <w:rPr>
          <w:sz w:val="26"/>
          <w:szCs w:val="26"/>
        </w:rPr>
      </w:pPr>
    </w:p>
    <w:p w14:paraId="6CECF711" w14:textId="52D30BB2" w:rsidR="00B21C95" w:rsidRDefault="00B21C95" w:rsidP="00B21C95">
      <w:pPr>
        <w:ind w:firstLine="1440"/>
        <w:contextualSpacing/>
        <w:jc w:val="left"/>
        <w:rPr>
          <w:sz w:val="26"/>
          <w:szCs w:val="26"/>
        </w:rPr>
      </w:pPr>
      <w:r>
        <w:rPr>
          <w:color w:val="212121"/>
          <w:sz w:val="26"/>
          <w:szCs w:val="26"/>
        </w:rPr>
        <w:t xml:space="preserve">Additionally, we note that </w:t>
      </w:r>
      <w:r>
        <w:rPr>
          <w:sz w:val="26"/>
          <w:szCs w:val="26"/>
        </w:rPr>
        <w:t xml:space="preserve">the Complainant’s Exceptions </w:t>
      </w:r>
      <w:r w:rsidRPr="007B531E">
        <w:rPr>
          <w:color w:val="212121"/>
          <w:sz w:val="26"/>
          <w:szCs w:val="26"/>
        </w:rPr>
        <w:t>do not strictly comply with</w:t>
      </w:r>
      <w:r>
        <w:rPr>
          <w:color w:val="212121"/>
          <w:sz w:val="26"/>
          <w:szCs w:val="26"/>
        </w:rPr>
        <w:t xml:space="preserve"> the formatting requirements of 52 Pa. Code § 5.533(b).</w:t>
      </w:r>
      <w:r>
        <w:rPr>
          <w:rStyle w:val="FootnoteReference"/>
          <w:color w:val="212121"/>
          <w:sz w:val="26"/>
          <w:szCs w:val="26"/>
        </w:rPr>
        <w:footnoteReference w:id="1"/>
      </w:r>
      <w:r w:rsidR="00B83949">
        <w:rPr>
          <w:color w:val="212121"/>
          <w:sz w:val="26"/>
          <w:szCs w:val="26"/>
        </w:rPr>
        <w:t xml:space="preserve"> </w:t>
      </w:r>
      <w:r>
        <w:rPr>
          <w:color w:val="212121"/>
          <w:sz w:val="26"/>
          <w:szCs w:val="26"/>
        </w:rPr>
        <w:t xml:space="preserve"> However, b</w:t>
      </w:r>
      <w:r w:rsidRPr="007B531E">
        <w:rPr>
          <w:color w:val="212121"/>
          <w:sz w:val="26"/>
          <w:szCs w:val="26"/>
        </w:rPr>
        <w:t xml:space="preserve">ecause the Complainant is not represented by legal counsel in this proceeding, we will accept the </w:t>
      </w:r>
      <w:r w:rsidRPr="00D57829">
        <w:rPr>
          <w:bCs/>
          <w:color w:val="252525"/>
          <w:sz w:val="26"/>
          <w:szCs w:val="26"/>
        </w:rPr>
        <w:t>Exceptions</w:t>
      </w:r>
      <w:r>
        <w:rPr>
          <w:bCs/>
          <w:color w:val="252525"/>
          <w:sz w:val="26"/>
          <w:szCs w:val="26"/>
        </w:rPr>
        <w:t>,</w:t>
      </w:r>
      <w:r w:rsidRPr="007B531E">
        <w:rPr>
          <w:color w:val="212121"/>
          <w:sz w:val="26"/>
          <w:szCs w:val="26"/>
        </w:rPr>
        <w:t xml:space="preserve"> as filed</w:t>
      </w:r>
      <w:r>
        <w:rPr>
          <w:color w:val="212121"/>
          <w:sz w:val="26"/>
          <w:szCs w:val="26"/>
        </w:rPr>
        <w:t>,</w:t>
      </w:r>
      <w:r w:rsidRPr="007B531E">
        <w:rPr>
          <w:color w:val="212121"/>
          <w:sz w:val="26"/>
          <w:szCs w:val="26"/>
        </w:rPr>
        <w:t xml:space="preserve"> pursuant to </w:t>
      </w:r>
      <w:r w:rsidRPr="00D57829">
        <w:rPr>
          <w:sz w:val="26"/>
          <w:szCs w:val="26"/>
        </w:rPr>
        <w:t>52 Pa. Code § 1.2(a)</w:t>
      </w:r>
      <w:r>
        <w:rPr>
          <w:color w:val="212121"/>
          <w:sz w:val="26"/>
          <w:szCs w:val="26"/>
        </w:rPr>
        <w:t>.</w:t>
      </w:r>
      <w:r>
        <w:rPr>
          <w:rStyle w:val="FootnoteReference"/>
          <w:color w:val="212121"/>
          <w:sz w:val="26"/>
          <w:szCs w:val="26"/>
        </w:rPr>
        <w:footnoteReference w:id="2"/>
      </w:r>
    </w:p>
    <w:p w14:paraId="1A3B09A5" w14:textId="77777777" w:rsidR="00B21C95" w:rsidRDefault="00B21C95" w:rsidP="00A711E6">
      <w:pPr>
        <w:autoSpaceDE w:val="0"/>
        <w:autoSpaceDN w:val="0"/>
        <w:ind w:firstLine="1440"/>
        <w:jc w:val="left"/>
        <w:rPr>
          <w:rFonts w:eastAsia="Times New Roman"/>
          <w:sz w:val="26"/>
          <w:szCs w:val="26"/>
        </w:rPr>
      </w:pPr>
    </w:p>
    <w:p w14:paraId="57CC1DD8" w14:textId="649FA198" w:rsidR="00A711E6" w:rsidRPr="00A711E6" w:rsidRDefault="00B21C95" w:rsidP="00A711E6">
      <w:pPr>
        <w:autoSpaceDE w:val="0"/>
        <w:autoSpaceDN w:val="0"/>
        <w:ind w:firstLine="1440"/>
        <w:jc w:val="left"/>
        <w:rPr>
          <w:rFonts w:eastAsia="Times New Roman"/>
          <w:sz w:val="26"/>
          <w:szCs w:val="26"/>
        </w:rPr>
      </w:pPr>
      <w:r>
        <w:rPr>
          <w:rFonts w:eastAsia="Times New Roman"/>
          <w:sz w:val="26"/>
          <w:szCs w:val="26"/>
        </w:rPr>
        <w:t>Finally,</w:t>
      </w:r>
      <w:r w:rsidR="00A711E6" w:rsidRPr="00A711E6">
        <w:rPr>
          <w:rFonts w:eastAsia="Times New Roman"/>
          <w:sz w:val="26"/>
          <w:szCs w:val="26"/>
        </w:rPr>
        <w:t xml:space="preserve"> any issue or Exception that we do not specifically address should be deemed to have been duly considered and rejected without further discussion.  It is well settled that the Commission is not required to consider, expressly or at length, each contention or argument raised by the parties.  </w:t>
      </w:r>
      <w:r w:rsidR="00A711E6" w:rsidRPr="00A711E6">
        <w:rPr>
          <w:rFonts w:eastAsia="Times New Roman"/>
          <w:i/>
          <w:sz w:val="26"/>
          <w:szCs w:val="26"/>
        </w:rPr>
        <w:t>Consolidated Rail Corporation v. Pa. PUC</w:t>
      </w:r>
      <w:r w:rsidR="00A711E6" w:rsidRPr="00A711E6">
        <w:rPr>
          <w:rFonts w:eastAsia="Times New Roman"/>
          <w:sz w:val="26"/>
          <w:szCs w:val="26"/>
        </w:rPr>
        <w:t xml:space="preserve">, 625 A.2d 741 (Pa. Cmwlth. 1993); </w:t>
      </w:r>
      <w:r w:rsidR="00A711E6" w:rsidRPr="00A711E6">
        <w:rPr>
          <w:rFonts w:eastAsia="Times New Roman"/>
          <w:i/>
          <w:sz w:val="26"/>
          <w:szCs w:val="26"/>
        </w:rPr>
        <w:t>see also, generally</w:t>
      </w:r>
      <w:r w:rsidR="00A711E6" w:rsidRPr="00A711E6">
        <w:rPr>
          <w:rFonts w:eastAsia="Times New Roman"/>
          <w:sz w:val="26"/>
          <w:szCs w:val="26"/>
        </w:rPr>
        <w:t xml:space="preserve">, </w:t>
      </w:r>
      <w:r w:rsidR="00A711E6" w:rsidRPr="00A711E6">
        <w:rPr>
          <w:rFonts w:eastAsia="Times New Roman"/>
          <w:i/>
          <w:sz w:val="26"/>
          <w:szCs w:val="26"/>
        </w:rPr>
        <w:t>Univ. of Pa. v. Pa. PUC</w:t>
      </w:r>
      <w:r w:rsidR="00A711E6" w:rsidRPr="00A711E6">
        <w:rPr>
          <w:rFonts w:eastAsia="Times New Roman"/>
          <w:sz w:val="26"/>
          <w:szCs w:val="26"/>
        </w:rPr>
        <w:t>, 485 A.2d 1217 (Pa. Cmwlth.  1984).</w:t>
      </w:r>
    </w:p>
    <w:p w14:paraId="733166C7" w14:textId="6746DD85" w:rsidR="004A44D1" w:rsidRDefault="004A44D1" w:rsidP="004A44D1">
      <w:pPr>
        <w:ind w:firstLine="0"/>
        <w:jc w:val="left"/>
      </w:pPr>
    </w:p>
    <w:p w14:paraId="4940DA20" w14:textId="5944579E" w:rsidR="004A44D1" w:rsidRDefault="004A44D1" w:rsidP="004A44D1">
      <w:pPr>
        <w:autoSpaceDE w:val="0"/>
        <w:autoSpaceDN w:val="0"/>
        <w:adjustRightInd w:val="0"/>
        <w:ind w:firstLine="0"/>
        <w:jc w:val="left"/>
        <w:rPr>
          <w:rFonts w:eastAsiaTheme="minorHAnsi"/>
          <w:b/>
          <w:color w:val="000000"/>
          <w:sz w:val="26"/>
          <w:szCs w:val="26"/>
        </w:rPr>
      </w:pPr>
      <w:r>
        <w:rPr>
          <w:rFonts w:eastAsiaTheme="minorHAnsi"/>
          <w:b/>
          <w:color w:val="000000"/>
          <w:sz w:val="26"/>
          <w:szCs w:val="26"/>
        </w:rPr>
        <w:t>Legal Standards</w:t>
      </w:r>
    </w:p>
    <w:p w14:paraId="2DE22E27" w14:textId="43535532" w:rsidR="00911CE0" w:rsidRDefault="00911CE0" w:rsidP="004A44D1">
      <w:pPr>
        <w:autoSpaceDE w:val="0"/>
        <w:autoSpaceDN w:val="0"/>
        <w:adjustRightInd w:val="0"/>
        <w:ind w:firstLine="0"/>
        <w:jc w:val="left"/>
        <w:rPr>
          <w:rFonts w:eastAsiaTheme="minorHAnsi"/>
          <w:b/>
          <w:color w:val="000000"/>
          <w:sz w:val="26"/>
          <w:szCs w:val="26"/>
        </w:rPr>
      </w:pPr>
    </w:p>
    <w:p w14:paraId="621CE759" w14:textId="77777777" w:rsidR="00911CE0" w:rsidRDefault="00911CE0" w:rsidP="00911CE0">
      <w:pPr>
        <w:jc w:val="both"/>
        <w:rPr>
          <w:b/>
          <w:sz w:val="26"/>
          <w:szCs w:val="26"/>
        </w:rPr>
      </w:pPr>
      <w:r>
        <w:rPr>
          <w:b/>
          <w:sz w:val="26"/>
          <w:szCs w:val="26"/>
        </w:rPr>
        <w:t>Administrative Due Process and Waiver of Hearing</w:t>
      </w:r>
    </w:p>
    <w:p w14:paraId="6EF846F0" w14:textId="77777777" w:rsidR="00911CE0" w:rsidRDefault="00911CE0" w:rsidP="004A44D1">
      <w:pPr>
        <w:autoSpaceDE w:val="0"/>
        <w:autoSpaceDN w:val="0"/>
        <w:adjustRightInd w:val="0"/>
        <w:ind w:firstLine="0"/>
        <w:jc w:val="left"/>
        <w:rPr>
          <w:rFonts w:eastAsiaTheme="minorHAnsi"/>
          <w:b/>
          <w:color w:val="000000"/>
          <w:sz w:val="26"/>
          <w:szCs w:val="26"/>
        </w:rPr>
      </w:pPr>
    </w:p>
    <w:p w14:paraId="3CC58447" w14:textId="057480C9" w:rsidR="00CE7C2A" w:rsidRPr="00616C44" w:rsidRDefault="00CE7C2A" w:rsidP="00CE7C2A">
      <w:pPr>
        <w:ind w:firstLine="1440"/>
        <w:jc w:val="left"/>
        <w:rPr>
          <w:sz w:val="26"/>
          <w:szCs w:val="26"/>
        </w:rPr>
      </w:pPr>
      <w:r w:rsidRPr="00616C44">
        <w:rPr>
          <w:sz w:val="26"/>
          <w:szCs w:val="26"/>
        </w:rPr>
        <w:t xml:space="preserve">As an administrative agency of the Commonwealth, the Commission is required to provide due process to the parties appearing before it.  </w:t>
      </w:r>
      <w:r w:rsidRPr="00616C44">
        <w:rPr>
          <w:i/>
          <w:sz w:val="26"/>
          <w:szCs w:val="26"/>
        </w:rPr>
        <w:t>Schneider v. Pa. PUC</w:t>
      </w:r>
      <w:r w:rsidRPr="00616C44">
        <w:rPr>
          <w:sz w:val="26"/>
          <w:szCs w:val="26"/>
        </w:rPr>
        <w:t xml:space="preserve">, 479 A.2d 10, 15 (Pa. Cmwlth. 1984), citing </w:t>
      </w:r>
      <w:r w:rsidRPr="00616C44">
        <w:rPr>
          <w:i/>
          <w:sz w:val="26"/>
          <w:szCs w:val="26"/>
        </w:rPr>
        <w:t>Fusaro v. Pa. PUC</w:t>
      </w:r>
      <w:r w:rsidRPr="00616C44">
        <w:rPr>
          <w:sz w:val="26"/>
          <w:szCs w:val="26"/>
        </w:rPr>
        <w:t xml:space="preserve">, 382 A.2d 794 (Pa. Cmwlth. 1978).  Due process is satisfied when the parties are afforded notice and the opportunity to appear and be heard.  </w:t>
      </w:r>
      <w:r w:rsidRPr="00616C44">
        <w:rPr>
          <w:i/>
          <w:sz w:val="26"/>
          <w:szCs w:val="26"/>
        </w:rPr>
        <w:t>Schneider v. Pa. PUC</w:t>
      </w:r>
      <w:r w:rsidRPr="00616C44">
        <w:rPr>
          <w:sz w:val="26"/>
          <w:szCs w:val="26"/>
        </w:rPr>
        <w:t>, 479 A</w:t>
      </w:r>
      <w:r>
        <w:rPr>
          <w:sz w:val="26"/>
          <w:szCs w:val="26"/>
        </w:rPr>
        <w:t>.2d 10, 15 (Pa.  Cmwlth. 1984).</w:t>
      </w:r>
    </w:p>
    <w:p w14:paraId="00705CA8" w14:textId="77777777" w:rsidR="00CE7C2A" w:rsidRPr="00616C44" w:rsidRDefault="00CE7C2A" w:rsidP="00CE7C2A">
      <w:pPr>
        <w:ind w:firstLine="1440"/>
        <w:jc w:val="left"/>
        <w:rPr>
          <w:sz w:val="26"/>
          <w:szCs w:val="26"/>
        </w:rPr>
      </w:pPr>
    </w:p>
    <w:p w14:paraId="719F49BB" w14:textId="385D2AEE" w:rsidR="00CE7C2A" w:rsidRPr="00616C44" w:rsidRDefault="00CE7C2A" w:rsidP="00CE7C2A">
      <w:pPr>
        <w:ind w:firstLine="1440"/>
        <w:jc w:val="left"/>
        <w:rPr>
          <w:sz w:val="26"/>
          <w:szCs w:val="26"/>
        </w:rPr>
      </w:pPr>
      <w:r w:rsidRPr="00616C44">
        <w:rPr>
          <w:sz w:val="26"/>
          <w:szCs w:val="26"/>
        </w:rPr>
        <w:t xml:space="preserve">The Commission is required to fix the time and place of a hearing in a complaint proceeding and to serve notice thereof upon the parties in interest.  </w:t>
      </w:r>
      <w:r w:rsidRPr="00616C44">
        <w:rPr>
          <w:i/>
          <w:sz w:val="26"/>
          <w:szCs w:val="26"/>
        </w:rPr>
        <w:t>See</w:t>
      </w:r>
      <w:r w:rsidRPr="00616C44">
        <w:rPr>
          <w:sz w:val="26"/>
          <w:szCs w:val="26"/>
        </w:rPr>
        <w:t xml:space="preserve"> 66 Pa. C.S. § 703(a)-(b).  Service on interested persons is sufficient to provide notice.  52 Pa. Code § 5.201(a).  Notice mailed to a party’s last known address and not returned by the post office is presumed to have been received.  </w:t>
      </w:r>
      <w:r w:rsidRPr="00616C44">
        <w:rPr>
          <w:i/>
          <w:sz w:val="26"/>
          <w:szCs w:val="26"/>
        </w:rPr>
        <w:t>See</w:t>
      </w:r>
      <w:r>
        <w:rPr>
          <w:sz w:val="26"/>
          <w:szCs w:val="26"/>
        </w:rPr>
        <w:t>,</w:t>
      </w:r>
      <w:r w:rsidRPr="00616C44">
        <w:rPr>
          <w:sz w:val="26"/>
          <w:szCs w:val="26"/>
        </w:rPr>
        <w:t xml:space="preserve"> </w:t>
      </w:r>
      <w:r w:rsidRPr="00616C44">
        <w:rPr>
          <w:rFonts w:eastAsiaTheme="minorHAnsi"/>
          <w:i/>
          <w:color w:val="000000"/>
          <w:sz w:val="26"/>
          <w:szCs w:val="26"/>
        </w:rPr>
        <w:t>Berkowitz v. Mayflower Securities, Inc</w:t>
      </w:r>
      <w:r w:rsidRPr="00616C44">
        <w:rPr>
          <w:rFonts w:eastAsiaTheme="minorHAnsi"/>
          <w:color w:val="000000"/>
          <w:sz w:val="26"/>
          <w:szCs w:val="26"/>
        </w:rPr>
        <w:t>., 455 Pa. 531, 317 A.2d 584 (Pa. 1974)</w:t>
      </w:r>
      <w:r>
        <w:rPr>
          <w:rFonts w:eastAsiaTheme="minorHAnsi"/>
          <w:color w:val="000000"/>
          <w:sz w:val="26"/>
          <w:szCs w:val="26"/>
        </w:rPr>
        <w:t xml:space="preserve"> (</w:t>
      </w:r>
      <w:r w:rsidRPr="003B6A81">
        <w:rPr>
          <w:rFonts w:eastAsiaTheme="minorHAnsi"/>
          <w:i/>
          <w:color w:val="000000"/>
          <w:sz w:val="26"/>
          <w:szCs w:val="26"/>
        </w:rPr>
        <w:t>Mayflower</w:t>
      </w:r>
      <w:r>
        <w:rPr>
          <w:rFonts w:eastAsiaTheme="minorHAnsi"/>
          <w:color w:val="000000"/>
          <w:sz w:val="26"/>
          <w:szCs w:val="26"/>
        </w:rPr>
        <w:t>)</w:t>
      </w:r>
      <w:r w:rsidRPr="00616C44">
        <w:rPr>
          <w:rFonts w:eastAsiaTheme="minorHAnsi"/>
          <w:color w:val="000000"/>
          <w:sz w:val="26"/>
          <w:szCs w:val="26"/>
        </w:rPr>
        <w:t xml:space="preserve">; </w:t>
      </w:r>
      <w:r w:rsidRPr="00616C44">
        <w:rPr>
          <w:rFonts w:eastAsiaTheme="minorHAnsi"/>
          <w:i/>
          <w:color w:val="000000"/>
          <w:sz w:val="26"/>
          <w:szCs w:val="26"/>
        </w:rPr>
        <w:t>Meierdierck v. Miller</w:t>
      </w:r>
      <w:r w:rsidRPr="00616C44">
        <w:rPr>
          <w:rFonts w:eastAsiaTheme="minorHAnsi"/>
          <w:color w:val="000000"/>
          <w:sz w:val="26"/>
          <w:szCs w:val="26"/>
        </w:rPr>
        <w:t>, 147 A.2d 406 (Pa. 1959)</w:t>
      </w:r>
      <w:r>
        <w:rPr>
          <w:rFonts w:eastAsiaTheme="minorHAnsi"/>
          <w:color w:val="000000"/>
          <w:sz w:val="26"/>
          <w:szCs w:val="26"/>
        </w:rPr>
        <w:t xml:space="preserve"> (</w:t>
      </w:r>
      <w:r w:rsidRPr="003B6A81">
        <w:rPr>
          <w:rFonts w:eastAsiaTheme="minorHAnsi"/>
          <w:i/>
          <w:color w:val="000000"/>
          <w:sz w:val="26"/>
          <w:szCs w:val="26"/>
        </w:rPr>
        <w:t>Miller</w:t>
      </w:r>
      <w:r>
        <w:rPr>
          <w:rFonts w:eastAsiaTheme="minorHAnsi"/>
          <w:color w:val="000000"/>
          <w:sz w:val="26"/>
          <w:szCs w:val="26"/>
        </w:rPr>
        <w:t>)</w:t>
      </w:r>
      <w:r w:rsidRPr="00616C44">
        <w:rPr>
          <w:rFonts w:eastAsiaTheme="minorHAnsi"/>
          <w:color w:val="000000"/>
          <w:sz w:val="26"/>
          <w:szCs w:val="26"/>
        </w:rPr>
        <w:t xml:space="preserve">; </w:t>
      </w:r>
      <w:r w:rsidRPr="00616C44">
        <w:rPr>
          <w:rFonts w:eastAsiaTheme="minorHAnsi"/>
          <w:i/>
          <w:color w:val="000000"/>
          <w:sz w:val="26"/>
          <w:szCs w:val="26"/>
        </w:rPr>
        <w:t>Samaras v. Hartwick</w:t>
      </w:r>
      <w:r w:rsidRPr="00616C44">
        <w:rPr>
          <w:rFonts w:eastAsiaTheme="minorHAnsi"/>
          <w:color w:val="000000"/>
          <w:sz w:val="26"/>
          <w:szCs w:val="26"/>
        </w:rPr>
        <w:t>, 698 A.2d 71 (Pa. Super. 1997)</w:t>
      </w:r>
      <w:r>
        <w:rPr>
          <w:rFonts w:eastAsiaTheme="minorHAnsi"/>
          <w:color w:val="000000"/>
          <w:sz w:val="26"/>
          <w:szCs w:val="26"/>
        </w:rPr>
        <w:t xml:space="preserve"> (</w:t>
      </w:r>
      <w:r w:rsidRPr="003B6A81">
        <w:rPr>
          <w:rFonts w:eastAsiaTheme="minorHAnsi"/>
          <w:i/>
          <w:color w:val="000000"/>
          <w:sz w:val="26"/>
          <w:szCs w:val="26"/>
        </w:rPr>
        <w:t>Samaras</w:t>
      </w:r>
      <w:r>
        <w:rPr>
          <w:rFonts w:eastAsiaTheme="minorHAnsi"/>
          <w:color w:val="000000"/>
          <w:sz w:val="26"/>
          <w:szCs w:val="26"/>
        </w:rPr>
        <w:t>)</w:t>
      </w:r>
      <w:r w:rsidRPr="00616C44">
        <w:rPr>
          <w:rFonts w:eastAsiaTheme="minorHAnsi"/>
          <w:color w:val="000000"/>
          <w:sz w:val="26"/>
          <w:szCs w:val="26"/>
        </w:rPr>
        <w:t xml:space="preserve">; </w:t>
      </w:r>
      <w:r w:rsidRPr="00616C44">
        <w:rPr>
          <w:i/>
          <w:sz w:val="26"/>
          <w:szCs w:val="26"/>
        </w:rPr>
        <w:t>Chartiers Industrial and Commercial Development Authority v. Allegheny County Board of Property Assessment Appeals and Review</w:t>
      </w:r>
      <w:r w:rsidRPr="00616C44">
        <w:rPr>
          <w:sz w:val="26"/>
          <w:szCs w:val="26"/>
        </w:rPr>
        <w:t xml:space="preserve">, 645 A.2d 944, 946 (Pa. Cmwlth. 1994), </w:t>
      </w:r>
      <w:r w:rsidRPr="00616C44">
        <w:rPr>
          <w:i/>
          <w:sz w:val="26"/>
          <w:szCs w:val="26"/>
        </w:rPr>
        <w:t>appeal denied</w:t>
      </w:r>
      <w:r w:rsidRPr="00616C44">
        <w:rPr>
          <w:sz w:val="26"/>
          <w:szCs w:val="26"/>
        </w:rPr>
        <w:t xml:space="preserve"> 539 Pa. 696, 653 A.2d 1234 (1994); </w:t>
      </w:r>
      <w:r w:rsidRPr="00616C44">
        <w:rPr>
          <w:i/>
          <w:sz w:val="26"/>
          <w:szCs w:val="26"/>
        </w:rPr>
        <w:t>Geary v. Verizon Pennsylvania Inc</w:t>
      </w:r>
      <w:r w:rsidRPr="00616C44">
        <w:rPr>
          <w:sz w:val="26"/>
          <w:szCs w:val="26"/>
        </w:rPr>
        <w:t>., Docket No. C-2009-2118625 (Order entered September 16, 2010)</w:t>
      </w:r>
      <w:r>
        <w:rPr>
          <w:sz w:val="26"/>
          <w:szCs w:val="26"/>
        </w:rPr>
        <w:t xml:space="preserve"> (</w:t>
      </w:r>
      <w:r w:rsidRPr="003B6A81">
        <w:rPr>
          <w:i/>
          <w:sz w:val="26"/>
          <w:szCs w:val="26"/>
        </w:rPr>
        <w:t>Geary</w:t>
      </w:r>
      <w:r>
        <w:rPr>
          <w:sz w:val="26"/>
          <w:szCs w:val="26"/>
        </w:rPr>
        <w:t>)</w:t>
      </w:r>
      <w:r w:rsidRPr="00616C44">
        <w:rPr>
          <w:sz w:val="26"/>
          <w:szCs w:val="26"/>
        </w:rPr>
        <w:t>.</w:t>
      </w:r>
    </w:p>
    <w:p w14:paraId="06DC8DB0" w14:textId="77777777" w:rsidR="00CE7C2A" w:rsidRPr="00616C44" w:rsidRDefault="00CE7C2A" w:rsidP="00CE7C2A">
      <w:pPr>
        <w:ind w:firstLine="1440"/>
        <w:jc w:val="left"/>
        <w:rPr>
          <w:sz w:val="26"/>
          <w:szCs w:val="26"/>
        </w:rPr>
      </w:pPr>
    </w:p>
    <w:p w14:paraId="5634569A" w14:textId="0B3F4EC4" w:rsidR="00CE7C2A" w:rsidRPr="00616C44" w:rsidRDefault="00CE7C2A" w:rsidP="00CE7C2A">
      <w:pPr>
        <w:ind w:firstLine="1440"/>
        <w:jc w:val="left"/>
        <w:rPr>
          <w:sz w:val="26"/>
          <w:szCs w:val="26"/>
        </w:rPr>
      </w:pPr>
      <w:r w:rsidRPr="00616C44">
        <w:rPr>
          <w:sz w:val="26"/>
          <w:szCs w:val="26"/>
        </w:rPr>
        <w:t xml:space="preserve">Once notice of a hearing and the opportunity to be heard have been provided by the Commission, it is the responsibility of the parties to appear and participate in the hearing.  </w:t>
      </w:r>
      <w:r w:rsidRPr="00616C44">
        <w:rPr>
          <w:i/>
          <w:sz w:val="26"/>
          <w:szCs w:val="26"/>
        </w:rPr>
        <w:t>Mumma v. PPL Electric Utilities Corporation</w:t>
      </w:r>
      <w:r w:rsidRPr="00616C44">
        <w:rPr>
          <w:sz w:val="26"/>
          <w:szCs w:val="26"/>
        </w:rPr>
        <w:t>, Docket No. C</w:t>
      </w:r>
      <w:r w:rsidR="00DD14DC">
        <w:rPr>
          <w:sz w:val="26"/>
          <w:szCs w:val="26"/>
        </w:rPr>
        <w:noBreakHyphen/>
      </w:r>
      <w:r w:rsidRPr="00616C44">
        <w:rPr>
          <w:sz w:val="26"/>
          <w:szCs w:val="26"/>
        </w:rPr>
        <w:t>00014869 (Order entered January 24, 2002) (</w:t>
      </w:r>
      <w:r w:rsidRPr="00616C44">
        <w:rPr>
          <w:i/>
          <w:sz w:val="26"/>
          <w:szCs w:val="26"/>
        </w:rPr>
        <w:t>Mumma</w:t>
      </w:r>
      <w:r w:rsidRPr="00616C44">
        <w:rPr>
          <w:sz w:val="26"/>
          <w:szCs w:val="26"/>
        </w:rPr>
        <w:t xml:space="preserve">); </w:t>
      </w:r>
      <w:r w:rsidRPr="00616C44">
        <w:rPr>
          <w:i/>
          <w:sz w:val="26"/>
          <w:szCs w:val="26"/>
        </w:rPr>
        <w:t>Sentner v. Bell Tel. Co. of PA</w:t>
      </w:r>
      <w:r w:rsidRPr="00616C44">
        <w:rPr>
          <w:sz w:val="26"/>
          <w:szCs w:val="26"/>
        </w:rPr>
        <w:t>, Docket No. F-00161106 (Order entered October 25, 1993) (</w:t>
      </w:r>
      <w:r w:rsidRPr="00616C44">
        <w:rPr>
          <w:i/>
          <w:sz w:val="26"/>
          <w:szCs w:val="26"/>
        </w:rPr>
        <w:t>Sentner</w:t>
      </w:r>
      <w:r w:rsidRPr="00616C44">
        <w:rPr>
          <w:sz w:val="26"/>
          <w:szCs w:val="26"/>
        </w:rPr>
        <w:t>).</w:t>
      </w:r>
    </w:p>
    <w:p w14:paraId="30EB3E98" w14:textId="77777777" w:rsidR="00CE7C2A" w:rsidRPr="00616C44" w:rsidRDefault="00CE7C2A" w:rsidP="00CE7C2A">
      <w:pPr>
        <w:ind w:firstLine="1440"/>
        <w:jc w:val="left"/>
        <w:rPr>
          <w:sz w:val="26"/>
          <w:szCs w:val="26"/>
        </w:rPr>
      </w:pPr>
    </w:p>
    <w:p w14:paraId="4BCD0F3B" w14:textId="7A5A58E8" w:rsidR="00CE7C2A" w:rsidRPr="00616C44" w:rsidRDefault="00CE7C2A" w:rsidP="00CE7C2A">
      <w:pPr>
        <w:ind w:firstLine="1440"/>
        <w:jc w:val="left"/>
        <w:rPr>
          <w:sz w:val="26"/>
          <w:szCs w:val="26"/>
        </w:rPr>
      </w:pPr>
      <w:r w:rsidRPr="00616C44">
        <w:rPr>
          <w:sz w:val="26"/>
          <w:szCs w:val="26"/>
        </w:rPr>
        <w:t xml:space="preserve">A party to a proceeding has the right to request a continuance of </w:t>
      </w:r>
      <w:r>
        <w:rPr>
          <w:sz w:val="26"/>
          <w:szCs w:val="26"/>
        </w:rPr>
        <w:t xml:space="preserve">the </w:t>
      </w:r>
      <w:r w:rsidRPr="00616C44">
        <w:rPr>
          <w:sz w:val="26"/>
          <w:szCs w:val="26"/>
        </w:rPr>
        <w:t xml:space="preserve">hearing, which may be granted by the presiding officer for “good cause.”  </w:t>
      </w:r>
      <w:r w:rsidRPr="00616C44">
        <w:rPr>
          <w:i/>
          <w:sz w:val="26"/>
          <w:szCs w:val="26"/>
        </w:rPr>
        <w:t>See</w:t>
      </w:r>
      <w:r w:rsidRPr="00616C44">
        <w:rPr>
          <w:sz w:val="26"/>
          <w:szCs w:val="26"/>
        </w:rPr>
        <w:t xml:space="preserve"> 52 Pa. Code § 1.15(b).  Pursuant to the Commission’s Regulations, a continuance request is required to be in writing and filed with the presiding officer at least five days prior to the hearing date, except that, during a hearing, an oral request for hearing continuance may be made before the presiding officer in the hearing room.  </w:t>
      </w:r>
      <w:r w:rsidRPr="00616C44">
        <w:rPr>
          <w:i/>
          <w:sz w:val="26"/>
          <w:szCs w:val="26"/>
        </w:rPr>
        <w:t>Id</w:t>
      </w:r>
      <w:r w:rsidRPr="00616C44">
        <w:rPr>
          <w:sz w:val="26"/>
          <w:szCs w:val="26"/>
        </w:rPr>
        <w:t xml:space="preserve">.  When “good cause” is shown for a hearing continuance, the Commission has acknowledged that the public interest is better served when all litigants, particularly </w:t>
      </w:r>
      <w:r w:rsidRPr="00616C44">
        <w:rPr>
          <w:i/>
          <w:sz w:val="26"/>
          <w:szCs w:val="26"/>
        </w:rPr>
        <w:t xml:space="preserve">pro se </w:t>
      </w:r>
      <w:r w:rsidRPr="00616C44">
        <w:rPr>
          <w:sz w:val="26"/>
          <w:szCs w:val="26"/>
        </w:rPr>
        <w:t>litigants, are afforded a meaningful opportunity to be heard.</w:t>
      </w:r>
      <w:r>
        <w:rPr>
          <w:sz w:val="26"/>
          <w:szCs w:val="26"/>
        </w:rPr>
        <w:t xml:space="preserve"> </w:t>
      </w:r>
      <w:r w:rsidRPr="00B57390">
        <w:rPr>
          <w:i/>
          <w:sz w:val="26"/>
          <w:szCs w:val="26"/>
        </w:rPr>
        <w:t xml:space="preserve"> </w:t>
      </w:r>
      <w:r w:rsidRPr="00827E17">
        <w:rPr>
          <w:i/>
          <w:sz w:val="26"/>
          <w:szCs w:val="26"/>
        </w:rPr>
        <w:t>See, e.g., Laurie Loucks v. Metropolitan Edison Company</w:t>
      </w:r>
      <w:r w:rsidRPr="00827E17">
        <w:rPr>
          <w:sz w:val="26"/>
          <w:szCs w:val="26"/>
        </w:rPr>
        <w:t>, Docket No. C-2017-2619974 (Order entered May 16, 2018) (reversed ALJ’s decision to dismiss complaint with prejudice and remanded for hearing because the complainant attended and participated in the first scheduled hearing, which was not completed due to a technical problem with the teleconference line, and complainant sought a continuance of the rescheduled hearing to review the Company’s newly proffered exhibits for which there was question in record as to whether such exhibits had been timely served on the complainant pursuant to the pr</w:t>
      </w:r>
      <w:r>
        <w:rPr>
          <w:sz w:val="26"/>
          <w:szCs w:val="26"/>
        </w:rPr>
        <w:t>ehearing order’s requirements).</w:t>
      </w:r>
      <w:r>
        <w:rPr>
          <w:rStyle w:val="FootnoteReference"/>
          <w:sz w:val="26"/>
          <w:szCs w:val="26"/>
        </w:rPr>
        <w:footnoteReference w:id="3"/>
      </w:r>
    </w:p>
    <w:p w14:paraId="14CE2540" w14:textId="77777777" w:rsidR="00CE7C2A" w:rsidRPr="00616C44" w:rsidRDefault="00CE7C2A" w:rsidP="00CE7C2A">
      <w:pPr>
        <w:ind w:firstLine="1440"/>
        <w:jc w:val="left"/>
        <w:rPr>
          <w:sz w:val="26"/>
          <w:szCs w:val="26"/>
        </w:rPr>
      </w:pPr>
    </w:p>
    <w:p w14:paraId="4377C16C" w14:textId="12A58D6E" w:rsidR="00CE7C2A" w:rsidRPr="00616C44" w:rsidRDefault="00CE7C2A" w:rsidP="00CE7C2A">
      <w:pPr>
        <w:ind w:firstLine="1440"/>
        <w:jc w:val="left"/>
        <w:rPr>
          <w:color w:val="000000" w:themeColor="text1"/>
          <w:sz w:val="26"/>
          <w:szCs w:val="26"/>
        </w:rPr>
      </w:pPr>
      <w:r w:rsidRPr="00616C44">
        <w:rPr>
          <w:sz w:val="26"/>
          <w:szCs w:val="26"/>
        </w:rPr>
        <w:t>If a party fails to attend a scheduled hearing, such failure to appear will be deemed a waiver of the party’s opportunity to participate in a hearing, unless the presiding officer determines that such failure was “unavoidable” and that the interests of the other parties and of the public would not be “prejudiced” by permitting such reopening or further examination.  66 Pa. C.S. § 332(f); 52 Pa. Code § 5.245(a)-(b).</w:t>
      </w:r>
    </w:p>
    <w:p w14:paraId="64441669" w14:textId="77777777" w:rsidR="00CE7C2A" w:rsidRPr="00616C44" w:rsidRDefault="00CE7C2A" w:rsidP="00CE7C2A">
      <w:pPr>
        <w:ind w:firstLine="1440"/>
        <w:jc w:val="left"/>
        <w:rPr>
          <w:color w:val="000000" w:themeColor="text1"/>
          <w:sz w:val="26"/>
          <w:szCs w:val="26"/>
        </w:rPr>
      </w:pPr>
    </w:p>
    <w:p w14:paraId="231CB39B" w14:textId="465BFAA5" w:rsidR="00CE7C2A" w:rsidRDefault="00CE7C2A" w:rsidP="00CE7C2A">
      <w:pPr>
        <w:ind w:firstLine="1440"/>
        <w:jc w:val="left"/>
        <w:rPr>
          <w:spacing w:val="-3"/>
          <w:sz w:val="26"/>
          <w:szCs w:val="26"/>
        </w:rPr>
      </w:pPr>
      <w:r>
        <w:rPr>
          <w:sz w:val="26"/>
          <w:szCs w:val="26"/>
        </w:rPr>
        <w:t xml:space="preserve">Based on </w:t>
      </w:r>
      <w:r w:rsidRPr="00616C44">
        <w:rPr>
          <w:sz w:val="26"/>
          <w:szCs w:val="26"/>
        </w:rPr>
        <w:t xml:space="preserve">prior cases, to meet the “unavoidable” standard, </w:t>
      </w:r>
      <w:r w:rsidR="000F4822">
        <w:rPr>
          <w:sz w:val="26"/>
          <w:szCs w:val="26"/>
        </w:rPr>
        <w:t xml:space="preserve">the Commission will </w:t>
      </w:r>
      <w:r w:rsidRPr="00616C44">
        <w:rPr>
          <w:sz w:val="26"/>
          <w:szCs w:val="26"/>
        </w:rPr>
        <w:t xml:space="preserve">require a complainant to show, with supporting information, that the failure to appear was due to exigent circumstances.  </w:t>
      </w:r>
      <w:r w:rsidRPr="00827E17">
        <w:rPr>
          <w:i/>
          <w:sz w:val="26"/>
          <w:szCs w:val="26"/>
        </w:rPr>
        <w:t xml:space="preserve">See, e.g., </w:t>
      </w:r>
      <w:r w:rsidRPr="0014180D">
        <w:rPr>
          <w:i/>
          <w:sz w:val="26"/>
          <w:szCs w:val="26"/>
        </w:rPr>
        <w:t>El-Ayazra v. West Penn Power Company</w:t>
      </w:r>
      <w:r w:rsidRPr="0003143A">
        <w:rPr>
          <w:sz w:val="26"/>
          <w:szCs w:val="26"/>
        </w:rPr>
        <w:t>, Docket No. F-2015-2509292 (Opinion and Order entered Jun</w:t>
      </w:r>
      <w:r>
        <w:rPr>
          <w:sz w:val="26"/>
          <w:szCs w:val="26"/>
        </w:rPr>
        <w:t>e 30, 2016) (</w:t>
      </w:r>
      <w:r w:rsidRPr="0019321F">
        <w:rPr>
          <w:i/>
          <w:sz w:val="26"/>
          <w:szCs w:val="26"/>
        </w:rPr>
        <w:t>El-Ayazra</w:t>
      </w:r>
      <w:r>
        <w:rPr>
          <w:sz w:val="26"/>
          <w:szCs w:val="26"/>
        </w:rPr>
        <w:t xml:space="preserve">) (affirmed ALJ’s decision to dismiss complaint </w:t>
      </w:r>
      <w:r w:rsidRPr="0019321F">
        <w:rPr>
          <w:i/>
          <w:sz w:val="26"/>
          <w:szCs w:val="26"/>
        </w:rPr>
        <w:t>with prejudice</w:t>
      </w:r>
      <w:r>
        <w:rPr>
          <w:sz w:val="26"/>
          <w:szCs w:val="26"/>
        </w:rPr>
        <w:t xml:space="preserve"> because the complainant failed to follow the call-in instructions for the telephonic hearing).</w:t>
      </w:r>
      <w:r>
        <w:rPr>
          <w:rStyle w:val="FootnoteReference"/>
          <w:sz w:val="26"/>
          <w:szCs w:val="26"/>
        </w:rPr>
        <w:footnoteReference w:id="4"/>
      </w:r>
    </w:p>
    <w:p w14:paraId="1F2305A5" w14:textId="77777777" w:rsidR="00CE7C2A" w:rsidRDefault="00CE7C2A" w:rsidP="00CE7C2A">
      <w:pPr>
        <w:ind w:firstLine="1440"/>
        <w:jc w:val="left"/>
        <w:rPr>
          <w:sz w:val="26"/>
          <w:szCs w:val="26"/>
        </w:rPr>
      </w:pPr>
    </w:p>
    <w:p w14:paraId="54D68926" w14:textId="63BB87CB" w:rsidR="00CE7C2A" w:rsidRPr="00616C44" w:rsidRDefault="00CE7C2A" w:rsidP="009E52A6">
      <w:pPr>
        <w:ind w:firstLine="1440"/>
        <w:jc w:val="left"/>
        <w:rPr>
          <w:sz w:val="26"/>
          <w:szCs w:val="26"/>
        </w:rPr>
      </w:pPr>
      <w:r w:rsidRPr="00616C44">
        <w:rPr>
          <w:sz w:val="26"/>
          <w:szCs w:val="26"/>
        </w:rPr>
        <w:t xml:space="preserve">Moreover, the Commission will exercise its discretion and excuse a complainant’s failure to appear at a hearing if the complainant demonstrates that he/she made a good faith attempt to attend the hearing.  </w:t>
      </w:r>
      <w:r w:rsidRPr="00827E17">
        <w:rPr>
          <w:i/>
          <w:sz w:val="26"/>
          <w:szCs w:val="26"/>
        </w:rPr>
        <w:t>See, e.g., Yomari Then v. Philadelphia Gas Works</w:t>
      </w:r>
      <w:r w:rsidRPr="00827E17">
        <w:rPr>
          <w:sz w:val="26"/>
          <w:szCs w:val="26"/>
        </w:rPr>
        <w:t xml:space="preserve">, Docket No. F-2012-2318264 (Order entered June 13, 2013) </w:t>
      </w:r>
      <w:r>
        <w:rPr>
          <w:sz w:val="26"/>
          <w:szCs w:val="26"/>
        </w:rPr>
        <w:t>(</w:t>
      </w:r>
      <w:r w:rsidRPr="00DB65E9">
        <w:rPr>
          <w:i/>
          <w:sz w:val="26"/>
          <w:szCs w:val="26"/>
        </w:rPr>
        <w:t>Yomari Then</w:t>
      </w:r>
      <w:r>
        <w:rPr>
          <w:sz w:val="26"/>
          <w:szCs w:val="26"/>
        </w:rPr>
        <w:t xml:space="preserve">) </w:t>
      </w:r>
      <w:r w:rsidRPr="00827E17">
        <w:rPr>
          <w:sz w:val="26"/>
          <w:szCs w:val="26"/>
        </w:rPr>
        <w:t>(vacated ALJ’s decision to dismiss complaint with prejudice and remanded for hearing because complainant attempted to attend the scheduled hearing, and appeared in the correct building, but was unable to locate the hearing room in the buildi</w:t>
      </w:r>
      <w:r>
        <w:rPr>
          <w:sz w:val="26"/>
          <w:szCs w:val="26"/>
        </w:rPr>
        <w:t>ng due to language challenges).</w:t>
      </w:r>
      <w:r>
        <w:rPr>
          <w:rStyle w:val="FootnoteReference"/>
          <w:sz w:val="26"/>
          <w:szCs w:val="26"/>
        </w:rPr>
        <w:footnoteReference w:id="5"/>
      </w:r>
      <w:r w:rsidR="009E52A6">
        <w:rPr>
          <w:sz w:val="26"/>
          <w:szCs w:val="26"/>
        </w:rPr>
        <w:t xml:space="preserve">  </w:t>
      </w:r>
      <w:r w:rsidRPr="00616C44">
        <w:rPr>
          <w:sz w:val="26"/>
          <w:szCs w:val="26"/>
        </w:rPr>
        <w:t>I</w:t>
      </w:r>
      <w:r>
        <w:rPr>
          <w:sz w:val="26"/>
          <w:szCs w:val="26"/>
        </w:rPr>
        <w:t>f</w:t>
      </w:r>
      <w:r w:rsidRPr="00616C44">
        <w:rPr>
          <w:sz w:val="26"/>
          <w:szCs w:val="26"/>
        </w:rPr>
        <w:t xml:space="preserve"> </w:t>
      </w:r>
      <w:r>
        <w:rPr>
          <w:sz w:val="26"/>
          <w:szCs w:val="26"/>
        </w:rPr>
        <w:t xml:space="preserve">a complainant’s failure to appear was unavoidable or if the complainant made a good faith attempt to appear, </w:t>
      </w:r>
      <w:r w:rsidRPr="00616C44">
        <w:rPr>
          <w:sz w:val="26"/>
          <w:szCs w:val="26"/>
        </w:rPr>
        <w:t xml:space="preserve">the Commission has acknowledged that the public interest is better served when all litigants, particularly </w:t>
      </w:r>
      <w:r w:rsidRPr="00616C44">
        <w:rPr>
          <w:i/>
          <w:sz w:val="26"/>
          <w:szCs w:val="26"/>
        </w:rPr>
        <w:t xml:space="preserve">pro se </w:t>
      </w:r>
      <w:r w:rsidRPr="00616C44">
        <w:rPr>
          <w:sz w:val="26"/>
          <w:szCs w:val="26"/>
        </w:rPr>
        <w:t>litigants, are afforded a meaningful opportunity to be heard.</w:t>
      </w:r>
    </w:p>
    <w:p w14:paraId="45584FD2" w14:textId="77777777" w:rsidR="00CE7C2A" w:rsidRPr="00616C44" w:rsidRDefault="00CE7C2A" w:rsidP="00CE7C2A">
      <w:pPr>
        <w:ind w:firstLine="1440"/>
        <w:jc w:val="left"/>
        <w:rPr>
          <w:sz w:val="26"/>
          <w:szCs w:val="26"/>
        </w:rPr>
      </w:pPr>
    </w:p>
    <w:p w14:paraId="67FAFD09" w14:textId="77777777" w:rsidR="00CE7C2A" w:rsidRPr="00616C44" w:rsidRDefault="00CE7C2A" w:rsidP="00CE7C2A">
      <w:pPr>
        <w:ind w:firstLine="1440"/>
        <w:jc w:val="left"/>
        <w:rPr>
          <w:rFonts w:eastAsiaTheme="minorHAnsi"/>
          <w:sz w:val="22"/>
          <w:szCs w:val="22"/>
        </w:rPr>
      </w:pPr>
      <w:r w:rsidRPr="00616C44">
        <w:rPr>
          <w:sz w:val="26"/>
          <w:szCs w:val="26"/>
        </w:rPr>
        <w:t>However, if a complainant’s failure to appear was not unavoidable, or if the complainant did not make a good faith attempt to attend the</w:t>
      </w:r>
      <w:r>
        <w:rPr>
          <w:sz w:val="26"/>
          <w:szCs w:val="26"/>
        </w:rPr>
        <w:t xml:space="preserve"> duly scheduled</w:t>
      </w:r>
      <w:r w:rsidRPr="00616C44">
        <w:rPr>
          <w:sz w:val="26"/>
          <w:szCs w:val="26"/>
        </w:rPr>
        <w:t xml:space="preserve"> hearing, the Commission has recognized that any further procedural activity in the docket would prejudice the public interest due to the wasteful use of the agency’s and the respondent’s time and resources in addressing the complaint.  </w:t>
      </w:r>
      <w:r w:rsidRPr="00827E17">
        <w:rPr>
          <w:i/>
          <w:sz w:val="26"/>
          <w:szCs w:val="26"/>
        </w:rPr>
        <w:t>See Jefferson v. UGI Utilities, Inc.</w:t>
      </w:r>
      <w:r w:rsidRPr="00827E17">
        <w:rPr>
          <w:sz w:val="26"/>
          <w:szCs w:val="26"/>
        </w:rPr>
        <w:t>,</w:t>
      </w:r>
      <w:r w:rsidRPr="00827E17">
        <w:rPr>
          <w:i/>
          <w:sz w:val="26"/>
          <w:szCs w:val="26"/>
        </w:rPr>
        <w:t xml:space="preserve"> </w:t>
      </w:r>
      <w:r w:rsidRPr="00827E17">
        <w:rPr>
          <w:sz w:val="26"/>
          <w:szCs w:val="26"/>
        </w:rPr>
        <w:t>Docket No. Z-00269892 (Order entered December 26, 1995) (“We are concerned with regard to the consequences that these “no-show” cases have on the already strained budget of the Commission</w:t>
      </w:r>
      <w:r w:rsidRPr="00827E17">
        <w:rPr>
          <w:i/>
          <w:sz w:val="26"/>
          <w:szCs w:val="26"/>
        </w:rPr>
        <w:t xml:space="preserve">. </w:t>
      </w:r>
      <w:r w:rsidRPr="00827E17">
        <w:rPr>
          <w:sz w:val="26"/>
          <w:szCs w:val="26"/>
        </w:rPr>
        <w:t xml:space="preserve"> Such cases waste the time and resources of the Commission and the utility.  We cannot condone the wastefulness of [a procedure] that permits a “no-show complainant” to refile a complaint and thereby institute yet another stay of termination on the account.  Such misuse of the process as in the case before us cannot be tolerated.”) (</w:t>
      </w:r>
      <w:r w:rsidRPr="00827E17">
        <w:rPr>
          <w:i/>
          <w:sz w:val="26"/>
          <w:szCs w:val="26"/>
        </w:rPr>
        <w:t>Jefferson</w:t>
      </w:r>
      <w:r>
        <w:rPr>
          <w:sz w:val="26"/>
          <w:szCs w:val="26"/>
        </w:rPr>
        <w:t xml:space="preserve">); </w:t>
      </w:r>
      <w:r w:rsidRPr="0019321F">
        <w:rPr>
          <w:i/>
          <w:sz w:val="26"/>
          <w:szCs w:val="26"/>
        </w:rPr>
        <w:t>see also</w:t>
      </w:r>
      <w:r w:rsidRPr="00AA5462">
        <w:rPr>
          <w:sz w:val="26"/>
          <w:szCs w:val="26"/>
        </w:rPr>
        <w:t>,</w:t>
      </w:r>
      <w:r>
        <w:rPr>
          <w:sz w:val="26"/>
          <w:szCs w:val="26"/>
        </w:rPr>
        <w:t xml:space="preserve"> </w:t>
      </w:r>
      <w:r w:rsidRPr="00604C39">
        <w:rPr>
          <w:i/>
          <w:sz w:val="26"/>
          <w:szCs w:val="26"/>
        </w:rPr>
        <w:t>supra</w:t>
      </w:r>
      <w:r>
        <w:rPr>
          <w:sz w:val="26"/>
          <w:szCs w:val="26"/>
        </w:rPr>
        <w:t xml:space="preserve">, </w:t>
      </w:r>
      <w:r w:rsidRPr="00827E17">
        <w:rPr>
          <w:i/>
          <w:sz w:val="26"/>
          <w:szCs w:val="26"/>
        </w:rPr>
        <w:t xml:space="preserve">e.g., </w:t>
      </w:r>
      <w:r>
        <w:rPr>
          <w:i/>
          <w:sz w:val="26"/>
          <w:szCs w:val="26"/>
        </w:rPr>
        <w:t xml:space="preserve">El-Ayazra; </w:t>
      </w:r>
      <w:r w:rsidRPr="00827E17">
        <w:rPr>
          <w:i/>
          <w:sz w:val="26"/>
          <w:szCs w:val="26"/>
        </w:rPr>
        <w:t>Santore Smith</w:t>
      </w:r>
      <w:r w:rsidRPr="00604C39">
        <w:rPr>
          <w:sz w:val="26"/>
          <w:szCs w:val="26"/>
        </w:rPr>
        <w:t>;</w:t>
      </w:r>
      <w:r>
        <w:rPr>
          <w:sz w:val="26"/>
          <w:szCs w:val="26"/>
        </w:rPr>
        <w:t xml:space="preserve"> </w:t>
      </w:r>
      <w:r w:rsidRPr="00827E17">
        <w:rPr>
          <w:i/>
          <w:sz w:val="26"/>
          <w:szCs w:val="26"/>
        </w:rPr>
        <w:t>Marilyn Day</w:t>
      </w:r>
      <w:r w:rsidRPr="00604C39">
        <w:rPr>
          <w:sz w:val="26"/>
          <w:szCs w:val="26"/>
        </w:rPr>
        <w:t xml:space="preserve">; </w:t>
      </w:r>
      <w:r w:rsidRPr="00827E17">
        <w:rPr>
          <w:i/>
          <w:sz w:val="26"/>
          <w:szCs w:val="26"/>
        </w:rPr>
        <w:t>Deborah</w:t>
      </w:r>
      <w:r w:rsidRPr="00827E17">
        <w:rPr>
          <w:sz w:val="26"/>
          <w:szCs w:val="26"/>
        </w:rPr>
        <w:t xml:space="preserve"> </w:t>
      </w:r>
      <w:r w:rsidRPr="00827E17">
        <w:rPr>
          <w:i/>
          <w:sz w:val="26"/>
          <w:szCs w:val="26"/>
        </w:rPr>
        <w:t>Bethay</w:t>
      </w:r>
      <w:r w:rsidRPr="00604C39">
        <w:rPr>
          <w:sz w:val="26"/>
          <w:szCs w:val="26"/>
        </w:rPr>
        <w:t>;</w:t>
      </w:r>
      <w:r>
        <w:rPr>
          <w:i/>
          <w:sz w:val="26"/>
          <w:szCs w:val="26"/>
        </w:rPr>
        <w:t xml:space="preserve"> </w:t>
      </w:r>
      <w:r w:rsidRPr="00827E17">
        <w:rPr>
          <w:i/>
          <w:sz w:val="26"/>
          <w:szCs w:val="26"/>
        </w:rPr>
        <w:t>Osuji</w:t>
      </w:r>
      <w:r w:rsidRPr="00604C39">
        <w:rPr>
          <w:sz w:val="26"/>
          <w:szCs w:val="26"/>
        </w:rPr>
        <w:t>;</w:t>
      </w:r>
      <w:r w:rsidRPr="00827E17">
        <w:rPr>
          <w:i/>
          <w:sz w:val="26"/>
          <w:szCs w:val="26"/>
        </w:rPr>
        <w:t xml:space="preserve"> </w:t>
      </w:r>
      <w:r>
        <w:rPr>
          <w:i/>
          <w:sz w:val="26"/>
          <w:szCs w:val="26"/>
        </w:rPr>
        <w:t>Madajewski</w:t>
      </w:r>
      <w:r>
        <w:rPr>
          <w:sz w:val="26"/>
          <w:szCs w:val="26"/>
        </w:rPr>
        <w:t xml:space="preserve">; </w:t>
      </w:r>
      <w:r w:rsidRPr="00AA5462">
        <w:rPr>
          <w:i/>
          <w:sz w:val="26"/>
          <w:szCs w:val="26"/>
        </w:rPr>
        <w:t>Nichols III</w:t>
      </w:r>
      <w:r>
        <w:rPr>
          <w:sz w:val="26"/>
          <w:szCs w:val="26"/>
        </w:rPr>
        <w:t xml:space="preserve">.  </w:t>
      </w:r>
      <w:r w:rsidRPr="00616C44">
        <w:rPr>
          <w:sz w:val="26"/>
          <w:szCs w:val="26"/>
        </w:rPr>
        <w:t xml:space="preserve">In such instances, to preserve judicial economy, the Commission typically will dismiss a complaint, </w:t>
      </w:r>
      <w:r w:rsidRPr="00616C44">
        <w:rPr>
          <w:i/>
          <w:sz w:val="26"/>
          <w:szCs w:val="26"/>
        </w:rPr>
        <w:t>with prejudice</w:t>
      </w:r>
      <w:r w:rsidRPr="00616C44">
        <w:rPr>
          <w:sz w:val="26"/>
          <w:szCs w:val="26"/>
        </w:rPr>
        <w:t xml:space="preserve">, barring the complainant from filing another complaint raising the same claims and issues presented in the dismissed complaint.  </w:t>
      </w:r>
    </w:p>
    <w:p w14:paraId="2C0CB03A" w14:textId="77777777" w:rsidR="00006984" w:rsidRDefault="00006984" w:rsidP="00CE7C2A">
      <w:pPr>
        <w:ind w:firstLine="0"/>
        <w:jc w:val="both"/>
        <w:rPr>
          <w:sz w:val="26"/>
          <w:szCs w:val="26"/>
        </w:rPr>
      </w:pPr>
    </w:p>
    <w:p w14:paraId="7DD16B2C" w14:textId="77777777" w:rsidR="00006984" w:rsidRDefault="00006984" w:rsidP="00006984">
      <w:pPr>
        <w:keepNext/>
        <w:keepLines/>
        <w:jc w:val="left"/>
        <w:rPr>
          <w:b/>
          <w:sz w:val="26"/>
          <w:szCs w:val="26"/>
        </w:rPr>
      </w:pPr>
      <w:r>
        <w:rPr>
          <w:b/>
          <w:sz w:val="26"/>
          <w:szCs w:val="26"/>
        </w:rPr>
        <w:t>Burden of Proof</w:t>
      </w:r>
    </w:p>
    <w:p w14:paraId="66096979" w14:textId="77777777" w:rsidR="00006984" w:rsidRPr="00FC3806" w:rsidRDefault="00006984" w:rsidP="00006984">
      <w:pPr>
        <w:keepNext/>
        <w:keepLines/>
        <w:jc w:val="left"/>
        <w:rPr>
          <w:b/>
          <w:sz w:val="26"/>
          <w:szCs w:val="26"/>
        </w:rPr>
      </w:pPr>
    </w:p>
    <w:p w14:paraId="122035C7" w14:textId="24BAEB2D" w:rsidR="00006984" w:rsidRPr="00BC7E17" w:rsidRDefault="00006984" w:rsidP="00006984">
      <w:pPr>
        <w:ind w:firstLine="1440"/>
        <w:contextualSpacing/>
        <w:jc w:val="left"/>
        <w:rPr>
          <w:sz w:val="26"/>
          <w:szCs w:val="26"/>
        </w:rPr>
      </w:pPr>
      <w:r w:rsidRPr="00BC7E17">
        <w:rPr>
          <w:sz w:val="26"/>
          <w:szCs w:val="26"/>
        </w:rPr>
        <w:t xml:space="preserve">As a matter of law, to establish a legally sufficient claim, a complainant must show that the named utility is responsible or accountable for the problem described in the complaint in order to prevail.  </w:t>
      </w:r>
      <w:r w:rsidRPr="00BC7E17">
        <w:rPr>
          <w:i/>
          <w:sz w:val="26"/>
          <w:szCs w:val="26"/>
        </w:rPr>
        <w:t>Patterson v. The Bell Telephone Company of Pennsylvania</w:t>
      </w:r>
      <w:r w:rsidRPr="00BC7E17">
        <w:rPr>
          <w:sz w:val="26"/>
          <w:szCs w:val="26"/>
        </w:rPr>
        <w:t>, 72 Pa. P.U.C. 196 (1990).  The offense must be a violation of the Public Utility Code</w:t>
      </w:r>
      <w:r>
        <w:rPr>
          <w:sz w:val="26"/>
          <w:szCs w:val="26"/>
        </w:rPr>
        <w:t xml:space="preserve"> (Code)</w:t>
      </w:r>
      <w:r w:rsidRPr="00BC7E17">
        <w:rPr>
          <w:sz w:val="26"/>
          <w:szCs w:val="26"/>
        </w:rPr>
        <w:t>, a Commission Regulation or Order or a violation of a Commission-approved tariff.  66 Pa. C.S. § 701.</w:t>
      </w:r>
    </w:p>
    <w:p w14:paraId="78BBDF91" w14:textId="77777777" w:rsidR="00006984" w:rsidRPr="00BC7E17" w:rsidRDefault="00006984" w:rsidP="00006984">
      <w:pPr>
        <w:ind w:firstLine="1440"/>
        <w:jc w:val="left"/>
        <w:rPr>
          <w:sz w:val="26"/>
          <w:szCs w:val="26"/>
        </w:rPr>
      </w:pPr>
    </w:p>
    <w:p w14:paraId="5A7CBA6E" w14:textId="44575D4A" w:rsidR="00006984" w:rsidRDefault="00006984" w:rsidP="00006984">
      <w:pPr>
        <w:ind w:firstLine="1440"/>
        <w:jc w:val="left"/>
        <w:rPr>
          <w:rFonts w:ascii="Arial" w:hAnsi="Arial" w:cs="Arial"/>
          <w:sz w:val="21"/>
          <w:szCs w:val="21"/>
        </w:rPr>
      </w:pPr>
      <w:r w:rsidRPr="00BC7E17">
        <w:rPr>
          <w:sz w:val="26"/>
          <w:szCs w:val="26"/>
        </w:rPr>
        <w:t>Section 332(a) of the Code provides that a complainant, as the party seeking affirmative relief from the Commission, has the burden of proof.  66 Pa. C.S. §</w:t>
      </w:r>
      <w:r w:rsidR="00A24F6A">
        <w:rPr>
          <w:sz w:val="26"/>
          <w:szCs w:val="26"/>
        </w:rPr>
        <w:t> </w:t>
      </w:r>
      <w:r w:rsidRPr="00BC7E17">
        <w:rPr>
          <w:sz w:val="26"/>
          <w:szCs w:val="26"/>
        </w:rPr>
        <w:t xml:space="preserve">332(a).  The </w:t>
      </w:r>
      <w:r>
        <w:rPr>
          <w:sz w:val="26"/>
          <w:szCs w:val="26"/>
        </w:rPr>
        <w:t xml:space="preserve">evidentiary </w:t>
      </w:r>
      <w:r w:rsidRPr="00BC7E17">
        <w:rPr>
          <w:sz w:val="26"/>
          <w:szCs w:val="26"/>
        </w:rPr>
        <w:t xml:space="preserve">burden of proof for actions before the Commission is the “preponderance of the evidence” standard.  </w:t>
      </w:r>
      <w:r w:rsidRPr="00BC7E17">
        <w:rPr>
          <w:i/>
          <w:sz w:val="26"/>
          <w:szCs w:val="26"/>
        </w:rPr>
        <w:t>Suber v. Pennsylvania Com’n on Crime and Deliquency</w:t>
      </w:r>
      <w:r w:rsidRPr="00BC7E17">
        <w:rPr>
          <w:sz w:val="26"/>
          <w:szCs w:val="26"/>
        </w:rPr>
        <w:t>, 885 A. 2d 678, 682 (Pa. Cmwlth. 2005) (</w:t>
      </w:r>
      <w:r w:rsidRPr="00BC7E17">
        <w:rPr>
          <w:i/>
          <w:sz w:val="26"/>
          <w:szCs w:val="26"/>
        </w:rPr>
        <w:t>Suber</w:t>
      </w:r>
      <w:r w:rsidRPr="00BC7E17">
        <w:rPr>
          <w:sz w:val="26"/>
          <w:szCs w:val="26"/>
        </w:rPr>
        <w:t xml:space="preserve">); </w:t>
      </w:r>
      <w:r w:rsidRPr="00BC7E17">
        <w:rPr>
          <w:i/>
          <w:iCs/>
          <w:sz w:val="26"/>
          <w:szCs w:val="26"/>
        </w:rPr>
        <w:t>Samuel J. Lansberry, Inc. v. Pa. PUC</w:t>
      </w:r>
      <w:r w:rsidRPr="00BC7E17">
        <w:rPr>
          <w:sz w:val="26"/>
          <w:szCs w:val="26"/>
        </w:rPr>
        <w:t xml:space="preserve">, 578 A.2d 600 (Pa. Cmwlth. 1990), </w:t>
      </w:r>
      <w:r w:rsidRPr="00BC7E17">
        <w:rPr>
          <w:i/>
          <w:sz w:val="26"/>
          <w:szCs w:val="26"/>
        </w:rPr>
        <w:t>alloc. denied,</w:t>
      </w:r>
      <w:r w:rsidRPr="00BC7E17">
        <w:rPr>
          <w:sz w:val="26"/>
          <w:szCs w:val="26"/>
        </w:rPr>
        <w:t xml:space="preserve"> 529 Pa. 654, 602 A.2d 863 (1992) (</w:t>
      </w:r>
      <w:r w:rsidRPr="00BC7E17">
        <w:rPr>
          <w:i/>
          <w:sz w:val="26"/>
          <w:szCs w:val="26"/>
        </w:rPr>
        <w:t>Lansberry</w:t>
      </w:r>
      <w:r w:rsidRPr="00BC7E17">
        <w:rPr>
          <w:sz w:val="26"/>
          <w:szCs w:val="26"/>
        </w:rPr>
        <w:t xml:space="preserve">); </w:t>
      </w:r>
      <w:r w:rsidRPr="00BC7E17">
        <w:rPr>
          <w:i/>
          <w:sz w:val="26"/>
          <w:szCs w:val="26"/>
        </w:rPr>
        <w:t>see also</w:t>
      </w:r>
      <w:r w:rsidRPr="00BC7E17">
        <w:rPr>
          <w:rFonts w:ascii="Arial" w:hAnsi="Arial" w:cs="Arial"/>
          <w:i/>
          <w:sz w:val="21"/>
          <w:szCs w:val="21"/>
        </w:rPr>
        <w:t xml:space="preserve"> </w:t>
      </w:r>
      <w:r w:rsidRPr="00BC7E17">
        <w:rPr>
          <w:i/>
          <w:iCs/>
          <w:sz w:val="26"/>
          <w:szCs w:val="26"/>
        </w:rPr>
        <w:t>North American Coal Corp. v. Air Pollution Commission,</w:t>
      </w:r>
      <w:r w:rsidRPr="00BC7E17">
        <w:rPr>
          <w:sz w:val="26"/>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BC7E17">
        <w:rPr>
          <w:i/>
          <w:sz w:val="26"/>
          <w:szCs w:val="26"/>
        </w:rPr>
        <w:t xml:space="preserve">See </w:t>
      </w:r>
      <w:r w:rsidRPr="00BC7E17">
        <w:rPr>
          <w:i/>
          <w:iCs/>
          <w:sz w:val="26"/>
          <w:szCs w:val="26"/>
        </w:rPr>
        <w:t>Se-Ling Hosiery, Inc. v. Margulies,</w:t>
      </w:r>
      <w:r w:rsidRPr="00BC7E17">
        <w:rPr>
          <w:sz w:val="26"/>
          <w:szCs w:val="26"/>
        </w:rPr>
        <w:t xml:space="preserve"> 364 Pa. 45, 48-49, 70 A.2d 854, 855 (1950).</w:t>
      </w:r>
    </w:p>
    <w:p w14:paraId="5C000CF2" w14:textId="77777777" w:rsidR="0013594A" w:rsidRDefault="0013594A" w:rsidP="00784492">
      <w:pPr>
        <w:autoSpaceDE w:val="0"/>
        <w:autoSpaceDN w:val="0"/>
        <w:adjustRightInd w:val="0"/>
        <w:ind w:firstLine="0"/>
        <w:jc w:val="left"/>
        <w:rPr>
          <w:rStyle w:val="Hyperlink"/>
          <w:color w:val="000000"/>
          <w:sz w:val="26"/>
          <w:szCs w:val="26"/>
        </w:rPr>
      </w:pPr>
    </w:p>
    <w:p w14:paraId="1ED93A36" w14:textId="77777777" w:rsidR="00B92776" w:rsidRDefault="00B92776" w:rsidP="00CE7C2A">
      <w:pPr>
        <w:pStyle w:val="ParaTab1"/>
        <w:keepNext/>
        <w:keepLines/>
        <w:suppressAutoHyphens w:val="0"/>
        <w:spacing w:line="360" w:lineRule="auto"/>
        <w:ind w:firstLine="0"/>
        <w:rPr>
          <w:rFonts w:ascii="Times New Roman" w:hAnsi="Times New Roman" w:cs="Times New Roman"/>
          <w:b/>
          <w:sz w:val="26"/>
          <w:szCs w:val="26"/>
        </w:rPr>
      </w:pPr>
      <w:r w:rsidRPr="00FB158D">
        <w:rPr>
          <w:rFonts w:ascii="Times New Roman" w:hAnsi="Times New Roman" w:cs="Times New Roman"/>
          <w:b/>
          <w:sz w:val="26"/>
          <w:szCs w:val="26"/>
        </w:rPr>
        <w:t>ALJ</w:t>
      </w:r>
      <w:r>
        <w:rPr>
          <w:rFonts w:ascii="Times New Roman" w:hAnsi="Times New Roman" w:cs="Times New Roman"/>
          <w:b/>
          <w:sz w:val="26"/>
          <w:szCs w:val="26"/>
        </w:rPr>
        <w:t>’s</w:t>
      </w:r>
      <w:r w:rsidRPr="00FB158D">
        <w:rPr>
          <w:rFonts w:ascii="Times New Roman" w:hAnsi="Times New Roman" w:cs="Times New Roman"/>
          <w:b/>
          <w:sz w:val="26"/>
          <w:szCs w:val="26"/>
        </w:rPr>
        <w:t xml:space="preserve"> </w:t>
      </w:r>
      <w:r>
        <w:rPr>
          <w:rFonts w:ascii="Times New Roman" w:hAnsi="Times New Roman" w:cs="Times New Roman"/>
          <w:b/>
          <w:sz w:val="26"/>
          <w:szCs w:val="26"/>
        </w:rPr>
        <w:t>Initial Decision</w:t>
      </w:r>
      <w:r w:rsidRPr="00FB158D">
        <w:rPr>
          <w:rFonts w:ascii="Times New Roman" w:hAnsi="Times New Roman" w:cs="Times New Roman"/>
          <w:b/>
          <w:sz w:val="26"/>
          <w:szCs w:val="26"/>
        </w:rPr>
        <w:t xml:space="preserve"> </w:t>
      </w:r>
    </w:p>
    <w:p w14:paraId="3CA631FF" w14:textId="1701DC6B" w:rsidR="005A0B1E" w:rsidRDefault="005A0B1E" w:rsidP="00CE7C2A">
      <w:pPr>
        <w:keepNext/>
        <w:keepLines/>
        <w:autoSpaceDE w:val="0"/>
        <w:autoSpaceDN w:val="0"/>
        <w:adjustRightInd w:val="0"/>
        <w:ind w:firstLine="0"/>
        <w:jc w:val="left"/>
        <w:rPr>
          <w:rStyle w:val="Hyperlink"/>
          <w:color w:val="000000"/>
          <w:sz w:val="26"/>
          <w:szCs w:val="26"/>
          <w:u w:val="none"/>
        </w:rPr>
      </w:pPr>
      <w:r>
        <w:rPr>
          <w:rStyle w:val="Hyperlink"/>
          <w:color w:val="000000"/>
          <w:sz w:val="26"/>
          <w:szCs w:val="26"/>
          <w:u w:val="none"/>
        </w:rPr>
        <w:tab/>
      </w:r>
    </w:p>
    <w:p w14:paraId="0214CDFC" w14:textId="77777777" w:rsidR="00006984" w:rsidRDefault="00006984" w:rsidP="00006984">
      <w:pPr>
        <w:autoSpaceDE w:val="0"/>
        <w:autoSpaceDN w:val="0"/>
        <w:adjustRightInd w:val="0"/>
        <w:ind w:firstLine="1440"/>
        <w:jc w:val="left"/>
        <w:rPr>
          <w:sz w:val="26"/>
          <w:szCs w:val="26"/>
        </w:rPr>
      </w:pPr>
      <w:r>
        <w:rPr>
          <w:rFonts w:eastAsia="Times New Roman"/>
          <w:sz w:val="26"/>
          <w:szCs w:val="20"/>
        </w:rPr>
        <w:t>In his Initial Decision, ALJ Salapa made nine Findings of Fact</w:t>
      </w:r>
      <w:r w:rsidRPr="00112628">
        <w:rPr>
          <w:rFonts w:eastAsia="Times New Roman"/>
          <w:sz w:val="26"/>
          <w:szCs w:val="20"/>
        </w:rPr>
        <w:t xml:space="preserve"> and</w:t>
      </w:r>
      <w:r>
        <w:rPr>
          <w:rFonts w:eastAsia="Times New Roman"/>
          <w:sz w:val="26"/>
          <w:szCs w:val="20"/>
        </w:rPr>
        <w:t xml:space="preserve"> reached three Conclusions of Law.  I.D. at 3, 5</w:t>
      </w:r>
      <w:r w:rsidRPr="00112628">
        <w:rPr>
          <w:rFonts w:eastAsia="Times New Roman"/>
          <w:sz w:val="26"/>
          <w:szCs w:val="20"/>
        </w:rPr>
        <w:t xml:space="preserve">.  </w:t>
      </w:r>
      <w:r w:rsidRPr="00D64605">
        <w:rPr>
          <w:sz w:val="26"/>
          <w:szCs w:val="26"/>
        </w:rPr>
        <w:t>The Findings of Fact and Conclusions of Law are incorporated herein by reference and are adopted without comment unless they are either expressly or by necessary implication rejected or modified by this Opinion and Order.</w:t>
      </w:r>
    </w:p>
    <w:p w14:paraId="10987A2F" w14:textId="77777777" w:rsidR="00006984" w:rsidRDefault="00006984" w:rsidP="000E3C13">
      <w:pPr>
        <w:tabs>
          <w:tab w:val="left" w:pos="-720"/>
        </w:tabs>
        <w:suppressAutoHyphens/>
        <w:autoSpaceDE w:val="0"/>
        <w:autoSpaceDN w:val="0"/>
        <w:ind w:firstLine="1440"/>
        <w:jc w:val="left"/>
        <w:rPr>
          <w:rFonts w:eastAsia="Times New Roman"/>
          <w:sz w:val="26"/>
          <w:szCs w:val="26"/>
        </w:rPr>
      </w:pPr>
    </w:p>
    <w:p w14:paraId="4055455E" w14:textId="49043F48" w:rsidR="000E3C13" w:rsidRDefault="000E3C13" w:rsidP="000E3C13">
      <w:pPr>
        <w:ind w:firstLine="1440"/>
        <w:jc w:val="left"/>
        <w:rPr>
          <w:sz w:val="26"/>
          <w:szCs w:val="26"/>
        </w:rPr>
      </w:pPr>
      <w:r>
        <w:rPr>
          <w:sz w:val="26"/>
          <w:szCs w:val="26"/>
        </w:rPr>
        <w:t>The ALJ noted that the Commission sent the Hearing N</w:t>
      </w:r>
      <w:r w:rsidRPr="0003143A">
        <w:rPr>
          <w:sz w:val="26"/>
          <w:szCs w:val="26"/>
        </w:rPr>
        <w:t>otice to the Complainant by regular first</w:t>
      </w:r>
      <w:r>
        <w:rPr>
          <w:sz w:val="26"/>
          <w:szCs w:val="26"/>
        </w:rPr>
        <w:t>-</w:t>
      </w:r>
      <w:r w:rsidRPr="0003143A">
        <w:rPr>
          <w:sz w:val="26"/>
          <w:szCs w:val="26"/>
        </w:rPr>
        <w:t>class mai</w:t>
      </w:r>
      <w:r>
        <w:rPr>
          <w:sz w:val="26"/>
          <w:szCs w:val="26"/>
        </w:rPr>
        <w:t xml:space="preserve">l to the mailing address stated on the Complaint, and such </w:t>
      </w:r>
      <w:r w:rsidRPr="0003143A">
        <w:rPr>
          <w:sz w:val="26"/>
          <w:szCs w:val="26"/>
        </w:rPr>
        <w:t>notice</w:t>
      </w:r>
      <w:r>
        <w:rPr>
          <w:sz w:val="26"/>
          <w:szCs w:val="26"/>
        </w:rPr>
        <w:t xml:space="preserve"> was not returned to sender as undeliverable.</w:t>
      </w:r>
      <w:r w:rsidRPr="0003143A">
        <w:rPr>
          <w:sz w:val="26"/>
          <w:szCs w:val="26"/>
        </w:rPr>
        <w:t xml:space="preserve"> </w:t>
      </w:r>
      <w:r>
        <w:rPr>
          <w:sz w:val="26"/>
          <w:szCs w:val="26"/>
        </w:rPr>
        <w:t xml:space="preserve"> T</w:t>
      </w:r>
      <w:r>
        <w:rPr>
          <w:rFonts w:eastAsiaTheme="minorHAnsi"/>
          <w:color w:val="000000"/>
          <w:sz w:val="26"/>
          <w:szCs w:val="26"/>
        </w:rPr>
        <w:t>he ALJ also noted that the Prehearing O</w:t>
      </w:r>
      <w:r w:rsidRPr="0003143A">
        <w:rPr>
          <w:rFonts w:eastAsiaTheme="minorHAnsi"/>
          <w:color w:val="000000"/>
          <w:sz w:val="26"/>
          <w:szCs w:val="26"/>
        </w:rPr>
        <w:t>rder</w:t>
      </w:r>
      <w:r>
        <w:rPr>
          <w:rFonts w:eastAsiaTheme="minorHAnsi"/>
          <w:color w:val="000000"/>
          <w:sz w:val="26"/>
          <w:szCs w:val="26"/>
        </w:rPr>
        <w:t xml:space="preserve"> </w:t>
      </w:r>
      <w:r w:rsidRPr="0003143A">
        <w:rPr>
          <w:rFonts w:eastAsiaTheme="minorHAnsi"/>
          <w:color w:val="000000"/>
          <w:sz w:val="26"/>
          <w:szCs w:val="26"/>
        </w:rPr>
        <w:t>was mailed to Complainan</w:t>
      </w:r>
      <w:r>
        <w:rPr>
          <w:rFonts w:eastAsiaTheme="minorHAnsi"/>
          <w:color w:val="000000"/>
          <w:sz w:val="26"/>
          <w:szCs w:val="26"/>
        </w:rPr>
        <w:t>t at the address shown on the Complaint and</w:t>
      </w:r>
      <w:r w:rsidRPr="0003143A">
        <w:rPr>
          <w:rFonts w:eastAsiaTheme="minorHAnsi"/>
          <w:color w:val="000000"/>
          <w:sz w:val="26"/>
          <w:szCs w:val="26"/>
        </w:rPr>
        <w:t xml:space="preserve"> was never returned</w:t>
      </w:r>
      <w:r>
        <w:rPr>
          <w:rFonts w:eastAsiaTheme="minorHAnsi"/>
          <w:color w:val="000000"/>
          <w:sz w:val="26"/>
          <w:szCs w:val="26"/>
        </w:rPr>
        <w:t xml:space="preserve"> as undeliverable</w:t>
      </w:r>
      <w:r w:rsidRPr="0003143A">
        <w:rPr>
          <w:rFonts w:eastAsiaTheme="minorHAnsi"/>
          <w:color w:val="000000"/>
          <w:sz w:val="26"/>
          <w:szCs w:val="26"/>
        </w:rPr>
        <w:t xml:space="preserve">. </w:t>
      </w:r>
      <w:r>
        <w:rPr>
          <w:sz w:val="26"/>
          <w:szCs w:val="26"/>
        </w:rPr>
        <w:t xml:space="preserve"> The ALJ recognized that,</w:t>
      </w:r>
      <w:r w:rsidRPr="00CF3F20">
        <w:rPr>
          <w:rFonts w:eastAsiaTheme="minorHAnsi"/>
          <w:color w:val="000000"/>
          <w:sz w:val="26"/>
          <w:szCs w:val="26"/>
        </w:rPr>
        <w:t xml:space="preserve"> </w:t>
      </w:r>
      <w:r w:rsidRPr="0003143A">
        <w:rPr>
          <w:rFonts w:eastAsiaTheme="minorHAnsi"/>
          <w:color w:val="000000"/>
          <w:sz w:val="26"/>
          <w:szCs w:val="26"/>
        </w:rPr>
        <w:t xml:space="preserve">under </w:t>
      </w:r>
      <w:r>
        <w:rPr>
          <w:rFonts w:eastAsiaTheme="minorHAnsi"/>
          <w:color w:val="000000"/>
          <w:sz w:val="26"/>
          <w:szCs w:val="26"/>
        </w:rPr>
        <w:t>such</w:t>
      </w:r>
      <w:r w:rsidRPr="0003143A">
        <w:rPr>
          <w:rFonts w:eastAsiaTheme="minorHAnsi"/>
          <w:color w:val="000000"/>
          <w:sz w:val="26"/>
          <w:szCs w:val="26"/>
        </w:rPr>
        <w:t xml:space="preserve"> circumstances,</w:t>
      </w:r>
      <w:r>
        <w:rPr>
          <w:sz w:val="26"/>
          <w:szCs w:val="26"/>
        </w:rPr>
        <w:t xml:space="preserve"> the presumption is that the Hearing Notice and the Prehearing Order had been</w:t>
      </w:r>
      <w:r w:rsidRPr="0003143A">
        <w:rPr>
          <w:rFonts w:eastAsiaTheme="minorHAnsi"/>
          <w:color w:val="000000"/>
          <w:sz w:val="26"/>
          <w:szCs w:val="26"/>
        </w:rPr>
        <w:t xml:space="preserve"> received by </w:t>
      </w:r>
      <w:r>
        <w:rPr>
          <w:rFonts w:eastAsiaTheme="minorHAnsi"/>
          <w:color w:val="000000"/>
          <w:sz w:val="26"/>
          <w:szCs w:val="26"/>
        </w:rPr>
        <w:t xml:space="preserve">the </w:t>
      </w:r>
      <w:r w:rsidRPr="0003143A">
        <w:rPr>
          <w:rFonts w:eastAsiaTheme="minorHAnsi"/>
          <w:color w:val="000000"/>
          <w:sz w:val="26"/>
          <w:szCs w:val="26"/>
        </w:rPr>
        <w:t>Complainant.</w:t>
      </w:r>
      <w:r>
        <w:rPr>
          <w:sz w:val="26"/>
          <w:szCs w:val="26"/>
        </w:rPr>
        <w:t xml:space="preserve">  I.D. at 4 (citing </w:t>
      </w:r>
      <w:r w:rsidRPr="00E311A4">
        <w:rPr>
          <w:i/>
          <w:sz w:val="26"/>
          <w:szCs w:val="26"/>
        </w:rPr>
        <w:t>Mayflower</w:t>
      </w:r>
      <w:r>
        <w:rPr>
          <w:sz w:val="26"/>
          <w:szCs w:val="26"/>
        </w:rPr>
        <w:t xml:space="preserve">; </w:t>
      </w:r>
      <w:r w:rsidRPr="007A0FF8">
        <w:rPr>
          <w:i/>
          <w:sz w:val="26"/>
          <w:szCs w:val="26"/>
        </w:rPr>
        <w:t>Miller</w:t>
      </w:r>
      <w:r>
        <w:rPr>
          <w:sz w:val="26"/>
          <w:szCs w:val="26"/>
        </w:rPr>
        <w:t xml:space="preserve">; </w:t>
      </w:r>
      <w:r w:rsidRPr="007A0FF8">
        <w:rPr>
          <w:i/>
          <w:sz w:val="26"/>
          <w:szCs w:val="26"/>
        </w:rPr>
        <w:t>Samaras</w:t>
      </w:r>
      <w:r>
        <w:rPr>
          <w:sz w:val="26"/>
          <w:szCs w:val="26"/>
        </w:rPr>
        <w:t>;</w:t>
      </w:r>
      <w:r>
        <w:rPr>
          <w:i/>
          <w:sz w:val="26"/>
          <w:szCs w:val="26"/>
        </w:rPr>
        <w:t xml:space="preserve"> Judge v. Celina Mutual Insurance Co., </w:t>
      </w:r>
      <w:r>
        <w:rPr>
          <w:sz w:val="26"/>
          <w:szCs w:val="26"/>
        </w:rPr>
        <w:t>444 A.2d 658 (Pa. Super. 1982)).</w:t>
      </w:r>
    </w:p>
    <w:p w14:paraId="42FC8C77" w14:textId="18275E6C" w:rsidR="000E3C13" w:rsidRDefault="000E3C13" w:rsidP="000E3C13">
      <w:pPr>
        <w:ind w:firstLine="1440"/>
        <w:jc w:val="left"/>
        <w:rPr>
          <w:sz w:val="26"/>
          <w:szCs w:val="26"/>
        </w:rPr>
      </w:pPr>
    </w:p>
    <w:p w14:paraId="395E1201" w14:textId="578972F5" w:rsidR="000E3C13" w:rsidRPr="000E3C13" w:rsidRDefault="000E3C13" w:rsidP="000E3C13">
      <w:pPr>
        <w:ind w:firstLine="1440"/>
        <w:jc w:val="left"/>
        <w:rPr>
          <w:sz w:val="26"/>
          <w:szCs w:val="26"/>
        </w:rPr>
      </w:pPr>
      <w:r w:rsidRPr="000E3C13">
        <w:rPr>
          <w:sz w:val="26"/>
          <w:szCs w:val="26"/>
        </w:rPr>
        <w:t xml:space="preserve">The ALJ explained that the Complainant did not appear for the scheduled hearing because he was not available at the telephone number listed on the telephonic hearing notice.  The ALJ noted that </w:t>
      </w:r>
      <w:r w:rsidR="00BD3880">
        <w:rPr>
          <w:sz w:val="26"/>
          <w:szCs w:val="26"/>
        </w:rPr>
        <w:t xml:space="preserve">the Complainant never </w:t>
      </w:r>
      <w:r w:rsidR="002D2D5A">
        <w:rPr>
          <w:sz w:val="26"/>
          <w:szCs w:val="26"/>
        </w:rPr>
        <w:t>informed</w:t>
      </w:r>
      <w:r w:rsidR="00BD3880">
        <w:rPr>
          <w:sz w:val="26"/>
          <w:szCs w:val="26"/>
        </w:rPr>
        <w:t xml:space="preserve"> him</w:t>
      </w:r>
      <w:r w:rsidRPr="000E3C13">
        <w:rPr>
          <w:sz w:val="26"/>
          <w:szCs w:val="26"/>
        </w:rPr>
        <w:t xml:space="preserve"> of a</w:t>
      </w:r>
      <w:r w:rsidR="00BD3880">
        <w:rPr>
          <w:sz w:val="26"/>
          <w:szCs w:val="26"/>
        </w:rPr>
        <w:t>nother telephone number where the Complainant</w:t>
      </w:r>
      <w:r w:rsidRPr="000E3C13">
        <w:rPr>
          <w:sz w:val="26"/>
          <w:szCs w:val="26"/>
        </w:rPr>
        <w:t xml:space="preserve"> could be contacted for the hearing.   I.D. at 4.</w:t>
      </w:r>
    </w:p>
    <w:p w14:paraId="370EE6EA" w14:textId="6FC1070E" w:rsidR="000E3C13" w:rsidRDefault="000E3C13" w:rsidP="000E3C13">
      <w:pPr>
        <w:ind w:firstLine="1440"/>
        <w:jc w:val="left"/>
        <w:rPr>
          <w:sz w:val="23"/>
          <w:szCs w:val="23"/>
        </w:rPr>
      </w:pPr>
    </w:p>
    <w:p w14:paraId="294AF206" w14:textId="3252D3DA" w:rsidR="000E3C13" w:rsidRDefault="000E3C13" w:rsidP="000E3C13">
      <w:pPr>
        <w:ind w:firstLine="1440"/>
        <w:jc w:val="left"/>
        <w:rPr>
          <w:sz w:val="26"/>
          <w:szCs w:val="26"/>
        </w:rPr>
      </w:pPr>
      <w:r>
        <w:rPr>
          <w:sz w:val="26"/>
          <w:szCs w:val="26"/>
        </w:rPr>
        <w:t>The ALJ reasoned that, under the</w:t>
      </w:r>
      <w:r w:rsidRPr="0003143A">
        <w:rPr>
          <w:sz w:val="26"/>
          <w:szCs w:val="26"/>
        </w:rPr>
        <w:t xml:space="preserve"> circumstances, it appear</w:t>
      </w:r>
      <w:r>
        <w:rPr>
          <w:sz w:val="26"/>
          <w:szCs w:val="26"/>
        </w:rPr>
        <w:t>ed that the</w:t>
      </w:r>
      <w:r w:rsidRPr="0003143A">
        <w:rPr>
          <w:sz w:val="26"/>
          <w:szCs w:val="26"/>
        </w:rPr>
        <w:t xml:space="preserve"> Complainant had ample opportunity to appear and be heard in this proceeding, but chose not to call into the hearing conference. </w:t>
      </w:r>
      <w:r>
        <w:rPr>
          <w:sz w:val="26"/>
          <w:szCs w:val="26"/>
        </w:rPr>
        <w:t xml:space="preserve"> </w:t>
      </w:r>
      <w:r w:rsidRPr="0003143A">
        <w:rPr>
          <w:sz w:val="26"/>
          <w:szCs w:val="26"/>
        </w:rPr>
        <w:t>Therefore, the</w:t>
      </w:r>
      <w:r>
        <w:rPr>
          <w:sz w:val="26"/>
          <w:szCs w:val="26"/>
        </w:rPr>
        <w:t xml:space="preserve"> ALJ concluded that the</w:t>
      </w:r>
      <w:r w:rsidRPr="0003143A">
        <w:rPr>
          <w:sz w:val="26"/>
          <w:szCs w:val="26"/>
        </w:rPr>
        <w:t xml:space="preserve"> due process rights of </w:t>
      </w:r>
      <w:r>
        <w:rPr>
          <w:sz w:val="26"/>
          <w:szCs w:val="26"/>
        </w:rPr>
        <w:t xml:space="preserve">the </w:t>
      </w:r>
      <w:r w:rsidRPr="0003143A">
        <w:rPr>
          <w:sz w:val="26"/>
          <w:szCs w:val="26"/>
        </w:rPr>
        <w:t>Complainant have been fully protected</w:t>
      </w:r>
      <w:r>
        <w:rPr>
          <w:sz w:val="26"/>
          <w:szCs w:val="26"/>
        </w:rPr>
        <w:t xml:space="preserve"> in this proceeding</w:t>
      </w:r>
      <w:r w:rsidRPr="0003143A">
        <w:rPr>
          <w:sz w:val="26"/>
          <w:szCs w:val="26"/>
        </w:rPr>
        <w:t xml:space="preserve">. </w:t>
      </w:r>
      <w:r>
        <w:rPr>
          <w:sz w:val="26"/>
          <w:szCs w:val="26"/>
        </w:rPr>
        <w:t xml:space="preserve"> I.D. at 4 (citing </w:t>
      </w:r>
      <w:r w:rsidRPr="0014180D">
        <w:rPr>
          <w:i/>
          <w:sz w:val="26"/>
          <w:szCs w:val="26"/>
        </w:rPr>
        <w:t>Sentner</w:t>
      </w:r>
      <w:r>
        <w:rPr>
          <w:sz w:val="26"/>
          <w:szCs w:val="26"/>
        </w:rPr>
        <w:t xml:space="preserve">; 52 Pa.Code § 5.245(a)).  </w:t>
      </w:r>
    </w:p>
    <w:p w14:paraId="2E961A34" w14:textId="51A05E2B" w:rsidR="003A2C4D" w:rsidRDefault="003A2C4D" w:rsidP="000E3C13">
      <w:pPr>
        <w:ind w:firstLine="1440"/>
        <w:jc w:val="left"/>
        <w:rPr>
          <w:sz w:val="26"/>
          <w:szCs w:val="26"/>
        </w:rPr>
      </w:pPr>
    </w:p>
    <w:p w14:paraId="0C3A9B10" w14:textId="77FA4B32" w:rsidR="003A2C4D" w:rsidRDefault="003A2C4D" w:rsidP="003A2C4D">
      <w:pPr>
        <w:ind w:firstLine="1440"/>
        <w:jc w:val="left"/>
        <w:rPr>
          <w:sz w:val="26"/>
          <w:szCs w:val="26"/>
        </w:rPr>
      </w:pPr>
      <w:r>
        <w:rPr>
          <w:sz w:val="26"/>
          <w:szCs w:val="26"/>
        </w:rPr>
        <w:t>The ALJ also concluded that b</w:t>
      </w:r>
      <w:r w:rsidRPr="0003143A">
        <w:rPr>
          <w:sz w:val="26"/>
          <w:szCs w:val="26"/>
        </w:rPr>
        <w:t xml:space="preserve">y failing to appear and proffer any evidence to support his complaint, </w:t>
      </w:r>
      <w:r>
        <w:rPr>
          <w:sz w:val="26"/>
          <w:szCs w:val="26"/>
        </w:rPr>
        <w:t xml:space="preserve">the </w:t>
      </w:r>
      <w:r w:rsidRPr="0003143A">
        <w:rPr>
          <w:sz w:val="26"/>
          <w:szCs w:val="26"/>
        </w:rPr>
        <w:t xml:space="preserve">Complainant </w:t>
      </w:r>
      <w:r>
        <w:rPr>
          <w:sz w:val="26"/>
          <w:szCs w:val="26"/>
        </w:rPr>
        <w:t>failed to meet his</w:t>
      </w:r>
      <w:r w:rsidRPr="0003143A">
        <w:rPr>
          <w:sz w:val="26"/>
          <w:szCs w:val="26"/>
        </w:rPr>
        <w:t xml:space="preserve"> burden</w:t>
      </w:r>
      <w:r>
        <w:rPr>
          <w:sz w:val="26"/>
          <w:szCs w:val="26"/>
        </w:rPr>
        <w:t xml:space="preserve"> of proof under 66 Pa. C.S. § 332(a)</w:t>
      </w:r>
      <w:r w:rsidRPr="0003143A">
        <w:rPr>
          <w:sz w:val="26"/>
          <w:szCs w:val="26"/>
        </w:rPr>
        <w:t>.</w:t>
      </w:r>
      <w:r>
        <w:rPr>
          <w:sz w:val="26"/>
          <w:szCs w:val="26"/>
        </w:rPr>
        <w:t xml:space="preserve">  I.D. at 4.</w:t>
      </w:r>
    </w:p>
    <w:p w14:paraId="5823A7B6" w14:textId="2FD9F43C" w:rsidR="003A2C4D" w:rsidRDefault="003A2C4D" w:rsidP="003A2C4D">
      <w:pPr>
        <w:ind w:firstLine="1440"/>
        <w:jc w:val="left"/>
        <w:rPr>
          <w:sz w:val="26"/>
          <w:szCs w:val="26"/>
        </w:rPr>
      </w:pPr>
    </w:p>
    <w:p w14:paraId="4394333A" w14:textId="4324D67C" w:rsidR="003A2C4D" w:rsidRPr="0003143A" w:rsidRDefault="003A2C4D" w:rsidP="003A2C4D">
      <w:pPr>
        <w:ind w:firstLine="1440"/>
        <w:jc w:val="left"/>
        <w:rPr>
          <w:sz w:val="26"/>
          <w:szCs w:val="26"/>
        </w:rPr>
      </w:pPr>
      <w:r w:rsidRPr="0003143A">
        <w:rPr>
          <w:sz w:val="26"/>
          <w:szCs w:val="26"/>
        </w:rPr>
        <w:t xml:space="preserve">Under </w:t>
      </w:r>
      <w:r>
        <w:rPr>
          <w:sz w:val="26"/>
          <w:szCs w:val="26"/>
        </w:rPr>
        <w:t xml:space="preserve">such </w:t>
      </w:r>
      <w:r w:rsidRPr="0003143A">
        <w:rPr>
          <w:sz w:val="26"/>
          <w:szCs w:val="26"/>
        </w:rPr>
        <w:t>circumstances, the</w:t>
      </w:r>
      <w:r>
        <w:rPr>
          <w:sz w:val="26"/>
          <w:szCs w:val="26"/>
        </w:rPr>
        <w:t xml:space="preserve"> ALJ ruled to dismiss the Complaint, </w:t>
      </w:r>
      <w:r w:rsidRPr="0003143A">
        <w:rPr>
          <w:sz w:val="26"/>
          <w:szCs w:val="26"/>
        </w:rPr>
        <w:t xml:space="preserve">with prejudice. </w:t>
      </w:r>
      <w:r>
        <w:rPr>
          <w:sz w:val="26"/>
          <w:szCs w:val="26"/>
        </w:rPr>
        <w:t xml:space="preserve"> I.D. at 4-5 (citing </w:t>
      </w:r>
      <w:r w:rsidRPr="00273868">
        <w:rPr>
          <w:i/>
          <w:sz w:val="26"/>
          <w:szCs w:val="26"/>
        </w:rPr>
        <w:t>J</w:t>
      </w:r>
      <w:r>
        <w:rPr>
          <w:i/>
          <w:sz w:val="26"/>
          <w:szCs w:val="26"/>
        </w:rPr>
        <w:t>efferson</w:t>
      </w:r>
      <w:r w:rsidRPr="0003143A">
        <w:rPr>
          <w:sz w:val="26"/>
          <w:szCs w:val="26"/>
        </w:rPr>
        <w:t xml:space="preserve">; </w:t>
      </w:r>
      <w:r w:rsidRPr="0014180D">
        <w:rPr>
          <w:i/>
          <w:sz w:val="26"/>
          <w:szCs w:val="26"/>
        </w:rPr>
        <w:t>El-Ayazra</w:t>
      </w:r>
      <w:r>
        <w:rPr>
          <w:sz w:val="26"/>
          <w:szCs w:val="26"/>
        </w:rPr>
        <w:t xml:space="preserve">; 52 Pa. Code § 5.245).  </w:t>
      </w:r>
    </w:p>
    <w:p w14:paraId="379F37F4" w14:textId="1104EC6B" w:rsidR="00A15703" w:rsidRDefault="00A15703" w:rsidP="00434C01">
      <w:pPr>
        <w:autoSpaceDE w:val="0"/>
        <w:autoSpaceDN w:val="0"/>
        <w:adjustRightInd w:val="0"/>
        <w:ind w:firstLine="0"/>
        <w:jc w:val="left"/>
        <w:rPr>
          <w:sz w:val="26"/>
          <w:szCs w:val="26"/>
        </w:rPr>
      </w:pPr>
    </w:p>
    <w:p w14:paraId="2EA1FF10" w14:textId="5551BB00" w:rsidR="00A15703" w:rsidRDefault="00A15703" w:rsidP="002D2D5A">
      <w:pPr>
        <w:pStyle w:val="ParaTab1"/>
        <w:keepNext/>
        <w:keepLines/>
        <w:spacing w:line="360" w:lineRule="auto"/>
        <w:ind w:firstLine="0"/>
        <w:rPr>
          <w:rFonts w:ascii="Times New Roman" w:hAnsi="Times New Roman" w:cs="Times New Roman"/>
          <w:b/>
          <w:sz w:val="26"/>
          <w:szCs w:val="26"/>
        </w:rPr>
      </w:pPr>
      <w:r>
        <w:rPr>
          <w:rFonts w:ascii="Times New Roman" w:hAnsi="Times New Roman" w:cs="Times New Roman"/>
          <w:b/>
          <w:sz w:val="26"/>
          <w:szCs w:val="26"/>
        </w:rPr>
        <w:t>Exceptions</w:t>
      </w:r>
      <w:r w:rsidR="00AB387F">
        <w:rPr>
          <w:rFonts w:ascii="Times New Roman" w:hAnsi="Times New Roman" w:cs="Times New Roman"/>
          <w:b/>
          <w:sz w:val="26"/>
          <w:szCs w:val="26"/>
        </w:rPr>
        <w:t xml:space="preserve"> and Replies</w:t>
      </w:r>
    </w:p>
    <w:p w14:paraId="2FA68130" w14:textId="77777777" w:rsidR="00A15703" w:rsidRDefault="00A15703" w:rsidP="002D2D5A">
      <w:pPr>
        <w:keepNext/>
        <w:keepLines/>
        <w:autoSpaceDE w:val="0"/>
        <w:autoSpaceDN w:val="0"/>
        <w:adjustRightInd w:val="0"/>
        <w:ind w:firstLine="0"/>
        <w:jc w:val="left"/>
        <w:rPr>
          <w:sz w:val="26"/>
          <w:szCs w:val="26"/>
        </w:rPr>
      </w:pPr>
    </w:p>
    <w:p w14:paraId="642FFB47" w14:textId="2846D49F" w:rsidR="00F044F5" w:rsidRDefault="00C80F45" w:rsidP="00F044F5">
      <w:pPr>
        <w:autoSpaceDE w:val="0"/>
        <w:autoSpaceDN w:val="0"/>
        <w:adjustRightInd w:val="0"/>
        <w:ind w:firstLine="1440"/>
        <w:jc w:val="left"/>
        <w:rPr>
          <w:sz w:val="26"/>
          <w:szCs w:val="26"/>
        </w:rPr>
      </w:pPr>
      <w:r>
        <w:rPr>
          <w:sz w:val="26"/>
          <w:szCs w:val="26"/>
        </w:rPr>
        <w:t xml:space="preserve">In his Exceptions, in relevant part, the Complainant </w:t>
      </w:r>
      <w:r w:rsidR="006E18E9">
        <w:rPr>
          <w:sz w:val="26"/>
          <w:szCs w:val="26"/>
        </w:rPr>
        <w:t>explained that he is a Type II diabetic who uses subcutaneous insulin instead of pills to control his blood sugar.  The Complainant indicated that on January 25, 2018, the date of the telephonic evidentiary hearing, he experienced a hypoglycemic incident, which caused him to be in a state of unconsciousness when ALJ Salapa called.  Exc. at 1-2.</w:t>
      </w:r>
    </w:p>
    <w:p w14:paraId="41E1FC68" w14:textId="6F036EAB" w:rsidR="00713FE1" w:rsidRDefault="00713FE1" w:rsidP="00434C01">
      <w:pPr>
        <w:autoSpaceDE w:val="0"/>
        <w:autoSpaceDN w:val="0"/>
        <w:adjustRightInd w:val="0"/>
        <w:ind w:firstLine="0"/>
        <w:jc w:val="left"/>
        <w:rPr>
          <w:sz w:val="26"/>
          <w:szCs w:val="26"/>
        </w:rPr>
      </w:pPr>
    </w:p>
    <w:p w14:paraId="566AB20B" w14:textId="358BE277" w:rsidR="004906A9" w:rsidRPr="004906A9" w:rsidRDefault="004906A9" w:rsidP="004906A9">
      <w:pPr>
        <w:widowControl w:val="0"/>
        <w:ind w:firstLine="1440"/>
        <w:jc w:val="left"/>
        <w:rPr>
          <w:rFonts w:eastAsia="Times New Roman"/>
          <w:sz w:val="26"/>
          <w:szCs w:val="20"/>
        </w:rPr>
      </w:pPr>
      <w:r w:rsidRPr="004906A9">
        <w:rPr>
          <w:rFonts w:eastAsia="Times New Roman"/>
          <w:sz w:val="26"/>
          <w:szCs w:val="20"/>
        </w:rPr>
        <w:t>In its Repl</w:t>
      </w:r>
      <w:r>
        <w:rPr>
          <w:rFonts w:eastAsia="Times New Roman"/>
          <w:sz w:val="26"/>
          <w:szCs w:val="20"/>
        </w:rPr>
        <w:t xml:space="preserve">ies to Exceptions, PPL devotes </w:t>
      </w:r>
      <w:r w:rsidR="00BD3880">
        <w:rPr>
          <w:rFonts w:eastAsia="Times New Roman"/>
          <w:sz w:val="26"/>
          <w:szCs w:val="20"/>
        </w:rPr>
        <w:t>a</w:t>
      </w:r>
      <w:r>
        <w:rPr>
          <w:rFonts w:eastAsia="Times New Roman"/>
          <w:sz w:val="26"/>
          <w:szCs w:val="20"/>
        </w:rPr>
        <w:t xml:space="preserve"> </w:t>
      </w:r>
      <w:r w:rsidR="00BD3880">
        <w:rPr>
          <w:rFonts w:eastAsia="Times New Roman"/>
          <w:sz w:val="26"/>
          <w:szCs w:val="20"/>
        </w:rPr>
        <w:t xml:space="preserve">substantial </w:t>
      </w:r>
      <w:r>
        <w:rPr>
          <w:rFonts w:eastAsia="Times New Roman"/>
          <w:sz w:val="26"/>
          <w:szCs w:val="20"/>
        </w:rPr>
        <w:t>majority of its response to objecting</w:t>
      </w:r>
      <w:r w:rsidRPr="004906A9">
        <w:rPr>
          <w:rFonts w:eastAsia="Times New Roman"/>
          <w:sz w:val="26"/>
          <w:szCs w:val="20"/>
        </w:rPr>
        <w:t xml:space="preserve"> to our consideration of the Complainant’s Exceptions based on their failure to strictly conform to the requirements of the Comm</w:t>
      </w:r>
      <w:r>
        <w:rPr>
          <w:rFonts w:eastAsia="Times New Roman"/>
          <w:sz w:val="26"/>
          <w:szCs w:val="20"/>
        </w:rPr>
        <w:t>ission’s Rules of Practice.  R.</w:t>
      </w:r>
      <w:r w:rsidR="00524542">
        <w:rPr>
          <w:rFonts w:eastAsia="Times New Roman"/>
          <w:sz w:val="26"/>
          <w:szCs w:val="20"/>
        </w:rPr>
        <w:t> </w:t>
      </w:r>
      <w:r>
        <w:rPr>
          <w:rFonts w:eastAsia="Times New Roman"/>
          <w:sz w:val="26"/>
          <w:szCs w:val="20"/>
        </w:rPr>
        <w:t>Exc. at 1-2</w:t>
      </w:r>
      <w:r w:rsidR="00C80F45">
        <w:rPr>
          <w:rFonts w:eastAsia="Times New Roman"/>
          <w:sz w:val="26"/>
          <w:szCs w:val="20"/>
        </w:rPr>
        <w:t xml:space="preserve">.  PPL </w:t>
      </w:r>
      <w:r w:rsidRPr="004906A9">
        <w:rPr>
          <w:rFonts w:eastAsia="Times New Roman"/>
          <w:sz w:val="26"/>
          <w:szCs w:val="20"/>
        </w:rPr>
        <w:t>requests that the Complainant’s Exceptions be dismissed, out of hand, for this lack of conformity</w:t>
      </w:r>
      <w:r w:rsidRPr="004906A9">
        <w:rPr>
          <w:rFonts w:eastAsia="Times New Roman"/>
          <w:i/>
          <w:sz w:val="26"/>
          <w:szCs w:val="20"/>
        </w:rPr>
        <w:t>.</w:t>
      </w:r>
      <w:r w:rsidRPr="004906A9">
        <w:rPr>
          <w:rFonts w:eastAsia="Times New Roman"/>
          <w:sz w:val="26"/>
          <w:szCs w:val="20"/>
        </w:rPr>
        <w:t xml:space="preserve">  </w:t>
      </w:r>
      <w:r w:rsidR="00C80F45">
        <w:rPr>
          <w:rFonts w:eastAsia="Times New Roman"/>
          <w:sz w:val="26"/>
          <w:szCs w:val="20"/>
        </w:rPr>
        <w:t>R. Exc. at 2-3 (</w:t>
      </w:r>
      <w:r w:rsidR="00C80F45" w:rsidRPr="004906A9">
        <w:rPr>
          <w:rFonts w:eastAsia="Times New Roman"/>
          <w:sz w:val="26"/>
          <w:szCs w:val="20"/>
        </w:rPr>
        <w:t xml:space="preserve">citing </w:t>
      </w:r>
      <w:r w:rsidR="00C80F45" w:rsidRPr="004906A9">
        <w:rPr>
          <w:rFonts w:eastAsia="Times New Roman"/>
          <w:i/>
          <w:sz w:val="26"/>
          <w:szCs w:val="20"/>
        </w:rPr>
        <w:t>Forward Twp. Mun. Authority v. Western Pa. Water</w:t>
      </w:r>
      <w:r w:rsidR="00C80F45">
        <w:rPr>
          <w:rFonts w:eastAsia="Times New Roman"/>
          <w:sz w:val="26"/>
          <w:szCs w:val="20"/>
        </w:rPr>
        <w:t>, 74 Pa. P.U.</w:t>
      </w:r>
      <w:r w:rsidR="00C80F45" w:rsidRPr="004906A9">
        <w:rPr>
          <w:rFonts w:eastAsia="Times New Roman"/>
          <w:sz w:val="26"/>
          <w:szCs w:val="20"/>
        </w:rPr>
        <w:t>C. 421 (1991)</w:t>
      </w:r>
      <w:r w:rsidR="00C80F45">
        <w:rPr>
          <w:rFonts w:eastAsia="Times New Roman"/>
          <w:sz w:val="26"/>
          <w:szCs w:val="20"/>
        </w:rPr>
        <w:t xml:space="preserve"> and </w:t>
      </w:r>
      <w:r w:rsidR="00C80F45" w:rsidRPr="0014797A">
        <w:rPr>
          <w:rFonts w:eastAsia="Times New Roman"/>
          <w:i/>
          <w:sz w:val="26"/>
          <w:szCs w:val="20"/>
        </w:rPr>
        <w:t>Fulton v. PECO Energy Company</w:t>
      </w:r>
      <w:r w:rsidR="00C80F45">
        <w:rPr>
          <w:rFonts w:eastAsia="Times New Roman"/>
          <w:sz w:val="26"/>
          <w:szCs w:val="20"/>
        </w:rPr>
        <w:t xml:space="preserve">, 2005 WL 1838683 (Pa. P.U.C. June 29, 2005)). </w:t>
      </w:r>
      <w:r w:rsidR="00C80F45" w:rsidRPr="004906A9">
        <w:rPr>
          <w:rFonts w:eastAsia="Times New Roman"/>
          <w:sz w:val="26"/>
          <w:szCs w:val="20"/>
        </w:rPr>
        <w:t xml:space="preserve"> </w:t>
      </w:r>
      <w:r w:rsidR="0014797A">
        <w:rPr>
          <w:rFonts w:eastAsia="Times New Roman"/>
          <w:sz w:val="26"/>
          <w:szCs w:val="20"/>
        </w:rPr>
        <w:t>Furthermore, PPL avers that at no point does the Complainant state that he disagrees with any of ALJ Salapa’s Findings of Fact or Conclusions of Law, or that the ALJ committed an error of law and/or otherwise abused his discretion in reaching any one of his Findings of Fact and/or Conclusions of Law</w:t>
      </w:r>
      <w:r w:rsidR="0014797A" w:rsidRPr="0014797A">
        <w:rPr>
          <w:rFonts w:eastAsia="Times New Roman"/>
          <w:i/>
          <w:sz w:val="26"/>
          <w:szCs w:val="20"/>
        </w:rPr>
        <w:t>.</w:t>
      </w:r>
      <w:r w:rsidR="00C80F45">
        <w:rPr>
          <w:rFonts w:eastAsia="Times New Roman"/>
          <w:i/>
          <w:sz w:val="26"/>
          <w:szCs w:val="20"/>
        </w:rPr>
        <w:t xml:space="preserve">  </w:t>
      </w:r>
      <w:r w:rsidR="00C80F45">
        <w:rPr>
          <w:rFonts w:eastAsia="Times New Roman"/>
          <w:sz w:val="26"/>
          <w:szCs w:val="20"/>
        </w:rPr>
        <w:t>R. Exc. at</w:t>
      </w:r>
      <w:r w:rsidR="0014797A">
        <w:rPr>
          <w:rFonts w:eastAsia="Times New Roman"/>
          <w:sz w:val="26"/>
          <w:szCs w:val="20"/>
        </w:rPr>
        <w:t xml:space="preserve"> 2-3.</w:t>
      </w:r>
    </w:p>
    <w:p w14:paraId="16E9CD28" w14:textId="527BC2ED" w:rsidR="00BB3846" w:rsidRDefault="00BB3846" w:rsidP="00434C01">
      <w:pPr>
        <w:autoSpaceDE w:val="0"/>
        <w:autoSpaceDN w:val="0"/>
        <w:adjustRightInd w:val="0"/>
        <w:ind w:firstLine="0"/>
        <w:jc w:val="left"/>
        <w:rPr>
          <w:sz w:val="26"/>
          <w:szCs w:val="26"/>
        </w:rPr>
      </w:pPr>
    </w:p>
    <w:p w14:paraId="227023F7" w14:textId="77777777" w:rsidR="00B776E7" w:rsidRDefault="003C58D6" w:rsidP="00CE7C2A">
      <w:pPr>
        <w:keepNext/>
        <w:keepLines/>
        <w:autoSpaceDE w:val="0"/>
        <w:autoSpaceDN w:val="0"/>
        <w:adjustRightInd w:val="0"/>
        <w:ind w:firstLine="0"/>
        <w:jc w:val="left"/>
        <w:rPr>
          <w:b/>
          <w:sz w:val="26"/>
          <w:szCs w:val="26"/>
        </w:rPr>
      </w:pPr>
      <w:r>
        <w:rPr>
          <w:b/>
          <w:sz w:val="26"/>
          <w:szCs w:val="26"/>
        </w:rPr>
        <w:t>Disposition</w:t>
      </w:r>
    </w:p>
    <w:p w14:paraId="5249E9B9" w14:textId="77657575" w:rsidR="00334A42" w:rsidRDefault="00334A42" w:rsidP="00CE7C2A">
      <w:pPr>
        <w:keepNext/>
        <w:keepLines/>
        <w:autoSpaceDE w:val="0"/>
        <w:autoSpaceDN w:val="0"/>
        <w:adjustRightInd w:val="0"/>
        <w:ind w:firstLine="0"/>
        <w:jc w:val="left"/>
        <w:rPr>
          <w:iCs/>
          <w:sz w:val="26"/>
          <w:szCs w:val="26"/>
        </w:rPr>
      </w:pPr>
    </w:p>
    <w:p w14:paraId="4A6638B4" w14:textId="77777777" w:rsidR="000506A6" w:rsidRDefault="000506A6" w:rsidP="000506A6">
      <w:pPr>
        <w:overflowPunct w:val="0"/>
        <w:autoSpaceDE w:val="0"/>
        <w:autoSpaceDN w:val="0"/>
        <w:adjustRightInd w:val="0"/>
        <w:ind w:firstLine="1440"/>
        <w:jc w:val="left"/>
        <w:textAlignment w:val="baseline"/>
        <w:rPr>
          <w:sz w:val="26"/>
          <w:szCs w:val="26"/>
        </w:rPr>
      </w:pPr>
      <w:r>
        <w:rPr>
          <w:color w:val="000000" w:themeColor="text1"/>
          <w:sz w:val="26"/>
        </w:rPr>
        <w:t xml:space="preserve">On consideration of the positions of the parties, we note that it is within the </w:t>
      </w:r>
      <w:r w:rsidRPr="00CB4BFA">
        <w:rPr>
          <w:color w:val="000000" w:themeColor="text1"/>
          <w:sz w:val="26"/>
          <w:szCs w:val="26"/>
        </w:rPr>
        <w:t xml:space="preserve">sound discretion of the </w:t>
      </w:r>
      <w:r>
        <w:rPr>
          <w:color w:val="000000" w:themeColor="text1"/>
          <w:sz w:val="26"/>
          <w:szCs w:val="26"/>
        </w:rPr>
        <w:t xml:space="preserve">ALJ to decide whether the Complainant’s failure to appear was unavoidable and whether permitting a hearing after such a “no-show” would prejudice the public interest or the interest of the other party.  </w:t>
      </w:r>
      <w:r w:rsidRPr="008C2C13">
        <w:rPr>
          <w:i/>
          <w:sz w:val="26"/>
          <w:szCs w:val="26"/>
        </w:rPr>
        <w:t xml:space="preserve">See </w:t>
      </w:r>
      <w:r w:rsidRPr="002A7FFC">
        <w:rPr>
          <w:sz w:val="26"/>
          <w:szCs w:val="26"/>
        </w:rPr>
        <w:t xml:space="preserve">66 Pa. C.S. § 332(f); </w:t>
      </w:r>
      <w:r w:rsidRPr="002A7FFC">
        <w:rPr>
          <w:i/>
          <w:sz w:val="26"/>
          <w:szCs w:val="26"/>
        </w:rPr>
        <w:t>see also</w:t>
      </w:r>
      <w:r>
        <w:rPr>
          <w:sz w:val="26"/>
          <w:szCs w:val="26"/>
        </w:rPr>
        <w:t xml:space="preserve"> 52 Pa. Code § 5.245(a)-(b). </w:t>
      </w:r>
      <w:r>
        <w:rPr>
          <w:color w:val="000000" w:themeColor="text1"/>
          <w:sz w:val="26"/>
          <w:szCs w:val="26"/>
        </w:rPr>
        <w:t xml:space="preserve"> In the matter before us, the ALJ ruled to dismiss the complaint, </w:t>
      </w:r>
      <w:r w:rsidRPr="009F0BCF">
        <w:rPr>
          <w:i/>
          <w:color w:val="000000" w:themeColor="text1"/>
          <w:sz w:val="26"/>
          <w:szCs w:val="26"/>
        </w:rPr>
        <w:t>with prejudice</w:t>
      </w:r>
      <w:r>
        <w:rPr>
          <w:color w:val="000000" w:themeColor="text1"/>
          <w:sz w:val="26"/>
          <w:szCs w:val="26"/>
        </w:rPr>
        <w:t>, finding that</w:t>
      </w:r>
      <w:r>
        <w:rPr>
          <w:sz w:val="26"/>
          <w:szCs w:val="26"/>
        </w:rPr>
        <w:t xml:space="preserve"> the</w:t>
      </w:r>
      <w:r w:rsidRPr="0003143A">
        <w:rPr>
          <w:sz w:val="26"/>
          <w:szCs w:val="26"/>
        </w:rPr>
        <w:t xml:space="preserve"> Complainant had </w:t>
      </w:r>
      <w:r>
        <w:rPr>
          <w:sz w:val="26"/>
          <w:szCs w:val="26"/>
        </w:rPr>
        <w:t xml:space="preserve">sufficient notice and </w:t>
      </w:r>
      <w:r w:rsidRPr="0003143A">
        <w:rPr>
          <w:sz w:val="26"/>
          <w:szCs w:val="26"/>
        </w:rPr>
        <w:t xml:space="preserve">ample opportunity to appear </w:t>
      </w:r>
      <w:r>
        <w:rPr>
          <w:sz w:val="26"/>
          <w:szCs w:val="26"/>
        </w:rPr>
        <w:t>and be heard in this proceeding</w:t>
      </w:r>
      <w:r w:rsidRPr="0003143A">
        <w:rPr>
          <w:sz w:val="26"/>
          <w:szCs w:val="26"/>
        </w:rPr>
        <w:t xml:space="preserve"> but </w:t>
      </w:r>
      <w:r>
        <w:rPr>
          <w:sz w:val="26"/>
          <w:szCs w:val="26"/>
        </w:rPr>
        <w:t xml:space="preserve">that the Complainant </w:t>
      </w:r>
      <w:r w:rsidRPr="0003143A">
        <w:rPr>
          <w:sz w:val="26"/>
          <w:szCs w:val="26"/>
        </w:rPr>
        <w:t xml:space="preserve">chose </w:t>
      </w:r>
      <w:r>
        <w:rPr>
          <w:sz w:val="26"/>
          <w:szCs w:val="26"/>
        </w:rPr>
        <w:t>not to appear at the telephone hearing.</w:t>
      </w:r>
    </w:p>
    <w:p w14:paraId="4E9A1D71" w14:textId="77777777" w:rsidR="000506A6" w:rsidRDefault="000506A6" w:rsidP="000506A6">
      <w:pPr>
        <w:ind w:firstLine="0"/>
        <w:jc w:val="left"/>
        <w:rPr>
          <w:color w:val="000000" w:themeColor="text1"/>
          <w:sz w:val="26"/>
          <w:szCs w:val="26"/>
        </w:rPr>
      </w:pPr>
    </w:p>
    <w:p w14:paraId="09685FE8" w14:textId="15BD2E68" w:rsidR="000506A6" w:rsidRDefault="000506A6" w:rsidP="000506A6">
      <w:pPr>
        <w:ind w:firstLine="1440"/>
        <w:jc w:val="left"/>
        <w:rPr>
          <w:color w:val="000000" w:themeColor="text1"/>
          <w:sz w:val="26"/>
          <w:szCs w:val="26"/>
        </w:rPr>
      </w:pPr>
      <w:r>
        <w:rPr>
          <w:color w:val="000000" w:themeColor="text1"/>
          <w:sz w:val="26"/>
          <w:szCs w:val="26"/>
        </w:rPr>
        <w:t xml:space="preserve">From an administrative due process standpoint, the question is whether the Complainant’s failure to appear shall be deemed the Complainant’s waiver of the opportunity to participate in a hearing in this Complaint proceeding, pursuant to 66 Pa. C.S. § 332(f) and 52 Pa. Code § 5.245(a)-(b).  Whether the Complainant failed to appear at the hearing due to “unavoidable” circumstances is a fact-based question.  </w:t>
      </w:r>
    </w:p>
    <w:p w14:paraId="0433F152" w14:textId="77777777" w:rsidR="000506A6" w:rsidRDefault="000506A6" w:rsidP="000506A6">
      <w:pPr>
        <w:ind w:firstLine="1440"/>
        <w:jc w:val="left"/>
        <w:rPr>
          <w:color w:val="000000" w:themeColor="text1"/>
          <w:sz w:val="26"/>
          <w:szCs w:val="26"/>
        </w:rPr>
      </w:pPr>
    </w:p>
    <w:p w14:paraId="7D28A464" w14:textId="56A0F92F" w:rsidR="000506A6" w:rsidRDefault="00E46F56" w:rsidP="000506A6">
      <w:pPr>
        <w:overflowPunct w:val="0"/>
        <w:autoSpaceDE w:val="0"/>
        <w:autoSpaceDN w:val="0"/>
        <w:adjustRightInd w:val="0"/>
        <w:ind w:firstLine="1440"/>
        <w:jc w:val="left"/>
        <w:textAlignment w:val="baseline"/>
        <w:rPr>
          <w:sz w:val="26"/>
          <w:szCs w:val="26"/>
        </w:rPr>
      </w:pPr>
      <w:r>
        <w:rPr>
          <w:sz w:val="26"/>
          <w:szCs w:val="26"/>
        </w:rPr>
        <w:t xml:space="preserve">Where a complainant’s failure to appear at a scheduled hearing is unavoidable, the ALJ has the discretion to recognize that and to reschedule the hearing.  However, when the complainant fails to bring the situation to the attention of the ALJ prior to the issuance of the Initial Decision, the record closes and the ALJ can no longer exercise that discretion.  Now the record is closed.  </w:t>
      </w:r>
      <w:r w:rsidR="002B6B08">
        <w:rPr>
          <w:sz w:val="26"/>
          <w:szCs w:val="26"/>
        </w:rPr>
        <w:t xml:space="preserve">And for the first time in this proceeding, </w:t>
      </w:r>
      <w:r w:rsidR="000506A6">
        <w:rPr>
          <w:sz w:val="26"/>
          <w:szCs w:val="26"/>
        </w:rPr>
        <w:t>the Complainant’s medical event due to his medical condition on the date of the hearing became apparent during the Exceptions stage of this proceeding.  In his Exceptions, the Complainant states that he experienced a medical emergency on the date and time of the hearing and requests that the Commission reconsider the dismissal of his Complaint.  Specifically, he explained that he is a Type II diabetic who experienced a hypoglycemic incident, which caused him to be in a state of unconsciousness when ALJ Salapa called.  He explains that, because of his underlying medical condition, he experienced the hypoglycemic incident, which rendered him unconscious the date of the hearing.</w:t>
      </w:r>
    </w:p>
    <w:p w14:paraId="1B3791BB" w14:textId="77777777" w:rsidR="000506A6" w:rsidRDefault="000506A6" w:rsidP="000506A6">
      <w:pPr>
        <w:overflowPunct w:val="0"/>
        <w:autoSpaceDE w:val="0"/>
        <w:autoSpaceDN w:val="0"/>
        <w:adjustRightInd w:val="0"/>
        <w:ind w:firstLine="1440"/>
        <w:jc w:val="left"/>
        <w:textAlignment w:val="baseline"/>
        <w:rPr>
          <w:sz w:val="26"/>
          <w:szCs w:val="26"/>
        </w:rPr>
      </w:pPr>
    </w:p>
    <w:p w14:paraId="6A50BB64" w14:textId="50F1C924" w:rsidR="000506A6" w:rsidRDefault="000506A6" w:rsidP="000506A6">
      <w:pPr>
        <w:ind w:firstLine="1440"/>
        <w:jc w:val="left"/>
        <w:rPr>
          <w:color w:val="000000" w:themeColor="text1"/>
          <w:sz w:val="26"/>
          <w:szCs w:val="26"/>
        </w:rPr>
      </w:pPr>
      <w:r>
        <w:rPr>
          <w:color w:val="000000" w:themeColor="text1"/>
          <w:sz w:val="26"/>
          <w:szCs w:val="26"/>
        </w:rPr>
        <w:t xml:space="preserve">At the exceptions stage of the proceeding, however, </w:t>
      </w:r>
      <w:r>
        <w:rPr>
          <w:sz w:val="26"/>
          <w:szCs w:val="26"/>
        </w:rPr>
        <w:t>the record is closed, and the party filing exceptions is charged with no</w:t>
      </w:r>
      <w:r w:rsidR="005C17EF">
        <w:rPr>
          <w:sz w:val="26"/>
          <w:szCs w:val="26"/>
        </w:rPr>
        <w:t>t</w:t>
      </w:r>
      <w:r>
        <w:rPr>
          <w:sz w:val="26"/>
          <w:szCs w:val="26"/>
        </w:rPr>
        <w:t xml:space="preserve"> only challenging the findings and conclusions of the Initial Decision but </w:t>
      </w:r>
      <w:r w:rsidR="005C17EF">
        <w:rPr>
          <w:sz w:val="26"/>
          <w:szCs w:val="26"/>
        </w:rPr>
        <w:t xml:space="preserve">also </w:t>
      </w:r>
      <w:r>
        <w:rPr>
          <w:sz w:val="26"/>
          <w:szCs w:val="26"/>
        </w:rPr>
        <w:t>with providing a compelling explanation of why he failed to raise his excuse in a timely fashion so that the ALJ could determine whether to reschedule his hearing.</w:t>
      </w:r>
    </w:p>
    <w:p w14:paraId="3631CBD6" w14:textId="77777777" w:rsidR="000506A6" w:rsidRDefault="000506A6" w:rsidP="000506A6">
      <w:pPr>
        <w:ind w:firstLine="1440"/>
        <w:jc w:val="left"/>
        <w:rPr>
          <w:color w:val="000000" w:themeColor="text1"/>
          <w:sz w:val="26"/>
          <w:szCs w:val="26"/>
        </w:rPr>
      </w:pPr>
    </w:p>
    <w:p w14:paraId="6589D3BA" w14:textId="172426AB" w:rsidR="000506A6" w:rsidRDefault="000506A6" w:rsidP="000506A6">
      <w:pPr>
        <w:overflowPunct w:val="0"/>
        <w:autoSpaceDE w:val="0"/>
        <w:autoSpaceDN w:val="0"/>
        <w:adjustRightInd w:val="0"/>
        <w:ind w:firstLine="1440"/>
        <w:jc w:val="left"/>
        <w:textAlignment w:val="baseline"/>
        <w:rPr>
          <w:sz w:val="26"/>
          <w:szCs w:val="26"/>
        </w:rPr>
      </w:pPr>
      <w:r>
        <w:rPr>
          <w:sz w:val="26"/>
          <w:szCs w:val="26"/>
        </w:rPr>
        <w:t xml:space="preserve">In this situation, Mr. Strydio did not present any reason why he failed to contact the OALJ to explain his absence from the hearing or to seek a continuance of hearing.  Accordingly, we will affirm the Initial Decision and dismiss </w:t>
      </w:r>
      <w:r w:rsidR="005C17EF">
        <w:rPr>
          <w:sz w:val="26"/>
          <w:szCs w:val="26"/>
        </w:rPr>
        <w:t xml:space="preserve">the Complaint </w:t>
      </w:r>
      <w:r w:rsidRPr="00B52E2C">
        <w:rPr>
          <w:i/>
          <w:sz w:val="26"/>
          <w:szCs w:val="26"/>
        </w:rPr>
        <w:t>with prejudice</w:t>
      </w:r>
      <w:r w:rsidR="005C17EF">
        <w:rPr>
          <w:sz w:val="26"/>
          <w:szCs w:val="26"/>
        </w:rPr>
        <w:t>.</w:t>
      </w:r>
      <w:r>
        <w:rPr>
          <w:sz w:val="26"/>
          <w:szCs w:val="26"/>
        </w:rPr>
        <w:t xml:space="preserve">  A dismissal </w:t>
      </w:r>
      <w:r w:rsidRPr="00086E47">
        <w:rPr>
          <w:i/>
          <w:sz w:val="26"/>
          <w:szCs w:val="26"/>
        </w:rPr>
        <w:t>with prejudice</w:t>
      </w:r>
      <w:r>
        <w:rPr>
          <w:sz w:val="26"/>
          <w:szCs w:val="26"/>
        </w:rPr>
        <w:t xml:space="preserve"> means that the Complainant is barred from filing another complaint with the Commission raising the same issues or claims as raised in the dismissed complaint.</w:t>
      </w:r>
    </w:p>
    <w:p w14:paraId="1EF39087" w14:textId="5DCF6AE4" w:rsidR="00003318" w:rsidRPr="00D409E4" w:rsidRDefault="00003318" w:rsidP="00D409E4">
      <w:pPr>
        <w:autoSpaceDE w:val="0"/>
        <w:autoSpaceDN w:val="0"/>
        <w:adjustRightInd w:val="0"/>
        <w:ind w:firstLine="0"/>
        <w:jc w:val="left"/>
        <w:rPr>
          <w:iCs/>
          <w:sz w:val="26"/>
          <w:szCs w:val="26"/>
        </w:rPr>
      </w:pPr>
    </w:p>
    <w:p w14:paraId="082DC060" w14:textId="77777777" w:rsidR="00B776E7" w:rsidRDefault="00B776E7" w:rsidP="001C2822">
      <w:pPr>
        <w:autoSpaceDE w:val="0"/>
        <w:autoSpaceDN w:val="0"/>
        <w:adjustRightInd w:val="0"/>
        <w:ind w:firstLine="0"/>
        <w:rPr>
          <w:sz w:val="26"/>
          <w:szCs w:val="26"/>
        </w:rPr>
      </w:pPr>
      <w:r>
        <w:rPr>
          <w:b/>
          <w:sz w:val="26"/>
          <w:szCs w:val="26"/>
        </w:rPr>
        <w:t>Conclusion</w:t>
      </w:r>
    </w:p>
    <w:p w14:paraId="5E39DC45" w14:textId="77777777" w:rsidR="00B776E7" w:rsidRDefault="00B776E7" w:rsidP="000A2650">
      <w:pPr>
        <w:autoSpaceDE w:val="0"/>
        <w:autoSpaceDN w:val="0"/>
        <w:adjustRightInd w:val="0"/>
        <w:jc w:val="left"/>
        <w:rPr>
          <w:sz w:val="26"/>
          <w:szCs w:val="26"/>
        </w:rPr>
      </w:pPr>
    </w:p>
    <w:p w14:paraId="6CC42226" w14:textId="5CC9F0BF" w:rsidR="00B776E7" w:rsidRPr="0050311E" w:rsidRDefault="001E65C3" w:rsidP="0028557B">
      <w:pPr>
        <w:ind w:firstLine="1440"/>
        <w:jc w:val="left"/>
        <w:rPr>
          <w:color w:val="000000" w:themeColor="text1"/>
          <w:sz w:val="26"/>
          <w:szCs w:val="26"/>
        </w:rPr>
      </w:pPr>
      <w:r w:rsidRPr="00603C36">
        <w:rPr>
          <w:color w:val="000000"/>
          <w:sz w:val="26"/>
          <w:szCs w:val="26"/>
        </w:rPr>
        <w:t xml:space="preserve">Upon review and consideration of the record of this proceeding, we shall deny </w:t>
      </w:r>
      <w:r>
        <w:rPr>
          <w:color w:val="000000"/>
          <w:sz w:val="26"/>
          <w:szCs w:val="26"/>
        </w:rPr>
        <w:t xml:space="preserve">the Complainant’s Exceptions and </w:t>
      </w:r>
      <w:r w:rsidRPr="00603C36">
        <w:rPr>
          <w:color w:val="000000"/>
          <w:sz w:val="26"/>
          <w:szCs w:val="26"/>
        </w:rPr>
        <w:t>adopt the ALJ’s Initial Decision</w:t>
      </w:r>
      <w:r>
        <w:rPr>
          <w:color w:val="000000"/>
          <w:sz w:val="26"/>
          <w:szCs w:val="26"/>
        </w:rPr>
        <w:t xml:space="preserve"> that dismisses the Complaint, with prejudice, for failure of the Complainant to appear for the hearing and prosecute the Complaint; </w:t>
      </w:r>
      <w:r w:rsidR="00B776E7" w:rsidRPr="00637671">
        <w:rPr>
          <w:b/>
          <w:color w:val="000000" w:themeColor="text1"/>
          <w:sz w:val="26"/>
          <w:szCs w:val="26"/>
        </w:rPr>
        <w:t>THEREFORE,</w:t>
      </w:r>
    </w:p>
    <w:p w14:paraId="3B5EF8E7" w14:textId="253A958D" w:rsidR="00B776E7" w:rsidRDefault="00B776E7" w:rsidP="000A2650">
      <w:pPr>
        <w:autoSpaceDE w:val="0"/>
        <w:autoSpaceDN w:val="0"/>
        <w:adjustRightInd w:val="0"/>
        <w:jc w:val="left"/>
        <w:rPr>
          <w:sz w:val="26"/>
          <w:szCs w:val="26"/>
        </w:rPr>
      </w:pPr>
    </w:p>
    <w:p w14:paraId="457F7B60" w14:textId="77777777" w:rsidR="00B776E7" w:rsidRDefault="00B776E7" w:rsidP="000A2650">
      <w:pPr>
        <w:keepNext/>
        <w:keepLines/>
        <w:jc w:val="left"/>
        <w:rPr>
          <w:b/>
          <w:sz w:val="26"/>
          <w:szCs w:val="26"/>
        </w:rPr>
      </w:pPr>
      <w:r>
        <w:rPr>
          <w:sz w:val="26"/>
          <w:szCs w:val="26"/>
        </w:rPr>
        <w:tab/>
      </w:r>
      <w:r w:rsidRPr="000D6043">
        <w:rPr>
          <w:b/>
          <w:sz w:val="26"/>
          <w:szCs w:val="26"/>
        </w:rPr>
        <w:t>IT IS ORDERED:</w:t>
      </w:r>
    </w:p>
    <w:p w14:paraId="46ACFA53" w14:textId="77777777" w:rsidR="00B776E7" w:rsidRDefault="00B776E7" w:rsidP="000A2650">
      <w:pPr>
        <w:keepNext/>
        <w:keepLines/>
        <w:jc w:val="left"/>
        <w:rPr>
          <w:b/>
          <w:sz w:val="26"/>
          <w:szCs w:val="26"/>
        </w:rPr>
      </w:pPr>
    </w:p>
    <w:p w14:paraId="750C23EE" w14:textId="77920ABB" w:rsidR="00B776E7" w:rsidRDefault="00B776E7" w:rsidP="000A2650">
      <w:pPr>
        <w:jc w:val="left"/>
        <w:rPr>
          <w:sz w:val="26"/>
          <w:szCs w:val="26"/>
        </w:rPr>
      </w:pPr>
      <w:r>
        <w:rPr>
          <w:b/>
          <w:sz w:val="26"/>
          <w:szCs w:val="26"/>
        </w:rPr>
        <w:tab/>
      </w:r>
      <w:r>
        <w:rPr>
          <w:sz w:val="26"/>
          <w:szCs w:val="26"/>
        </w:rPr>
        <w:t>1.</w:t>
      </w:r>
      <w:r>
        <w:rPr>
          <w:sz w:val="26"/>
          <w:szCs w:val="26"/>
        </w:rPr>
        <w:tab/>
        <w:t xml:space="preserve">That the </w:t>
      </w:r>
      <w:r w:rsidR="001D5774">
        <w:rPr>
          <w:sz w:val="26"/>
          <w:szCs w:val="26"/>
        </w:rPr>
        <w:t>Exceptions</w:t>
      </w:r>
      <w:r w:rsidR="00AC03EB">
        <w:rPr>
          <w:sz w:val="26"/>
          <w:szCs w:val="26"/>
        </w:rPr>
        <w:t xml:space="preserve"> </w:t>
      </w:r>
      <w:r w:rsidR="001D5774">
        <w:rPr>
          <w:sz w:val="26"/>
          <w:szCs w:val="26"/>
        </w:rPr>
        <w:t>of</w:t>
      </w:r>
      <w:r w:rsidR="00AC03EB">
        <w:rPr>
          <w:sz w:val="26"/>
          <w:szCs w:val="26"/>
        </w:rPr>
        <w:t xml:space="preserve"> </w:t>
      </w:r>
      <w:r w:rsidR="001D5774">
        <w:rPr>
          <w:sz w:val="26"/>
          <w:szCs w:val="26"/>
        </w:rPr>
        <w:t>Robert Strydio, filed o</w:t>
      </w:r>
      <w:r w:rsidR="0028557B">
        <w:rPr>
          <w:sz w:val="26"/>
          <w:szCs w:val="26"/>
        </w:rPr>
        <w:t>n February 22, 2018, are denied</w:t>
      </w:r>
      <w:r w:rsidR="001D5774">
        <w:rPr>
          <w:sz w:val="26"/>
          <w:szCs w:val="26"/>
        </w:rPr>
        <w:t>, consistent with this Opinion and Order.</w:t>
      </w:r>
    </w:p>
    <w:p w14:paraId="6DCB633C" w14:textId="77777777" w:rsidR="00B776E7" w:rsidRDefault="00B776E7" w:rsidP="000A2650">
      <w:pPr>
        <w:jc w:val="left"/>
        <w:rPr>
          <w:sz w:val="26"/>
          <w:szCs w:val="26"/>
        </w:rPr>
      </w:pPr>
    </w:p>
    <w:p w14:paraId="235EFA52" w14:textId="77777777" w:rsidR="000506A6" w:rsidRDefault="00B776E7" w:rsidP="000506A6">
      <w:pPr>
        <w:ind w:firstLine="1440"/>
        <w:jc w:val="left"/>
        <w:rPr>
          <w:sz w:val="26"/>
          <w:szCs w:val="26"/>
        </w:rPr>
      </w:pPr>
      <w:r>
        <w:rPr>
          <w:sz w:val="26"/>
          <w:szCs w:val="26"/>
        </w:rPr>
        <w:t>2.</w:t>
      </w:r>
      <w:r>
        <w:rPr>
          <w:sz w:val="26"/>
          <w:szCs w:val="26"/>
        </w:rPr>
        <w:tab/>
        <w:t xml:space="preserve">That the Initial Decision of Administrative Law Judge </w:t>
      </w:r>
      <w:r w:rsidR="004E672C">
        <w:rPr>
          <w:sz w:val="26"/>
          <w:szCs w:val="26"/>
        </w:rPr>
        <w:t>David</w:t>
      </w:r>
      <w:r w:rsidR="00B13262">
        <w:rPr>
          <w:sz w:val="26"/>
          <w:szCs w:val="26"/>
        </w:rPr>
        <w:t> </w:t>
      </w:r>
      <w:r w:rsidR="004E672C">
        <w:rPr>
          <w:sz w:val="26"/>
          <w:szCs w:val="26"/>
        </w:rPr>
        <w:t>A.</w:t>
      </w:r>
      <w:r w:rsidR="00B13262">
        <w:rPr>
          <w:sz w:val="26"/>
          <w:szCs w:val="26"/>
        </w:rPr>
        <w:t> </w:t>
      </w:r>
      <w:r w:rsidR="004E672C">
        <w:rPr>
          <w:sz w:val="26"/>
          <w:szCs w:val="26"/>
        </w:rPr>
        <w:t>Salapa</w:t>
      </w:r>
      <w:r>
        <w:rPr>
          <w:sz w:val="26"/>
          <w:szCs w:val="26"/>
        </w:rPr>
        <w:t>, issued on</w:t>
      </w:r>
      <w:r w:rsidR="000A2650">
        <w:rPr>
          <w:sz w:val="26"/>
          <w:szCs w:val="26"/>
        </w:rPr>
        <w:t xml:space="preserve"> </w:t>
      </w:r>
      <w:r w:rsidR="004E672C">
        <w:rPr>
          <w:sz w:val="26"/>
          <w:szCs w:val="26"/>
        </w:rPr>
        <w:t>February 14, 2018</w:t>
      </w:r>
      <w:r>
        <w:rPr>
          <w:sz w:val="26"/>
          <w:szCs w:val="26"/>
        </w:rPr>
        <w:t xml:space="preserve">, is </w:t>
      </w:r>
      <w:r w:rsidR="0028557B">
        <w:rPr>
          <w:sz w:val="26"/>
          <w:szCs w:val="26"/>
        </w:rPr>
        <w:t>affirmed</w:t>
      </w:r>
      <w:r w:rsidR="00511DE8">
        <w:rPr>
          <w:sz w:val="26"/>
          <w:szCs w:val="26"/>
        </w:rPr>
        <w:t>,</w:t>
      </w:r>
      <w:r w:rsidR="00D409E4">
        <w:rPr>
          <w:sz w:val="26"/>
          <w:szCs w:val="26"/>
        </w:rPr>
        <w:t xml:space="preserve"> </w:t>
      </w:r>
      <w:r w:rsidR="0005540D">
        <w:rPr>
          <w:sz w:val="26"/>
          <w:szCs w:val="26"/>
        </w:rPr>
        <w:t xml:space="preserve">consistent with </w:t>
      </w:r>
      <w:r>
        <w:rPr>
          <w:sz w:val="26"/>
          <w:szCs w:val="26"/>
        </w:rPr>
        <w:t>this Opinion and Order.</w:t>
      </w:r>
    </w:p>
    <w:p w14:paraId="5F93F186" w14:textId="77777777" w:rsidR="000506A6" w:rsidRDefault="000506A6" w:rsidP="000506A6">
      <w:pPr>
        <w:ind w:firstLine="1440"/>
        <w:jc w:val="left"/>
        <w:rPr>
          <w:sz w:val="26"/>
          <w:szCs w:val="26"/>
        </w:rPr>
      </w:pPr>
    </w:p>
    <w:p w14:paraId="7CA16483" w14:textId="77777777" w:rsidR="000506A6" w:rsidRDefault="000506A6" w:rsidP="000506A6">
      <w:pPr>
        <w:ind w:firstLine="1440"/>
        <w:jc w:val="left"/>
        <w:rPr>
          <w:sz w:val="26"/>
          <w:szCs w:val="26"/>
        </w:rPr>
      </w:pPr>
      <w:r>
        <w:rPr>
          <w:sz w:val="26"/>
          <w:szCs w:val="26"/>
        </w:rPr>
        <w:t>3.</w:t>
      </w:r>
      <w:r>
        <w:rPr>
          <w:sz w:val="26"/>
          <w:szCs w:val="26"/>
        </w:rPr>
        <w:tab/>
      </w:r>
      <w:r w:rsidRPr="00FC3806">
        <w:rPr>
          <w:sz w:val="26"/>
          <w:szCs w:val="26"/>
        </w:rPr>
        <w:t>That</w:t>
      </w:r>
      <w:r w:rsidRPr="00C838C4">
        <w:rPr>
          <w:sz w:val="26"/>
          <w:szCs w:val="26"/>
        </w:rPr>
        <w:t xml:space="preserve">, pursuant to 66 Pa. C.S. § 332(f) and 52 Pa. Code § 5.245, the Complainant, </w:t>
      </w:r>
      <w:r>
        <w:rPr>
          <w:sz w:val="26"/>
          <w:szCs w:val="26"/>
        </w:rPr>
        <w:t>Robert Strydio</w:t>
      </w:r>
      <w:r w:rsidRPr="00C838C4">
        <w:rPr>
          <w:sz w:val="26"/>
          <w:szCs w:val="26"/>
        </w:rPr>
        <w:t>, is deemed to have waived h</w:t>
      </w:r>
      <w:r>
        <w:rPr>
          <w:sz w:val="26"/>
          <w:szCs w:val="26"/>
        </w:rPr>
        <w:t>is</w:t>
      </w:r>
      <w:r w:rsidRPr="00C838C4">
        <w:rPr>
          <w:sz w:val="26"/>
          <w:szCs w:val="26"/>
        </w:rPr>
        <w:t xml:space="preserve"> opportunity to participate in a hearing regarding h</w:t>
      </w:r>
      <w:r>
        <w:rPr>
          <w:sz w:val="26"/>
          <w:szCs w:val="26"/>
        </w:rPr>
        <w:t>is</w:t>
      </w:r>
      <w:r w:rsidRPr="00C838C4">
        <w:rPr>
          <w:sz w:val="26"/>
          <w:szCs w:val="26"/>
        </w:rPr>
        <w:t xml:space="preserve"> Formal Complaint filed on </w:t>
      </w:r>
      <w:r>
        <w:rPr>
          <w:sz w:val="26"/>
          <w:szCs w:val="26"/>
        </w:rPr>
        <w:t>November 6, 2017, due to his</w:t>
      </w:r>
      <w:r w:rsidRPr="00C838C4">
        <w:rPr>
          <w:sz w:val="26"/>
          <w:szCs w:val="26"/>
        </w:rPr>
        <w:t xml:space="preserve"> failure to appear at the </w:t>
      </w:r>
      <w:r w:rsidRPr="001B20BE">
        <w:rPr>
          <w:sz w:val="26"/>
          <w:szCs w:val="26"/>
        </w:rPr>
        <w:t>January 25, 2018</w:t>
      </w:r>
      <w:r>
        <w:rPr>
          <w:sz w:val="26"/>
          <w:szCs w:val="26"/>
        </w:rPr>
        <w:t xml:space="preserve"> </w:t>
      </w:r>
      <w:r w:rsidRPr="00C838C4">
        <w:rPr>
          <w:sz w:val="26"/>
          <w:szCs w:val="26"/>
        </w:rPr>
        <w:t xml:space="preserve">hearing held at this </w:t>
      </w:r>
      <w:r>
        <w:rPr>
          <w:sz w:val="26"/>
          <w:szCs w:val="26"/>
        </w:rPr>
        <w:t>proceeding.</w:t>
      </w:r>
    </w:p>
    <w:p w14:paraId="7DFC0D8F" w14:textId="77777777" w:rsidR="000506A6" w:rsidRDefault="000506A6" w:rsidP="000506A6">
      <w:pPr>
        <w:ind w:firstLine="1440"/>
        <w:jc w:val="left"/>
        <w:rPr>
          <w:sz w:val="26"/>
          <w:szCs w:val="26"/>
        </w:rPr>
      </w:pPr>
    </w:p>
    <w:p w14:paraId="2158B30A" w14:textId="3AC66E5E" w:rsidR="000506A6" w:rsidRDefault="000506A6" w:rsidP="000506A6">
      <w:pPr>
        <w:ind w:firstLine="1440"/>
        <w:jc w:val="left"/>
        <w:rPr>
          <w:sz w:val="26"/>
          <w:szCs w:val="26"/>
        </w:rPr>
      </w:pPr>
      <w:r>
        <w:rPr>
          <w:sz w:val="26"/>
          <w:szCs w:val="26"/>
        </w:rPr>
        <w:t>4.</w:t>
      </w:r>
      <w:r>
        <w:rPr>
          <w:sz w:val="26"/>
          <w:szCs w:val="26"/>
        </w:rPr>
        <w:tab/>
      </w:r>
      <w:r w:rsidRPr="00C838C4">
        <w:rPr>
          <w:sz w:val="26"/>
          <w:szCs w:val="26"/>
        </w:rPr>
        <w:t xml:space="preserve">That the Formal Complaint of </w:t>
      </w:r>
      <w:r w:rsidR="001D57EF">
        <w:rPr>
          <w:sz w:val="26"/>
          <w:szCs w:val="26"/>
        </w:rPr>
        <w:t>Robert Strydio, f</w:t>
      </w:r>
      <w:r w:rsidRPr="00C838C4">
        <w:rPr>
          <w:sz w:val="26"/>
          <w:szCs w:val="26"/>
        </w:rPr>
        <w:t xml:space="preserve">iled on </w:t>
      </w:r>
      <w:r>
        <w:rPr>
          <w:sz w:val="26"/>
          <w:szCs w:val="26"/>
        </w:rPr>
        <w:t>November 6, 2017</w:t>
      </w:r>
      <w:r w:rsidRPr="00C838C4">
        <w:rPr>
          <w:sz w:val="26"/>
          <w:szCs w:val="26"/>
        </w:rPr>
        <w:t xml:space="preserve">, at this docket, is dismissed, </w:t>
      </w:r>
      <w:r w:rsidRPr="00C838C4">
        <w:rPr>
          <w:i/>
          <w:sz w:val="26"/>
          <w:szCs w:val="26"/>
        </w:rPr>
        <w:t>with prejudice</w:t>
      </w:r>
      <w:r w:rsidRPr="00C838C4">
        <w:rPr>
          <w:sz w:val="26"/>
          <w:szCs w:val="26"/>
        </w:rPr>
        <w:t xml:space="preserve">, barring the Complainant from filing another formal complaint with the Public Utility Commission raising the same issues or claims as raised in the Formal Complaint filed on </w:t>
      </w:r>
      <w:r>
        <w:rPr>
          <w:sz w:val="26"/>
          <w:szCs w:val="26"/>
        </w:rPr>
        <w:t>November 6, 2017</w:t>
      </w:r>
      <w:r w:rsidRPr="00C838C4">
        <w:rPr>
          <w:sz w:val="26"/>
          <w:szCs w:val="26"/>
        </w:rPr>
        <w:t>, at this docket</w:t>
      </w:r>
      <w:r>
        <w:rPr>
          <w:sz w:val="26"/>
          <w:szCs w:val="26"/>
        </w:rPr>
        <w:t>.</w:t>
      </w:r>
    </w:p>
    <w:p w14:paraId="7ABA16C6" w14:textId="77777777" w:rsidR="000506A6" w:rsidRDefault="000506A6" w:rsidP="000506A6">
      <w:pPr>
        <w:ind w:firstLine="1440"/>
        <w:jc w:val="left"/>
        <w:rPr>
          <w:sz w:val="26"/>
          <w:szCs w:val="26"/>
        </w:rPr>
      </w:pPr>
    </w:p>
    <w:p w14:paraId="3C6100E8" w14:textId="0EFB6704" w:rsidR="006E1AA7" w:rsidRDefault="000506A6" w:rsidP="000506A6">
      <w:pPr>
        <w:ind w:firstLine="1440"/>
        <w:jc w:val="left"/>
        <w:rPr>
          <w:sz w:val="26"/>
          <w:szCs w:val="26"/>
        </w:rPr>
      </w:pPr>
      <w:r>
        <w:rPr>
          <w:sz w:val="26"/>
          <w:szCs w:val="26"/>
        </w:rPr>
        <w:t>5.</w:t>
      </w:r>
      <w:r>
        <w:rPr>
          <w:sz w:val="26"/>
          <w:szCs w:val="26"/>
        </w:rPr>
        <w:tab/>
      </w:r>
      <w:r w:rsidRPr="00C838C4">
        <w:rPr>
          <w:sz w:val="26"/>
          <w:szCs w:val="26"/>
        </w:rPr>
        <w:t>That, the Secretary’s Bureau shall mark this docket closed.</w:t>
      </w:r>
    </w:p>
    <w:p w14:paraId="5DABB5D4" w14:textId="77777777" w:rsidR="005F1CCF" w:rsidRPr="000506A6" w:rsidRDefault="005F1CCF" w:rsidP="000506A6">
      <w:pPr>
        <w:ind w:firstLine="1440"/>
        <w:jc w:val="left"/>
        <w:rPr>
          <w:sz w:val="26"/>
          <w:szCs w:val="26"/>
        </w:rPr>
      </w:pPr>
    </w:p>
    <w:p w14:paraId="706C943A" w14:textId="77777777" w:rsidR="00B776E7" w:rsidRPr="000D6043" w:rsidRDefault="00B776E7" w:rsidP="00CD3564">
      <w:pPr>
        <w:keepNext/>
        <w:keepLines/>
        <w:tabs>
          <w:tab w:val="left" w:pos="5670"/>
          <w:tab w:val="left" w:pos="5760"/>
          <w:tab w:val="left" w:pos="5940"/>
          <w:tab w:val="left" w:pos="6030"/>
          <w:tab w:val="left" w:pos="6120"/>
          <w:tab w:val="left" w:pos="7020"/>
        </w:tabs>
        <w:spacing w:line="240" w:lineRule="auto"/>
        <w:ind w:left="3600" w:firstLine="1440"/>
        <w:jc w:val="left"/>
        <w:rPr>
          <w:b/>
          <w:sz w:val="26"/>
          <w:szCs w:val="26"/>
        </w:rPr>
      </w:pPr>
      <w:r w:rsidRPr="000D6043">
        <w:rPr>
          <w:b/>
          <w:sz w:val="26"/>
          <w:szCs w:val="26"/>
        </w:rPr>
        <w:t>BY THE COMMISSION,</w:t>
      </w:r>
    </w:p>
    <w:p w14:paraId="107F6E02" w14:textId="75164E31" w:rsidR="00B776E7" w:rsidRDefault="0053308A" w:rsidP="000D5317">
      <w:pPr>
        <w:keepNext/>
        <w:keepLines/>
        <w:spacing w:line="240" w:lineRule="auto"/>
        <w:jc w:val="left"/>
        <w:rPr>
          <w:sz w:val="26"/>
          <w:szCs w:val="26"/>
        </w:rPr>
      </w:pPr>
      <w:r>
        <w:rPr>
          <w:noProof/>
        </w:rPr>
        <w:drawing>
          <wp:anchor distT="0" distB="0" distL="114300" distR="114300" simplePos="0" relativeHeight="251659264" behindDoc="1" locked="0" layoutInCell="1" allowOverlap="1" wp14:anchorId="5EA0C310" wp14:editId="3A8BF854">
            <wp:simplePos x="0" y="0"/>
            <wp:positionH relativeFrom="column">
              <wp:posOffset>2905125</wp:posOffset>
            </wp:positionH>
            <wp:positionV relativeFrom="paragraph">
              <wp:posOffset>37465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5CC076F7" w14:textId="0CE98169" w:rsidR="0053308A" w:rsidRDefault="0053308A"/>
    <w:p w14:paraId="2EC21534" w14:textId="66B446DA" w:rsidR="00CD3564" w:rsidRDefault="00CD3564" w:rsidP="00CD3564">
      <w:pPr>
        <w:keepNext/>
        <w:keepLines/>
        <w:spacing w:line="240" w:lineRule="auto"/>
        <w:jc w:val="left"/>
        <w:rPr>
          <w:sz w:val="26"/>
          <w:szCs w:val="26"/>
        </w:rPr>
      </w:pPr>
    </w:p>
    <w:p w14:paraId="2D0F06AB" w14:textId="77777777" w:rsidR="00CD3564" w:rsidRDefault="00CD3564" w:rsidP="00CD3564">
      <w:pPr>
        <w:keepNext/>
        <w:keepLines/>
        <w:spacing w:line="240" w:lineRule="auto"/>
        <w:jc w:val="left"/>
        <w:rPr>
          <w:sz w:val="26"/>
          <w:szCs w:val="26"/>
        </w:rPr>
      </w:pPr>
    </w:p>
    <w:p w14:paraId="32C631FA" w14:textId="77777777" w:rsidR="00CD3564" w:rsidRDefault="00CD3564" w:rsidP="00CD3564">
      <w:pPr>
        <w:keepNext/>
        <w:keepLines/>
        <w:spacing w:line="240" w:lineRule="auto"/>
        <w:jc w:val="left"/>
        <w:rPr>
          <w:sz w:val="26"/>
          <w:szCs w:val="26"/>
        </w:rPr>
      </w:pPr>
    </w:p>
    <w:p w14:paraId="780DEF2E" w14:textId="108754A0" w:rsidR="00B776E7" w:rsidRPr="00CD3564" w:rsidRDefault="00B776E7" w:rsidP="00CD3564">
      <w:pPr>
        <w:keepNext/>
        <w:keepLines/>
        <w:tabs>
          <w:tab w:val="left" w:pos="5670"/>
          <w:tab w:val="left" w:pos="5760"/>
          <w:tab w:val="left" w:pos="5940"/>
          <w:tab w:val="left" w:pos="6030"/>
          <w:tab w:val="left" w:pos="6120"/>
          <w:tab w:val="left" w:pos="7020"/>
        </w:tabs>
        <w:spacing w:line="240" w:lineRule="auto"/>
        <w:ind w:left="3600" w:firstLine="1440"/>
        <w:jc w:val="left"/>
        <w:rPr>
          <w:sz w:val="26"/>
          <w:szCs w:val="26"/>
        </w:rPr>
      </w:pPr>
      <w:r w:rsidRPr="00CD3564">
        <w:rPr>
          <w:sz w:val="26"/>
          <w:szCs w:val="26"/>
        </w:rPr>
        <w:t>Rosemary Chiavetta</w:t>
      </w:r>
    </w:p>
    <w:p w14:paraId="499DA614" w14:textId="2910D465" w:rsidR="00B776E7" w:rsidRPr="00CD3564" w:rsidRDefault="00B776E7" w:rsidP="00CD3564">
      <w:pPr>
        <w:keepNext/>
        <w:keepLines/>
        <w:tabs>
          <w:tab w:val="left" w:pos="5670"/>
          <w:tab w:val="left" w:pos="5760"/>
          <w:tab w:val="left" w:pos="5940"/>
          <w:tab w:val="left" w:pos="6030"/>
          <w:tab w:val="left" w:pos="6120"/>
          <w:tab w:val="left" w:pos="7020"/>
        </w:tabs>
        <w:spacing w:line="240" w:lineRule="auto"/>
        <w:ind w:left="3600" w:firstLine="1440"/>
        <w:jc w:val="left"/>
        <w:rPr>
          <w:sz w:val="26"/>
          <w:szCs w:val="26"/>
        </w:rPr>
      </w:pPr>
      <w:r w:rsidRPr="00CD3564">
        <w:rPr>
          <w:sz w:val="26"/>
          <w:szCs w:val="26"/>
        </w:rPr>
        <w:t>Secretary</w:t>
      </w:r>
    </w:p>
    <w:p w14:paraId="5794237E" w14:textId="77777777" w:rsidR="00B776E7" w:rsidRPr="00CD3564" w:rsidRDefault="00B776E7" w:rsidP="00CD3564">
      <w:pPr>
        <w:keepNext/>
        <w:keepLines/>
        <w:tabs>
          <w:tab w:val="left" w:pos="-720"/>
        </w:tabs>
        <w:suppressAutoHyphens/>
        <w:spacing w:line="240" w:lineRule="auto"/>
        <w:jc w:val="left"/>
        <w:rPr>
          <w:sz w:val="26"/>
          <w:szCs w:val="26"/>
        </w:rPr>
      </w:pPr>
    </w:p>
    <w:p w14:paraId="69227CCD" w14:textId="347F900F" w:rsidR="00B776E7" w:rsidRDefault="00B776E7" w:rsidP="00CD3564">
      <w:pPr>
        <w:keepNext/>
        <w:keepLines/>
        <w:tabs>
          <w:tab w:val="left" w:pos="-720"/>
        </w:tabs>
        <w:suppressAutoHyphens/>
        <w:spacing w:line="240" w:lineRule="auto"/>
        <w:ind w:firstLine="0"/>
        <w:jc w:val="left"/>
        <w:rPr>
          <w:sz w:val="26"/>
          <w:szCs w:val="26"/>
        </w:rPr>
      </w:pPr>
      <w:r w:rsidRPr="00AD292A">
        <w:rPr>
          <w:sz w:val="26"/>
          <w:szCs w:val="26"/>
        </w:rPr>
        <w:t>(SEAL)</w:t>
      </w:r>
    </w:p>
    <w:p w14:paraId="1CC6634C" w14:textId="77777777" w:rsidR="00CD3564" w:rsidRPr="001B2BFB" w:rsidRDefault="00CD3564" w:rsidP="00CD3564">
      <w:pPr>
        <w:keepNext/>
        <w:keepLines/>
        <w:tabs>
          <w:tab w:val="left" w:pos="-720"/>
        </w:tabs>
        <w:suppressAutoHyphens/>
        <w:spacing w:line="240" w:lineRule="auto"/>
        <w:ind w:firstLine="0"/>
        <w:jc w:val="left"/>
        <w:rPr>
          <w:sz w:val="26"/>
          <w:szCs w:val="26"/>
        </w:rPr>
      </w:pPr>
    </w:p>
    <w:p w14:paraId="6B1AB11E" w14:textId="3B230968" w:rsidR="00B776E7" w:rsidRDefault="00B776E7" w:rsidP="00CD3564">
      <w:pPr>
        <w:keepNext/>
        <w:keepLines/>
        <w:tabs>
          <w:tab w:val="left" w:pos="-720"/>
        </w:tabs>
        <w:suppressAutoHyphens/>
        <w:spacing w:line="240" w:lineRule="auto"/>
        <w:ind w:firstLine="0"/>
        <w:jc w:val="left"/>
        <w:rPr>
          <w:sz w:val="26"/>
          <w:szCs w:val="26"/>
        </w:rPr>
      </w:pPr>
      <w:r w:rsidRPr="00AD292A">
        <w:rPr>
          <w:sz w:val="26"/>
          <w:szCs w:val="26"/>
        </w:rPr>
        <w:t>ORDER ADOPTED:</w:t>
      </w:r>
      <w:r w:rsidRPr="001B2BFB">
        <w:rPr>
          <w:sz w:val="26"/>
          <w:szCs w:val="26"/>
        </w:rPr>
        <w:t xml:space="preserve"> </w:t>
      </w:r>
      <w:r>
        <w:rPr>
          <w:sz w:val="26"/>
          <w:szCs w:val="26"/>
        </w:rPr>
        <w:t xml:space="preserve"> </w:t>
      </w:r>
      <w:r w:rsidR="00511DE8">
        <w:rPr>
          <w:sz w:val="26"/>
          <w:szCs w:val="26"/>
        </w:rPr>
        <w:t>Ju</w:t>
      </w:r>
      <w:r w:rsidR="001C32F4">
        <w:rPr>
          <w:sz w:val="26"/>
          <w:szCs w:val="26"/>
        </w:rPr>
        <w:t>ly 12</w:t>
      </w:r>
      <w:r>
        <w:rPr>
          <w:sz w:val="26"/>
          <w:szCs w:val="26"/>
        </w:rPr>
        <w:t>, 201</w:t>
      </w:r>
      <w:r w:rsidR="005B43BA">
        <w:rPr>
          <w:sz w:val="26"/>
          <w:szCs w:val="26"/>
        </w:rPr>
        <w:t>8</w:t>
      </w:r>
    </w:p>
    <w:p w14:paraId="738DC2B8" w14:textId="77777777" w:rsidR="00CD3564" w:rsidRDefault="00CD3564" w:rsidP="00CD3564">
      <w:pPr>
        <w:keepNext/>
        <w:keepLines/>
        <w:tabs>
          <w:tab w:val="left" w:pos="-720"/>
        </w:tabs>
        <w:suppressAutoHyphens/>
        <w:spacing w:line="240" w:lineRule="auto"/>
        <w:ind w:firstLine="0"/>
        <w:jc w:val="left"/>
        <w:rPr>
          <w:sz w:val="26"/>
          <w:szCs w:val="26"/>
        </w:rPr>
      </w:pPr>
    </w:p>
    <w:p w14:paraId="16B8B022" w14:textId="70C984D5" w:rsidR="00CD3564" w:rsidRPr="000544CF" w:rsidRDefault="00B776E7">
      <w:pPr>
        <w:keepNext/>
        <w:keepLines/>
        <w:tabs>
          <w:tab w:val="left" w:pos="-720"/>
        </w:tabs>
        <w:suppressAutoHyphens/>
        <w:spacing w:line="240" w:lineRule="auto"/>
        <w:ind w:firstLine="0"/>
        <w:jc w:val="left"/>
        <w:rPr>
          <w:sz w:val="26"/>
          <w:szCs w:val="26"/>
        </w:rPr>
      </w:pPr>
      <w:r w:rsidRPr="00507493">
        <w:rPr>
          <w:sz w:val="26"/>
          <w:szCs w:val="26"/>
        </w:rPr>
        <w:t xml:space="preserve">ORDER ENTERED: </w:t>
      </w:r>
      <w:r>
        <w:rPr>
          <w:sz w:val="26"/>
          <w:szCs w:val="26"/>
        </w:rPr>
        <w:t xml:space="preserve"> </w:t>
      </w:r>
      <w:r w:rsidR="0053308A">
        <w:rPr>
          <w:sz w:val="26"/>
          <w:szCs w:val="26"/>
        </w:rPr>
        <w:t>July 18, 2018</w:t>
      </w:r>
      <w:bookmarkStart w:id="0" w:name="_GoBack"/>
      <w:bookmarkEnd w:id="0"/>
    </w:p>
    <w:sectPr w:rsidR="00CD3564" w:rsidRPr="000544CF" w:rsidSect="00181C1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40C5F" w14:textId="77777777" w:rsidR="00416504" w:rsidRDefault="00416504" w:rsidP="00181C10">
      <w:pPr>
        <w:spacing w:line="240" w:lineRule="auto"/>
      </w:pPr>
      <w:r>
        <w:separator/>
      </w:r>
    </w:p>
  </w:endnote>
  <w:endnote w:type="continuationSeparator" w:id="0">
    <w:p w14:paraId="1D629726" w14:textId="77777777" w:rsidR="00416504" w:rsidRDefault="00416504" w:rsidP="00181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307285"/>
      <w:docPartObj>
        <w:docPartGallery w:val="Page Numbers (Bottom of Page)"/>
        <w:docPartUnique/>
      </w:docPartObj>
    </w:sdtPr>
    <w:sdtEndPr>
      <w:rPr>
        <w:noProof/>
      </w:rPr>
    </w:sdtEndPr>
    <w:sdtContent>
      <w:p w14:paraId="1F307F36" w14:textId="35CEADF2" w:rsidR="0005540D" w:rsidRDefault="0005540D">
        <w:pPr>
          <w:pStyle w:val="Footer"/>
        </w:pPr>
        <w:r>
          <w:fldChar w:fldCharType="begin"/>
        </w:r>
        <w:r>
          <w:instrText xml:space="preserve"> PAGE   \* MERGEFORMAT </w:instrText>
        </w:r>
        <w:r>
          <w:fldChar w:fldCharType="separate"/>
        </w:r>
        <w:r w:rsidR="005F1CCF">
          <w:rPr>
            <w:noProof/>
          </w:rPr>
          <w:t>4</w:t>
        </w:r>
        <w:r>
          <w:rPr>
            <w:noProof/>
          </w:rPr>
          <w:fldChar w:fldCharType="end"/>
        </w:r>
      </w:p>
    </w:sdtContent>
  </w:sdt>
  <w:p w14:paraId="228CFB95" w14:textId="77777777" w:rsidR="0005540D" w:rsidRDefault="00055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C548E" w14:textId="77777777" w:rsidR="00416504" w:rsidRDefault="00416504" w:rsidP="004B0920">
      <w:pPr>
        <w:spacing w:line="240" w:lineRule="auto"/>
        <w:ind w:firstLine="0"/>
        <w:jc w:val="both"/>
      </w:pPr>
      <w:r>
        <w:separator/>
      </w:r>
    </w:p>
  </w:footnote>
  <w:footnote w:type="continuationSeparator" w:id="0">
    <w:p w14:paraId="076B79B2" w14:textId="77777777" w:rsidR="00416504" w:rsidRDefault="00416504" w:rsidP="00181C10">
      <w:pPr>
        <w:spacing w:line="240" w:lineRule="auto"/>
      </w:pPr>
      <w:r>
        <w:continuationSeparator/>
      </w:r>
    </w:p>
  </w:footnote>
  <w:footnote w:id="1">
    <w:p w14:paraId="59CF4162" w14:textId="71246ED0" w:rsidR="00B21C95" w:rsidRDefault="00B21C95" w:rsidP="00911CE0">
      <w:pPr>
        <w:pStyle w:val="FootnoteText"/>
        <w:jc w:val="left"/>
      </w:pPr>
      <w:r w:rsidRPr="00635CEA">
        <w:rPr>
          <w:rStyle w:val="FootnoteReference"/>
          <w:sz w:val="26"/>
          <w:szCs w:val="26"/>
        </w:rPr>
        <w:footnoteRef/>
      </w:r>
      <w:r>
        <w:rPr>
          <w:sz w:val="26"/>
          <w:szCs w:val="26"/>
        </w:rPr>
        <w:tab/>
      </w:r>
      <w:r>
        <w:rPr>
          <w:color w:val="212121"/>
          <w:sz w:val="26"/>
          <w:szCs w:val="26"/>
        </w:rPr>
        <w:t xml:space="preserve">52 Pa. Code §5.533(b) </w:t>
      </w:r>
      <w:r w:rsidRPr="007B531E">
        <w:rPr>
          <w:color w:val="212121"/>
          <w:sz w:val="26"/>
          <w:szCs w:val="26"/>
        </w:rPr>
        <w:t xml:space="preserve">requires that each </w:t>
      </w:r>
      <w:r w:rsidRPr="00D57829">
        <w:rPr>
          <w:bCs/>
          <w:color w:val="252525"/>
          <w:sz w:val="26"/>
          <w:szCs w:val="26"/>
        </w:rPr>
        <w:t>exception</w:t>
      </w:r>
      <w:r w:rsidRPr="007B531E">
        <w:rPr>
          <w:color w:val="212121"/>
          <w:sz w:val="26"/>
          <w:szCs w:val="26"/>
        </w:rPr>
        <w:t xml:space="preserve"> be numbered and identify the finding of fact and conclusion of law to which </w:t>
      </w:r>
      <w:r w:rsidRPr="00D57829">
        <w:rPr>
          <w:bCs/>
          <w:color w:val="252525"/>
          <w:sz w:val="26"/>
          <w:szCs w:val="26"/>
        </w:rPr>
        <w:t>exception</w:t>
      </w:r>
      <w:r w:rsidRPr="007B531E">
        <w:rPr>
          <w:color w:val="212121"/>
          <w:sz w:val="26"/>
          <w:szCs w:val="26"/>
        </w:rPr>
        <w:t xml:space="preserve"> is taken, and cite to the relevant pages of the Initial Decision. </w:t>
      </w:r>
    </w:p>
  </w:footnote>
  <w:footnote w:id="2">
    <w:p w14:paraId="7F0C3054" w14:textId="605EABA6" w:rsidR="00B21C95" w:rsidRDefault="00B21C95" w:rsidP="00911CE0">
      <w:pPr>
        <w:pStyle w:val="FootnoteText"/>
        <w:keepNext/>
        <w:keepLines/>
        <w:jc w:val="left"/>
      </w:pPr>
      <w:r w:rsidRPr="005337CF">
        <w:rPr>
          <w:rStyle w:val="FootnoteReference"/>
          <w:sz w:val="26"/>
          <w:szCs w:val="26"/>
        </w:rPr>
        <w:footnoteRef/>
      </w:r>
      <w:r>
        <w:tab/>
      </w:r>
      <w:r w:rsidRPr="00D57829">
        <w:rPr>
          <w:sz w:val="26"/>
          <w:szCs w:val="26"/>
        </w:rPr>
        <w:t>52 Pa. Code § 1.2(a)</w:t>
      </w:r>
      <w:r>
        <w:rPr>
          <w:sz w:val="26"/>
          <w:szCs w:val="26"/>
        </w:rPr>
        <w:t xml:space="preserve"> </w:t>
      </w:r>
      <w:r>
        <w:rPr>
          <w:color w:val="212121"/>
          <w:sz w:val="26"/>
          <w:szCs w:val="26"/>
        </w:rPr>
        <w:t>requires a liberal construction of our Regulations</w:t>
      </w:r>
      <w:r w:rsidRPr="007B531E">
        <w:rPr>
          <w:color w:val="212121"/>
          <w:sz w:val="26"/>
          <w:szCs w:val="26"/>
        </w:rPr>
        <w:t xml:space="preserve"> to secure the just, speedy, and inexpensive determination of every action or proceeding to which they are applicable.</w:t>
      </w:r>
    </w:p>
  </w:footnote>
  <w:footnote w:id="3">
    <w:p w14:paraId="22CA22A1" w14:textId="4CAE5657" w:rsidR="00CE7C2A" w:rsidRDefault="00CE7C2A" w:rsidP="00CE7C2A">
      <w:pPr>
        <w:pStyle w:val="FootnoteText"/>
        <w:jc w:val="left"/>
      </w:pPr>
      <w:r>
        <w:rPr>
          <w:rStyle w:val="FootnoteReference"/>
        </w:rPr>
        <w:footnoteRef/>
      </w:r>
      <w:r>
        <w:tab/>
      </w:r>
      <w:r w:rsidRPr="00E44C75">
        <w:rPr>
          <w:i/>
          <w:sz w:val="26"/>
          <w:szCs w:val="26"/>
        </w:rPr>
        <w:t>See also, e.g.,</w:t>
      </w:r>
      <w:r>
        <w:t xml:space="preserve"> </w:t>
      </w:r>
      <w:r w:rsidRPr="00827E17">
        <w:rPr>
          <w:i/>
          <w:sz w:val="26"/>
          <w:szCs w:val="26"/>
        </w:rPr>
        <w:t>Miro Kamenik v. PECO Energy Company</w:t>
      </w:r>
      <w:r w:rsidRPr="00827E17">
        <w:rPr>
          <w:sz w:val="26"/>
          <w:szCs w:val="26"/>
        </w:rPr>
        <w:t>, Docket No. C</w:t>
      </w:r>
      <w:r w:rsidR="000F4822">
        <w:rPr>
          <w:sz w:val="26"/>
          <w:szCs w:val="26"/>
        </w:rPr>
        <w:noBreakHyphen/>
      </w:r>
      <w:r w:rsidRPr="00827E17">
        <w:rPr>
          <w:sz w:val="26"/>
          <w:szCs w:val="26"/>
        </w:rPr>
        <w:t xml:space="preserve">2013-2379058 (Order entered July 29, 2015) (complaint dismissed, </w:t>
      </w:r>
      <w:r w:rsidRPr="00827E17">
        <w:rPr>
          <w:i/>
          <w:sz w:val="26"/>
          <w:szCs w:val="26"/>
        </w:rPr>
        <w:t>without prejudice</w:t>
      </w:r>
      <w:r w:rsidRPr="00827E17">
        <w:rPr>
          <w:sz w:val="26"/>
          <w:szCs w:val="26"/>
        </w:rPr>
        <w:t xml:space="preserve">, because presiding officer convened the scheduled hearing despite complainant having requested a continuance in writing to the presiding officer five days prior to hearing date explaining that a family situation prevented him from being able to attend the scheduled hearing); </w:t>
      </w:r>
      <w:r w:rsidRPr="00827E17">
        <w:rPr>
          <w:i/>
          <w:sz w:val="26"/>
          <w:szCs w:val="26"/>
        </w:rPr>
        <w:t>Amir V. Williams v. PECO Energy Co</w:t>
      </w:r>
      <w:r w:rsidRPr="00827E17">
        <w:rPr>
          <w:sz w:val="26"/>
          <w:szCs w:val="26"/>
        </w:rPr>
        <w:t xml:space="preserve">., Docket No. C-2010-2190024 (Order entered January 14, 2011) </w:t>
      </w:r>
      <w:r>
        <w:rPr>
          <w:sz w:val="26"/>
          <w:szCs w:val="26"/>
        </w:rPr>
        <w:t>(</w:t>
      </w:r>
      <w:r w:rsidRPr="00E44C75">
        <w:rPr>
          <w:i/>
          <w:sz w:val="26"/>
          <w:szCs w:val="26"/>
        </w:rPr>
        <w:t>Amir</w:t>
      </w:r>
      <w:r>
        <w:rPr>
          <w:sz w:val="26"/>
          <w:szCs w:val="26"/>
        </w:rPr>
        <w:t xml:space="preserve"> </w:t>
      </w:r>
      <w:r w:rsidRPr="00D759B3">
        <w:rPr>
          <w:i/>
          <w:sz w:val="26"/>
          <w:szCs w:val="26"/>
        </w:rPr>
        <w:t>Williams</w:t>
      </w:r>
      <w:r>
        <w:rPr>
          <w:sz w:val="26"/>
          <w:szCs w:val="26"/>
        </w:rPr>
        <w:t>)</w:t>
      </w:r>
      <w:r w:rsidRPr="00827E17">
        <w:rPr>
          <w:sz w:val="26"/>
          <w:szCs w:val="26"/>
        </w:rPr>
        <w:t xml:space="preserve"> (complaint dismissed, </w:t>
      </w:r>
      <w:r w:rsidRPr="00827E17">
        <w:rPr>
          <w:i/>
          <w:sz w:val="26"/>
          <w:szCs w:val="26"/>
        </w:rPr>
        <w:t>without prejudice</w:t>
      </w:r>
      <w:r w:rsidRPr="00827E17">
        <w:rPr>
          <w:sz w:val="26"/>
          <w:szCs w:val="26"/>
        </w:rPr>
        <w:t>, because complainant orally requested a continuance during the hearing due to complainant’s high blood pressure and record support that the complainant was not medically capable of testifying at the time of the scheduled hearing).</w:t>
      </w:r>
    </w:p>
  </w:footnote>
  <w:footnote w:id="4">
    <w:p w14:paraId="3F9F4498" w14:textId="77777777" w:rsidR="00CE7C2A" w:rsidRDefault="00CE7C2A" w:rsidP="004E70F1">
      <w:pPr>
        <w:pStyle w:val="FootnoteText"/>
        <w:keepNext/>
        <w:keepLines/>
        <w:jc w:val="left"/>
      </w:pPr>
      <w:r>
        <w:rPr>
          <w:rStyle w:val="FootnoteReference"/>
        </w:rPr>
        <w:footnoteRef/>
      </w:r>
      <w:r>
        <w:t xml:space="preserve"> </w:t>
      </w:r>
      <w:r>
        <w:tab/>
      </w:r>
      <w:r w:rsidRPr="00E44C75">
        <w:rPr>
          <w:i/>
          <w:sz w:val="26"/>
          <w:szCs w:val="26"/>
        </w:rPr>
        <w:t>See also</w:t>
      </w:r>
      <w:r>
        <w:rPr>
          <w:i/>
          <w:sz w:val="26"/>
          <w:szCs w:val="26"/>
        </w:rPr>
        <w:t>, e.g.,</w:t>
      </w:r>
      <w:r>
        <w:rPr>
          <w:sz w:val="26"/>
          <w:szCs w:val="26"/>
        </w:rPr>
        <w:t xml:space="preserve"> </w:t>
      </w:r>
      <w:r w:rsidRPr="00827E17">
        <w:rPr>
          <w:i/>
          <w:sz w:val="26"/>
          <w:szCs w:val="26"/>
        </w:rPr>
        <w:t>Cynthia Santore Smith v. PECO Energy Company</w:t>
      </w:r>
      <w:r w:rsidRPr="00827E17">
        <w:rPr>
          <w:sz w:val="26"/>
          <w:szCs w:val="26"/>
        </w:rPr>
        <w:t>, Docket No. F-2014-2446204 (Order entered September 3, 2015) (</w:t>
      </w:r>
      <w:r w:rsidRPr="00827E17">
        <w:rPr>
          <w:i/>
          <w:sz w:val="26"/>
          <w:szCs w:val="26"/>
        </w:rPr>
        <w:t>Santore Smith</w:t>
      </w:r>
      <w:r w:rsidRPr="00827E17">
        <w:rPr>
          <w:sz w:val="26"/>
          <w:szCs w:val="26"/>
        </w:rPr>
        <w:t xml:space="preserve">) (affirmed ALJ’s decision to dismiss complaint </w:t>
      </w:r>
      <w:r w:rsidRPr="00827E17">
        <w:rPr>
          <w:i/>
          <w:sz w:val="26"/>
          <w:szCs w:val="26"/>
        </w:rPr>
        <w:t>with prejudice</w:t>
      </w:r>
      <w:r w:rsidRPr="00827E17">
        <w:rPr>
          <w:sz w:val="26"/>
          <w:szCs w:val="26"/>
        </w:rPr>
        <w:t xml:space="preserve"> because, although the complainant’s failure to appear at hearing was due to the complainant’s contracting the flu, the complainant’s oral request for continuance was made the same day of the hearing and not supported by any written documentation submitted in the record);</w:t>
      </w:r>
      <w:r w:rsidRPr="00827E17">
        <w:rPr>
          <w:i/>
          <w:sz w:val="26"/>
          <w:szCs w:val="26"/>
        </w:rPr>
        <w:t xml:space="preserve"> Marilyn Day v. PECO Energy Company</w:t>
      </w:r>
      <w:r w:rsidRPr="00827E17">
        <w:rPr>
          <w:sz w:val="26"/>
          <w:szCs w:val="26"/>
        </w:rPr>
        <w:t>, Docket No. C-2010-2181515 (Order entered June 10, 2011)</w:t>
      </w:r>
      <w:r>
        <w:rPr>
          <w:sz w:val="26"/>
          <w:szCs w:val="26"/>
        </w:rPr>
        <w:t xml:space="preserve"> (</w:t>
      </w:r>
      <w:r w:rsidRPr="00827E17">
        <w:rPr>
          <w:i/>
          <w:sz w:val="26"/>
          <w:szCs w:val="26"/>
        </w:rPr>
        <w:t>Marilyn Day</w:t>
      </w:r>
      <w:r>
        <w:rPr>
          <w:sz w:val="26"/>
          <w:szCs w:val="26"/>
        </w:rPr>
        <w:t>)</w:t>
      </w:r>
      <w:r w:rsidRPr="00827E17">
        <w:rPr>
          <w:sz w:val="26"/>
          <w:szCs w:val="26"/>
        </w:rPr>
        <w:t xml:space="preserve"> (affirmed ALJ’s decision to dismiss complaint </w:t>
      </w:r>
      <w:r w:rsidRPr="00827E17">
        <w:rPr>
          <w:i/>
          <w:sz w:val="26"/>
          <w:szCs w:val="26"/>
        </w:rPr>
        <w:t>with prejudice</w:t>
      </w:r>
      <w:r w:rsidRPr="00827E17">
        <w:rPr>
          <w:sz w:val="26"/>
          <w:szCs w:val="26"/>
        </w:rPr>
        <w:t xml:space="preserve"> because, although the complainant’s failure to appear at hearing was due to a scheduling conflict</w:t>
      </w:r>
      <w:r>
        <w:rPr>
          <w:sz w:val="26"/>
          <w:szCs w:val="26"/>
        </w:rPr>
        <w:t xml:space="preserve"> with the start date of </w:t>
      </w:r>
      <w:r w:rsidRPr="00827E17">
        <w:rPr>
          <w:sz w:val="26"/>
          <w:szCs w:val="26"/>
        </w:rPr>
        <w:t>the complainant’s</w:t>
      </w:r>
      <w:r>
        <w:rPr>
          <w:sz w:val="26"/>
          <w:szCs w:val="26"/>
        </w:rPr>
        <w:t xml:space="preserve"> new employment</w:t>
      </w:r>
      <w:r w:rsidRPr="00827E17">
        <w:rPr>
          <w:sz w:val="26"/>
          <w:szCs w:val="26"/>
        </w:rPr>
        <w:t xml:space="preserve">, the oral request for continuance was made the same morning of the hearing and not supported by any written documentation); </w:t>
      </w:r>
      <w:r w:rsidRPr="00827E17">
        <w:rPr>
          <w:i/>
          <w:sz w:val="26"/>
          <w:szCs w:val="26"/>
        </w:rPr>
        <w:t>Deborah</w:t>
      </w:r>
      <w:r w:rsidRPr="00827E17">
        <w:rPr>
          <w:sz w:val="26"/>
          <w:szCs w:val="26"/>
        </w:rPr>
        <w:t xml:space="preserve"> </w:t>
      </w:r>
      <w:r w:rsidRPr="00827E17">
        <w:rPr>
          <w:i/>
          <w:sz w:val="26"/>
          <w:szCs w:val="26"/>
        </w:rPr>
        <w:t>Bethay v. PECO Energy Co</w:t>
      </w:r>
      <w:r w:rsidRPr="00827E17">
        <w:rPr>
          <w:sz w:val="26"/>
          <w:szCs w:val="26"/>
        </w:rPr>
        <w:t>., Docket No. F-2011-2266250 (Order entered August 2, 2012)</w:t>
      </w:r>
      <w:r w:rsidRPr="00870320">
        <w:rPr>
          <w:i/>
          <w:sz w:val="26"/>
          <w:szCs w:val="26"/>
        </w:rPr>
        <w:t xml:space="preserve"> </w:t>
      </w:r>
      <w:r>
        <w:rPr>
          <w:sz w:val="26"/>
          <w:szCs w:val="26"/>
        </w:rPr>
        <w:t>(</w:t>
      </w:r>
      <w:r w:rsidRPr="00827E17">
        <w:rPr>
          <w:i/>
          <w:sz w:val="26"/>
          <w:szCs w:val="26"/>
        </w:rPr>
        <w:t>Deborah</w:t>
      </w:r>
      <w:r w:rsidRPr="00827E17">
        <w:rPr>
          <w:sz w:val="26"/>
          <w:szCs w:val="26"/>
        </w:rPr>
        <w:t xml:space="preserve"> </w:t>
      </w:r>
      <w:r w:rsidRPr="00827E17">
        <w:rPr>
          <w:i/>
          <w:sz w:val="26"/>
          <w:szCs w:val="26"/>
        </w:rPr>
        <w:t>Bethay</w:t>
      </w:r>
      <w:r>
        <w:rPr>
          <w:sz w:val="26"/>
          <w:szCs w:val="26"/>
        </w:rPr>
        <w:t>)</w:t>
      </w:r>
      <w:r w:rsidRPr="00827E17">
        <w:rPr>
          <w:sz w:val="26"/>
          <w:szCs w:val="26"/>
        </w:rPr>
        <w:t xml:space="preserve"> (affirmed ALJ’s decision to dismiss complaint </w:t>
      </w:r>
      <w:r w:rsidRPr="00827E17">
        <w:rPr>
          <w:i/>
          <w:sz w:val="26"/>
          <w:szCs w:val="26"/>
        </w:rPr>
        <w:t>with prejudice</w:t>
      </w:r>
      <w:r w:rsidRPr="00827E17">
        <w:rPr>
          <w:sz w:val="26"/>
          <w:szCs w:val="26"/>
        </w:rPr>
        <w:t xml:space="preserve"> because, although the complainant’s failure to appear at hearing was due to the complainant’s hospitalization for surgery and rehabilitation and supported by written documentation attached to the complainant’s exceptions, the complainant had ample time and opportunity to timely request a hearing continuance prior to the scheduled hearing, but failed to do so); </w:t>
      </w:r>
      <w:r w:rsidRPr="00827E17">
        <w:rPr>
          <w:i/>
          <w:sz w:val="26"/>
          <w:szCs w:val="26"/>
        </w:rPr>
        <w:t>Osuji v. PECO Energy Co</w:t>
      </w:r>
      <w:r w:rsidRPr="00827E17">
        <w:rPr>
          <w:sz w:val="26"/>
          <w:szCs w:val="26"/>
        </w:rPr>
        <w:t xml:space="preserve">., Docket No. C-2008-2071982 (Order entered July 24, 2009) </w:t>
      </w:r>
      <w:r>
        <w:rPr>
          <w:sz w:val="26"/>
          <w:szCs w:val="26"/>
        </w:rPr>
        <w:t>(</w:t>
      </w:r>
      <w:r w:rsidRPr="00827E17">
        <w:rPr>
          <w:i/>
          <w:sz w:val="26"/>
          <w:szCs w:val="26"/>
        </w:rPr>
        <w:t>Osuji</w:t>
      </w:r>
      <w:r>
        <w:rPr>
          <w:sz w:val="26"/>
          <w:szCs w:val="26"/>
        </w:rPr>
        <w:t xml:space="preserve">) </w:t>
      </w:r>
      <w:r w:rsidRPr="00827E17">
        <w:rPr>
          <w:sz w:val="26"/>
          <w:szCs w:val="26"/>
        </w:rPr>
        <w:t xml:space="preserve"> (affirmed ALJ’s decision to dismiss complaint </w:t>
      </w:r>
      <w:r w:rsidRPr="00827E17">
        <w:rPr>
          <w:i/>
          <w:sz w:val="26"/>
          <w:szCs w:val="26"/>
        </w:rPr>
        <w:t>with prejudice</w:t>
      </w:r>
      <w:r w:rsidRPr="00827E17">
        <w:rPr>
          <w:sz w:val="26"/>
          <w:szCs w:val="26"/>
        </w:rPr>
        <w:t xml:space="preserve"> because, although the complainant’s failure to appear at hearing was due to being outside the country and unavailable as a result of a death in the family, the complainant did not request a continuance and did not submit any documentation to support her excuse); </w:t>
      </w:r>
      <w:r w:rsidRPr="00827E17">
        <w:rPr>
          <w:i/>
          <w:sz w:val="26"/>
          <w:szCs w:val="26"/>
        </w:rPr>
        <w:t>Madajewski v. UGI Utilities, Inc</w:t>
      </w:r>
      <w:r w:rsidRPr="00827E17">
        <w:rPr>
          <w:sz w:val="26"/>
          <w:szCs w:val="26"/>
        </w:rPr>
        <w:t xml:space="preserve">., Docket No. C-2008-2070793 (Order entered July 30, 2009) </w:t>
      </w:r>
      <w:r>
        <w:rPr>
          <w:sz w:val="26"/>
          <w:szCs w:val="26"/>
        </w:rPr>
        <w:t>(</w:t>
      </w:r>
      <w:r w:rsidRPr="00827E17">
        <w:rPr>
          <w:i/>
          <w:sz w:val="26"/>
          <w:szCs w:val="26"/>
        </w:rPr>
        <w:t>Madajewski</w:t>
      </w:r>
      <w:r>
        <w:rPr>
          <w:sz w:val="26"/>
          <w:szCs w:val="26"/>
        </w:rPr>
        <w:t>)</w:t>
      </w:r>
      <w:r w:rsidRPr="00827E17">
        <w:rPr>
          <w:sz w:val="26"/>
          <w:szCs w:val="26"/>
        </w:rPr>
        <w:t xml:space="preserve"> (affirmed ALJ’s decision to dismiss complaint </w:t>
      </w:r>
      <w:r w:rsidRPr="00827E17">
        <w:rPr>
          <w:i/>
          <w:sz w:val="26"/>
          <w:szCs w:val="26"/>
        </w:rPr>
        <w:t>with prejudice</w:t>
      </w:r>
      <w:r w:rsidRPr="00827E17">
        <w:rPr>
          <w:sz w:val="26"/>
          <w:szCs w:val="26"/>
        </w:rPr>
        <w:t xml:space="preserve"> because the complainant sent a letter to presiding officer in advance of hearing not requesting a continuance but stating that his employer would not permit his participation in the hearing by telephone and it was “not worth the hassle” for him to request leave from his employment in order</w:t>
      </w:r>
      <w:r>
        <w:rPr>
          <w:sz w:val="26"/>
          <w:szCs w:val="26"/>
        </w:rPr>
        <w:t xml:space="preserve"> to participate in the hearing); </w:t>
      </w:r>
      <w:r w:rsidRPr="0019321F">
        <w:rPr>
          <w:i/>
          <w:sz w:val="26"/>
          <w:szCs w:val="26"/>
        </w:rPr>
        <w:t>Charles Nichols III v. Bell-Atlantic-Pennsyl</w:t>
      </w:r>
      <w:r w:rsidRPr="0019321F">
        <w:rPr>
          <w:i/>
          <w:sz w:val="26"/>
          <w:szCs w:val="26"/>
        </w:rPr>
        <w:softHyphen/>
        <w:t xml:space="preserve">vania, </w:t>
      </w:r>
      <w:r w:rsidRPr="0019321F">
        <w:rPr>
          <w:sz w:val="26"/>
          <w:szCs w:val="26"/>
        </w:rPr>
        <w:t>Docket No. </w:t>
      </w:r>
      <w:r w:rsidRPr="0019321F">
        <w:rPr>
          <w:spacing w:val="-3"/>
          <w:sz w:val="26"/>
          <w:szCs w:val="26"/>
        </w:rPr>
        <w:t>C</w:t>
      </w:r>
      <w:r w:rsidRPr="0019321F">
        <w:rPr>
          <w:spacing w:val="-3"/>
          <w:sz w:val="26"/>
          <w:szCs w:val="26"/>
        </w:rPr>
        <w:noBreakHyphen/>
        <w:t>00956667 (Opinion and Order entered August 4, 1995) (</w:t>
      </w:r>
      <w:r w:rsidRPr="0019321F">
        <w:rPr>
          <w:i/>
          <w:spacing w:val="-3"/>
          <w:sz w:val="26"/>
          <w:szCs w:val="26"/>
        </w:rPr>
        <w:t>Nichols</w:t>
      </w:r>
      <w:r>
        <w:rPr>
          <w:i/>
          <w:spacing w:val="-3"/>
          <w:sz w:val="26"/>
          <w:szCs w:val="26"/>
        </w:rPr>
        <w:t xml:space="preserve"> III</w:t>
      </w:r>
      <w:r>
        <w:rPr>
          <w:spacing w:val="-3"/>
          <w:sz w:val="26"/>
          <w:szCs w:val="26"/>
        </w:rPr>
        <w:t>) (affirmed ALJ’s decision to dismiss the complainant and found that the complainant’s excuse, as stated in the complainant’s exceptions - that he worked the graveyard shift and overslept and missed the hearing – “was not caused by unavoidable circumstances, but instead was caused by his own lack of diligence”).</w:t>
      </w:r>
    </w:p>
  </w:footnote>
  <w:footnote w:id="5">
    <w:p w14:paraId="5C174758" w14:textId="49EA796A" w:rsidR="00CE7C2A" w:rsidRDefault="00CE7C2A" w:rsidP="004E70F1">
      <w:pPr>
        <w:pStyle w:val="FootnoteText"/>
        <w:keepNext/>
        <w:keepLines/>
        <w:jc w:val="left"/>
      </w:pPr>
      <w:r>
        <w:rPr>
          <w:rStyle w:val="FootnoteReference"/>
        </w:rPr>
        <w:footnoteRef/>
      </w:r>
      <w:r>
        <w:t xml:space="preserve"> </w:t>
      </w:r>
      <w:r>
        <w:tab/>
      </w:r>
      <w:r w:rsidRPr="00E44C75">
        <w:rPr>
          <w:i/>
          <w:sz w:val="26"/>
          <w:szCs w:val="26"/>
        </w:rPr>
        <w:t>See also, e.g</w:t>
      </w:r>
      <w:r w:rsidRPr="00E44C75">
        <w:rPr>
          <w:sz w:val="26"/>
          <w:szCs w:val="26"/>
        </w:rPr>
        <w:t>.,</w:t>
      </w:r>
      <w:r>
        <w:t xml:space="preserve"> </w:t>
      </w:r>
      <w:r w:rsidRPr="00827E17">
        <w:rPr>
          <w:i/>
          <w:sz w:val="26"/>
          <w:szCs w:val="26"/>
        </w:rPr>
        <w:t>Windell C. Wiggins v. PECO Energy Company</w:t>
      </w:r>
      <w:r w:rsidRPr="00827E17">
        <w:rPr>
          <w:sz w:val="26"/>
          <w:szCs w:val="26"/>
        </w:rPr>
        <w:t xml:space="preserve">, Docket No. C-2010-2190335 (Order entered October 27, 2011) </w:t>
      </w:r>
      <w:r>
        <w:rPr>
          <w:sz w:val="26"/>
          <w:szCs w:val="26"/>
        </w:rPr>
        <w:t>(</w:t>
      </w:r>
      <w:r w:rsidRPr="00DB65E9">
        <w:rPr>
          <w:i/>
          <w:sz w:val="26"/>
          <w:szCs w:val="26"/>
        </w:rPr>
        <w:t>Wiggins</w:t>
      </w:r>
      <w:r>
        <w:rPr>
          <w:sz w:val="26"/>
          <w:szCs w:val="26"/>
        </w:rPr>
        <w:t xml:space="preserve">) </w:t>
      </w:r>
      <w:r w:rsidRPr="00827E17">
        <w:rPr>
          <w:sz w:val="26"/>
          <w:szCs w:val="26"/>
        </w:rPr>
        <w:t xml:space="preserve">(complaint dismissed </w:t>
      </w:r>
      <w:r w:rsidRPr="00827E17">
        <w:rPr>
          <w:i/>
          <w:sz w:val="26"/>
          <w:szCs w:val="26"/>
        </w:rPr>
        <w:t>without prejudice</w:t>
      </w:r>
      <w:r w:rsidRPr="00827E17">
        <w:rPr>
          <w:sz w:val="26"/>
          <w:szCs w:val="26"/>
        </w:rPr>
        <w:t xml:space="preserve"> because the complainant demonstrated an effort to timely attend the initial hearing but waited in an area used by the welfare department and its complainants rather than the Commission’s hearing room and the complainant did not attend the rescheduled hearing); </w:t>
      </w:r>
      <w:r w:rsidRPr="00827E17">
        <w:rPr>
          <w:i/>
          <w:sz w:val="26"/>
          <w:szCs w:val="26"/>
        </w:rPr>
        <w:t>Edward B. Ference v. Equitable Gas Company</w:t>
      </w:r>
      <w:r w:rsidRPr="00827E17">
        <w:rPr>
          <w:sz w:val="26"/>
          <w:szCs w:val="26"/>
        </w:rPr>
        <w:t>, Docket No. C</w:t>
      </w:r>
      <w:r w:rsidR="00A24F6A">
        <w:rPr>
          <w:sz w:val="26"/>
          <w:szCs w:val="26"/>
        </w:rPr>
        <w:noBreakHyphen/>
      </w:r>
      <w:r w:rsidRPr="00827E17">
        <w:rPr>
          <w:sz w:val="26"/>
          <w:szCs w:val="26"/>
        </w:rPr>
        <w:t>20015840 (Order entered February 12, 2002) (reversed ALJ’s decision to dismiss complaint with prejudice and remanded for hearing upon demonstration that the complainant made a good faith attempt to attend the hearing but was unavoidably delayed due to late arrival of his taxicab, and such excuse was supported by a letter submitted in the record from the cab company conf</w:t>
      </w:r>
      <w:r>
        <w:rPr>
          <w:sz w:val="26"/>
          <w:szCs w:val="26"/>
        </w:rPr>
        <w:t>irming arrival time of the cab)</w:t>
      </w:r>
      <w:r w:rsidRPr="00827E17">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7B3"/>
    <w:multiLevelType w:val="hybridMultilevel"/>
    <w:tmpl w:val="646626BA"/>
    <w:lvl w:ilvl="0" w:tplc="BA5CD02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3A"/>
    <w:rsid w:val="00001CD3"/>
    <w:rsid w:val="00003318"/>
    <w:rsid w:val="00005B07"/>
    <w:rsid w:val="0000670A"/>
    <w:rsid w:val="00006984"/>
    <w:rsid w:val="00013AD6"/>
    <w:rsid w:val="000246BF"/>
    <w:rsid w:val="00026DC4"/>
    <w:rsid w:val="000275E7"/>
    <w:rsid w:val="000311A3"/>
    <w:rsid w:val="0004245D"/>
    <w:rsid w:val="000478A2"/>
    <w:rsid w:val="0005002E"/>
    <w:rsid w:val="000506A6"/>
    <w:rsid w:val="00051432"/>
    <w:rsid w:val="000544CF"/>
    <w:rsid w:val="00054660"/>
    <w:rsid w:val="0005540D"/>
    <w:rsid w:val="00064B5B"/>
    <w:rsid w:val="00070DDD"/>
    <w:rsid w:val="00072C6C"/>
    <w:rsid w:val="00083EDF"/>
    <w:rsid w:val="000845C0"/>
    <w:rsid w:val="00090342"/>
    <w:rsid w:val="00093206"/>
    <w:rsid w:val="000A2361"/>
    <w:rsid w:val="000A2650"/>
    <w:rsid w:val="000B47EB"/>
    <w:rsid w:val="000B5458"/>
    <w:rsid w:val="000B5D4F"/>
    <w:rsid w:val="000C04EA"/>
    <w:rsid w:val="000D2DC4"/>
    <w:rsid w:val="000D5317"/>
    <w:rsid w:val="000D5813"/>
    <w:rsid w:val="000D68DB"/>
    <w:rsid w:val="000E3C13"/>
    <w:rsid w:val="000E49EA"/>
    <w:rsid w:val="000E7A4D"/>
    <w:rsid w:val="000F04F4"/>
    <w:rsid w:val="000F3EFD"/>
    <w:rsid w:val="000F4822"/>
    <w:rsid w:val="000F50C9"/>
    <w:rsid w:val="00104F93"/>
    <w:rsid w:val="00105025"/>
    <w:rsid w:val="001076FD"/>
    <w:rsid w:val="00112628"/>
    <w:rsid w:val="00112B08"/>
    <w:rsid w:val="00113BC3"/>
    <w:rsid w:val="0011561E"/>
    <w:rsid w:val="0013594A"/>
    <w:rsid w:val="00136811"/>
    <w:rsid w:val="00137987"/>
    <w:rsid w:val="00137AB2"/>
    <w:rsid w:val="00137C8F"/>
    <w:rsid w:val="001402EC"/>
    <w:rsid w:val="0014243C"/>
    <w:rsid w:val="001441BC"/>
    <w:rsid w:val="00144F54"/>
    <w:rsid w:val="00145ECA"/>
    <w:rsid w:val="0014797A"/>
    <w:rsid w:val="00155364"/>
    <w:rsid w:val="001565CE"/>
    <w:rsid w:val="00156981"/>
    <w:rsid w:val="00170121"/>
    <w:rsid w:val="0017039E"/>
    <w:rsid w:val="00172C3A"/>
    <w:rsid w:val="001803DB"/>
    <w:rsid w:val="00181C10"/>
    <w:rsid w:val="001821BC"/>
    <w:rsid w:val="00191DCE"/>
    <w:rsid w:val="001A0B3D"/>
    <w:rsid w:val="001B20BE"/>
    <w:rsid w:val="001B3A6F"/>
    <w:rsid w:val="001B3AFE"/>
    <w:rsid w:val="001C2822"/>
    <w:rsid w:val="001C2ED3"/>
    <w:rsid w:val="001C32F4"/>
    <w:rsid w:val="001C67CD"/>
    <w:rsid w:val="001D2418"/>
    <w:rsid w:val="001D541C"/>
    <w:rsid w:val="001D5774"/>
    <w:rsid w:val="001D57EF"/>
    <w:rsid w:val="001D5D09"/>
    <w:rsid w:val="001D698E"/>
    <w:rsid w:val="001E47F7"/>
    <w:rsid w:val="001E65C3"/>
    <w:rsid w:val="001F1AD4"/>
    <w:rsid w:val="001F3862"/>
    <w:rsid w:val="00202599"/>
    <w:rsid w:val="00205C67"/>
    <w:rsid w:val="00207A57"/>
    <w:rsid w:val="002165E1"/>
    <w:rsid w:val="002252FF"/>
    <w:rsid w:val="002279AF"/>
    <w:rsid w:val="00236FC7"/>
    <w:rsid w:val="00247C56"/>
    <w:rsid w:val="00247EAC"/>
    <w:rsid w:val="00250751"/>
    <w:rsid w:val="00254A4B"/>
    <w:rsid w:val="002553B7"/>
    <w:rsid w:val="00257335"/>
    <w:rsid w:val="002576CA"/>
    <w:rsid w:val="002611B2"/>
    <w:rsid w:val="0026146A"/>
    <w:rsid w:val="00264570"/>
    <w:rsid w:val="002749F4"/>
    <w:rsid w:val="0027544D"/>
    <w:rsid w:val="002824A5"/>
    <w:rsid w:val="0028557B"/>
    <w:rsid w:val="00286FD1"/>
    <w:rsid w:val="002A38EA"/>
    <w:rsid w:val="002A5184"/>
    <w:rsid w:val="002B6B08"/>
    <w:rsid w:val="002C5FB6"/>
    <w:rsid w:val="002C7C42"/>
    <w:rsid w:val="002D251D"/>
    <w:rsid w:val="002D2D5A"/>
    <w:rsid w:val="002D6DA3"/>
    <w:rsid w:val="002E03FB"/>
    <w:rsid w:val="002E1DA3"/>
    <w:rsid w:val="002F53AB"/>
    <w:rsid w:val="00313CCE"/>
    <w:rsid w:val="0031727B"/>
    <w:rsid w:val="003213FC"/>
    <w:rsid w:val="00331DF0"/>
    <w:rsid w:val="00332D27"/>
    <w:rsid w:val="00334A42"/>
    <w:rsid w:val="003419FE"/>
    <w:rsid w:val="00345330"/>
    <w:rsid w:val="0034537A"/>
    <w:rsid w:val="003464F8"/>
    <w:rsid w:val="0035286A"/>
    <w:rsid w:val="00353058"/>
    <w:rsid w:val="0035582A"/>
    <w:rsid w:val="0035730E"/>
    <w:rsid w:val="00357E45"/>
    <w:rsid w:val="00357ED4"/>
    <w:rsid w:val="003708B4"/>
    <w:rsid w:val="00370DC2"/>
    <w:rsid w:val="00373CC2"/>
    <w:rsid w:val="0037499E"/>
    <w:rsid w:val="0038324E"/>
    <w:rsid w:val="00385D79"/>
    <w:rsid w:val="0039099D"/>
    <w:rsid w:val="00392BB0"/>
    <w:rsid w:val="003A1EF6"/>
    <w:rsid w:val="003A2C4D"/>
    <w:rsid w:val="003A390E"/>
    <w:rsid w:val="003B68C2"/>
    <w:rsid w:val="003C0D34"/>
    <w:rsid w:val="003C251B"/>
    <w:rsid w:val="003C2FE7"/>
    <w:rsid w:val="003C3B50"/>
    <w:rsid w:val="003C48F8"/>
    <w:rsid w:val="003C58D6"/>
    <w:rsid w:val="003C6DCF"/>
    <w:rsid w:val="003D004B"/>
    <w:rsid w:val="003D42D5"/>
    <w:rsid w:val="003D6930"/>
    <w:rsid w:val="003D6FC9"/>
    <w:rsid w:val="003E3481"/>
    <w:rsid w:val="003E3D65"/>
    <w:rsid w:val="003E7290"/>
    <w:rsid w:val="003F2C2C"/>
    <w:rsid w:val="003F3876"/>
    <w:rsid w:val="003F4CE3"/>
    <w:rsid w:val="003F4FF6"/>
    <w:rsid w:val="003F6A98"/>
    <w:rsid w:val="003F6E2A"/>
    <w:rsid w:val="0040414E"/>
    <w:rsid w:val="00404695"/>
    <w:rsid w:val="00410FC5"/>
    <w:rsid w:val="00416504"/>
    <w:rsid w:val="004278C0"/>
    <w:rsid w:val="00431FCD"/>
    <w:rsid w:val="00434C01"/>
    <w:rsid w:val="00436688"/>
    <w:rsid w:val="00444C8D"/>
    <w:rsid w:val="00447AB7"/>
    <w:rsid w:val="004543AC"/>
    <w:rsid w:val="0045770A"/>
    <w:rsid w:val="00457E6D"/>
    <w:rsid w:val="004600E4"/>
    <w:rsid w:val="00465F96"/>
    <w:rsid w:val="0046702F"/>
    <w:rsid w:val="004906A9"/>
    <w:rsid w:val="00491833"/>
    <w:rsid w:val="004924DE"/>
    <w:rsid w:val="00492A4D"/>
    <w:rsid w:val="0049549E"/>
    <w:rsid w:val="004A1929"/>
    <w:rsid w:val="004A319C"/>
    <w:rsid w:val="004A44D1"/>
    <w:rsid w:val="004B0779"/>
    <w:rsid w:val="004B0920"/>
    <w:rsid w:val="004B2A99"/>
    <w:rsid w:val="004B536F"/>
    <w:rsid w:val="004B7217"/>
    <w:rsid w:val="004C0C3A"/>
    <w:rsid w:val="004C38DC"/>
    <w:rsid w:val="004D5527"/>
    <w:rsid w:val="004E1183"/>
    <w:rsid w:val="004E62A5"/>
    <w:rsid w:val="004E672C"/>
    <w:rsid w:val="004E70F1"/>
    <w:rsid w:val="004F1AA1"/>
    <w:rsid w:val="004F4E78"/>
    <w:rsid w:val="004F6982"/>
    <w:rsid w:val="0050311E"/>
    <w:rsid w:val="0050700C"/>
    <w:rsid w:val="00511DE8"/>
    <w:rsid w:val="00517584"/>
    <w:rsid w:val="00517624"/>
    <w:rsid w:val="0051783B"/>
    <w:rsid w:val="00523B3C"/>
    <w:rsid w:val="00524542"/>
    <w:rsid w:val="00530632"/>
    <w:rsid w:val="00532218"/>
    <w:rsid w:val="0053308A"/>
    <w:rsid w:val="005409DE"/>
    <w:rsid w:val="0055610A"/>
    <w:rsid w:val="00566309"/>
    <w:rsid w:val="005671E6"/>
    <w:rsid w:val="0057189A"/>
    <w:rsid w:val="00572342"/>
    <w:rsid w:val="00573339"/>
    <w:rsid w:val="00577A7C"/>
    <w:rsid w:val="00583CC7"/>
    <w:rsid w:val="00587E57"/>
    <w:rsid w:val="00594BDB"/>
    <w:rsid w:val="00597988"/>
    <w:rsid w:val="005A0B1E"/>
    <w:rsid w:val="005B1FAF"/>
    <w:rsid w:val="005B3F8B"/>
    <w:rsid w:val="005B43BA"/>
    <w:rsid w:val="005B6A65"/>
    <w:rsid w:val="005C041B"/>
    <w:rsid w:val="005C17EF"/>
    <w:rsid w:val="005C21D0"/>
    <w:rsid w:val="005C6800"/>
    <w:rsid w:val="005D20F9"/>
    <w:rsid w:val="005D41CD"/>
    <w:rsid w:val="005E3D21"/>
    <w:rsid w:val="005E7403"/>
    <w:rsid w:val="005F1CCF"/>
    <w:rsid w:val="005F226B"/>
    <w:rsid w:val="005F36EC"/>
    <w:rsid w:val="005F4030"/>
    <w:rsid w:val="00602DD7"/>
    <w:rsid w:val="0060352A"/>
    <w:rsid w:val="00604522"/>
    <w:rsid w:val="00607935"/>
    <w:rsid w:val="006101F6"/>
    <w:rsid w:val="00624040"/>
    <w:rsid w:val="00627486"/>
    <w:rsid w:val="00627843"/>
    <w:rsid w:val="0063396C"/>
    <w:rsid w:val="006367B2"/>
    <w:rsid w:val="00637671"/>
    <w:rsid w:val="006565D7"/>
    <w:rsid w:val="00660975"/>
    <w:rsid w:val="00662EDC"/>
    <w:rsid w:val="006649E6"/>
    <w:rsid w:val="00664BD4"/>
    <w:rsid w:val="006701AA"/>
    <w:rsid w:val="00673D55"/>
    <w:rsid w:val="006747FA"/>
    <w:rsid w:val="00677EFC"/>
    <w:rsid w:val="006824B5"/>
    <w:rsid w:val="00685136"/>
    <w:rsid w:val="006917A2"/>
    <w:rsid w:val="006C3B00"/>
    <w:rsid w:val="006D4A4C"/>
    <w:rsid w:val="006E18E9"/>
    <w:rsid w:val="006E1AA7"/>
    <w:rsid w:val="006E34FB"/>
    <w:rsid w:val="006F0617"/>
    <w:rsid w:val="006F1468"/>
    <w:rsid w:val="006F454B"/>
    <w:rsid w:val="006F6E5D"/>
    <w:rsid w:val="007032B0"/>
    <w:rsid w:val="00705EA0"/>
    <w:rsid w:val="0071216D"/>
    <w:rsid w:val="00712F91"/>
    <w:rsid w:val="00713FE1"/>
    <w:rsid w:val="007163D4"/>
    <w:rsid w:val="00722546"/>
    <w:rsid w:val="00730D12"/>
    <w:rsid w:val="00734483"/>
    <w:rsid w:val="0074786B"/>
    <w:rsid w:val="00750E23"/>
    <w:rsid w:val="0075548F"/>
    <w:rsid w:val="007603D5"/>
    <w:rsid w:val="007608DA"/>
    <w:rsid w:val="00760B25"/>
    <w:rsid w:val="00767EB3"/>
    <w:rsid w:val="0077091B"/>
    <w:rsid w:val="00771579"/>
    <w:rsid w:val="0077306B"/>
    <w:rsid w:val="0078288F"/>
    <w:rsid w:val="00784492"/>
    <w:rsid w:val="0079150C"/>
    <w:rsid w:val="0079203B"/>
    <w:rsid w:val="00792E6A"/>
    <w:rsid w:val="007A020F"/>
    <w:rsid w:val="007A28E8"/>
    <w:rsid w:val="007A4121"/>
    <w:rsid w:val="007A77E7"/>
    <w:rsid w:val="007B01DE"/>
    <w:rsid w:val="007B07E2"/>
    <w:rsid w:val="007B34A4"/>
    <w:rsid w:val="007B36CE"/>
    <w:rsid w:val="007C5499"/>
    <w:rsid w:val="007C76B6"/>
    <w:rsid w:val="007E448F"/>
    <w:rsid w:val="007E5C51"/>
    <w:rsid w:val="007F26B1"/>
    <w:rsid w:val="007F5012"/>
    <w:rsid w:val="008034ED"/>
    <w:rsid w:val="00803AB0"/>
    <w:rsid w:val="00803DEC"/>
    <w:rsid w:val="0080455C"/>
    <w:rsid w:val="00805406"/>
    <w:rsid w:val="00810D70"/>
    <w:rsid w:val="00810F84"/>
    <w:rsid w:val="0081458B"/>
    <w:rsid w:val="0081669B"/>
    <w:rsid w:val="008238CC"/>
    <w:rsid w:val="008242A5"/>
    <w:rsid w:val="00837378"/>
    <w:rsid w:val="0084020F"/>
    <w:rsid w:val="00840AEB"/>
    <w:rsid w:val="00843E64"/>
    <w:rsid w:val="00851124"/>
    <w:rsid w:val="00854F3B"/>
    <w:rsid w:val="00856668"/>
    <w:rsid w:val="008610D3"/>
    <w:rsid w:val="00875128"/>
    <w:rsid w:val="0088484F"/>
    <w:rsid w:val="00885639"/>
    <w:rsid w:val="008865A9"/>
    <w:rsid w:val="008901F4"/>
    <w:rsid w:val="00891227"/>
    <w:rsid w:val="00892B0E"/>
    <w:rsid w:val="00893B9F"/>
    <w:rsid w:val="008A0BBD"/>
    <w:rsid w:val="008A247A"/>
    <w:rsid w:val="008A2651"/>
    <w:rsid w:val="008A417E"/>
    <w:rsid w:val="008B44B2"/>
    <w:rsid w:val="008B5379"/>
    <w:rsid w:val="008B5AAA"/>
    <w:rsid w:val="008C7470"/>
    <w:rsid w:val="008D01EE"/>
    <w:rsid w:val="008D0EAE"/>
    <w:rsid w:val="008D14A0"/>
    <w:rsid w:val="008D4612"/>
    <w:rsid w:val="008D5A51"/>
    <w:rsid w:val="008E79DB"/>
    <w:rsid w:val="008F3CBF"/>
    <w:rsid w:val="009035E3"/>
    <w:rsid w:val="0090370A"/>
    <w:rsid w:val="009118EE"/>
    <w:rsid w:val="00911CE0"/>
    <w:rsid w:val="00912BD1"/>
    <w:rsid w:val="00914835"/>
    <w:rsid w:val="00915051"/>
    <w:rsid w:val="00917E49"/>
    <w:rsid w:val="00931126"/>
    <w:rsid w:val="009377BD"/>
    <w:rsid w:val="00940CE9"/>
    <w:rsid w:val="00941A79"/>
    <w:rsid w:val="009439A4"/>
    <w:rsid w:val="00963445"/>
    <w:rsid w:val="0098532E"/>
    <w:rsid w:val="0099398F"/>
    <w:rsid w:val="009A0644"/>
    <w:rsid w:val="009A0EFE"/>
    <w:rsid w:val="009A6BF2"/>
    <w:rsid w:val="009B317C"/>
    <w:rsid w:val="009B3622"/>
    <w:rsid w:val="009B3959"/>
    <w:rsid w:val="009B56BE"/>
    <w:rsid w:val="009C18C5"/>
    <w:rsid w:val="009C3C42"/>
    <w:rsid w:val="009D42CD"/>
    <w:rsid w:val="009E52A6"/>
    <w:rsid w:val="009E548E"/>
    <w:rsid w:val="009E70C8"/>
    <w:rsid w:val="009F3CA9"/>
    <w:rsid w:val="009F4C97"/>
    <w:rsid w:val="009F5DAD"/>
    <w:rsid w:val="00A010F7"/>
    <w:rsid w:val="00A11E3C"/>
    <w:rsid w:val="00A121B1"/>
    <w:rsid w:val="00A15703"/>
    <w:rsid w:val="00A24F6A"/>
    <w:rsid w:val="00A265E9"/>
    <w:rsid w:val="00A27EA8"/>
    <w:rsid w:val="00A45520"/>
    <w:rsid w:val="00A45EAA"/>
    <w:rsid w:val="00A46841"/>
    <w:rsid w:val="00A50A56"/>
    <w:rsid w:val="00A53B01"/>
    <w:rsid w:val="00A55144"/>
    <w:rsid w:val="00A60CA9"/>
    <w:rsid w:val="00A61546"/>
    <w:rsid w:val="00A62A33"/>
    <w:rsid w:val="00A63DE8"/>
    <w:rsid w:val="00A711E6"/>
    <w:rsid w:val="00A71D80"/>
    <w:rsid w:val="00A767E3"/>
    <w:rsid w:val="00A82450"/>
    <w:rsid w:val="00A904E8"/>
    <w:rsid w:val="00A9079B"/>
    <w:rsid w:val="00A90FA4"/>
    <w:rsid w:val="00A916B3"/>
    <w:rsid w:val="00A92891"/>
    <w:rsid w:val="00A92FE3"/>
    <w:rsid w:val="00A94A9C"/>
    <w:rsid w:val="00A957E2"/>
    <w:rsid w:val="00AA5F56"/>
    <w:rsid w:val="00AA62DB"/>
    <w:rsid w:val="00AB387F"/>
    <w:rsid w:val="00AC03EB"/>
    <w:rsid w:val="00AC21DF"/>
    <w:rsid w:val="00AC26D1"/>
    <w:rsid w:val="00AC2E04"/>
    <w:rsid w:val="00AD3D5F"/>
    <w:rsid w:val="00AE2953"/>
    <w:rsid w:val="00AE534A"/>
    <w:rsid w:val="00AE6606"/>
    <w:rsid w:val="00AF47EC"/>
    <w:rsid w:val="00B052BA"/>
    <w:rsid w:val="00B068CE"/>
    <w:rsid w:val="00B10916"/>
    <w:rsid w:val="00B13262"/>
    <w:rsid w:val="00B14EF6"/>
    <w:rsid w:val="00B17A1A"/>
    <w:rsid w:val="00B20755"/>
    <w:rsid w:val="00B21C95"/>
    <w:rsid w:val="00B2264F"/>
    <w:rsid w:val="00B250B9"/>
    <w:rsid w:val="00B265D7"/>
    <w:rsid w:val="00B27449"/>
    <w:rsid w:val="00B3046D"/>
    <w:rsid w:val="00B349EE"/>
    <w:rsid w:val="00B361EF"/>
    <w:rsid w:val="00B44F64"/>
    <w:rsid w:val="00B4613A"/>
    <w:rsid w:val="00B471E4"/>
    <w:rsid w:val="00B53CCA"/>
    <w:rsid w:val="00B556E4"/>
    <w:rsid w:val="00B63502"/>
    <w:rsid w:val="00B662FF"/>
    <w:rsid w:val="00B72C94"/>
    <w:rsid w:val="00B7396B"/>
    <w:rsid w:val="00B746FE"/>
    <w:rsid w:val="00B776E7"/>
    <w:rsid w:val="00B77DF6"/>
    <w:rsid w:val="00B83949"/>
    <w:rsid w:val="00B8626B"/>
    <w:rsid w:val="00B87BD9"/>
    <w:rsid w:val="00B92776"/>
    <w:rsid w:val="00B94E5C"/>
    <w:rsid w:val="00BA323F"/>
    <w:rsid w:val="00BA4F1C"/>
    <w:rsid w:val="00BB3846"/>
    <w:rsid w:val="00BB7E2A"/>
    <w:rsid w:val="00BC6254"/>
    <w:rsid w:val="00BD3880"/>
    <w:rsid w:val="00BD39A6"/>
    <w:rsid w:val="00BF2EC5"/>
    <w:rsid w:val="00BF3EBC"/>
    <w:rsid w:val="00BF6174"/>
    <w:rsid w:val="00C06C56"/>
    <w:rsid w:val="00C10A53"/>
    <w:rsid w:val="00C110F6"/>
    <w:rsid w:val="00C14DD4"/>
    <w:rsid w:val="00C173FD"/>
    <w:rsid w:val="00C24EDB"/>
    <w:rsid w:val="00C43E49"/>
    <w:rsid w:val="00C5324C"/>
    <w:rsid w:val="00C676D4"/>
    <w:rsid w:val="00C71E5F"/>
    <w:rsid w:val="00C80F45"/>
    <w:rsid w:val="00C83BF5"/>
    <w:rsid w:val="00C91C73"/>
    <w:rsid w:val="00C931D8"/>
    <w:rsid w:val="00C9509F"/>
    <w:rsid w:val="00CB0217"/>
    <w:rsid w:val="00CC6168"/>
    <w:rsid w:val="00CD3564"/>
    <w:rsid w:val="00CD3AC9"/>
    <w:rsid w:val="00CE7C2A"/>
    <w:rsid w:val="00D044E2"/>
    <w:rsid w:val="00D05888"/>
    <w:rsid w:val="00D07E78"/>
    <w:rsid w:val="00D1217A"/>
    <w:rsid w:val="00D17076"/>
    <w:rsid w:val="00D17C2D"/>
    <w:rsid w:val="00D2044A"/>
    <w:rsid w:val="00D23683"/>
    <w:rsid w:val="00D278FE"/>
    <w:rsid w:val="00D409E4"/>
    <w:rsid w:val="00D42242"/>
    <w:rsid w:val="00D46080"/>
    <w:rsid w:val="00D51C18"/>
    <w:rsid w:val="00D611AE"/>
    <w:rsid w:val="00D66F1D"/>
    <w:rsid w:val="00D674DA"/>
    <w:rsid w:val="00D71357"/>
    <w:rsid w:val="00D751D3"/>
    <w:rsid w:val="00D75E22"/>
    <w:rsid w:val="00D769FF"/>
    <w:rsid w:val="00D86BAE"/>
    <w:rsid w:val="00D90A05"/>
    <w:rsid w:val="00DB1428"/>
    <w:rsid w:val="00DC18D4"/>
    <w:rsid w:val="00DC356B"/>
    <w:rsid w:val="00DD14DC"/>
    <w:rsid w:val="00DD4A24"/>
    <w:rsid w:val="00DE4328"/>
    <w:rsid w:val="00DF6E24"/>
    <w:rsid w:val="00DF7558"/>
    <w:rsid w:val="00E033D0"/>
    <w:rsid w:val="00E1752F"/>
    <w:rsid w:val="00E34D23"/>
    <w:rsid w:val="00E3582F"/>
    <w:rsid w:val="00E36214"/>
    <w:rsid w:val="00E37594"/>
    <w:rsid w:val="00E436FB"/>
    <w:rsid w:val="00E4459F"/>
    <w:rsid w:val="00E455D3"/>
    <w:rsid w:val="00E469F2"/>
    <w:rsid w:val="00E46F56"/>
    <w:rsid w:val="00E522B8"/>
    <w:rsid w:val="00E56C73"/>
    <w:rsid w:val="00E615CF"/>
    <w:rsid w:val="00E6760A"/>
    <w:rsid w:val="00E709E3"/>
    <w:rsid w:val="00E87BE4"/>
    <w:rsid w:val="00E90C18"/>
    <w:rsid w:val="00E953F8"/>
    <w:rsid w:val="00E97C9E"/>
    <w:rsid w:val="00EA441A"/>
    <w:rsid w:val="00EA63F6"/>
    <w:rsid w:val="00EA7851"/>
    <w:rsid w:val="00EA7EEC"/>
    <w:rsid w:val="00EB5B12"/>
    <w:rsid w:val="00ED35F9"/>
    <w:rsid w:val="00ED6232"/>
    <w:rsid w:val="00EF0386"/>
    <w:rsid w:val="00EF3FD9"/>
    <w:rsid w:val="00EF5830"/>
    <w:rsid w:val="00F029A7"/>
    <w:rsid w:val="00F044F5"/>
    <w:rsid w:val="00F06D90"/>
    <w:rsid w:val="00F07EBD"/>
    <w:rsid w:val="00F14949"/>
    <w:rsid w:val="00F15367"/>
    <w:rsid w:val="00F1588E"/>
    <w:rsid w:val="00F23EA7"/>
    <w:rsid w:val="00F27014"/>
    <w:rsid w:val="00F331E2"/>
    <w:rsid w:val="00F40EA5"/>
    <w:rsid w:val="00F415C5"/>
    <w:rsid w:val="00F438C8"/>
    <w:rsid w:val="00F44A79"/>
    <w:rsid w:val="00F47463"/>
    <w:rsid w:val="00F632E1"/>
    <w:rsid w:val="00F66EFD"/>
    <w:rsid w:val="00F67021"/>
    <w:rsid w:val="00F80953"/>
    <w:rsid w:val="00F91134"/>
    <w:rsid w:val="00F957B4"/>
    <w:rsid w:val="00FA080F"/>
    <w:rsid w:val="00FA1B9F"/>
    <w:rsid w:val="00FA4C3B"/>
    <w:rsid w:val="00FA6932"/>
    <w:rsid w:val="00FA78CA"/>
    <w:rsid w:val="00FB110C"/>
    <w:rsid w:val="00FB43BA"/>
    <w:rsid w:val="00FB4CD1"/>
    <w:rsid w:val="00FB5773"/>
    <w:rsid w:val="00FB5CAE"/>
    <w:rsid w:val="00FB7C3D"/>
    <w:rsid w:val="00FC11AE"/>
    <w:rsid w:val="00FC3DD6"/>
    <w:rsid w:val="00FC6665"/>
    <w:rsid w:val="00FD19B9"/>
    <w:rsid w:val="00FD4135"/>
    <w:rsid w:val="00FD6F93"/>
    <w:rsid w:val="00FE6E73"/>
    <w:rsid w:val="00FF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1F5903B"/>
  <w15:chartTrackingRefBased/>
  <w15:docId w15:val="{8DCCDDB7-FBF0-4A81-AA96-25C602A4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13A"/>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13A"/>
    <w:pPr>
      <w:ind w:left="720"/>
      <w:contextualSpacing/>
    </w:pPr>
  </w:style>
  <w:style w:type="paragraph" w:customStyle="1" w:styleId="Default">
    <w:name w:val="Default"/>
    <w:rsid w:val="00D4608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4A44D1"/>
    <w:rPr>
      <w:color w:val="0000FF"/>
      <w:u w:val="single"/>
    </w:rPr>
  </w:style>
  <w:style w:type="character" w:customStyle="1" w:styleId="term1">
    <w:name w:val="term1"/>
    <w:basedOn w:val="DefaultParagraphFont"/>
    <w:rsid w:val="004A44D1"/>
    <w:rPr>
      <w:b/>
      <w:bCs/>
    </w:rPr>
  </w:style>
  <w:style w:type="character" w:styleId="Emphasis">
    <w:name w:val="Emphasis"/>
    <w:basedOn w:val="DefaultParagraphFont"/>
    <w:qFormat/>
    <w:rsid w:val="004A44D1"/>
    <w:rPr>
      <w:i/>
      <w:iCs/>
    </w:rPr>
  </w:style>
  <w:style w:type="paragraph" w:styleId="Header">
    <w:name w:val="header"/>
    <w:basedOn w:val="Normal"/>
    <w:link w:val="HeaderChar"/>
    <w:uiPriority w:val="99"/>
    <w:unhideWhenUsed/>
    <w:rsid w:val="00181C10"/>
    <w:pPr>
      <w:tabs>
        <w:tab w:val="center" w:pos="4680"/>
        <w:tab w:val="right" w:pos="9360"/>
      </w:tabs>
      <w:spacing w:line="240" w:lineRule="auto"/>
    </w:pPr>
  </w:style>
  <w:style w:type="character" w:customStyle="1" w:styleId="HeaderChar">
    <w:name w:val="Header Char"/>
    <w:basedOn w:val="DefaultParagraphFont"/>
    <w:link w:val="Header"/>
    <w:uiPriority w:val="99"/>
    <w:rsid w:val="00181C10"/>
    <w:rPr>
      <w:rFonts w:ascii="Times New Roman" w:eastAsia="Calibri" w:hAnsi="Times New Roman" w:cs="Times New Roman"/>
      <w:sz w:val="24"/>
      <w:szCs w:val="24"/>
    </w:rPr>
  </w:style>
  <w:style w:type="paragraph" w:styleId="Footer">
    <w:name w:val="footer"/>
    <w:basedOn w:val="Normal"/>
    <w:link w:val="FooterChar"/>
    <w:uiPriority w:val="99"/>
    <w:unhideWhenUsed/>
    <w:rsid w:val="00181C10"/>
    <w:pPr>
      <w:tabs>
        <w:tab w:val="center" w:pos="4680"/>
        <w:tab w:val="right" w:pos="9360"/>
      </w:tabs>
      <w:spacing w:line="240" w:lineRule="auto"/>
    </w:pPr>
  </w:style>
  <w:style w:type="character" w:customStyle="1" w:styleId="FooterChar">
    <w:name w:val="Footer Char"/>
    <w:basedOn w:val="DefaultParagraphFont"/>
    <w:link w:val="Footer"/>
    <w:uiPriority w:val="99"/>
    <w:rsid w:val="00181C10"/>
    <w:rPr>
      <w:rFonts w:ascii="Times New Roman" w:eastAsia="Calibri" w:hAnsi="Times New Roman" w:cs="Times New Roman"/>
      <w:sz w:val="24"/>
      <w:szCs w:val="24"/>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D51C18"/>
    <w:pPr>
      <w:spacing w:line="240" w:lineRule="auto"/>
    </w:pPr>
    <w:rPr>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D51C18"/>
    <w:rPr>
      <w:rFonts w:ascii="Times New Roman" w:eastAsia="Calibri" w:hAnsi="Times New Roman" w:cs="Times New Roman"/>
      <w:sz w:val="20"/>
      <w:szCs w:val="20"/>
    </w:rPr>
  </w:style>
  <w:style w:type="character" w:styleId="FootnoteReference">
    <w:name w:val="footnote reference"/>
    <w:aliases w:val="o,fr,Style 6,Style 20,Appel note de bas de p,Style 8,Style 7,Style 3,Style 17,Style 19"/>
    <w:uiPriority w:val="99"/>
    <w:rsid w:val="00D51C18"/>
    <w:rPr>
      <w:vertAlign w:val="superscript"/>
    </w:rPr>
  </w:style>
  <w:style w:type="paragraph" w:customStyle="1" w:styleId="ParaTab1">
    <w:name w:val="ParaTab 1"/>
    <w:rsid w:val="002025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8373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37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837378"/>
    <w:rPr>
      <w:sz w:val="16"/>
      <w:szCs w:val="16"/>
    </w:rPr>
  </w:style>
  <w:style w:type="paragraph" w:styleId="CommentText">
    <w:name w:val="annotation text"/>
    <w:basedOn w:val="Normal"/>
    <w:link w:val="CommentTextChar"/>
    <w:uiPriority w:val="99"/>
    <w:semiHidden/>
    <w:unhideWhenUsed/>
    <w:rsid w:val="00837378"/>
    <w:pPr>
      <w:spacing w:line="240" w:lineRule="auto"/>
    </w:pPr>
    <w:rPr>
      <w:sz w:val="20"/>
      <w:szCs w:val="20"/>
    </w:rPr>
  </w:style>
  <w:style w:type="character" w:customStyle="1" w:styleId="CommentTextChar">
    <w:name w:val="Comment Text Char"/>
    <w:basedOn w:val="DefaultParagraphFont"/>
    <w:link w:val="CommentText"/>
    <w:uiPriority w:val="99"/>
    <w:semiHidden/>
    <w:rsid w:val="0083737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7378"/>
    <w:rPr>
      <w:b/>
      <w:bCs/>
    </w:rPr>
  </w:style>
  <w:style w:type="character" w:customStyle="1" w:styleId="CommentSubjectChar">
    <w:name w:val="Comment Subject Char"/>
    <w:basedOn w:val="CommentTextChar"/>
    <w:link w:val="CommentSubject"/>
    <w:uiPriority w:val="99"/>
    <w:semiHidden/>
    <w:rsid w:val="00837378"/>
    <w:rPr>
      <w:rFonts w:ascii="Times New Roman" w:eastAsia="Calibri" w:hAnsi="Times New Roman" w:cs="Times New Roman"/>
      <w:b/>
      <w:bCs/>
      <w:sz w:val="20"/>
      <w:szCs w:val="20"/>
    </w:rPr>
  </w:style>
  <w:style w:type="paragraph" w:styleId="BodyText">
    <w:name w:val="Body Text"/>
    <w:basedOn w:val="Normal"/>
    <w:link w:val="BodyTextChar"/>
    <w:rsid w:val="0013594A"/>
    <w:pPr>
      <w:tabs>
        <w:tab w:val="left" w:pos="-1440"/>
        <w:tab w:val="left" w:pos="-720"/>
        <w:tab w:val="left" w:pos="0"/>
        <w:tab w:val="left" w:pos="720"/>
        <w:tab w:val="left" w:pos="1440"/>
      </w:tabs>
      <w:spacing w:line="480" w:lineRule="auto"/>
      <w:ind w:firstLine="0"/>
      <w:jc w:val="both"/>
    </w:pPr>
    <w:rPr>
      <w:rFonts w:eastAsia="Times New Roman"/>
      <w:szCs w:val="20"/>
    </w:rPr>
  </w:style>
  <w:style w:type="character" w:customStyle="1" w:styleId="BodyTextChar">
    <w:name w:val="Body Text Char"/>
    <w:basedOn w:val="DefaultParagraphFont"/>
    <w:link w:val="BodyText"/>
    <w:rsid w:val="0013594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309337">
      <w:bodyDiv w:val="1"/>
      <w:marLeft w:val="0"/>
      <w:marRight w:val="0"/>
      <w:marTop w:val="0"/>
      <w:marBottom w:val="0"/>
      <w:divBdr>
        <w:top w:val="none" w:sz="0" w:space="0" w:color="auto"/>
        <w:left w:val="none" w:sz="0" w:space="0" w:color="auto"/>
        <w:bottom w:val="none" w:sz="0" w:space="0" w:color="auto"/>
        <w:right w:val="none" w:sz="0" w:space="0" w:color="auto"/>
      </w:divBdr>
    </w:div>
    <w:div w:id="1476338898">
      <w:bodyDiv w:val="1"/>
      <w:marLeft w:val="0"/>
      <w:marRight w:val="0"/>
      <w:marTop w:val="0"/>
      <w:marBottom w:val="0"/>
      <w:divBdr>
        <w:top w:val="none" w:sz="0" w:space="0" w:color="auto"/>
        <w:left w:val="none" w:sz="0" w:space="0" w:color="auto"/>
        <w:bottom w:val="none" w:sz="0" w:space="0" w:color="auto"/>
        <w:right w:val="none" w:sz="0" w:space="0" w:color="auto"/>
      </w:divBdr>
    </w:div>
    <w:div w:id="1690839523">
      <w:bodyDiv w:val="1"/>
      <w:marLeft w:val="0"/>
      <w:marRight w:val="0"/>
      <w:marTop w:val="0"/>
      <w:marBottom w:val="0"/>
      <w:divBdr>
        <w:top w:val="none" w:sz="0" w:space="0" w:color="auto"/>
        <w:left w:val="none" w:sz="0" w:space="0" w:color="auto"/>
        <w:bottom w:val="none" w:sz="0" w:space="0" w:color="auto"/>
        <w:right w:val="none" w:sz="0" w:space="0" w:color="auto"/>
      </w:divBdr>
    </w:div>
    <w:div w:id="203222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0C952-7515-4CDA-AF6F-C1A9B390E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3304</Words>
  <Characters>18836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Reynolds, Doris</cp:lastModifiedBy>
  <cp:revision>3</cp:revision>
  <cp:lastPrinted>2018-07-18T12:29:00Z</cp:lastPrinted>
  <dcterms:created xsi:type="dcterms:W3CDTF">2018-07-18T12:29:00Z</dcterms:created>
  <dcterms:modified xsi:type="dcterms:W3CDTF">2018-07-18T12:29:00Z</dcterms:modified>
</cp:coreProperties>
</file>