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AAB" w:rsidRPr="00001309" w:rsidRDefault="00353AAB" w:rsidP="00771156">
      <w:pPr>
        <w:tabs>
          <w:tab w:val="center" w:pos="4680"/>
        </w:tabs>
        <w:suppressAutoHyphens/>
        <w:spacing w:line="240" w:lineRule="auto"/>
        <w:ind w:firstLine="0"/>
        <w:jc w:val="center"/>
        <w:rPr>
          <w:b/>
          <w:sz w:val="26"/>
          <w:szCs w:val="26"/>
        </w:rPr>
      </w:pPr>
      <w:bookmarkStart w:id="0" w:name="_Hlk501024803"/>
      <w:r w:rsidRPr="00001309">
        <w:rPr>
          <w:b/>
          <w:sz w:val="26"/>
          <w:szCs w:val="26"/>
        </w:rPr>
        <w:t>PENNSYLVANIA</w:t>
      </w:r>
    </w:p>
    <w:p w:rsidR="00353AAB" w:rsidRPr="00001309" w:rsidRDefault="00353AAB" w:rsidP="00771156">
      <w:pPr>
        <w:tabs>
          <w:tab w:val="center" w:pos="4680"/>
        </w:tabs>
        <w:suppressAutoHyphens/>
        <w:spacing w:line="240" w:lineRule="auto"/>
        <w:ind w:firstLine="0"/>
        <w:jc w:val="center"/>
        <w:rPr>
          <w:sz w:val="26"/>
          <w:szCs w:val="26"/>
        </w:rPr>
      </w:pPr>
      <w:r w:rsidRPr="00001309">
        <w:rPr>
          <w:b/>
          <w:sz w:val="26"/>
          <w:szCs w:val="26"/>
        </w:rPr>
        <w:t>PUBLIC UTILITY COMMISSION</w:t>
      </w:r>
    </w:p>
    <w:p w:rsidR="00353AAB" w:rsidRPr="00001309" w:rsidRDefault="00353AAB" w:rsidP="00771156">
      <w:pPr>
        <w:tabs>
          <w:tab w:val="center" w:pos="4680"/>
        </w:tabs>
        <w:suppressAutoHyphens/>
        <w:spacing w:line="240" w:lineRule="auto"/>
        <w:ind w:firstLine="0"/>
        <w:jc w:val="center"/>
        <w:rPr>
          <w:sz w:val="26"/>
          <w:szCs w:val="26"/>
        </w:rPr>
      </w:pPr>
      <w:r w:rsidRPr="00001309">
        <w:rPr>
          <w:b/>
          <w:sz w:val="26"/>
          <w:szCs w:val="26"/>
        </w:rPr>
        <w:t>Harrisburg, PA 17105-3265</w:t>
      </w:r>
    </w:p>
    <w:p w:rsidR="00353AAB" w:rsidRPr="00001309" w:rsidRDefault="00353AAB" w:rsidP="00771156">
      <w:pPr>
        <w:spacing w:line="240" w:lineRule="auto"/>
        <w:ind w:firstLine="0"/>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3780"/>
      </w:tblGrid>
      <w:tr w:rsidR="00353AAB" w:rsidRPr="00001309" w:rsidTr="005E7B30">
        <w:tc>
          <w:tcPr>
            <w:tcW w:w="5580" w:type="dxa"/>
          </w:tcPr>
          <w:p w:rsidR="00353AAB" w:rsidRPr="00001309" w:rsidRDefault="00353AAB" w:rsidP="00771156">
            <w:pPr>
              <w:spacing w:line="240" w:lineRule="auto"/>
              <w:ind w:firstLine="0"/>
              <w:rPr>
                <w:sz w:val="26"/>
                <w:szCs w:val="26"/>
              </w:rPr>
            </w:pPr>
          </w:p>
        </w:tc>
        <w:tc>
          <w:tcPr>
            <w:tcW w:w="3780" w:type="dxa"/>
          </w:tcPr>
          <w:p w:rsidR="00353AAB" w:rsidRPr="00001309" w:rsidRDefault="00771156" w:rsidP="00474CEA">
            <w:pPr>
              <w:spacing w:line="240" w:lineRule="auto"/>
              <w:ind w:firstLine="0"/>
              <w:jc w:val="right"/>
              <w:rPr>
                <w:sz w:val="26"/>
                <w:szCs w:val="26"/>
              </w:rPr>
            </w:pPr>
            <w:r w:rsidRPr="00001309">
              <w:rPr>
                <w:sz w:val="26"/>
                <w:szCs w:val="26"/>
              </w:rPr>
              <w:t xml:space="preserve">Public Meeting held </w:t>
            </w:r>
            <w:r w:rsidR="00A50023">
              <w:rPr>
                <w:sz w:val="26"/>
                <w:szCs w:val="26"/>
              </w:rPr>
              <w:t>June 14</w:t>
            </w:r>
            <w:r w:rsidR="00C00504" w:rsidRPr="00001309">
              <w:rPr>
                <w:sz w:val="26"/>
                <w:szCs w:val="26"/>
              </w:rPr>
              <w:t>,</w:t>
            </w:r>
            <w:r w:rsidR="00072AE1" w:rsidRPr="00001309">
              <w:rPr>
                <w:sz w:val="26"/>
                <w:szCs w:val="26"/>
              </w:rPr>
              <w:t xml:space="preserve"> 2018</w:t>
            </w:r>
          </w:p>
          <w:p w:rsidR="00353AAB" w:rsidRPr="00001309" w:rsidRDefault="00353AAB" w:rsidP="00771156">
            <w:pPr>
              <w:spacing w:line="240" w:lineRule="auto"/>
              <w:ind w:firstLine="0"/>
              <w:rPr>
                <w:sz w:val="26"/>
                <w:szCs w:val="26"/>
              </w:rPr>
            </w:pPr>
          </w:p>
          <w:p w:rsidR="00474CEA" w:rsidRPr="00001309" w:rsidRDefault="00474CEA" w:rsidP="00771156">
            <w:pPr>
              <w:spacing w:line="240" w:lineRule="auto"/>
              <w:ind w:firstLine="0"/>
              <w:rPr>
                <w:sz w:val="26"/>
                <w:szCs w:val="26"/>
              </w:rPr>
            </w:pPr>
          </w:p>
          <w:p w:rsidR="00353AAB" w:rsidRPr="00001309" w:rsidRDefault="00353AAB" w:rsidP="00771156">
            <w:pPr>
              <w:spacing w:line="240" w:lineRule="auto"/>
              <w:ind w:firstLine="0"/>
              <w:rPr>
                <w:sz w:val="26"/>
                <w:szCs w:val="26"/>
              </w:rPr>
            </w:pPr>
          </w:p>
        </w:tc>
      </w:tr>
      <w:tr w:rsidR="00353AAB" w:rsidRPr="00001309" w:rsidTr="005E7B30">
        <w:tc>
          <w:tcPr>
            <w:tcW w:w="5580" w:type="dxa"/>
          </w:tcPr>
          <w:p w:rsidR="00353AAB" w:rsidRPr="00001309" w:rsidRDefault="00353AAB" w:rsidP="00771156">
            <w:pPr>
              <w:spacing w:line="240" w:lineRule="auto"/>
              <w:ind w:firstLine="0"/>
              <w:rPr>
                <w:sz w:val="26"/>
                <w:szCs w:val="26"/>
              </w:rPr>
            </w:pPr>
            <w:r w:rsidRPr="00001309">
              <w:rPr>
                <w:sz w:val="26"/>
                <w:szCs w:val="26"/>
              </w:rPr>
              <w:t>Commissioners Present:</w:t>
            </w:r>
          </w:p>
          <w:p w:rsidR="00353AAB" w:rsidRPr="00001309" w:rsidRDefault="00353AAB" w:rsidP="00771156">
            <w:pPr>
              <w:spacing w:line="240" w:lineRule="auto"/>
              <w:ind w:firstLine="0"/>
              <w:rPr>
                <w:sz w:val="26"/>
                <w:szCs w:val="26"/>
              </w:rPr>
            </w:pPr>
          </w:p>
          <w:p w:rsidR="000552CF" w:rsidRPr="00001309" w:rsidRDefault="006B5659" w:rsidP="000552CF">
            <w:pPr>
              <w:spacing w:line="240" w:lineRule="auto"/>
              <w:ind w:firstLine="0"/>
              <w:rPr>
                <w:sz w:val="26"/>
                <w:szCs w:val="26"/>
              </w:rPr>
            </w:pPr>
            <w:r w:rsidRPr="00001309">
              <w:rPr>
                <w:sz w:val="26"/>
                <w:szCs w:val="26"/>
              </w:rPr>
              <w:tab/>
            </w:r>
            <w:r w:rsidR="000552CF" w:rsidRPr="00001309">
              <w:rPr>
                <w:sz w:val="26"/>
                <w:szCs w:val="26"/>
              </w:rPr>
              <w:t>Gladys M. Brown, Chairman</w:t>
            </w:r>
          </w:p>
          <w:p w:rsidR="000552CF" w:rsidRPr="00001309" w:rsidRDefault="006B5659" w:rsidP="000552CF">
            <w:pPr>
              <w:spacing w:line="240" w:lineRule="auto"/>
              <w:ind w:firstLine="0"/>
              <w:rPr>
                <w:sz w:val="26"/>
                <w:szCs w:val="26"/>
              </w:rPr>
            </w:pPr>
            <w:r w:rsidRPr="00001309">
              <w:rPr>
                <w:sz w:val="26"/>
                <w:szCs w:val="26"/>
              </w:rPr>
              <w:tab/>
            </w:r>
            <w:r w:rsidR="000552CF" w:rsidRPr="00001309">
              <w:rPr>
                <w:sz w:val="26"/>
                <w:szCs w:val="26"/>
              </w:rPr>
              <w:t>Andrew G. Place, Vice Chairman</w:t>
            </w:r>
            <w:r w:rsidR="005E7B30">
              <w:rPr>
                <w:sz w:val="26"/>
                <w:szCs w:val="26"/>
              </w:rPr>
              <w:t>, dissenting</w:t>
            </w:r>
          </w:p>
          <w:p w:rsidR="000552CF" w:rsidRPr="00001309" w:rsidRDefault="006B5659" w:rsidP="000552CF">
            <w:pPr>
              <w:spacing w:line="240" w:lineRule="auto"/>
              <w:ind w:firstLine="0"/>
              <w:rPr>
                <w:sz w:val="26"/>
                <w:szCs w:val="26"/>
              </w:rPr>
            </w:pPr>
            <w:r w:rsidRPr="00001309">
              <w:rPr>
                <w:sz w:val="26"/>
                <w:szCs w:val="26"/>
              </w:rPr>
              <w:tab/>
            </w:r>
            <w:r w:rsidR="000552CF" w:rsidRPr="00001309">
              <w:rPr>
                <w:sz w:val="26"/>
                <w:szCs w:val="26"/>
              </w:rPr>
              <w:t>Norman J. Kennard</w:t>
            </w:r>
          </w:p>
          <w:p w:rsidR="000552CF" w:rsidRPr="00001309" w:rsidRDefault="006B5659" w:rsidP="000552CF">
            <w:pPr>
              <w:spacing w:line="240" w:lineRule="auto"/>
              <w:ind w:firstLine="0"/>
              <w:rPr>
                <w:sz w:val="26"/>
                <w:szCs w:val="26"/>
              </w:rPr>
            </w:pPr>
            <w:r w:rsidRPr="00001309">
              <w:rPr>
                <w:sz w:val="26"/>
                <w:szCs w:val="26"/>
              </w:rPr>
              <w:tab/>
            </w:r>
            <w:r w:rsidR="000552CF" w:rsidRPr="00001309">
              <w:rPr>
                <w:sz w:val="26"/>
                <w:szCs w:val="26"/>
              </w:rPr>
              <w:t>David W. Sweet</w:t>
            </w:r>
          </w:p>
          <w:p w:rsidR="000552CF" w:rsidRPr="00001309" w:rsidRDefault="006B5659" w:rsidP="000552CF">
            <w:pPr>
              <w:spacing w:line="240" w:lineRule="auto"/>
              <w:ind w:firstLine="0"/>
              <w:rPr>
                <w:sz w:val="26"/>
                <w:szCs w:val="26"/>
              </w:rPr>
            </w:pPr>
            <w:r w:rsidRPr="00001309">
              <w:rPr>
                <w:sz w:val="26"/>
                <w:szCs w:val="26"/>
              </w:rPr>
              <w:tab/>
            </w:r>
            <w:r w:rsidR="000552CF" w:rsidRPr="00001309">
              <w:rPr>
                <w:sz w:val="26"/>
                <w:szCs w:val="26"/>
              </w:rPr>
              <w:t>John F. Coleman, Jr.</w:t>
            </w:r>
          </w:p>
          <w:p w:rsidR="00474CEA" w:rsidRPr="00001309" w:rsidRDefault="00474CEA" w:rsidP="000552CF">
            <w:pPr>
              <w:tabs>
                <w:tab w:val="left" w:pos="705"/>
              </w:tabs>
              <w:spacing w:line="240" w:lineRule="auto"/>
              <w:ind w:right="720" w:firstLine="0"/>
              <w:rPr>
                <w:sz w:val="26"/>
                <w:szCs w:val="26"/>
              </w:rPr>
            </w:pPr>
          </w:p>
          <w:p w:rsidR="00353AAB" w:rsidRPr="00001309" w:rsidRDefault="00353AAB" w:rsidP="00771156">
            <w:pPr>
              <w:spacing w:line="240" w:lineRule="auto"/>
              <w:ind w:firstLine="0"/>
              <w:rPr>
                <w:sz w:val="26"/>
                <w:szCs w:val="26"/>
              </w:rPr>
            </w:pPr>
          </w:p>
        </w:tc>
        <w:tc>
          <w:tcPr>
            <w:tcW w:w="3780" w:type="dxa"/>
          </w:tcPr>
          <w:p w:rsidR="00353AAB" w:rsidRPr="00001309" w:rsidRDefault="00353AAB" w:rsidP="00771156">
            <w:pPr>
              <w:spacing w:line="240" w:lineRule="auto"/>
              <w:ind w:firstLine="0"/>
              <w:rPr>
                <w:sz w:val="26"/>
                <w:szCs w:val="26"/>
              </w:rPr>
            </w:pPr>
          </w:p>
          <w:p w:rsidR="00353AAB" w:rsidRPr="00001309" w:rsidRDefault="00353AAB" w:rsidP="00771156">
            <w:pPr>
              <w:spacing w:line="240" w:lineRule="auto"/>
              <w:ind w:firstLine="0"/>
              <w:rPr>
                <w:sz w:val="26"/>
                <w:szCs w:val="26"/>
              </w:rPr>
            </w:pPr>
          </w:p>
        </w:tc>
      </w:tr>
    </w:tbl>
    <w:p w:rsidR="00A02744" w:rsidRPr="00001309" w:rsidRDefault="00353AAB" w:rsidP="00771156">
      <w:pPr>
        <w:adjustRightInd w:val="0"/>
        <w:spacing w:line="240" w:lineRule="auto"/>
        <w:ind w:firstLine="0"/>
        <w:rPr>
          <w:bCs/>
          <w:sz w:val="26"/>
          <w:szCs w:val="26"/>
        </w:rPr>
      </w:pPr>
      <w:r w:rsidRPr="00001309">
        <w:rPr>
          <w:bCs/>
          <w:sz w:val="26"/>
          <w:szCs w:val="26"/>
        </w:rPr>
        <w:t xml:space="preserve">Commonwealth of Pennsylvania, </w:t>
      </w:r>
      <w:r w:rsidR="00A02744" w:rsidRPr="00001309">
        <w:rPr>
          <w:bCs/>
          <w:sz w:val="26"/>
          <w:szCs w:val="26"/>
        </w:rPr>
        <w:t>by</w:t>
      </w:r>
      <w:r w:rsidR="00A02744" w:rsidRPr="00001309">
        <w:rPr>
          <w:bCs/>
          <w:sz w:val="26"/>
          <w:szCs w:val="26"/>
        </w:rPr>
        <w:tab/>
      </w:r>
      <w:r w:rsidR="00A02744" w:rsidRPr="00001309">
        <w:rPr>
          <w:bCs/>
          <w:sz w:val="26"/>
          <w:szCs w:val="26"/>
        </w:rPr>
        <w:tab/>
      </w:r>
      <w:r w:rsidR="00A02744" w:rsidRPr="00001309">
        <w:rPr>
          <w:bCs/>
          <w:sz w:val="26"/>
          <w:szCs w:val="26"/>
        </w:rPr>
        <w:tab/>
      </w:r>
      <w:r w:rsidR="00474CEA" w:rsidRPr="00001309">
        <w:rPr>
          <w:bCs/>
          <w:sz w:val="26"/>
          <w:szCs w:val="26"/>
        </w:rPr>
        <w:tab/>
      </w:r>
      <w:r w:rsidR="00474CEA" w:rsidRPr="00001309">
        <w:rPr>
          <w:bCs/>
          <w:sz w:val="26"/>
          <w:szCs w:val="26"/>
        </w:rPr>
        <w:tab/>
        <w:t xml:space="preserve">      </w:t>
      </w:r>
      <w:r w:rsidR="00851161" w:rsidRPr="00001309">
        <w:rPr>
          <w:bCs/>
          <w:sz w:val="26"/>
          <w:szCs w:val="26"/>
        </w:rPr>
        <w:t>C-2014-2427655</w:t>
      </w:r>
    </w:p>
    <w:p w:rsidR="00A02744" w:rsidRPr="00001309" w:rsidRDefault="00A02744" w:rsidP="00771156">
      <w:pPr>
        <w:adjustRightInd w:val="0"/>
        <w:spacing w:line="240" w:lineRule="auto"/>
        <w:ind w:firstLine="0"/>
        <w:rPr>
          <w:bCs/>
          <w:sz w:val="26"/>
          <w:szCs w:val="26"/>
        </w:rPr>
      </w:pPr>
      <w:r w:rsidRPr="00001309">
        <w:rPr>
          <w:bCs/>
          <w:sz w:val="26"/>
          <w:szCs w:val="26"/>
        </w:rPr>
        <w:t>Attorney General Kathleen G. Kane, Through</w:t>
      </w:r>
    </w:p>
    <w:p w:rsidR="00A02744" w:rsidRPr="00001309" w:rsidRDefault="00A02744" w:rsidP="00771156">
      <w:pPr>
        <w:adjustRightInd w:val="0"/>
        <w:spacing w:line="240" w:lineRule="auto"/>
        <w:ind w:firstLine="0"/>
        <w:rPr>
          <w:bCs/>
          <w:sz w:val="26"/>
          <w:szCs w:val="26"/>
        </w:rPr>
      </w:pPr>
      <w:r w:rsidRPr="00001309">
        <w:rPr>
          <w:bCs/>
          <w:sz w:val="26"/>
          <w:szCs w:val="26"/>
        </w:rPr>
        <w:t>The Bureau of Consumer Protection</w:t>
      </w:r>
    </w:p>
    <w:p w:rsidR="00A02744" w:rsidRPr="00001309" w:rsidRDefault="00A02744" w:rsidP="00771156">
      <w:pPr>
        <w:adjustRightInd w:val="0"/>
        <w:spacing w:line="240" w:lineRule="auto"/>
        <w:ind w:firstLine="0"/>
        <w:rPr>
          <w:bCs/>
          <w:sz w:val="26"/>
          <w:szCs w:val="26"/>
        </w:rPr>
      </w:pPr>
    </w:p>
    <w:p w:rsidR="00A02744" w:rsidRPr="00001309" w:rsidRDefault="0089555E" w:rsidP="00771156">
      <w:pPr>
        <w:adjustRightInd w:val="0"/>
        <w:spacing w:line="240" w:lineRule="auto"/>
        <w:ind w:firstLine="0"/>
        <w:rPr>
          <w:bCs/>
          <w:sz w:val="26"/>
          <w:szCs w:val="26"/>
        </w:rPr>
      </w:pPr>
      <w:r>
        <w:rPr>
          <w:bCs/>
          <w:sz w:val="26"/>
          <w:szCs w:val="26"/>
        </w:rPr>
        <w:t>a</w:t>
      </w:r>
      <w:r w:rsidR="00A02744" w:rsidRPr="00001309">
        <w:rPr>
          <w:bCs/>
          <w:sz w:val="26"/>
          <w:szCs w:val="26"/>
        </w:rPr>
        <w:t>nd</w:t>
      </w:r>
    </w:p>
    <w:p w:rsidR="00A02744" w:rsidRPr="00001309" w:rsidRDefault="00A02744" w:rsidP="00771156">
      <w:pPr>
        <w:adjustRightInd w:val="0"/>
        <w:spacing w:line="240" w:lineRule="auto"/>
        <w:ind w:firstLine="0"/>
        <w:rPr>
          <w:bCs/>
          <w:sz w:val="26"/>
          <w:szCs w:val="26"/>
        </w:rPr>
      </w:pPr>
    </w:p>
    <w:p w:rsidR="00353AAB" w:rsidRPr="00001309" w:rsidRDefault="00A02744" w:rsidP="00771156">
      <w:pPr>
        <w:adjustRightInd w:val="0"/>
        <w:spacing w:line="240" w:lineRule="auto"/>
        <w:ind w:firstLine="0"/>
        <w:rPr>
          <w:bCs/>
          <w:i/>
          <w:sz w:val="26"/>
          <w:szCs w:val="26"/>
        </w:rPr>
      </w:pPr>
      <w:r w:rsidRPr="00001309">
        <w:rPr>
          <w:bCs/>
          <w:sz w:val="26"/>
          <w:szCs w:val="26"/>
        </w:rPr>
        <w:t>Tanya J. McCloskey, Acting Consumer Advocate</w:t>
      </w:r>
      <w:r w:rsidR="00851161" w:rsidRPr="00001309">
        <w:rPr>
          <w:bCs/>
          <w:sz w:val="26"/>
          <w:szCs w:val="26"/>
        </w:rPr>
        <w:t xml:space="preserve">, </w:t>
      </w:r>
      <w:r w:rsidR="00851161" w:rsidRPr="00001309">
        <w:rPr>
          <w:bCs/>
          <w:i/>
          <w:sz w:val="26"/>
          <w:szCs w:val="26"/>
        </w:rPr>
        <w:t>et al</w:t>
      </w:r>
    </w:p>
    <w:p w:rsidR="00353AAB" w:rsidRPr="00001309" w:rsidRDefault="00353AAB" w:rsidP="00771156">
      <w:pPr>
        <w:adjustRightInd w:val="0"/>
        <w:spacing w:line="240" w:lineRule="auto"/>
        <w:ind w:firstLine="0"/>
        <w:rPr>
          <w:bCs/>
          <w:sz w:val="26"/>
          <w:szCs w:val="26"/>
        </w:rPr>
      </w:pPr>
    </w:p>
    <w:p w:rsidR="00353AAB" w:rsidRPr="00001309" w:rsidRDefault="00353AAB" w:rsidP="00771156">
      <w:pPr>
        <w:adjustRightInd w:val="0"/>
        <w:spacing w:line="240" w:lineRule="auto"/>
        <w:ind w:firstLine="0"/>
        <w:rPr>
          <w:bCs/>
          <w:sz w:val="26"/>
          <w:szCs w:val="26"/>
        </w:rPr>
      </w:pPr>
      <w:r w:rsidRPr="00001309">
        <w:rPr>
          <w:bCs/>
          <w:sz w:val="26"/>
          <w:szCs w:val="26"/>
        </w:rPr>
        <w:tab/>
      </w:r>
      <w:r w:rsidR="00474CEA" w:rsidRPr="00001309">
        <w:rPr>
          <w:bCs/>
          <w:sz w:val="26"/>
          <w:szCs w:val="26"/>
        </w:rPr>
        <w:tab/>
      </w:r>
      <w:r w:rsidR="00474CEA" w:rsidRPr="00001309">
        <w:rPr>
          <w:bCs/>
          <w:sz w:val="26"/>
          <w:szCs w:val="26"/>
        </w:rPr>
        <w:tab/>
        <w:t>v.</w:t>
      </w:r>
    </w:p>
    <w:p w:rsidR="00474CEA" w:rsidRPr="00001309" w:rsidRDefault="00474CEA" w:rsidP="00771156">
      <w:pPr>
        <w:adjustRightInd w:val="0"/>
        <w:spacing w:line="240" w:lineRule="auto"/>
        <w:ind w:firstLine="0"/>
        <w:rPr>
          <w:bCs/>
          <w:sz w:val="26"/>
          <w:szCs w:val="26"/>
        </w:rPr>
      </w:pPr>
    </w:p>
    <w:p w:rsidR="00771156" w:rsidRPr="00001309" w:rsidRDefault="00851161" w:rsidP="00771156">
      <w:pPr>
        <w:adjustRightInd w:val="0"/>
        <w:spacing w:line="240" w:lineRule="auto"/>
        <w:ind w:firstLine="0"/>
        <w:rPr>
          <w:bCs/>
          <w:sz w:val="26"/>
          <w:szCs w:val="26"/>
        </w:rPr>
      </w:pPr>
      <w:r w:rsidRPr="00001309">
        <w:rPr>
          <w:bCs/>
          <w:sz w:val="26"/>
          <w:szCs w:val="26"/>
        </w:rPr>
        <w:t>Blue Pilot Energy, LLC</w:t>
      </w:r>
    </w:p>
    <w:p w:rsidR="00771156" w:rsidRPr="00001309" w:rsidRDefault="00771156" w:rsidP="00771156">
      <w:pPr>
        <w:adjustRightInd w:val="0"/>
        <w:spacing w:line="240" w:lineRule="auto"/>
        <w:ind w:firstLine="0"/>
        <w:rPr>
          <w:bCs/>
          <w:sz w:val="26"/>
          <w:szCs w:val="26"/>
        </w:rPr>
      </w:pPr>
    </w:p>
    <w:p w:rsidR="00771156" w:rsidRPr="00001309" w:rsidRDefault="00771156" w:rsidP="00771156">
      <w:pPr>
        <w:adjustRightInd w:val="0"/>
        <w:spacing w:line="240" w:lineRule="auto"/>
        <w:ind w:firstLine="0"/>
        <w:rPr>
          <w:bCs/>
          <w:sz w:val="26"/>
          <w:szCs w:val="26"/>
        </w:rPr>
      </w:pPr>
    </w:p>
    <w:p w:rsidR="00474CEA" w:rsidRPr="00001309" w:rsidRDefault="00474CEA" w:rsidP="00771156">
      <w:pPr>
        <w:adjustRightInd w:val="0"/>
        <w:spacing w:line="240" w:lineRule="auto"/>
        <w:ind w:firstLine="0"/>
        <w:rPr>
          <w:bCs/>
          <w:sz w:val="26"/>
          <w:szCs w:val="26"/>
        </w:rPr>
      </w:pPr>
    </w:p>
    <w:p w:rsidR="00474CEA" w:rsidRPr="00001309" w:rsidRDefault="00474CEA" w:rsidP="00771156">
      <w:pPr>
        <w:adjustRightInd w:val="0"/>
        <w:spacing w:line="240" w:lineRule="auto"/>
        <w:ind w:firstLine="0"/>
        <w:rPr>
          <w:bCs/>
          <w:sz w:val="26"/>
          <w:szCs w:val="26"/>
        </w:rPr>
      </w:pPr>
    </w:p>
    <w:p w:rsidR="00353AAB" w:rsidRPr="00001309" w:rsidRDefault="00353AAB" w:rsidP="00C52E3F">
      <w:pPr>
        <w:spacing w:line="240" w:lineRule="auto"/>
        <w:ind w:firstLine="0"/>
        <w:jc w:val="center"/>
        <w:rPr>
          <w:b/>
          <w:sz w:val="26"/>
          <w:szCs w:val="26"/>
        </w:rPr>
      </w:pPr>
      <w:r w:rsidRPr="00001309">
        <w:rPr>
          <w:b/>
          <w:sz w:val="26"/>
          <w:szCs w:val="26"/>
        </w:rPr>
        <w:t>OPINION AND ORDER</w:t>
      </w:r>
    </w:p>
    <w:p w:rsidR="004B187C" w:rsidRPr="00001309" w:rsidRDefault="004B187C" w:rsidP="00C52E3F">
      <w:pPr>
        <w:spacing w:line="240" w:lineRule="auto"/>
        <w:ind w:firstLine="0"/>
        <w:jc w:val="center"/>
        <w:rPr>
          <w:b/>
          <w:sz w:val="26"/>
          <w:szCs w:val="26"/>
        </w:rPr>
      </w:pPr>
    </w:p>
    <w:p w:rsidR="00C52E3F" w:rsidRPr="00001309" w:rsidRDefault="00C52E3F" w:rsidP="00C52E3F">
      <w:pPr>
        <w:spacing w:line="240" w:lineRule="auto"/>
        <w:ind w:firstLine="0"/>
        <w:jc w:val="center"/>
        <w:rPr>
          <w:b/>
          <w:sz w:val="26"/>
          <w:szCs w:val="26"/>
        </w:rPr>
      </w:pPr>
      <w:r w:rsidRPr="00001309">
        <w:rPr>
          <w:b/>
          <w:sz w:val="26"/>
          <w:szCs w:val="26"/>
        </w:rPr>
        <w:t>(</w:t>
      </w:r>
      <w:r w:rsidR="002F4B38">
        <w:rPr>
          <w:b/>
          <w:sz w:val="26"/>
          <w:szCs w:val="26"/>
        </w:rPr>
        <w:t>Non-</w:t>
      </w:r>
      <w:r w:rsidRPr="00001309">
        <w:rPr>
          <w:b/>
          <w:sz w:val="26"/>
          <w:szCs w:val="26"/>
        </w:rPr>
        <w:t>Proprietary</w:t>
      </w:r>
      <w:r w:rsidR="000D2631" w:rsidRPr="00001309">
        <w:rPr>
          <w:b/>
          <w:sz w:val="26"/>
          <w:szCs w:val="26"/>
        </w:rPr>
        <w:t xml:space="preserve"> Version</w:t>
      </w:r>
      <w:r w:rsidRPr="00001309">
        <w:rPr>
          <w:b/>
          <w:sz w:val="26"/>
          <w:szCs w:val="26"/>
        </w:rPr>
        <w:t>)</w:t>
      </w:r>
    </w:p>
    <w:p w:rsidR="00372DFA" w:rsidRPr="00001309" w:rsidRDefault="00372DFA" w:rsidP="003E7EE4">
      <w:pPr>
        <w:ind w:firstLine="0"/>
        <w:rPr>
          <w:b/>
          <w:sz w:val="26"/>
          <w:szCs w:val="26"/>
        </w:rPr>
      </w:pPr>
    </w:p>
    <w:p w:rsidR="00A05859" w:rsidRPr="00001309" w:rsidRDefault="00A05859" w:rsidP="00465E97">
      <w:pPr>
        <w:ind w:firstLine="0"/>
        <w:jc w:val="center"/>
        <w:rPr>
          <w:b/>
          <w:sz w:val="26"/>
          <w:szCs w:val="26"/>
        </w:rPr>
      </w:pPr>
    </w:p>
    <w:p w:rsidR="00A05859" w:rsidRPr="00001309" w:rsidRDefault="00A05859" w:rsidP="003E7EE4">
      <w:pPr>
        <w:ind w:firstLine="0"/>
        <w:rPr>
          <w:b/>
          <w:sz w:val="26"/>
          <w:szCs w:val="26"/>
        </w:rPr>
      </w:pPr>
    </w:p>
    <w:p w:rsidR="00C52E3F" w:rsidRPr="00001309" w:rsidRDefault="00C52E3F" w:rsidP="00C52E3F">
      <w:pPr>
        <w:spacing w:line="240" w:lineRule="auto"/>
        <w:ind w:firstLine="0"/>
        <w:jc w:val="center"/>
        <w:rPr>
          <w:sz w:val="26"/>
          <w:szCs w:val="26"/>
        </w:rPr>
        <w:sectPr w:rsidR="00C52E3F" w:rsidRPr="00001309" w:rsidSect="00987F1F">
          <w:footerReference w:type="default" r:id="rId8"/>
          <w:pgSz w:w="12240" w:h="15840"/>
          <w:pgMar w:top="1440" w:right="1440" w:bottom="1440" w:left="1440" w:header="720" w:footer="720" w:gutter="0"/>
          <w:pgNumType w:fmt="lowerRoman" w:start="1"/>
          <w:cols w:space="720"/>
          <w:docGrid w:linePitch="360"/>
        </w:sectPr>
      </w:pPr>
    </w:p>
    <w:p w:rsidR="00702A5D" w:rsidRPr="00001309" w:rsidRDefault="00702A5D" w:rsidP="00465E97">
      <w:pPr>
        <w:autoSpaceDE w:val="0"/>
        <w:autoSpaceDN w:val="0"/>
        <w:ind w:firstLine="0"/>
        <w:rPr>
          <w:sz w:val="26"/>
        </w:rPr>
      </w:pPr>
    </w:p>
    <w:sdt>
      <w:sdtPr>
        <w:rPr>
          <w:rFonts w:ascii="Times New Roman" w:eastAsiaTheme="minorHAnsi" w:hAnsi="Times New Roman" w:cs="Times New Roman"/>
          <w:color w:val="auto"/>
          <w:spacing w:val="-3"/>
          <w:sz w:val="24"/>
          <w:szCs w:val="24"/>
        </w:rPr>
        <w:id w:val="-1029649199"/>
        <w:docPartObj>
          <w:docPartGallery w:val="Table of Contents"/>
          <w:docPartUnique/>
        </w:docPartObj>
      </w:sdtPr>
      <w:sdtEndPr>
        <w:rPr>
          <w:b/>
          <w:bCs/>
          <w:noProof/>
        </w:rPr>
      </w:sdtEndPr>
      <w:sdtContent>
        <w:p w:rsidR="00702A5D" w:rsidRPr="00001309" w:rsidRDefault="00527405" w:rsidP="00527405">
          <w:pPr>
            <w:pStyle w:val="TOCHeading"/>
            <w:jc w:val="center"/>
            <w:rPr>
              <w:color w:val="auto"/>
            </w:rPr>
          </w:pPr>
          <w:r>
            <w:rPr>
              <w:color w:val="auto"/>
            </w:rPr>
            <w:t xml:space="preserve">Table of </w:t>
          </w:r>
          <w:r w:rsidR="00702A5D" w:rsidRPr="00001309">
            <w:rPr>
              <w:color w:val="auto"/>
            </w:rPr>
            <w:t>Contents</w:t>
          </w:r>
        </w:p>
        <w:p w:rsidR="00D32456" w:rsidRDefault="00702A5D">
          <w:pPr>
            <w:pStyle w:val="TOC1"/>
            <w:rPr>
              <w:rFonts w:asciiTheme="minorHAnsi" w:eastAsiaTheme="minorEastAsia" w:hAnsiTheme="minorHAnsi" w:cstheme="minorBidi"/>
              <w:noProof/>
              <w:spacing w:val="0"/>
              <w:sz w:val="22"/>
              <w:szCs w:val="22"/>
            </w:rPr>
          </w:pPr>
          <w:r w:rsidRPr="00001309">
            <w:fldChar w:fldCharType="begin"/>
          </w:r>
          <w:r w:rsidRPr="00001309">
            <w:instrText xml:space="preserve"> TOC \o "1-3" \h \z \u </w:instrText>
          </w:r>
          <w:r w:rsidRPr="00001309">
            <w:fldChar w:fldCharType="separate"/>
          </w:r>
          <w:hyperlink w:anchor="_Toc517831024" w:history="1">
            <w:r w:rsidR="00D32456" w:rsidRPr="000A6C6F">
              <w:rPr>
                <w:rStyle w:val="Hyperlink"/>
                <w:rFonts w:eastAsia="Times New Roman"/>
                <w:b/>
                <w:noProof/>
              </w:rPr>
              <w:t>I.</w:t>
            </w:r>
            <w:r w:rsidR="00D32456">
              <w:rPr>
                <w:rFonts w:asciiTheme="minorHAnsi" w:eastAsiaTheme="minorEastAsia" w:hAnsiTheme="minorHAnsi" w:cstheme="minorBidi"/>
                <w:noProof/>
                <w:spacing w:val="0"/>
                <w:sz w:val="22"/>
                <w:szCs w:val="22"/>
              </w:rPr>
              <w:tab/>
            </w:r>
            <w:r w:rsidR="00D32456" w:rsidRPr="000A6C6F">
              <w:rPr>
                <w:rStyle w:val="Hyperlink"/>
                <w:rFonts w:eastAsia="Times New Roman"/>
                <w:b/>
                <w:noProof/>
              </w:rPr>
              <w:t>Matter Before the Commission</w:t>
            </w:r>
            <w:r w:rsidR="00D32456">
              <w:rPr>
                <w:noProof/>
                <w:webHidden/>
              </w:rPr>
              <w:tab/>
            </w:r>
            <w:r w:rsidR="00D32456">
              <w:rPr>
                <w:noProof/>
                <w:webHidden/>
              </w:rPr>
              <w:fldChar w:fldCharType="begin"/>
            </w:r>
            <w:r w:rsidR="00D32456">
              <w:rPr>
                <w:noProof/>
                <w:webHidden/>
              </w:rPr>
              <w:instrText xml:space="preserve"> PAGEREF _Toc517831024 \h </w:instrText>
            </w:r>
            <w:r w:rsidR="00D32456">
              <w:rPr>
                <w:noProof/>
                <w:webHidden/>
              </w:rPr>
            </w:r>
            <w:r w:rsidR="00D32456">
              <w:rPr>
                <w:noProof/>
                <w:webHidden/>
              </w:rPr>
              <w:fldChar w:fldCharType="separate"/>
            </w:r>
            <w:r w:rsidR="00E81986">
              <w:rPr>
                <w:noProof/>
                <w:webHidden/>
              </w:rPr>
              <w:t>2</w:t>
            </w:r>
            <w:r w:rsidR="00D32456">
              <w:rPr>
                <w:noProof/>
                <w:webHidden/>
              </w:rPr>
              <w:fldChar w:fldCharType="end"/>
            </w:r>
          </w:hyperlink>
        </w:p>
        <w:p w:rsidR="00D32456" w:rsidRDefault="00E100A2">
          <w:pPr>
            <w:pStyle w:val="TOC1"/>
            <w:rPr>
              <w:rFonts w:asciiTheme="minorHAnsi" w:eastAsiaTheme="minorEastAsia" w:hAnsiTheme="minorHAnsi" w:cstheme="minorBidi"/>
              <w:noProof/>
              <w:spacing w:val="0"/>
              <w:sz w:val="22"/>
              <w:szCs w:val="22"/>
            </w:rPr>
          </w:pPr>
          <w:hyperlink w:anchor="_Toc517831025" w:history="1">
            <w:r w:rsidR="00D32456" w:rsidRPr="000A6C6F">
              <w:rPr>
                <w:rStyle w:val="Hyperlink"/>
                <w:rFonts w:eastAsia="Times New Roman"/>
                <w:b/>
                <w:noProof/>
              </w:rPr>
              <w:t>II.</w:t>
            </w:r>
            <w:r w:rsidR="00D32456">
              <w:rPr>
                <w:rFonts w:asciiTheme="minorHAnsi" w:eastAsiaTheme="minorEastAsia" w:hAnsiTheme="minorHAnsi" w:cstheme="minorBidi"/>
                <w:noProof/>
                <w:spacing w:val="0"/>
                <w:sz w:val="22"/>
                <w:szCs w:val="22"/>
              </w:rPr>
              <w:tab/>
            </w:r>
            <w:r w:rsidR="00D32456" w:rsidRPr="000A6C6F">
              <w:rPr>
                <w:rStyle w:val="Hyperlink"/>
                <w:rFonts w:eastAsia="Times New Roman"/>
                <w:b/>
                <w:noProof/>
              </w:rPr>
              <w:t>Background</w:t>
            </w:r>
            <w:r w:rsidR="00D32456">
              <w:rPr>
                <w:noProof/>
                <w:webHidden/>
              </w:rPr>
              <w:tab/>
            </w:r>
            <w:r w:rsidR="00D32456">
              <w:rPr>
                <w:noProof/>
                <w:webHidden/>
              </w:rPr>
              <w:fldChar w:fldCharType="begin"/>
            </w:r>
            <w:r w:rsidR="00D32456">
              <w:rPr>
                <w:noProof/>
                <w:webHidden/>
              </w:rPr>
              <w:instrText xml:space="preserve"> PAGEREF _Toc517831025 \h </w:instrText>
            </w:r>
            <w:r w:rsidR="00D32456">
              <w:rPr>
                <w:noProof/>
                <w:webHidden/>
              </w:rPr>
            </w:r>
            <w:r w:rsidR="00D32456">
              <w:rPr>
                <w:noProof/>
                <w:webHidden/>
              </w:rPr>
              <w:fldChar w:fldCharType="separate"/>
            </w:r>
            <w:r w:rsidR="00E81986">
              <w:rPr>
                <w:noProof/>
                <w:webHidden/>
              </w:rPr>
              <w:t>3</w:t>
            </w:r>
            <w:r w:rsidR="00D32456">
              <w:rPr>
                <w:noProof/>
                <w:webHidden/>
              </w:rPr>
              <w:fldChar w:fldCharType="end"/>
            </w:r>
          </w:hyperlink>
        </w:p>
        <w:p w:rsidR="00D32456" w:rsidRDefault="00E100A2">
          <w:pPr>
            <w:pStyle w:val="TOC2"/>
            <w:tabs>
              <w:tab w:val="left" w:pos="2607"/>
            </w:tabs>
            <w:rPr>
              <w:rFonts w:asciiTheme="minorHAnsi" w:eastAsiaTheme="minorEastAsia" w:hAnsiTheme="minorHAnsi" w:cstheme="minorBidi"/>
              <w:noProof/>
              <w:spacing w:val="0"/>
              <w:sz w:val="22"/>
              <w:szCs w:val="22"/>
            </w:rPr>
          </w:pPr>
          <w:hyperlink w:anchor="_Toc517831026" w:history="1">
            <w:r w:rsidR="00D32456" w:rsidRPr="000A6C6F">
              <w:rPr>
                <w:rStyle w:val="Hyperlink"/>
                <w:rFonts w:eastAsia="Times New Roman"/>
                <w:b/>
                <w:noProof/>
              </w:rPr>
              <w:t>A.</w:t>
            </w:r>
            <w:r w:rsidR="00D32456">
              <w:rPr>
                <w:rFonts w:asciiTheme="minorHAnsi" w:eastAsiaTheme="minorEastAsia" w:hAnsiTheme="minorHAnsi" w:cstheme="minorBidi"/>
                <w:noProof/>
                <w:spacing w:val="0"/>
                <w:sz w:val="22"/>
                <w:szCs w:val="22"/>
              </w:rPr>
              <w:tab/>
            </w:r>
            <w:r w:rsidR="00D32456" w:rsidRPr="000A6C6F">
              <w:rPr>
                <w:rStyle w:val="Hyperlink"/>
                <w:rFonts w:eastAsia="Times New Roman"/>
                <w:b/>
                <w:noProof/>
              </w:rPr>
              <w:t>Brief Summary of the Pleadings and the Initial Decision</w:t>
            </w:r>
            <w:r w:rsidR="00D32456">
              <w:rPr>
                <w:noProof/>
                <w:webHidden/>
              </w:rPr>
              <w:tab/>
            </w:r>
            <w:r w:rsidR="00D32456">
              <w:rPr>
                <w:noProof/>
                <w:webHidden/>
              </w:rPr>
              <w:fldChar w:fldCharType="begin"/>
            </w:r>
            <w:r w:rsidR="00D32456">
              <w:rPr>
                <w:noProof/>
                <w:webHidden/>
              </w:rPr>
              <w:instrText xml:space="preserve"> PAGEREF _Toc517831026 \h </w:instrText>
            </w:r>
            <w:r w:rsidR="00D32456">
              <w:rPr>
                <w:noProof/>
                <w:webHidden/>
              </w:rPr>
            </w:r>
            <w:r w:rsidR="00D32456">
              <w:rPr>
                <w:noProof/>
                <w:webHidden/>
              </w:rPr>
              <w:fldChar w:fldCharType="separate"/>
            </w:r>
            <w:r w:rsidR="00E81986">
              <w:rPr>
                <w:noProof/>
                <w:webHidden/>
              </w:rPr>
              <w:t>3</w:t>
            </w:r>
            <w:r w:rsidR="00D32456">
              <w:rPr>
                <w:noProof/>
                <w:webHidden/>
              </w:rPr>
              <w:fldChar w:fldCharType="end"/>
            </w:r>
          </w:hyperlink>
        </w:p>
        <w:p w:rsidR="00D32456" w:rsidRDefault="00E100A2">
          <w:pPr>
            <w:pStyle w:val="TOC2"/>
            <w:tabs>
              <w:tab w:val="left" w:pos="2594"/>
            </w:tabs>
            <w:rPr>
              <w:rFonts w:asciiTheme="minorHAnsi" w:eastAsiaTheme="minorEastAsia" w:hAnsiTheme="minorHAnsi" w:cstheme="minorBidi"/>
              <w:noProof/>
              <w:spacing w:val="0"/>
              <w:sz w:val="22"/>
              <w:szCs w:val="22"/>
            </w:rPr>
          </w:pPr>
          <w:hyperlink w:anchor="_Toc517831027" w:history="1">
            <w:r w:rsidR="00D32456" w:rsidRPr="000A6C6F">
              <w:rPr>
                <w:rStyle w:val="Hyperlink"/>
                <w:rFonts w:eastAsia="Times New Roman"/>
                <w:b/>
                <w:noProof/>
              </w:rPr>
              <w:t>B.</w:t>
            </w:r>
            <w:r w:rsidR="00D32456">
              <w:rPr>
                <w:rFonts w:asciiTheme="minorHAnsi" w:eastAsiaTheme="minorEastAsia" w:hAnsiTheme="minorHAnsi" w:cstheme="minorBidi"/>
                <w:noProof/>
                <w:spacing w:val="0"/>
                <w:sz w:val="22"/>
                <w:szCs w:val="22"/>
              </w:rPr>
              <w:tab/>
            </w:r>
            <w:r w:rsidR="00D32456" w:rsidRPr="000A6C6F">
              <w:rPr>
                <w:rStyle w:val="Hyperlink"/>
                <w:rFonts w:eastAsia="Times New Roman"/>
                <w:b/>
                <w:noProof/>
              </w:rPr>
              <w:t>Current Status of Blue Pilot’s Operations in Pennsylvania</w:t>
            </w:r>
            <w:r w:rsidR="00D32456">
              <w:rPr>
                <w:noProof/>
                <w:webHidden/>
              </w:rPr>
              <w:tab/>
            </w:r>
            <w:r w:rsidR="00D32456">
              <w:rPr>
                <w:noProof/>
                <w:webHidden/>
              </w:rPr>
              <w:fldChar w:fldCharType="begin"/>
            </w:r>
            <w:r w:rsidR="00D32456">
              <w:rPr>
                <w:noProof/>
                <w:webHidden/>
              </w:rPr>
              <w:instrText xml:space="preserve"> PAGEREF _Toc517831027 \h </w:instrText>
            </w:r>
            <w:r w:rsidR="00D32456">
              <w:rPr>
                <w:noProof/>
                <w:webHidden/>
              </w:rPr>
            </w:r>
            <w:r w:rsidR="00D32456">
              <w:rPr>
                <w:noProof/>
                <w:webHidden/>
              </w:rPr>
              <w:fldChar w:fldCharType="separate"/>
            </w:r>
            <w:r w:rsidR="00E81986">
              <w:rPr>
                <w:noProof/>
                <w:webHidden/>
              </w:rPr>
              <w:t>6</w:t>
            </w:r>
            <w:r w:rsidR="00D32456">
              <w:rPr>
                <w:noProof/>
                <w:webHidden/>
              </w:rPr>
              <w:fldChar w:fldCharType="end"/>
            </w:r>
          </w:hyperlink>
        </w:p>
        <w:p w:rsidR="00D32456" w:rsidRDefault="00E100A2">
          <w:pPr>
            <w:pStyle w:val="TOC1"/>
            <w:rPr>
              <w:rFonts w:asciiTheme="minorHAnsi" w:eastAsiaTheme="minorEastAsia" w:hAnsiTheme="minorHAnsi" w:cstheme="minorBidi"/>
              <w:noProof/>
              <w:spacing w:val="0"/>
              <w:sz w:val="22"/>
              <w:szCs w:val="22"/>
            </w:rPr>
          </w:pPr>
          <w:hyperlink w:anchor="_Toc517831028" w:history="1">
            <w:r w:rsidR="00D32456" w:rsidRPr="000A6C6F">
              <w:rPr>
                <w:rStyle w:val="Hyperlink"/>
                <w:rFonts w:eastAsia="Times New Roman"/>
                <w:b/>
                <w:noProof/>
              </w:rPr>
              <w:t>III.</w:t>
            </w:r>
            <w:r w:rsidR="00D32456">
              <w:rPr>
                <w:rFonts w:asciiTheme="minorHAnsi" w:eastAsiaTheme="minorEastAsia" w:hAnsiTheme="minorHAnsi" w:cstheme="minorBidi"/>
                <w:noProof/>
                <w:spacing w:val="0"/>
                <w:sz w:val="22"/>
                <w:szCs w:val="22"/>
              </w:rPr>
              <w:tab/>
            </w:r>
            <w:r w:rsidR="00D32456" w:rsidRPr="000A6C6F">
              <w:rPr>
                <w:rStyle w:val="Hyperlink"/>
                <w:rFonts w:eastAsia="Times New Roman"/>
                <w:b/>
                <w:noProof/>
              </w:rPr>
              <w:t>History of the Proceedings</w:t>
            </w:r>
            <w:r w:rsidR="00D32456">
              <w:rPr>
                <w:noProof/>
                <w:webHidden/>
              </w:rPr>
              <w:tab/>
            </w:r>
            <w:r w:rsidR="00D32456">
              <w:rPr>
                <w:noProof/>
                <w:webHidden/>
              </w:rPr>
              <w:fldChar w:fldCharType="begin"/>
            </w:r>
            <w:r w:rsidR="00D32456">
              <w:rPr>
                <w:noProof/>
                <w:webHidden/>
              </w:rPr>
              <w:instrText xml:space="preserve"> PAGEREF _Toc517831028 \h </w:instrText>
            </w:r>
            <w:r w:rsidR="00D32456">
              <w:rPr>
                <w:noProof/>
                <w:webHidden/>
              </w:rPr>
            </w:r>
            <w:r w:rsidR="00D32456">
              <w:rPr>
                <w:noProof/>
                <w:webHidden/>
              </w:rPr>
              <w:fldChar w:fldCharType="separate"/>
            </w:r>
            <w:r w:rsidR="00E81986">
              <w:rPr>
                <w:noProof/>
                <w:webHidden/>
              </w:rPr>
              <w:t>8</w:t>
            </w:r>
            <w:r w:rsidR="00D32456">
              <w:rPr>
                <w:noProof/>
                <w:webHidden/>
              </w:rPr>
              <w:fldChar w:fldCharType="end"/>
            </w:r>
          </w:hyperlink>
        </w:p>
        <w:p w:rsidR="00D32456" w:rsidRDefault="00E100A2">
          <w:pPr>
            <w:pStyle w:val="TOC2"/>
            <w:tabs>
              <w:tab w:val="left" w:pos="2607"/>
            </w:tabs>
            <w:rPr>
              <w:rFonts w:asciiTheme="minorHAnsi" w:eastAsiaTheme="minorEastAsia" w:hAnsiTheme="minorHAnsi" w:cstheme="minorBidi"/>
              <w:noProof/>
              <w:spacing w:val="0"/>
              <w:sz w:val="22"/>
              <w:szCs w:val="22"/>
            </w:rPr>
          </w:pPr>
          <w:hyperlink w:anchor="_Toc517831029" w:history="1">
            <w:r w:rsidR="00D32456" w:rsidRPr="000A6C6F">
              <w:rPr>
                <w:rStyle w:val="Hyperlink"/>
                <w:b/>
                <w:noProof/>
              </w:rPr>
              <w:t>A</w:t>
            </w:r>
            <w:r w:rsidR="00D32456" w:rsidRPr="000A6C6F">
              <w:rPr>
                <w:rStyle w:val="Hyperlink"/>
                <w:noProof/>
              </w:rPr>
              <w:t>.</w:t>
            </w:r>
            <w:r w:rsidR="00D32456">
              <w:rPr>
                <w:rFonts w:asciiTheme="minorHAnsi" w:eastAsiaTheme="minorEastAsia" w:hAnsiTheme="minorHAnsi" w:cstheme="minorBidi"/>
                <w:noProof/>
                <w:spacing w:val="0"/>
                <w:sz w:val="22"/>
                <w:szCs w:val="22"/>
              </w:rPr>
              <w:tab/>
            </w:r>
            <w:r w:rsidR="00D32456" w:rsidRPr="000A6C6F">
              <w:rPr>
                <w:rStyle w:val="Hyperlink"/>
                <w:b/>
                <w:noProof/>
              </w:rPr>
              <w:t>Background</w:t>
            </w:r>
            <w:r w:rsidR="00D32456">
              <w:rPr>
                <w:noProof/>
                <w:webHidden/>
              </w:rPr>
              <w:tab/>
            </w:r>
            <w:r w:rsidR="00D32456">
              <w:rPr>
                <w:noProof/>
                <w:webHidden/>
              </w:rPr>
              <w:fldChar w:fldCharType="begin"/>
            </w:r>
            <w:r w:rsidR="00D32456">
              <w:rPr>
                <w:noProof/>
                <w:webHidden/>
              </w:rPr>
              <w:instrText xml:space="preserve"> PAGEREF _Toc517831029 \h </w:instrText>
            </w:r>
            <w:r w:rsidR="00D32456">
              <w:rPr>
                <w:noProof/>
                <w:webHidden/>
              </w:rPr>
            </w:r>
            <w:r w:rsidR="00D32456">
              <w:rPr>
                <w:noProof/>
                <w:webHidden/>
              </w:rPr>
              <w:fldChar w:fldCharType="separate"/>
            </w:r>
            <w:r w:rsidR="00E81986">
              <w:rPr>
                <w:noProof/>
                <w:webHidden/>
              </w:rPr>
              <w:t>8</w:t>
            </w:r>
            <w:r w:rsidR="00D32456">
              <w:rPr>
                <w:noProof/>
                <w:webHidden/>
              </w:rPr>
              <w:fldChar w:fldCharType="end"/>
            </w:r>
          </w:hyperlink>
        </w:p>
        <w:p w:rsidR="00D32456" w:rsidRDefault="00E100A2">
          <w:pPr>
            <w:pStyle w:val="TOC2"/>
            <w:tabs>
              <w:tab w:val="left" w:pos="2594"/>
            </w:tabs>
            <w:rPr>
              <w:rFonts w:asciiTheme="minorHAnsi" w:eastAsiaTheme="minorEastAsia" w:hAnsiTheme="minorHAnsi" w:cstheme="minorBidi"/>
              <w:noProof/>
              <w:spacing w:val="0"/>
              <w:sz w:val="22"/>
              <w:szCs w:val="22"/>
            </w:rPr>
          </w:pPr>
          <w:hyperlink w:anchor="_Toc517831030" w:history="1">
            <w:r w:rsidR="00D32456" w:rsidRPr="000A6C6F">
              <w:rPr>
                <w:rStyle w:val="Hyperlink"/>
                <w:b/>
                <w:noProof/>
              </w:rPr>
              <w:t>B.</w:t>
            </w:r>
            <w:r w:rsidR="00D32456">
              <w:rPr>
                <w:rFonts w:asciiTheme="minorHAnsi" w:eastAsiaTheme="minorEastAsia" w:hAnsiTheme="minorHAnsi" w:cstheme="minorBidi"/>
                <w:noProof/>
                <w:spacing w:val="0"/>
                <w:sz w:val="22"/>
                <w:szCs w:val="22"/>
              </w:rPr>
              <w:tab/>
            </w:r>
            <w:r w:rsidR="00D32456" w:rsidRPr="000A6C6F">
              <w:rPr>
                <w:rStyle w:val="Hyperlink"/>
                <w:b/>
                <w:noProof/>
              </w:rPr>
              <w:t>Procedural History</w:t>
            </w:r>
            <w:r w:rsidR="00D32456">
              <w:rPr>
                <w:noProof/>
                <w:webHidden/>
              </w:rPr>
              <w:tab/>
            </w:r>
            <w:r w:rsidR="00D32456">
              <w:rPr>
                <w:noProof/>
                <w:webHidden/>
              </w:rPr>
              <w:fldChar w:fldCharType="begin"/>
            </w:r>
            <w:r w:rsidR="00D32456">
              <w:rPr>
                <w:noProof/>
                <w:webHidden/>
              </w:rPr>
              <w:instrText xml:space="preserve"> PAGEREF _Toc517831030 \h </w:instrText>
            </w:r>
            <w:r w:rsidR="00D32456">
              <w:rPr>
                <w:noProof/>
                <w:webHidden/>
              </w:rPr>
            </w:r>
            <w:r w:rsidR="00D32456">
              <w:rPr>
                <w:noProof/>
                <w:webHidden/>
              </w:rPr>
              <w:fldChar w:fldCharType="separate"/>
            </w:r>
            <w:r w:rsidR="00E81986">
              <w:rPr>
                <w:noProof/>
                <w:webHidden/>
              </w:rPr>
              <w:t>10</w:t>
            </w:r>
            <w:r w:rsidR="00D32456">
              <w:rPr>
                <w:noProof/>
                <w:webHidden/>
              </w:rPr>
              <w:fldChar w:fldCharType="end"/>
            </w:r>
          </w:hyperlink>
        </w:p>
        <w:p w:rsidR="00D32456" w:rsidRDefault="00E100A2">
          <w:pPr>
            <w:pStyle w:val="TOC1"/>
            <w:rPr>
              <w:rFonts w:asciiTheme="minorHAnsi" w:eastAsiaTheme="minorEastAsia" w:hAnsiTheme="minorHAnsi" w:cstheme="minorBidi"/>
              <w:noProof/>
              <w:spacing w:val="0"/>
              <w:sz w:val="22"/>
              <w:szCs w:val="22"/>
            </w:rPr>
          </w:pPr>
          <w:hyperlink w:anchor="_Toc517831031" w:history="1">
            <w:r w:rsidR="00D32456" w:rsidRPr="000A6C6F">
              <w:rPr>
                <w:rStyle w:val="Hyperlink"/>
                <w:b/>
                <w:noProof/>
              </w:rPr>
              <w:t>IV.</w:t>
            </w:r>
            <w:r w:rsidR="00D32456">
              <w:rPr>
                <w:rFonts w:asciiTheme="minorHAnsi" w:eastAsiaTheme="minorEastAsia" w:hAnsiTheme="minorHAnsi" w:cstheme="minorBidi"/>
                <w:noProof/>
                <w:spacing w:val="0"/>
                <w:sz w:val="22"/>
                <w:szCs w:val="22"/>
              </w:rPr>
              <w:tab/>
            </w:r>
            <w:r w:rsidR="00D32456" w:rsidRPr="000A6C6F">
              <w:rPr>
                <w:rStyle w:val="Hyperlink"/>
                <w:b/>
                <w:noProof/>
              </w:rPr>
              <w:t>Discussion</w:t>
            </w:r>
            <w:r w:rsidR="00D32456">
              <w:rPr>
                <w:noProof/>
                <w:webHidden/>
              </w:rPr>
              <w:tab/>
            </w:r>
            <w:r w:rsidR="00D32456">
              <w:rPr>
                <w:noProof/>
                <w:webHidden/>
              </w:rPr>
              <w:fldChar w:fldCharType="begin"/>
            </w:r>
            <w:r w:rsidR="00D32456">
              <w:rPr>
                <w:noProof/>
                <w:webHidden/>
              </w:rPr>
              <w:instrText xml:space="preserve"> PAGEREF _Toc517831031 \h </w:instrText>
            </w:r>
            <w:r w:rsidR="00D32456">
              <w:rPr>
                <w:noProof/>
                <w:webHidden/>
              </w:rPr>
            </w:r>
            <w:r w:rsidR="00D32456">
              <w:rPr>
                <w:noProof/>
                <w:webHidden/>
              </w:rPr>
              <w:fldChar w:fldCharType="separate"/>
            </w:r>
            <w:r w:rsidR="00E81986">
              <w:rPr>
                <w:noProof/>
                <w:webHidden/>
              </w:rPr>
              <w:t>19</w:t>
            </w:r>
            <w:r w:rsidR="00D32456">
              <w:rPr>
                <w:noProof/>
                <w:webHidden/>
              </w:rPr>
              <w:fldChar w:fldCharType="end"/>
            </w:r>
          </w:hyperlink>
        </w:p>
        <w:p w:rsidR="00D32456" w:rsidRDefault="00E100A2">
          <w:pPr>
            <w:pStyle w:val="TOC2"/>
            <w:tabs>
              <w:tab w:val="left" w:pos="2607"/>
            </w:tabs>
            <w:rPr>
              <w:rFonts w:asciiTheme="minorHAnsi" w:eastAsiaTheme="minorEastAsia" w:hAnsiTheme="minorHAnsi" w:cstheme="minorBidi"/>
              <w:noProof/>
              <w:spacing w:val="0"/>
              <w:sz w:val="22"/>
              <w:szCs w:val="22"/>
            </w:rPr>
          </w:pPr>
          <w:hyperlink w:anchor="_Toc517831032" w:history="1">
            <w:r w:rsidR="00D32456" w:rsidRPr="000A6C6F">
              <w:rPr>
                <w:rStyle w:val="Hyperlink"/>
                <w:b/>
                <w:noProof/>
              </w:rPr>
              <w:t>A.</w:t>
            </w:r>
            <w:r w:rsidR="00D32456">
              <w:rPr>
                <w:rFonts w:asciiTheme="minorHAnsi" w:eastAsiaTheme="minorEastAsia" w:hAnsiTheme="minorHAnsi" w:cstheme="minorBidi"/>
                <w:noProof/>
                <w:spacing w:val="0"/>
                <w:sz w:val="22"/>
                <w:szCs w:val="22"/>
              </w:rPr>
              <w:tab/>
            </w:r>
            <w:r w:rsidR="00D32456" w:rsidRPr="000A6C6F">
              <w:rPr>
                <w:rStyle w:val="Hyperlink"/>
                <w:b/>
                <w:noProof/>
              </w:rPr>
              <w:t>ALJs’ Recommendation</w:t>
            </w:r>
            <w:r w:rsidR="00D32456">
              <w:rPr>
                <w:noProof/>
                <w:webHidden/>
              </w:rPr>
              <w:tab/>
            </w:r>
            <w:r w:rsidR="00D32456">
              <w:rPr>
                <w:noProof/>
                <w:webHidden/>
              </w:rPr>
              <w:fldChar w:fldCharType="begin"/>
            </w:r>
            <w:r w:rsidR="00D32456">
              <w:rPr>
                <w:noProof/>
                <w:webHidden/>
              </w:rPr>
              <w:instrText xml:space="preserve"> PAGEREF _Toc517831032 \h </w:instrText>
            </w:r>
            <w:r w:rsidR="00D32456">
              <w:rPr>
                <w:noProof/>
                <w:webHidden/>
              </w:rPr>
            </w:r>
            <w:r w:rsidR="00D32456">
              <w:rPr>
                <w:noProof/>
                <w:webHidden/>
              </w:rPr>
              <w:fldChar w:fldCharType="separate"/>
            </w:r>
            <w:r w:rsidR="00E81986">
              <w:rPr>
                <w:noProof/>
                <w:webHidden/>
              </w:rPr>
              <w:t>19</w:t>
            </w:r>
            <w:r w:rsidR="00D32456">
              <w:rPr>
                <w:noProof/>
                <w:webHidden/>
              </w:rPr>
              <w:fldChar w:fldCharType="end"/>
            </w:r>
          </w:hyperlink>
        </w:p>
        <w:p w:rsidR="00D32456" w:rsidRDefault="00E100A2">
          <w:pPr>
            <w:pStyle w:val="TOC2"/>
            <w:tabs>
              <w:tab w:val="left" w:pos="2594"/>
            </w:tabs>
            <w:rPr>
              <w:rFonts w:asciiTheme="minorHAnsi" w:eastAsiaTheme="minorEastAsia" w:hAnsiTheme="minorHAnsi" w:cstheme="minorBidi"/>
              <w:noProof/>
              <w:spacing w:val="0"/>
              <w:sz w:val="22"/>
              <w:szCs w:val="22"/>
            </w:rPr>
          </w:pPr>
          <w:hyperlink w:anchor="_Toc517831033" w:history="1">
            <w:r w:rsidR="00D32456" w:rsidRPr="000A6C6F">
              <w:rPr>
                <w:rStyle w:val="Hyperlink"/>
                <w:b/>
                <w:noProof/>
              </w:rPr>
              <w:t>B.</w:t>
            </w:r>
            <w:r w:rsidR="00D32456">
              <w:rPr>
                <w:rFonts w:asciiTheme="minorHAnsi" w:eastAsiaTheme="minorEastAsia" w:hAnsiTheme="minorHAnsi" w:cstheme="minorBidi"/>
                <w:noProof/>
                <w:spacing w:val="0"/>
                <w:sz w:val="22"/>
                <w:szCs w:val="22"/>
              </w:rPr>
              <w:tab/>
            </w:r>
            <w:r w:rsidR="00D32456" w:rsidRPr="000A6C6F">
              <w:rPr>
                <w:rStyle w:val="Hyperlink"/>
                <w:b/>
                <w:noProof/>
              </w:rPr>
              <w:t>Legal Standard</w:t>
            </w:r>
            <w:r w:rsidR="00D32456">
              <w:rPr>
                <w:noProof/>
                <w:webHidden/>
              </w:rPr>
              <w:tab/>
            </w:r>
            <w:r w:rsidR="00D32456">
              <w:rPr>
                <w:noProof/>
                <w:webHidden/>
              </w:rPr>
              <w:fldChar w:fldCharType="begin"/>
            </w:r>
            <w:r w:rsidR="00D32456">
              <w:rPr>
                <w:noProof/>
                <w:webHidden/>
              </w:rPr>
              <w:instrText xml:space="preserve"> PAGEREF _Toc517831033 \h </w:instrText>
            </w:r>
            <w:r w:rsidR="00D32456">
              <w:rPr>
                <w:noProof/>
                <w:webHidden/>
              </w:rPr>
            </w:r>
            <w:r w:rsidR="00D32456">
              <w:rPr>
                <w:noProof/>
                <w:webHidden/>
              </w:rPr>
              <w:fldChar w:fldCharType="separate"/>
            </w:r>
            <w:r w:rsidR="00E81986">
              <w:rPr>
                <w:noProof/>
                <w:webHidden/>
              </w:rPr>
              <w:t>20</w:t>
            </w:r>
            <w:r w:rsidR="00D32456">
              <w:rPr>
                <w:noProof/>
                <w:webHidden/>
              </w:rPr>
              <w:fldChar w:fldCharType="end"/>
            </w:r>
          </w:hyperlink>
        </w:p>
        <w:p w:rsidR="00D32456" w:rsidRDefault="00E100A2">
          <w:pPr>
            <w:pStyle w:val="TOC2"/>
            <w:tabs>
              <w:tab w:val="left" w:pos="2607"/>
            </w:tabs>
            <w:rPr>
              <w:rFonts w:asciiTheme="minorHAnsi" w:eastAsiaTheme="minorEastAsia" w:hAnsiTheme="minorHAnsi" w:cstheme="minorBidi"/>
              <w:noProof/>
              <w:spacing w:val="0"/>
              <w:sz w:val="22"/>
              <w:szCs w:val="22"/>
            </w:rPr>
          </w:pPr>
          <w:hyperlink w:anchor="_Toc517831034" w:history="1">
            <w:r w:rsidR="00D32456" w:rsidRPr="000A6C6F">
              <w:rPr>
                <w:rStyle w:val="Hyperlink"/>
                <w:b/>
                <w:noProof/>
              </w:rPr>
              <w:t>C.</w:t>
            </w:r>
            <w:r w:rsidR="00D32456">
              <w:rPr>
                <w:rFonts w:asciiTheme="minorHAnsi" w:eastAsiaTheme="minorEastAsia" w:hAnsiTheme="minorHAnsi" w:cstheme="minorBidi"/>
                <w:noProof/>
                <w:spacing w:val="0"/>
                <w:sz w:val="22"/>
                <w:szCs w:val="22"/>
              </w:rPr>
              <w:tab/>
            </w:r>
            <w:r w:rsidR="00D32456" w:rsidRPr="000A6C6F">
              <w:rPr>
                <w:rStyle w:val="Hyperlink"/>
                <w:b/>
                <w:noProof/>
              </w:rPr>
              <w:t>Subject Matter Jurisdiction</w:t>
            </w:r>
            <w:r w:rsidR="00D32456">
              <w:rPr>
                <w:noProof/>
                <w:webHidden/>
              </w:rPr>
              <w:tab/>
            </w:r>
            <w:r w:rsidR="00D32456">
              <w:rPr>
                <w:noProof/>
                <w:webHidden/>
              </w:rPr>
              <w:fldChar w:fldCharType="begin"/>
            </w:r>
            <w:r w:rsidR="00D32456">
              <w:rPr>
                <w:noProof/>
                <w:webHidden/>
              </w:rPr>
              <w:instrText xml:space="preserve"> PAGEREF _Toc517831034 \h </w:instrText>
            </w:r>
            <w:r w:rsidR="00D32456">
              <w:rPr>
                <w:noProof/>
                <w:webHidden/>
              </w:rPr>
            </w:r>
            <w:r w:rsidR="00D32456">
              <w:rPr>
                <w:noProof/>
                <w:webHidden/>
              </w:rPr>
              <w:fldChar w:fldCharType="separate"/>
            </w:r>
            <w:r w:rsidR="00E81986">
              <w:rPr>
                <w:noProof/>
                <w:webHidden/>
              </w:rPr>
              <w:t>21</w:t>
            </w:r>
            <w:r w:rsidR="00D32456">
              <w:rPr>
                <w:noProof/>
                <w:webHidden/>
              </w:rPr>
              <w:fldChar w:fldCharType="end"/>
            </w:r>
          </w:hyperlink>
        </w:p>
        <w:p w:rsidR="00D32456" w:rsidRDefault="00E100A2">
          <w:pPr>
            <w:pStyle w:val="TOC2"/>
            <w:tabs>
              <w:tab w:val="left" w:pos="2607"/>
            </w:tabs>
            <w:rPr>
              <w:rFonts w:asciiTheme="minorHAnsi" w:eastAsiaTheme="minorEastAsia" w:hAnsiTheme="minorHAnsi" w:cstheme="minorBidi"/>
              <w:noProof/>
              <w:spacing w:val="0"/>
              <w:sz w:val="22"/>
              <w:szCs w:val="22"/>
            </w:rPr>
          </w:pPr>
          <w:hyperlink w:anchor="_Toc517831035" w:history="1">
            <w:r w:rsidR="00D32456" w:rsidRPr="000A6C6F">
              <w:rPr>
                <w:rStyle w:val="Hyperlink"/>
                <w:b/>
                <w:noProof/>
              </w:rPr>
              <w:t>D.</w:t>
            </w:r>
            <w:r w:rsidR="00D32456">
              <w:rPr>
                <w:rFonts w:asciiTheme="minorHAnsi" w:eastAsiaTheme="minorEastAsia" w:hAnsiTheme="minorHAnsi" w:cstheme="minorBidi"/>
                <w:noProof/>
                <w:spacing w:val="0"/>
                <w:sz w:val="22"/>
                <w:szCs w:val="22"/>
              </w:rPr>
              <w:tab/>
            </w:r>
            <w:r w:rsidR="00D32456" w:rsidRPr="000A6C6F">
              <w:rPr>
                <w:rStyle w:val="Hyperlink"/>
                <w:b/>
                <w:noProof/>
              </w:rPr>
              <w:t>Authority/Role of OAG/OCA as Joint Complainants</w:t>
            </w:r>
            <w:r w:rsidR="00D32456">
              <w:rPr>
                <w:noProof/>
                <w:webHidden/>
              </w:rPr>
              <w:tab/>
            </w:r>
            <w:r w:rsidR="00D32456">
              <w:rPr>
                <w:noProof/>
                <w:webHidden/>
              </w:rPr>
              <w:fldChar w:fldCharType="begin"/>
            </w:r>
            <w:r w:rsidR="00D32456">
              <w:rPr>
                <w:noProof/>
                <w:webHidden/>
              </w:rPr>
              <w:instrText xml:space="preserve"> PAGEREF _Toc517831035 \h </w:instrText>
            </w:r>
            <w:r w:rsidR="00D32456">
              <w:rPr>
                <w:noProof/>
                <w:webHidden/>
              </w:rPr>
            </w:r>
            <w:r w:rsidR="00D32456">
              <w:rPr>
                <w:noProof/>
                <w:webHidden/>
              </w:rPr>
              <w:fldChar w:fldCharType="separate"/>
            </w:r>
            <w:r w:rsidR="00E81986">
              <w:rPr>
                <w:noProof/>
                <w:webHidden/>
              </w:rPr>
              <w:t>22</w:t>
            </w:r>
            <w:r w:rsidR="00D32456">
              <w:rPr>
                <w:noProof/>
                <w:webHidden/>
              </w:rPr>
              <w:fldChar w:fldCharType="end"/>
            </w:r>
          </w:hyperlink>
        </w:p>
        <w:p w:rsidR="00D32456" w:rsidRDefault="00E100A2">
          <w:pPr>
            <w:pStyle w:val="TOC2"/>
            <w:tabs>
              <w:tab w:val="left" w:pos="2594"/>
            </w:tabs>
            <w:rPr>
              <w:rFonts w:asciiTheme="minorHAnsi" w:eastAsiaTheme="minorEastAsia" w:hAnsiTheme="minorHAnsi" w:cstheme="minorBidi"/>
              <w:noProof/>
              <w:spacing w:val="0"/>
              <w:sz w:val="22"/>
              <w:szCs w:val="22"/>
            </w:rPr>
          </w:pPr>
          <w:hyperlink w:anchor="_Toc517831036" w:history="1">
            <w:r w:rsidR="00D32456" w:rsidRPr="000A6C6F">
              <w:rPr>
                <w:rStyle w:val="Hyperlink"/>
                <w:b/>
                <w:noProof/>
              </w:rPr>
              <w:t>E.</w:t>
            </w:r>
            <w:r w:rsidR="00D32456">
              <w:rPr>
                <w:rFonts w:asciiTheme="minorHAnsi" w:eastAsiaTheme="minorEastAsia" w:hAnsiTheme="minorHAnsi" w:cstheme="minorBidi"/>
                <w:noProof/>
                <w:spacing w:val="0"/>
                <w:sz w:val="22"/>
                <w:szCs w:val="22"/>
              </w:rPr>
              <w:tab/>
            </w:r>
            <w:r w:rsidR="00D32456" w:rsidRPr="000A6C6F">
              <w:rPr>
                <w:rStyle w:val="Hyperlink"/>
                <w:b/>
                <w:noProof/>
              </w:rPr>
              <w:t>Pattern and Practice</w:t>
            </w:r>
            <w:r w:rsidR="00D32456">
              <w:rPr>
                <w:noProof/>
                <w:webHidden/>
              </w:rPr>
              <w:tab/>
            </w:r>
            <w:r w:rsidR="00D32456">
              <w:rPr>
                <w:noProof/>
                <w:webHidden/>
              </w:rPr>
              <w:fldChar w:fldCharType="begin"/>
            </w:r>
            <w:r w:rsidR="00D32456">
              <w:rPr>
                <w:noProof/>
                <w:webHidden/>
              </w:rPr>
              <w:instrText xml:space="preserve"> PAGEREF _Toc517831036 \h </w:instrText>
            </w:r>
            <w:r w:rsidR="00D32456">
              <w:rPr>
                <w:noProof/>
                <w:webHidden/>
              </w:rPr>
            </w:r>
            <w:r w:rsidR="00D32456">
              <w:rPr>
                <w:noProof/>
                <w:webHidden/>
              </w:rPr>
              <w:fldChar w:fldCharType="separate"/>
            </w:r>
            <w:r w:rsidR="00E81986">
              <w:rPr>
                <w:noProof/>
                <w:webHidden/>
              </w:rPr>
              <w:t>25</w:t>
            </w:r>
            <w:r w:rsidR="00D32456">
              <w:rPr>
                <w:noProof/>
                <w:webHidden/>
              </w:rPr>
              <w:fldChar w:fldCharType="end"/>
            </w:r>
          </w:hyperlink>
        </w:p>
        <w:p w:rsidR="00D32456" w:rsidRDefault="00E100A2">
          <w:pPr>
            <w:pStyle w:val="TOC2"/>
            <w:tabs>
              <w:tab w:val="left" w:pos="2581"/>
            </w:tabs>
            <w:rPr>
              <w:rFonts w:asciiTheme="minorHAnsi" w:eastAsiaTheme="minorEastAsia" w:hAnsiTheme="minorHAnsi" w:cstheme="minorBidi"/>
              <w:noProof/>
              <w:spacing w:val="0"/>
              <w:sz w:val="22"/>
              <w:szCs w:val="22"/>
            </w:rPr>
          </w:pPr>
          <w:hyperlink w:anchor="_Toc517831037" w:history="1">
            <w:r w:rsidR="00D32456" w:rsidRPr="000A6C6F">
              <w:rPr>
                <w:rStyle w:val="Hyperlink"/>
                <w:b/>
                <w:noProof/>
              </w:rPr>
              <w:t>F.</w:t>
            </w:r>
            <w:r w:rsidR="00D32456">
              <w:rPr>
                <w:rFonts w:asciiTheme="minorHAnsi" w:eastAsiaTheme="minorEastAsia" w:hAnsiTheme="minorHAnsi" w:cstheme="minorBidi"/>
                <w:noProof/>
                <w:spacing w:val="0"/>
                <w:sz w:val="22"/>
                <w:szCs w:val="22"/>
              </w:rPr>
              <w:tab/>
            </w:r>
            <w:r w:rsidR="00D32456" w:rsidRPr="000A6C6F">
              <w:rPr>
                <w:rStyle w:val="Hyperlink"/>
                <w:b/>
                <w:noProof/>
              </w:rPr>
              <w:t>Count I – Failure to Provide Accurate Pricing Information.</w:t>
            </w:r>
            <w:r w:rsidR="00D32456">
              <w:rPr>
                <w:noProof/>
                <w:webHidden/>
              </w:rPr>
              <w:tab/>
            </w:r>
            <w:r w:rsidR="00D32456">
              <w:rPr>
                <w:noProof/>
                <w:webHidden/>
              </w:rPr>
              <w:fldChar w:fldCharType="begin"/>
            </w:r>
            <w:r w:rsidR="00D32456">
              <w:rPr>
                <w:noProof/>
                <w:webHidden/>
              </w:rPr>
              <w:instrText xml:space="preserve"> PAGEREF _Toc517831037 \h </w:instrText>
            </w:r>
            <w:r w:rsidR="00D32456">
              <w:rPr>
                <w:noProof/>
                <w:webHidden/>
              </w:rPr>
            </w:r>
            <w:r w:rsidR="00D32456">
              <w:rPr>
                <w:noProof/>
                <w:webHidden/>
              </w:rPr>
              <w:fldChar w:fldCharType="separate"/>
            </w:r>
            <w:r w:rsidR="00E81986">
              <w:rPr>
                <w:noProof/>
                <w:webHidden/>
              </w:rPr>
              <w:t>27</w:t>
            </w:r>
            <w:r w:rsidR="00D32456">
              <w:rPr>
                <w:noProof/>
                <w:webHidden/>
              </w:rPr>
              <w:fldChar w:fldCharType="end"/>
            </w:r>
          </w:hyperlink>
        </w:p>
        <w:p w:rsidR="00D32456" w:rsidRDefault="00E100A2">
          <w:pPr>
            <w:pStyle w:val="TOC2"/>
            <w:tabs>
              <w:tab w:val="left" w:pos="2621"/>
            </w:tabs>
            <w:rPr>
              <w:rFonts w:asciiTheme="minorHAnsi" w:eastAsiaTheme="minorEastAsia" w:hAnsiTheme="minorHAnsi" w:cstheme="minorBidi"/>
              <w:noProof/>
              <w:spacing w:val="0"/>
              <w:sz w:val="22"/>
              <w:szCs w:val="22"/>
            </w:rPr>
          </w:pPr>
          <w:hyperlink w:anchor="_Toc517831038" w:history="1">
            <w:r w:rsidR="00D32456" w:rsidRPr="000A6C6F">
              <w:rPr>
                <w:rStyle w:val="Hyperlink"/>
                <w:b/>
                <w:noProof/>
              </w:rPr>
              <w:t>G.</w:t>
            </w:r>
            <w:r w:rsidR="00D32456">
              <w:rPr>
                <w:rFonts w:asciiTheme="minorHAnsi" w:eastAsiaTheme="minorEastAsia" w:hAnsiTheme="minorHAnsi" w:cstheme="minorBidi"/>
                <w:noProof/>
                <w:spacing w:val="0"/>
                <w:sz w:val="22"/>
                <w:szCs w:val="22"/>
              </w:rPr>
              <w:tab/>
            </w:r>
            <w:r w:rsidR="00D32456" w:rsidRPr="000A6C6F">
              <w:rPr>
                <w:rStyle w:val="Hyperlink"/>
                <w:b/>
                <w:noProof/>
              </w:rPr>
              <w:t>Count II – Failure to Conform Prices to the Disclosure Statement</w:t>
            </w:r>
            <w:r w:rsidR="00D32456">
              <w:rPr>
                <w:noProof/>
                <w:webHidden/>
              </w:rPr>
              <w:tab/>
            </w:r>
            <w:r w:rsidR="00D32456">
              <w:rPr>
                <w:noProof/>
                <w:webHidden/>
              </w:rPr>
              <w:fldChar w:fldCharType="begin"/>
            </w:r>
            <w:r w:rsidR="00D32456">
              <w:rPr>
                <w:noProof/>
                <w:webHidden/>
              </w:rPr>
              <w:instrText xml:space="preserve"> PAGEREF _Toc517831038 \h </w:instrText>
            </w:r>
            <w:r w:rsidR="00D32456">
              <w:rPr>
                <w:noProof/>
                <w:webHidden/>
              </w:rPr>
            </w:r>
            <w:r w:rsidR="00D32456">
              <w:rPr>
                <w:noProof/>
                <w:webHidden/>
              </w:rPr>
              <w:fldChar w:fldCharType="separate"/>
            </w:r>
            <w:r w:rsidR="00E81986">
              <w:rPr>
                <w:noProof/>
                <w:webHidden/>
              </w:rPr>
              <w:t>37</w:t>
            </w:r>
            <w:r w:rsidR="00D32456">
              <w:rPr>
                <w:noProof/>
                <w:webHidden/>
              </w:rPr>
              <w:fldChar w:fldCharType="end"/>
            </w:r>
          </w:hyperlink>
        </w:p>
        <w:p w:rsidR="00D32456" w:rsidRDefault="00E100A2">
          <w:pPr>
            <w:pStyle w:val="TOC2"/>
            <w:tabs>
              <w:tab w:val="left" w:pos="2621"/>
            </w:tabs>
            <w:rPr>
              <w:rFonts w:asciiTheme="minorHAnsi" w:eastAsiaTheme="minorEastAsia" w:hAnsiTheme="minorHAnsi" w:cstheme="minorBidi"/>
              <w:noProof/>
              <w:spacing w:val="0"/>
              <w:sz w:val="22"/>
              <w:szCs w:val="22"/>
            </w:rPr>
          </w:pPr>
          <w:hyperlink w:anchor="_Toc517831039" w:history="1">
            <w:r w:rsidR="00D32456" w:rsidRPr="000A6C6F">
              <w:rPr>
                <w:rStyle w:val="Hyperlink"/>
                <w:b/>
                <w:noProof/>
              </w:rPr>
              <w:t>H.</w:t>
            </w:r>
            <w:r w:rsidR="00D32456">
              <w:rPr>
                <w:rFonts w:asciiTheme="minorHAnsi" w:eastAsiaTheme="minorEastAsia" w:hAnsiTheme="minorHAnsi" w:cstheme="minorBidi"/>
                <w:noProof/>
                <w:spacing w:val="0"/>
                <w:sz w:val="22"/>
                <w:szCs w:val="22"/>
              </w:rPr>
              <w:tab/>
            </w:r>
            <w:r w:rsidR="00D32456" w:rsidRPr="000A6C6F">
              <w:rPr>
                <w:rStyle w:val="Hyperlink"/>
                <w:b/>
                <w:noProof/>
              </w:rPr>
              <w:t>Count III – Misleading and Deceptive Promises of Savings</w:t>
            </w:r>
            <w:r w:rsidR="00D32456">
              <w:rPr>
                <w:noProof/>
                <w:webHidden/>
              </w:rPr>
              <w:tab/>
            </w:r>
            <w:r w:rsidR="00D32456">
              <w:rPr>
                <w:noProof/>
                <w:webHidden/>
              </w:rPr>
              <w:fldChar w:fldCharType="begin"/>
            </w:r>
            <w:r w:rsidR="00D32456">
              <w:rPr>
                <w:noProof/>
                <w:webHidden/>
              </w:rPr>
              <w:instrText xml:space="preserve"> PAGEREF _Toc517831039 \h </w:instrText>
            </w:r>
            <w:r w:rsidR="00D32456">
              <w:rPr>
                <w:noProof/>
                <w:webHidden/>
              </w:rPr>
            </w:r>
            <w:r w:rsidR="00D32456">
              <w:rPr>
                <w:noProof/>
                <w:webHidden/>
              </w:rPr>
              <w:fldChar w:fldCharType="separate"/>
            </w:r>
            <w:r w:rsidR="00E81986">
              <w:rPr>
                <w:noProof/>
                <w:webHidden/>
              </w:rPr>
              <w:t>47</w:t>
            </w:r>
            <w:r w:rsidR="00D32456">
              <w:rPr>
                <w:noProof/>
                <w:webHidden/>
              </w:rPr>
              <w:fldChar w:fldCharType="end"/>
            </w:r>
          </w:hyperlink>
        </w:p>
        <w:p w:rsidR="00D32456" w:rsidRDefault="00E100A2">
          <w:pPr>
            <w:pStyle w:val="TOC2"/>
            <w:tabs>
              <w:tab w:val="left" w:pos="2584"/>
            </w:tabs>
            <w:rPr>
              <w:rFonts w:asciiTheme="minorHAnsi" w:eastAsiaTheme="minorEastAsia" w:hAnsiTheme="minorHAnsi" w:cstheme="minorBidi"/>
              <w:noProof/>
              <w:spacing w:val="0"/>
              <w:sz w:val="22"/>
              <w:szCs w:val="22"/>
            </w:rPr>
          </w:pPr>
          <w:hyperlink w:anchor="_Toc517831040" w:history="1">
            <w:r w:rsidR="00D32456" w:rsidRPr="000A6C6F">
              <w:rPr>
                <w:rStyle w:val="Hyperlink"/>
                <w:b/>
                <w:noProof/>
              </w:rPr>
              <w:t xml:space="preserve">I. </w:t>
            </w:r>
            <w:r w:rsidR="00D32456">
              <w:rPr>
                <w:rFonts w:asciiTheme="minorHAnsi" w:eastAsiaTheme="minorEastAsia" w:hAnsiTheme="minorHAnsi" w:cstheme="minorBidi"/>
                <w:noProof/>
                <w:spacing w:val="0"/>
                <w:sz w:val="22"/>
                <w:szCs w:val="22"/>
              </w:rPr>
              <w:tab/>
            </w:r>
            <w:r w:rsidR="00D32456" w:rsidRPr="000A6C6F">
              <w:rPr>
                <w:rStyle w:val="Hyperlink"/>
                <w:b/>
                <w:noProof/>
              </w:rPr>
              <w:t>Count IV– Lack of Good Faith in Handling of Complaints</w:t>
            </w:r>
            <w:r w:rsidR="00D32456">
              <w:rPr>
                <w:noProof/>
                <w:webHidden/>
              </w:rPr>
              <w:tab/>
            </w:r>
            <w:r w:rsidR="00D32456">
              <w:rPr>
                <w:noProof/>
                <w:webHidden/>
              </w:rPr>
              <w:fldChar w:fldCharType="begin"/>
            </w:r>
            <w:r w:rsidR="00D32456">
              <w:rPr>
                <w:noProof/>
                <w:webHidden/>
              </w:rPr>
              <w:instrText xml:space="preserve"> PAGEREF _Toc517831040 \h </w:instrText>
            </w:r>
            <w:r w:rsidR="00D32456">
              <w:rPr>
                <w:noProof/>
                <w:webHidden/>
              </w:rPr>
            </w:r>
            <w:r w:rsidR="00D32456">
              <w:rPr>
                <w:noProof/>
                <w:webHidden/>
              </w:rPr>
              <w:fldChar w:fldCharType="separate"/>
            </w:r>
            <w:r w:rsidR="00E81986">
              <w:rPr>
                <w:noProof/>
                <w:webHidden/>
              </w:rPr>
              <w:t>67</w:t>
            </w:r>
            <w:r w:rsidR="00D32456">
              <w:rPr>
                <w:noProof/>
                <w:webHidden/>
              </w:rPr>
              <w:fldChar w:fldCharType="end"/>
            </w:r>
          </w:hyperlink>
        </w:p>
        <w:p w:rsidR="00D32456" w:rsidRDefault="00E100A2">
          <w:pPr>
            <w:pStyle w:val="TOC2"/>
            <w:tabs>
              <w:tab w:val="left" w:pos="2611"/>
            </w:tabs>
            <w:rPr>
              <w:rFonts w:asciiTheme="minorHAnsi" w:eastAsiaTheme="minorEastAsia" w:hAnsiTheme="minorHAnsi" w:cstheme="minorBidi"/>
              <w:noProof/>
              <w:spacing w:val="0"/>
              <w:sz w:val="22"/>
              <w:szCs w:val="22"/>
            </w:rPr>
          </w:pPr>
          <w:hyperlink w:anchor="_Toc517831041" w:history="1">
            <w:r w:rsidR="00D32456" w:rsidRPr="000A6C6F">
              <w:rPr>
                <w:rStyle w:val="Hyperlink"/>
                <w:b/>
                <w:noProof/>
              </w:rPr>
              <w:t xml:space="preserve">J. </w:t>
            </w:r>
            <w:r w:rsidR="00D32456">
              <w:rPr>
                <w:rFonts w:asciiTheme="minorHAnsi" w:eastAsiaTheme="minorEastAsia" w:hAnsiTheme="minorHAnsi" w:cstheme="minorBidi"/>
                <w:noProof/>
                <w:spacing w:val="0"/>
                <w:sz w:val="22"/>
                <w:szCs w:val="22"/>
              </w:rPr>
              <w:tab/>
            </w:r>
            <w:r w:rsidR="00D32456" w:rsidRPr="000A6C6F">
              <w:rPr>
                <w:rStyle w:val="Hyperlink"/>
                <w:b/>
                <w:noProof/>
              </w:rPr>
              <w:t>Count V – Failure to Comply with the TRA</w:t>
            </w:r>
            <w:r w:rsidR="00D32456">
              <w:rPr>
                <w:noProof/>
                <w:webHidden/>
              </w:rPr>
              <w:tab/>
            </w:r>
            <w:r w:rsidR="00D32456">
              <w:rPr>
                <w:noProof/>
                <w:webHidden/>
              </w:rPr>
              <w:fldChar w:fldCharType="begin"/>
            </w:r>
            <w:r w:rsidR="00D32456">
              <w:rPr>
                <w:noProof/>
                <w:webHidden/>
              </w:rPr>
              <w:instrText xml:space="preserve"> PAGEREF _Toc517831041 \h </w:instrText>
            </w:r>
            <w:r w:rsidR="00D32456">
              <w:rPr>
                <w:noProof/>
                <w:webHidden/>
              </w:rPr>
            </w:r>
            <w:r w:rsidR="00D32456">
              <w:rPr>
                <w:noProof/>
                <w:webHidden/>
              </w:rPr>
              <w:fldChar w:fldCharType="separate"/>
            </w:r>
            <w:r w:rsidR="00E81986">
              <w:rPr>
                <w:noProof/>
                <w:webHidden/>
              </w:rPr>
              <w:t>74</w:t>
            </w:r>
            <w:r w:rsidR="00D32456">
              <w:rPr>
                <w:noProof/>
                <w:webHidden/>
              </w:rPr>
              <w:fldChar w:fldCharType="end"/>
            </w:r>
          </w:hyperlink>
        </w:p>
        <w:p w:rsidR="00D32456" w:rsidRDefault="00E100A2">
          <w:pPr>
            <w:pStyle w:val="TOC2"/>
            <w:tabs>
              <w:tab w:val="left" w:pos="2621"/>
            </w:tabs>
            <w:rPr>
              <w:rFonts w:asciiTheme="minorHAnsi" w:eastAsiaTheme="minorEastAsia" w:hAnsiTheme="minorHAnsi" w:cstheme="minorBidi"/>
              <w:noProof/>
              <w:spacing w:val="0"/>
              <w:sz w:val="22"/>
              <w:szCs w:val="22"/>
            </w:rPr>
          </w:pPr>
          <w:hyperlink w:anchor="_Toc517831042" w:history="1">
            <w:r w:rsidR="00D32456" w:rsidRPr="000A6C6F">
              <w:rPr>
                <w:rStyle w:val="Hyperlink"/>
                <w:rFonts w:eastAsia="Calibri"/>
                <w:b/>
                <w:noProof/>
              </w:rPr>
              <w:t>K.</w:t>
            </w:r>
            <w:r w:rsidR="00D32456">
              <w:rPr>
                <w:rFonts w:asciiTheme="minorHAnsi" w:eastAsiaTheme="minorEastAsia" w:hAnsiTheme="minorHAnsi" w:cstheme="minorBidi"/>
                <w:noProof/>
                <w:spacing w:val="0"/>
                <w:sz w:val="22"/>
                <w:szCs w:val="22"/>
              </w:rPr>
              <w:tab/>
            </w:r>
            <w:r w:rsidR="00D32456" w:rsidRPr="000A6C6F">
              <w:rPr>
                <w:rStyle w:val="Hyperlink"/>
                <w:rFonts w:eastAsia="Calibri"/>
                <w:b/>
                <w:noProof/>
              </w:rPr>
              <w:t>Civil Penalties</w:t>
            </w:r>
            <w:r w:rsidR="00D32456">
              <w:rPr>
                <w:noProof/>
                <w:webHidden/>
              </w:rPr>
              <w:tab/>
            </w:r>
            <w:r w:rsidR="00D32456">
              <w:rPr>
                <w:noProof/>
                <w:webHidden/>
              </w:rPr>
              <w:fldChar w:fldCharType="begin"/>
            </w:r>
            <w:r w:rsidR="00D32456">
              <w:rPr>
                <w:noProof/>
                <w:webHidden/>
              </w:rPr>
              <w:instrText xml:space="preserve"> PAGEREF _Toc517831042 \h </w:instrText>
            </w:r>
            <w:r w:rsidR="00D32456">
              <w:rPr>
                <w:noProof/>
                <w:webHidden/>
              </w:rPr>
            </w:r>
            <w:r w:rsidR="00D32456">
              <w:rPr>
                <w:noProof/>
                <w:webHidden/>
              </w:rPr>
              <w:fldChar w:fldCharType="separate"/>
            </w:r>
            <w:r w:rsidR="00E81986">
              <w:rPr>
                <w:noProof/>
                <w:webHidden/>
              </w:rPr>
              <w:t>83</w:t>
            </w:r>
            <w:r w:rsidR="00D32456">
              <w:rPr>
                <w:noProof/>
                <w:webHidden/>
              </w:rPr>
              <w:fldChar w:fldCharType="end"/>
            </w:r>
          </w:hyperlink>
        </w:p>
        <w:p w:rsidR="00D32456" w:rsidRDefault="00E100A2">
          <w:pPr>
            <w:pStyle w:val="TOC2"/>
            <w:tabs>
              <w:tab w:val="left" w:pos="2594"/>
            </w:tabs>
            <w:rPr>
              <w:rFonts w:asciiTheme="minorHAnsi" w:eastAsiaTheme="minorEastAsia" w:hAnsiTheme="minorHAnsi" w:cstheme="minorBidi"/>
              <w:noProof/>
              <w:spacing w:val="0"/>
              <w:sz w:val="22"/>
              <w:szCs w:val="22"/>
            </w:rPr>
          </w:pPr>
          <w:hyperlink w:anchor="_Toc517831043" w:history="1">
            <w:r w:rsidR="00D32456" w:rsidRPr="000A6C6F">
              <w:rPr>
                <w:rStyle w:val="Hyperlink"/>
                <w:rFonts w:eastAsia="Calibri"/>
                <w:b/>
                <w:noProof/>
              </w:rPr>
              <w:t>L.</w:t>
            </w:r>
            <w:r w:rsidR="00D32456">
              <w:rPr>
                <w:rFonts w:asciiTheme="minorHAnsi" w:eastAsiaTheme="minorEastAsia" w:hAnsiTheme="minorHAnsi" w:cstheme="minorBidi"/>
                <w:noProof/>
                <w:spacing w:val="0"/>
                <w:sz w:val="22"/>
                <w:szCs w:val="22"/>
              </w:rPr>
              <w:tab/>
            </w:r>
            <w:r w:rsidR="00D32456" w:rsidRPr="000A6C6F">
              <w:rPr>
                <w:rStyle w:val="Hyperlink"/>
                <w:rFonts w:eastAsia="Calibri"/>
                <w:b/>
                <w:noProof/>
              </w:rPr>
              <w:t>Mandatory Contribution to Hardship Fund</w:t>
            </w:r>
            <w:r w:rsidR="00D32456">
              <w:rPr>
                <w:noProof/>
                <w:webHidden/>
              </w:rPr>
              <w:tab/>
            </w:r>
            <w:r w:rsidR="00D32456">
              <w:rPr>
                <w:noProof/>
                <w:webHidden/>
              </w:rPr>
              <w:fldChar w:fldCharType="begin"/>
            </w:r>
            <w:r w:rsidR="00D32456">
              <w:rPr>
                <w:noProof/>
                <w:webHidden/>
              </w:rPr>
              <w:instrText xml:space="preserve"> PAGEREF _Toc517831043 \h </w:instrText>
            </w:r>
            <w:r w:rsidR="00D32456">
              <w:rPr>
                <w:noProof/>
                <w:webHidden/>
              </w:rPr>
            </w:r>
            <w:r w:rsidR="00D32456">
              <w:rPr>
                <w:noProof/>
                <w:webHidden/>
              </w:rPr>
              <w:fldChar w:fldCharType="separate"/>
            </w:r>
            <w:r w:rsidR="00E81986">
              <w:rPr>
                <w:noProof/>
                <w:webHidden/>
              </w:rPr>
              <w:t>92</w:t>
            </w:r>
            <w:r w:rsidR="00D32456">
              <w:rPr>
                <w:noProof/>
                <w:webHidden/>
              </w:rPr>
              <w:fldChar w:fldCharType="end"/>
            </w:r>
          </w:hyperlink>
        </w:p>
        <w:p w:rsidR="00D32456" w:rsidRDefault="00E100A2">
          <w:pPr>
            <w:pStyle w:val="TOC2"/>
            <w:tabs>
              <w:tab w:val="left" w:pos="2661"/>
            </w:tabs>
            <w:rPr>
              <w:rFonts w:asciiTheme="minorHAnsi" w:eastAsiaTheme="minorEastAsia" w:hAnsiTheme="minorHAnsi" w:cstheme="minorBidi"/>
              <w:noProof/>
              <w:spacing w:val="0"/>
              <w:sz w:val="22"/>
              <w:szCs w:val="22"/>
            </w:rPr>
          </w:pPr>
          <w:hyperlink w:anchor="_Toc517831044" w:history="1">
            <w:r w:rsidR="00D32456" w:rsidRPr="000A6C6F">
              <w:rPr>
                <w:rStyle w:val="Hyperlink"/>
                <w:rFonts w:eastAsia="Calibri"/>
                <w:b/>
                <w:noProof/>
              </w:rPr>
              <w:t>M.</w:t>
            </w:r>
            <w:r w:rsidR="00D32456">
              <w:rPr>
                <w:rFonts w:asciiTheme="minorHAnsi" w:eastAsiaTheme="minorEastAsia" w:hAnsiTheme="minorHAnsi" w:cstheme="minorBidi"/>
                <w:noProof/>
                <w:spacing w:val="0"/>
                <w:sz w:val="22"/>
                <w:szCs w:val="22"/>
              </w:rPr>
              <w:tab/>
            </w:r>
            <w:r w:rsidR="00D32456" w:rsidRPr="000A6C6F">
              <w:rPr>
                <w:rStyle w:val="Hyperlink"/>
                <w:rFonts w:eastAsia="Calibri"/>
                <w:b/>
                <w:noProof/>
              </w:rPr>
              <w:t>Refunds</w:t>
            </w:r>
            <w:r w:rsidR="00D32456">
              <w:rPr>
                <w:noProof/>
                <w:webHidden/>
              </w:rPr>
              <w:tab/>
            </w:r>
            <w:r w:rsidR="00D32456">
              <w:rPr>
                <w:noProof/>
                <w:webHidden/>
              </w:rPr>
              <w:fldChar w:fldCharType="begin"/>
            </w:r>
            <w:r w:rsidR="00D32456">
              <w:rPr>
                <w:noProof/>
                <w:webHidden/>
              </w:rPr>
              <w:instrText xml:space="preserve"> PAGEREF _Toc517831044 \h </w:instrText>
            </w:r>
            <w:r w:rsidR="00D32456">
              <w:rPr>
                <w:noProof/>
                <w:webHidden/>
              </w:rPr>
            </w:r>
            <w:r w:rsidR="00D32456">
              <w:rPr>
                <w:noProof/>
                <w:webHidden/>
              </w:rPr>
              <w:fldChar w:fldCharType="separate"/>
            </w:r>
            <w:r w:rsidR="00E81986">
              <w:rPr>
                <w:noProof/>
                <w:webHidden/>
              </w:rPr>
              <w:t>92</w:t>
            </w:r>
            <w:r w:rsidR="00D32456">
              <w:rPr>
                <w:noProof/>
                <w:webHidden/>
              </w:rPr>
              <w:fldChar w:fldCharType="end"/>
            </w:r>
          </w:hyperlink>
        </w:p>
        <w:p w:rsidR="00D32456" w:rsidRDefault="00E100A2">
          <w:pPr>
            <w:pStyle w:val="TOC1"/>
            <w:rPr>
              <w:rFonts w:asciiTheme="minorHAnsi" w:eastAsiaTheme="minorEastAsia" w:hAnsiTheme="minorHAnsi" w:cstheme="minorBidi"/>
              <w:noProof/>
              <w:spacing w:val="0"/>
              <w:sz w:val="22"/>
              <w:szCs w:val="22"/>
            </w:rPr>
          </w:pPr>
          <w:hyperlink w:anchor="_Toc517831045" w:history="1">
            <w:r w:rsidR="00D32456" w:rsidRPr="000A6C6F">
              <w:rPr>
                <w:rStyle w:val="Hyperlink"/>
                <w:rFonts w:eastAsia="Times New Roman"/>
                <w:b/>
                <w:noProof/>
              </w:rPr>
              <w:t>V.</w:t>
            </w:r>
            <w:r w:rsidR="00D32456">
              <w:rPr>
                <w:rFonts w:asciiTheme="minorHAnsi" w:eastAsiaTheme="minorEastAsia" w:hAnsiTheme="minorHAnsi" w:cstheme="minorBidi"/>
                <w:noProof/>
                <w:spacing w:val="0"/>
                <w:sz w:val="22"/>
                <w:szCs w:val="22"/>
              </w:rPr>
              <w:tab/>
            </w:r>
            <w:r w:rsidR="00D32456" w:rsidRPr="000A6C6F">
              <w:rPr>
                <w:rStyle w:val="Hyperlink"/>
                <w:rFonts w:eastAsia="Times New Roman"/>
                <w:b/>
                <w:noProof/>
              </w:rPr>
              <w:t>CONCLUSION</w:t>
            </w:r>
            <w:r w:rsidR="00D32456">
              <w:rPr>
                <w:noProof/>
                <w:webHidden/>
              </w:rPr>
              <w:tab/>
            </w:r>
            <w:r w:rsidR="00D32456">
              <w:rPr>
                <w:noProof/>
                <w:webHidden/>
              </w:rPr>
              <w:fldChar w:fldCharType="begin"/>
            </w:r>
            <w:r w:rsidR="00D32456">
              <w:rPr>
                <w:noProof/>
                <w:webHidden/>
              </w:rPr>
              <w:instrText xml:space="preserve"> PAGEREF _Toc517831045 \h </w:instrText>
            </w:r>
            <w:r w:rsidR="00D32456">
              <w:rPr>
                <w:noProof/>
                <w:webHidden/>
              </w:rPr>
            </w:r>
            <w:r w:rsidR="00D32456">
              <w:rPr>
                <w:noProof/>
                <w:webHidden/>
              </w:rPr>
              <w:fldChar w:fldCharType="separate"/>
            </w:r>
            <w:r w:rsidR="00E81986">
              <w:rPr>
                <w:noProof/>
                <w:webHidden/>
              </w:rPr>
              <w:t>97</w:t>
            </w:r>
            <w:r w:rsidR="00D32456">
              <w:rPr>
                <w:noProof/>
                <w:webHidden/>
              </w:rPr>
              <w:fldChar w:fldCharType="end"/>
            </w:r>
          </w:hyperlink>
        </w:p>
        <w:p w:rsidR="00702A5D" w:rsidRPr="00001309" w:rsidRDefault="00702A5D">
          <w:r w:rsidRPr="00001309">
            <w:rPr>
              <w:b/>
              <w:bCs/>
              <w:noProof/>
            </w:rPr>
            <w:fldChar w:fldCharType="end"/>
          </w:r>
        </w:p>
      </w:sdtContent>
    </w:sdt>
    <w:p w:rsidR="00353AAB" w:rsidRPr="00001309" w:rsidRDefault="00353AAB" w:rsidP="006469EF">
      <w:pPr>
        <w:keepNext/>
        <w:keepLines/>
        <w:autoSpaceDE w:val="0"/>
        <w:autoSpaceDN w:val="0"/>
        <w:ind w:firstLine="0"/>
        <w:rPr>
          <w:rFonts w:eastAsia="Times New Roman"/>
          <w:b/>
          <w:sz w:val="26"/>
          <w:szCs w:val="26"/>
        </w:rPr>
      </w:pPr>
      <w:r w:rsidRPr="00001309">
        <w:rPr>
          <w:rFonts w:eastAsia="Times New Roman"/>
          <w:b/>
          <w:sz w:val="26"/>
          <w:szCs w:val="26"/>
        </w:rPr>
        <w:lastRenderedPageBreak/>
        <w:t>BY THE COMMISSION:</w:t>
      </w:r>
    </w:p>
    <w:p w:rsidR="003B44E6" w:rsidRPr="00001309" w:rsidRDefault="003B44E6" w:rsidP="006469EF">
      <w:pPr>
        <w:keepNext/>
        <w:keepLines/>
        <w:autoSpaceDE w:val="0"/>
        <w:autoSpaceDN w:val="0"/>
        <w:ind w:firstLine="0"/>
        <w:rPr>
          <w:rFonts w:eastAsia="Times New Roman"/>
          <w:sz w:val="26"/>
          <w:szCs w:val="26"/>
        </w:rPr>
      </w:pPr>
    </w:p>
    <w:p w:rsidR="00DE13B1" w:rsidRPr="004B3722" w:rsidRDefault="004A0831" w:rsidP="00AD02B2">
      <w:pPr>
        <w:pStyle w:val="Heading1"/>
        <w:ind w:firstLine="0"/>
        <w:jc w:val="center"/>
        <w:rPr>
          <w:rFonts w:ascii="Times New Roman" w:eastAsia="Times New Roman" w:hAnsi="Times New Roman" w:cs="Times New Roman"/>
          <w:b/>
          <w:color w:val="auto"/>
          <w:sz w:val="26"/>
          <w:szCs w:val="26"/>
        </w:rPr>
      </w:pPr>
      <w:bookmarkStart w:id="1" w:name="_Toc517831024"/>
      <w:r w:rsidRPr="004B3722">
        <w:rPr>
          <w:rFonts w:ascii="Times New Roman" w:eastAsia="Times New Roman" w:hAnsi="Times New Roman" w:cs="Times New Roman"/>
          <w:b/>
          <w:color w:val="auto"/>
          <w:sz w:val="26"/>
          <w:szCs w:val="26"/>
        </w:rPr>
        <w:t>I.</w:t>
      </w:r>
      <w:r w:rsidRPr="004B3722">
        <w:rPr>
          <w:rFonts w:ascii="Times New Roman" w:eastAsia="Times New Roman" w:hAnsi="Times New Roman" w:cs="Times New Roman"/>
          <w:b/>
          <w:color w:val="auto"/>
          <w:sz w:val="26"/>
          <w:szCs w:val="26"/>
        </w:rPr>
        <w:tab/>
      </w:r>
      <w:r w:rsidR="00527405" w:rsidRPr="004B3722">
        <w:rPr>
          <w:rFonts w:ascii="Times New Roman" w:eastAsia="Times New Roman" w:hAnsi="Times New Roman" w:cs="Times New Roman"/>
          <w:b/>
          <w:color w:val="auto"/>
          <w:sz w:val="26"/>
          <w:szCs w:val="26"/>
        </w:rPr>
        <w:t>Matter Before the Commission</w:t>
      </w:r>
      <w:bookmarkEnd w:id="1"/>
    </w:p>
    <w:p w:rsidR="00DE13B1" w:rsidRPr="00001309" w:rsidRDefault="00DE13B1" w:rsidP="006469EF">
      <w:pPr>
        <w:keepNext/>
        <w:keepLines/>
        <w:autoSpaceDE w:val="0"/>
        <w:autoSpaceDN w:val="0"/>
        <w:ind w:firstLine="0"/>
        <w:rPr>
          <w:rFonts w:eastAsia="Times New Roman"/>
          <w:sz w:val="26"/>
          <w:szCs w:val="26"/>
        </w:rPr>
      </w:pPr>
    </w:p>
    <w:p w:rsidR="00B11FF4" w:rsidRPr="00001309" w:rsidRDefault="0006320E" w:rsidP="00B9343F">
      <w:pPr>
        <w:autoSpaceDE w:val="0"/>
        <w:autoSpaceDN w:val="0"/>
        <w:rPr>
          <w:sz w:val="26"/>
          <w:szCs w:val="26"/>
        </w:rPr>
      </w:pPr>
      <w:r w:rsidRPr="00001309">
        <w:rPr>
          <w:rFonts w:eastAsia="Times New Roman"/>
          <w:sz w:val="26"/>
          <w:szCs w:val="26"/>
        </w:rPr>
        <w:t>The matter b</w:t>
      </w:r>
      <w:r w:rsidR="00353AAB" w:rsidRPr="00001309">
        <w:rPr>
          <w:rFonts w:eastAsia="Times New Roman"/>
          <w:sz w:val="26"/>
          <w:szCs w:val="26"/>
        </w:rPr>
        <w:t xml:space="preserve">efore the </w:t>
      </w:r>
      <w:r w:rsidR="00B916BE" w:rsidRPr="00001309">
        <w:rPr>
          <w:rFonts w:eastAsia="Times New Roman"/>
          <w:sz w:val="26"/>
          <w:szCs w:val="26"/>
        </w:rPr>
        <w:t>Pennsylvania Public Utility Commission (</w:t>
      </w:r>
      <w:r w:rsidR="00353AAB" w:rsidRPr="00001309">
        <w:rPr>
          <w:rFonts w:eastAsia="Times New Roman"/>
          <w:sz w:val="26"/>
          <w:szCs w:val="26"/>
        </w:rPr>
        <w:t>Commission</w:t>
      </w:r>
      <w:r w:rsidR="00B916BE" w:rsidRPr="00001309">
        <w:rPr>
          <w:rFonts w:eastAsia="Times New Roman"/>
          <w:sz w:val="26"/>
          <w:szCs w:val="26"/>
        </w:rPr>
        <w:t>)</w:t>
      </w:r>
      <w:r w:rsidR="00353AAB" w:rsidRPr="00001309">
        <w:rPr>
          <w:rFonts w:eastAsia="Times New Roman"/>
          <w:sz w:val="26"/>
          <w:szCs w:val="26"/>
        </w:rPr>
        <w:t xml:space="preserve"> for consideration and disposition is the Initial Decision (I.D.) of presiding </w:t>
      </w:r>
      <w:bookmarkStart w:id="2" w:name="_Hlk499109964"/>
      <w:r w:rsidR="00353AAB" w:rsidRPr="00001309">
        <w:rPr>
          <w:rFonts w:eastAsia="Times New Roman"/>
          <w:sz w:val="26"/>
          <w:szCs w:val="26"/>
        </w:rPr>
        <w:t xml:space="preserve">Administrative Law Judges </w:t>
      </w:r>
      <w:r w:rsidR="00B916BE" w:rsidRPr="00001309">
        <w:rPr>
          <w:rFonts w:eastAsia="Times New Roman"/>
          <w:sz w:val="26"/>
          <w:szCs w:val="26"/>
        </w:rPr>
        <w:t xml:space="preserve">(ALJs) </w:t>
      </w:r>
      <w:r w:rsidR="00353AAB" w:rsidRPr="00001309">
        <w:rPr>
          <w:rFonts w:eastAsia="Times New Roman"/>
          <w:sz w:val="26"/>
          <w:szCs w:val="26"/>
        </w:rPr>
        <w:t xml:space="preserve">Elizabeth H. Barnes and Joel H. Cheskis, issued </w:t>
      </w:r>
      <w:r w:rsidR="00851161" w:rsidRPr="00001309">
        <w:rPr>
          <w:rFonts w:eastAsia="Times New Roman"/>
          <w:sz w:val="26"/>
          <w:szCs w:val="26"/>
        </w:rPr>
        <w:t>July 7</w:t>
      </w:r>
      <w:r w:rsidR="00353AAB" w:rsidRPr="00001309">
        <w:rPr>
          <w:rFonts w:eastAsia="Times New Roman"/>
          <w:sz w:val="26"/>
          <w:szCs w:val="26"/>
        </w:rPr>
        <w:t>, 201</w:t>
      </w:r>
      <w:r w:rsidR="00851161" w:rsidRPr="00001309">
        <w:rPr>
          <w:rFonts w:eastAsia="Times New Roman"/>
          <w:sz w:val="26"/>
          <w:szCs w:val="26"/>
        </w:rPr>
        <w:t>6</w:t>
      </w:r>
      <w:r w:rsidR="00EA3B42" w:rsidRPr="00001309">
        <w:rPr>
          <w:rFonts w:eastAsia="Times New Roman"/>
          <w:sz w:val="26"/>
          <w:szCs w:val="26"/>
        </w:rPr>
        <w:t>,</w:t>
      </w:r>
      <w:r w:rsidR="00BB297D" w:rsidRPr="00001309">
        <w:rPr>
          <w:rFonts w:eastAsia="Times New Roman"/>
          <w:sz w:val="26"/>
          <w:szCs w:val="26"/>
        </w:rPr>
        <w:t xml:space="preserve"> </w:t>
      </w:r>
      <w:bookmarkEnd w:id="2"/>
      <w:r w:rsidR="00155D25" w:rsidRPr="00001309">
        <w:rPr>
          <w:rFonts w:eastAsia="Times New Roman"/>
          <w:sz w:val="26"/>
          <w:szCs w:val="26"/>
        </w:rPr>
        <w:t>sustaining</w:t>
      </w:r>
      <w:r w:rsidR="00337631" w:rsidRPr="00001309">
        <w:rPr>
          <w:rFonts w:eastAsia="Times New Roman"/>
          <w:sz w:val="26"/>
          <w:szCs w:val="26"/>
        </w:rPr>
        <w:t>,</w:t>
      </w:r>
      <w:r w:rsidR="00155D25" w:rsidRPr="00001309">
        <w:rPr>
          <w:rFonts w:eastAsia="Times New Roman"/>
          <w:sz w:val="26"/>
          <w:szCs w:val="26"/>
        </w:rPr>
        <w:t xml:space="preserve"> in part</w:t>
      </w:r>
      <w:r w:rsidR="00337631" w:rsidRPr="00001309">
        <w:rPr>
          <w:rFonts w:eastAsia="Times New Roman"/>
          <w:sz w:val="26"/>
          <w:szCs w:val="26"/>
        </w:rPr>
        <w:t>,</w:t>
      </w:r>
      <w:r w:rsidR="00155D25" w:rsidRPr="00001309">
        <w:rPr>
          <w:rFonts w:eastAsia="Times New Roman"/>
          <w:sz w:val="26"/>
          <w:szCs w:val="26"/>
        </w:rPr>
        <w:t xml:space="preserve"> and denying</w:t>
      </w:r>
      <w:r w:rsidR="00337631" w:rsidRPr="00001309">
        <w:rPr>
          <w:rFonts w:eastAsia="Times New Roman"/>
          <w:sz w:val="26"/>
          <w:szCs w:val="26"/>
        </w:rPr>
        <w:t>,</w:t>
      </w:r>
      <w:r w:rsidR="00155D25" w:rsidRPr="00001309">
        <w:rPr>
          <w:rFonts w:eastAsia="Times New Roman"/>
          <w:sz w:val="26"/>
          <w:szCs w:val="26"/>
        </w:rPr>
        <w:t xml:space="preserve"> in part</w:t>
      </w:r>
      <w:r w:rsidR="00337631" w:rsidRPr="00001309">
        <w:rPr>
          <w:rFonts w:eastAsia="Times New Roman"/>
          <w:sz w:val="26"/>
          <w:szCs w:val="26"/>
        </w:rPr>
        <w:t>,</w:t>
      </w:r>
      <w:r w:rsidR="00155D25" w:rsidRPr="00001309">
        <w:rPr>
          <w:rFonts w:eastAsia="Times New Roman"/>
          <w:sz w:val="26"/>
          <w:szCs w:val="26"/>
        </w:rPr>
        <w:t xml:space="preserve"> </w:t>
      </w:r>
      <w:r w:rsidR="00BB297D" w:rsidRPr="00001309">
        <w:rPr>
          <w:rFonts w:eastAsia="Times New Roman"/>
          <w:sz w:val="26"/>
          <w:szCs w:val="26"/>
        </w:rPr>
        <w:t xml:space="preserve">the joint </w:t>
      </w:r>
      <w:r w:rsidR="00155D25" w:rsidRPr="00001309">
        <w:rPr>
          <w:rFonts w:eastAsia="Times New Roman"/>
          <w:sz w:val="26"/>
          <w:szCs w:val="26"/>
        </w:rPr>
        <w:t>F</w:t>
      </w:r>
      <w:r w:rsidR="00BB297D" w:rsidRPr="00001309">
        <w:rPr>
          <w:rFonts w:eastAsia="Times New Roman"/>
          <w:sz w:val="26"/>
          <w:szCs w:val="26"/>
        </w:rPr>
        <w:t xml:space="preserve">ormal </w:t>
      </w:r>
      <w:r w:rsidR="00155D25" w:rsidRPr="00001309">
        <w:rPr>
          <w:rFonts w:eastAsia="Times New Roman"/>
          <w:sz w:val="26"/>
          <w:szCs w:val="26"/>
        </w:rPr>
        <w:t>C</w:t>
      </w:r>
      <w:r w:rsidR="00BB297D" w:rsidRPr="00001309">
        <w:rPr>
          <w:rFonts w:eastAsia="Times New Roman"/>
          <w:sz w:val="26"/>
          <w:szCs w:val="26"/>
        </w:rPr>
        <w:t xml:space="preserve">omplaint </w:t>
      </w:r>
      <w:r w:rsidR="00B11FF4" w:rsidRPr="00001309">
        <w:rPr>
          <w:rFonts w:eastAsia="Times New Roman"/>
          <w:sz w:val="26"/>
          <w:szCs w:val="26"/>
        </w:rPr>
        <w:t xml:space="preserve">(Complaint) </w:t>
      </w:r>
      <w:r w:rsidR="00BB297D" w:rsidRPr="00001309">
        <w:rPr>
          <w:rFonts w:eastAsia="Times New Roman"/>
          <w:sz w:val="26"/>
          <w:szCs w:val="26"/>
        </w:rPr>
        <w:t xml:space="preserve">of </w:t>
      </w:r>
      <w:r w:rsidR="00BB297D" w:rsidRPr="00001309">
        <w:rPr>
          <w:sz w:val="26"/>
          <w:szCs w:val="26"/>
        </w:rPr>
        <w:t>the</w:t>
      </w:r>
      <w:r w:rsidR="00BB297D" w:rsidRPr="00001309">
        <w:rPr>
          <w:rFonts w:eastAsia="Times New Roman"/>
          <w:sz w:val="26"/>
          <w:szCs w:val="26"/>
        </w:rPr>
        <w:t xml:space="preserve"> </w:t>
      </w:r>
      <w:bookmarkStart w:id="3" w:name="_Hlk499109648"/>
      <w:r w:rsidR="00BB297D" w:rsidRPr="00001309">
        <w:rPr>
          <w:rFonts w:eastAsia="Times New Roman"/>
          <w:sz w:val="26"/>
          <w:szCs w:val="26"/>
        </w:rPr>
        <w:t xml:space="preserve">Commonwealth of Pennsylvania, </w:t>
      </w:r>
      <w:bookmarkStart w:id="4" w:name="_Hlk511324725"/>
      <w:r w:rsidR="00757A4E" w:rsidRPr="00001309">
        <w:rPr>
          <w:rFonts w:eastAsia="Times New Roman"/>
          <w:sz w:val="26"/>
          <w:szCs w:val="26"/>
        </w:rPr>
        <w:t>filed on June 20, 2014,</w:t>
      </w:r>
      <w:bookmarkEnd w:id="4"/>
      <w:r w:rsidR="00757A4E" w:rsidRPr="00001309">
        <w:rPr>
          <w:rFonts w:eastAsia="Times New Roman"/>
          <w:sz w:val="26"/>
          <w:szCs w:val="26"/>
        </w:rPr>
        <w:t xml:space="preserve"> </w:t>
      </w:r>
      <w:r w:rsidR="00BB297D" w:rsidRPr="00001309">
        <w:rPr>
          <w:rFonts w:eastAsia="Times New Roman"/>
          <w:sz w:val="26"/>
          <w:szCs w:val="26"/>
        </w:rPr>
        <w:t>by Attorney General Kathleen</w:t>
      </w:r>
      <w:r w:rsidR="00757A4E" w:rsidRPr="00001309">
        <w:rPr>
          <w:rFonts w:eastAsia="Times New Roman"/>
          <w:sz w:val="26"/>
          <w:szCs w:val="26"/>
        </w:rPr>
        <w:t> </w:t>
      </w:r>
      <w:r w:rsidR="00BB297D" w:rsidRPr="00001309">
        <w:rPr>
          <w:rFonts w:eastAsia="Times New Roman"/>
          <w:sz w:val="26"/>
          <w:szCs w:val="26"/>
        </w:rPr>
        <w:t>G.</w:t>
      </w:r>
      <w:r w:rsidR="00757A4E" w:rsidRPr="00001309">
        <w:rPr>
          <w:rFonts w:eastAsia="Times New Roman"/>
          <w:sz w:val="26"/>
          <w:szCs w:val="26"/>
        </w:rPr>
        <w:t> </w:t>
      </w:r>
      <w:r w:rsidR="00BB297D" w:rsidRPr="00001309">
        <w:rPr>
          <w:rFonts w:eastAsia="Times New Roman"/>
          <w:sz w:val="26"/>
          <w:szCs w:val="26"/>
        </w:rPr>
        <w:t>Kane, (OAG) and Tanya J. McCloskey, Acting Consumer Advocate, (OCA) (together,</w:t>
      </w:r>
      <w:r w:rsidR="00BB297D" w:rsidRPr="00001309">
        <w:rPr>
          <w:sz w:val="26"/>
          <w:szCs w:val="26"/>
        </w:rPr>
        <w:t xml:space="preserve"> Joint Complainants) against </w:t>
      </w:r>
      <w:r w:rsidR="00BB297D" w:rsidRPr="00001309">
        <w:rPr>
          <w:rFonts w:eastAsia="Times New Roman"/>
          <w:sz w:val="26"/>
          <w:szCs w:val="26"/>
        </w:rPr>
        <w:t>Blue Pilot, LLC (Blue Pilot or Company)</w:t>
      </w:r>
      <w:r w:rsidR="00BB297D" w:rsidRPr="00001309">
        <w:rPr>
          <w:sz w:val="26"/>
          <w:szCs w:val="26"/>
        </w:rPr>
        <w:t xml:space="preserve">. </w:t>
      </w:r>
      <w:bookmarkEnd w:id="3"/>
      <w:r w:rsidR="00BB297D" w:rsidRPr="00001309">
        <w:rPr>
          <w:sz w:val="26"/>
          <w:szCs w:val="26"/>
        </w:rPr>
        <w:t xml:space="preserve"> </w:t>
      </w:r>
      <w:r w:rsidR="00EA3B42" w:rsidRPr="00001309">
        <w:rPr>
          <w:rFonts w:eastAsia="Times New Roman"/>
          <w:sz w:val="26"/>
          <w:szCs w:val="26"/>
        </w:rPr>
        <w:t xml:space="preserve">Exceptions </w:t>
      </w:r>
      <w:r w:rsidR="00BB297D" w:rsidRPr="00001309">
        <w:rPr>
          <w:rFonts w:eastAsia="Times New Roman"/>
          <w:sz w:val="26"/>
          <w:szCs w:val="26"/>
        </w:rPr>
        <w:t>to the I</w:t>
      </w:r>
      <w:r w:rsidR="00155D25" w:rsidRPr="00001309">
        <w:rPr>
          <w:rFonts w:eastAsia="Times New Roman"/>
          <w:sz w:val="26"/>
          <w:szCs w:val="26"/>
        </w:rPr>
        <w:t xml:space="preserve">nitial </w:t>
      </w:r>
      <w:r w:rsidR="00BB297D" w:rsidRPr="00001309">
        <w:rPr>
          <w:rFonts w:eastAsia="Times New Roman"/>
          <w:sz w:val="26"/>
          <w:szCs w:val="26"/>
        </w:rPr>
        <w:t>D</w:t>
      </w:r>
      <w:r w:rsidR="00155D25" w:rsidRPr="00001309">
        <w:rPr>
          <w:rFonts w:eastAsia="Times New Roman"/>
          <w:sz w:val="26"/>
          <w:szCs w:val="26"/>
        </w:rPr>
        <w:t>ecision</w:t>
      </w:r>
      <w:r w:rsidR="00BB297D" w:rsidRPr="00001309">
        <w:rPr>
          <w:rFonts w:eastAsia="Times New Roman"/>
          <w:sz w:val="26"/>
          <w:szCs w:val="26"/>
        </w:rPr>
        <w:t xml:space="preserve"> </w:t>
      </w:r>
      <w:r w:rsidR="00486FC6" w:rsidRPr="00001309">
        <w:rPr>
          <w:rFonts w:eastAsia="Times New Roman"/>
          <w:sz w:val="26"/>
          <w:szCs w:val="26"/>
        </w:rPr>
        <w:t xml:space="preserve">were filed </w:t>
      </w:r>
      <w:r w:rsidR="00902EB3" w:rsidRPr="00001309">
        <w:rPr>
          <w:rFonts w:eastAsia="Times New Roman"/>
          <w:sz w:val="26"/>
          <w:szCs w:val="26"/>
        </w:rPr>
        <w:t>b</w:t>
      </w:r>
      <w:r w:rsidR="00EA3B42" w:rsidRPr="00001309">
        <w:rPr>
          <w:rFonts w:eastAsia="Times New Roman"/>
          <w:sz w:val="26"/>
          <w:szCs w:val="26"/>
        </w:rPr>
        <w:t xml:space="preserve">y </w:t>
      </w:r>
      <w:r w:rsidR="00851161" w:rsidRPr="00001309">
        <w:rPr>
          <w:rFonts w:eastAsia="Times New Roman"/>
          <w:sz w:val="26"/>
          <w:szCs w:val="26"/>
        </w:rPr>
        <w:t>Blue Pilot</w:t>
      </w:r>
      <w:r w:rsidR="00BB297D" w:rsidRPr="00001309">
        <w:rPr>
          <w:rFonts w:eastAsia="Times New Roman"/>
          <w:sz w:val="26"/>
          <w:szCs w:val="26"/>
        </w:rPr>
        <w:t xml:space="preserve"> </w:t>
      </w:r>
      <w:r w:rsidR="007C55B3" w:rsidRPr="00001309">
        <w:rPr>
          <w:rFonts w:eastAsia="Times New Roman"/>
          <w:sz w:val="26"/>
          <w:szCs w:val="26"/>
        </w:rPr>
        <w:t xml:space="preserve">on </w:t>
      </w:r>
      <w:r w:rsidR="007724AA" w:rsidRPr="00001309">
        <w:rPr>
          <w:rFonts w:eastAsia="Times New Roman"/>
          <w:sz w:val="26"/>
          <w:szCs w:val="26"/>
        </w:rPr>
        <w:t>July 27, 2016</w:t>
      </w:r>
      <w:r w:rsidR="00EA3B42" w:rsidRPr="00001309">
        <w:rPr>
          <w:sz w:val="26"/>
          <w:szCs w:val="26"/>
        </w:rPr>
        <w:t>.</w:t>
      </w:r>
      <w:r w:rsidR="0051558F" w:rsidRPr="00001309">
        <w:rPr>
          <w:sz w:val="26"/>
          <w:szCs w:val="26"/>
        </w:rPr>
        <w:t xml:space="preserve"> </w:t>
      </w:r>
      <w:r w:rsidR="00305527" w:rsidRPr="00001309">
        <w:rPr>
          <w:sz w:val="26"/>
          <w:szCs w:val="26"/>
        </w:rPr>
        <w:t xml:space="preserve"> </w:t>
      </w:r>
      <w:r w:rsidR="00EA3B42" w:rsidRPr="00001309">
        <w:rPr>
          <w:sz w:val="26"/>
          <w:szCs w:val="26"/>
        </w:rPr>
        <w:t xml:space="preserve">Replies to the Exceptions </w:t>
      </w:r>
      <w:r w:rsidR="00305527" w:rsidRPr="00001309">
        <w:rPr>
          <w:sz w:val="26"/>
          <w:szCs w:val="26"/>
        </w:rPr>
        <w:t>w</w:t>
      </w:r>
      <w:r w:rsidR="00EA3B42" w:rsidRPr="00001309">
        <w:rPr>
          <w:sz w:val="26"/>
          <w:szCs w:val="26"/>
        </w:rPr>
        <w:t xml:space="preserve">ere filed by </w:t>
      </w:r>
      <w:r w:rsidR="00DA15C8" w:rsidRPr="00001309">
        <w:rPr>
          <w:sz w:val="26"/>
          <w:szCs w:val="26"/>
        </w:rPr>
        <w:t>t</w:t>
      </w:r>
      <w:r w:rsidR="00EA3B42" w:rsidRPr="00001309">
        <w:rPr>
          <w:sz w:val="26"/>
          <w:szCs w:val="26"/>
        </w:rPr>
        <w:t>he</w:t>
      </w:r>
      <w:r w:rsidR="00DA15C8" w:rsidRPr="00001309">
        <w:rPr>
          <w:rFonts w:eastAsia="Times New Roman"/>
          <w:sz w:val="26"/>
          <w:szCs w:val="26"/>
        </w:rPr>
        <w:t xml:space="preserve"> </w:t>
      </w:r>
      <w:r w:rsidR="00BB297D" w:rsidRPr="00001309">
        <w:rPr>
          <w:rFonts w:eastAsia="Times New Roman"/>
          <w:sz w:val="26"/>
          <w:szCs w:val="26"/>
        </w:rPr>
        <w:t>O</w:t>
      </w:r>
      <w:r w:rsidR="00DA15C8" w:rsidRPr="00001309">
        <w:rPr>
          <w:rFonts w:eastAsia="Times New Roman"/>
          <w:sz w:val="26"/>
          <w:szCs w:val="26"/>
        </w:rPr>
        <w:t xml:space="preserve">AG and </w:t>
      </w:r>
      <w:r w:rsidR="00673FB6" w:rsidRPr="00001309">
        <w:rPr>
          <w:rFonts w:eastAsia="Times New Roman"/>
          <w:sz w:val="26"/>
          <w:szCs w:val="26"/>
        </w:rPr>
        <w:t xml:space="preserve">the </w:t>
      </w:r>
      <w:r w:rsidR="00DA15C8" w:rsidRPr="00001309">
        <w:rPr>
          <w:rFonts w:eastAsia="Times New Roman"/>
          <w:sz w:val="26"/>
          <w:szCs w:val="26"/>
        </w:rPr>
        <w:t>OCA</w:t>
      </w:r>
      <w:r w:rsidR="00EA3B42" w:rsidRPr="00001309">
        <w:rPr>
          <w:sz w:val="26"/>
          <w:szCs w:val="26"/>
        </w:rPr>
        <w:t xml:space="preserve"> on</w:t>
      </w:r>
      <w:r w:rsidR="007724AA" w:rsidRPr="00001309">
        <w:rPr>
          <w:sz w:val="26"/>
          <w:szCs w:val="26"/>
        </w:rPr>
        <w:t xml:space="preserve"> August</w:t>
      </w:r>
      <w:r w:rsidR="00673FB6" w:rsidRPr="00001309">
        <w:rPr>
          <w:sz w:val="26"/>
          <w:szCs w:val="26"/>
        </w:rPr>
        <w:t> </w:t>
      </w:r>
      <w:r w:rsidR="007724AA" w:rsidRPr="00001309">
        <w:rPr>
          <w:sz w:val="26"/>
          <w:szCs w:val="26"/>
        </w:rPr>
        <w:t>8, 2016</w:t>
      </w:r>
      <w:r w:rsidR="00EA3B42" w:rsidRPr="00001309">
        <w:rPr>
          <w:sz w:val="26"/>
          <w:szCs w:val="26"/>
        </w:rPr>
        <w:t>.</w:t>
      </w:r>
    </w:p>
    <w:p w:rsidR="00B11FF4" w:rsidRPr="00001309" w:rsidRDefault="00B11FF4" w:rsidP="00B9343F">
      <w:pPr>
        <w:autoSpaceDE w:val="0"/>
        <w:autoSpaceDN w:val="0"/>
        <w:rPr>
          <w:sz w:val="26"/>
          <w:szCs w:val="26"/>
        </w:rPr>
      </w:pPr>
    </w:p>
    <w:p w:rsidR="00642D4A" w:rsidRPr="00001309" w:rsidRDefault="0006320E" w:rsidP="00B9343F">
      <w:pPr>
        <w:autoSpaceDE w:val="0"/>
        <w:autoSpaceDN w:val="0"/>
        <w:rPr>
          <w:sz w:val="26"/>
          <w:szCs w:val="26"/>
        </w:rPr>
      </w:pPr>
      <w:r w:rsidRPr="00001309">
        <w:rPr>
          <w:sz w:val="26"/>
          <w:szCs w:val="26"/>
        </w:rPr>
        <w:t xml:space="preserve">Additionally, </w:t>
      </w:r>
      <w:bookmarkStart w:id="5" w:name="_Hlk499110047"/>
      <w:r w:rsidR="00F12DE4" w:rsidRPr="00001309">
        <w:rPr>
          <w:sz w:val="26"/>
          <w:szCs w:val="26"/>
        </w:rPr>
        <w:t xml:space="preserve">on July 27, 2016, </w:t>
      </w:r>
      <w:r w:rsidR="007724AA" w:rsidRPr="00001309">
        <w:rPr>
          <w:sz w:val="26"/>
          <w:szCs w:val="26"/>
        </w:rPr>
        <w:t>the Retail Energy Supply Association (RESA) filed</w:t>
      </w:r>
      <w:r w:rsidR="00F12DE4" w:rsidRPr="00001309">
        <w:rPr>
          <w:sz w:val="26"/>
          <w:szCs w:val="26"/>
        </w:rPr>
        <w:t xml:space="preserve"> (1)</w:t>
      </w:r>
      <w:r w:rsidR="007724AA" w:rsidRPr="00001309">
        <w:rPr>
          <w:sz w:val="26"/>
          <w:szCs w:val="26"/>
        </w:rPr>
        <w:t xml:space="preserve"> a Petition to Intervene or, in the Alternative, Motion for Leave to </w:t>
      </w:r>
      <w:r w:rsidR="00CD15E6" w:rsidRPr="00001309">
        <w:rPr>
          <w:sz w:val="26"/>
          <w:szCs w:val="26"/>
        </w:rPr>
        <w:t xml:space="preserve">Accept </w:t>
      </w:r>
      <w:r w:rsidR="007724AA" w:rsidRPr="00001309">
        <w:rPr>
          <w:sz w:val="26"/>
          <w:szCs w:val="26"/>
        </w:rPr>
        <w:t>Exception</w:t>
      </w:r>
      <w:r w:rsidR="00F12DE4" w:rsidRPr="00001309">
        <w:rPr>
          <w:sz w:val="26"/>
          <w:szCs w:val="26"/>
        </w:rPr>
        <w:t>; (2) Notice to Plead; and (3) Exception</w:t>
      </w:r>
      <w:r w:rsidR="007724AA" w:rsidRPr="00001309">
        <w:rPr>
          <w:sz w:val="26"/>
          <w:szCs w:val="26"/>
        </w:rPr>
        <w:t xml:space="preserve"> </w:t>
      </w:r>
      <w:r w:rsidR="00A84A54" w:rsidRPr="00001309">
        <w:rPr>
          <w:sz w:val="26"/>
          <w:szCs w:val="26"/>
        </w:rPr>
        <w:t xml:space="preserve">(RESA </w:t>
      </w:r>
      <w:r w:rsidR="008B4356" w:rsidRPr="00001309">
        <w:rPr>
          <w:sz w:val="26"/>
          <w:szCs w:val="26"/>
        </w:rPr>
        <w:t>Petition</w:t>
      </w:r>
      <w:r w:rsidR="00A84A54" w:rsidRPr="00001309">
        <w:rPr>
          <w:sz w:val="26"/>
          <w:szCs w:val="26"/>
        </w:rPr>
        <w:t>)</w:t>
      </w:r>
      <w:r w:rsidR="007724AA" w:rsidRPr="00001309">
        <w:rPr>
          <w:sz w:val="26"/>
          <w:szCs w:val="26"/>
        </w:rPr>
        <w:t>.</w:t>
      </w:r>
      <w:bookmarkEnd w:id="5"/>
      <w:r w:rsidR="00A84A54" w:rsidRPr="00001309">
        <w:rPr>
          <w:sz w:val="26"/>
          <w:szCs w:val="26"/>
        </w:rPr>
        <w:t xml:space="preserve">  </w:t>
      </w:r>
      <w:r w:rsidR="00673FB6" w:rsidRPr="00001309">
        <w:rPr>
          <w:sz w:val="26"/>
          <w:szCs w:val="26"/>
        </w:rPr>
        <w:t xml:space="preserve">The </w:t>
      </w:r>
      <w:r w:rsidR="00A84A54" w:rsidRPr="00001309">
        <w:rPr>
          <w:sz w:val="26"/>
          <w:szCs w:val="26"/>
        </w:rPr>
        <w:t xml:space="preserve">Joint Complainants filed an Answer in opposition to the </w:t>
      </w:r>
      <w:r w:rsidR="00093148" w:rsidRPr="00001309">
        <w:rPr>
          <w:sz w:val="26"/>
          <w:szCs w:val="26"/>
        </w:rPr>
        <w:t xml:space="preserve">relief requested in the </w:t>
      </w:r>
      <w:r w:rsidR="00A84A54" w:rsidRPr="00001309">
        <w:rPr>
          <w:sz w:val="26"/>
          <w:szCs w:val="26"/>
        </w:rPr>
        <w:t>RESA Petition.</w:t>
      </w:r>
    </w:p>
    <w:p w:rsidR="00B9343F" w:rsidRPr="00001309" w:rsidRDefault="00B9343F" w:rsidP="00B9343F">
      <w:pPr>
        <w:autoSpaceDE w:val="0"/>
        <w:autoSpaceDN w:val="0"/>
        <w:rPr>
          <w:sz w:val="26"/>
          <w:szCs w:val="26"/>
        </w:rPr>
      </w:pPr>
    </w:p>
    <w:p w:rsidR="00246A61" w:rsidRPr="00001309" w:rsidRDefault="00642D4A" w:rsidP="0042557E">
      <w:pPr>
        <w:autoSpaceDE w:val="0"/>
        <w:autoSpaceDN w:val="0"/>
        <w:rPr>
          <w:rFonts w:eastAsia="Times New Roman"/>
          <w:sz w:val="26"/>
          <w:szCs w:val="26"/>
        </w:rPr>
      </w:pPr>
      <w:bookmarkStart w:id="6" w:name="_Hlk509584884"/>
      <w:r w:rsidRPr="00001309">
        <w:rPr>
          <w:rFonts w:eastAsia="Times New Roman"/>
          <w:sz w:val="26"/>
          <w:szCs w:val="26"/>
        </w:rPr>
        <w:t xml:space="preserve">On consideration of the </w:t>
      </w:r>
      <w:r w:rsidR="009E7577" w:rsidRPr="00001309">
        <w:rPr>
          <w:rFonts w:eastAsia="Times New Roman"/>
          <w:sz w:val="26"/>
          <w:szCs w:val="26"/>
        </w:rPr>
        <w:t xml:space="preserve">record, the </w:t>
      </w:r>
      <w:r w:rsidR="00155D25" w:rsidRPr="00001309">
        <w:rPr>
          <w:rFonts w:eastAsia="Times New Roman"/>
          <w:sz w:val="26"/>
          <w:szCs w:val="26"/>
        </w:rPr>
        <w:t>Initial Decision</w:t>
      </w:r>
      <w:r w:rsidR="00FD5D64" w:rsidRPr="00001309">
        <w:rPr>
          <w:rFonts w:eastAsia="Times New Roman"/>
          <w:sz w:val="26"/>
          <w:szCs w:val="26"/>
        </w:rPr>
        <w:t>,</w:t>
      </w:r>
      <w:r w:rsidRPr="00001309">
        <w:rPr>
          <w:rFonts w:eastAsia="Times New Roman"/>
          <w:sz w:val="26"/>
          <w:szCs w:val="26"/>
        </w:rPr>
        <w:t xml:space="preserve"> the Exceptions</w:t>
      </w:r>
      <w:r w:rsidR="003B44E6" w:rsidRPr="00001309">
        <w:rPr>
          <w:rFonts w:eastAsia="Times New Roman"/>
          <w:sz w:val="26"/>
          <w:szCs w:val="26"/>
        </w:rPr>
        <w:t>,</w:t>
      </w:r>
      <w:r w:rsidR="00AF5570" w:rsidRPr="00001309">
        <w:rPr>
          <w:rFonts w:eastAsia="Times New Roman"/>
          <w:sz w:val="26"/>
          <w:szCs w:val="26"/>
        </w:rPr>
        <w:t xml:space="preserve"> </w:t>
      </w:r>
      <w:r w:rsidR="00FD5D64" w:rsidRPr="00001309">
        <w:rPr>
          <w:rFonts w:eastAsia="Times New Roman"/>
          <w:sz w:val="26"/>
          <w:szCs w:val="26"/>
        </w:rPr>
        <w:t xml:space="preserve">and </w:t>
      </w:r>
      <w:r w:rsidR="00D364E1" w:rsidRPr="00001309">
        <w:rPr>
          <w:rFonts w:eastAsia="Times New Roman"/>
          <w:sz w:val="26"/>
          <w:szCs w:val="26"/>
        </w:rPr>
        <w:t xml:space="preserve">the </w:t>
      </w:r>
      <w:r w:rsidR="00FD5D64" w:rsidRPr="00001309">
        <w:rPr>
          <w:rFonts w:eastAsia="Times New Roman"/>
          <w:sz w:val="26"/>
          <w:szCs w:val="26"/>
        </w:rPr>
        <w:t xml:space="preserve">Replies to </w:t>
      </w:r>
      <w:r w:rsidR="00004D51" w:rsidRPr="00001309">
        <w:rPr>
          <w:rFonts w:eastAsia="Times New Roman"/>
          <w:sz w:val="26"/>
          <w:szCs w:val="26"/>
        </w:rPr>
        <w:t xml:space="preserve">the </w:t>
      </w:r>
      <w:r w:rsidR="00FD5D64" w:rsidRPr="00001309">
        <w:rPr>
          <w:rFonts w:eastAsia="Times New Roman"/>
          <w:sz w:val="26"/>
          <w:szCs w:val="26"/>
        </w:rPr>
        <w:t xml:space="preserve">Exceptions, </w:t>
      </w:r>
      <w:r w:rsidR="0037369A" w:rsidRPr="00001309">
        <w:rPr>
          <w:rFonts w:eastAsia="Times New Roman"/>
          <w:sz w:val="26"/>
          <w:szCs w:val="26"/>
        </w:rPr>
        <w:t xml:space="preserve">we shall </w:t>
      </w:r>
      <w:bookmarkStart w:id="7" w:name="_Hlk511324131"/>
      <w:r w:rsidR="0037369A" w:rsidRPr="00001309">
        <w:rPr>
          <w:rFonts w:eastAsia="Times New Roman"/>
          <w:sz w:val="26"/>
          <w:szCs w:val="26"/>
        </w:rPr>
        <w:t xml:space="preserve">grant </w:t>
      </w:r>
      <w:r w:rsidR="006857F7" w:rsidRPr="00001309">
        <w:rPr>
          <w:rFonts w:eastAsia="Times New Roman"/>
          <w:sz w:val="26"/>
          <w:szCs w:val="26"/>
        </w:rPr>
        <w:t>Blue Pilot</w:t>
      </w:r>
      <w:r w:rsidR="0037369A" w:rsidRPr="00001309">
        <w:rPr>
          <w:rFonts w:eastAsia="Times New Roman"/>
          <w:sz w:val="26"/>
          <w:szCs w:val="26"/>
        </w:rPr>
        <w:t>’s Exceptions,</w:t>
      </w:r>
      <w:r w:rsidR="002A431B" w:rsidRPr="00001309">
        <w:rPr>
          <w:rFonts w:eastAsia="Times New Roman"/>
          <w:sz w:val="26"/>
          <w:szCs w:val="26"/>
        </w:rPr>
        <w:t xml:space="preserve"> </w:t>
      </w:r>
      <w:r w:rsidR="003E40A3" w:rsidRPr="00001309">
        <w:rPr>
          <w:rFonts w:eastAsia="Times New Roman"/>
          <w:sz w:val="26"/>
          <w:szCs w:val="26"/>
        </w:rPr>
        <w:t xml:space="preserve">in </w:t>
      </w:r>
      <w:r w:rsidR="00313C28" w:rsidRPr="00001309">
        <w:rPr>
          <w:rFonts w:eastAsia="Times New Roman"/>
          <w:sz w:val="26"/>
          <w:szCs w:val="26"/>
        </w:rPr>
        <w:t xml:space="preserve">limited </w:t>
      </w:r>
      <w:r w:rsidR="003E40A3" w:rsidRPr="00001309">
        <w:rPr>
          <w:rFonts w:eastAsia="Times New Roman"/>
          <w:sz w:val="26"/>
          <w:szCs w:val="26"/>
        </w:rPr>
        <w:t>part</w:t>
      </w:r>
      <w:r w:rsidR="0037369A" w:rsidRPr="00001309">
        <w:rPr>
          <w:rFonts w:eastAsia="Times New Roman"/>
          <w:sz w:val="26"/>
          <w:szCs w:val="26"/>
        </w:rPr>
        <w:t>,</w:t>
      </w:r>
      <w:r w:rsidR="003E40A3" w:rsidRPr="00001309">
        <w:rPr>
          <w:rFonts w:eastAsia="Times New Roman"/>
          <w:sz w:val="26"/>
          <w:szCs w:val="26"/>
        </w:rPr>
        <w:t xml:space="preserve"> den</w:t>
      </w:r>
      <w:r w:rsidR="0037369A" w:rsidRPr="00001309">
        <w:rPr>
          <w:rFonts w:eastAsia="Times New Roman"/>
          <w:sz w:val="26"/>
          <w:szCs w:val="26"/>
        </w:rPr>
        <w:t xml:space="preserve">y them, in </w:t>
      </w:r>
      <w:r w:rsidR="00692FBC" w:rsidRPr="00001309">
        <w:rPr>
          <w:rFonts w:eastAsia="Times New Roman"/>
          <w:sz w:val="26"/>
          <w:szCs w:val="26"/>
        </w:rPr>
        <w:t xml:space="preserve">major </w:t>
      </w:r>
      <w:r w:rsidR="0037369A" w:rsidRPr="00001309">
        <w:rPr>
          <w:rFonts w:eastAsia="Times New Roman"/>
          <w:sz w:val="26"/>
          <w:szCs w:val="26"/>
        </w:rPr>
        <w:t>part</w:t>
      </w:r>
      <w:r w:rsidR="00EB6A47">
        <w:rPr>
          <w:rFonts w:eastAsia="Times New Roman"/>
          <w:sz w:val="26"/>
          <w:szCs w:val="26"/>
        </w:rPr>
        <w:t>, and reverse, in part, the ALJs’ Initial Decision</w:t>
      </w:r>
      <w:r w:rsidR="005F5B08">
        <w:rPr>
          <w:rFonts w:eastAsia="Times New Roman"/>
          <w:sz w:val="26"/>
          <w:szCs w:val="26"/>
        </w:rPr>
        <w:t xml:space="preserve">. </w:t>
      </w:r>
      <w:r w:rsidR="0037369A" w:rsidRPr="00001309">
        <w:rPr>
          <w:rFonts w:eastAsia="Times New Roman"/>
          <w:sz w:val="26"/>
          <w:szCs w:val="26"/>
        </w:rPr>
        <w:t xml:space="preserve"> </w:t>
      </w:r>
      <w:r w:rsidR="005F5B08">
        <w:rPr>
          <w:rFonts w:eastAsia="Times New Roman"/>
          <w:sz w:val="26"/>
          <w:szCs w:val="26"/>
        </w:rPr>
        <w:t>We shall</w:t>
      </w:r>
      <w:bookmarkStart w:id="8" w:name="_Hlk511324341"/>
      <w:r w:rsidR="005F5B08">
        <w:rPr>
          <w:rFonts w:eastAsia="Times New Roman"/>
          <w:sz w:val="26"/>
          <w:szCs w:val="26"/>
        </w:rPr>
        <w:t xml:space="preserve"> also deny</w:t>
      </w:r>
      <w:r w:rsidR="00134931" w:rsidRPr="00001309">
        <w:rPr>
          <w:rFonts w:eastAsia="Times New Roman"/>
          <w:sz w:val="26"/>
          <w:szCs w:val="26"/>
        </w:rPr>
        <w:t xml:space="preserve"> the RESA Petition,</w:t>
      </w:r>
      <w:r w:rsidR="006F4BCA" w:rsidRPr="00001309">
        <w:rPr>
          <w:rFonts w:eastAsia="Times New Roman"/>
          <w:sz w:val="26"/>
          <w:szCs w:val="26"/>
        </w:rPr>
        <w:t xml:space="preserve"> </w:t>
      </w:r>
      <w:r w:rsidR="002A431B" w:rsidRPr="00001309">
        <w:rPr>
          <w:rFonts w:eastAsia="Times New Roman"/>
          <w:sz w:val="26"/>
          <w:szCs w:val="26"/>
        </w:rPr>
        <w:t xml:space="preserve">consistent with the discussion in this Opinion and Order. </w:t>
      </w:r>
      <w:bookmarkEnd w:id="7"/>
      <w:r w:rsidR="002A431B" w:rsidRPr="00001309">
        <w:rPr>
          <w:rFonts w:eastAsia="Times New Roman"/>
          <w:sz w:val="26"/>
          <w:szCs w:val="26"/>
        </w:rPr>
        <w:t xml:space="preserve"> </w:t>
      </w:r>
      <w:bookmarkEnd w:id="8"/>
      <w:r w:rsidR="002A431B" w:rsidRPr="00001309">
        <w:rPr>
          <w:rFonts w:eastAsia="Times New Roman"/>
          <w:sz w:val="26"/>
          <w:szCs w:val="26"/>
        </w:rPr>
        <w:t>In all other respects</w:t>
      </w:r>
      <w:r w:rsidR="006857F7" w:rsidRPr="00001309">
        <w:rPr>
          <w:rFonts w:eastAsia="Times New Roman"/>
          <w:sz w:val="26"/>
          <w:szCs w:val="26"/>
        </w:rPr>
        <w:t xml:space="preserve"> not expressly set forth in this Order</w:t>
      </w:r>
      <w:r w:rsidR="002A431B" w:rsidRPr="00001309">
        <w:rPr>
          <w:rFonts w:eastAsia="Times New Roman"/>
          <w:sz w:val="26"/>
          <w:szCs w:val="26"/>
        </w:rPr>
        <w:t>, w</w:t>
      </w:r>
      <w:r w:rsidR="00AF5570" w:rsidRPr="00001309">
        <w:rPr>
          <w:rFonts w:eastAsia="Times New Roman"/>
          <w:sz w:val="26"/>
          <w:szCs w:val="26"/>
        </w:rPr>
        <w:t xml:space="preserve">e shall adopt the </w:t>
      </w:r>
      <w:r w:rsidR="00155D25" w:rsidRPr="00001309">
        <w:rPr>
          <w:rFonts w:eastAsia="Times New Roman"/>
          <w:sz w:val="26"/>
          <w:szCs w:val="26"/>
        </w:rPr>
        <w:t>Initial Decision</w:t>
      </w:r>
      <w:r w:rsidR="0078282D" w:rsidRPr="00001309">
        <w:rPr>
          <w:rFonts w:eastAsia="Times New Roman"/>
          <w:sz w:val="26"/>
          <w:szCs w:val="26"/>
        </w:rPr>
        <w:t>.</w:t>
      </w:r>
    </w:p>
    <w:bookmarkEnd w:id="6"/>
    <w:p w:rsidR="00C8731B" w:rsidRPr="00001309" w:rsidRDefault="00C8731B" w:rsidP="00C8731B">
      <w:pPr>
        <w:autoSpaceDE w:val="0"/>
        <w:autoSpaceDN w:val="0"/>
        <w:ind w:firstLine="0"/>
        <w:rPr>
          <w:rFonts w:eastAsia="Times New Roman"/>
          <w:sz w:val="26"/>
          <w:szCs w:val="26"/>
        </w:rPr>
      </w:pPr>
    </w:p>
    <w:p w:rsidR="00405049" w:rsidRPr="004B3722" w:rsidRDefault="00405049" w:rsidP="00992AA2">
      <w:pPr>
        <w:pStyle w:val="Heading1"/>
        <w:ind w:firstLine="0"/>
        <w:jc w:val="center"/>
        <w:rPr>
          <w:rFonts w:ascii="Times New Roman" w:eastAsia="Times New Roman" w:hAnsi="Times New Roman" w:cs="Times New Roman"/>
          <w:b/>
          <w:color w:val="auto"/>
          <w:sz w:val="26"/>
          <w:szCs w:val="26"/>
        </w:rPr>
      </w:pPr>
      <w:bookmarkStart w:id="9" w:name="_Toc517831025"/>
      <w:r w:rsidRPr="004B3722">
        <w:rPr>
          <w:rFonts w:ascii="Times New Roman" w:eastAsia="Times New Roman" w:hAnsi="Times New Roman" w:cs="Times New Roman"/>
          <w:b/>
          <w:color w:val="auto"/>
          <w:sz w:val="26"/>
          <w:szCs w:val="26"/>
        </w:rPr>
        <w:lastRenderedPageBreak/>
        <w:t>II.</w:t>
      </w:r>
      <w:r w:rsidRPr="004B3722">
        <w:rPr>
          <w:rFonts w:ascii="Times New Roman" w:eastAsia="Times New Roman" w:hAnsi="Times New Roman" w:cs="Times New Roman"/>
          <w:b/>
          <w:color w:val="auto"/>
          <w:sz w:val="26"/>
          <w:szCs w:val="26"/>
        </w:rPr>
        <w:tab/>
        <w:t>Background</w:t>
      </w:r>
      <w:bookmarkEnd w:id="9"/>
    </w:p>
    <w:p w:rsidR="00702A5D" w:rsidRPr="00001309" w:rsidRDefault="00702A5D" w:rsidP="00702A5D">
      <w:pPr>
        <w:pStyle w:val="Heading2"/>
        <w:rPr>
          <w:rFonts w:ascii="Times New Roman" w:eastAsia="Times New Roman" w:hAnsi="Times New Roman" w:cs="Times New Roman"/>
          <w:b/>
          <w:color w:val="auto"/>
        </w:rPr>
      </w:pPr>
    </w:p>
    <w:p w:rsidR="00405049" w:rsidRPr="004B3722" w:rsidRDefault="00405049" w:rsidP="00F429DB">
      <w:pPr>
        <w:pStyle w:val="Heading2"/>
        <w:ind w:firstLine="0"/>
        <w:rPr>
          <w:rFonts w:ascii="Times New Roman" w:eastAsia="Times New Roman" w:hAnsi="Times New Roman" w:cs="Times New Roman"/>
          <w:b/>
          <w:color w:val="auto"/>
        </w:rPr>
      </w:pPr>
      <w:bookmarkStart w:id="10" w:name="_Toc517831026"/>
      <w:r w:rsidRPr="004B3722">
        <w:rPr>
          <w:rFonts w:ascii="Times New Roman" w:eastAsia="Times New Roman" w:hAnsi="Times New Roman" w:cs="Times New Roman"/>
          <w:b/>
          <w:color w:val="auto"/>
        </w:rPr>
        <w:t>A.</w:t>
      </w:r>
      <w:r w:rsidRPr="004B3722">
        <w:rPr>
          <w:rFonts w:ascii="Times New Roman" w:eastAsia="Times New Roman" w:hAnsi="Times New Roman" w:cs="Times New Roman"/>
          <w:b/>
          <w:color w:val="auto"/>
        </w:rPr>
        <w:tab/>
      </w:r>
      <w:proofErr w:type="gramStart"/>
      <w:r w:rsidR="00914803" w:rsidRPr="004B3722">
        <w:rPr>
          <w:rFonts w:ascii="Times New Roman" w:eastAsia="Times New Roman" w:hAnsi="Times New Roman" w:cs="Times New Roman"/>
          <w:b/>
          <w:color w:val="auto"/>
        </w:rPr>
        <w:t xml:space="preserve">Brief </w:t>
      </w:r>
      <w:r w:rsidRPr="004B3722">
        <w:rPr>
          <w:rFonts w:ascii="Times New Roman" w:eastAsia="Times New Roman" w:hAnsi="Times New Roman" w:cs="Times New Roman"/>
          <w:b/>
          <w:color w:val="auto"/>
        </w:rPr>
        <w:t>Summary</w:t>
      </w:r>
      <w:proofErr w:type="gramEnd"/>
      <w:r w:rsidRPr="004B3722">
        <w:rPr>
          <w:rFonts w:ascii="Times New Roman" w:eastAsia="Times New Roman" w:hAnsi="Times New Roman" w:cs="Times New Roman"/>
          <w:b/>
          <w:color w:val="auto"/>
        </w:rPr>
        <w:t xml:space="preserve"> of the </w:t>
      </w:r>
      <w:r w:rsidR="00527405" w:rsidRPr="004B3722">
        <w:rPr>
          <w:rFonts w:ascii="Times New Roman" w:eastAsia="Times New Roman" w:hAnsi="Times New Roman" w:cs="Times New Roman"/>
          <w:b/>
          <w:color w:val="auto"/>
        </w:rPr>
        <w:t>Pleadings</w:t>
      </w:r>
      <w:r w:rsidR="00CF0140" w:rsidRPr="004B3722">
        <w:rPr>
          <w:rFonts w:ascii="Times New Roman" w:eastAsia="Times New Roman" w:hAnsi="Times New Roman" w:cs="Times New Roman"/>
          <w:b/>
          <w:color w:val="auto"/>
        </w:rPr>
        <w:t xml:space="preserve"> and the Initial Decision</w:t>
      </w:r>
      <w:bookmarkEnd w:id="10"/>
    </w:p>
    <w:p w:rsidR="00405049" w:rsidRPr="00001309" w:rsidRDefault="00405049" w:rsidP="00702A5D">
      <w:pPr>
        <w:pStyle w:val="Heading2"/>
        <w:rPr>
          <w:rFonts w:eastAsia="Times New Roman"/>
          <w:color w:val="auto"/>
        </w:rPr>
      </w:pPr>
    </w:p>
    <w:p w:rsidR="008658DF" w:rsidRPr="00001309" w:rsidRDefault="008658DF" w:rsidP="00C8731B">
      <w:pPr>
        <w:autoSpaceDE w:val="0"/>
        <w:autoSpaceDN w:val="0"/>
        <w:ind w:firstLine="0"/>
        <w:rPr>
          <w:rFonts w:eastAsia="Times New Roman"/>
          <w:sz w:val="26"/>
          <w:szCs w:val="26"/>
        </w:rPr>
      </w:pPr>
      <w:r w:rsidRPr="00001309">
        <w:rPr>
          <w:rFonts w:eastAsia="Times New Roman"/>
          <w:sz w:val="26"/>
          <w:szCs w:val="26"/>
        </w:rPr>
        <w:tab/>
      </w:r>
      <w:r w:rsidRPr="00001309">
        <w:rPr>
          <w:rFonts w:eastAsia="Times New Roman"/>
          <w:sz w:val="26"/>
          <w:szCs w:val="26"/>
        </w:rPr>
        <w:tab/>
        <w:t xml:space="preserve">The Joint Complainants in this proceeding allege </w:t>
      </w:r>
      <w:r w:rsidR="00FB045B" w:rsidRPr="00001309">
        <w:rPr>
          <w:rFonts w:eastAsia="Times New Roman"/>
          <w:sz w:val="26"/>
          <w:szCs w:val="26"/>
        </w:rPr>
        <w:t xml:space="preserve">that Blue Pilot </w:t>
      </w:r>
      <w:r w:rsidRPr="00001309">
        <w:rPr>
          <w:rFonts w:eastAsia="Times New Roman"/>
          <w:sz w:val="26"/>
          <w:szCs w:val="26"/>
        </w:rPr>
        <w:t>violat</w:t>
      </w:r>
      <w:r w:rsidR="00FB045B" w:rsidRPr="00001309">
        <w:rPr>
          <w:rFonts w:eastAsia="Times New Roman"/>
          <w:sz w:val="26"/>
          <w:szCs w:val="26"/>
        </w:rPr>
        <w:t>ed</w:t>
      </w:r>
      <w:r w:rsidRPr="00001309">
        <w:rPr>
          <w:rFonts w:eastAsia="Times New Roman"/>
          <w:sz w:val="26"/>
          <w:szCs w:val="26"/>
        </w:rPr>
        <w:t xml:space="preserve"> the Public Utility Code and the Commission</w:t>
      </w:r>
      <w:r w:rsidR="00FB045B" w:rsidRPr="00001309">
        <w:rPr>
          <w:rFonts w:eastAsia="Times New Roman"/>
          <w:sz w:val="26"/>
          <w:szCs w:val="26"/>
        </w:rPr>
        <w:t>’</w:t>
      </w:r>
      <w:r w:rsidRPr="00001309">
        <w:rPr>
          <w:rFonts w:eastAsia="Times New Roman"/>
          <w:sz w:val="26"/>
          <w:szCs w:val="26"/>
        </w:rPr>
        <w:t xml:space="preserve">s Regulations </w:t>
      </w:r>
      <w:r w:rsidR="00790A67" w:rsidRPr="00001309">
        <w:rPr>
          <w:rFonts w:eastAsia="Times New Roman"/>
          <w:sz w:val="26"/>
          <w:szCs w:val="26"/>
        </w:rPr>
        <w:t>based on n</w:t>
      </w:r>
      <w:r w:rsidRPr="00001309">
        <w:rPr>
          <w:rFonts w:eastAsia="Times New Roman"/>
          <w:sz w:val="26"/>
          <w:szCs w:val="26"/>
        </w:rPr>
        <w:t>umerous consumer complaints regarding the service practices of Blue Pilot</w:t>
      </w:r>
      <w:r w:rsidR="00790A67" w:rsidRPr="00001309">
        <w:rPr>
          <w:rFonts w:eastAsia="Times New Roman"/>
          <w:sz w:val="26"/>
          <w:szCs w:val="26"/>
        </w:rPr>
        <w:t>, an Electric Generation Supplier (EGS) that is licensed to serve customers in Pennsylvania.</w:t>
      </w:r>
      <w:r w:rsidRPr="00001309">
        <w:rPr>
          <w:rFonts w:eastAsia="Times New Roman"/>
          <w:sz w:val="26"/>
          <w:szCs w:val="26"/>
        </w:rPr>
        <w:t xml:space="preserve">  The ALJs succinctly summarize the Joint Complaint as follows</w:t>
      </w:r>
      <w:r w:rsidR="00DC2A1E" w:rsidRPr="00001309">
        <w:rPr>
          <w:rFonts w:eastAsia="Times New Roman"/>
          <w:sz w:val="26"/>
          <w:szCs w:val="26"/>
        </w:rPr>
        <w:t>:</w:t>
      </w:r>
    </w:p>
    <w:p w:rsidR="00026844" w:rsidRPr="00001309" w:rsidRDefault="00026844" w:rsidP="008504C6">
      <w:pPr>
        <w:autoSpaceDE w:val="0"/>
        <w:autoSpaceDN w:val="0"/>
        <w:ind w:left="1440" w:firstLine="0"/>
        <w:rPr>
          <w:rFonts w:eastAsia="Times New Roman"/>
          <w:sz w:val="26"/>
          <w:szCs w:val="26"/>
        </w:rPr>
      </w:pPr>
    </w:p>
    <w:p w:rsidR="001B461A" w:rsidRPr="00001309" w:rsidRDefault="001B461A" w:rsidP="008504C6">
      <w:pPr>
        <w:autoSpaceDE w:val="0"/>
        <w:autoSpaceDN w:val="0"/>
        <w:spacing w:line="240" w:lineRule="auto"/>
        <w:ind w:left="1440" w:right="1440" w:firstLine="720"/>
        <w:rPr>
          <w:rFonts w:eastAsia="Times New Roman"/>
          <w:sz w:val="26"/>
          <w:szCs w:val="26"/>
        </w:rPr>
      </w:pPr>
      <w:r w:rsidRPr="00001309">
        <w:rPr>
          <w:rFonts w:eastAsia="Times New Roman"/>
          <w:sz w:val="26"/>
          <w:szCs w:val="26"/>
        </w:rPr>
        <w:t xml:space="preserve">On June 20, 2014, the Joint Complainants filed with the Commission a formal complaint against Blue Pilot at Docket Number C-2014-2427655. </w:t>
      </w:r>
      <w:r w:rsidR="008F34A7" w:rsidRPr="00001309">
        <w:rPr>
          <w:rFonts w:eastAsia="Times New Roman"/>
          <w:sz w:val="26"/>
          <w:szCs w:val="26"/>
        </w:rPr>
        <w:t xml:space="preserve"> </w:t>
      </w:r>
      <w:r w:rsidRPr="00001309">
        <w:rPr>
          <w:rFonts w:eastAsia="Times New Roman"/>
          <w:sz w:val="26"/>
          <w:szCs w:val="26"/>
        </w:rPr>
        <w:t xml:space="preserve">The Joint Complainants averred that they had received numerous contacts and complaints from consumers related to variable rates charged by Blue Pilot, including approximately eleven formal complaints filed by 3 consumers at the Commission. </w:t>
      </w:r>
      <w:r w:rsidR="00332A27" w:rsidRPr="00001309">
        <w:rPr>
          <w:rFonts w:eastAsia="Times New Roman"/>
          <w:sz w:val="26"/>
          <w:szCs w:val="26"/>
        </w:rPr>
        <w:t xml:space="preserve"> </w:t>
      </w:r>
      <w:r w:rsidRPr="00001309">
        <w:rPr>
          <w:rFonts w:eastAsia="Times New Roman"/>
          <w:sz w:val="26"/>
          <w:szCs w:val="26"/>
        </w:rPr>
        <w:t xml:space="preserve">The Joint Complainants further averred that Blue Pilot used a variety of marketing and advertising mediums to solicit residential customers for its variable rate plan. </w:t>
      </w:r>
      <w:r w:rsidR="00332A27" w:rsidRPr="00001309">
        <w:rPr>
          <w:rFonts w:eastAsia="Times New Roman"/>
          <w:sz w:val="26"/>
          <w:szCs w:val="26"/>
        </w:rPr>
        <w:t xml:space="preserve"> </w:t>
      </w:r>
      <w:r w:rsidRPr="00001309">
        <w:rPr>
          <w:rFonts w:eastAsia="Times New Roman"/>
          <w:sz w:val="26"/>
          <w:szCs w:val="26"/>
        </w:rPr>
        <w:t>As a result, Joint Complainants averred five separate counts against Blue Pilot, including: 1) failing to provide accurate pricing information; 2) pricing that did not conform to disclosure statement; 3) making misleading and deceptive promises of savings; 4) lacking good faith in the handling of complaints; and 5) failing to comply with the TRA.</w:t>
      </w:r>
      <w:r w:rsidR="00684922" w:rsidRPr="00001309">
        <w:rPr>
          <w:rStyle w:val="FootnoteReference"/>
          <w:rFonts w:eastAsia="Times New Roman"/>
          <w:sz w:val="26"/>
          <w:szCs w:val="26"/>
        </w:rPr>
        <w:footnoteReference w:id="2"/>
      </w:r>
    </w:p>
    <w:p w:rsidR="006F4BCA" w:rsidRPr="00001309" w:rsidRDefault="006F4BCA" w:rsidP="008504C6">
      <w:pPr>
        <w:autoSpaceDE w:val="0"/>
        <w:autoSpaceDN w:val="0"/>
        <w:spacing w:line="240" w:lineRule="auto"/>
        <w:ind w:left="1440" w:right="1440" w:firstLine="720"/>
        <w:rPr>
          <w:rFonts w:eastAsia="Times New Roman"/>
          <w:sz w:val="26"/>
          <w:szCs w:val="26"/>
        </w:rPr>
      </w:pPr>
    </w:p>
    <w:p w:rsidR="00874B02" w:rsidRPr="00001309" w:rsidRDefault="00026844" w:rsidP="00874B02">
      <w:pPr>
        <w:autoSpaceDE w:val="0"/>
        <w:autoSpaceDN w:val="0"/>
        <w:spacing w:line="240" w:lineRule="auto"/>
        <w:ind w:left="1440" w:right="1440" w:firstLine="720"/>
        <w:rPr>
          <w:rFonts w:eastAsia="Times New Roman"/>
          <w:sz w:val="26"/>
          <w:szCs w:val="26"/>
        </w:rPr>
      </w:pPr>
      <w:r w:rsidRPr="00001309">
        <w:rPr>
          <w:rFonts w:eastAsia="Times New Roman"/>
          <w:sz w:val="26"/>
          <w:szCs w:val="26"/>
        </w:rPr>
        <w:t>The Joint Complainants made several requests for relief, including but not limited to: 1) suspension or revocation of Blue Pilot’s EGS license; 2) civil penalties; 3)</w:t>
      </w:r>
      <w:r w:rsidR="00874B02" w:rsidRPr="00001309">
        <w:rPr>
          <w:rFonts w:eastAsia="Times New Roman"/>
          <w:sz w:val="26"/>
          <w:szCs w:val="26"/>
        </w:rPr>
        <w:t> </w:t>
      </w:r>
      <w:r w:rsidRPr="00001309">
        <w:rPr>
          <w:rFonts w:eastAsia="Times New Roman"/>
          <w:sz w:val="26"/>
          <w:szCs w:val="26"/>
        </w:rPr>
        <w:t>an injunction preventing violations of Consumer Protection Law; 4)</w:t>
      </w:r>
      <w:r w:rsidR="00027643" w:rsidRPr="00001309">
        <w:rPr>
          <w:rFonts w:eastAsia="Times New Roman"/>
          <w:sz w:val="26"/>
          <w:szCs w:val="26"/>
        </w:rPr>
        <w:t> </w:t>
      </w:r>
      <w:r w:rsidRPr="00001309">
        <w:rPr>
          <w:rFonts w:eastAsia="Times New Roman"/>
          <w:sz w:val="26"/>
          <w:szCs w:val="26"/>
        </w:rPr>
        <w:t>restitution to the consumers</w:t>
      </w:r>
      <w:r w:rsidR="006F66B8" w:rsidRPr="00001309">
        <w:rPr>
          <w:rFonts w:eastAsia="Times New Roman"/>
          <w:sz w:val="26"/>
          <w:szCs w:val="26"/>
        </w:rPr>
        <w:t xml:space="preserve"> [I.D. n. 2]</w:t>
      </w:r>
      <w:r w:rsidRPr="00001309">
        <w:rPr>
          <w:rFonts w:eastAsia="Times New Roman"/>
          <w:sz w:val="26"/>
          <w:szCs w:val="26"/>
        </w:rPr>
        <w:t>; and 5)</w:t>
      </w:r>
      <w:r w:rsidR="00337631" w:rsidRPr="00001309">
        <w:rPr>
          <w:rFonts w:eastAsia="Times New Roman"/>
          <w:sz w:val="26"/>
          <w:szCs w:val="26"/>
        </w:rPr>
        <w:t> </w:t>
      </w:r>
      <w:r w:rsidRPr="00001309">
        <w:rPr>
          <w:rFonts w:eastAsia="Times New Roman"/>
          <w:sz w:val="26"/>
          <w:szCs w:val="26"/>
        </w:rPr>
        <w:t xml:space="preserve">any such relief that the Commission deems appropriate. </w:t>
      </w:r>
      <w:r w:rsidR="00352F7C" w:rsidRPr="00001309">
        <w:rPr>
          <w:rFonts w:eastAsia="Times New Roman"/>
          <w:sz w:val="26"/>
          <w:szCs w:val="26"/>
        </w:rPr>
        <w:t xml:space="preserve"> </w:t>
      </w:r>
      <w:r w:rsidRPr="00001309">
        <w:rPr>
          <w:rFonts w:eastAsia="Times New Roman"/>
          <w:sz w:val="26"/>
          <w:szCs w:val="26"/>
        </w:rPr>
        <w:t xml:space="preserve">The Joint Complainants attached as Appendix A to the Joint Complaint, a </w:t>
      </w:r>
    </w:p>
    <w:p w:rsidR="001B461A" w:rsidRPr="00001309" w:rsidRDefault="00026844" w:rsidP="0004496F">
      <w:pPr>
        <w:keepNext/>
        <w:keepLines/>
        <w:autoSpaceDE w:val="0"/>
        <w:autoSpaceDN w:val="0"/>
        <w:spacing w:line="240" w:lineRule="auto"/>
        <w:ind w:left="1440" w:right="1440" w:firstLine="0"/>
        <w:rPr>
          <w:rFonts w:eastAsia="Times New Roman"/>
          <w:sz w:val="26"/>
          <w:szCs w:val="26"/>
        </w:rPr>
      </w:pPr>
      <w:r w:rsidRPr="00001309">
        <w:rPr>
          <w:rFonts w:eastAsia="Times New Roman"/>
          <w:sz w:val="26"/>
          <w:szCs w:val="26"/>
        </w:rPr>
        <w:lastRenderedPageBreak/>
        <w:t>document entitled, “Blue Pilot Energy, LLC Disclosure Statement and Agreement for Electric Service.”</w:t>
      </w:r>
    </w:p>
    <w:p w:rsidR="00CF2351" w:rsidRPr="00001309" w:rsidRDefault="00CF2351" w:rsidP="0004496F">
      <w:pPr>
        <w:keepNext/>
        <w:keepLines/>
        <w:autoSpaceDE w:val="0"/>
        <w:autoSpaceDN w:val="0"/>
        <w:spacing w:after="120" w:line="240" w:lineRule="auto"/>
        <w:ind w:left="1440" w:right="1440" w:firstLine="0"/>
        <w:rPr>
          <w:rFonts w:eastAsia="Times New Roman"/>
          <w:sz w:val="26"/>
          <w:szCs w:val="26"/>
        </w:rPr>
      </w:pPr>
      <w:r w:rsidRPr="00001309">
        <w:rPr>
          <w:rFonts w:eastAsia="Times New Roman"/>
          <w:sz w:val="26"/>
          <w:szCs w:val="26"/>
        </w:rPr>
        <w:t>_________________________</w:t>
      </w:r>
    </w:p>
    <w:p w:rsidR="00CF2351" w:rsidRPr="00001309" w:rsidRDefault="00CF2351" w:rsidP="003E7EE4">
      <w:pPr>
        <w:keepNext/>
        <w:keepLines/>
        <w:autoSpaceDE w:val="0"/>
        <w:autoSpaceDN w:val="0"/>
        <w:spacing w:line="240" w:lineRule="auto"/>
        <w:ind w:left="1440" w:right="1440" w:firstLine="720"/>
        <w:rPr>
          <w:sz w:val="26"/>
        </w:rPr>
      </w:pPr>
      <w:r w:rsidRPr="00001309">
        <w:rPr>
          <w:rFonts w:eastAsia="Times New Roman"/>
          <w:sz w:val="26"/>
          <w:szCs w:val="26"/>
          <w:vertAlign w:val="superscript"/>
        </w:rPr>
        <w:t>2</w:t>
      </w:r>
      <w:r w:rsidRPr="00001309">
        <w:rPr>
          <w:rFonts w:eastAsia="Times New Roman"/>
          <w:sz w:val="26"/>
          <w:szCs w:val="26"/>
          <w:vertAlign w:val="superscript"/>
        </w:rPr>
        <w:tab/>
      </w:r>
      <w:r w:rsidR="00F4543C" w:rsidRPr="00001309">
        <w:rPr>
          <w:sz w:val="26"/>
        </w:rPr>
        <w:t xml:space="preserve">The restitution was described as refunds for all charges to its customers that were over and above the price to compare in the customers’ respective service territories from January 1, 2014 through the date of resolution of this matter, as well as any late, cancellation and/or termination fees and/or other such penalties charged to consumers </w:t>
      </w:r>
      <w:proofErr w:type="gramStart"/>
      <w:r w:rsidR="00F4543C" w:rsidRPr="00001309">
        <w:rPr>
          <w:sz w:val="26"/>
        </w:rPr>
        <w:t>as a result of</w:t>
      </w:r>
      <w:proofErr w:type="gramEnd"/>
      <w:r w:rsidR="00F4543C" w:rsidRPr="00001309">
        <w:rPr>
          <w:sz w:val="26"/>
        </w:rPr>
        <w:t xml:space="preserve"> the Respondent’s charges and consumers leaving Respondent to obtain generation service elsewhere.</w:t>
      </w:r>
    </w:p>
    <w:p w:rsidR="00B44826" w:rsidRPr="00001309" w:rsidRDefault="00B44826" w:rsidP="00B44826">
      <w:pPr>
        <w:autoSpaceDE w:val="0"/>
        <w:autoSpaceDN w:val="0"/>
        <w:spacing w:line="240" w:lineRule="auto"/>
        <w:ind w:firstLine="0"/>
        <w:rPr>
          <w:rFonts w:eastAsia="Times New Roman"/>
          <w:sz w:val="26"/>
          <w:szCs w:val="26"/>
        </w:rPr>
      </w:pPr>
    </w:p>
    <w:p w:rsidR="00B44826" w:rsidRPr="00001309" w:rsidRDefault="00B44826" w:rsidP="00B44826">
      <w:pPr>
        <w:autoSpaceDE w:val="0"/>
        <w:autoSpaceDN w:val="0"/>
        <w:spacing w:line="240" w:lineRule="auto"/>
        <w:ind w:firstLine="0"/>
        <w:rPr>
          <w:rFonts w:eastAsia="Times New Roman"/>
          <w:sz w:val="26"/>
          <w:szCs w:val="26"/>
        </w:rPr>
      </w:pPr>
    </w:p>
    <w:p w:rsidR="00F4543C" w:rsidRPr="00001309" w:rsidRDefault="00C139B4" w:rsidP="00AD2745">
      <w:pPr>
        <w:keepNext/>
        <w:keepLines/>
        <w:autoSpaceDE w:val="0"/>
        <w:autoSpaceDN w:val="0"/>
        <w:ind w:firstLine="0"/>
        <w:rPr>
          <w:rFonts w:eastAsia="Times New Roman"/>
          <w:sz w:val="26"/>
          <w:szCs w:val="26"/>
        </w:rPr>
      </w:pPr>
      <w:r w:rsidRPr="00001309">
        <w:rPr>
          <w:rFonts w:eastAsia="Times New Roman"/>
          <w:sz w:val="26"/>
          <w:szCs w:val="26"/>
        </w:rPr>
        <w:t>I.D. at 2-3</w:t>
      </w:r>
      <w:r w:rsidR="00F4543C" w:rsidRPr="00001309">
        <w:rPr>
          <w:rFonts w:eastAsia="Times New Roman"/>
          <w:sz w:val="26"/>
          <w:szCs w:val="26"/>
        </w:rPr>
        <w:t>.</w:t>
      </w:r>
    </w:p>
    <w:p w:rsidR="00026844" w:rsidRPr="00001309" w:rsidRDefault="00026844" w:rsidP="008504C6">
      <w:pPr>
        <w:autoSpaceDE w:val="0"/>
        <w:autoSpaceDN w:val="0"/>
        <w:ind w:firstLine="0"/>
        <w:rPr>
          <w:rFonts w:eastAsia="Times New Roman"/>
          <w:sz w:val="26"/>
          <w:szCs w:val="26"/>
        </w:rPr>
      </w:pPr>
    </w:p>
    <w:p w:rsidR="00861C09" w:rsidRPr="00001309" w:rsidRDefault="00861C09" w:rsidP="00335157">
      <w:pPr>
        <w:autoSpaceDE w:val="0"/>
        <w:autoSpaceDN w:val="0"/>
        <w:rPr>
          <w:rFonts w:eastAsia="Times New Roman"/>
          <w:sz w:val="26"/>
          <w:szCs w:val="26"/>
        </w:rPr>
      </w:pPr>
      <w:r w:rsidRPr="00001309">
        <w:rPr>
          <w:rFonts w:eastAsia="Times New Roman"/>
          <w:sz w:val="26"/>
          <w:szCs w:val="26"/>
        </w:rPr>
        <w:t xml:space="preserve">Among other things, Blue Pilot admitted or denied the various averments in the Complaint and denied violating any Commission </w:t>
      </w:r>
      <w:r w:rsidR="006F66B8" w:rsidRPr="00001309">
        <w:rPr>
          <w:rFonts w:eastAsia="Times New Roman"/>
          <w:sz w:val="26"/>
          <w:szCs w:val="26"/>
        </w:rPr>
        <w:t>R</w:t>
      </w:r>
      <w:r w:rsidRPr="00001309">
        <w:rPr>
          <w:rFonts w:eastAsia="Times New Roman"/>
          <w:sz w:val="26"/>
          <w:szCs w:val="26"/>
        </w:rPr>
        <w:t>egulations or Orders.</w:t>
      </w:r>
    </w:p>
    <w:p w:rsidR="00861C09" w:rsidRPr="00001309" w:rsidRDefault="00861C09" w:rsidP="00335157">
      <w:pPr>
        <w:autoSpaceDE w:val="0"/>
        <w:autoSpaceDN w:val="0"/>
        <w:rPr>
          <w:rFonts w:eastAsia="Times New Roman"/>
          <w:sz w:val="26"/>
          <w:szCs w:val="26"/>
        </w:rPr>
      </w:pPr>
    </w:p>
    <w:p w:rsidR="00335157" w:rsidRPr="00001309" w:rsidRDefault="00246A61" w:rsidP="00335157">
      <w:pPr>
        <w:autoSpaceDE w:val="0"/>
        <w:autoSpaceDN w:val="0"/>
        <w:rPr>
          <w:sz w:val="26"/>
          <w:szCs w:val="26"/>
        </w:rPr>
      </w:pPr>
      <w:r w:rsidRPr="00001309">
        <w:rPr>
          <w:rFonts w:eastAsia="Times New Roman"/>
          <w:sz w:val="26"/>
          <w:szCs w:val="26"/>
        </w:rPr>
        <w:t>The ALJs recommended</w:t>
      </w:r>
      <w:r w:rsidR="00A15612" w:rsidRPr="00001309">
        <w:rPr>
          <w:rFonts w:eastAsia="Times New Roman"/>
          <w:sz w:val="26"/>
          <w:szCs w:val="26"/>
        </w:rPr>
        <w:t>:</w:t>
      </w:r>
      <w:r w:rsidRPr="00001309">
        <w:rPr>
          <w:rFonts w:eastAsia="Times New Roman"/>
          <w:sz w:val="26"/>
          <w:szCs w:val="26"/>
        </w:rPr>
        <w:t xml:space="preserve"> (1) that </w:t>
      </w:r>
      <w:r w:rsidRPr="00001309">
        <w:rPr>
          <w:sz w:val="26"/>
          <w:szCs w:val="26"/>
        </w:rPr>
        <w:t>the Complaint be sustained</w:t>
      </w:r>
      <w:r w:rsidR="001133DC" w:rsidRPr="00001309">
        <w:rPr>
          <w:sz w:val="26"/>
          <w:szCs w:val="26"/>
        </w:rPr>
        <w:t>,</w:t>
      </w:r>
      <w:r w:rsidRPr="00001309">
        <w:rPr>
          <w:sz w:val="26"/>
          <w:szCs w:val="26"/>
        </w:rPr>
        <w:t xml:space="preserve"> in part</w:t>
      </w:r>
      <w:r w:rsidR="001133DC" w:rsidRPr="00001309">
        <w:rPr>
          <w:sz w:val="26"/>
          <w:szCs w:val="26"/>
        </w:rPr>
        <w:t>,</w:t>
      </w:r>
      <w:r w:rsidRPr="00001309">
        <w:rPr>
          <w:sz w:val="26"/>
          <w:szCs w:val="26"/>
        </w:rPr>
        <w:t xml:space="preserve"> and denied</w:t>
      </w:r>
      <w:r w:rsidR="001133DC" w:rsidRPr="00001309">
        <w:rPr>
          <w:sz w:val="26"/>
          <w:szCs w:val="26"/>
        </w:rPr>
        <w:t>,</w:t>
      </w:r>
      <w:r w:rsidRPr="00001309">
        <w:rPr>
          <w:sz w:val="26"/>
          <w:szCs w:val="26"/>
        </w:rPr>
        <w:t xml:space="preserve"> in part; (2) that Blue Pilot be directed to pay civil penalties in the amount of $2,554,000; (3) that Blue Pilot remit the amount of $2,408,449 </w:t>
      </w:r>
      <w:r w:rsidR="006F66B8" w:rsidRPr="00001309">
        <w:rPr>
          <w:sz w:val="26"/>
          <w:szCs w:val="26"/>
        </w:rPr>
        <w:t xml:space="preserve">and $100,000 in administrative fees </w:t>
      </w:r>
      <w:r w:rsidRPr="00001309">
        <w:rPr>
          <w:sz w:val="26"/>
          <w:szCs w:val="26"/>
        </w:rPr>
        <w:t xml:space="preserve">into a </w:t>
      </w:r>
      <w:r w:rsidR="00CA7BEA" w:rsidRPr="00001309">
        <w:rPr>
          <w:sz w:val="26"/>
          <w:szCs w:val="26"/>
        </w:rPr>
        <w:t>Refund Pool</w:t>
      </w:r>
      <w:r w:rsidRPr="00001309">
        <w:rPr>
          <w:sz w:val="26"/>
          <w:szCs w:val="26"/>
        </w:rPr>
        <w:t xml:space="preserve"> for the purpose of </w:t>
      </w:r>
      <w:r w:rsidR="001157A6" w:rsidRPr="00001309">
        <w:rPr>
          <w:sz w:val="26"/>
          <w:szCs w:val="26"/>
        </w:rPr>
        <w:t>providing billing adjustment</w:t>
      </w:r>
      <w:r w:rsidR="009207AF" w:rsidRPr="00001309">
        <w:rPr>
          <w:sz w:val="26"/>
          <w:szCs w:val="26"/>
        </w:rPr>
        <w:t>s</w:t>
      </w:r>
      <w:r w:rsidR="001157A6" w:rsidRPr="00001309">
        <w:rPr>
          <w:sz w:val="26"/>
          <w:szCs w:val="26"/>
        </w:rPr>
        <w:t xml:space="preserve"> to its</w:t>
      </w:r>
      <w:r w:rsidRPr="00001309">
        <w:rPr>
          <w:sz w:val="26"/>
          <w:szCs w:val="26"/>
        </w:rPr>
        <w:t xml:space="preserve"> variable rate customers in existence during the </w:t>
      </w:r>
      <w:r w:rsidR="00CD5976" w:rsidRPr="00001309">
        <w:rPr>
          <w:sz w:val="26"/>
          <w:szCs w:val="26"/>
        </w:rPr>
        <w:t>p</w:t>
      </w:r>
      <w:r w:rsidRPr="00001309">
        <w:rPr>
          <w:sz w:val="26"/>
          <w:szCs w:val="26"/>
        </w:rPr>
        <w:t xml:space="preserve">eriod </w:t>
      </w:r>
      <w:r w:rsidR="00CD5976" w:rsidRPr="00001309">
        <w:rPr>
          <w:sz w:val="26"/>
          <w:szCs w:val="26"/>
        </w:rPr>
        <w:t>from</w:t>
      </w:r>
      <w:r w:rsidRPr="00001309">
        <w:rPr>
          <w:sz w:val="26"/>
          <w:szCs w:val="26"/>
        </w:rPr>
        <w:t xml:space="preserve"> December 2013 </w:t>
      </w:r>
      <w:r w:rsidR="00CD5976" w:rsidRPr="00001309">
        <w:rPr>
          <w:sz w:val="26"/>
          <w:szCs w:val="26"/>
        </w:rPr>
        <w:t>to</w:t>
      </w:r>
      <w:r w:rsidRPr="00001309">
        <w:rPr>
          <w:sz w:val="26"/>
          <w:szCs w:val="26"/>
        </w:rPr>
        <w:t xml:space="preserve"> March 2014</w:t>
      </w:r>
      <w:r w:rsidR="001157A6" w:rsidRPr="00001309">
        <w:rPr>
          <w:sz w:val="26"/>
          <w:szCs w:val="26"/>
        </w:rPr>
        <w:t xml:space="preserve"> (overbilling period); (4) that Blue Pilot variable rate customers during the overbilling period would be</w:t>
      </w:r>
      <w:r w:rsidRPr="00001309">
        <w:rPr>
          <w:sz w:val="26"/>
          <w:szCs w:val="26"/>
        </w:rPr>
        <w:t xml:space="preserve"> eligible for </w:t>
      </w:r>
      <w:r w:rsidR="00D27B96" w:rsidRPr="00001309">
        <w:rPr>
          <w:sz w:val="26"/>
          <w:szCs w:val="26"/>
        </w:rPr>
        <w:t>bill credits</w:t>
      </w:r>
      <w:r w:rsidRPr="00001309">
        <w:rPr>
          <w:sz w:val="26"/>
          <w:szCs w:val="26"/>
        </w:rPr>
        <w:t xml:space="preserve"> </w:t>
      </w:r>
      <w:r w:rsidR="001157A6" w:rsidRPr="00001309">
        <w:rPr>
          <w:sz w:val="26"/>
          <w:szCs w:val="26"/>
        </w:rPr>
        <w:t>based on</w:t>
      </w:r>
      <w:r w:rsidRPr="00001309">
        <w:rPr>
          <w:sz w:val="26"/>
          <w:szCs w:val="26"/>
        </w:rPr>
        <w:t xml:space="preserve"> the difference in prices for electric generation supply between what Blue Pilot charged them versus what</w:t>
      </w:r>
      <w:r w:rsidRPr="00001309">
        <w:rPr>
          <w:sz w:val="23"/>
          <w:szCs w:val="23"/>
        </w:rPr>
        <w:t xml:space="preserve"> </w:t>
      </w:r>
      <w:r w:rsidRPr="00001309">
        <w:rPr>
          <w:sz w:val="26"/>
          <w:szCs w:val="26"/>
        </w:rPr>
        <w:t xml:space="preserve">their respective electric distribution companies (EDCs) would have charged them during the same months </w:t>
      </w:r>
      <w:r w:rsidR="00CA47C5" w:rsidRPr="00001309">
        <w:rPr>
          <w:sz w:val="26"/>
          <w:szCs w:val="26"/>
        </w:rPr>
        <w:t xml:space="preserve">of service </w:t>
      </w:r>
      <w:r w:rsidR="001157A6" w:rsidRPr="00001309">
        <w:rPr>
          <w:sz w:val="26"/>
          <w:szCs w:val="26"/>
        </w:rPr>
        <w:t>based on the</w:t>
      </w:r>
      <w:r w:rsidRPr="00001309">
        <w:rPr>
          <w:sz w:val="26"/>
          <w:szCs w:val="26"/>
        </w:rPr>
        <w:t xml:space="preserve"> EDCs’ respective price</w:t>
      </w:r>
      <w:r w:rsidR="00AB5AA0" w:rsidRPr="00001309">
        <w:rPr>
          <w:sz w:val="26"/>
          <w:szCs w:val="26"/>
        </w:rPr>
        <w:t>-</w:t>
      </w:r>
      <w:r w:rsidRPr="00001309">
        <w:rPr>
          <w:sz w:val="26"/>
          <w:szCs w:val="26"/>
        </w:rPr>
        <w:t>to</w:t>
      </w:r>
      <w:r w:rsidR="00AB5AA0" w:rsidRPr="00001309">
        <w:rPr>
          <w:sz w:val="26"/>
          <w:szCs w:val="26"/>
        </w:rPr>
        <w:t>-</w:t>
      </w:r>
      <w:r w:rsidRPr="00001309">
        <w:rPr>
          <w:sz w:val="26"/>
          <w:szCs w:val="26"/>
        </w:rPr>
        <w:t>compare (PTC)</w:t>
      </w:r>
      <w:r w:rsidR="00861928" w:rsidRPr="00001309">
        <w:rPr>
          <w:rStyle w:val="FootnoteReference"/>
          <w:sz w:val="26"/>
          <w:szCs w:val="26"/>
        </w:rPr>
        <w:footnoteReference w:id="3"/>
      </w:r>
      <w:r w:rsidRPr="00001309">
        <w:rPr>
          <w:sz w:val="26"/>
          <w:szCs w:val="26"/>
        </w:rPr>
        <w:t xml:space="preserve"> rates during that time period</w:t>
      </w:r>
      <w:r w:rsidR="001157A6" w:rsidRPr="00001309">
        <w:rPr>
          <w:sz w:val="26"/>
          <w:szCs w:val="26"/>
        </w:rPr>
        <w:t>; (5)</w:t>
      </w:r>
      <w:r w:rsidR="00D568DE" w:rsidRPr="00001309">
        <w:rPr>
          <w:sz w:val="26"/>
          <w:szCs w:val="26"/>
        </w:rPr>
        <w:t> </w:t>
      </w:r>
      <w:r w:rsidR="00335157" w:rsidRPr="00001309">
        <w:rPr>
          <w:sz w:val="26"/>
          <w:szCs w:val="26"/>
        </w:rPr>
        <w:t>that</w:t>
      </w:r>
      <w:r w:rsidR="000D30A7" w:rsidRPr="00001309">
        <w:rPr>
          <w:sz w:val="26"/>
          <w:szCs w:val="26"/>
        </w:rPr>
        <w:t xml:space="preserve"> </w:t>
      </w:r>
      <w:r w:rsidR="00335157" w:rsidRPr="00001309">
        <w:rPr>
          <w:sz w:val="26"/>
          <w:szCs w:val="26"/>
        </w:rPr>
        <w:t>Blue Pilot’s electric generation supplier</w:t>
      </w:r>
      <w:r w:rsidR="000D30A7" w:rsidRPr="00001309">
        <w:rPr>
          <w:sz w:val="26"/>
          <w:szCs w:val="26"/>
        </w:rPr>
        <w:t xml:space="preserve"> license be permanently revoked </w:t>
      </w:r>
      <w:r w:rsidR="00335157" w:rsidRPr="00001309">
        <w:rPr>
          <w:sz w:val="26"/>
          <w:szCs w:val="26"/>
        </w:rPr>
        <w:t>and n</w:t>
      </w:r>
      <w:r w:rsidR="000D30A7" w:rsidRPr="00001309">
        <w:rPr>
          <w:sz w:val="26"/>
          <w:szCs w:val="26"/>
        </w:rPr>
        <w:t xml:space="preserve">o future license application for any electric supply service filed by the owners, officers, </w:t>
      </w:r>
      <w:r w:rsidR="000D30A7" w:rsidRPr="00001309">
        <w:rPr>
          <w:sz w:val="26"/>
          <w:szCs w:val="26"/>
        </w:rPr>
        <w:lastRenderedPageBreak/>
        <w:t>directors or managers of Blue Pilot be considered by th</w:t>
      </w:r>
      <w:r w:rsidR="00335157" w:rsidRPr="00001309">
        <w:rPr>
          <w:sz w:val="26"/>
          <w:szCs w:val="26"/>
        </w:rPr>
        <w:t>e</w:t>
      </w:r>
      <w:r w:rsidR="000D30A7" w:rsidRPr="00001309">
        <w:rPr>
          <w:sz w:val="26"/>
          <w:szCs w:val="26"/>
        </w:rPr>
        <w:t xml:space="preserve"> Commission</w:t>
      </w:r>
      <w:r w:rsidR="00335157" w:rsidRPr="00001309">
        <w:rPr>
          <w:sz w:val="26"/>
          <w:szCs w:val="26"/>
        </w:rPr>
        <w:t>; and (6)</w:t>
      </w:r>
      <w:r w:rsidR="000D30A7" w:rsidRPr="00001309">
        <w:rPr>
          <w:sz w:val="26"/>
          <w:szCs w:val="26"/>
        </w:rPr>
        <w:t xml:space="preserve"> </w:t>
      </w:r>
      <w:r w:rsidR="00335157" w:rsidRPr="00001309">
        <w:rPr>
          <w:sz w:val="26"/>
          <w:szCs w:val="26"/>
        </w:rPr>
        <w:t xml:space="preserve">that </w:t>
      </w:r>
      <w:r w:rsidR="000D30A7" w:rsidRPr="00001309">
        <w:rPr>
          <w:sz w:val="26"/>
          <w:szCs w:val="26"/>
        </w:rPr>
        <w:t xml:space="preserve">Commission </w:t>
      </w:r>
      <w:r w:rsidR="00335157" w:rsidRPr="00001309">
        <w:rPr>
          <w:sz w:val="26"/>
          <w:szCs w:val="26"/>
        </w:rPr>
        <w:t>S</w:t>
      </w:r>
      <w:r w:rsidR="000D30A7" w:rsidRPr="00001309">
        <w:rPr>
          <w:sz w:val="26"/>
          <w:szCs w:val="26"/>
        </w:rPr>
        <w:t xml:space="preserve">taff take action upon any viable </w:t>
      </w:r>
      <w:r w:rsidR="00335157" w:rsidRPr="00001309">
        <w:rPr>
          <w:sz w:val="26"/>
          <w:szCs w:val="26"/>
        </w:rPr>
        <w:t xml:space="preserve">Blue Pilot </w:t>
      </w:r>
      <w:r w:rsidR="000D30A7" w:rsidRPr="00001309">
        <w:rPr>
          <w:sz w:val="26"/>
          <w:szCs w:val="26"/>
        </w:rPr>
        <w:t>security instrument such that appropriate claims may be made against it.</w:t>
      </w:r>
      <w:r w:rsidR="00335157" w:rsidRPr="00001309">
        <w:rPr>
          <w:sz w:val="26"/>
          <w:szCs w:val="26"/>
        </w:rPr>
        <w:t xml:space="preserve">  </w:t>
      </w:r>
      <w:r w:rsidR="00335157" w:rsidRPr="00001309">
        <w:rPr>
          <w:i/>
          <w:sz w:val="26"/>
          <w:szCs w:val="26"/>
        </w:rPr>
        <w:t xml:space="preserve">See </w:t>
      </w:r>
      <w:r w:rsidR="00335157" w:rsidRPr="00001309">
        <w:rPr>
          <w:sz w:val="26"/>
          <w:szCs w:val="26"/>
        </w:rPr>
        <w:t>I.D. at</w:t>
      </w:r>
      <w:r w:rsidR="00D31220" w:rsidRPr="00001309">
        <w:rPr>
          <w:sz w:val="26"/>
          <w:szCs w:val="26"/>
        </w:rPr>
        <w:t> </w:t>
      </w:r>
      <w:r w:rsidR="00335157" w:rsidRPr="00001309">
        <w:rPr>
          <w:sz w:val="26"/>
          <w:szCs w:val="26"/>
        </w:rPr>
        <w:t>1-2.</w:t>
      </w:r>
    </w:p>
    <w:p w:rsidR="007940CE" w:rsidRPr="00001309" w:rsidRDefault="007940CE" w:rsidP="007940CE">
      <w:pPr>
        <w:autoSpaceDE w:val="0"/>
        <w:autoSpaceDN w:val="0"/>
        <w:rPr>
          <w:rFonts w:eastAsia="Times New Roman"/>
          <w:sz w:val="26"/>
          <w:szCs w:val="26"/>
        </w:rPr>
      </w:pPr>
    </w:p>
    <w:p w:rsidR="00475A8D" w:rsidRPr="00001309" w:rsidRDefault="007940CE" w:rsidP="00643D89">
      <w:pPr>
        <w:autoSpaceDE w:val="0"/>
        <w:autoSpaceDN w:val="0"/>
        <w:rPr>
          <w:rFonts w:eastAsia="Times New Roman"/>
          <w:sz w:val="26"/>
          <w:szCs w:val="26"/>
        </w:rPr>
      </w:pPr>
      <w:r w:rsidRPr="00001309">
        <w:rPr>
          <w:sz w:val="26"/>
          <w:szCs w:val="26"/>
        </w:rPr>
        <w:t xml:space="preserve">The presiding ALJs recommended the denial of </w:t>
      </w:r>
      <w:r w:rsidR="00D31220" w:rsidRPr="00001309">
        <w:rPr>
          <w:sz w:val="26"/>
          <w:szCs w:val="26"/>
        </w:rPr>
        <w:t xml:space="preserve">the </w:t>
      </w:r>
      <w:r w:rsidR="00FC1B6B" w:rsidRPr="00001309">
        <w:rPr>
          <w:sz w:val="26"/>
          <w:szCs w:val="26"/>
        </w:rPr>
        <w:t xml:space="preserve">following </w:t>
      </w:r>
      <w:r w:rsidR="00F429DB">
        <w:rPr>
          <w:sz w:val="26"/>
          <w:szCs w:val="26"/>
        </w:rPr>
        <w:t xml:space="preserve">the </w:t>
      </w:r>
      <w:r w:rsidRPr="00001309">
        <w:rPr>
          <w:sz w:val="26"/>
          <w:szCs w:val="26"/>
        </w:rPr>
        <w:t>Joint Complainants’</w:t>
      </w:r>
      <w:r w:rsidR="00824807" w:rsidRPr="00001309">
        <w:rPr>
          <w:sz w:val="26"/>
          <w:szCs w:val="26"/>
        </w:rPr>
        <w:t xml:space="preserve"> </w:t>
      </w:r>
      <w:r w:rsidR="00FC1B6B" w:rsidRPr="00001309">
        <w:rPr>
          <w:sz w:val="26"/>
          <w:szCs w:val="26"/>
        </w:rPr>
        <w:t xml:space="preserve">requests for </w:t>
      </w:r>
      <w:r w:rsidR="00824807" w:rsidRPr="00001309">
        <w:rPr>
          <w:sz w:val="26"/>
          <w:szCs w:val="26"/>
        </w:rPr>
        <w:t>relief</w:t>
      </w:r>
      <w:r w:rsidR="00FC1B6B" w:rsidRPr="00001309">
        <w:rPr>
          <w:sz w:val="26"/>
          <w:szCs w:val="26"/>
        </w:rPr>
        <w:t>:</w:t>
      </w:r>
      <w:r w:rsidRPr="00001309">
        <w:rPr>
          <w:sz w:val="26"/>
          <w:szCs w:val="26"/>
        </w:rPr>
        <w:t xml:space="preserve"> (1) </w:t>
      </w:r>
      <w:r w:rsidR="005D03C0" w:rsidRPr="00001309">
        <w:rPr>
          <w:sz w:val="26"/>
          <w:szCs w:val="26"/>
        </w:rPr>
        <w:t xml:space="preserve">the </w:t>
      </w:r>
      <w:r w:rsidRPr="00001309">
        <w:rPr>
          <w:sz w:val="26"/>
          <w:szCs w:val="26"/>
        </w:rPr>
        <w:t>request for restitution in the form of cancellation, termination fees and other financial late fees/penalties charged to customers as a result of overbilling by Blue Pilot or switching from Blue Pilot</w:t>
      </w:r>
      <w:r w:rsidR="005D03C0" w:rsidRPr="00001309">
        <w:rPr>
          <w:sz w:val="26"/>
          <w:szCs w:val="26"/>
        </w:rPr>
        <w:t>;</w:t>
      </w:r>
      <w:r w:rsidR="008427EF" w:rsidRPr="00001309">
        <w:rPr>
          <w:rStyle w:val="FootnoteReference"/>
          <w:sz w:val="26"/>
          <w:szCs w:val="26"/>
        </w:rPr>
        <w:footnoteReference w:id="4"/>
      </w:r>
      <w:r w:rsidR="005D03C0" w:rsidRPr="00001309">
        <w:rPr>
          <w:sz w:val="26"/>
          <w:szCs w:val="26"/>
        </w:rPr>
        <w:t xml:space="preserve"> </w:t>
      </w:r>
      <w:r w:rsidRPr="00001309">
        <w:rPr>
          <w:sz w:val="26"/>
          <w:szCs w:val="26"/>
        </w:rPr>
        <w:t xml:space="preserve">(2) </w:t>
      </w:r>
      <w:r w:rsidR="005D03C0" w:rsidRPr="00001309">
        <w:rPr>
          <w:sz w:val="26"/>
          <w:szCs w:val="26"/>
        </w:rPr>
        <w:t xml:space="preserve">the </w:t>
      </w:r>
      <w:r w:rsidRPr="00001309">
        <w:rPr>
          <w:sz w:val="26"/>
          <w:szCs w:val="26"/>
        </w:rPr>
        <w:t xml:space="preserve">request for restitution in the form of directed contributions </w:t>
      </w:r>
      <w:r w:rsidR="002329E1" w:rsidRPr="00001309">
        <w:rPr>
          <w:sz w:val="26"/>
          <w:szCs w:val="26"/>
        </w:rPr>
        <w:t xml:space="preserve">of at least $150,000 </w:t>
      </w:r>
      <w:r w:rsidRPr="00001309">
        <w:rPr>
          <w:sz w:val="26"/>
          <w:szCs w:val="26"/>
        </w:rPr>
        <w:t xml:space="preserve">to </w:t>
      </w:r>
      <w:r w:rsidR="002329E1" w:rsidRPr="00001309">
        <w:rPr>
          <w:sz w:val="26"/>
          <w:szCs w:val="26"/>
        </w:rPr>
        <w:t xml:space="preserve">the </w:t>
      </w:r>
      <w:r w:rsidRPr="00001309">
        <w:rPr>
          <w:sz w:val="26"/>
          <w:szCs w:val="26"/>
        </w:rPr>
        <w:t>EDCs’ hardship funds</w:t>
      </w:r>
      <w:r w:rsidR="009A1C32" w:rsidRPr="00001309">
        <w:rPr>
          <w:sz w:val="26"/>
          <w:szCs w:val="26"/>
        </w:rPr>
        <w:t>;</w:t>
      </w:r>
      <w:r w:rsidR="00B77C86" w:rsidRPr="00001309">
        <w:rPr>
          <w:rStyle w:val="FootnoteReference"/>
          <w:sz w:val="26"/>
          <w:szCs w:val="26"/>
        </w:rPr>
        <w:footnoteReference w:id="5"/>
      </w:r>
      <w:r w:rsidRPr="00001309">
        <w:rPr>
          <w:sz w:val="26"/>
          <w:szCs w:val="26"/>
        </w:rPr>
        <w:t xml:space="preserve"> and (3) </w:t>
      </w:r>
      <w:r w:rsidR="005D03C0" w:rsidRPr="00001309">
        <w:rPr>
          <w:sz w:val="26"/>
          <w:szCs w:val="26"/>
        </w:rPr>
        <w:t xml:space="preserve">the </w:t>
      </w:r>
      <w:r w:rsidRPr="00001309">
        <w:rPr>
          <w:sz w:val="26"/>
          <w:szCs w:val="26"/>
        </w:rPr>
        <w:lastRenderedPageBreak/>
        <w:t xml:space="preserve">request that officers and owners of </w:t>
      </w:r>
      <w:r w:rsidR="00CF1507" w:rsidRPr="00001309">
        <w:rPr>
          <w:sz w:val="26"/>
          <w:szCs w:val="26"/>
        </w:rPr>
        <w:t>Blue Pilot</w:t>
      </w:r>
      <w:r w:rsidRPr="00001309">
        <w:rPr>
          <w:sz w:val="26"/>
          <w:szCs w:val="26"/>
        </w:rPr>
        <w:t xml:space="preserve"> be enjoined from participating in the competitive telecommunications market</w:t>
      </w:r>
      <w:r w:rsidR="00824807" w:rsidRPr="00001309">
        <w:rPr>
          <w:sz w:val="26"/>
          <w:szCs w:val="26"/>
        </w:rPr>
        <w:t>.</w:t>
      </w:r>
      <w:r w:rsidR="00F91D78" w:rsidRPr="00001309">
        <w:rPr>
          <w:rStyle w:val="FootnoteReference"/>
          <w:sz w:val="26"/>
          <w:szCs w:val="26"/>
        </w:rPr>
        <w:footnoteReference w:id="6"/>
      </w:r>
      <w:r w:rsidR="00CF1507" w:rsidRPr="00001309">
        <w:rPr>
          <w:sz w:val="26"/>
          <w:szCs w:val="26"/>
        </w:rPr>
        <w:t xml:space="preserve">  I.D. at 1.</w:t>
      </w:r>
    </w:p>
    <w:p w:rsidR="007940CE" w:rsidRPr="00001309" w:rsidRDefault="007940CE" w:rsidP="007940CE">
      <w:pPr>
        <w:autoSpaceDE w:val="0"/>
        <w:autoSpaceDN w:val="0"/>
        <w:ind w:firstLine="0"/>
        <w:rPr>
          <w:rFonts w:eastAsia="Times New Roman"/>
          <w:sz w:val="26"/>
          <w:szCs w:val="26"/>
        </w:rPr>
      </w:pPr>
    </w:p>
    <w:p w:rsidR="005D03C0" w:rsidRPr="004B3722" w:rsidRDefault="005D03C0" w:rsidP="00F429DB">
      <w:pPr>
        <w:pStyle w:val="Heading2"/>
        <w:spacing w:before="0"/>
        <w:ind w:firstLine="0"/>
        <w:rPr>
          <w:rFonts w:ascii="Times New Roman" w:eastAsia="Times New Roman" w:hAnsi="Times New Roman" w:cs="Times New Roman"/>
          <w:b/>
          <w:color w:val="auto"/>
        </w:rPr>
      </w:pPr>
      <w:bookmarkStart w:id="12" w:name="_Toc517831027"/>
      <w:r w:rsidRPr="004B3722">
        <w:rPr>
          <w:rFonts w:ascii="Times New Roman" w:eastAsia="Times New Roman" w:hAnsi="Times New Roman" w:cs="Times New Roman"/>
          <w:b/>
          <w:color w:val="auto"/>
        </w:rPr>
        <w:t>B.</w:t>
      </w:r>
      <w:r w:rsidRPr="004B3722">
        <w:rPr>
          <w:rFonts w:ascii="Times New Roman" w:eastAsia="Times New Roman" w:hAnsi="Times New Roman" w:cs="Times New Roman"/>
          <w:b/>
          <w:color w:val="auto"/>
        </w:rPr>
        <w:tab/>
      </w:r>
      <w:proofErr w:type="gramStart"/>
      <w:r w:rsidR="00247670" w:rsidRPr="004B3722">
        <w:rPr>
          <w:rFonts w:ascii="Times New Roman" w:eastAsia="Times New Roman" w:hAnsi="Times New Roman" w:cs="Times New Roman"/>
          <w:b/>
          <w:color w:val="auto"/>
        </w:rPr>
        <w:t>Current Status</w:t>
      </w:r>
      <w:proofErr w:type="gramEnd"/>
      <w:r w:rsidR="00247670" w:rsidRPr="004B3722">
        <w:rPr>
          <w:rFonts w:ascii="Times New Roman" w:eastAsia="Times New Roman" w:hAnsi="Times New Roman" w:cs="Times New Roman"/>
          <w:b/>
          <w:color w:val="auto"/>
        </w:rPr>
        <w:t xml:space="preserve"> of Blue Pilot’s Operations in Pennsylvania</w:t>
      </w:r>
      <w:bookmarkEnd w:id="12"/>
    </w:p>
    <w:p w:rsidR="00247670" w:rsidRPr="00001309" w:rsidRDefault="00247670" w:rsidP="006469EF">
      <w:pPr>
        <w:keepNext/>
        <w:keepLines/>
        <w:autoSpaceDE w:val="0"/>
        <w:autoSpaceDN w:val="0"/>
        <w:ind w:firstLine="0"/>
        <w:rPr>
          <w:rFonts w:eastAsia="Times New Roman"/>
          <w:b/>
          <w:sz w:val="26"/>
          <w:szCs w:val="26"/>
        </w:rPr>
      </w:pPr>
    </w:p>
    <w:p w:rsidR="00AE56CB" w:rsidRPr="00001309" w:rsidRDefault="00643D89" w:rsidP="00AE56CB">
      <w:pPr>
        <w:autoSpaceDE w:val="0"/>
        <w:autoSpaceDN w:val="0"/>
        <w:adjustRightInd w:val="0"/>
        <w:rPr>
          <w:sz w:val="26"/>
          <w:szCs w:val="26"/>
        </w:rPr>
      </w:pPr>
      <w:r w:rsidRPr="00001309">
        <w:rPr>
          <w:sz w:val="26"/>
          <w:szCs w:val="26"/>
        </w:rPr>
        <w:t xml:space="preserve">Critical to our determinations herein is the </w:t>
      </w:r>
      <w:proofErr w:type="gramStart"/>
      <w:r w:rsidRPr="00001309">
        <w:rPr>
          <w:sz w:val="26"/>
          <w:szCs w:val="26"/>
        </w:rPr>
        <w:t>current status</w:t>
      </w:r>
      <w:proofErr w:type="gramEnd"/>
      <w:r w:rsidRPr="00001309">
        <w:rPr>
          <w:sz w:val="26"/>
          <w:szCs w:val="26"/>
        </w:rPr>
        <w:t xml:space="preserve"> of Blue Pilot’s operations in Pennsylvania.</w:t>
      </w:r>
      <w:r w:rsidR="00ED058C" w:rsidRPr="00001309">
        <w:rPr>
          <w:sz w:val="26"/>
          <w:szCs w:val="26"/>
        </w:rPr>
        <w:t xml:space="preserve">  In this regard, it is important to note that as of March 2014, </w:t>
      </w:r>
      <w:r w:rsidR="00AE56CB" w:rsidRPr="00001309">
        <w:rPr>
          <w:sz w:val="26"/>
          <w:szCs w:val="26"/>
        </w:rPr>
        <w:t xml:space="preserve">Blue Pilot </w:t>
      </w:r>
      <w:r w:rsidR="00ED058C" w:rsidRPr="00001309">
        <w:rPr>
          <w:sz w:val="26"/>
          <w:szCs w:val="26"/>
        </w:rPr>
        <w:t xml:space="preserve">has </w:t>
      </w:r>
      <w:r w:rsidR="00AE56CB" w:rsidRPr="00001309">
        <w:rPr>
          <w:sz w:val="26"/>
          <w:szCs w:val="26"/>
        </w:rPr>
        <w:t>halted its retail sales marketing activity in Pennsylvania</w:t>
      </w:r>
      <w:r w:rsidR="00ED058C" w:rsidRPr="00001309">
        <w:rPr>
          <w:sz w:val="26"/>
          <w:szCs w:val="26"/>
        </w:rPr>
        <w:t>.</w:t>
      </w:r>
      <w:r w:rsidR="003319D3" w:rsidRPr="00001309">
        <w:rPr>
          <w:rStyle w:val="FootnoteReference"/>
          <w:sz w:val="26"/>
          <w:szCs w:val="26"/>
        </w:rPr>
        <w:footnoteReference w:id="7"/>
      </w:r>
      <w:r w:rsidR="00147CD7" w:rsidRPr="00001309">
        <w:rPr>
          <w:sz w:val="26"/>
          <w:szCs w:val="26"/>
        </w:rPr>
        <w:t xml:space="preserve">  Additional details </w:t>
      </w:r>
      <w:r w:rsidR="003609D8" w:rsidRPr="00001309">
        <w:rPr>
          <w:sz w:val="26"/>
          <w:szCs w:val="26"/>
        </w:rPr>
        <w:t>associated with the discontinuation of Blue Pilot’s operations in Pennsylvania follow.</w:t>
      </w:r>
    </w:p>
    <w:p w:rsidR="00AE56CB" w:rsidRPr="00001309" w:rsidRDefault="00AE56CB" w:rsidP="00AE56CB">
      <w:pPr>
        <w:autoSpaceDE w:val="0"/>
        <w:autoSpaceDN w:val="0"/>
        <w:adjustRightInd w:val="0"/>
        <w:rPr>
          <w:sz w:val="26"/>
          <w:szCs w:val="26"/>
        </w:rPr>
      </w:pPr>
    </w:p>
    <w:p w:rsidR="003F6FFC" w:rsidRPr="00001309" w:rsidRDefault="00154DF7" w:rsidP="00154DF7">
      <w:pPr>
        <w:autoSpaceDE w:val="0"/>
        <w:autoSpaceDN w:val="0"/>
        <w:adjustRightInd w:val="0"/>
        <w:rPr>
          <w:sz w:val="26"/>
          <w:szCs w:val="26"/>
        </w:rPr>
      </w:pPr>
      <w:r w:rsidRPr="00001309">
        <w:rPr>
          <w:sz w:val="26"/>
          <w:szCs w:val="26"/>
        </w:rPr>
        <w:t xml:space="preserve">On December 17, 2015, the Commission entered a Tentative Order, </w:t>
      </w:r>
      <w:r w:rsidRPr="00001309">
        <w:rPr>
          <w:i/>
          <w:sz w:val="26"/>
          <w:szCs w:val="26"/>
        </w:rPr>
        <w:t>In re: Electric Generation Supplier License Cancellations of Companies with an Expired Financial Security</w:t>
      </w:r>
      <w:r w:rsidRPr="00001309">
        <w:rPr>
          <w:sz w:val="26"/>
          <w:szCs w:val="26"/>
        </w:rPr>
        <w:t xml:space="preserve"> at Docket No. M-2015-2490</w:t>
      </w:r>
      <w:r w:rsidR="004D7401" w:rsidRPr="00001309">
        <w:rPr>
          <w:sz w:val="26"/>
          <w:szCs w:val="26"/>
        </w:rPr>
        <w:t>3</w:t>
      </w:r>
      <w:r w:rsidRPr="00001309">
        <w:rPr>
          <w:sz w:val="26"/>
          <w:szCs w:val="26"/>
        </w:rPr>
        <w:t>83</w:t>
      </w:r>
      <w:r w:rsidR="00147CD7" w:rsidRPr="00001309">
        <w:rPr>
          <w:sz w:val="26"/>
          <w:szCs w:val="26"/>
        </w:rPr>
        <w:t xml:space="preserve"> (</w:t>
      </w:r>
      <w:r w:rsidR="00147CD7" w:rsidRPr="00001309">
        <w:rPr>
          <w:i/>
          <w:sz w:val="26"/>
          <w:szCs w:val="26"/>
        </w:rPr>
        <w:t>December 17, 2015 Order</w:t>
      </w:r>
      <w:r w:rsidR="00147CD7" w:rsidRPr="00001309">
        <w:rPr>
          <w:sz w:val="26"/>
          <w:szCs w:val="26"/>
        </w:rPr>
        <w:t>)</w:t>
      </w:r>
      <w:r w:rsidR="00103D49" w:rsidRPr="00001309">
        <w:rPr>
          <w:sz w:val="26"/>
          <w:szCs w:val="26"/>
        </w:rPr>
        <w:t xml:space="preserve">.  The </w:t>
      </w:r>
      <w:r w:rsidR="00103D49" w:rsidRPr="00001309">
        <w:rPr>
          <w:i/>
          <w:sz w:val="26"/>
          <w:szCs w:val="26"/>
        </w:rPr>
        <w:t>December 17, 2015 Order</w:t>
      </w:r>
      <w:r w:rsidR="00103D49" w:rsidRPr="00001309">
        <w:rPr>
          <w:sz w:val="26"/>
          <w:szCs w:val="26"/>
        </w:rPr>
        <w:t xml:space="preserve"> stated</w:t>
      </w:r>
      <w:r w:rsidRPr="00001309">
        <w:rPr>
          <w:sz w:val="26"/>
          <w:szCs w:val="26"/>
        </w:rPr>
        <w:t xml:space="preserve"> that as of December 8, 2015, Blue Pilot had not provided proof to the Commission that it had a bond or other approved security in the amount directed by the Commission to replace its expired bond.  The Commission tentatively </w:t>
      </w:r>
      <w:r w:rsidRPr="00001309">
        <w:rPr>
          <w:sz w:val="26"/>
          <w:szCs w:val="26"/>
        </w:rPr>
        <w:lastRenderedPageBreak/>
        <w:t>concluded that Blue Pilot was not in compliance with 52 Pa.</w:t>
      </w:r>
      <w:r w:rsidR="003F6FFC" w:rsidRPr="00001309">
        <w:rPr>
          <w:sz w:val="26"/>
          <w:szCs w:val="26"/>
        </w:rPr>
        <w:t xml:space="preserve"> </w:t>
      </w:r>
      <w:r w:rsidRPr="00001309">
        <w:rPr>
          <w:sz w:val="26"/>
          <w:szCs w:val="26"/>
        </w:rPr>
        <w:t>Code § 54.40(a) and (d)</w:t>
      </w:r>
      <w:r w:rsidR="00C914E8" w:rsidRPr="00001309">
        <w:rPr>
          <w:sz w:val="26"/>
          <w:szCs w:val="26"/>
        </w:rPr>
        <w:t>.</w:t>
      </w:r>
      <w:r w:rsidR="00716C46" w:rsidRPr="00001309">
        <w:rPr>
          <w:rStyle w:val="FootnoteReference"/>
          <w:sz w:val="26"/>
          <w:szCs w:val="26"/>
        </w:rPr>
        <w:footnoteReference w:id="8"/>
      </w:r>
      <w:r w:rsidR="00C914E8" w:rsidRPr="00001309">
        <w:rPr>
          <w:sz w:val="26"/>
          <w:szCs w:val="26"/>
        </w:rPr>
        <w:t xml:space="preserve">  Based on the foregoing,</w:t>
      </w:r>
      <w:r w:rsidRPr="00001309">
        <w:rPr>
          <w:sz w:val="26"/>
          <w:szCs w:val="26"/>
        </w:rPr>
        <w:t xml:space="preserve"> </w:t>
      </w:r>
      <w:r w:rsidR="003F6FFC" w:rsidRPr="00001309">
        <w:rPr>
          <w:sz w:val="26"/>
          <w:szCs w:val="26"/>
        </w:rPr>
        <w:t xml:space="preserve">proceedings </w:t>
      </w:r>
      <w:r w:rsidR="00EA1934" w:rsidRPr="00001309">
        <w:rPr>
          <w:sz w:val="26"/>
          <w:szCs w:val="26"/>
        </w:rPr>
        <w:t>were</w:t>
      </w:r>
      <w:r w:rsidR="003F6FFC" w:rsidRPr="00001309">
        <w:rPr>
          <w:sz w:val="26"/>
          <w:szCs w:val="26"/>
        </w:rPr>
        <w:t xml:space="preserve"> initiate</w:t>
      </w:r>
      <w:r w:rsidR="00EA1934" w:rsidRPr="00001309">
        <w:rPr>
          <w:sz w:val="26"/>
          <w:szCs w:val="26"/>
        </w:rPr>
        <w:t>d</w:t>
      </w:r>
      <w:r w:rsidR="003F6FFC" w:rsidRPr="00001309">
        <w:rPr>
          <w:sz w:val="26"/>
          <w:szCs w:val="26"/>
        </w:rPr>
        <w:t xml:space="preserve"> </w:t>
      </w:r>
      <w:r w:rsidR="00992121" w:rsidRPr="00001309">
        <w:rPr>
          <w:sz w:val="26"/>
          <w:szCs w:val="26"/>
        </w:rPr>
        <w:t xml:space="preserve">to move forward </w:t>
      </w:r>
      <w:r w:rsidR="00B86850" w:rsidRPr="00001309">
        <w:rPr>
          <w:sz w:val="26"/>
          <w:szCs w:val="26"/>
        </w:rPr>
        <w:t xml:space="preserve">towards </w:t>
      </w:r>
      <w:r w:rsidR="00992121" w:rsidRPr="00001309">
        <w:rPr>
          <w:sz w:val="26"/>
          <w:szCs w:val="26"/>
        </w:rPr>
        <w:t xml:space="preserve">the </w:t>
      </w:r>
      <w:r w:rsidRPr="00001309">
        <w:rPr>
          <w:sz w:val="26"/>
          <w:szCs w:val="26"/>
        </w:rPr>
        <w:t xml:space="preserve">cancellation </w:t>
      </w:r>
      <w:r w:rsidR="003F6FFC" w:rsidRPr="00001309">
        <w:rPr>
          <w:sz w:val="26"/>
          <w:szCs w:val="26"/>
        </w:rPr>
        <w:t xml:space="preserve">of </w:t>
      </w:r>
      <w:r w:rsidR="00C914E8" w:rsidRPr="00001309">
        <w:rPr>
          <w:sz w:val="26"/>
          <w:szCs w:val="26"/>
        </w:rPr>
        <w:t>Blue Pilot</w:t>
      </w:r>
      <w:r w:rsidR="00992121" w:rsidRPr="00001309">
        <w:rPr>
          <w:sz w:val="26"/>
          <w:szCs w:val="26"/>
        </w:rPr>
        <w:t>’s EGS license</w:t>
      </w:r>
      <w:r w:rsidRPr="00001309">
        <w:rPr>
          <w:sz w:val="26"/>
          <w:szCs w:val="26"/>
        </w:rPr>
        <w:t>.</w:t>
      </w:r>
      <w:r w:rsidR="00C914E8" w:rsidRPr="00001309">
        <w:rPr>
          <w:sz w:val="26"/>
          <w:szCs w:val="26"/>
        </w:rPr>
        <w:t xml:space="preserve">  T</w:t>
      </w:r>
      <w:r w:rsidRPr="00001309">
        <w:rPr>
          <w:sz w:val="26"/>
          <w:szCs w:val="26"/>
        </w:rPr>
        <w:t xml:space="preserve">he Commission tentatively approved cancellation of Blue Pilot’s license </w:t>
      </w:r>
      <w:r w:rsidR="00C914E8" w:rsidRPr="00001309">
        <w:rPr>
          <w:sz w:val="26"/>
          <w:szCs w:val="26"/>
        </w:rPr>
        <w:t>and published</w:t>
      </w:r>
      <w:r w:rsidRPr="00001309">
        <w:rPr>
          <w:sz w:val="26"/>
          <w:szCs w:val="26"/>
        </w:rPr>
        <w:t xml:space="preserve"> </w:t>
      </w:r>
      <w:r w:rsidR="003F6FFC" w:rsidRPr="00001309">
        <w:rPr>
          <w:sz w:val="26"/>
          <w:szCs w:val="26"/>
        </w:rPr>
        <w:t xml:space="preserve">a </w:t>
      </w:r>
      <w:r w:rsidRPr="00001309">
        <w:rPr>
          <w:sz w:val="26"/>
          <w:szCs w:val="26"/>
        </w:rPr>
        <w:t xml:space="preserve">Tentative Order in the </w:t>
      </w:r>
      <w:r w:rsidRPr="00001309">
        <w:rPr>
          <w:i/>
          <w:sz w:val="26"/>
          <w:szCs w:val="26"/>
        </w:rPr>
        <w:t>Pennsylvania Bulletin</w:t>
      </w:r>
      <w:r w:rsidRPr="00001309">
        <w:rPr>
          <w:sz w:val="26"/>
          <w:szCs w:val="26"/>
        </w:rPr>
        <w:t xml:space="preserve">, 46 </w:t>
      </w:r>
      <w:r w:rsidRPr="00001309">
        <w:rPr>
          <w:i/>
          <w:sz w:val="26"/>
          <w:szCs w:val="26"/>
        </w:rPr>
        <w:t>Pa. B</w:t>
      </w:r>
      <w:r w:rsidRPr="00001309">
        <w:rPr>
          <w:sz w:val="26"/>
          <w:szCs w:val="26"/>
        </w:rPr>
        <w:t>. 112</w:t>
      </w:r>
      <w:r w:rsidR="003F6FFC" w:rsidRPr="00001309">
        <w:rPr>
          <w:sz w:val="26"/>
          <w:szCs w:val="26"/>
        </w:rPr>
        <w:t>,</w:t>
      </w:r>
      <w:r w:rsidRPr="00001309">
        <w:rPr>
          <w:sz w:val="26"/>
          <w:szCs w:val="26"/>
        </w:rPr>
        <w:t xml:space="preserve"> on January 2, 2016.  A thirty-day comment period expired on February 2, 2016.</w:t>
      </w:r>
    </w:p>
    <w:p w:rsidR="003F6FFC" w:rsidRPr="00001309" w:rsidRDefault="003F6FFC" w:rsidP="00154DF7">
      <w:pPr>
        <w:autoSpaceDE w:val="0"/>
        <w:autoSpaceDN w:val="0"/>
        <w:adjustRightInd w:val="0"/>
        <w:rPr>
          <w:sz w:val="26"/>
          <w:szCs w:val="26"/>
        </w:rPr>
      </w:pPr>
    </w:p>
    <w:p w:rsidR="00F441F1" w:rsidRPr="00001309" w:rsidRDefault="00C464F5" w:rsidP="00F441F1">
      <w:pPr>
        <w:autoSpaceDE w:val="0"/>
        <w:autoSpaceDN w:val="0"/>
        <w:adjustRightInd w:val="0"/>
        <w:rPr>
          <w:sz w:val="26"/>
          <w:szCs w:val="26"/>
        </w:rPr>
      </w:pPr>
      <w:r w:rsidRPr="00001309">
        <w:rPr>
          <w:sz w:val="26"/>
          <w:szCs w:val="26"/>
        </w:rPr>
        <w:t>In a Final O</w:t>
      </w:r>
      <w:r w:rsidR="00154DF7" w:rsidRPr="00001309">
        <w:rPr>
          <w:sz w:val="26"/>
          <w:szCs w:val="26"/>
        </w:rPr>
        <w:t>rder entered March 1</w:t>
      </w:r>
      <w:r w:rsidR="003F6FFC" w:rsidRPr="00001309">
        <w:rPr>
          <w:sz w:val="26"/>
          <w:szCs w:val="26"/>
        </w:rPr>
        <w:t>4</w:t>
      </w:r>
      <w:r w:rsidR="00154DF7" w:rsidRPr="00001309">
        <w:rPr>
          <w:sz w:val="26"/>
          <w:szCs w:val="26"/>
        </w:rPr>
        <w:t>, 2016</w:t>
      </w:r>
      <w:r w:rsidR="004D5F3E" w:rsidRPr="00001309">
        <w:rPr>
          <w:sz w:val="26"/>
          <w:szCs w:val="26"/>
        </w:rPr>
        <w:t>, at Docket No. M-2015-2490383</w:t>
      </w:r>
      <w:r w:rsidR="004D5F3E" w:rsidRPr="00001309">
        <w:rPr>
          <w:i/>
          <w:sz w:val="26"/>
          <w:szCs w:val="26"/>
        </w:rPr>
        <w:t xml:space="preserve"> </w:t>
      </w:r>
      <w:r w:rsidR="004D5F3E" w:rsidRPr="00001309">
        <w:rPr>
          <w:sz w:val="26"/>
          <w:szCs w:val="26"/>
        </w:rPr>
        <w:t>(</w:t>
      </w:r>
      <w:r w:rsidR="004D5F3E" w:rsidRPr="00001309">
        <w:rPr>
          <w:i/>
          <w:sz w:val="26"/>
          <w:szCs w:val="26"/>
        </w:rPr>
        <w:t>March 14, 2016 Final Order)</w:t>
      </w:r>
      <w:r w:rsidR="00154DF7" w:rsidRPr="00001309">
        <w:rPr>
          <w:sz w:val="26"/>
          <w:szCs w:val="26"/>
        </w:rPr>
        <w:t>,</w:t>
      </w:r>
      <w:r w:rsidR="005451A5" w:rsidRPr="00001309">
        <w:rPr>
          <w:rStyle w:val="FootnoteReference"/>
          <w:sz w:val="26"/>
          <w:szCs w:val="26"/>
        </w:rPr>
        <w:footnoteReference w:id="9"/>
      </w:r>
      <w:r w:rsidR="00154DF7" w:rsidRPr="00001309">
        <w:rPr>
          <w:sz w:val="26"/>
          <w:szCs w:val="26"/>
        </w:rPr>
        <w:t xml:space="preserve"> Blue Pilot’s license was </w:t>
      </w:r>
      <w:r w:rsidR="003F6FFC" w:rsidRPr="00001309">
        <w:rPr>
          <w:sz w:val="26"/>
          <w:szCs w:val="26"/>
        </w:rPr>
        <w:t>suspended</w:t>
      </w:r>
      <w:r w:rsidR="00154DF7" w:rsidRPr="00001309">
        <w:rPr>
          <w:sz w:val="26"/>
          <w:szCs w:val="26"/>
        </w:rPr>
        <w:t>.</w:t>
      </w:r>
      <w:r w:rsidR="003F6FFC" w:rsidRPr="00001309">
        <w:rPr>
          <w:sz w:val="26"/>
          <w:szCs w:val="26"/>
        </w:rPr>
        <w:t xml:space="preserve">  </w:t>
      </w:r>
      <w:r w:rsidR="00A70EC9" w:rsidRPr="00001309">
        <w:rPr>
          <w:sz w:val="26"/>
          <w:szCs w:val="26"/>
        </w:rPr>
        <w:t xml:space="preserve">The </w:t>
      </w:r>
      <w:r w:rsidR="00A70EC9" w:rsidRPr="00001309">
        <w:rPr>
          <w:i/>
          <w:sz w:val="26"/>
          <w:szCs w:val="26"/>
        </w:rPr>
        <w:t>March 14, 2016 Final Order</w:t>
      </w:r>
      <w:r w:rsidR="00A70EC9" w:rsidRPr="00001309" w:rsidDel="000460C1">
        <w:rPr>
          <w:sz w:val="26"/>
          <w:szCs w:val="26"/>
        </w:rPr>
        <w:t xml:space="preserve"> </w:t>
      </w:r>
      <w:r w:rsidR="005451A5" w:rsidRPr="00001309">
        <w:rPr>
          <w:sz w:val="26"/>
          <w:szCs w:val="26"/>
        </w:rPr>
        <w:t xml:space="preserve">specifically </w:t>
      </w:r>
      <w:r w:rsidR="00A70EC9" w:rsidRPr="00001309">
        <w:rPr>
          <w:sz w:val="26"/>
          <w:szCs w:val="26"/>
        </w:rPr>
        <w:t xml:space="preserve">directed that Blue Pilot’s EGS license be </w:t>
      </w:r>
      <w:r w:rsidR="003F6FFC" w:rsidRPr="00001309">
        <w:rPr>
          <w:sz w:val="26"/>
          <w:szCs w:val="26"/>
        </w:rPr>
        <w:t xml:space="preserve">suspended until the Commission is assured that </w:t>
      </w:r>
      <w:proofErr w:type="gramStart"/>
      <w:r w:rsidR="003F6FFC" w:rsidRPr="00001309">
        <w:rPr>
          <w:sz w:val="26"/>
          <w:szCs w:val="26"/>
        </w:rPr>
        <w:t xml:space="preserve">all </w:t>
      </w:r>
      <w:r w:rsidR="00992BB6" w:rsidRPr="00001309">
        <w:rPr>
          <w:sz w:val="26"/>
          <w:szCs w:val="26"/>
        </w:rPr>
        <w:t>of</w:t>
      </w:r>
      <w:proofErr w:type="gramEnd"/>
      <w:r w:rsidR="00992BB6" w:rsidRPr="00001309">
        <w:rPr>
          <w:sz w:val="26"/>
          <w:szCs w:val="26"/>
        </w:rPr>
        <w:t xml:space="preserve"> </w:t>
      </w:r>
      <w:r w:rsidR="003F6FFC" w:rsidRPr="00001309">
        <w:rPr>
          <w:sz w:val="26"/>
          <w:szCs w:val="26"/>
        </w:rPr>
        <w:t>Blue Pilot</w:t>
      </w:r>
      <w:r w:rsidR="00992BB6" w:rsidRPr="00001309">
        <w:rPr>
          <w:sz w:val="26"/>
          <w:szCs w:val="26"/>
        </w:rPr>
        <w:t>’s obligations</w:t>
      </w:r>
      <w:r w:rsidR="003F6FFC" w:rsidRPr="00001309">
        <w:rPr>
          <w:sz w:val="26"/>
          <w:szCs w:val="26"/>
        </w:rPr>
        <w:t xml:space="preserve"> to Pennsylvania consumers and the Commonwealth have been properly met.</w:t>
      </w:r>
      <w:r w:rsidR="00992BB6" w:rsidRPr="00001309">
        <w:rPr>
          <w:sz w:val="26"/>
          <w:szCs w:val="26"/>
        </w:rPr>
        <w:t xml:space="preserve">  </w:t>
      </w:r>
      <w:r w:rsidR="00F441F1" w:rsidRPr="00001309">
        <w:rPr>
          <w:sz w:val="26"/>
          <w:szCs w:val="26"/>
        </w:rPr>
        <w:t xml:space="preserve">Blue Pilot does not currently have a bond or other approved security </w:t>
      </w:r>
      <w:r w:rsidR="00D12DB9" w:rsidRPr="00001309">
        <w:rPr>
          <w:sz w:val="26"/>
          <w:szCs w:val="26"/>
        </w:rPr>
        <w:t xml:space="preserve">on file </w:t>
      </w:r>
      <w:r w:rsidR="00F441F1" w:rsidRPr="00001309">
        <w:rPr>
          <w:sz w:val="26"/>
          <w:szCs w:val="26"/>
        </w:rPr>
        <w:t>at the Commission.  I.D. Fact #16</w:t>
      </w:r>
      <w:r w:rsidR="00113326" w:rsidRPr="00001309">
        <w:rPr>
          <w:sz w:val="26"/>
          <w:szCs w:val="26"/>
        </w:rPr>
        <w:t xml:space="preserve">, </w:t>
      </w:r>
      <w:r w:rsidR="00113326" w:rsidRPr="00001309">
        <w:rPr>
          <w:i/>
          <w:sz w:val="26"/>
          <w:szCs w:val="26"/>
        </w:rPr>
        <w:t>infra</w:t>
      </w:r>
      <w:r w:rsidR="00F441F1" w:rsidRPr="00001309">
        <w:rPr>
          <w:sz w:val="26"/>
          <w:szCs w:val="26"/>
        </w:rPr>
        <w:t>.</w:t>
      </w:r>
    </w:p>
    <w:p w:rsidR="007940CE" w:rsidRPr="00001309" w:rsidRDefault="007940CE" w:rsidP="001E5B15">
      <w:pPr>
        <w:autoSpaceDE w:val="0"/>
        <w:autoSpaceDN w:val="0"/>
        <w:rPr>
          <w:rFonts w:eastAsia="Times New Roman"/>
          <w:sz w:val="26"/>
          <w:szCs w:val="26"/>
        </w:rPr>
      </w:pPr>
    </w:p>
    <w:p w:rsidR="009010B7" w:rsidRPr="004B3722" w:rsidRDefault="009D21F6" w:rsidP="00527405">
      <w:pPr>
        <w:pStyle w:val="ListParagraph"/>
        <w:keepNext/>
        <w:keepLines/>
        <w:autoSpaceDE w:val="0"/>
        <w:autoSpaceDN w:val="0"/>
        <w:spacing w:line="240" w:lineRule="auto"/>
        <w:ind w:left="0" w:firstLine="0"/>
        <w:jc w:val="center"/>
        <w:outlineLvl w:val="0"/>
        <w:rPr>
          <w:rFonts w:eastAsia="Times New Roman"/>
          <w:sz w:val="26"/>
          <w:szCs w:val="26"/>
        </w:rPr>
      </w:pPr>
      <w:bookmarkStart w:id="13" w:name="_Toc517831028"/>
      <w:r w:rsidRPr="004B3722">
        <w:rPr>
          <w:rFonts w:eastAsia="Times New Roman"/>
          <w:b/>
          <w:sz w:val="26"/>
          <w:szCs w:val="26"/>
        </w:rPr>
        <w:lastRenderedPageBreak/>
        <w:t>I</w:t>
      </w:r>
      <w:r w:rsidR="004A0831" w:rsidRPr="004B3722">
        <w:rPr>
          <w:rFonts w:eastAsia="Times New Roman"/>
          <w:b/>
          <w:sz w:val="26"/>
          <w:szCs w:val="26"/>
        </w:rPr>
        <w:t>I</w:t>
      </w:r>
      <w:r w:rsidR="00992AA2" w:rsidRPr="004B3722">
        <w:rPr>
          <w:rFonts w:eastAsia="Times New Roman"/>
          <w:b/>
          <w:sz w:val="26"/>
          <w:szCs w:val="26"/>
        </w:rPr>
        <w:t>I</w:t>
      </w:r>
      <w:r w:rsidR="00ED5966" w:rsidRPr="004B3722">
        <w:rPr>
          <w:rFonts w:eastAsia="Times New Roman"/>
          <w:b/>
          <w:sz w:val="26"/>
          <w:szCs w:val="26"/>
        </w:rPr>
        <w:t>.</w:t>
      </w:r>
      <w:r w:rsidRPr="004B3722">
        <w:rPr>
          <w:rFonts w:eastAsia="Times New Roman"/>
          <w:b/>
          <w:sz w:val="26"/>
          <w:szCs w:val="26"/>
        </w:rPr>
        <w:tab/>
        <w:t>History of the Proceeding</w:t>
      </w:r>
      <w:r w:rsidR="00B92127" w:rsidRPr="004B3722">
        <w:rPr>
          <w:rFonts w:eastAsia="Times New Roman"/>
          <w:b/>
          <w:sz w:val="26"/>
          <w:szCs w:val="26"/>
        </w:rPr>
        <w:t>s</w:t>
      </w:r>
      <w:r w:rsidR="00ED5966" w:rsidRPr="004B3722">
        <w:rPr>
          <w:rStyle w:val="FootnoteReference"/>
          <w:rFonts w:eastAsia="Times New Roman"/>
          <w:sz w:val="26"/>
          <w:szCs w:val="26"/>
        </w:rPr>
        <w:footnoteReference w:id="10"/>
      </w:r>
      <w:bookmarkEnd w:id="13"/>
    </w:p>
    <w:p w:rsidR="00065425" w:rsidRPr="004B3722" w:rsidRDefault="00065425" w:rsidP="001E5B15">
      <w:pPr>
        <w:keepNext/>
        <w:keepLines/>
        <w:ind w:firstLine="0"/>
        <w:rPr>
          <w:sz w:val="26"/>
          <w:szCs w:val="26"/>
        </w:rPr>
      </w:pPr>
    </w:p>
    <w:p w:rsidR="00AA4307" w:rsidRPr="004B3722" w:rsidRDefault="002328C6" w:rsidP="001812E2">
      <w:pPr>
        <w:pStyle w:val="Heading2"/>
        <w:spacing w:before="0"/>
        <w:ind w:firstLine="0"/>
        <w:rPr>
          <w:rFonts w:ascii="Times New Roman" w:hAnsi="Times New Roman" w:cs="Times New Roman"/>
          <w:b/>
          <w:color w:val="auto"/>
        </w:rPr>
      </w:pPr>
      <w:bookmarkStart w:id="14" w:name="_Toc517831029"/>
      <w:r w:rsidRPr="004B3722">
        <w:rPr>
          <w:rFonts w:ascii="Times New Roman" w:hAnsi="Times New Roman" w:cs="Times New Roman"/>
          <w:b/>
          <w:color w:val="auto"/>
        </w:rPr>
        <w:t>A</w:t>
      </w:r>
      <w:r w:rsidR="00A91E9C" w:rsidRPr="004B3722">
        <w:rPr>
          <w:rFonts w:ascii="Times New Roman" w:hAnsi="Times New Roman" w:cs="Times New Roman"/>
          <w:color w:val="auto"/>
        </w:rPr>
        <w:t>.</w:t>
      </w:r>
      <w:r w:rsidRPr="004B3722">
        <w:rPr>
          <w:rFonts w:ascii="Times New Roman" w:hAnsi="Times New Roman" w:cs="Times New Roman"/>
          <w:color w:val="auto"/>
        </w:rPr>
        <w:tab/>
      </w:r>
      <w:r w:rsidR="00AA4307" w:rsidRPr="004B3722">
        <w:rPr>
          <w:rFonts w:ascii="Times New Roman" w:hAnsi="Times New Roman" w:cs="Times New Roman"/>
          <w:b/>
          <w:color w:val="auto"/>
        </w:rPr>
        <w:t>Background</w:t>
      </w:r>
      <w:bookmarkEnd w:id="14"/>
    </w:p>
    <w:p w:rsidR="00E9657B" w:rsidRPr="00001309" w:rsidRDefault="00E9657B" w:rsidP="001E5B15">
      <w:pPr>
        <w:keepNext/>
        <w:keepLines/>
        <w:rPr>
          <w:sz w:val="26"/>
          <w:szCs w:val="26"/>
        </w:rPr>
      </w:pPr>
    </w:p>
    <w:p w:rsidR="00AA4307" w:rsidRPr="00001309" w:rsidRDefault="00065425" w:rsidP="00F863C9">
      <w:pPr>
        <w:rPr>
          <w:sz w:val="26"/>
          <w:szCs w:val="26"/>
        </w:rPr>
      </w:pPr>
      <w:r w:rsidRPr="00001309">
        <w:rPr>
          <w:sz w:val="26"/>
          <w:szCs w:val="26"/>
        </w:rPr>
        <w:t>Blue Pilot is an</w:t>
      </w:r>
      <w:r w:rsidR="004872A2" w:rsidRPr="00001309">
        <w:rPr>
          <w:sz w:val="26"/>
          <w:szCs w:val="26"/>
        </w:rPr>
        <w:t xml:space="preserve"> </w:t>
      </w:r>
      <w:r w:rsidRPr="00001309">
        <w:rPr>
          <w:sz w:val="26"/>
          <w:szCs w:val="26"/>
        </w:rPr>
        <w:t xml:space="preserve">EGS </w:t>
      </w:r>
      <w:r w:rsidR="00E9657B" w:rsidRPr="00001309">
        <w:rPr>
          <w:sz w:val="26"/>
          <w:szCs w:val="26"/>
        </w:rPr>
        <w:t>company</w:t>
      </w:r>
      <w:r w:rsidR="0078586F" w:rsidRPr="00001309">
        <w:rPr>
          <w:sz w:val="26"/>
          <w:szCs w:val="26"/>
        </w:rPr>
        <w:t xml:space="preserve"> that has been licensed</w:t>
      </w:r>
      <w:r w:rsidRPr="00001309">
        <w:rPr>
          <w:sz w:val="26"/>
          <w:szCs w:val="26"/>
        </w:rPr>
        <w:t xml:space="preserve"> </w:t>
      </w:r>
      <w:r w:rsidR="0078586F" w:rsidRPr="00001309">
        <w:rPr>
          <w:sz w:val="26"/>
          <w:szCs w:val="26"/>
        </w:rPr>
        <w:t xml:space="preserve">by </w:t>
      </w:r>
      <w:r w:rsidRPr="00001309">
        <w:rPr>
          <w:sz w:val="26"/>
          <w:szCs w:val="26"/>
        </w:rPr>
        <w:t xml:space="preserve">the </w:t>
      </w:r>
      <w:r w:rsidR="0078586F" w:rsidRPr="00001309">
        <w:rPr>
          <w:sz w:val="26"/>
          <w:szCs w:val="26"/>
        </w:rPr>
        <w:t xml:space="preserve">Commission according to </w:t>
      </w:r>
      <w:r w:rsidR="00F863C9" w:rsidRPr="00001309">
        <w:rPr>
          <w:sz w:val="26"/>
          <w:szCs w:val="26"/>
        </w:rPr>
        <w:t xml:space="preserve">the </w:t>
      </w:r>
      <w:r w:rsidR="0078586F" w:rsidRPr="00001309">
        <w:rPr>
          <w:sz w:val="26"/>
          <w:szCs w:val="26"/>
        </w:rPr>
        <w:t xml:space="preserve">provisions of the </w:t>
      </w:r>
      <w:r w:rsidR="00F863C9" w:rsidRPr="00001309">
        <w:rPr>
          <w:sz w:val="26"/>
          <w:szCs w:val="26"/>
        </w:rPr>
        <w:t>Electricity Generation Customer Choice and Competition Act (Act), 66 Pa.C.S. §§ 2801-2812, effective January 1, 1997</w:t>
      </w:r>
      <w:r w:rsidRPr="00001309">
        <w:rPr>
          <w:sz w:val="26"/>
          <w:szCs w:val="26"/>
        </w:rPr>
        <w:t>.</w:t>
      </w:r>
      <w:r w:rsidR="00AA4307" w:rsidRPr="00001309">
        <w:rPr>
          <w:sz w:val="26"/>
          <w:szCs w:val="26"/>
        </w:rPr>
        <w:t xml:space="preserve">  </w:t>
      </w:r>
      <w:r w:rsidR="00AA4307" w:rsidRPr="00001309">
        <w:rPr>
          <w:i/>
          <w:sz w:val="26"/>
          <w:szCs w:val="26"/>
        </w:rPr>
        <w:t xml:space="preserve">See </w:t>
      </w:r>
      <w:r w:rsidR="00AA4307" w:rsidRPr="00001309">
        <w:rPr>
          <w:sz w:val="26"/>
          <w:szCs w:val="26"/>
        </w:rPr>
        <w:t>I.D. at 2.</w:t>
      </w:r>
    </w:p>
    <w:p w:rsidR="004872A2" w:rsidRPr="00001309" w:rsidRDefault="004872A2" w:rsidP="00F863C9">
      <w:pPr>
        <w:rPr>
          <w:sz w:val="26"/>
          <w:szCs w:val="26"/>
        </w:rPr>
      </w:pPr>
    </w:p>
    <w:p w:rsidR="009D0976" w:rsidRPr="00001309" w:rsidRDefault="00065425" w:rsidP="00F863C9">
      <w:pPr>
        <w:rPr>
          <w:sz w:val="26"/>
          <w:szCs w:val="26"/>
        </w:rPr>
      </w:pPr>
      <w:r w:rsidRPr="00001309">
        <w:rPr>
          <w:sz w:val="26"/>
          <w:szCs w:val="26"/>
        </w:rPr>
        <w:t>An EGS is define</w:t>
      </w:r>
      <w:r w:rsidR="000351EF">
        <w:rPr>
          <w:sz w:val="26"/>
          <w:szCs w:val="26"/>
        </w:rPr>
        <w:t>d as, “A person or corporation,</w:t>
      </w:r>
      <w:r w:rsidRPr="00001309">
        <w:rPr>
          <w:sz w:val="26"/>
          <w:szCs w:val="26"/>
        </w:rPr>
        <w:t xml:space="preserve"> . . . brokers and marketers, aggregators or any other entities, that sells to end-use customers electricity or related services utilizing the jurisdictional transmission or distribution facilities of an electric distribution company or that purchases, brokers, arranges or markets electricity or related services for sale to end-use customers utilizing the jurisdictional transmission and distribution facilities of an </w:t>
      </w:r>
      <w:r w:rsidR="000351EF">
        <w:rPr>
          <w:sz w:val="26"/>
          <w:szCs w:val="26"/>
        </w:rPr>
        <w:t xml:space="preserve">electric distribution company. . . </w:t>
      </w:r>
      <w:r w:rsidRPr="00001309">
        <w:rPr>
          <w:sz w:val="26"/>
          <w:szCs w:val="26"/>
        </w:rPr>
        <w:t>.”  66 Pa.C.S. § 2803.</w:t>
      </w:r>
    </w:p>
    <w:p w:rsidR="00AA4307" w:rsidRPr="00001309" w:rsidRDefault="00AA4307" w:rsidP="008A5D2C">
      <w:pPr>
        <w:ind w:firstLine="0"/>
        <w:rPr>
          <w:sz w:val="26"/>
          <w:szCs w:val="26"/>
        </w:rPr>
      </w:pPr>
    </w:p>
    <w:p w:rsidR="009D0976" w:rsidRPr="00001309" w:rsidRDefault="009D0976" w:rsidP="009D0976">
      <w:pPr>
        <w:autoSpaceDE w:val="0"/>
        <w:autoSpaceDN w:val="0"/>
        <w:rPr>
          <w:sz w:val="26"/>
          <w:szCs w:val="26"/>
        </w:rPr>
      </w:pPr>
      <w:r w:rsidRPr="00001309">
        <w:rPr>
          <w:sz w:val="26"/>
          <w:szCs w:val="26"/>
        </w:rPr>
        <w:t xml:space="preserve">On June 10, 2011, pursuant to the Act, the Commission entered </w:t>
      </w:r>
      <w:r w:rsidR="00207303" w:rsidRPr="00001309">
        <w:rPr>
          <w:sz w:val="26"/>
          <w:szCs w:val="26"/>
        </w:rPr>
        <w:t>an</w:t>
      </w:r>
      <w:r w:rsidRPr="00001309">
        <w:rPr>
          <w:sz w:val="26"/>
          <w:szCs w:val="26"/>
        </w:rPr>
        <w:t xml:space="preserve"> Order which granted Blue Pilot </w:t>
      </w:r>
      <w:r w:rsidR="00646E3E" w:rsidRPr="00001309">
        <w:rPr>
          <w:sz w:val="26"/>
          <w:szCs w:val="26"/>
        </w:rPr>
        <w:t>a</w:t>
      </w:r>
      <w:r w:rsidRPr="00001309">
        <w:rPr>
          <w:sz w:val="26"/>
          <w:szCs w:val="26"/>
        </w:rPr>
        <w:t xml:space="preserve"> license to operate as a Retail Electric Aggregator and Broker/Marketer engaged in the business of supplying electricity in all territories within Pennsylvania serving residential, small commercial (25 kw and under demand), large commercial (over 25 kw demand) and industrial customers on February 11, 2011.  </w:t>
      </w:r>
      <w:r w:rsidRPr="00001309">
        <w:rPr>
          <w:i/>
          <w:sz w:val="26"/>
          <w:szCs w:val="26"/>
        </w:rPr>
        <w:t>See</w:t>
      </w:r>
      <w:r w:rsidRPr="00001309">
        <w:rPr>
          <w:sz w:val="26"/>
          <w:szCs w:val="26"/>
        </w:rPr>
        <w:t xml:space="preserve"> I.D. at 2, citing </w:t>
      </w:r>
      <w:proofErr w:type="gramStart"/>
      <w:r w:rsidRPr="00001309">
        <w:rPr>
          <w:i/>
          <w:sz w:val="26"/>
          <w:szCs w:val="26"/>
        </w:rPr>
        <w:t>In</w:t>
      </w:r>
      <w:proofErr w:type="gramEnd"/>
      <w:r w:rsidRPr="00001309">
        <w:rPr>
          <w:i/>
          <w:sz w:val="26"/>
          <w:szCs w:val="26"/>
        </w:rPr>
        <w:t xml:space="preserve"> re: License Application of Blue Pilot, LLC for Approval to Offer, Render, Furnish or Supply Electricity or Electric Generation Services as an Aggregator and Broker/Marketer of Retail Electric Power</w:t>
      </w:r>
      <w:r w:rsidRPr="00001309">
        <w:rPr>
          <w:sz w:val="26"/>
          <w:szCs w:val="26"/>
        </w:rPr>
        <w:t>, Docket No. A-2011-2223888, (Order entered June 10, 2011) (</w:t>
      </w:r>
      <w:r w:rsidRPr="00001309">
        <w:rPr>
          <w:i/>
          <w:sz w:val="26"/>
          <w:szCs w:val="26"/>
        </w:rPr>
        <w:t>Licensing Order</w:t>
      </w:r>
      <w:r w:rsidRPr="00001309">
        <w:rPr>
          <w:sz w:val="26"/>
          <w:szCs w:val="26"/>
        </w:rPr>
        <w:t xml:space="preserve">).  The license was granted expressly subject to the various conditions for the protection of the public interest set forth therein.  </w:t>
      </w:r>
      <w:r w:rsidR="00AA4307" w:rsidRPr="00001309">
        <w:rPr>
          <w:sz w:val="26"/>
          <w:szCs w:val="26"/>
        </w:rPr>
        <w:t>I.D. at 2.</w:t>
      </w:r>
    </w:p>
    <w:p w:rsidR="00207303" w:rsidRPr="00001309" w:rsidRDefault="00207303" w:rsidP="009D0976">
      <w:pPr>
        <w:autoSpaceDE w:val="0"/>
        <w:autoSpaceDN w:val="0"/>
        <w:rPr>
          <w:sz w:val="26"/>
          <w:szCs w:val="26"/>
        </w:rPr>
      </w:pPr>
    </w:p>
    <w:p w:rsidR="00207303" w:rsidRPr="00001309" w:rsidRDefault="00207303" w:rsidP="009D0976">
      <w:pPr>
        <w:autoSpaceDE w:val="0"/>
        <w:autoSpaceDN w:val="0"/>
        <w:rPr>
          <w:sz w:val="26"/>
          <w:szCs w:val="26"/>
        </w:rPr>
      </w:pPr>
      <w:r w:rsidRPr="00001309">
        <w:rPr>
          <w:sz w:val="26"/>
          <w:szCs w:val="26"/>
        </w:rPr>
        <w:lastRenderedPageBreak/>
        <w:t>As noted by the presiding ALJs, the license granted to Blue Pilot was conditioned upon the Company’s compliance with all applicable federal, state laws, regulations, procedures and orders</w:t>
      </w:r>
      <w:r w:rsidR="00646E3E" w:rsidRPr="00001309">
        <w:rPr>
          <w:sz w:val="26"/>
          <w:szCs w:val="26"/>
        </w:rPr>
        <w:t>,</w:t>
      </w:r>
      <w:r w:rsidRPr="00001309">
        <w:rPr>
          <w:sz w:val="26"/>
          <w:szCs w:val="26"/>
        </w:rPr>
        <w:t xml:space="preserve"> including emergency orders, which may be issued verbally or in writing during any emergency situations that may unexpectedly develop from time to time </w:t>
      </w:r>
      <w:proofErr w:type="gramStart"/>
      <w:r w:rsidRPr="00001309">
        <w:rPr>
          <w:sz w:val="26"/>
          <w:szCs w:val="26"/>
        </w:rPr>
        <w:t>in the course of</w:t>
      </w:r>
      <w:proofErr w:type="gramEnd"/>
      <w:r w:rsidRPr="00001309">
        <w:rPr>
          <w:sz w:val="26"/>
          <w:szCs w:val="26"/>
        </w:rPr>
        <w:t xml:space="preserve"> doing business in Pennsylvania.  </w:t>
      </w:r>
      <w:r w:rsidRPr="00001309">
        <w:rPr>
          <w:i/>
          <w:sz w:val="26"/>
          <w:szCs w:val="26"/>
        </w:rPr>
        <w:t xml:space="preserve">See </w:t>
      </w:r>
      <w:r w:rsidRPr="00001309">
        <w:rPr>
          <w:sz w:val="26"/>
          <w:szCs w:val="26"/>
        </w:rPr>
        <w:t>I.D. at 2.</w:t>
      </w:r>
    </w:p>
    <w:p w:rsidR="00B44826" w:rsidRPr="00001309" w:rsidRDefault="00B44826" w:rsidP="009D0976">
      <w:pPr>
        <w:autoSpaceDE w:val="0"/>
        <w:autoSpaceDN w:val="0"/>
        <w:rPr>
          <w:sz w:val="26"/>
          <w:szCs w:val="26"/>
        </w:rPr>
      </w:pPr>
    </w:p>
    <w:p w:rsidR="00C56F1B" w:rsidRPr="00001309" w:rsidRDefault="004D1DF5" w:rsidP="00C56F1B">
      <w:pPr>
        <w:pStyle w:val="NormalWeb"/>
        <w:spacing w:line="360" w:lineRule="auto"/>
        <w:rPr>
          <w:sz w:val="26"/>
          <w:szCs w:val="26"/>
        </w:rPr>
      </w:pPr>
      <w:r w:rsidRPr="00001309">
        <w:rPr>
          <w:sz w:val="26"/>
          <w:szCs w:val="26"/>
        </w:rPr>
        <w:t>Also, t</w:t>
      </w:r>
      <w:r w:rsidR="0078586F" w:rsidRPr="00001309">
        <w:rPr>
          <w:sz w:val="26"/>
          <w:szCs w:val="26"/>
        </w:rPr>
        <w:t xml:space="preserve">he Act has, as one of its declared goals, </w:t>
      </w:r>
      <w:r w:rsidR="00C56F1B" w:rsidRPr="00001309">
        <w:rPr>
          <w:sz w:val="26"/>
          <w:szCs w:val="26"/>
        </w:rPr>
        <w:t xml:space="preserve">“ . . . to establish standards and procedures in order to create direct access by retail customers to the competitive market for the generation of electricity while maintaining the safety and reliability of the electric system for all parties.” </w:t>
      </w:r>
      <w:r w:rsidR="009D0976" w:rsidRPr="00001309">
        <w:rPr>
          <w:sz w:val="26"/>
          <w:szCs w:val="26"/>
        </w:rPr>
        <w:t xml:space="preserve">  </w:t>
      </w:r>
      <w:r w:rsidR="009D0976" w:rsidRPr="00001309">
        <w:rPr>
          <w:i/>
          <w:sz w:val="26"/>
          <w:szCs w:val="26"/>
        </w:rPr>
        <w:t xml:space="preserve">See </w:t>
      </w:r>
      <w:r w:rsidR="009D0976" w:rsidRPr="00001309">
        <w:rPr>
          <w:sz w:val="26"/>
          <w:szCs w:val="26"/>
        </w:rPr>
        <w:t>66 Pa.C.S. § 2802(12)</w:t>
      </w:r>
      <w:r w:rsidR="00C56F1B" w:rsidRPr="00001309">
        <w:rPr>
          <w:sz w:val="26"/>
          <w:szCs w:val="26"/>
        </w:rPr>
        <w:t>.   Additional</w:t>
      </w:r>
      <w:r w:rsidR="00E34975" w:rsidRPr="00001309">
        <w:rPr>
          <w:sz w:val="26"/>
          <w:szCs w:val="26"/>
        </w:rPr>
        <w:t>l</w:t>
      </w:r>
      <w:r w:rsidR="00C56F1B" w:rsidRPr="00001309">
        <w:rPr>
          <w:sz w:val="26"/>
          <w:szCs w:val="26"/>
        </w:rPr>
        <w:t>y</w:t>
      </w:r>
      <w:r w:rsidR="00E34975" w:rsidRPr="00001309">
        <w:rPr>
          <w:sz w:val="26"/>
          <w:szCs w:val="26"/>
        </w:rPr>
        <w:t>,</w:t>
      </w:r>
      <w:r w:rsidR="00C56F1B" w:rsidRPr="00001309">
        <w:rPr>
          <w:sz w:val="26"/>
          <w:szCs w:val="26"/>
        </w:rPr>
        <w:t xml:space="preserve"> the Act </w:t>
      </w:r>
      <w:r w:rsidR="00E13F47" w:rsidRPr="00001309">
        <w:rPr>
          <w:sz w:val="26"/>
          <w:szCs w:val="26"/>
        </w:rPr>
        <w:t>states</w:t>
      </w:r>
      <w:r w:rsidR="00AB78C9">
        <w:rPr>
          <w:sz w:val="26"/>
          <w:szCs w:val="26"/>
        </w:rPr>
        <w:t xml:space="preserve"> “. . . </w:t>
      </w:r>
      <w:r w:rsidR="00C56F1B" w:rsidRPr="00001309">
        <w:rPr>
          <w:sz w:val="26"/>
          <w:szCs w:val="26"/>
        </w:rPr>
        <w:t xml:space="preserve">procedures . . . under this chapter provide for a fair and orderly transition from the current regulated structure to a structure under which retail customers will have direct access to a competitive market for the generation and sale or purchase of electricity.”  </w:t>
      </w:r>
      <w:r w:rsidR="009D0976" w:rsidRPr="00001309">
        <w:rPr>
          <w:i/>
          <w:sz w:val="26"/>
          <w:szCs w:val="26"/>
        </w:rPr>
        <w:t xml:space="preserve">See </w:t>
      </w:r>
      <w:r w:rsidR="009D0976" w:rsidRPr="00001309">
        <w:rPr>
          <w:sz w:val="26"/>
          <w:szCs w:val="26"/>
        </w:rPr>
        <w:t>66 Pa.C.S. §</w:t>
      </w:r>
      <w:r w:rsidR="00986D4F" w:rsidRPr="00001309">
        <w:rPr>
          <w:sz w:val="26"/>
          <w:szCs w:val="26"/>
        </w:rPr>
        <w:t> </w:t>
      </w:r>
      <w:r w:rsidR="009D0976" w:rsidRPr="00001309">
        <w:rPr>
          <w:sz w:val="26"/>
          <w:szCs w:val="26"/>
        </w:rPr>
        <w:t>2802</w:t>
      </w:r>
      <w:r w:rsidR="00C56F1B" w:rsidRPr="00001309">
        <w:rPr>
          <w:sz w:val="26"/>
          <w:szCs w:val="26"/>
        </w:rPr>
        <w:t>(13)</w:t>
      </w:r>
      <w:r w:rsidR="009D0976" w:rsidRPr="00001309">
        <w:rPr>
          <w:sz w:val="26"/>
          <w:szCs w:val="26"/>
        </w:rPr>
        <w:t>.</w:t>
      </w:r>
    </w:p>
    <w:p w:rsidR="008F002A" w:rsidRPr="00001309" w:rsidRDefault="00C56F1B" w:rsidP="009D0976">
      <w:pPr>
        <w:pStyle w:val="NormalWeb"/>
        <w:spacing w:line="360" w:lineRule="auto"/>
        <w:rPr>
          <w:sz w:val="26"/>
          <w:szCs w:val="26"/>
        </w:rPr>
      </w:pPr>
      <w:r w:rsidRPr="00001309">
        <w:rPr>
          <w:sz w:val="26"/>
          <w:szCs w:val="26"/>
        </w:rPr>
        <w:t xml:space="preserve">To </w:t>
      </w:r>
      <w:r w:rsidR="009D0976" w:rsidRPr="00001309">
        <w:rPr>
          <w:sz w:val="26"/>
          <w:szCs w:val="26"/>
        </w:rPr>
        <w:t>facilitate e</w:t>
      </w:r>
      <w:r w:rsidR="009E247F" w:rsidRPr="00001309">
        <w:rPr>
          <w:sz w:val="26"/>
          <w:szCs w:val="26"/>
        </w:rPr>
        <w:t xml:space="preserve">nd-user </w:t>
      </w:r>
      <w:r w:rsidRPr="00001309">
        <w:rPr>
          <w:sz w:val="26"/>
          <w:szCs w:val="26"/>
        </w:rPr>
        <w:t xml:space="preserve">access to the competitive market for the generation and sale or purchase of electricity, competitive suppliers, such as EGS </w:t>
      </w:r>
      <w:r w:rsidR="009D0976" w:rsidRPr="00001309">
        <w:rPr>
          <w:sz w:val="26"/>
          <w:szCs w:val="26"/>
        </w:rPr>
        <w:t xml:space="preserve">entities, </w:t>
      </w:r>
      <w:r w:rsidRPr="00001309">
        <w:rPr>
          <w:sz w:val="26"/>
          <w:szCs w:val="26"/>
        </w:rPr>
        <w:t>were authorized</w:t>
      </w:r>
      <w:r w:rsidR="00C3628F" w:rsidRPr="00001309">
        <w:rPr>
          <w:sz w:val="26"/>
          <w:szCs w:val="26"/>
        </w:rPr>
        <w:t xml:space="preserve"> by the Act</w:t>
      </w:r>
      <w:r w:rsidRPr="00001309">
        <w:rPr>
          <w:sz w:val="26"/>
          <w:szCs w:val="26"/>
        </w:rPr>
        <w:t xml:space="preserve">.  </w:t>
      </w:r>
      <w:r w:rsidR="009D0976" w:rsidRPr="00001309">
        <w:rPr>
          <w:i/>
          <w:sz w:val="26"/>
          <w:szCs w:val="26"/>
        </w:rPr>
        <w:t xml:space="preserve">See </w:t>
      </w:r>
      <w:r w:rsidR="009D0976" w:rsidRPr="00001309">
        <w:rPr>
          <w:sz w:val="26"/>
          <w:szCs w:val="26"/>
        </w:rPr>
        <w:t xml:space="preserve">66 Pa.C.S. § 2802(14) </w:t>
      </w:r>
      <w:r w:rsidR="008D560A" w:rsidRPr="00001309">
        <w:rPr>
          <w:sz w:val="26"/>
          <w:szCs w:val="26"/>
        </w:rPr>
        <w:t>–</w:t>
      </w:r>
      <w:r w:rsidRPr="00001309">
        <w:rPr>
          <w:sz w:val="26"/>
          <w:szCs w:val="26"/>
        </w:rPr>
        <w:t xml:space="preserve"> </w:t>
      </w:r>
      <w:r w:rsidR="009E247F" w:rsidRPr="00001309">
        <w:rPr>
          <w:sz w:val="26"/>
          <w:szCs w:val="26"/>
        </w:rPr>
        <w:t>“</w:t>
      </w:r>
      <w:r w:rsidRPr="00001309">
        <w:rPr>
          <w:sz w:val="26"/>
          <w:szCs w:val="26"/>
        </w:rPr>
        <w:t>This chapter requires electric utilities to unbundle their rates and services and to provide open access over their transmission and distribution systems to allow competitive suppliers to generate and sell electricity directly to consumers in this Commonwealth.</w:t>
      </w:r>
      <w:r w:rsidR="009E247F" w:rsidRPr="00001309">
        <w:rPr>
          <w:sz w:val="26"/>
          <w:szCs w:val="26"/>
        </w:rPr>
        <w:t xml:space="preserve"> . . .</w:t>
      </w:r>
      <w:r w:rsidRPr="00001309">
        <w:rPr>
          <w:sz w:val="26"/>
          <w:szCs w:val="26"/>
        </w:rPr>
        <w:t xml:space="preserve"> Electric generation suppliers will be required to obtain licenses, demonstrate financial responsibility and comply with such other requirements concerning service as the commission deems necessary for the protection of the public.”</w:t>
      </w:r>
    </w:p>
    <w:p w:rsidR="00AA1F80" w:rsidRPr="00001309" w:rsidRDefault="009D0976" w:rsidP="00732873">
      <w:pPr>
        <w:autoSpaceDE w:val="0"/>
        <w:autoSpaceDN w:val="0"/>
        <w:rPr>
          <w:sz w:val="26"/>
          <w:szCs w:val="26"/>
        </w:rPr>
      </w:pPr>
      <w:r w:rsidRPr="00001309">
        <w:rPr>
          <w:sz w:val="26"/>
          <w:szCs w:val="26"/>
        </w:rPr>
        <w:t>Th</w:t>
      </w:r>
      <w:r w:rsidR="00E13F47" w:rsidRPr="00001309">
        <w:rPr>
          <w:sz w:val="26"/>
          <w:szCs w:val="26"/>
        </w:rPr>
        <w:t>is</w:t>
      </w:r>
      <w:r w:rsidR="00C3628F" w:rsidRPr="00001309">
        <w:rPr>
          <w:sz w:val="26"/>
          <w:szCs w:val="26"/>
        </w:rPr>
        <w:t xml:space="preserve"> </w:t>
      </w:r>
      <w:r w:rsidRPr="00001309">
        <w:rPr>
          <w:sz w:val="26"/>
          <w:szCs w:val="26"/>
        </w:rPr>
        <w:t xml:space="preserve">proceeding </w:t>
      </w:r>
      <w:r w:rsidR="00C3628F" w:rsidRPr="00001309">
        <w:rPr>
          <w:sz w:val="26"/>
          <w:szCs w:val="26"/>
        </w:rPr>
        <w:t>is</w:t>
      </w:r>
      <w:r w:rsidRPr="00001309">
        <w:rPr>
          <w:sz w:val="26"/>
          <w:szCs w:val="26"/>
        </w:rPr>
        <w:t xml:space="preserve"> </w:t>
      </w:r>
      <w:r w:rsidR="00C3628F" w:rsidRPr="00001309">
        <w:rPr>
          <w:sz w:val="26"/>
          <w:szCs w:val="26"/>
        </w:rPr>
        <w:t xml:space="preserve">a </w:t>
      </w:r>
      <w:r w:rsidRPr="00001309">
        <w:rPr>
          <w:sz w:val="26"/>
          <w:szCs w:val="26"/>
        </w:rPr>
        <w:t>joint</w:t>
      </w:r>
      <w:r w:rsidR="00643D89" w:rsidRPr="00001309">
        <w:rPr>
          <w:sz w:val="26"/>
          <w:szCs w:val="26"/>
        </w:rPr>
        <w:t>ly</w:t>
      </w:r>
      <w:r w:rsidR="00E13F47" w:rsidRPr="00001309">
        <w:rPr>
          <w:sz w:val="26"/>
          <w:szCs w:val="26"/>
        </w:rPr>
        <w:t>-</w:t>
      </w:r>
      <w:r w:rsidRPr="00001309">
        <w:rPr>
          <w:sz w:val="26"/>
          <w:szCs w:val="26"/>
        </w:rPr>
        <w:t xml:space="preserve">filed </w:t>
      </w:r>
      <w:r w:rsidR="00F0082D" w:rsidRPr="00001309">
        <w:rPr>
          <w:sz w:val="26"/>
          <w:szCs w:val="26"/>
        </w:rPr>
        <w:t>F</w:t>
      </w:r>
      <w:r w:rsidR="00C3628F" w:rsidRPr="00001309">
        <w:rPr>
          <w:sz w:val="26"/>
          <w:szCs w:val="26"/>
        </w:rPr>
        <w:t xml:space="preserve">ormal </w:t>
      </w:r>
      <w:r w:rsidR="00F0082D" w:rsidRPr="00001309">
        <w:rPr>
          <w:sz w:val="26"/>
          <w:szCs w:val="26"/>
        </w:rPr>
        <w:t>C</w:t>
      </w:r>
      <w:r w:rsidR="00C3628F" w:rsidRPr="00001309">
        <w:rPr>
          <w:sz w:val="26"/>
          <w:szCs w:val="26"/>
        </w:rPr>
        <w:t xml:space="preserve">omplaint </w:t>
      </w:r>
      <w:r w:rsidRPr="00001309">
        <w:rPr>
          <w:sz w:val="26"/>
          <w:szCs w:val="26"/>
        </w:rPr>
        <w:t>prosecuted by the OAG and OCA</w:t>
      </w:r>
      <w:r w:rsidR="00C3628F" w:rsidRPr="00001309">
        <w:rPr>
          <w:sz w:val="26"/>
          <w:szCs w:val="26"/>
        </w:rPr>
        <w:t xml:space="preserve"> against Blue Pilot for violations of the Commission’s Regulations applicable to EGS service and the </w:t>
      </w:r>
      <w:r w:rsidR="00E13F47" w:rsidRPr="00001309">
        <w:rPr>
          <w:sz w:val="26"/>
          <w:szCs w:val="26"/>
        </w:rPr>
        <w:t xml:space="preserve">Public Utility </w:t>
      </w:r>
      <w:r w:rsidR="00C3628F" w:rsidRPr="00001309">
        <w:rPr>
          <w:sz w:val="26"/>
          <w:szCs w:val="26"/>
        </w:rPr>
        <w:t>Code</w:t>
      </w:r>
      <w:r w:rsidR="00E13F47" w:rsidRPr="00001309">
        <w:rPr>
          <w:sz w:val="26"/>
          <w:szCs w:val="26"/>
        </w:rPr>
        <w:t xml:space="preserve">, 66 </w:t>
      </w:r>
      <w:r w:rsidR="00AB78C9">
        <w:rPr>
          <w:sz w:val="26"/>
          <w:szCs w:val="26"/>
        </w:rPr>
        <w:t>Pa.C.S.</w:t>
      </w:r>
      <w:r w:rsidR="00E13F47" w:rsidRPr="00001309">
        <w:rPr>
          <w:sz w:val="26"/>
          <w:szCs w:val="26"/>
        </w:rPr>
        <w:t xml:space="preserve"> §§ 101-3316 (Code)</w:t>
      </w:r>
      <w:r w:rsidRPr="00001309">
        <w:rPr>
          <w:sz w:val="26"/>
          <w:szCs w:val="26"/>
        </w:rPr>
        <w:t>.</w:t>
      </w:r>
    </w:p>
    <w:p w:rsidR="00AA1F80" w:rsidRPr="00001309" w:rsidRDefault="00AA1F80" w:rsidP="00732873">
      <w:pPr>
        <w:autoSpaceDE w:val="0"/>
        <w:autoSpaceDN w:val="0"/>
        <w:rPr>
          <w:sz w:val="26"/>
          <w:szCs w:val="26"/>
        </w:rPr>
      </w:pPr>
    </w:p>
    <w:p w:rsidR="00C3628F" w:rsidRPr="00001309" w:rsidRDefault="00025E68" w:rsidP="001812E2">
      <w:pPr>
        <w:autoSpaceDE w:val="0"/>
        <w:autoSpaceDN w:val="0"/>
        <w:rPr>
          <w:sz w:val="26"/>
          <w:szCs w:val="26"/>
        </w:rPr>
      </w:pPr>
      <w:r w:rsidRPr="00001309">
        <w:rPr>
          <w:sz w:val="26"/>
          <w:szCs w:val="26"/>
        </w:rPr>
        <w:lastRenderedPageBreak/>
        <w:t xml:space="preserve">We note </w:t>
      </w:r>
      <w:r w:rsidR="009171A3" w:rsidRPr="00001309">
        <w:rPr>
          <w:sz w:val="26"/>
          <w:szCs w:val="26"/>
        </w:rPr>
        <w:t>that</w:t>
      </w:r>
      <w:r w:rsidR="00C3628F" w:rsidRPr="00001309">
        <w:rPr>
          <w:sz w:val="26"/>
          <w:szCs w:val="26"/>
        </w:rPr>
        <w:t xml:space="preserve"> </w:t>
      </w:r>
      <w:proofErr w:type="gramStart"/>
      <w:r w:rsidR="00E9643E" w:rsidRPr="00001309">
        <w:rPr>
          <w:sz w:val="26"/>
          <w:szCs w:val="26"/>
        </w:rPr>
        <w:t>during the course of</w:t>
      </w:r>
      <w:proofErr w:type="gramEnd"/>
      <w:r w:rsidR="00E9643E" w:rsidRPr="00001309">
        <w:rPr>
          <w:sz w:val="26"/>
          <w:szCs w:val="26"/>
        </w:rPr>
        <w:t xml:space="preserve"> this proceeding, </w:t>
      </w:r>
      <w:r w:rsidR="009171A3" w:rsidRPr="00001309">
        <w:rPr>
          <w:sz w:val="26"/>
          <w:szCs w:val="26"/>
        </w:rPr>
        <w:t>by letter dated May 4, 2015</w:t>
      </w:r>
      <w:r w:rsidR="000351EF">
        <w:rPr>
          <w:sz w:val="26"/>
          <w:szCs w:val="26"/>
        </w:rPr>
        <w:t>,</w:t>
      </w:r>
      <w:r w:rsidR="009171A3" w:rsidRPr="00001309">
        <w:rPr>
          <w:sz w:val="26"/>
          <w:szCs w:val="26"/>
        </w:rPr>
        <w:t xml:space="preserve"> at Docket No. A-2011-2223888, Blue Pilot advised the Commission of its “plans to abandon service to customers in Pennsylvania.”  Blue Pilot requested that the Commission cancel its EGS license.  </w:t>
      </w:r>
      <w:r w:rsidR="009171A3" w:rsidRPr="00001309">
        <w:rPr>
          <w:i/>
          <w:sz w:val="26"/>
          <w:szCs w:val="26"/>
        </w:rPr>
        <w:t xml:space="preserve">See </w:t>
      </w:r>
      <w:r w:rsidR="009171A3" w:rsidRPr="00001309">
        <w:rPr>
          <w:sz w:val="26"/>
          <w:szCs w:val="26"/>
        </w:rPr>
        <w:t>I.D. at 134</w:t>
      </w:r>
      <w:r w:rsidR="0002732A" w:rsidRPr="00001309">
        <w:rPr>
          <w:sz w:val="26"/>
          <w:szCs w:val="26"/>
        </w:rPr>
        <w:t>-135</w:t>
      </w:r>
      <w:r w:rsidR="009171A3" w:rsidRPr="00001309">
        <w:rPr>
          <w:sz w:val="26"/>
          <w:szCs w:val="26"/>
        </w:rPr>
        <w:t xml:space="preserve">, </w:t>
      </w:r>
      <w:r w:rsidR="009171A3" w:rsidRPr="00001309">
        <w:rPr>
          <w:i/>
          <w:sz w:val="26"/>
          <w:szCs w:val="26"/>
        </w:rPr>
        <w:t>infra</w:t>
      </w:r>
      <w:r w:rsidR="009171A3" w:rsidRPr="00001309">
        <w:rPr>
          <w:sz w:val="26"/>
          <w:szCs w:val="26"/>
        </w:rPr>
        <w:t>.</w:t>
      </w:r>
    </w:p>
    <w:p w:rsidR="00C3628F" w:rsidRPr="00001309" w:rsidRDefault="00C3628F" w:rsidP="00732873">
      <w:pPr>
        <w:autoSpaceDE w:val="0"/>
        <w:autoSpaceDN w:val="0"/>
        <w:rPr>
          <w:sz w:val="26"/>
          <w:szCs w:val="26"/>
        </w:rPr>
      </w:pPr>
    </w:p>
    <w:p w:rsidR="009171A3" w:rsidRPr="00001309" w:rsidRDefault="00E9643E" w:rsidP="00334002">
      <w:pPr>
        <w:pStyle w:val="Default"/>
        <w:rPr>
          <w:rFonts w:ascii="Times New Roman" w:hAnsi="Times New Roman" w:cs="Times New Roman"/>
          <w:i/>
          <w:color w:val="auto"/>
          <w:spacing w:val="-3"/>
          <w:sz w:val="26"/>
          <w:szCs w:val="26"/>
        </w:rPr>
      </w:pPr>
      <w:r w:rsidRPr="00001309">
        <w:rPr>
          <w:rFonts w:ascii="Times New Roman" w:hAnsi="Times New Roman" w:cs="Times New Roman"/>
          <w:color w:val="auto"/>
          <w:sz w:val="26"/>
          <w:szCs w:val="26"/>
        </w:rPr>
        <w:t>Also, a</w:t>
      </w:r>
      <w:r w:rsidR="00AA1F80" w:rsidRPr="00001309">
        <w:rPr>
          <w:rFonts w:ascii="Times New Roman" w:hAnsi="Times New Roman" w:cs="Times New Roman"/>
          <w:color w:val="auto"/>
          <w:sz w:val="26"/>
          <w:szCs w:val="26"/>
        </w:rPr>
        <w:t xml:space="preserve">s noted, after proceedings under Commission Regulations applicable to EGS companies, Blue Pilot’s license </w:t>
      </w:r>
      <w:r w:rsidR="00A91E9C" w:rsidRPr="00001309">
        <w:rPr>
          <w:rFonts w:ascii="Times New Roman" w:hAnsi="Times New Roman" w:cs="Times New Roman"/>
          <w:color w:val="auto"/>
          <w:sz w:val="26"/>
          <w:szCs w:val="26"/>
        </w:rPr>
        <w:t>ha</w:t>
      </w:r>
      <w:r w:rsidR="00AA1F80" w:rsidRPr="00001309">
        <w:rPr>
          <w:rFonts w:ascii="Times New Roman" w:hAnsi="Times New Roman" w:cs="Times New Roman"/>
          <w:color w:val="auto"/>
          <w:sz w:val="26"/>
          <w:szCs w:val="26"/>
        </w:rPr>
        <w:t xml:space="preserve">s </w:t>
      </w:r>
      <w:r w:rsidR="00A91E9C" w:rsidRPr="00001309">
        <w:rPr>
          <w:rFonts w:ascii="Times New Roman" w:hAnsi="Times New Roman" w:cs="Times New Roman"/>
          <w:color w:val="auto"/>
          <w:sz w:val="26"/>
          <w:szCs w:val="26"/>
        </w:rPr>
        <w:t xml:space="preserve">been </w:t>
      </w:r>
      <w:r w:rsidR="00AA1F80" w:rsidRPr="00001309">
        <w:rPr>
          <w:rFonts w:ascii="Times New Roman" w:hAnsi="Times New Roman" w:cs="Times New Roman"/>
          <w:color w:val="auto"/>
          <w:sz w:val="26"/>
          <w:szCs w:val="26"/>
        </w:rPr>
        <w:t>suspended.  C</w:t>
      </w:r>
      <w:r w:rsidR="009171A3" w:rsidRPr="00001309">
        <w:rPr>
          <w:rFonts w:ascii="Times New Roman" w:hAnsi="Times New Roman" w:cs="Times New Roman"/>
          <w:color w:val="auto"/>
          <w:sz w:val="26"/>
          <w:szCs w:val="26"/>
        </w:rPr>
        <w:t xml:space="preserve">ontrary to the statutory obligations pertaining to EGSs, </w:t>
      </w:r>
      <w:r w:rsidR="00A91E9C" w:rsidRPr="00001309">
        <w:rPr>
          <w:rFonts w:ascii="Times New Roman" w:hAnsi="Times New Roman" w:cs="Times New Roman"/>
          <w:color w:val="auto"/>
          <w:sz w:val="26"/>
          <w:szCs w:val="26"/>
        </w:rPr>
        <w:t xml:space="preserve">Blue Pilot </w:t>
      </w:r>
      <w:r w:rsidR="009171A3" w:rsidRPr="00001309">
        <w:rPr>
          <w:rFonts w:ascii="Times New Roman" w:hAnsi="Times New Roman" w:cs="Times New Roman"/>
          <w:color w:val="auto"/>
          <w:sz w:val="26"/>
          <w:szCs w:val="26"/>
        </w:rPr>
        <w:t>does not have a bond or other approved security on file with the Commission</w:t>
      </w:r>
      <w:r w:rsidR="00A91E9C" w:rsidRPr="00001309">
        <w:rPr>
          <w:rFonts w:ascii="Times New Roman" w:hAnsi="Times New Roman" w:cs="Times New Roman"/>
          <w:color w:val="auto"/>
          <w:sz w:val="26"/>
          <w:szCs w:val="26"/>
        </w:rPr>
        <w:t>.  Blue Pilot</w:t>
      </w:r>
      <w:r w:rsidR="009171A3" w:rsidRPr="00001309">
        <w:rPr>
          <w:rFonts w:ascii="Times New Roman" w:hAnsi="Times New Roman" w:cs="Times New Roman"/>
          <w:color w:val="auto"/>
          <w:sz w:val="26"/>
          <w:szCs w:val="26"/>
        </w:rPr>
        <w:t xml:space="preserve"> has not provided a bond or other approved security to the Commission even though it has been requested to do so. </w:t>
      </w:r>
      <w:r w:rsidR="000351EF">
        <w:rPr>
          <w:rFonts w:ascii="Times New Roman" w:hAnsi="Times New Roman" w:cs="Times New Roman"/>
          <w:color w:val="auto"/>
          <w:sz w:val="26"/>
          <w:szCs w:val="26"/>
        </w:rPr>
        <w:t xml:space="preserve"> </w:t>
      </w:r>
      <w:r w:rsidR="00AA1F80" w:rsidRPr="00001309">
        <w:rPr>
          <w:rFonts w:ascii="Times New Roman" w:hAnsi="Times New Roman" w:cs="Times New Roman"/>
          <w:i/>
          <w:color w:val="auto"/>
          <w:sz w:val="26"/>
          <w:szCs w:val="26"/>
        </w:rPr>
        <w:t xml:space="preserve">See </w:t>
      </w:r>
      <w:r w:rsidR="00AA1F80" w:rsidRPr="00001309">
        <w:rPr>
          <w:rFonts w:ascii="Times New Roman" w:hAnsi="Times New Roman" w:cs="Times New Roman"/>
          <w:color w:val="auto"/>
          <w:sz w:val="26"/>
          <w:szCs w:val="26"/>
        </w:rPr>
        <w:t>I.D.,</w:t>
      </w:r>
      <w:r w:rsidR="009171A3" w:rsidRPr="00001309">
        <w:rPr>
          <w:rFonts w:ascii="Times New Roman" w:hAnsi="Times New Roman" w:cs="Times New Roman"/>
          <w:color w:val="auto"/>
          <w:sz w:val="26"/>
          <w:szCs w:val="26"/>
        </w:rPr>
        <w:t xml:space="preserve"> citing OAG/OCA St. 1-SR (Suppl) at 2</w:t>
      </w:r>
      <w:r w:rsidR="00065425" w:rsidRPr="00001309">
        <w:rPr>
          <w:rFonts w:ascii="Times New Roman" w:hAnsi="Times New Roman" w:cs="Times New Roman"/>
          <w:color w:val="auto"/>
          <w:sz w:val="26"/>
          <w:szCs w:val="26"/>
        </w:rPr>
        <w:t xml:space="preserve">, </w:t>
      </w:r>
      <w:r w:rsidR="00E5305E" w:rsidRPr="00001309">
        <w:rPr>
          <w:rFonts w:ascii="Times New Roman" w:hAnsi="Times New Roman" w:cs="Times New Roman"/>
          <w:i/>
          <w:color w:val="auto"/>
          <w:sz w:val="26"/>
          <w:szCs w:val="26"/>
        </w:rPr>
        <w:t>i</w:t>
      </w:r>
      <w:r w:rsidR="00065425" w:rsidRPr="00001309">
        <w:rPr>
          <w:rFonts w:ascii="Times New Roman" w:hAnsi="Times New Roman" w:cs="Times New Roman"/>
          <w:i/>
          <w:color w:val="auto"/>
          <w:sz w:val="26"/>
          <w:szCs w:val="26"/>
        </w:rPr>
        <w:t>nfra</w:t>
      </w:r>
      <w:r w:rsidR="0002732A" w:rsidRPr="00001309">
        <w:rPr>
          <w:rFonts w:ascii="Times New Roman" w:hAnsi="Times New Roman" w:cs="Times New Roman"/>
          <w:color w:val="auto"/>
          <w:sz w:val="26"/>
          <w:szCs w:val="26"/>
        </w:rPr>
        <w:t xml:space="preserve">; 66 </w:t>
      </w:r>
      <w:r w:rsidR="00A35069">
        <w:rPr>
          <w:rFonts w:ascii="Times New Roman" w:hAnsi="Times New Roman" w:cs="Times New Roman"/>
          <w:color w:val="auto"/>
          <w:sz w:val="26"/>
          <w:szCs w:val="26"/>
        </w:rPr>
        <w:t xml:space="preserve">Pa.C.S. </w:t>
      </w:r>
      <w:r w:rsidR="0002732A" w:rsidRPr="00001309">
        <w:rPr>
          <w:rFonts w:ascii="Times New Roman" w:hAnsi="Times New Roman" w:cs="Times New Roman"/>
          <w:color w:val="auto"/>
          <w:sz w:val="26"/>
          <w:szCs w:val="26"/>
        </w:rPr>
        <w:t xml:space="preserve"> § 2809(c).</w:t>
      </w:r>
    </w:p>
    <w:p w:rsidR="00A91E9C" w:rsidRPr="00001309" w:rsidRDefault="00A91E9C" w:rsidP="00732873">
      <w:pPr>
        <w:autoSpaceDE w:val="0"/>
        <w:autoSpaceDN w:val="0"/>
        <w:rPr>
          <w:sz w:val="26"/>
          <w:szCs w:val="26"/>
        </w:rPr>
      </w:pPr>
    </w:p>
    <w:p w:rsidR="009171A3" w:rsidRPr="004B3722" w:rsidRDefault="008E630C" w:rsidP="001812E2">
      <w:pPr>
        <w:pStyle w:val="Heading2"/>
        <w:ind w:firstLine="0"/>
        <w:rPr>
          <w:rFonts w:ascii="Times New Roman" w:hAnsi="Times New Roman" w:cs="Times New Roman"/>
          <w:color w:val="auto"/>
        </w:rPr>
      </w:pPr>
      <w:bookmarkStart w:id="15" w:name="_Toc517831030"/>
      <w:r w:rsidRPr="004B3722">
        <w:rPr>
          <w:rFonts w:ascii="Times New Roman" w:hAnsi="Times New Roman" w:cs="Times New Roman"/>
          <w:b/>
          <w:color w:val="auto"/>
        </w:rPr>
        <w:t>B</w:t>
      </w:r>
      <w:r w:rsidR="00A91E9C" w:rsidRPr="004B3722">
        <w:rPr>
          <w:rFonts w:ascii="Times New Roman" w:hAnsi="Times New Roman" w:cs="Times New Roman"/>
          <w:b/>
          <w:color w:val="auto"/>
        </w:rPr>
        <w:t>.</w:t>
      </w:r>
      <w:r w:rsidRPr="004B3722">
        <w:rPr>
          <w:rFonts w:ascii="Times New Roman" w:hAnsi="Times New Roman" w:cs="Times New Roman"/>
          <w:b/>
          <w:color w:val="auto"/>
        </w:rPr>
        <w:tab/>
      </w:r>
      <w:r w:rsidR="009D0976" w:rsidRPr="004B3722">
        <w:rPr>
          <w:rFonts w:ascii="Times New Roman" w:hAnsi="Times New Roman" w:cs="Times New Roman"/>
          <w:b/>
          <w:color w:val="auto"/>
        </w:rPr>
        <w:t>Procedural History</w:t>
      </w:r>
      <w:bookmarkEnd w:id="15"/>
    </w:p>
    <w:p w:rsidR="009D0976" w:rsidRPr="00001309" w:rsidRDefault="009D0976" w:rsidP="0051160F">
      <w:pPr>
        <w:keepNext/>
        <w:keepLines/>
        <w:autoSpaceDE w:val="0"/>
        <w:autoSpaceDN w:val="0"/>
        <w:rPr>
          <w:sz w:val="26"/>
          <w:szCs w:val="26"/>
        </w:rPr>
      </w:pPr>
    </w:p>
    <w:p w:rsidR="008A6D9E" w:rsidRPr="00001309" w:rsidRDefault="008F002A" w:rsidP="00732873">
      <w:pPr>
        <w:autoSpaceDE w:val="0"/>
        <w:autoSpaceDN w:val="0"/>
        <w:rPr>
          <w:sz w:val="26"/>
          <w:szCs w:val="26"/>
        </w:rPr>
      </w:pPr>
      <w:r w:rsidRPr="00001309">
        <w:rPr>
          <w:sz w:val="26"/>
          <w:szCs w:val="26"/>
        </w:rPr>
        <w:t xml:space="preserve">On June 20, 2014, </w:t>
      </w:r>
      <w:r w:rsidR="00F429DB">
        <w:rPr>
          <w:sz w:val="26"/>
          <w:szCs w:val="26"/>
        </w:rPr>
        <w:t xml:space="preserve">the </w:t>
      </w:r>
      <w:r w:rsidRPr="00001309">
        <w:rPr>
          <w:sz w:val="26"/>
          <w:szCs w:val="26"/>
        </w:rPr>
        <w:t xml:space="preserve">Joint Complainants filed with the Commission a </w:t>
      </w:r>
      <w:r w:rsidR="008A6D9E" w:rsidRPr="00001309">
        <w:rPr>
          <w:sz w:val="26"/>
          <w:szCs w:val="26"/>
        </w:rPr>
        <w:t>F</w:t>
      </w:r>
      <w:r w:rsidRPr="00001309">
        <w:rPr>
          <w:sz w:val="26"/>
          <w:szCs w:val="26"/>
        </w:rPr>
        <w:t xml:space="preserve">ormal </w:t>
      </w:r>
      <w:r w:rsidR="008A6D9E" w:rsidRPr="00001309">
        <w:rPr>
          <w:sz w:val="26"/>
          <w:szCs w:val="26"/>
        </w:rPr>
        <w:t>C</w:t>
      </w:r>
      <w:r w:rsidRPr="00001309">
        <w:rPr>
          <w:sz w:val="26"/>
          <w:szCs w:val="26"/>
        </w:rPr>
        <w:t xml:space="preserve">omplaint </w:t>
      </w:r>
      <w:r w:rsidR="008A6D9E" w:rsidRPr="00001309">
        <w:rPr>
          <w:sz w:val="26"/>
          <w:szCs w:val="26"/>
        </w:rPr>
        <w:t xml:space="preserve">(Complaint) </w:t>
      </w:r>
      <w:r w:rsidRPr="00001309">
        <w:rPr>
          <w:sz w:val="26"/>
          <w:szCs w:val="26"/>
        </w:rPr>
        <w:t>against Blue Pilot at Docket N</w:t>
      </w:r>
      <w:r w:rsidR="008A6D9E" w:rsidRPr="00001309">
        <w:rPr>
          <w:sz w:val="26"/>
          <w:szCs w:val="26"/>
        </w:rPr>
        <w:t>o.</w:t>
      </w:r>
      <w:r w:rsidRPr="00001309">
        <w:rPr>
          <w:sz w:val="26"/>
          <w:szCs w:val="26"/>
        </w:rPr>
        <w:t xml:space="preserve"> C-2014-2427655. </w:t>
      </w:r>
      <w:r w:rsidR="008A6D9E" w:rsidRPr="00001309">
        <w:rPr>
          <w:sz w:val="26"/>
          <w:szCs w:val="26"/>
        </w:rPr>
        <w:t xml:space="preserve"> </w:t>
      </w:r>
      <w:r w:rsidR="00F429DB">
        <w:rPr>
          <w:sz w:val="26"/>
          <w:szCs w:val="26"/>
        </w:rPr>
        <w:t xml:space="preserve">The </w:t>
      </w:r>
      <w:r w:rsidRPr="00001309">
        <w:rPr>
          <w:sz w:val="26"/>
          <w:szCs w:val="26"/>
        </w:rPr>
        <w:t xml:space="preserve">Joint Complainants averred that they had received numerous contacts and complaints from consumers related to variable rates charged by Blue Pilot, including approximately eleven formal complaints filed by consumers at the Commission. </w:t>
      </w:r>
      <w:r w:rsidR="008A6D9E" w:rsidRPr="00001309">
        <w:rPr>
          <w:sz w:val="26"/>
          <w:szCs w:val="26"/>
        </w:rPr>
        <w:t xml:space="preserve"> </w:t>
      </w:r>
      <w:r w:rsidR="00F429DB">
        <w:rPr>
          <w:sz w:val="26"/>
          <w:szCs w:val="26"/>
        </w:rPr>
        <w:t xml:space="preserve">The </w:t>
      </w:r>
      <w:r w:rsidRPr="00001309">
        <w:rPr>
          <w:sz w:val="26"/>
          <w:szCs w:val="26"/>
        </w:rPr>
        <w:t>Joint Complainants further averred that Blue Pilot used a variety of marketing and advertising mediums to solicit residential customers for its variable rate plan</w:t>
      </w:r>
      <w:r w:rsidR="007713A4" w:rsidRPr="00001309">
        <w:rPr>
          <w:sz w:val="26"/>
          <w:szCs w:val="26"/>
        </w:rPr>
        <w:t xml:space="preserve"> products</w:t>
      </w:r>
      <w:r w:rsidRPr="00001309">
        <w:rPr>
          <w:sz w:val="26"/>
          <w:szCs w:val="26"/>
        </w:rPr>
        <w:t>.</w:t>
      </w:r>
      <w:r w:rsidR="00065425" w:rsidRPr="00001309">
        <w:rPr>
          <w:sz w:val="26"/>
          <w:szCs w:val="26"/>
        </w:rPr>
        <w:t xml:space="preserve">  I.D. at 2-3.</w:t>
      </w:r>
    </w:p>
    <w:p w:rsidR="008A6D9E" w:rsidRPr="00001309" w:rsidRDefault="008A6D9E" w:rsidP="00732873">
      <w:pPr>
        <w:autoSpaceDE w:val="0"/>
        <w:autoSpaceDN w:val="0"/>
        <w:rPr>
          <w:sz w:val="26"/>
          <w:szCs w:val="26"/>
        </w:rPr>
      </w:pPr>
    </w:p>
    <w:p w:rsidR="008F002A" w:rsidRPr="00001309" w:rsidRDefault="008A6D9E" w:rsidP="00732873">
      <w:pPr>
        <w:autoSpaceDE w:val="0"/>
        <w:autoSpaceDN w:val="0"/>
        <w:rPr>
          <w:sz w:val="26"/>
          <w:szCs w:val="26"/>
        </w:rPr>
      </w:pPr>
      <w:r w:rsidRPr="00001309">
        <w:rPr>
          <w:sz w:val="26"/>
          <w:szCs w:val="26"/>
        </w:rPr>
        <w:t>Based on the foregoing, the Complaint</w:t>
      </w:r>
      <w:r w:rsidR="008F002A" w:rsidRPr="00001309">
        <w:rPr>
          <w:sz w:val="26"/>
          <w:szCs w:val="26"/>
        </w:rPr>
        <w:t xml:space="preserve"> </w:t>
      </w:r>
      <w:r w:rsidR="00D649B5" w:rsidRPr="00001309">
        <w:rPr>
          <w:sz w:val="26"/>
          <w:szCs w:val="26"/>
        </w:rPr>
        <w:t>raised</w:t>
      </w:r>
      <w:r w:rsidR="008F002A" w:rsidRPr="00001309">
        <w:rPr>
          <w:sz w:val="26"/>
          <w:szCs w:val="26"/>
        </w:rPr>
        <w:t xml:space="preserve"> five separate counts against Blue Pilot</w:t>
      </w:r>
      <w:r w:rsidR="007A30E2" w:rsidRPr="00001309">
        <w:rPr>
          <w:sz w:val="26"/>
          <w:szCs w:val="26"/>
        </w:rPr>
        <w:t xml:space="preserve"> as follows</w:t>
      </w:r>
      <w:r w:rsidR="00A03A45" w:rsidRPr="00001309">
        <w:rPr>
          <w:sz w:val="26"/>
          <w:szCs w:val="26"/>
        </w:rPr>
        <w:t>:</w:t>
      </w:r>
      <w:r w:rsidR="008F002A" w:rsidRPr="00001309">
        <w:rPr>
          <w:sz w:val="26"/>
          <w:szCs w:val="26"/>
        </w:rPr>
        <w:t xml:space="preserve"> </w:t>
      </w:r>
      <w:r w:rsidR="00016B0E" w:rsidRPr="00001309">
        <w:rPr>
          <w:sz w:val="26"/>
          <w:szCs w:val="26"/>
        </w:rPr>
        <w:t>(</w:t>
      </w:r>
      <w:r w:rsidR="008F002A" w:rsidRPr="00001309">
        <w:rPr>
          <w:sz w:val="26"/>
          <w:szCs w:val="26"/>
        </w:rPr>
        <w:t xml:space="preserve">1) failing to provide accurate pricing information; </w:t>
      </w:r>
      <w:r w:rsidR="007D15D6" w:rsidRPr="00001309">
        <w:rPr>
          <w:sz w:val="26"/>
          <w:szCs w:val="26"/>
        </w:rPr>
        <w:t>(</w:t>
      </w:r>
      <w:r w:rsidR="008F002A" w:rsidRPr="00001309">
        <w:rPr>
          <w:sz w:val="26"/>
          <w:szCs w:val="26"/>
        </w:rPr>
        <w:t xml:space="preserve">2) pricing that did not conform to disclosure statement; </w:t>
      </w:r>
      <w:r w:rsidR="007D15D6" w:rsidRPr="00001309">
        <w:rPr>
          <w:sz w:val="26"/>
          <w:szCs w:val="26"/>
        </w:rPr>
        <w:t>(</w:t>
      </w:r>
      <w:r w:rsidR="008F002A" w:rsidRPr="00001309">
        <w:rPr>
          <w:sz w:val="26"/>
          <w:szCs w:val="26"/>
        </w:rPr>
        <w:t xml:space="preserve">3) making misleading and deceptive promises of savings; </w:t>
      </w:r>
      <w:r w:rsidR="007D15D6" w:rsidRPr="00001309">
        <w:rPr>
          <w:sz w:val="26"/>
          <w:szCs w:val="26"/>
        </w:rPr>
        <w:t>(</w:t>
      </w:r>
      <w:r w:rsidR="008F002A" w:rsidRPr="00001309">
        <w:rPr>
          <w:sz w:val="26"/>
          <w:szCs w:val="26"/>
        </w:rPr>
        <w:t xml:space="preserve">4) lacking good faith in the handling of complaints; and </w:t>
      </w:r>
      <w:r w:rsidR="007D15D6" w:rsidRPr="00001309">
        <w:rPr>
          <w:sz w:val="26"/>
          <w:szCs w:val="26"/>
        </w:rPr>
        <w:t>(</w:t>
      </w:r>
      <w:r w:rsidR="008F002A" w:rsidRPr="00001309">
        <w:rPr>
          <w:sz w:val="26"/>
          <w:szCs w:val="26"/>
        </w:rPr>
        <w:t xml:space="preserve">5) failing to comply with the </w:t>
      </w:r>
      <w:r w:rsidR="00FD6AFE" w:rsidRPr="00001309">
        <w:rPr>
          <w:sz w:val="26"/>
          <w:szCs w:val="26"/>
        </w:rPr>
        <w:t>Telemarketer Registration Act (</w:t>
      </w:r>
      <w:r w:rsidR="008F002A" w:rsidRPr="00001309">
        <w:rPr>
          <w:sz w:val="26"/>
          <w:szCs w:val="26"/>
        </w:rPr>
        <w:t>TRA</w:t>
      </w:r>
      <w:r w:rsidR="00FD6AFE" w:rsidRPr="00001309">
        <w:rPr>
          <w:sz w:val="26"/>
          <w:szCs w:val="26"/>
        </w:rPr>
        <w:t>)</w:t>
      </w:r>
      <w:r w:rsidR="008F002A" w:rsidRPr="00001309">
        <w:rPr>
          <w:sz w:val="26"/>
          <w:szCs w:val="26"/>
        </w:rPr>
        <w:t>.</w:t>
      </w:r>
      <w:r w:rsidR="00A03A45" w:rsidRPr="00001309">
        <w:rPr>
          <w:sz w:val="26"/>
          <w:szCs w:val="26"/>
        </w:rPr>
        <w:t xml:space="preserve">  I.D. at 3.</w:t>
      </w:r>
    </w:p>
    <w:p w:rsidR="002D500A" w:rsidRPr="00001309" w:rsidRDefault="002D500A" w:rsidP="00732873">
      <w:pPr>
        <w:autoSpaceDE w:val="0"/>
        <w:autoSpaceDN w:val="0"/>
        <w:rPr>
          <w:sz w:val="26"/>
          <w:szCs w:val="26"/>
        </w:rPr>
      </w:pPr>
    </w:p>
    <w:p w:rsidR="00EE20F3" w:rsidRPr="00001309" w:rsidRDefault="00F429DB" w:rsidP="008F002A">
      <w:pPr>
        <w:autoSpaceDE w:val="0"/>
        <w:autoSpaceDN w:val="0"/>
        <w:adjustRightInd w:val="0"/>
        <w:rPr>
          <w:sz w:val="26"/>
          <w:szCs w:val="26"/>
        </w:rPr>
      </w:pPr>
      <w:r>
        <w:rPr>
          <w:sz w:val="26"/>
          <w:szCs w:val="26"/>
        </w:rPr>
        <w:lastRenderedPageBreak/>
        <w:t xml:space="preserve">The </w:t>
      </w:r>
      <w:r w:rsidR="008F002A" w:rsidRPr="00001309">
        <w:rPr>
          <w:sz w:val="26"/>
          <w:szCs w:val="26"/>
        </w:rPr>
        <w:t xml:space="preserve">Joint Complainants made several requests for relief, including but not limited to: </w:t>
      </w:r>
      <w:r w:rsidR="007D15D6" w:rsidRPr="00001309">
        <w:rPr>
          <w:sz w:val="26"/>
          <w:szCs w:val="26"/>
        </w:rPr>
        <w:t>(</w:t>
      </w:r>
      <w:r w:rsidR="008F002A" w:rsidRPr="00001309">
        <w:rPr>
          <w:sz w:val="26"/>
          <w:szCs w:val="26"/>
        </w:rPr>
        <w:t xml:space="preserve">1) suspension or revocation of Blue Pilot’s EGS license; </w:t>
      </w:r>
      <w:r w:rsidR="007D15D6" w:rsidRPr="00001309">
        <w:rPr>
          <w:sz w:val="26"/>
          <w:szCs w:val="26"/>
        </w:rPr>
        <w:t>(</w:t>
      </w:r>
      <w:r w:rsidR="008F002A" w:rsidRPr="00001309">
        <w:rPr>
          <w:sz w:val="26"/>
          <w:szCs w:val="26"/>
        </w:rPr>
        <w:t xml:space="preserve">2) </w:t>
      </w:r>
      <w:r w:rsidR="008A6D9E" w:rsidRPr="00001309">
        <w:rPr>
          <w:sz w:val="26"/>
          <w:szCs w:val="26"/>
        </w:rPr>
        <w:t xml:space="preserve">imposition of </w:t>
      </w:r>
      <w:r w:rsidR="008F002A" w:rsidRPr="00001309">
        <w:rPr>
          <w:sz w:val="26"/>
          <w:szCs w:val="26"/>
        </w:rPr>
        <w:t xml:space="preserve">civil penalties; </w:t>
      </w:r>
      <w:r w:rsidR="007D15D6" w:rsidRPr="00001309">
        <w:rPr>
          <w:sz w:val="26"/>
          <w:szCs w:val="26"/>
        </w:rPr>
        <w:t>(</w:t>
      </w:r>
      <w:r w:rsidR="008F002A" w:rsidRPr="00001309">
        <w:rPr>
          <w:sz w:val="26"/>
          <w:szCs w:val="26"/>
        </w:rPr>
        <w:t xml:space="preserve">3) an injunction preventing violations of Consumer Protection Law; </w:t>
      </w:r>
      <w:r w:rsidR="007D15D6" w:rsidRPr="00001309">
        <w:rPr>
          <w:sz w:val="26"/>
          <w:szCs w:val="26"/>
        </w:rPr>
        <w:t>(</w:t>
      </w:r>
      <w:r w:rsidR="008F002A" w:rsidRPr="00001309">
        <w:rPr>
          <w:sz w:val="26"/>
          <w:szCs w:val="26"/>
        </w:rPr>
        <w:t>4)</w:t>
      </w:r>
      <w:r w:rsidR="00124A4E" w:rsidRPr="00001309">
        <w:rPr>
          <w:sz w:val="26"/>
          <w:szCs w:val="26"/>
        </w:rPr>
        <w:t> </w:t>
      </w:r>
      <w:r w:rsidR="008F002A" w:rsidRPr="00001309">
        <w:rPr>
          <w:sz w:val="26"/>
          <w:szCs w:val="26"/>
        </w:rPr>
        <w:t>restitution to the consumers</w:t>
      </w:r>
      <w:r w:rsidR="00124A4E" w:rsidRPr="00001309">
        <w:rPr>
          <w:sz w:val="26"/>
          <w:szCs w:val="26"/>
        </w:rPr>
        <w:t>,</w:t>
      </w:r>
      <w:r w:rsidR="00337B99" w:rsidRPr="00001309">
        <w:rPr>
          <w:rStyle w:val="FootnoteReference"/>
          <w:sz w:val="26"/>
          <w:szCs w:val="26"/>
        </w:rPr>
        <w:footnoteReference w:id="11"/>
      </w:r>
      <w:r w:rsidR="00EE20F3" w:rsidRPr="00001309">
        <w:rPr>
          <w:sz w:val="26"/>
          <w:szCs w:val="26"/>
        </w:rPr>
        <w:t xml:space="preserve"> </w:t>
      </w:r>
      <w:r w:rsidR="008F002A" w:rsidRPr="00001309">
        <w:rPr>
          <w:sz w:val="26"/>
          <w:szCs w:val="26"/>
        </w:rPr>
        <w:t xml:space="preserve">and </w:t>
      </w:r>
      <w:r w:rsidR="007D15D6" w:rsidRPr="00001309">
        <w:rPr>
          <w:sz w:val="26"/>
          <w:szCs w:val="26"/>
        </w:rPr>
        <w:t>(</w:t>
      </w:r>
      <w:r w:rsidR="008F002A" w:rsidRPr="00001309">
        <w:rPr>
          <w:sz w:val="26"/>
          <w:szCs w:val="26"/>
        </w:rPr>
        <w:t xml:space="preserve">5) any such relief that the Commission deems appropriate. </w:t>
      </w:r>
      <w:r w:rsidR="00D649B5" w:rsidRPr="00001309">
        <w:rPr>
          <w:sz w:val="26"/>
          <w:szCs w:val="26"/>
        </w:rPr>
        <w:t xml:space="preserve"> </w:t>
      </w:r>
      <w:r>
        <w:rPr>
          <w:sz w:val="26"/>
          <w:szCs w:val="26"/>
        </w:rPr>
        <w:t xml:space="preserve">The </w:t>
      </w:r>
      <w:r w:rsidR="008F002A" w:rsidRPr="00001309">
        <w:rPr>
          <w:sz w:val="26"/>
          <w:szCs w:val="26"/>
        </w:rPr>
        <w:t>Joint Complainants attached as Appendix A to the Joint Complaint, a document entitled, “Blue Pilot Energy, LLC Disclosure Statement and Agreement for Electric Service.”</w:t>
      </w:r>
      <w:r w:rsidR="00A03A45" w:rsidRPr="00001309">
        <w:rPr>
          <w:sz w:val="26"/>
          <w:szCs w:val="26"/>
        </w:rPr>
        <w:t xml:space="preserve">  I.D. at 3.</w:t>
      </w:r>
    </w:p>
    <w:p w:rsidR="008F002A" w:rsidRPr="00001309" w:rsidRDefault="008F002A" w:rsidP="00872CA0">
      <w:pPr>
        <w:autoSpaceDE w:val="0"/>
        <w:autoSpaceDN w:val="0"/>
        <w:adjustRightInd w:val="0"/>
        <w:ind w:firstLine="0"/>
        <w:rPr>
          <w:sz w:val="26"/>
          <w:szCs w:val="26"/>
        </w:rPr>
      </w:pPr>
    </w:p>
    <w:p w:rsidR="00F32598" w:rsidRPr="00001309" w:rsidRDefault="008F002A" w:rsidP="008F002A">
      <w:pPr>
        <w:autoSpaceDE w:val="0"/>
        <w:autoSpaceDN w:val="0"/>
        <w:rPr>
          <w:sz w:val="26"/>
          <w:szCs w:val="26"/>
        </w:rPr>
      </w:pPr>
      <w:r w:rsidRPr="00001309">
        <w:rPr>
          <w:sz w:val="26"/>
          <w:szCs w:val="26"/>
        </w:rPr>
        <w:t xml:space="preserve">On July 10, 2014, Blue Pilot filed an Answer in </w:t>
      </w:r>
      <w:r w:rsidR="00872CA0" w:rsidRPr="00001309">
        <w:rPr>
          <w:sz w:val="26"/>
          <w:szCs w:val="26"/>
        </w:rPr>
        <w:t>which it</w:t>
      </w:r>
      <w:r w:rsidRPr="00001309">
        <w:rPr>
          <w:sz w:val="26"/>
          <w:szCs w:val="26"/>
        </w:rPr>
        <w:t xml:space="preserve"> admitted or denied the various averments </w:t>
      </w:r>
      <w:r w:rsidR="00D649B5" w:rsidRPr="00001309">
        <w:rPr>
          <w:sz w:val="26"/>
          <w:szCs w:val="26"/>
        </w:rPr>
        <w:t>set forth in the</w:t>
      </w:r>
      <w:r w:rsidRPr="00001309">
        <w:rPr>
          <w:sz w:val="26"/>
          <w:szCs w:val="26"/>
        </w:rPr>
        <w:t xml:space="preserve"> Complainant.  Blue Pilot specifically denied that </w:t>
      </w:r>
      <w:r w:rsidR="00872CA0" w:rsidRPr="00001309">
        <w:rPr>
          <w:sz w:val="26"/>
          <w:szCs w:val="26"/>
        </w:rPr>
        <w:t>the</w:t>
      </w:r>
      <w:r w:rsidRPr="00001309">
        <w:rPr>
          <w:sz w:val="26"/>
          <w:szCs w:val="26"/>
        </w:rPr>
        <w:t xml:space="preserve"> disclosure statement attached to the Complaint accurately sets forth the contents of Blue Pilot’s disclosure statement. </w:t>
      </w:r>
      <w:r w:rsidR="00872CA0" w:rsidRPr="00001309">
        <w:rPr>
          <w:sz w:val="26"/>
          <w:szCs w:val="26"/>
        </w:rPr>
        <w:t xml:space="preserve"> </w:t>
      </w:r>
      <w:r w:rsidRPr="00001309">
        <w:rPr>
          <w:sz w:val="26"/>
          <w:szCs w:val="26"/>
        </w:rPr>
        <w:t xml:space="preserve">Blue Pilot averred </w:t>
      </w:r>
      <w:r w:rsidR="00872CA0" w:rsidRPr="00001309">
        <w:rPr>
          <w:sz w:val="26"/>
          <w:szCs w:val="26"/>
        </w:rPr>
        <w:t xml:space="preserve">that </w:t>
      </w:r>
      <w:r w:rsidRPr="00001309">
        <w:rPr>
          <w:sz w:val="26"/>
          <w:szCs w:val="26"/>
        </w:rPr>
        <w:t>the disclosure statement was an updated version of a previously Commission-reviewed and approved May 2011 disclosure statement.</w:t>
      </w:r>
      <w:r w:rsidR="00BA1A73" w:rsidRPr="00001309">
        <w:rPr>
          <w:sz w:val="26"/>
          <w:szCs w:val="26"/>
        </w:rPr>
        <w:t xml:space="preserve">  I.D. at 3.</w:t>
      </w:r>
      <w:r w:rsidR="00872CA0" w:rsidRPr="00001309">
        <w:rPr>
          <w:sz w:val="26"/>
          <w:szCs w:val="26"/>
        </w:rPr>
        <w:t xml:space="preserve"> </w:t>
      </w:r>
      <w:r w:rsidRPr="00001309">
        <w:rPr>
          <w:sz w:val="26"/>
          <w:szCs w:val="26"/>
        </w:rPr>
        <w:t xml:space="preserve"> Blue Pilot denied violating any Commission </w:t>
      </w:r>
      <w:r w:rsidR="00EB6A47">
        <w:rPr>
          <w:sz w:val="26"/>
          <w:szCs w:val="26"/>
        </w:rPr>
        <w:t>R</w:t>
      </w:r>
      <w:r w:rsidRPr="00001309">
        <w:rPr>
          <w:sz w:val="26"/>
          <w:szCs w:val="26"/>
        </w:rPr>
        <w:t xml:space="preserve">egulations or orders and averred </w:t>
      </w:r>
      <w:r w:rsidR="00BA1A73" w:rsidRPr="00001309">
        <w:rPr>
          <w:sz w:val="26"/>
          <w:szCs w:val="26"/>
        </w:rPr>
        <w:t xml:space="preserve">that </w:t>
      </w:r>
      <w:r w:rsidRPr="00001309">
        <w:rPr>
          <w:sz w:val="26"/>
          <w:szCs w:val="26"/>
        </w:rPr>
        <w:t xml:space="preserve">consumers could determine from the disclosure statement the price to be charged and how it was calculated. </w:t>
      </w:r>
      <w:r w:rsidR="00872CA0" w:rsidRPr="00001309">
        <w:rPr>
          <w:sz w:val="26"/>
          <w:szCs w:val="26"/>
        </w:rPr>
        <w:t xml:space="preserve"> </w:t>
      </w:r>
      <w:r w:rsidRPr="00001309">
        <w:rPr>
          <w:sz w:val="26"/>
          <w:szCs w:val="26"/>
        </w:rPr>
        <w:t xml:space="preserve">Blue Pilot </w:t>
      </w:r>
      <w:r w:rsidR="00872CA0" w:rsidRPr="00001309">
        <w:rPr>
          <w:sz w:val="26"/>
          <w:szCs w:val="26"/>
        </w:rPr>
        <w:t xml:space="preserve">further replied </w:t>
      </w:r>
      <w:r w:rsidRPr="00001309">
        <w:rPr>
          <w:sz w:val="26"/>
          <w:szCs w:val="26"/>
        </w:rPr>
        <w:t xml:space="preserve">that consumers knowingly entered into agreements to purchase electric generation service through variable rate plans under which prices would vary month to month </w:t>
      </w:r>
      <w:proofErr w:type="gramStart"/>
      <w:r w:rsidRPr="00001309">
        <w:rPr>
          <w:sz w:val="26"/>
          <w:szCs w:val="26"/>
        </w:rPr>
        <w:t>on the basis of</w:t>
      </w:r>
      <w:proofErr w:type="gramEnd"/>
      <w:r w:rsidRPr="00001309">
        <w:rPr>
          <w:sz w:val="26"/>
          <w:szCs w:val="26"/>
        </w:rPr>
        <w:t xml:space="preserve"> wholesale market conditions. </w:t>
      </w:r>
      <w:r w:rsidR="00A03A45" w:rsidRPr="00001309">
        <w:rPr>
          <w:sz w:val="26"/>
          <w:szCs w:val="26"/>
        </w:rPr>
        <w:t xml:space="preserve"> </w:t>
      </w:r>
      <w:r w:rsidR="00872CA0" w:rsidRPr="00001309">
        <w:rPr>
          <w:sz w:val="26"/>
          <w:szCs w:val="26"/>
        </w:rPr>
        <w:t>Blue Pilot</w:t>
      </w:r>
      <w:r w:rsidRPr="00001309">
        <w:rPr>
          <w:sz w:val="26"/>
          <w:szCs w:val="26"/>
        </w:rPr>
        <w:t xml:space="preserve"> denied </w:t>
      </w:r>
      <w:r w:rsidR="00A03A45" w:rsidRPr="00001309">
        <w:rPr>
          <w:sz w:val="26"/>
          <w:szCs w:val="26"/>
        </w:rPr>
        <w:t xml:space="preserve">that </w:t>
      </w:r>
      <w:r w:rsidRPr="00001309">
        <w:rPr>
          <w:sz w:val="26"/>
          <w:szCs w:val="26"/>
        </w:rPr>
        <w:t>its variable rates reached as high as $0.50 per kWh for electricity</w:t>
      </w:r>
      <w:r w:rsidRPr="00001309">
        <w:rPr>
          <w:sz w:val="23"/>
          <w:szCs w:val="23"/>
        </w:rPr>
        <w:t>.</w:t>
      </w:r>
      <w:r w:rsidR="00F32598" w:rsidRPr="00001309">
        <w:rPr>
          <w:sz w:val="23"/>
          <w:szCs w:val="23"/>
        </w:rPr>
        <w:t xml:space="preserve">  </w:t>
      </w:r>
      <w:r w:rsidR="00F32598" w:rsidRPr="00001309">
        <w:rPr>
          <w:i/>
          <w:sz w:val="26"/>
          <w:szCs w:val="26"/>
        </w:rPr>
        <w:t>Id</w:t>
      </w:r>
      <w:r w:rsidR="00F32598" w:rsidRPr="00001309">
        <w:rPr>
          <w:sz w:val="26"/>
          <w:szCs w:val="26"/>
        </w:rPr>
        <w:t>.</w:t>
      </w:r>
    </w:p>
    <w:p w:rsidR="008F002A" w:rsidRPr="00001309" w:rsidRDefault="008F002A" w:rsidP="008F002A">
      <w:pPr>
        <w:autoSpaceDE w:val="0"/>
        <w:autoSpaceDN w:val="0"/>
        <w:rPr>
          <w:sz w:val="23"/>
          <w:szCs w:val="23"/>
        </w:rPr>
      </w:pPr>
    </w:p>
    <w:p w:rsidR="008F002A" w:rsidRPr="00001309" w:rsidRDefault="008F002A" w:rsidP="008F002A">
      <w:pPr>
        <w:autoSpaceDE w:val="0"/>
        <w:autoSpaceDN w:val="0"/>
        <w:adjustRightInd w:val="0"/>
        <w:rPr>
          <w:sz w:val="26"/>
          <w:szCs w:val="26"/>
        </w:rPr>
      </w:pPr>
      <w:r w:rsidRPr="00001309">
        <w:rPr>
          <w:sz w:val="26"/>
          <w:szCs w:val="26"/>
        </w:rPr>
        <w:t>Also</w:t>
      </w:r>
      <w:r w:rsidR="00693A53">
        <w:rPr>
          <w:sz w:val="26"/>
          <w:szCs w:val="26"/>
        </w:rPr>
        <w:t>,</w:t>
      </w:r>
      <w:r w:rsidRPr="00001309">
        <w:rPr>
          <w:sz w:val="26"/>
          <w:szCs w:val="26"/>
        </w:rPr>
        <w:t xml:space="preserve"> on July 10, 2014, Blue Pilot filed Preliminary Objections in response to the Complaint. </w:t>
      </w:r>
      <w:r w:rsidR="00D57D30" w:rsidRPr="00001309">
        <w:rPr>
          <w:sz w:val="26"/>
          <w:szCs w:val="26"/>
        </w:rPr>
        <w:t xml:space="preserve"> </w:t>
      </w:r>
      <w:r w:rsidRPr="00001309">
        <w:rPr>
          <w:sz w:val="26"/>
          <w:szCs w:val="26"/>
        </w:rPr>
        <w:t xml:space="preserve">In its Preliminary Objections, accompanied by a Notice to Plead, Blue Pilot averred that three of the five counts in the Complaint should be dismissed for lack of </w:t>
      </w:r>
      <w:r w:rsidRPr="00001309">
        <w:rPr>
          <w:sz w:val="26"/>
          <w:szCs w:val="26"/>
        </w:rPr>
        <w:lastRenderedPageBreak/>
        <w:t>Commission jurisdiction, insufficient specificity of a pleading</w:t>
      </w:r>
      <w:r w:rsidR="00E225BB" w:rsidRPr="00001309">
        <w:rPr>
          <w:sz w:val="26"/>
          <w:szCs w:val="26"/>
        </w:rPr>
        <w:t>,</w:t>
      </w:r>
      <w:r w:rsidRPr="00001309">
        <w:rPr>
          <w:sz w:val="26"/>
          <w:szCs w:val="26"/>
        </w:rPr>
        <w:t xml:space="preserve"> and/or legal insufficiency of a pleading.</w:t>
      </w:r>
      <w:r w:rsidR="00D57D30" w:rsidRPr="00001309">
        <w:rPr>
          <w:sz w:val="26"/>
          <w:szCs w:val="26"/>
        </w:rPr>
        <w:t xml:space="preserve">  I.D. at</w:t>
      </w:r>
      <w:r w:rsidR="00A03A45" w:rsidRPr="00001309">
        <w:rPr>
          <w:sz w:val="26"/>
          <w:szCs w:val="26"/>
        </w:rPr>
        <w:t xml:space="preserve"> 4</w:t>
      </w:r>
      <w:r w:rsidR="00D57D30" w:rsidRPr="00001309">
        <w:rPr>
          <w:sz w:val="26"/>
          <w:szCs w:val="26"/>
        </w:rPr>
        <w:t>.</w:t>
      </w:r>
    </w:p>
    <w:p w:rsidR="008F002A" w:rsidRPr="00001309" w:rsidRDefault="008F002A" w:rsidP="008F002A">
      <w:pPr>
        <w:autoSpaceDE w:val="0"/>
        <w:autoSpaceDN w:val="0"/>
        <w:adjustRightInd w:val="0"/>
        <w:rPr>
          <w:sz w:val="26"/>
          <w:szCs w:val="26"/>
        </w:rPr>
      </w:pPr>
    </w:p>
    <w:p w:rsidR="008F002A" w:rsidRPr="00001309" w:rsidRDefault="00123A76" w:rsidP="008F002A">
      <w:pPr>
        <w:autoSpaceDE w:val="0"/>
        <w:autoSpaceDN w:val="0"/>
        <w:adjustRightInd w:val="0"/>
        <w:rPr>
          <w:sz w:val="26"/>
          <w:szCs w:val="26"/>
        </w:rPr>
      </w:pPr>
      <w:r w:rsidRPr="00001309">
        <w:rPr>
          <w:sz w:val="26"/>
          <w:szCs w:val="26"/>
        </w:rPr>
        <w:t>A</w:t>
      </w:r>
      <w:r w:rsidR="00E225BB" w:rsidRPr="00001309">
        <w:rPr>
          <w:sz w:val="26"/>
          <w:szCs w:val="26"/>
        </w:rPr>
        <w:t>lso</w:t>
      </w:r>
      <w:r w:rsidRPr="00001309">
        <w:rPr>
          <w:sz w:val="26"/>
          <w:szCs w:val="26"/>
        </w:rPr>
        <w:t xml:space="preserve">, </w:t>
      </w:r>
      <w:r w:rsidR="008F002A" w:rsidRPr="00001309">
        <w:rPr>
          <w:sz w:val="26"/>
          <w:szCs w:val="26"/>
        </w:rPr>
        <w:t>on July 10, 2014, the Office of Small Business Advocate (OSBA) filed a Notice of Intervention and Public Statement formally intervening into this proceeding.</w:t>
      </w:r>
      <w:r w:rsidRPr="00001309">
        <w:rPr>
          <w:sz w:val="26"/>
          <w:szCs w:val="26"/>
        </w:rPr>
        <w:t xml:space="preserve">  I.D. at 4.</w:t>
      </w:r>
    </w:p>
    <w:p w:rsidR="008F002A" w:rsidRPr="00001309" w:rsidRDefault="008F002A" w:rsidP="008F002A">
      <w:pPr>
        <w:autoSpaceDE w:val="0"/>
        <w:autoSpaceDN w:val="0"/>
        <w:adjustRightInd w:val="0"/>
        <w:rPr>
          <w:sz w:val="26"/>
          <w:szCs w:val="26"/>
        </w:rPr>
      </w:pPr>
    </w:p>
    <w:p w:rsidR="008F002A" w:rsidRPr="00001309" w:rsidRDefault="008F002A" w:rsidP="008F002A">
      <w:pPr>
        <w:autoSpaceDE w:val="0"/>
        <w:autoSpaceDN w:val="0"/>
        <w:adjustRightInd w:val="0"/>
        <w:rPr>
          <w:sz w:val="26"/>
          <w:szCs w:val="26"/>
        </w:rPr>
      </w:pPr>
      <w:r w:rsidRPr="00001309">
        <w:rPr>
          <w:sz w:val="26"/>
          <w:szCs w:val="26"/>
        </w:rPr>
        <w:t xml:space="preserve">On July 21, 2014, </w:t>
      </w:r>
      <w:r w:rsidR="00F429DB">
        <w:rPr>
          <w:sz w:val="26"/>
          <w:szCs w:val="26"/>
        </w:rPr>
        <w:t xml:space="preserve">The </w:t>
      </w:r>
      <w:r w:rsidRPr="00001309">
        <w:rPr>
          <w:sz w:val="26"/>
          <w:szCs w:val="26"/>
        </w:rPr>
        <w:t xml:space="preserve">Joint Complainants filed an Answer to Blue Pilot’s Preliminary Objections. </w:t>
      </w:r>
      <w:r w:rsidR="00FD6AFE" w:rsidRPr="00001309">
        <w:rPr>
          <w:sz w:val="26"/>
          <w:szCs w:val="26"/>
        </w:rPr>
        <w:t xml:space="preserve"> </w:t>
      </w:r>
      <w:r w:rsidR="00F429DB">
        <w:rPr>
          <w:sz w:val="26"/>
          <w:szCs w:val="26"/>
        </w:rPr>
        <w:t xml:space="preserve">The </w:t>
      </w:r>
      <w:r w:rsidRPr="00001309">
        <w:rPr>
          <w:sz w:val="26"/>
          <w:szCs w:val="26"/>
        </w:rPr>
        <w:t xml:space="preserve">Joint Complainants </w:t>
      </w:r>
      <w:r w:rsidR="00123A76" w:rsidRPr="00001309">
        <w:rPr>
          <w:sz w:val="26"/>
          <w:szCs w:val="26"/>
        </w:rPr>
        <w:t>took the position</w:t>
      </w:r>
      <w:r w:rsidR="00FD6AFE" w:rsidRPr="00001309">
        <w:rPr>
          <w:sz w:val="26"/>
          <w:szCs w:val="26"/>
        </w:rPr>
        <w:t xml:space="preserve">, </w:t>
      </w:r>
      <w:r w:rsidR="00FD6AFE" w:rsidRPr="00001309">
        <w:rPr>
          <w:i/>
          <w:sz w:val="26"/>
          <w:szCs w:val="26"/>
        </w:rPr>
        <w:t>inter alia</w:t>
      </w:r>
      <w:r w:rsidR="00FD6AFE" w:rsidRPr="00001309">
        <w:rPr>
          <w:sz w:val="26"/>
          <w:szCs w:val="26"/>
        </w:rPr>
        <w:t>,</w:t>
      </w:r>
      <w:r w:rsidRPr="00001309">
        <w:rPr>
          <w:sz w:val="26"/>
          <w:szCs w:val="26"/>
        </w:rPr>
        <w:t xml:space="preserve"> that the Commission ha</w:t>
      </w:r>
      <w:r w:rsidR="00D57D30" w:rsidRPr="00001309">
        <w:rPr>
          <w:sz w:val="26"/>
          <w:szCs w:val="26"/>
        </w:rPr>
        <w:t>d</w:t>
      </w:r>
      <w:r w:rsidRPr="00001309">
        <w:rPr>
          <w:sz w:val="26"/>
          <w:szCs w:val="26"/>
        </w:rPr>
        <w:t xml:space="preserve"> jurisdiction to hear cases brought pursuant to the </w:t>
      </w:r>
      <w:r w:rsidR="0055348B" w:rsidRPr="00001309">
        <w:rPr>
          <w:sz w:val="26"/>
          <w:szCs w:val="26"/>
        </w:rPr>
        <w:t xml:space="preserve">Pennsylvania </w:t>
      </w:r>
      <w:r w:rsidRPr="00001309">
        <w:rPr>
          <w:sz w:val="26"/>
          <w:szCs w:val="26"/>
        </w:rPr>
        <w:t>Unfair Trade Practices and Consumer Protection Law (UTPCPL or CPL) and the TRA.</w:t>
      </w:r>
      <w:r w:rsidR="00123A76" w:rsidRPr="00001309">
        <w:rPr>
          <w:sz w:val="26"/>
          <w:szCs w:val="26"/>
        </w:rPr>
        <w:t xml:space="preserve">  I.D. at 4.</w:t>
      </w:r>
    </w:p>
    <w:p w:rsidR="008F002A" w:rsidRPr="00001309" w:rsidRDefault="008F002A" w:rsidP="008F002A">
      <w:pPr>
        <w:autoSpaceDE w:val="0"/>
        <w:autoSpaceDN w:val="0"/>
        <w:adjustRightInd w:val="0"/>
        <w:rPr>
          <w:sz w:val="26"/>
          <w:szCs w:val="26"/>
        </w:rPr>
      </w:pPr>
    </w:p>
    <w:p w:rsidR="008F002A" w:rsidRPr="00001309" w:rsidRDefault="008F002A" w:rsidP="008F002A">
      <w:pPr>
        <w:autoSpaceDE w:val="0"/>
        <w:autoSpaceDN w:val="0"/>
        <w:adjustRightInd w:val="0"/>
        <w:rPr>
          <w:sz w:val="26"/>
          <w:szCs w:val="26"/>
        </w:rPr>
      </w:pPr>
      <w:r w:rsidRPr="00001309">
        <w:rPr>
          <w:sz w:val="26"/>
          <w:szCs w:val="26"/>
        </w:rPr>
        <w:t>On July 22, 2014, a Motion for Admission of Mark R. Robeck and Daniel</w:t>
      </w:r>
      <w:r w:rsidR="00554A0A" w:rsidRPr="00001309">
        <w:rPr>
          <w:sz w:val="26"/>
          <w:szCs w:val="26"/>
        </w:rPr>
        <w:t> </w:t>
      </w:r>
      <w:r w:rsidRPr="00001309">
        <w:rPr>
          <w:sz w:val="26"/>
          <w:szCs w:val="26"/>
        </w:rPr>
        <w:t>S.</w:t>
      </w:r>
      <w:r w:rsidR="00554A0A" w:rsidRPr="00001309">
        <w:rPr>
          <w:sz w:val="26"/>
          <w:szCs w:val="26"/>
        </w:rPr>
        <w:t> </w:t>
      </w:r>
      <w:r w:rsidRPr="00001309">
        <w:rPr>
          <w:sz w:val="26"/>
          <w:szCs w:val="26"/>
        </w:rPr>
        <w:t xml:space="preserve">Blynn </w:t>
      </w:r>
      <w:r w:rsidRPr="00001309">
        <w:rPr>
          <w:i/>
          <w:sz w:val="26"/>
          <w:szCs w:val="26"/>
        </w:rPr>
        <w:t>Pro Hac Vice</w:t>
      </w:r>
      <w:r w:rsidRPr="00001309">
        <w:rPr>
          <w:sz w:val="26"/>
          <w:szCs w:val="26"/>
        </w:rPr>
        <w:t xml:space="preserve"> was filed by Blue Pilot.</w:t>
      </w:r>
    </w:p>
    <w:p w:rsidR="008F002A" w:rsidRPr="00001309" w:rsidRDefault="008F002A" w:rsidP="008F002A">
      <w:pPr>
        <w:autoSpaceDE w:val="0"/>
        <w:autoSpaceDN w:val="0"/>
        <w:adjustRightInd w:val="0"/>
        <w:rPr>
          <w:sz w:val="26"/>
          <w:szCs w:val="26"/>
        </w:rPr>
      </w:pPr>
    </w:p>
    <w:p w:rsidR="008F002A" w:rsidRPr="00001309" w:rsidRDefault="008F002A" w:rsidP="008F002A">
      <w:pPr>
        <w:autoSpaceDE w:val="0"/>
        <w:autoSpaceDN w:val="0"/>
        <w:adjustRightInd w:val="0"/>
        <w:rPr>
          <w:sz w:val="26"/>
          <w:szCs w:val="26"/>
        </w:rPr>
      </w:pPr>
      <w:r w:rsidRPr="00001309">
        <w:rPr>
          <w:sz w:val="26"/>
          <w:szCs w:val="26"/>
        </w:rPr>
        <w:t xml:space="preserve">On July 31, 2014, the Commission’s </w:t>
      </w:r>
      <w:r w:rsidR="005902B0" w:rsidRPr="00001309">
        <w:rPr>
          <w:sz w:val="26"/>
          <w:szCs w:val="26"/>
        </w:rPr>
        <w:t>Bureau of Investigation and Enforcement</w:t>
      </w:r>
      <w:r w:rsidR="005902B0" w:rsidRPr="00001309">
        <w:rPr>
          <w:sz w:val="23"/>
          <w:szCs w:val="23"/>
        </w:rPr>
        <w:t xml:space="preserve"> (</w:t>
      </w:r>
      <w:r w:rsidR="00313288" w:rsidRPr="00001309">
        <w:rPr>
          <w:sz w:val="26"/>
          <w:szCs w:val="26"/>
        </w:rPr>
        <w:t>I</w:t>
      </w:r>
      <w:r w:rsidRPr="00001309">
        <w:rPr>
          <w:sz w:val="26"/>
          <w:szCs w:val="26"/>
        </w:rPr>
        <w:t>&amp;E</w:t>
      </w:r>
      <w:r w:rsidR="005902B0" w:rsidRPr="00001309">
        <w:rPr>
          <w:sz w:val="26"/>
          <w:szCs w:val="26"/>
        </w:rPr>
        <w:t>)</w:t>
      </w:r>
      <w:r w:rsidRPr="00001309">
        <w:rPr>
          <w:sz w:val="26"/>
          <w:szCs w:val="26"/>
        </w:rPr>
        <w:t xml:space="preserve"> filed a Notice of Intervention formally intervening in this proceeding.</w:t>
      </w:r>
      <w:r w:rsidR="00123A76" w:rsidRPr="00001309">
        <w:rPr>
          <w:sz w:val="26"/>
          <w:szCs w:val="26"/>
        </w:rPr>
        <w:t xml:space="preserve">  I.D. at 4.</w:t>
      </w:r>
    </w:p>
    <w:p w:rsidR="008F002A" w:rsidRPr="00001309" w:rsidRDefault="008F002A" w:rsidP="008F002A">
      <w:pPr>
        <w:autoSpaceDE w:val="0"/>
        <w:autoSpaceDN w:val="0"/>
        <w:adjustRightInd w:val="0"/>
        <w:rPr>
          <w:sz w:val="26"/>
          <w:szCs w:val="26"/>
        </w:rPr>
      </w:pPr>
    </w:p>
    <w:p w:rsidR="003F4AE9" w:rsidRPr="00001309" w:rsidRDefault="008F002A" w:rsidP="00545701">
      <w:pPr>
        <w:pStyle w:val="Default"/>
        <w:rPr>
          <w:rFonts w:ascii="Times New Roman" w:hAnsi="Times New Roman" w:cs="Times New Roman"/>
          <w:color w:val="auto"/>
          <w:spacing w:val="-3"/>
          <w:sz w:val="26"/>
          <w:szCs w:val="26"/>
        </w:rPr>
      </w:pPr>
      <w:r w:rsidRPr="00001309">
        <w:rPr>
          <w:rFonts w:ascii="Times New Roman" w:hAnsi="Times New Roman" w:cs="Times New Roman"/>
          <w:color w:val="auto"/>
          <w:sz w:val="26"/>
          <w:szCs w:val="26"/>
        </w:rPr>
        <w:t xml:space="preserve">On August 20, 2014, </w:t>
      </w:r>
      <w:proofErr w:type="gramStart"/>
      <w:r w:rsidR="00A53C1E" w:rsidRPr="00001309">
        <w:rPr>
          <w:rFonts w:ascii="Times New Roman" w:hAnsi="Times New Roman" w:cs="Times New Roman"/>
          <w:color w:val="auto"/>
          <w:sz w:val="26"/>
          <w:szCs w:val="26"/>
        </w:rPr>
        <w:t>subsequent to</w:t>
      </w:r>
      <w:proofErr w:type="gramEnd"/>
      <w:r w:rsidR="00A53C1E" w:rsidRPr="00001309">
        <w:rPr>
          <w:rFonts w:ascii="Times New Roman" w:hAnsi="Times New Roman" w:cs="Times New Roman"/>
          <w:color w:val="auto"/>
          <w:sz w:val="26"/>
          <w:szCs w:val="26"/>
        </w:rPr>
        <w:t xml:space="preserve"> prehearing notices, </w:t>
      </w:r>
      <w:r w:rsidRPr="00001309">
        <w:rPr>
          <w:rFonts w:ascii="Times New Roman" w:hAnsi="Times New Roman" w:cs="Times New Roman"/>
          <w:color w:val="auto"/>
          <w:sz w:val="26"/>
          <w:szCs w:val="26"/>
        </w:rPr>
        <w:t xml:space="preserve">an Order Granting in Part and Denying in Part Preliminary Objections was issued. </w:t>
      </w:r>
      <w:r w:rsidR="00A53C1E" w:rsidRPr="00001309">
        <w:rPr>
          <w:rFonts w:ascii="Times New Roman" w:hAnsi="Times New Roman" w:cs="Times New Roman"/>
          <w:color w:val="auto"/>
          <w:sz w:val="26"/>
          <w:szCs w:val="26"/>
        </w:rPr>
        <w:t xml:space="preserve"> </w:t>
      </w:r>
      <w:r w:rsidRPr="00001309">
        <w:rPr>
          <w:rFonts w:ascii="Times New Roman" w:hAnsi="Times New Roman" w:cs="Times New Roman"/>
          <w:color w:val="auto"/>
          <w:sz w:val="26"/>
          <w:szCs w:val="26"/>
        </w:rPr>
        <w:t xml:space="preserve">In the </w:t>
      </w:r>
      <w:r w:rsidR="00A53C1E" w:rsidRPr="00001309">
        <w:rPr>
          <w:rFonts w:ascii="Times New Roman" w:hAnsi="Times New Roman" w:cs="Times New Roman"/>
          <w:color w:val="auto"/>
          <w:sz w:val="26"/>
          <w:szCs w:val="26"/>
        </w:rPr>
        <w:t xml:space="preserve">August 20, 2014 </w:t>
      </w:r>
      <w:r w:rsidRPr="00001309">
        <w:rPr>
          <w:rFonts w:ascii="Times New Roman" w:hAnsi="Times New Roman" w:cs="Times New Roman"/>
          <w:color w:val="auto"/>
          <w:sz w:val="26"/>
          <w:szCs w:val="26"/>
        </w:rPr>
        <w:t xml:space="preserve">Order, Count II (prices nonconforming to disclosure statement) was stricken. </w:t>
      </w:r>
      <w:r w:rsidR="00D57D30" w:rsidRPr="00001309">
        <w:rPr>
          <w:rFonts w:ascii="Times New Roman" w:hAnsi="Times New Roman" w:cs="Times New Roman"/>
          <w:color w:val="auto"/>
          <w:sz w:val="26"/>
          <w:szCs w:val="26"/>
        </w:rPr>
        <w:t xml:space="preserve"> </w:t>
      </w:r>
      <w:r w:rsidRPr="00001309">
        <w:rPr>
          <w:rFonts w:ascii="Times New Roman" w:hAnsi="Times New Roman" w:cs="Times New Roman"/>
          <w:color w:val="auto"/>
          <w:sz w:val="26"/>
          <w:szCs w:val="26"/>
        </w:rPr>
        <w:t xml:space="preserve">Additionally, two other Counts in the Complaint, Counts I (failure to provide accurate </w:t>
      </w:r>
      <w:r w:rsidR="003F4AE9" w:rsidRPr="00001309">
        <w:rPr>
          <w:rFonts w:ascii="Times New Roman" w:hAnsi="Times New Roman" w:cs="Times New Roman"/>
          <w:color w:val="auto"/>
          <w:spacing w:val="-3"/>
          <w:sz w:val="26"/>
          <w:szCs w:val="26"/>
        </w:rPr>
        <w:t>pricing information) and V (failing to comply with the TRA) were stricken</w:t>
      </w:r>
      <w:r w:rsidR="004902B9" w:rsidRPr="00001309">
        <w:rPr>
          <w:rFonts w:ascii="Times New Roman" w:hAnsi="Times New Roman" w:cs="Times New Roman"/>
          <w:color w:val="auto"/>
          <w:spacing w:val="-3"/>
          <w:sz w:val="26"/>
          <w:szCs w:val="26"/>
        </w:rPr>
        <w:t>,</w:t>
      </w:r>
      <w:r w:rsidR="003F4AE9" w:rsidRPr="00001309">
        <w:rPr>
          <w:rFonts w:ascii="Times New Roman" w:hAnsi="Times New Roman" w:cs="Times New Roman"/>
          <w:color w:val="auto"/>
          <w:spacing w:val="-3"/>
          <w:sz w:val="26"/>
          <w:szCs w:val="26"/>
        </w:rPr>
        <w:t xml:space="preserve"> in part. </w:t>
      </w:r>
      <w:r w:rsidR="008C045B" w:rsidRPr="00001309">
        <w:rPr>
          <w:rFonts w:ascii="Times New Roman" w:hAnsi="Times New Roman" w:cs="Times New Roman"/>
          <w:color w:val="auto"/>
          <w:spacing w:val="-3"/>
          <w:sz w:val="26"/>
          <w:szCs w:val="26"/>
        </w:rPr>
        <w:t xml:space="preserve"> </w:t>
      </w:r>
      <w:r w:rsidR="003F4AE9" w:rsidRPr="00001309">
        <w:rPr>
          <w:rFonts w:ascii="Times New Roman" w:hAnsi="Times New Roman" w:cs="Times New Roman"/>
          <w:color w:val="auto"/>
          <w:spacing w:val="-3"/>
          <w:sz w:val="26"/>
          <w:szCs w:val="26"/>
        </w:rPr>
        <w:t xml:space="preserve">All other Counts raised in the Complaint </w:t>
      </w:r>
      <w:proofErr w:type="gramStart"/>
      <w:r w:rsidR="003F4AE9" w:rsidRPr="00001309">
        <w:rPr>
          <w:rFonts w:ascii="Times New Roman" w:hAnsi="Times New Roman" w:cs="Times New Roman"/>
          <w:color w:val="auto"/>
          <w:spacing w:val="-3"/>
          <w:sz w:val="26"/>
          <w:szCs w:val="26"/>
        </w:rPr>
        <w:t>were allowed to</w:t>
      </w:r>
      <w:proofErr w:type="gramEnd"/>
      <w:r w:rsidR="003F4AE9" w:rsidRPr="00001309">
        <w:rPr>
          <w:rFonts w:ascii="Times New Roman" w:hAnsi="Times New Roman" w:cs="Times New Roman"/>
          <w:color w:val="auto"/>
          <w:spacing w:val="-3"/>
          <w:sz w:val="26"/>
          <w:szCs w:val="26"/>
        </w:rPr>
        <w:t xml:space="preserve"> proceed to a hearing.</w:t>
      </w:r>
      <w:r w:rsidR="00123A76" w:rsidRPr="00001309">
        <w:rPr>
          <w:rFonts w:ascii="Times New Roman" w:hAnsi="Times New Roman" w:cs="Times New Roman"/>
          <w:color w:val="auto"/>
          <w:spacing w:val="-3"/>
          <w:sz w:val="26"/>
          <w:szCs w:val="26"/>
        </w:rPr>
        <w:t xml:space="preserve">  I.D. at 4-5.</w:t>
      </w:r>
      <w:r w:rsidR="003F4AE9" w:rsidRPr="00001309">
        <w:rPr>
          <w:rFonts w:ascii="Times New Roman" w:hAnsi="Times New Roman" w:cs="Times New Roman"/>
          <w:color w:val="auto"/>
          <w:spacing w:val="-3"/>
          <w:sz w:val="26"/>
          <w:szCs w:val="26"/>
        </w:rPr>
        <w:t xml:space="preserve"> </w:t>
      </w:r>
      <w:r w:rsidR="00545701" w:rsidRPr="00001309">
        <w:rPr>
          <w:rFonts w:ascii="Times New Roman" w:hAnsi="Times New Roman" w:cs="Times New Roman"/>
          <w:color w:val="auto"/>
          <w:spacing w:val="-3"/>
          <w:sz w:val="26"/>
          <w:szCs w:val="26"/>
        </w:rPr>
        <w:t xml:space="preserve"> </w:t>
      </w:r>
      <w:r w:rsidR="003A56B4" w:rsidRPr="00001309">
        <w:rPr>
          <w:rFonts w:ascii="Times New Roman" w:hAnsi="Times New Roman" w:cs="Times New Roman"/>
          <w:color w:val="auto"/>
          <w:spacing w:val="-3"/>
          <w:sz w:val="26"/>
          <w:szCs w:val="26"/>
        </w:rPr>
        <w:t>Various procedural rulings, as set forth in the I</w:t>
      </w:r>
      <w:r w:rsidR="007D15D6" w:rsidRPr="00001309">
        <w:rPr>
          <w:rFonts w:ascii="Times New Roman" w:hAnsi="Times New Roman" w:cs="Times New Roman"/>
          <w:color w:val="auto"/>
          <w:spacing w:val="-3"/>
          <w:sz w:val="26"/>
          <w:szCs w:val="26"/>
        </w:rPr>
        <w:t>nitial Decision</w:t>
      </w:r>
      <w:r w:rsidR="003A56B4" w:rsidRPr="00001309">
        <w:rPr>
          <w:rFonts w:ascii="Times New Roman" w:hAnsi="Times New Roman" w:cs="Times New Roman"/>
          <w:color w:val="auto"/>
          <w:spacing w:val="-3"/>
          <w:sz w:val="26"/>
          <w:szCs w:val="26"/>
        </w:rPr>
        <w:t xml:space="preserve"> were, thereafter, issued.</w:t>
      </w:r>
    </w:p>
    <w:p w:rsidR="003A56B4" w:rsidRPr="00001309" w:rsidRDefault="003A56B4" w:rsidP="00545701">
      <w:pPr>
        <w:autoSpaceDE w:val="0"/>
        <w:autoSpaceDN w:val="0"/>
        <w:adjustRightInd w:val="0"/>
        <w:spacing w:line="240" w:lineRule="auto"/>
        <w:ind w:firstLine="0"/>
        <w:rPr>
          <w:sz w:val="26"/>
          <w:szCs w:val="26"/>
        </w:rPr>
      </w:pPr>
    </w:p>
    <w:p w:rsidR="003F4AE9" w:rsidRPr="00001309" w:rsidRDefault="003F4AE9" w:rsidP="003F4AE9">
      <w:pPr>
        <w:autoSpaceDE w:val="0"/>
        <w:autoSpaceDN w:val="0"/>
        <w:adjustRightInd w:val="0"/>
        <w:rPr>
          <w:sz w:val="26"/>
          <w:szCs w:val="26"/>
        </w:rPr>
      </w:pPr>
      <w:r w:rsidRPr="00001309">
        <w:rPr>
          <w:sz w:val="26"/>
          <w:szCs w:val="26"/>
        </w:rPr>
        <w:t>On August 25, 2014, an Initial Prehearing Conference was held as scheduled</w:t>
      </w:r>
      <w:r w:rsidR="00D57D30" w:rsidRPr="00001309">
        <w:rPr>
          <w:sz w:val="26"/>
          <w:szCs w:val="26"/>
        </w:rPr>
        <w:t>.</w:t>
      </w:r>
      <w:r w:rsidRPr="00001309">
        <w:rPr>
          <w:sz w:val="26"/>
          <w:szCs w:val="26"/>
        </w:rPr>
        <w:t xml:space="preserve"> Various procedural issues were discussed during the Initial Prehearing Conference</w:t>
      </w:r>
      <w:r w:rsidR="00D57D30" w:rsidRPr="00001309">
        <w:rPr>
          <w:sz w:val="26"/>
          <w:szCs w:val="26"/>
        </w:rPr>
        <w:t xml:space="preserve"> and</w:t>
      </w:r>
      <w:r w:rsidRPr="00001309">
        <w:rPr>
          <w:sz w:val="26"/>
          <w:szCs w:val="26"/>
        </w:rPr>
        <w:t xml:space="preserve"> were </w:t>
      </w:r>
      <w:r w:rsidRPr="00001309">
        <w:rPr>
          <w:sz w:val="26"/>
          <w:szCs w:val="26"/>
        </w:rPr>
        <w:lastRenderedPageBreak/>
        <w:t>memorialized by two Procedural Orders dated August 25, 2014</w:t>
      </w:r>
      <w:r w:rsidR="00212A3C">
        <w:rPr>
          <w:sz w:val="26"/>
          <w:szCs w:val="26"/>
        </w:rPr>
        <w:t>,</w:t>
      </w:r>
      <w:r w:rsidRPr="00001309">
        <w:rPr>
          <w:sz w:val="26"/>
          <w:szCs w:val="26"/>
        </w:rPr>
        <w:t xml:space="preserve"> and September 3, 2014, respectively.</w:t>
      </w:r>
      <w:r w:rsidR="00D57D30" w:rsidRPr="00001309">
        <w:rPr>
          <w:sz w:val="26"/>
          <w:szCs w:val="26"/>
        </w:rPr>
        <w:t xml:space="preserve">  I.D. at </w:t>
      </w:r>
      <w:r w:rsidR="00E53498" w:rsidRPr="00001309">
        <w:rPr>
          <w:sz w:val="26"/>
          <w:szCs w:val="26"/>
        </w:rPr>
        <w:t>5</w:t>
      </w:r>
      <w:r w:rsidR="00D57D30" w:rsidRPr="00001309">
        <w:rPr>
          <w:sz w:val="26"/>
          <w:szCs w:val="26"/>
        </w:rPr>
        <w:t>.</w:t>
      </w:r>
    </w:p>
    <w:p w:rsidR="003F4AE9" w:rsidRPr="00001309" w:rsidRDefault="003F4AE9" w:rsidP="003F4AE9">
      <w:pPr>
        <w:autoSpaceDE w:val="0"/>
        <w:autoSpaceDN w:val="0"/>
        <w:adjustRightInd w:val="0"/>
        <w:spacing w:line="240" w:lineRule="auto"/>
        <w:ind w:firstLine="0"/>
        <w:rPr>
          <w:sz w:val="26"/>
          <w:szCs w:val="26"/>
        </w:rPr>
      </w:pPr>
    </w:p>
    <w:p w:rsidR="008F002A" w:rsidRPr="00001309" w:rsidRDefault="003F4AE9" w:rsidP="003F4AE9">
      <w:pPr>
        <w:autoSpaceDE w:val="0"/>
        <w:autoSpaceDN w:val="0"/>
        <w:rPr>
          <w:sz w:val="26"/>
          <w:szCs w:val="26"/>
        </w:rPr>
      </w:pPr>
      <w:r w:rsidRPr="00001309">
        <w:rPr>
          <w:sz w:val="26"/>
          <w:szCs w:val="26"/>
        </w:rPr>
        <w:t xml:space="preserve">On September 8, 2014, </w:t>
      </w:r>
      <w:r w:rsidR="00F429DB">
        <w:rPr>
          <w:sz w:val="26"/>
          <w:szCs w:val="26"/>
        </w:rPr>
        <w:t xml:space="preserve">The </w:t>
      </w:r>
      <w:r w:rsidRPr="00001309">
        <w:rPr>
          <w:sz w:val="26"/>
          <w:szCs w:val="26"/>
        </w:rPr>
        <w:t>Joint Complainants filed a Petition for Interlocutory Review and Answer to Material Questions in response to the Order dated August 20, 2014</w:t>
      </w:r>
      <w:r w:rsidR="00393293" w:rsidRPr="00001309">
        <w:rPr>
          <w:sz w:val="26"/>
          <w:szCs w:val="26"/>
        </w:rPr>
        <w:t>,</w:t>
      </w:r>
      <w:r w:rsidRPr="00001309">
        <w:rPr>
          <w:sz w:val="26"/>
          <w:szCs w:val="26"/>
        </w:rPr>
        <w:t xml:space="preserve"> Granting in Part and Denying in Part Preliminary Objections filed by Blue Pilot.</w:t>
      </w:r>
      <w:r w:rsidR="00481D20" w:rsidRPr="00001309">
        <w:rPr>
          <w:sz w:val="26"/>
          <w:szCs w:val="26"/>
        </w:rPr>
        <w:t xml:space="preserve">  I.D. at 5.</w:t>
      </w:r>
      <w:r w:rsidRPr="00001309">
        <w:rPr>
          <w:sz w:val="26"/>
          <w:szCs w:val="26"/>
        </w:rPr>
        <w:t xml:space="preserve">  </w:t>
      </w:r>
      <w:r w:rsidR="00F429DB">
        <w:rPr>
          <w:sz w:val="26"/>
          <w:szCs w:val="26"/>
        </w:rPr>
        <w:t>The J</w:t>
      </w:r>
      <w:r w:rsidRPr="00001309">
        <w:rPr>
          <w:sz w:val="26"/>
          <w:szCs w:val="26"/>
        </w:rPr>
        <w:t xml:space="preserve">oint Complainants specifically sought review of the </w:t>
      </w:r>
      <w:r w:rsidR="00481D20" w:rsidRPr="00001309">
        <w:rPr>
          <w:sz w:val="26"/>
          <w:szCs w:val="26"/>
        </w:rPr>
        <w:t>ALJs’ decision</w:t>
      </w:r>
      <w:r w:rsidRPr="00001309">
        <w:rPr>
          <w:sz w:val="26"/>
          <w:szCs w:val="26"/>
        </w:rPr>
        <w:t xml:space="preserve"> regarding the Commission’s jurisdiction to hear claims brought under the CPL and TRA, as well as whether the Commission ha</w:t>
      </w:r>
      <w:r w:rsidR="00481D20" w:rsidRPr="00001309">
        <w:rPr>
          <w:sz w:val="26"/>
          <w:szCs w:val="26"/>
        </w:rPr>
        <w:t>d</w:t>
      </w:r>
      <w:r w:rsidRPr="00001309">
        <w:rPr>
          <w:sz w:val="26"/>
          <w:szCs w:val="26"/>
        </w:rPr>
        <w:t xml:space="preserve"> jurisdiction to determine whether the prices charged by an EGS conform</w:t>
      </w:r>
      <w:r w:rsidR="00481D20" w:rsidRPr="00001309">
        <w:rPr>
          <w:sz w:val="26"/>
          <w:szCs w:val="26"/>
        </w:rPr>
        <w:t>ed</w:t>
      </w:r>
      <w:r w:rsidRPr="00001309">
        <w:rPr>
          <w:sz w:val="26"/>
          <w:szCs w:val="26"/>
        </w:rPr>
        <w:t xml:space="preserve"> to the EGS’s disclosure statement.</w:t>
      </w:r>
      <w:r w:rsidR="00181D4A" w:rsidRPr="00001309">
        <w:rPr>
          <w:sz w:val="26"/>
          <w:szCs w:val="26"/>
        </w:rPr>
        <w:t xml:space="preserve">  I.D. at 5.</w:t>
      </w:r>
    </w:p>
    <w:p w:rsidR="003F4AE9" w:rsidRPr="00001309" w:rsidRDefault="003F4AE9" w:rsidP="00D57D30">
      <w:pPr>
        <w:autoSpaceDE w:val="0"/>
        <w:autoSpaceDN w:val="0"/>
        <w:adjustRightInd w:val="0"/>
        <w:ind w:firstLine="0"/>
        <w:rPr>
          <w:sz w:val="26"/>
          <w:szCs w:val="26"/>
        </w:rPr>
      </w:pPr>
    </w:p>
    <w:p w:rsidR="003F4AE9" w:rsidRPr="00001309" w:rsidRDefault="001C5C98" w:rsidP="003F4AE9">
      <w:pPr>
        <w:autoSpaceDE w:val="0"/>
        <w:autoSpaceDN w:val="0"/>
        <w:adjustRightInd w:val="0"/>
        <w:rPr>
          <w:sz w:val="26"/>
          <w:szCs w:val="26"/>
        </w:rPr>
      </w:pPr>
      <w:r w:rsidRPr="00001309">
        <w:rPr>
          <w:sz w:val="26"/>
          <w:szCs w:val="26"/>
        </w:rPr>
        <w:t xml:space="preserve">By Order entered </w:t>
      </w:r>
      <w:r w:rsidR="003F4AE9" w:rsidRPr="00001309">
        <w:rPr>
          <w:sz w:val="26"/>
          <w:szCs w:val="26"/>
        </w:rPr>
        <w:t xml:space="preserve">December 11, 2014, the Commission </w:t>
      </w:r>
      <w:r w:rsidRPr="00001309">
        <w:rPr>
          <w:sz w:val="26"/>
          <w:szCs w:val="26"/>
        </w:rPr>
        <w:t xml:space="preserve">granted in substantial part, the Joint Complainants’ </w:t>
      </w:r>
      <w:r w:rsidR="003F4AE9" w:rsidRPr="00001309">
        <w:rPr>
          <w:sz w:val="26"/>
          <w:szCs w:val="26"/>
        </w:rPr>
        <w:t>Petition for Interlocutory Review and Answer to Material Questions filed on September 8, 2014</w:t>
      </w:r>
      <w:r w:rsidR="0044087D" w:rsidRPr="00001309">
        <w:rPr>
          <w:sz w:val="26"/>
          <w:szCs w:val="26"/>
        </w:rPr>
        <w:t>.  In an Opinion and Order entered December 11, 2014 (</w:t>
      </w:r>
      <w:r w:rsidR="0044087D" w:rsidRPr="00001309">
        <w:rPr>
          <w:i/>
          <w:sz w:val="26"/>
          <w:szCs w:val="26"/>
        </w:rPr>
        <w:t>D</w:t>
      </w:r>
      <w:r w:rsidR="003A56B4" w:rsidRPr="00001309">
        <w:rPr>
          <w:i/>
          <w:sz w:val="26"/>
          <w:szCs w:val="26"/>
        </w:rPr>
        <w:t>ecember 11, 2014 Order</w:t>
      </w:r>
      <w:r w:rsidR="003A56B4" w:rsidRPr="00001309">
        <w:rPr>
          <w:sz w:val="26"/>
          <w:szCs w:val="26"/>
        </w:rPr>
        <w:t>)</w:t>
      </w:r>
      <w:r w:rsidR="0044087D" w:rsidRPr="00001309">
        <w:rPr>
          <w:sz w:val="26"/>
          <w:szCs w:val="26"/>
        </w:rPr>
        <w:t>,</w:t>
      </w:r>
      <w:r w:rsidR="009D2E65" w:rsidRPr="00001309">
        <w:rPr>
          <w:sz w:val="26"/>
          <w:szCs w:val="26"/>
        </w:rPr>
        <w:t xml:space="preserve"> </w:t>
      </w:r>
      <w:r w:rsidR="0044087D" w:rsidRPr="00001309">
        <w:rPr>
          <w:sz w:val="26"/>
          <w:szCs w:val="26"/>
        </w:rPr>
        <w:t xml:space="preserve">the Commission answered the material questions proposed </w:t>
      </w:r>
      <w:r w:rsidRPr="00001309">
        <w:rPr>
          <w:sz w:val="26"/>
          <w:szCs w:val="26"/>
        </w:rPr>
        <w:t>on</w:t>
      </w:r>
      <w:r w:rsidR="009D2E65" w:rsidRPr="00001309">
        <w:rPr>
          <w:sz w:val="26"/>
          <w:szCs w:val="26"/>
        </w:rPr>
        <w:t xml:space="preserve"> interlocutory review</w:t>
      </w:r>
      <w:r w:rsidR="0044087D" w:rsidRPr="00001309">
        <w:rPr>
          <w:sz w:val="26"/>
          <w:szCs w:val="26"/>
        </w:rPr>
        <w:t>.  The holding</w:t>
      </w:r>
      <w:r w:rsidR="009D2E65" w:rsidRPr="00001309">
        <w:rPr>
          <w:sz w:val="26"/>
          <w:szCs w:val="26"/>
        </w:rPr>
        <w:t xml:space="preserve"> </w:t>
      </w:r>
      <w:r w:rsidR="0044087D" w:rsidRPr="00001309">
        <w:rPr>
          <w:sz w:val="26"/>
          <w:szCs w:val="26"/>
        </w:rPr>
        <w:t xml:space="preserve">of the </w:t>
      </w:r>
      <w:r w:rsidR="0044087D" w:rsidRPr="00001309">
        <w:rPr>
          <w:i/>
          <w:sz w:val="26"/>
          <w:szCs w:val="26"/>
        </w:rPr>
        <w:t>December 11, 2014 Order</w:t>
      </w:r>
      <w:r w:rsidR="0044087D" w:rsidRPr="00001309">
        <w:rPr>
          <w:sz w:val="26"/>
          <w:szCs w:val="26"/>
        </w:rPr>
        <w:t xml:space="preserve"> </w:t>
      </w:r>
      <w:r w:rsidR="009D2E65" w:rsidRPr="00001309">
        <w:rPr>
          <w:sz w:val="26"/>
          <w:szCs w:val="26"/>
        </w:rPr>
        <w:t xml:space="preserve">was summarized </w:t>
      </w:r>
      <w:r w:rsidR="00A53C1E" w:rsidRPr="00001309">
        <w:rPr>
          <w:sz w:val="26"/>
          <w:szCs w:val="26"/>
        </w:rPr>
        <w:t xml:space="preserve">by the presiding ALJs </w:t>
      </w:r>
      <w:r w:rsidR="0044087D" w:rsidRPr="00001309">
        <w:rPr>
          <w:sz w:val="26"/>
          <w:szCs w:val="26"/>
        </w:rPr>
        <w:t>a</w:t>
      </w:r>
      <w:r w:rsidR="009D2E65" w:rsidRPr="00001309">
        <w:rPr>
          <w:sz w:val="26"/>
          <w:szCs w:val="26"/>
        </w:rPr>
        <w:t>s follows:</w:t>
      </w:r>
    </w:p>
    <w:p w:rsidR="009D2E65" w:rsidRPr="00001309" w:rsidRDefault="009D2E65" w:rsidP="003F4AE9">
      <w:pPr>
        <w:autoSpaceDE w:val="0"/>
        <w:autoSpaceDN w:val="0"/>
        <w:adjustRightInd w:val="0"/>
        <w:rPr>
          <w:sz w:val="26"/>
          <w:szCs w:val="26"/>
        </w:rPr>
      </w:pPr>
    </w:p>
    <w:p w:rsidR="00E15356" w:rsidRDefault="00B50D8A" w:rsidP="00B50D8A">
      <w:pPr>
        <w:pStyle w:val="Default"/>
        <w:spacing w:line="240" w:lineRule="auto"/>
        <w:ind w:left="1440" w:right="1440" w:firstLine="0"/>
        <w:rPr>
          <w:rFonts w:ascii="Times New Roman" w:hAnsi="Times New Roman" w:cs="Times New Roman"/>
          <w:color w:val="auto"/>
          <w:spacing w:val="-3"/>
          <w:sz w:val="26"/>
          <w:szCs w:val="26"/>
        </w:rPr>
      </w:pPr>
      <w:r w:rsidRPr="00001309">
        <w:rPr>
          <w:rFonts w:ascii="Times New Roman" w:hAnsi="Times New Roman" w:cs="Times New Roman"/>
          <w:color w:val="auto"/>
          <w:sz w:val="26"/>
          <w:szCs w:val="26"/>
        </w:rPr>
        <w:t>Thus, t</w:t>
      </w:r>
      <w:r w:rsidR="003F4AE9" w:rsidRPr="00001309">
        <w:rPr>
          <w:rFonts w:ascii="Times New Roman" w:hAnsi="Times New Roman" w:cs="Times New Roman"/>
          <w:color w:val="auto"/>
          <w:sz w:val="26"/>
          <w:szCs w:val="26"/>
        </w:rPr>
        <w:t xml:space="preserve">he Commission determined it can hear claims alleging fraudulent, deceptive, and/or misleading conduct as well as improper verification and enrollment of customers brought against Blue Pilot under the Commission’s regulations. </w:t>
      </w:r>
      <w:r w:rsidR="00585413" w:rsidRPr="00001309">
        <w:rPr>
          <w:rFonts w:ascii="Times New Roman" w:hAnsi="Times New Roman" w:cs="Times New Roman"/>
          <w:color w:val="auto"/>
          <w:sz w:val="26"/>
          <w:szCs w:val="26"/>
        </w:rPr>
        <w:t xml:space="preserve"> </w:t>
      </w:r>
      <w:r w:rsidR="003F4AE9" w:rsidRPr="00001309">
        <w:rPr>
          <w:rFonts w:ascii="Times New Roman" w:hAnsi="Times New Roman" w:cs="Times New Roman"/>
          <w:color w:val="auto"/>
          <w:sz w:val="26"/>
          <w:szCs w:val="26"/>
        </w:rPr>
        <w:t xml:space="preserve">The Commission answered the Joint Petition in the negative as to whether the Commission has the authority and jurisdiction to find violations of the CPL and TRA and order legal remedies under the CPL or TRA. </w:t>
      </w:r>
      <w:r w:rsidR="00585413" w:rsidRPr="00001309">
        <w:rPr>
          <w:rFonts w:ascii="Times New Roman" w:hAnsi="Times New Roman" w:cs="Times New Roman"/>
          <w:color w:val="auto"/>
          <w:sz w:val="26"/>
          <w:szCs w:val="26"/>
        </w:rPr>
        <w:t xml:space="preserve"> </w:t>
      </w:r>
      <w:r w:rsidR="003F4AE9" w:rsidRPr="00001309">
        <w:rPr>
          <w:rFonts w:ascii="Times New Roman" w:hAnsi="Times New Roman" w:cs="Times New Roman"/>
          <w:color w:val="auto"/>
          <w:sz w:val="26"/>
          <w:szCs w:val="26"/>
        </w:rPr>
        <w:t>The Commission did acknowledge its authority to consider whether its regulations, which reference compliance with the CPL and TRA, have been violated.  The Commission further determined it can hear claims alleging improper verification of enrollment of residential customers under telemarketing</w:t>
      </w:r>
      <w:r w:rsidR="005D0D59" w:rsidRPr="00001309">
        <w:rPr>
          <w:rFonts w:ascii="Times New Roman" w:hAnsi="Times New Roman" w:cs="Times New Roman"/>
          <w:color w:val="auto"/>
          <w:sz w:val="26"/>
          <w:szCs w:val="26"/>
        </w:rPr>
        <w:t xml:space="preserve"> </w:t>
      </w:r>
      <w:r w:rsidR="005D0D59" w:rsidRPr="00001309">
        <w:rPr>
          <w:rFonts w:ascii="Times New Roman" w:hAnsi="Times New Roman" w:cs="Times New Roman"/>
          <w:color w:val="auto"/>
          <w:spacing w:val="-3"/>
          <w:sz w:val="26"/>
          <w:szCs w:val="26"/>
        </w:rPr>
        <w:t xml:space="preserve">regulations. </w:t>
      </w:r>
      <w:r w:rsidR="00585413" w:rsidRPr="00001309">
        <w:rPr>
          <w:rFonts w:ascii="Times New Roman" w:hAnsi="Times New Roman" w:cs="Times New Roman"/>
          <w:color w:val="auto"/>
          <w:spacing w:val="-3"/>
          <w:sz w:val="26"/>
          <w:szCs w:val="26"/>
        </w:rPr>
        <w:t xml:space="preserve"> </w:t>
      </w:r>
      <w:r w:rsidR="005D0D59" w:rsidRPr="00001309">
        <w:rPr>
          <w:rFonts w:ascii="Times New Roman" w:hAnsi="Times New Roman" w:cs="Times New Roman"/>
          <w:color w:val="auto"/>
          <w:spacing w:val="-3"/>
          <w:sz w:val="26"/>
          <w:szCs w:val="26"/>
        </w:rPr>
        <w:t xml:space="preserve">Further, the Commission determined it has the authority and </w:t>
      </w:r>
    </w:p>
    <w:p w:rsidR="005D0D59" w:rsidRPr="00001309" w:rsidRDefault="005D0D59" w:rsidP="00E15356">
      <w:pPr>
        <w:pStyle w:val="Default"/>
        <w:keepNext/>
        <w:keepLines/>
        <w:spacing w:line="240" w:lineRule="auto"/>
        <w:ind w:left="1440" w:right="1440" w:firstLine="0"/>
        <w:rPr>
          <w:rFonts w:ascii="Times New Roman" w:hAnsi="Times New Roman" w:cs="Times New Roman"/>
          <w:color w:val="auto"/>
          <w:spacing w:val="-3"/>
          <w:sz w:val="26"/>
          <w:szCs w:val="26"/>
        </w:rPr>
      </w:pPr>
      <w:r w:rsidRPr="00001309">
        <w:rPr>
          <w:rFonts w:ascii="Times New Roman" w:hAnsi="Times New Roman" w:cs="Times New Roman"/>
          <w:color w:val="auto"/>
          <w:spacing w:val="-3"/>
          <w:sz w:val="26"/>
          <w:szCs w:val="26"/>
        </w:rPr>
        <w:lastRenderedPageBreak/>
        <w:t>jurisdiction to determine whether the prices charged to customers by an EGS conform to the EGS’s disclosure statement regarding pricing.</w:t>
      </w:r>
    </w:p>
    <w:p w:rsidR="00FA29BE" w:rsidRPr="00001309" w:rsidRDefault="00FA29BE" w:rsidP="00E15356">
      <w:pPr>
        <w:pStyle w:val="Default"/>
        <w:keepNext/>
        <w:keepLines/>
        <w:spacing w:line="240" w:lineRule="auto"/>
        <w:ind w:left="1440" w:right="1440" w:firstLine="0"/>
        <w:rPr>
          <w:rFonts w:ascii="Times New Roman" w:hAnsi="Times New Roman" w:cs="Times New Roman"/>
          <w:color w:val="auto"/>
          <w:spacing w:val="-3"/>
          <w:sz w:val="26"/>
          <w:szCs w:val="26"/>
        </w:rPr>
      </w:pPr>
    </w:p>
    <w:p w:rsidR="00FA29BE" w:rsidRPr="00001309" w:rsidRDefault="00FA29BE" w:rsidP="00E15356">
      <w:pPr>
        <w:pStyle w:val="Default"/>
        <w:keepNext/>
        <w:keepLines/>
        <w:spacing w:line="240" w:lineRule="auto"/>
        <w:ind w:left="1440" w:right="1440" w:firstLine="0"/>
        <w:rPr>
          <w:rFonts w:ascii="Times New Roman" w:hAnsi="Times New Roman" w:cs="Times New Roman"/>
          <w:color w:val="auto"/>
          <w:spacing w:val="-3"/>
          <w:sz w:val="26"/>
          <w:szCs w:val="26"/>
        </w:rPr>
      </w:pPr>
    </w:p>
    <w:p w:rsidR="005D0D59" w:rsidRPr="00001309" w:rsidRDefault="009D2E65" w:rsidP="009D2E65">
      <w:pPr>
        <w:pStyle w:val="Default"/>
        <w:ind w:firstLine="0"/>
        <w:rPr>
          <w:rFonts w:ascii="Times New Roman" w:hAnsi="Times New Roman" w:cs="Times New Roman"/>
          <w:color w:val="auto"/>
          <w:spacing w:val="-3"/>
          <w:sz w:val="26"/>
          <w:szCs w:val="26"/>
        </w:rPr>
      </w:pPr>
      <w:r w:rsidRPr="00001309">
        <w:rPr>
          <w:rFonts w:ascii="Times New Roman" w:hAnsi="Times New Roman" w:cs="Times New Roman"/>
          <w:color w:val="auto"/>
          <w:spacing w:val="-3"/>
          <w:sz w:val="26"/>
          <w:szCs w:val="26"/>
        </w:rPr>
        <w:t>I.D. at 6</w:t>
      </w:r>
      <w:r w:rsidR="00181D4A" w:rsidRPr="00001309">
        <w:rPr>
          <w:rFonts w:ascii="Times New Roman" w:hAnsi="Times New Roman" w:cs="Times New Roman"/>
          <w:color w:val="auto"/>
          <w:spacing w:val="-3"/>
          <w:sz w:val="26"/>
          <w:szCs w:val="26"/>
        </w:rPr>
        <w:t>-7</w:t>
      </w:r>
      <w:r w:rsidRPr="00001309">
        <w:rPr>
          <w:rFonts w:ascii="Times New Roman" w:hAnsi="Times New Roman" w:cs="Times New Roman"/>
          <w:color w:val="auto"/>
          <w:spacing w:val="-3"/>
          <w:sz w:val="26"/>
          <w:szCs w:val="26"/>
        </w:rPr>
        <w:t>.</w:t>
      </w:r>
      <w:r w:rsidR="000E0255" w:rsidRPr="00001309">
        <w:rPr>
          <w:rStyle w:val="FootnoteReference"/>
          <w:rFonts w:ascii="Times New Roman" w:hAnsi="Times New Roman" w:cs="Times New Roman"/>
          <w:color w:val="auto"/>
          <w:spacing w:val="-3"/>
          <w:sz w:val="26"/>
          <w:szCs w:val="26"/>
        </w:rPr>
        <w:footnoteReference w:id="12"/>
      </w:r>
    </w:p>
    <w:p w:rsidR="009D2E65" w:rsidRPr="00001309" w:rsidRDefault="009D2E65" w:rsidP="005D0D59">
      <w:pPr>
        <w:autoSpaceDE w:val="0"/>
        <w:autoSpaceDN w:val="0"/>
        <w:adjustRightInd w:val="0"/>
        <w:rPr>
          <w:sz w:val="26"/>
          <w:szCs w:val="26"/>
        </w:rPr>
      </w:pPr>
    </w:p>
    <w:p w:rsidR="005D0D59" w:rsidRPr="00001309" w:rsidRDefault="005D0D59" w:rsidP="005D0D59">
      <w:pPr>
        <w:autoSpaceDE w:val="0"/>
        <w:autoSpaceDN w:val="0"/>
        <w:adjustRightInd w:val="0"/>
        <w:rPr>
          <w:sz w:val="26"/>
          <w:szCs w:val="26"/>
        </w:rPr>
      </w:pPr>
      <w:r w:rsidRPr="00001309">
        <w:rPr>
          <w:sz w:val="26"/>
          <w:szCs w:val="26"/>
        </w:rPr>
        <w:t>By Cancellation/Reschedule Notice dated December 24, 2014, the hearing was rescheduled to February 2-6, 2015</w:t>
      </w:r>
      <w:r w:rsidR="00585413" w:rsidRPr="00001309">
        <w:rPr>
          <w:sz w:val="26"/>
          <w:szCs w:val="26"/>
        </w:rPr>
        <w:t>,</w:t>
      </w:r>
      <w:r w:rsidRPr="00001309">
        <w:rPr>
          <w:sz w:val="26"/>
          <w:szCs w:val="26"/>
        </w:rPr>
        <w:t xml:space="preserve"> and the further prehearing conference was rescheduled to February 20, 2015. </w:t>
      </w:r>
      <w:r w:rsidR="00181D4A" w:rsidRPr="00001309">
        <w:rPr>
          <w:sz w:val="26"/>
          <w:szCs w:val="26"/>
        </w:rPr>
        <w:t xml:space="preserve"> </w:t>
      </w:r>
      <w:r w:rsidRPr="00001309">
        <w:rPr>
          <w:sz w:val="26"/>
          <w:szCs w:val="26"/>
        </w:rPr>
        <w:t xml:space="preserve">On December 29, 2014, Blue Pilot submitted a letter indicating it intended to cross-examine </w:t>
      </w:r>
      <w:proofErr w:type="gramStart"/>
      <w:r w:rsidRPr="00001309">
        <w:rPr>
          <w:sz w:val="26"/>
          <w:szCs w:val="26"/>
        </w:rPr>
        <w:t>all of</w:t>
      </w:r>
      <w:proofErr w:type="gramEnd"/>
      <w:r w:rsidRPr="00001309">
        <w:rPr>
          <w:sz w:val="26"/>
          <w:szCs w:val="26"/>
        </w:rPr>
        <w:t xml:space="preserve"> the consumer witnesses.</w:t>
      </w:r>
      <w:r w:rsidR="0044087D" w:rsidRPr="00001309">
        <w:rPr>
          <w:sz w:val="26"/>
          <w:szCs w:val="26"/>
        </w:rPr>
        <w:t xml:space="preserve">  I.D. at 7.</w:t>
      </w:r>
      <w:r w:rsidRPr="00001309">
        <w:rPr>
          <w:sz w:val="26"/>
          <w:szCs w:val="26"/>
        </w:rPr>
        <w:t xml:space="preserve"> </w:t>
      </w:r>
    </w:p>
    <w:p w:rsidR="005D0D59" w:rsidRPr="00001309" w:rsidRDefault="005D0D59" w:rsidP="005D0D59">
      <w:pPr>
        <w:autoSpaceDE w:val="0"/>
        <w:autoSpaceDN w:val="0"/>
        <w:adjustRightInd w:val="0"/>
        <w:rPr>
          <w:sz w:val="26"/>
          <w:szCs w:val="26"/>
        </w:rPr>
      </w:pPr>
    </w:p>
    <w:p w:rsidR="005D0D59" w:rsidRPr="00001309" w:rsidRDefault="005D0D59" w:rsidP="005D0D59">
      <w:pPr>
        <w:autoSpaceDE w:val="0"/>
        <w:autoSpaceDN w:val="0"/>
        <w:adjustRightInd w:val="0"/>
        <w:rPr>
          <w:sz w:val="26"/>
          <w:szCs w:val="26"/>
        </w:rPr>
      </w:pPr>
      <w:r w:rsidRPr="00001309">
        <w:rPr>
          <w:sz w:val="26"/>
          <w:szCs w:val="26"/>
        </w:rPr>
        <w:t xml:space="preserve">On December 31, 2014, Blue Pilot filed a second motion for continuance. </w:t>
      </w:r>
      <w:r w:rsidR="00585413" w:rsidRPr="00001309">
        <w:rPr>
          <w:sz w:val="26"/>
          <w:szCs w:val="26"/>
        </w:rPr>
        <w:t xml:space="preserve"> </w:t>
      </w:r>
      <w:r w:rsidRPr="00001309">
        <w:rPr>
          <w:sz w:val="26"/>
          <w:szCs w:val="26"/>
        </w:rPr>
        <w:t xml:space="preserve">On January 7, 2015, an Order Granting Second Motion </w:t>
      </w:r>
      <w:proofErr w:type="gramStart"/>
      <w:r w:rsidRPr="00001309">
        <w:rPr>
          <w:sz w:val="26"/>
          <w:szCs w:val="26"/>
        </w:rPr>
        <w:t>For</w:t>
      </w:r>
      <w:proofErr w:type="gramEnd"/>
      <w:r w:rsidRPr="00001309">
        <w:rPr>
          <w:sz w:val="26"/>
          <w:szCs w:val="26"/>
        </w:rPr>
        <w:t xml:space="preserve"> Continuance was entered and the hearing was rescheduled to begin on March 30, 2015.</w:t>
      </w:r>
    </w:p>
    <w:p w:rsidR="005D0D59" w:rsidRPr="00001309" w:rsidRDefault="005D0D59" w:rsidP="005D0D59">
      <w:pPr>
        <w:autoSpaceDE w:val="0"/>
        <w:autoSpaceDN w:val="0"/>
        <w:adjustRightInd w:val="0"/>
        <w:rPr>
          <w:sz w:val="26"/>
          <w:szCs w:val="26"/>
        </w:rPr>
      </w:pPr>
    </w:p>
    <w:p w:rsidR="005D0D59" w:rsidRPr="00001309" w:rsidRDefault="005D0D59" w:rsidP="005D0D59">
      <w:pPr>
        <w:autoSpaceDE w:val="0"/>
        <w:autoSpaceDN w:val="0"/>
        <w:adjustRightInd w:val="0"/>
        <w:rPr>
          <w:sz w:val="26"/>
          <w:szCs w:val="26"/>
        </w:rPr>
      </w:pPr>
      <w:r w:rsidRPr="00001309">
        <w:rPr>
          <w:sz w:val="26"/>
          <w:szCs w:val="26"/>
        </w:rPr>
        <w:t xml:space="preserve">On January 9, 2015, a Further Prehearing Conference Order was issued. </w:t>
      </w:r>
      <w:r w:rsidR="00975F73" w:rsidRPr="00001309">
        <w:rPr>
          <w:sz w:val="26"/>
          <w:szCs w:val="26"/>
        </w:rPr>
        <w:t xml:space="preserve"> </w:t>
      </w:r>
      <w:r w:rsidRPr="00001309">
        <w:rPr>
          <w:sz w:val="26"/>
          <w:szCs w:val="26"/>
        </w:rPr>
        <w:t xml:space="preserve">On January 30, 2015, a Motion for Admission of Geoffrey W. Castello </w:t>
      </w:r>
      <w:r w:rsidRPr="00212A3C">
        <w:rPr>
          <w:i/>
          <w:sz w:val="26"/>
          <w:szCs w:val="26"/>
        </w:rPr>
        <w:t>Pro Hac Vice</w:t>
      </w:r>
      <w:r w:rsidRPr="00001309">
        <w:rPr>
          <w:sz w:val="26"/>
          <w:szCs w:val="26"/>
        </w:rPr>
        <w:t xml:space="preserve"> was filed by Blue Pilot. </w:t>
      </w:r>
      <w:r w:rsidR="00585413" w:rsidRPr="00001309">
        <w:rPr>
          <w:sz w:val="26"/>
          <w:szCs w:val="26"/>
        </w:rPr>
        <w:t xml:space="preserve"> </w:t>
      </w:r>
      <w:r w:rsidRPr="00001309">
        <w:rPr>
          <w:sz w:val="26"/>
          <w:szCs w:val="26"/>
        </w:rPr>
        <w:t xml:space="preserve">On February 4, 2015, a second Prehearing Conference was </w:t>
      </w:r>
      <w:proofErr w:type="gramStart"/>
      <w:r w:rsidRPr="00001309">
        <w:rPr>
          <w:sz w:val="26"/>
          <w:szCs w:val="26"/>
        </w:rPr>
        <w:t>held</w:t>
      </w:r>
      <w:proofErr w:type="gramEnd"/>
      <w:r w:rsidRPr="00001309">
        <w:rPr>
          <w:sz w:val="26"/>
          <w:szCs w:val="26"/>
        </w:rPr>
        <w:t xml:space="preserve"> and Procedural Order #4 was issued granting the Motion on behalf of Blue Pilot and establishing a litigation schedule with expert and other witnesses hearings scheduled for September</w:t>
      </w:r>
      <w:r w:rsidR="00545701" w:rsidRPr="00001309">
        <w:rPr>
          <w:sz w:val="26"/>
          <w:szCs w:val="26"/>
        </w:rPr>
        <w:t> </w:t>
      </w:r>
      <w:r w:rsidRPr="00001309">
        <w:rPr>
          <w:sz w:val="26"/>
          <w:szCs w:val="26"/>
        </w:rPr>
        <w:t>16</w:t>
      </w:r>
      <w:r w:rsidR="00545701" w:rsidRPr="00001309">
        <w:rPr>
          <w:sz w:val="26"/>
          <w:szCs w:val="26"/>
        </w:rPr>
        <w:noBreakHyphen/>
      </w:r>
      <w:r w:rsidRPr="00001309">
        <w:rPr>
          <w:sz w:val="26"/>
          <w:szCs w:val="26"/>
        </w:rPr>
        <w:t>18, 2015.</w:t>
      </w:r>
      <w:r w:rsidR="00181D4A" w:rsidRPr="00001309">
        <w:rPr>
          <w:sz w:val="26"/>
          <w:szCs w:val="26"/>
        </w:rPr>
        <w:t xml:space="preserve">  I.D. at 7.</w:t>
      </w:r>
      <w:r w:rsidRPr="00001309">
        <w:rPr>
          <w:sz w:val="26"/>
          <w:szCs w:val="26"/>
        </w:rPr>
        <w:t xml:space="preserve"> </w:t>
      </w:r>
    </w:p>
    <w:p w:rsidR="005D0D59" w:rsidRPr="00001309" w:rsidRDefault="005D0D59" w:rsidP="005D0D59">
      <w:pPr>
        <w:autoSpaceDE w:val="0"/>
        <w:autoSpaceDN w:val="0"/>
        <w:rPr>
          <w:sz w:val="26"/>
          <w:szCs w:val="26"/>
        </w:rPr>
      </w:pPr>
    </w:p>
    <w:p w:rsidR="00990F81" w:rsidRPr="00001309" w:rsidRDefault="005D0D59" w:rsidP="005D0D59">
      <w:pPr>
        <w:autoSpaceDE w:val="0"/>
        <w:autoSpaceDN w:val="0"/>
        <w:rPr>
          <w:sz w:val="26"/>
          <w:szCs w:val="26"/>
        </w:rPr>
      </w:pPr>
      <w:r w:rsidRPr="00001309">
        <w:rPr>
          <w:sz w:val="26"/>
          <w:szCs w:val="26"/>
        </w:rPr>
        <w:t xml:space="preserve">On March 18, 2015, Blue Pilot moved to strike </w:t>
      </w:r>
      <w:r w:rsidR="00990F81" w:rsidRPr="00001309">
        <w:rPr>
          <w:sz w:val="26"/>
          <w:szCs w:val="26"/>
        </w:rPr>
        <w:t xml:space="preserve">the </w:t>
      </w:r>
      <w:r w:rsidR="00212A3C">
        <w:rPr>
          <w:sz w:val="26"/>
          <w:szCs w:val="26"/>
        </w:rPr>
        <w:t xml:space="preserve">proposed </w:t>
      </w:r>
      <w:r w:rsidRPr="00001309">
        <w:rPr>
          <w:sz w:val="26"/>
          <w:szCs w:val="26"/>
        </w:rPr>
        <w:t xml:space="preserve">direct testimony of various consumers. </w:t>
      </w:r>
      <w:r w:rsidR="00A53C1E" w:rsidRPr="00001309">
        <w:rPr>
          <w:sz w:val="26"/>
          <w:szCs w:val="26"/>
        </w:rPr>
        <w:t xml:space="preserve"> </w:t>
      </w:r>
      <w:r w:rsidRPr="00001309">
        <w:rPr>
          <w:sz w:val="26"/>
          <w:szCs w:val="26"/>
        </w:rPr>
        <w:t xml:space="preserve">On March 26, 2015, </w:t>
      </w:r>
      <w:r w:rsidR="00F429DB">
        <w:rPr>
          <w:sz w:val="26"/>
          <w:szCs w:val="26"/>
        </w:rPr>
        <w:t xml:space="preserve">the </w:t>
      </w:r>
      <w:r w:rsidRPr="00001309">
        <w:rPr>
          <w:sz w:val="26"/>
          <w:szCs w:val="26"/>
        </w:rPr>
        <w:t xml:space="preserve">Joint Complainants filed a Joint Answer to Blue Pilot’s Motion to Strike Consumer Direct Testimony. </w:t>
      </w:r>
      <w:r w:rsidR="00990F81" w:rsidRPr="00001309">
        <w:rPr>
          <w:sz w:val="26"/>
          <w:szCs w:val="26"/>
        </w:rPr>
        <w:t xml:space="preserve"> </w:t>
      </w:r>
      <w:r w:rsidRPr="00001309">
        <w:rPr>
          <w:sz w:val="26"/>
          <w:szCs w:val="26"/>
        </w:rPr>
        <w:t>On March 27, 2015, an Order Denying Motion to Strike was issued.</w:t>
      </w:r>
      <w:r w:rsidR="000A1F42" w:rsidRPr="00001309">
        <w:rPr>
          <w:sz w:val="26"/>
          <w:szCs w:val="26"/>
        </w:rPr>
        <w:t xml:space="preserve">  I.D. at 7.</w:t>
      </w:r>
    </w:p>
    <w:p w:rsidR="00990F81" w:rsidRPr="00001309" w:rsidRDefault="00990F81" w:rsidP="005D0D59">
      <w:pPr>
        <w:autoSpaceDE w:val="0"/>
        <w:autoSpaceDN w:val="0"/>
        <w:rPr>
          <w:sz w:val="26"/>
          <w:szCs w:val="26"/>
        </w:rPr>
      </w:pPr>
    </w:p>
    <w:p w:rsidR="003F4AE9" w:rsidRPr="00001309" w:rsidRDefault="005D0D59" w:rsidP="005D0D59">
      <w:pPr>
        <w:autoSpaceDE w:val="0"/>
        <w:autoSpaceDN w:val="0"/>
        <w:rPr>
          <w:sz w:val="26"/>
          <w:szCs w:val="26"/>
        </w:rPr>
      </w:pPr>
      <w:r w:rsidRPr="00001309">
        <w:rPr>
          <w:sz w:val="26"/>
          <w:szCs w:val="26"/>
        </w:rPr>
        <w:t>On March 30, 31, and April 1, 2015</w:t>
      </w:r>
      <w:r w:rsidR="00990F81" w:rsidRPr="00001309">
        <w:rPr>
          <w:sz w:val="26"/>
          <w:szCs w:val="26"/>
        </w:rPr>
        <w:t>,</w:t>
      </w:r>
      <w:r w:rsidRPr="00001309">
        <w:rPr>
          <w:sz w:val="26"/>
          <w:szCs w:val="26"/>
        </w:rPr>
        <w:t xml:space="preserve"> evidentiary hearings were held </w:t>
      </w:r>
      <w:proofErr w:type="gramStart"/>
      <w:r w:rsidRPr="00001309">
        <w:rPr>
          <w:sz w:val="26"/>
          <w:szCs w:val="26"/>
        </w:rPr>
        <w:t>for the purpose of</w:t>
      </w:r>
      <w:proofErr w:type="gramEnd"/>
      <w:r w:rsidRPr="00001309">
        <w:rPr>
          <w:sz w:val="26"/>
          <w:szCs w:val="26"/>
        </w:rPr>
        <w:t xml:space="preserve"> admitting into the record the pre-served written direct testimony of consumer witnesses, subject to cross examination. </w:t>
      </w:r>
      <w:r w:rsidR="00563B32" w:rsidRPr="00001309">
        <w:rPr>
          <w:sz w:val="26"/>
          <w:szCs w:val="26"/>
        </w:rPr>
        <w:t xml:space="preserve"> </w:t>
      </w:r>
      <w:r w:rsidRPr="00001309">
        <w:rPr>
          <w:sz w:val="26"/>
          <w:szCs w:val="26"/>
        </w:rPr>
        <w:t>At the hearings, the direct testimonies and accompanying exhibits of</w:t>
      </w:r>
      <w:r w:rsidR="00212A3C">
        <w:rPr>
          <w:sz w:val="26"/>
          <w:szCs w:val="26"/>
        </w:rPr>
        <w:t>,</w:t>
      </w:r>
      <w:r w:rsidR="005D499D" w:rsidRPr="00001309">
        <w:rPr>
          <w:sz w:val="26"/>
          <w:szCs w:val="26"/>
        </w:rPr>
        <w:t xml:space="preserve"> approximately</w:t>
      </w:r>
      <w:r w:rsidR="00212A3C">
        <w:rPr>
          <w:sz w:val="26"/>
          <w:szCs w:val="26"/>
        </w:rPr>
        <w:t>,</w:t>
      </w:r>
      <w:r w:rsidR="005D499D" w:rsidRPr="00001309">
        <w:rPr>
          <w:sz w:val="26"/>
          <w:szCs w:val="26"/>
        </w:rPr>
        <w:t xml:space="preserve"> </w:t>
      </w:r>
      <w:r w:rsidR="009E01E4">
        <w:rPr>
          <w:sz w:val="26"/>
          <w:szCs w:val="26"/>
        </w:rPr>
        <w:t>eighty-three</w:t>
      </w:r>
      <w:r w:rsidR="005D499D" w:rsidRPr="00001309">
        <w:rPr>
          <w:sz w:val="26"/>
          <w:szCs w:val="26"/>
        </w:rPr>
        <w:t xml:space="preserve"> consumer witnesses were admitted into the record.</w:t>
      </w:r>
      <w:r w:rsidR="00B1529E" w:rsidRPr="00001309">
        <w:rPr>
          <w:rStyle w:val="FootnoteReference"/>
          <w:sz w:val="26"/>
          <w:szCs w:val="26"/>
        </w:rPr>
        <w:footnoteReference w:id="13"/>
      </w:r>
      <w:r w:rsidR="005D499D" w:rsidRPr="00001309">
        <w:rPr>
          <w:sz w:val="26"/>
          <w:szCs w:val="26"/>
        </w:rPr>
        <w:t xml:space="preserve"> </w:t>
      </w:r>
      <w:r w:rsidR="00B1529E" w:rsidRPr="00001309">
        <w:rPr>
          <w:sz w:val="26"/>
          <w:szCs w:val="26"/>
        </w:rPr>
        <w:t xml:space="preserve"> </w:t>
      </w:r>
      <w:r w:rsidR="005D499D" w:rsidRPr="00001309">
        <w:rPr>
          <w:sz w:val="26"/>
          <w:szCs w:val="26"/>
        </w:rPr>
        <w:t xml:space="preserve">Forty-seven consumer witnesses appeared and testified at the hearings. </w:t>
      </w:r>
      <w:r w:rsidR="009C346F" w:rsidRPr="00001309">
        <w:rPr>
          <w:sz w:val="26"/>
          <w:szCs w:val="26"/>
        </w:rPr>
        <w:t xml:space="preserve"> </w:t>
      </w:r>
      <w:r w:rsidR="005D499D" w:rsidRPr="00001309">
        <w:rPr>
          <w:sz w:val="26"/>
          <w:szCs w:val="26"/>
        </w:rPr>
        <w:t xml:space="preserve">Thirty-six witnesses did not appear in person because their pre-served written testimony was admitted into the record via stipulation of the </w:t>
      </w:r>
      <w:r w:rsidR="00990F81" w:rsidRPr="00001309">
        <w:rPr>
          <w:sz w:val="26"/>
          <w:szCs w:val="26"/>
        </w:rPr>
        <w:t>P</w:t>
      </w:r>
      <w:r w:rsidR="005D499D" w:rsidRPr="00001309">
        <w:rPr>
          <w:sz w:val="26"/>
          <w:szCs w:val="26"/>
        </w:rPr>
        <w:t>arties and with cross-examination waived.</w:t>
      </w:r>
      <w:r w:rsidR="00B1529E" w:rsidRPr="00001309">
        <w:rPr>
          <w:sz w:val="26"/>
          <w:szCs w:val="26"/>
        </w:rPr>
        <w:t xml:space="preserve"> </w:t>
      </w:r>
      <w:r w:rsidR="005D499D" w:rsidRPr="00001309">
        <w:rPr>
          <w:sz w:val="26"/>
          <w:szCs w:val="26"/>
        </w:rPr>
        <w:t xml:space="preserve"> Re-direct and cross-examination exhibits were also admitted into the record.</w:t>
      </w:r>
      <w:r w:rsidR="00CA1976" w:rsidRPr="00001309">
        <w:rPr>
          <w:sz w:val="26"/>
          <w:szCs w:val="26"/>
        </w:rPr>
        <w:t xml:space="preserve">  I.D. at </w:t>
      </w:r>
      <w:r w:rsidR="000A1F42" w:rsidRPr="00001309">
        <w:rPr>
          <w:sz w:val="26"/>
          <w:szCs w:val="26"/>
        </w:rPr>
        <w:t>7-</w:t>
      </w:r>
      <w:r w:rsidR="00CA1976" w:rsidRPr="00001309">
        <w:rPr>
          <w:sz w:val="26"/>
          <w:szCs w:val="26"/>
        </w:rPr>
        <w:t>8.</w:t>
      </w:r>
    </w:p>
    <w:p w:rsidR="00CA1976" w:rsidRPr="00001309" w:rsidRDefault="00CA1976" w:rsidP="005D0D59">
      <w:pPr>
        <w:autoSpaceDE w:val="0"/>
        <w:autoSpaceDN w:val="0"/>
        <w:rPr>
          <w:sz w:val="26"/>
          <w:szCs w:val="26"/>
        </w:rPr>
      </w:pPr>
    </w:p>
    <w:p w:rsidR="00A22722" w:rsidRPr="00001309" w:rsidRDefault="005D499D" w:rsidP="009E01E4">
      <w:pPr>
        <w:autoSpaceDE w:val="0"/>
        <w:autoSpaceDN w:val="0"/>
        <w:adjustRightInd w:val="0"/>
        <w:rPr>
          <w:sz w:val="26"/>
          <w:szCs w:val="26"/>
        </w:rPr>
      </w:pPr>
      <w:r w:rsidRPr="00001309">
        <w:rPr>
          <w:sz w:val="26"/>
          <w:szCs w:val="26"/>
        </w:rPr>
        <w:t>On or about May 4, 2015, Blue Pilot notified the Commission pursuant to 52 Pa.</w:t>
      </w:r>
      <w:r w:rsidR="00A53C1E" w:rsidRPr="00001309">
        <w:rPr>
          <w:sz w:val="26"/>
          <w:szCs w:val="26"/>
        </w:rPr>
        <w:t xml:space="preserve"> </w:t>
      </w:r>
      <w:r w:rsidRPr="00001309">
        <w:rPr>
          <w:sz w:val="26"/>
          <w:szCs w:val="26"/>
        </w:rPr>
        <w:t xml:space="preserve">Code § 54.41(b) of its intention to abandon service to its customers in Pennsylvania. </w:t>
      </w:r>
      <w:r w:rsidR="009C346F" w:rsidRPr="00001309">
        <w:rPr>
          <w:sz w:val="26"/>
          <w:szCs w:val="26"/>
        </w:rPr>
        <w:t xml:space="preserve"> </w:t>
      </w:r>
      <w:r w:rsidRPr="00001309">
        <w:rPr>
          <w:sz w:val="26"/>
          <w:szCs w:val="26"/>
        </w:rPr>
        <w:t xml:space="preserve">The letter requested </w:t>
      </w:r>
      <w:r w:rsidR="00990F81" w:rsidRPr="00001309">
        <w:rPr>
          <w:sz w:val="26"/>
          <w:szCs w:val="26"/>
        </w:rPr>
        <w:t xml:space="preserve">a </w:t>
      </w:r>
      <w:r w:rsidRPr="00001309">
        <w:rPr>
          <w:sz w:val="26"/>
          <w:szCs w:val="26"/>
        </w:rPr>
        <w:t>waiver of the 90-day notice requirement and requested a shortening of the period to 45</w:t>
      </w:r>
      <w:r w:rsidR="000F7C4E" w:rsidRPr="00001309">
        <w:rPr>
          <w:sz w:val="26"/>
          <w:szCs w:val="26"/>
        </w:rPr>
        <w:t>-</w:t>
      </w:r>
      <w:r w:rsidRPr="00001309">
        <w:rPr>
          <w:sz w:val="26"/>
          <w:szCs w:val="26"/>
        </w:rPr>
        <w:t>days</w:t>
      </w:r>
      <w:r w:rsidR="000F7C4E" w:rsidRPr="00001309">
        <w:rPr>
          <w:sz w:val="26"/>
          <w:szCs w:val="26"/>
        </w:rPr>
        <w:t>’</w:t>
      </w:r>
      <w:r w:rsidRPr="00001309">
        <w:rPr>
          <w:sz w:val="26"/>
          <w:szCs w:val="26"/>
        </w:rPr>
        <w:t xml:space="preserve"> notice to</w:t>
      </w:r>
      <w:r w:rsidR="00990F81" w:rsidRPr="00001309">
        <w:rPr>
          <w:sz w:val="26"/>
          <w:szCs w:val="26"/>
        </w:rPr>
        <w:t xml:space="preserve"> affected</w:t>
      </w:r>
      <w:r w:rsidRPr="00001309">
        <w:rPr>
          <w:sz w:val="26"/>
          <w:szCs w:val="26"/>
        </w:rPr>
        <w:t xml:space="preserve"> EDC</w:t>
      </w:r>
      <w:r w:rsidR="00990F81" w:rsidRPr="00001309">
        <w:rPr>
          <w:sz w:val="26"/>
          <w:szCs w:val="26"/>
        </w:rPr>
        <w:t xml:space="preserve"> companies</w:t>
      </w:r>
      <w:r w:rsidRPr="00001309">
        <w:rPr>
          <w:sz w:val="26"/>
          <w:szCs w:val="26"/>
        </w:rPr>
        <w:t xml:space="preserve"> and 218 customers affected by the EGS’s actions.</w:t>
      </w:r>
      <w:r w:rsidR="00990F81" w:rsidRPr="00001309">
        <w:rPr>
          <w:sz w:val="26"/>
          <w:szCs w:val="26"/>
        </w:rPr>
        <w:t xml:space="preserve">  I.D. at 8.</w:t>
      </w:r>
      <w:r w:rsidRPr="00001309">
        <w:rPr>
          <w:sz w:val="26"/>
          <w:szCs w:val="26"/>
        </w:rPr>
        <w:t xml:space="preserve"> </w:t>
      </w:r>
      <w:r w:rsidR="00990F81" w:rsidRPr="00001309">
        <w:rPr>
          <w:sz w:val="26"/>
          <w:szCs w:val="26"/>
        </w:rPr>
        <w:t xml:space="preserve"> </w:t>
      </w:r>
      <w:r w:rsidRPr="00001309">
        <w:rPr>
          <w:sz w:val="26"/>
          <w:szCs w:val="26"/>
        </w:rPr>
        <w:t xml:space="preserve">This letter was docketed at </w:t>
      </w:r>
      <w:r w:rsidR="00A53C1E" w:rsidRPr="00001309">
        <w:rPr>
          <w:sz w:val="26"/>
          <w:szCs w:val="26"/>
        </w:rPr>
        <w:t xml:space="preserve">No. </w:t>
      </w:r>
      <w:r w:rsidRPr="00001309">
        <w:rPr>
          <w:sz w:val="26"/>
          <w:szCs w:val="26"/>
        </w:rPr>
        <w:t>A-2011-2223888</w:t>
      </w:r>
      <w:r w:rsidR="00990F81" w:rsidRPr="00001309">
        <w:rPr>
          <w:sz w:val="26"/>
          <w:szCs w:val="26"/>
        </w:rPr>
        <w:t xml:space="preserve"> and a</w:t>
      </w:r>
      <w:r w:rsidRPr="00001309">
        <w:rPr>
          <w:sz w:val="26"/>
          <w:szCs w:val="26"/>
        </w:rPr>
        <w:t xml:space="preserve"> copy attached to a </w:t>
      </w:r>
      <w:r w:rsidR="00AE3B99">
        <w:rPr>
          <w:sz w:val="26"/>
          <w:szCs w:val="26"/>
        </w:rPr>
        <w:t xml:space="preserve">Blue Pilot </w:t>
      </w:r>
      <w:r w:rsidRPr="00001309">
        <w:rPr>
          <w:sz w:val="26"/>
          <w:szCs w:val="26"/>
        </w:rPr>
        <w:t>Motion to Dismiss Joint Complaint filed in the instant case on May</w:t>
      </w:r>
      <w:r w:rsidR="009E01E4">
        <w:rPr>
          <w:sz w:val="26"/>
          <w:szCs w:val="26"/>
        </w:rPr>
        <w:t> </w:t>
      </w:r>
      <w:r w:rsidRPr="00001309">
        <w:rPr>
          <w:sz w:val="26"/>
          <w:szCs w:val="26"/>
        </w:rPr>
        <w:t>14, 2015.</w:t>
      </w:r>
      <w:r w:rsidR="00990F81" w:rsidRPr="00001309">
        <w:rPr>
          <w:sz w:val="26"/>
          <w:szCs w:val="26"/>
        </w:rPr>
        <w:t xml:space="preserve">  </w:t>
      </w:r>
      <w:r w:rsidR="00990F81" w:rsidRPr="00001309">
        <w:rPr>
          <w:i/>
          <w:sz w:val="26"/>
          <w:szCs w:val="26"/>
        </w:rPr>
        <w:t>Id</w:t>
      </w:r>
      <w:r w:rsidR="00990F81" w:rsidRPr="00001309">
        <w:rPr>
          <w:sz w:val="26"/>
          <w:szCs w:val="26"/>
        </w:rPr>
        <w:t>.</w:t>
      </w:r>
      <w:r w:rsidR="008846AB" w:rsidRPr="00001309">
        <w:rPr>
          <w:sz w:val="26"/>
          <w:szCs w:val="26"/>
        </w:rPr>
        <w:t xml:space="preserve">  Both </w:t>
      </w:r>
      <w:r w:rsidR="00F429DB">
        <w:rPr>
          <w:sz w:val="26"/>
          <w:szCs w:val="26"/>
        </w:rPr>
        <w:t xml:space="preserve">the </w:t>
      </w:r>
      <w:r w:rsidR="008846AB" w:rsidRPr="00001309">
        <w:rPr>
          <w:sz w:val="26"/>
          <w:szCs w:val="26"/>
        </w:rPr>
        <w:t>Joint Complainants and the Commission’s I</w:t>
      </w:r>
      <w:r w:rsidR="000A1F42" w:rsidRPr="00001309">
        <w:rPr>
          <w:sz w:val="26"/>
          <w:szCs w:val="26"/>
        </w:rPr>
        <w:t>&amp;</w:t>
      </w:r>
      <w:r w:rsidR="008846AB" w:rsidRPr="00001309">
        <w:rPr>
          <w:sz w:val="26"/>
          <w:szCs w:val="26"/>
        </w:rPr>
        <w:t>E responded to the letter and advised of the necessity to ensure</w:t>
      </w:r>
      <w:r w:rsidR="00AE3B99">
        <w:rPr>
          <w:sz w:val="26"/>
          <w:szCs w:val="26"/>
        </w:rPr>
        <w:t xml:space="preserve"> that </w:t>
      </w:r>
      <w:proofErr w:type="gramStart"/>
      <w:r w:rsidR="008846AB" w:rsidRPr="00001309">
        <w:rPr>
          <w:sz w:val="26"/>
          <w:szCs w:val="26"/>
        </w:rPr>
        <w:t>all of</w:t>
      </w:r>
      <w:proofErr w:type="gramEnd"/>
      <w:r w:rsidR="008846AB" w:rsidRPr="00001309">
        <w:rPr>
          <w:sz w:val="26"/>
          <w:szCs w:val="26"/>
        </w:rPr>
        <w:t xml:space="preserve"> Blue Pilot’s obligations to Pennsylvania consumers were met prior to cancellation of </w:t>
      </w:r>
      <w:r w:rsidR="00AE3B99">
        <w:rPr>
          <w:sz w:val="26"/>
          <w:szCs w:val="26"/>
        </w:rPr>
        <w:t>Blue Pilot’s</w:t>
      </w:r>
      <w:r w:rsidR="008846AB" w:rsidRPr="00001309">
        <w:rPr>
          <w:sz w:val="26"/>
          <w:szCs w:val="26"/>
        </w:rPr>
        <w:t xml:space="preserve"> EGS license, especially as th</w:t>
      </w:r>
      <w:r w:rsidR="00AE3B99">
        <w:rPr>
          <w:sz w:val="26"/>
          <w:szCs w:val="26"/>
        </w:rPr>
        <w:t>ose obligations</w:t>
      </w:r>
      <w:r w:rsidR="008846AB" w:rsidRPr="00001309">
        <w:rPr>
          <w:sz w:val="26"/>
          <w:szCs w:val="26"/>
        </w:rPr>
        <w:t xml:space="preserve"> pertain to the instant proceeding.  I.D. at 8, n. 6.</w:t>
      </w:r>
    </w:p>
    <w:p w:rsidR="005D499D" w:rsidRPr="00001309" w:rsidRDefault="005D499D" w:rsidP="005D499D">
      <w:pPr>
        <w:autoSpaceDE w:val="0"/>
        <w:autoSpaceDN w:val="0"/>
        <w:adjustRightInd w:val="0"/>
        <w:rPr>
          <w:sz w:val="26"/>
          <w:szCs w:val="26"/>
        </w:rPr>
      </w:pPr>
    </w:p>
    <w:p w:rsidR="005D499D" w:rsidRPr="00001309" w:rsidRDefault="005D499D" w:rsidP="005D499D">
      <w:pPr>
        <w:autoSpaceDE w:val="0"/>
        <w:autoSpaceDN w:val="0"/>
        <w:adjustRightInd w:val="0"/>
        <w:rPr>
          <w:sz w:val="26"/>
          <w:szCs w:val="26"/>
        </w:rPr>
      </w:pPr>
      <w:r w:rsidRPr="00001309">
        <w:rPr>
          <w:sz w:val="26"/>
          <w:szCs w:val="26"/>
        </w:rPr>
        <w:t xml:space="preserve">On May 29, 2015, </w:t>
      </w:r>
      <w:r w:rsidR="00F429DB">
        <w:rPr>
          <w:sz w:val="26"/>
          <w:szCs w:val="26"/>
        </w:rPr>
        <w:t xml:space="preserve">the </w:t>
      </w:r>
      <w:r w:rsidRPr="00001309">
        <w:rPr>
          <w:sz w:val="26"/>
          <w:szCs w:val="26"/>
        </w:rPr>
        <w:t xml:space="preserve">Joint Complainants filed a letter request to suspend the litigation procedural schedule pending a decision on the Motion to Dismiss and “any forthcoming motion(s) or actions from </w:t>
      </w:r>
      <w:r w:rsidR="00F429DB">
        <w:rPr>
          <w:sz w:val="26"/>
          <w:szCs w:val="26"/>
        </w:rPr>
        <w:t xml:space="preserve">the </w:t>
      </w:r>
      <w:r w:rsidRPr="00001309">
        <w:rPr>
          <w:sz w:val="26"/>
          <w:szCs w:val="26"/>
        </w:rPr>
        <w:t xml:space="preserve">Joint Complainants </w:t>
      </w:r>
      <w:r w:rsidR="00B445C3" w:rsidRPr="00001309">
        <w:rPr>
          <w:sz w:val="26"/>
          <w:szCs w:val="26"/>
        </w:rPr>
        <w:t>because</w:t>
      </w:r>
      <w:r w:rsidRPr="00001309">
        <w:rPr>
          <w:sz w:val="26"/>
          <w:szCs w:val="26"/>
        </w:rPr>
        <w:t xml:space="preserve"> Blue Pilot had </w:t>
      </w:r>
      <w:r w:rsidRPr="00001309">
        <w:rPr>
          <w:sz w:val="26"/>
          <w:szCs w:val="26"/>
        </w:rPr>
        <w:lastRenderedPageBreak/>
        <w:t xml:space="preserve">notified the Commission of its intent to abandon service.” </w:t>
      </w:r>
      <w:r w:rsidR="00B445C3" w:rsidRPr="00001309">
        <w:rPr>
          <w:sz w:val="26"/>
          <w:szCs w:val="26"/>
        </w:rPr>
        <w:t xml:space="preserve"> </w:t>
      </w:r>
      <w:r w:rsidRPr="00001309">
        <w:rPr>
          <w:sz w:val="26"/>
          <w:szCs w:val="26"/>
        </w:rPr>
        <w:t xml:space="preserve">On June 1, 2015, Procedural Order #6 was issued keeping the scheduled hearing dates of </w:t>
      </w:r>
      <w:proofErr w:type="gramStart"/>
      <w:r w:rsidRPr="00001309">
        <w:rPr>
          <w:sz w:val="26"/>
          <w:szCs w:val="26"/>
        </w:rPr>
        <w:t>September 16-18, 2015, but</w:t>
      </w:r>
      <w:proofErr w:type="gramEnd"/>
      <w:r w:rsidRPr="00001309">
        <w:rPr>
          <w:sz w:val="26"/>
          <w:szCs w:val="26"/>
        </w:rPr>
        <w:t xml:space="preserve"> suspending the deadlines for testimony until a ruling on the Motion to Dismiss.</w:t>
      </w:r>
      <w:r w:rsidR="0020750D" w:rsidRPr="00001309">
        <w:rPr>
          <w:sz w:val="26"/>
          <w:szCs w:val="26"/>
        </w:rPr>
        <w:t xml:space="preserve">  I.D. at 8.</w:t>
      </w:r>
    </w:p>
    <w:p w:rsidR="005D499D" w:rsidRPr="00001309" w:rsidRDefault="005D499D" w:rsidP="005D499D">
      <w:pPr>
        <w:autoSpaceDE w:val="0"/>
        <w:autoSpaceDN w:val="0"/>
        <w:adjustRightInd w:val="0"/>
        <w:rPr>
          <w:sz w:val="26"/>
          <w:szCs w:val="26"/>
        </w:rPr>
      </w:pPr>
    </w:p>
    <w:p w:rsidR="005D499D" w:rsidRPr="00001309" w:rsidRDefault="005D499D" w:rsidP="005D499D">
      <w:pPr>
        <w:pStyle w:val="Default"/>
        <w:rPr>
          <w:rFonts w:ascii="Times New Roman" w:hAnsi="Times New Roman" w:cs="Times New Roman"/>
          <w:color w:val="auto"/>
          <w:spacing w:val="-3"/>
          <w:sz w:val="26"/>
          <w:szCs w:val="26"/>
        </w:rPr>
      </w:pPr>
      <w:r w:rsidRPr="00001309">
        <w:rPr>
          <w:rFonts w:ascii="Times New Roman" w:hAnsi="Times New Roman" w:cs="Times New Roman"/>
          <w:color w:val="auto"/>
          <w:sz w:val="26"/>
          <w:szCs w:val="26"/>
        </w:rPr>
        <w:t xml:space="preserve">On June 5, 2015, a Joint Answer to the </w:t>
      </w:r>
      <w:r w:rsidR="00D25B50" w:rsidRPr="00001309">
        <w:rPr>
          <w:rFonts w:ascii="Times New Roman" w:hAnsi="Times New Roman" w:cs="Times New Roman"/>
          <w:color w:val="auto"/>
          <w:sz w:val="26"/>
          <w:szCs w:val="26"/>
        </w:rPr>
        <w:t xml:space="preserve">Blue Pilot </w:t>
      </w:r>
      <w:r w:rsidRPr="00001309">
        <w:rPr>
          <w:rFonts w:ascii="Times New Roman" w:hAnsi="Times New Roman" w:cs="Times New Roman"/>
          <w:color w:val="auto"/>
          <w:sz w:val="26"/>
          <w:szCs w:val="26"/>
        </w:rPr>
        <w:t xml:space="preserve">Motion to Dismiss was filed by </w:t>
      </w:r>
      <w:r w:rsidR="00F429DB">
        <w:rPr>
          <w:rFonts w:ascii="Times New Roman" w:hAnsi="Times New Roman" w:cs="Times New Roman"/>
          <w:color w:val="auto"/>
          <w:sz w:val="26"/>
          <w:szCs w:val="26"/>
        </w:rPr>
        <w:t xml:space="preserve">the </w:t>
      </w:r>
      <w:r w:rsidRPr="00001309">
        <w:rPr>
          <w:rFonts w:ascii="Times New Roman" w:hAnsi="Times New Roman" w:cs="Times New Roman"/>
          <w:color w:val="auto"/>
          <w:sz w:val="26"/>
          <w:szCs w:val="26"/>
        </w:rPr>
        <w:t xml:space="preserve">Joint Complainants. </w:t>
      </w:r>
      <w:r w:rsidR="00D25B50" w:rsidRPr="00001309">
        <w:rPr>
          <w:rFonts w:ascii="Times New Roman" w:hAnsi="Times New Roman" w:cs="Times New Roman"/>
          <w:color w:val="auto"/>
          <w:sz w:val="26"/>
          <w:szCs w:val="26"/>
        </w:rPr>
        <w:t xml:space="preserve"> </w:t>
      </w:r>
      <w:r w:rsidRPr="00001309">
        <w:rPr>
          <w:rFonts w:ascii="Times New Roman" w:hAnsi="Times New Roman" w:cs="Times New Roman"/>
          <w:color w:val="auto"/>
          <w:sz w:val="26"/>
          <w:szCs w:val="26"/>
        </w:rPr>
        <w:t>On June 11, 2015, an Order Denying Motion to Dismiss was issued</w:t>
      </w:r>
      <w:r w:rsidR="00AE3B99">
        <w:rPr>
          <w:rFonts w:ascii="Times New Roman" w:hAnsi="Times New Roman" w:cs="Times New Roman"/>
          <w:color w:val="auto"/>
          <w:sz w:val="26"/>
          <w:szCs w:val="26"/>
        </w:rPr>
        <w:t>.  The order</w:t>
      </w:r>
      <w:r w:rsidRPr="00001309">
        <w:rPr>
          <w:rFonts w:ascii="Times New Roman" w:hAnsi="Times New Roman" w:cs="Times New Roman"/>
          <w:color w:val="auto"/>
          <w:sz w:val="26"/>
          <w:szCs w:val="26"/>
        </w:rPr>
        <w:t xml:space="preserve"> direct</w:t>
      </w:r>
      <w:r w:rsidR="00AE3B99">
        <w:rPr>
          <w:rFonts w:ascii="Times New Roman" w:hAnsi="Times New Roman" w:cs="Times New Roman"/>
          <w:color w:val="auto"/>
          <w:sz w:val="26"/>
          <w:szCs w:val="26"/>
        </w:rPr>
        <w:t>ed</w:t>
      </w:r>
      <w:r w:rsidRPr="00001309">
        <w:rPr>
          <w:rFonts w:ascii="Times New Roman" w:hAnsi="Times New Roman" w:cs="Times New Roman"/>
          <w:color w:val="auto"/>
          <w:sz w:val="26"/>
          <w:szCs w:val="26"/>
        </w:rPr>
        <w:t xml:space="preserve"> the </w:t>
      </w:r>
      <w:r w:rsidR="00030C65" w:rsidRPr="00001309">
        <w:rPr>
          <w:rFonts w:ascii="Times New Roman" w:hAnsi="Times New Roman" w:cs="Times New Roman"/>
          <w:color w:val="auto"/>
          <w:sz w:val="26"/>
          <w:szCs w:val="26"/>
        </w:rPr>
        <w:t>P</w:t>
      </w:r>
      <w:r w:rsidRPr="00001309">
        <w:rPr>
          <w:rFonts w:ascii="Times New Roman" w:hAnsi="Times New Roman" w:cs="Times New Roman"/>
          <w:color w:val="auto"/>
          <w:spacing w:val="-3"/>
          <w:sz w:val="26"/>
          <w:szCs w:val="26"/>
        </w:rPr>
        <w:t>arties to provide a new procedural schedule for the remainder of the proceeding concluding with the September 16-18, 2015 hearing dates.</w:t>
      </w:r>
      <w:r w:rsidR="00511E73" w:rsidRPr="00001309">
        <w:rPr>
          <w:rFonts w:ascii="Times New Roman" w:hAnsi="Times New Roman" w:cs="Times New Roman"/>
          <w:color w:val="auto"/>
          <w:spacing w:val="-3"/>
          <w:sz w:val="26"/>
          <w:szCs w:val="26"/>
        </w:rPr>
        <w:t xml:space="preserve">  I.D. at</w:t>
      </w:r>
      <w:r w:rsidR="009E01E4">
        <w:rPr>
          <w:rFonts w:ascii="Times New Roman" w:hAnsi="Times New Roman" w:cs="Times New Roman"/>
          <w:color w:val="auto"/>
          <w:spacing w:val="-3"/>
          <w:sz w:val="26"/>
          <w:szCs w:val="26"/>
        </w:rPr>
        <w:t> </w:t>
      </w:r>
      <w:r w:rsidR="00511E73" w:rsidRPr="00001309">
        <w:rPr>
          <w:rFonts w:ascii="Times New Roman" w:hAnsi="Times New Roman" w:cs="Times New Roman"/>
          <w:color w:val="auto"/>
          <w:spacing w:val="-3"/>
          <w:sz w:val="26"/>
          <w:szCs w:val="26"/>
        </w:rPr>
        <w:t>8</w:t>
      </w:r>
      <w:r w:rsidR="009E01E4">
        <w:rPr>
          <w:rFonts w:ascii="Times New Roman" w:hAnsi="Times New Roman" w:cs="Times New Roman"/>
          <w:color w:val="auto"/>
          <w:spacing w:val="-3"/>
          <w:sz w:val="26"/>
          <w:szCs w:val="26"/>
        </w:rPr>
        <w:noBreakHyphen/>
      </w:r>
      <w:r w:rsidR="00511E73" w:rsidRPr="00001309">
        <w:rPr>
          <w:rFonts w:ascii="Times New Roman" w:hAnsi="Times New Roman" w:cs="Times New Roman"/>
          <w:color w:val="auto"/>
          <w:spacing w:val="-3"/>
          <w:sz w:val="26"/>
          <w:szCs w:val="26"/>
        </w:rPr>
        <w:t>9.</w:t>
      </w:r>
    </w:p>
    <w:p w:rsidR="005D499D" w:rsidRPr="00001309" w:rsidRDefault="005D499D" w:rsidP="005D499D">
      <w:pPr>
        <w:autoSpaceDE w:val="0"/>
        <w:autoSpaceDN w:val="0"/>
        <w:adjustRightInd w:val="0"/>
        <w:rPr>
          <w:sz w:val="26"/>
          <w:szCs w:val="26"/>
        </w:rPr>
      </w:pPr>
    </w:p>
    <w:p w:rsidR="005D499D" w:rsidRPr="00001309" w:rsidRDefault="005D499D" w:rsidP="005D499D">
      <w:pPr>
        <w:autoSpaceDE w:val="0"/>
        <w:autoSpaceDN w:val="0"/>
        <w:adjustRightInd w:val="0"/>
        <w:rPr>
          <w:sz w:val="26"/>
          <w:szCs w:val="26"/>
        </w:rPr>
      </w:pPr>
      <w:r w:rsidRPr="00001309">
        <w:rPr>
          <w:sz w:val="26"/>
          <w:szCs w:val="26"/>
        </w:rPr>
        <w:t xml:space="preserve">On June 22, 2015, </w:t>
      </w:r>
      <w:r w:rsidR="00F429DB">
        <w:rPr>
          <w:sz w:val="26"/>
          <w:szCs w:val="26"/>
        </w:rPr>
        <w:t xml:space="preserve">the </w:t>
      </w:r>
      <w:r w:rsidRPr="00001309">
        <w:rPr>
          <w:sz w:val="26"/>
          <w:szCs w:val="26"/>
        </w:rPr>
        <w:t xml:space="preserve">Joint Complainants filed a Joint Motion for Entry of Judgment against Blue Pilot. </w:t>
      </w:r>
      <w:r w:rsidR="00563B32" w:rsidRPr="00001309">
        <w:rPr>
          <w:sz w:val="26"/>
          <w:szCs w:val="26"/>
        </w:rPr>
        <w:t xml:space="preserve"> </w:t>
      </w:r>
      <w:r w:rsidRPr="00001309">
        <w:rPr>
          <w:sz w:val="26"/>
          <w:szCs w:val="26"/>
        </w:rPr>
        <w:t xml:space="preserve">On July 20, 2015, Blue Pilot filed an Opposition to </w:t>
      </w:r>
      <w:r w:rsidR="00F429DB">
        <w:rPr>
          <w:sz w:val="26"/>
          <w:szCs w:val="26"/>
        </w:rPr>
        <w:t xml:space="preserve">the </w:t>
      </w:r>
      <w:r w:rsidRPr="00001309">
        <w:rPr>
          <w:sz w:val="26"/>
          <w:szCs w:val="26"/>
        </w:rPr>
        <w:t xml:space="preserve">Joint Complainants’ Motion for Entry of Judgment. </w:t>
      </w:r>
      <w:r w:rsidR="00030C65" w:rsidRPr="00001309">
        <w:rPr>
          <w:sz w:val="26"/>
          <w:szCs w:val="26"/>
        </w:rPr>
        <w:t xml:space="preserve"> </w:t>
      </w:r>
      <w:r w:rsidRPr="00001309">
        <w:rPr>
          <w:sz w:val="26"/>
          <w:szCs w:val="26"/>
        </w:rPr>
        <w:t xml:space="preserve">On August 4, 2015, an Order Granting in Part and Denying in Part Motion for Entry of Judgment was entered. </w:t>
      </w:r>
      <w:r w:rsidR="00563B32" w:rsidRPr="00001309">
        <w:rPr>
          <w:sz w:val="26"/>
          <w:szCs w:val="26"/>
        </w:rPr>
        <w:t xml:space="preserve"> </w:t>
      </w:r>
      <w:r w:rsidRPr="00001309">
        <w:rPr>
          <w:sz w:val="26"/>
          <w:szCs w:val="26"/>
        </w:rPr>
        <w:t xml:space="preserve">The ALJs </w:t>
      </w:r>
      <w:r w:rsidR="00030C65" w:rsidRPr="00001309">
        <w:rPr>
          <w:sz w:val="26"/>
          <w:szCs w:val="26"/>
        </w:rPr>
        <w:t>concluded that there existed</w:t>
      </w:r>
      <w:r w:rsidRPr="00001309">
        <w:rPr>
          <w:sz w:val="26"/>
          <w:szCs w:val="26"/>
        </w:rPr>
        <w:t xml:space="preserve"> genuine issues of material fact warranting a hearing pursuant to 66 Pa.C.S. §703.</w:t>
      </w:r>
      <w:r w:rsidR="00563B32" w:rsidRPr="00001309">
        <w:rPr>
          <w:sz w:val="26"/>
          <w:szCs w:val="26"/>
        </w:rPr>
        <w:t xml:space="preserve"> </w:t>
      </w:r>
      <w:r w:rsidRPr="00001309">
        <w:rPr>
          <w:sz w:val="26"/>
          <w:szCs w:val="26"/>
        </w:rPr>
        <w:t xml:space="preserve"> Blue Pilot was given </w:t>
      </w:r>
      <w:r w:rsidR="009E01E4">
        <w:rPr>
          <w:sz w:val="26"/>
          <w:szCs w:val="26"/>
        </w:rPr>
        <w:t>ten</w:t>
      </w:r>
      <w:r w:rsidRPr="00001309">
        <w:rPr>
          <w:sz w:val="26"/>
          <w:szCs w:val="26"/>
        </w:rPr>
        <w:t xml:space="preserve"> days to provide responses to outstanding discovery requests. </w:t>
      </w:r>
      <w:r w:rsidR="00933FD9" w:rsidRPr="00001309">
        <w:rPr>
          <w:sz w:val="26"/>
          <w:szCs w:val="26"/>
        </w:rPr>
        <w:t xml:space="preserve"> </w:t>
      </w:r>
      <w:r w:rsidRPr="00001309">
        <w:rPr>
          <w:sz w:val="26"/>
          <w:szCs w:val="26"/>
        </w:rPr>
        <w:t xml:space="preserve">The </w:t>
      </w:r>
      <w:r w:rsidR="00030C65" w:rsidRPr="00001309">
        <w:rPr>
          <w:sz w:val="26"/>
          <w:szCs w:val="26"/>
        </w:rPr>
        <w:t>P</w:t>
      </w:r>
      <w:r w:rsidRPr="00001309">
        <w:rPr>
          <w:sz w:val="26"/>
          <w:szCs w:val="26"/>
        </w:rPr>
        <w:t>arties were directed to provide the ALJs with a revised procedural schedule.</w:t>
      </w:r>
      <w:r w:rsidR="00511E73" w:rsidRPr="00001309">
        <w:rPr>
          <w:sz w:val="26"/>
          <w:szCs w:val="26"/>
        </w:rPr>
        <w:t xml:space="preserve">  I.D. at 9.</w:t>
      </w:r>
    </w:p>
    <w:p w:rsidR="005D499D" w:rsidRPr="00001309" w:rsidRDefault="005D499D" w:rsidP="005D499D">
      <w:pPr>
        <w:autoSpaceDE w:val="0"/>
        <w:autoSpaceDN w:val="0"/>
        <w:adjustRightInd w:val="0"/>
        <w:rPr>
          <w:sz w:val="26"/>
          <w:szCs w:val="26"/>
        </w:rPr>
      </w:pPr>
    </w:p>
    <w:p w:rsidR="005D499D" w:rsidRPr="00001309" w:rsidRDefault="005D499D" w:rsidP="005D499D">
      <w:pPr>
        <w:autoSpaceDE w:val="0"/>
        <w:autoSpaceDN w:val="0"/>
        <w:adjustRightInd w:val="0"/>
        <w:rPr>
          <w:sz w:val="26"/>
          <w:szCs w:val="26"/>
        </w:rPr>
      </w:pPr>
      <w:r w:rsidRPr="00001309">
        <w:rPr>
          <w:sz w:val="26"/>
          <w:szCs w:val="26"/>
        </w:rPr>
        <w:t xml:space="preserve">On August 14, 2015, Procedural Order #7 was issued cancelling </w:t>
      </w:r>
      <w:r w:rsidR="00E43D44">
        <w:rPr>
          <w:sz w:val="26"/>
          <w:szCs w:val="26"/>
        </w:rPr>
        <w:t xml:space="preserve">the </w:t>
      </w:r>
      <w:r w:rsidRPr="00001309">
        <w:rPr>
          <w:sz w:val="26"/>
          <w:szCs w:val="26"/>
        </w:rPr>
        <w:t xml:space="preserve">evidentiary hearings scheduled for September 16-18, 2015, and rescheduling </w:t>
      </w:r>
      <w:r w:rsidR="00E43D44">
        <w:rPr>
          <w:sz w:val="26"/>
          <w:szCs w:val="26"/>
        </w:rPr>
        <w:t xml:space="preserve">hearings </w:t>
      </w:r>
      <w:r w:rsidRPr="00001309">
        <w:rPr>
          <w:sz w:val="26"/>
          <w:szCs w:val="26"/>
        </w:rPr>
        <w:t xml:space="preserve">to February 3-5, 2016. </w:t>
      </w:r>
      <w:r w:rsidR="00511E73" w:rsidRPr="00001309">
        <w:rPr>
          <w:sz w:val="26"/>
          <w:szCs w:val="26"/>
        </w:rPr>
        <w:t xml:space="preserve"> </w:t>
      </w:r>
      <w:r w:rsidRPr="00001309">
        <w:rPr>
          <w:sz w:val="26"/>
          <w:szCs w:val="26"/>
        </w:rPr>
        <w:t>On August 28, 2015, a Notice of Hearing Cancellation/Reschedule was issued scheduling the hearings for February 3-5, 2016.</w:t>
      </w:r>
      <w:r w:rsidR="00933FD9" w:rsidRPr="00001309">
        <w:rPr>
          <w:sz w:val="26"/>
          <w:szCs w:val="26"/>
        </w:rPr>
        <w:t xml:space="preserve">  I.D. at 9.</w:t>
      </w:r>
    </w:p>
    <w:p w:rsidR="005D499D" w:rsidRPr="00001309" w:rsidRDefault="005D499D" w:rsidP="005D499D">
      <w:pPr>
        <w:autoSpaceDE w:val="0"/>
        <w:autoSpaceDN w:val="0"/>
        <w:adjustRightInd w:val="0"/>
        <w:rPr>
          <w:sz w:val="26"/>
          <w:szCs w:val="26"/>
        </w:rPr>
      </w:pPr>
    </w:p>
    <w:p w:rsidR="005D499D" w:rsidRPr="00001309" w:rsidRDefault="005D499D" w:rsidP="005D499D">
      <w:pPr>
        <w:autoSpaceDE w:val="0"/>
        <w:autoSpaceDN w:val="0"/>
        <w:adjustRightInd w:val="0"/>
        <w:rPr>
          <w:sz w:val="26"/>
          <w:szCs w:val="26"/>
        </w:rPr>
      </w:pPr>
      <w:r w:rsidRPr="00001309">
        <w:rPr>
          <w:sz w:val="26"/>
          <w:szCs w:val="26"/>
        </w:rPr>
        <w:t xml:space="preserve">On October 20, 2015, </w:t>
      </w:r>
      <w:r w:rsidR="00F429DB">
        <w:rPr>
          <w:sz w:val="26"/>
          <w:szCs w:val="26"/>
        </w:rPr>
        <w:t xml:space="preserve">the </w:t>
      </w:r>
      <w:r w:rsidRPr="00001309">
        <w:rPr>
          <w:sz w:val="26"/>
          <w:szCs w:val="26"/>
        </w:rPr>
        <w:t xml:space="preserve">Joint Complainants served expert and non-consumer direct testimony of </w:t>
      </w:r>
      <w:r w:rsidR="00606CF4" w:rsidRPr="00001309">
        <w:rPr>
          <w:sz w:val="26"/>
          <w:szCs w:val="26"/>
        </w:rPr>
        <w:t xml:space="preserve">the following: </w:t>
      </w:r>
      <w:r w:rsidRPr="00001309">
        <w:rPr>
          <w:sz w:val="26"/>
          <w:szCs w:val="26"/>
        </w:rPr>
        <w:t>Barbara Alexander (OAG/OCA St. 1), Steven Estomin (OAG/OCA St. 2), Ashley Everette (OAG/OCA St. 3), and Gregory Strupp (OAG/OCA St.</w:t>
      </w:r>
      <w:r w:rsidR="00545701" w:rsidRPr="00001309">
        <w:rPr>
          <w:sz w:val="26"/>
          <w:szCs w:val="26"/>
        </w:rPr>
        <w:t> </w:t>
      </w:r>
      <w:r w:rsidRPr="00001309">
        <w:rPr>
          <w:sz w:val="26"/>
          <w:szCs w:val="26"/>
        </w:rPr>
        <w:t xml:space="preserve">4). </w:t>
      </w:r>
      <w:r w:rsidR="00511E73" w:rsidRPr="00001309">
        <w:rPr>
          <w:sz w:val="26"/>
          <w:szCs w:val="26"/>
        </w:rPr>
        <w:t xml:space="preserve"> </w:t>
      </w:r>
      <w:r w:rsidR="00563B32" w:rsidRPr="00001309">
        <w:rPr>
          <w:sz w:val="26"/>
          <w:szCs w:val="26"/>
        </w:rPr>
        <w:t>I.D. at 9.</w:t>
      </w:r>
    </w:p>
    <w:p w:rsidR="005D499D" w:rsidRPr="00001309" w:rsidRDefault="005D499D" w:rsidP="005D499D">
      <w:pPr>
        <w:autoSpaceDE w:val="0"/>
        <w:autoSpaceDN w:val="0"/>
        <w:adjustRightInd w:val="0"/>
        <w:rPr>
          <w:sz w:val="26"/>
          <w:szCs w:val="26"/>
        </w:rPr>
      </w:pPr>
    </w:p>
    <w:p w:rsidR="005D499D" w:rsidRPr="00001309" w:rsidRDefault="005D499D" w:rsidP="005D499D">
      <w:pPr>
        <w:autoSpaceDE w:val="0"/>
        <w:autoSpaceDN w:val="0"/>
        <w:adjustRightInd w:val="0"/>
        <w:rPr>
          <w:sz w:val="26"/>
          <w:szCs w:val="26"/>
        </w:rPr>
      </w:pPr>
      <w:r w:rsidRPr="00001309">
        <w:rPr>
          <w:sz w:val="26"/>
          <w:szCs w:val="26"/>
        </w:rPr>
        <w:lastRenderedPageBreak/>
        <w:t xml:space="preserve">On December 8, 2015, Blue Pilot served the Rebuttal Testimony of Raymond Perea (Blue Pilot Energy, LLC St. 1). </w:t>
      </w:r>
      <w:r w:rsidR="00606CF4" w:rsidRPr="00001309">
        <w:rPr>
          <w:sz w:val="26"/>
          <w:szCs w:val="26"/>
        </w:rPr>
        <w:t xml:space="preserve"> </w:t>
      </w:r>
      <w:r w:rsidRPr="00001309">
        <w:rPr>
          <w:sz w:val="26"/>
          <w:szCs w:val="26"/>
        </w:rPr>
        <w:t xml:space="preserve">By letter dated December 16, 2015, </w:t>
      </w:r>
      <w:r w:rsidR="00F429DB">
        <w:rPr>
          <w:sz w:val="26"/>
          <w:szCs w:val="26"/>
        </w:rPr>
        <w:t xml:space="preserve">the </w:t>
      </w:r>
      <w:r w:rsidRPr="00001309">
        <w:rPr>
          <w:sz w:val="26"/>
          <w:szCs w:val="26"/>
        </w:rPr>
        <w:t>Joint Complainants served notice that Nicholas F. Basehore would be a witness who would be adopting the testimony of Gregory M. Strupp at the hearing.</w:t>
      </w:r>
      <w:r w:rsidR="00511E73" w:rsidRPr="00001309">
        <w:rPr>
          <w:sz w:val="26"/>
          <w:szCs w:val="26"/>
        </w:rPr>
        <w:t xml:space="preserve">  I.D. at 9.</w:t>
      </w:r>
    </w:p>
    <w:p w:rsidR="005D499D" w:rsidRPr="00001309" w:rsidRDefault="005D499D" w:rsidP="005D499D">
      <w:pPr>
        <w:autoSpaceDE w:val="0"/>
        <w:autoSpaceDN w:val="0"/>
        <w:rPr>
          <w:sz w:val="26"/>
          <w:szCs w:val="26"/>
        </w:rPr>
      </w:pPr>
    </w:p>
    <w:p w:rsidR="00B66DDD" w:rsidRPr="00001309" w:rsidRDefault="005D499D" w:rsidP="00B66DDD">
      <w:pPr>
        <w:pStyle w:val="Default"/>
        <w:rPr>
          <w:rFonts w:ascii="Times New Roman" w:hAnsi="Times New Roman" w:cs="Times New Roman"/>
          <w:color w:val="auto"/>
          <w:spacing w:val="-3"/>
          <w:sz w:val="26"/>
          <w:szCs w:val="26"/>
        </w:rPr>
      </w:pPr>
      <w:r w:rsidRPr="00001309">
        <w:rPr>
          <w:rFonts w:ascii="Times New Roman" w:hAnsi="Times New Roman" w:cs="Times New Roman"/>
          <w:color w:val="auto"/>
          <w:sz w:val="26"/>
          <w:szCs w:val="26"/>
        </w:rPr>
        <w:t>On December 17, 2015, the Commission</w:t>
      </w:r>
      <w:r w:rsidR="00606CF4" w:rsidRPr="00001309">
        <w:rPr>
          <w:rFonts w:ascii="Times New Roman" w:hAnsi="Times New Roman" w:cs="Times New Roman"/>
          <w:color w:val="auto"/>
          <w:sz w:val="26"/>
          <w:szCs w:val="26"/>
        </w:rPr>
        <w:t>, as noted</w:t>
      </w:r>
      <w:r w:rsidR="00D9135E" w:rsidRPr="00001309">
        <w:rPr>
          <w:rFonts w:ascii="Times New Roman" w:hAnsi="Times New Roman" w:cs="Times New Roman"/>
          <w:color w:val="auto"/>
          <w:sz w:val="26"/>
          <w:szCs w:val="26"/>
        </w:rPr>
        <w:t>,</w:t>
      </w:r>
      <w:r w:rsidR="00606CF4" w:rsidRPr="00001309">
        <w:rPr>
          <w:rFonts w:ascii="Times New Roman" w:hAnsi="Times New Roman" w:cs="Times New Roman"/>
          <w:color w:val="auto"/>
          <w:sz w:val="26"/>
          <w:szCs w:val="26"/>
        </w:rPr>
        <w:t xml:space="preserve"> began proceedings resulting in the suspension of the EGS license of Blue Pilot.</w:t>
      </w:r>
    </w:p>
    <w:p w:rsidR="00B66DDD" w:rsidRPr="00001309" w:rsidRDefault="00B66DDD" w:rsidP="00B66DDD">
      <w:pPr>
        <w:pStyle w:val="Default"/>
        <w:rPr>
          <w:rFonts w:ascii="Times New Roman" w:hAnsi="Times New Roman" w:cs="Times New Roman"/>
          <w:color w:val="auto"/>
          <w:spacing w:val="-3"/>
          <w:sz w:val="26"/>
          <w:szCs w:val="26"/>
        </w:rPr>
      </w:pPr>
    </w:p>
    <w:p w:rsidR="00606CF4" w:rsidRPr="00001309" w:rsidRDefault="00B66DDD" w:rsidP="00B66DDD">
      <w:pPr>
        <w:autoSpaceDE w:val="0"/>
        <w:autoSpaceDN w:val="0"/>
        <w:adjustRightInd w:val="0"/>
        <w:rPr>
          <w:sz w:val="26"/>
          <w:szCs w:val="26"/>
        </w:rPr>
      </w:pPr>
      <w:r w:rsidRPr="00001309">
        <w:rPr>
          <w:sz w:val="26"/>
          <w:szCs w:val="26"/>
        </w:rPr>
        <w:t xml:space="preserve">On January 6, 2016, Geoffrey Castello, Esquire, admitted </w:t>
      </w:r>
      <w:r w:rsidRPr="00001309">
        <w:rPr>
          <w:i/>
          <w:sz w:val="26"/>
          <w:szCs w:val="26"/>
        </w:rPr>
        <w:t>pro hac vice</w:t>
      </w:r>
      <w:r w:rsidRPr="00001309">
        <w:rPr>
          <w:sz w:val="26"/>
          <w:szCs w:val="26"/>
        </w:rPr>
        <w:t>, withdrew his appearance for Blue Pilot.</w:t>
      </w:r>
    </w:p>
    <w:p w:rsidR="00606CF4" w:rsidRPr="00001309" w:rsidRDefault="00606CF4" w:rsidP="00B66DDD">
      <w:pPr>
        <w:autoSpaceDE w:val="0"/>
        <w:autoSpaceDN w:val="0"/>
        <w:adjustRightInd w:val="0"/>
        <w:rPr>
          <w:i/>
          <w:sz w:val="26"/>
          <w:szCs w:val="26"/>
        </w:rPr>
      </w:pPr>
    </w:p>
    <w:p w:rsidR="00B66DDD" w:rsidRPr="00001309" w:rsidRDefault="00B66DDD" w:rsidP="00B66DDD">
      <w:pPr>
        <w:autoSpaceDE w:val="0"/>
        <w:autoSpaceDN w:val="0"/>
        <w:adjustRightInd w:val="0"/>
        <w:rPr>
          <w:sz w:val="26"/>
          <w:szCs w:val="26"/>
        </w:rPr>
      </w:pPr>
      <w:r w:rsidRPr="00001309">
        <w:rPr>
          <w:sz w:val="26"/>
          <w:szCs w:val="26"/>
        </w:rPr>
        <w:t xml:space="preserve">On January 20, 2016, </w:t>
      </w:r>
      <w:r w:rsidR="00F429DB">
        <w:rPr>
          <w:sz w:val="26"/>
          <w:szCs w:val="26"/>
        </w:rPr>
        <w:t xml:space="preserve">the </w:t>
      </w:r>
      <w:r w:rsidRPr="00001309">
        <w:rPr>
          <w:sz w:val="26"/>
          <w:szCs w:val="26"/>
        </w:rPr>
        <w:t xml:space="preserve">Joint Complainants served Surrebuttal Testimony of Barbara Alexander, (OAG/OCA Statement No. 1-SR). </w:t>
      </w:r>
      <w:r w:rsidR="00606CF4" w:rsidRPr="00001309">
        <w:rPr>
          <w:sz w:val="26"/>
          <w:szCs w:val="26"/>
        </w:rPr>
        <w:t xml:space="preserve"> </w:t>
      </w:r>
      <w:r w:rsidRPr="00001309">
        <w:rPr>
          <w:sz w:val="26"/>
          <w:szCs w:val="26"/>
        </w:rPr>
        <w:t xml:space="preserve">On February 1, 2016, </w:t>
      </w:r>
      <w:r w:rsidR="00F429DB">
        <w:rPr>
          <w:sz w:val="26"/>
          <w:szCs w:val="26"/>
        </w:rPr>
        <w:t xml:space="preserve">the </w:t>
      </w:r>
      <w:r w:rsidRPr="00001309">
        <w:rPr>
          <w:sz w:val="26"/>
          <w:szCs w:val="26"/>
        </w:rPr>
        <w:t>Joint Complainants served the Supplemental Surrebuttal Testimony of Barbara Alexander, (OAG/OCA Statement No. 1-SR (Suppl.)).</w:t>
      </w:r>
      <w:r w:rsidR="00230C6E" w:rsidRPr="00001309">
        <w:rPr>
          <w:sz w:val="26"/>
          <w:szCs w:val="26"/>
        </w:rPr>
        <w:t xml:space="preserve">  I.D. at 10.</w:t>
      </w:r>
    </w:p>
    <w:p w:rsidR="00B66DDD" w:rsidRPr="00001309" w:rsidRDefault="00B66DDD" w:rsidP="00B66DDD">
      <w:pPr>
        <w:autoSpaceDE w:val="0"/>
        <w:autoSpaceDN w:val="0"/>
        <w:adjustRightInd w:val="0"/>
        <w:rPr>
          <w:sz w:val="26"/>
          <w:szCs w:val="26"/>
        </w:rPr>
      </w:pPr>
    </w:p>
    <w:p w:rsidR="00225867" w:rsidRPr="00001309" w:rsidRDefault="00B66DDD" w:rsidP="00B66DDD">
      <w:pPr>
        <w:autoSpaceDE w:val="0"/>
        <w:autoSpaceDN w:val="0"/>
        <w:adjustRightInd w:val="0"/>
        <w:rPr>
          <w:sz w:val="26"/>
          <w:szCs w:val="26"/>
        </w:rPr>
      </w:pPr>
      <w:r w:rsidRPr="00001309">
        <w:rPr>
          <w:sz w:val="26"/>
          <w:szCs w:val="26"/>
        </w:rPr>
        <w:t xml:space="preserve">On February 3, 2016, an evidentiary hearing was held. </w:t>
      </w:r>
      <w:r w:rsidR="00563B32" w:rsidRPr="00001309">
        <w:rPr>
          <w:sz w:val="26"/>
          <w:szCs w:val="26"/>
        </w:rPr>
        <w:t xml:space="preserve"> </w:t>
      </w:r>
      <w:r w:rsidRPr="00001309">
        <w:rPr>
          <w:sz w:val="26"/>
          <w:szCs w:val="26"/>
        </w:rPr>
        <w:t xml:space="preserve">At the hearing, Blue Pilot indicated it would not be moving for admission </w:t>
      </w:r>
      <w:r w:rsidR="00933FD9" w:rsidRPr="00001309">
        <w:rPr>
          <w:sz w:val="26"/>
          <w:szCs w:val="26"/>
        </w:rPr>
        <w:t xml:space="preserve">of </w:t>
      </w:r>
      <w:r w:rsidRPr="00001309">
        <w:rPr>
          <w:sz w:val="26"/>
          <w:szCs w:val="26"/>
        </w:rPr>
        <w:t xml:space="preserve">the Rebuttal Testimony of Mr. Perea. </w:t>
      </w:r>
      <w:r w:rsidR="00933FD9" w:rsidRPr="00001309">
        <w:rPr>
          <w:sz w:val="26"/>
          <w:szCs w:val="26"/>
        </w:rPr>
        <w:t xml:space="preserve"> </w:t>
      </w:r>
      <w:r w:rsidRPr="00001309">
        <w:rPr>
          <w:sz w:val="26"/>
          <w:szCs w:val="26"/>
        </w:rPr>
        <w:t>Therefore, OAG/OCA withdrew its motion to admit the Surrebuttal Testimony of Barbara Alexander, although it had been marked for evidence at the hearing.</w:t>
      </w:r>
      <w:r w:rsidR="00933FD9" w:rsidRPr="00001309">
        <w:rPr>
          <w:sz w:val="26"/>
          <w:szCs w:val="26"/>
        </w:rPr>
        <w:t xml:space="preserve">  </w:t>
      </w:r>
      <w:r w:rsidR="00933FD9" w:rsidRPr="00001309">
        <w:rPr>
          <w:i/>
          <w:sz w:val="26"/>
          <w:szCs w:val="26"/>
        </w:rPr>
        <w:t xml:space="preserve">See </w:t>
      </w:r>
      <w:r w:rsidR="00933FD9" w:rsidRPr="00001309">
        <w:rPr>
          <w:sz w:val="26"/>
          <w:szCs w:val="26"/>
        </w:rPr>
        <w:t xml:space="preserve">I.D. at 10, citing </w:t>
      </w:r>
      <w:r w:rsidRPr="00001309">
        <w:rPr>
          <w:sz w:val="26"/>
          <w:szCs w:val="26"/>
        </w:rPr>
        <w:t xml:space="preserve">N.T. 720-721. </w:t>
      </w:r>
      <w:r w:rsidR="00230C6E" w:rsidRPr="00001309">
        <w:rPr>
          <w:sz w:val="26"/>
          <w:szCs w:val="26"/>
        </w:rPr>
        <w:t xml:space="preserve"> </w:t>
      </w:r>
      <w:r w:rsidRPr="00001309">
        <w:rPr>
          <w:sz w:val="26"/>
          <w:szCs w:val="26"/>
        </w:rPr>
        <w:t>Over the objection of Blue Pilot, Ms. Alexander’s Supplemental Surrebuttal Testimony, OAG/OCA St. 1-SR Supplemental</w:t>
      </w:r>
      <w:r w:rsidR="00933FD9" w:rsidRPr="00001309">
        <w:rPr>
          <w:sz w:val="26"/>
          <w:szCs w:val="26"/>
        </w:rPr>
        <w:t>,</w:t>
      </w:r>
      <w:r w:rsidRPr="00001309">
        <w:rPr>
          <w:sz w:val="26"/>
          <w:szCs w:val="26"/>
        </w:rPr>
        <w:t xml:space="preserve"> was moved and accepted into evidence.</w:t>
      </w:r>
      <w:r w:rsidR="00606CF4" w:rsidRPr="00001309">
        <w:rPr>
          <w:sz w:val="26"/>
          <w:szCs w:val="26"/>
        </w:rPr>
        <w:t xml:space="preserve"> </w:t>
      </w:r>
      <w:r w:rsidRPr="00001309">
        <w:rPr>
          <w:sz w:val="26"/>
          <w:szCs w:val="26"/>
        </w:rPr>
        <w:t xml:space="preserve"> N.T. 720-728</w:t>
      </w:r>
      <w:r w:rsidR="00933FD9" w:rsidRPr="00001309">
        <w:rPr>
          <w:sz w:val="26"/>
          <w:szCs w:val="26"/>
        </w:rPr>
        <w:t>;</w:t>
      </w:r>
      <w:r w:rsidR="00225867" w:rsidRPr="00001309">
        <w:rPr>
          <w:sz w:val="26"/>
          <w:szCs w:val="26"/>
        </w:rPr>
        <w:t xml:space="preserve"> I.D. at 10.</w:t>
      </w:r>
    </w:p>
    <w:p w:rsidR="00225867" w:rsidRPr="00001309" w:rsidRDefault="00225867" w:rsidP="00B66DDD">
      <w:pPr>
        <w:autoSpaceDE w:val="0"/>
        <w:autoSpaceDN w:val="0"/>
        <w:adjustRightInd w:val="0"/>
        <w:rPr>
          <w:sz w:val="26"/>
          <w:szCs w:val="26"/>
        </w:rPr>
      </w:pPr>
    </w:p>
    <w:p w:rsidR="00217AD9" w:rsidRPr="00001309" w:rsidRDefault="00225867" w:rsidP="00606CF4">
      <w:pPr>
        <w:autoSpaceDE w:val="0"/>
        <w:autoSpaceDN w:val="0"/>
        <w:adjustRightInd w:val="0"/>
        <w:rPr>
          <w:sz w:val="26"/>
          <w:szCs w:val="26"/>
        </w:rPr>
      </w:pPr>
      <w:r w:rsidRPr="00001309">
        <w:rPr>
          <w:sz w:val="26"/>
          <w:szCs w:val="26"/>
        </w:rPr>
        <w:t xml:space="preserve">We note that </w:t>
      </w:r>
      <w:r w:rsidR="00B66DDD" w:rsidRPr="00001309">
        <w:rPr>
          <w:sz w:val="26"/>
          <w:szCs w:val="26"/>
        </w:rPr>
        <w:t xml:space="preserve">Blue Pilot cross examined </w:t>
      </w:r>
      <w:r w:rsidR="00F429DB">
        <w:rPr>
          <w:sz w:val="26"/>
          <w:szCs w:val="26"/>
        </w:rPr>
        <w:t xml:space="preserve">the </w:t>
      </w:r>
      <w:r w:rsidR="00B66DDD" w:rsidRPr="00001309">
        <w:rPr>
          <w:sz w:val="26"/>
          <w:szCs w:val="26"/>
        </w:rPr>
        <w:t xml:space="preserve">Joint Complainants’ </w:t>
      </w:r>
      <w:r w:rsidR="00CE10DC" w:rsidRPr="00001309">
        <w:rPr>
          <w:sz w:val="26"/>
          <w:szCs w:val="26"/>
        </w:rPr>
        <w:t>witnesses but</w:t>
      </w:r>
      <w:r w:rsidR="00B66DDD" w:rsidRPr="00001309">
        <w:rPr>
          <w:sz w:val="26"/>
          <w:szCs w:val="26"/>
        </w:rPr>
        <w:t xml:space="preserve"> did not present any witnesses</w:t>
      </w:r>
      <w:r w:rsidR="00B36832" w:rsidRPr="00001309">
        <w:rPr>
          <w:sz w:val="26"/>
          <w:szCs w:val="26"/>
        </w:rPr>
        <w:t>.  Blue Pilot sponsored</w:t>
      </w:r>
      <w:r w:rsidR="00B66DDD" w:rsidRPr="00001309">
        <w:rPr>
          <w:sz w:val="26"/>
          <w:szCs w:val="26"/>
        </w:rPr>
        <w:t xml:space="preserve"> 5 cross-examination exhibits.</w:t>
      </w:r>
      <w:r w:rsidR="00230C6E" w:rsidRPr="00001309">
        <w:rPr>
          <w:sz w:val="26"/>
          <w:szCs w:val="26"/>
        </w:rPr>
        <w:t xml:space="preserve">  I.D. at</w:t>
      </w:r>
      <w:r w:rsidR="00B44826" w:rsidRPr="00001309">
        <w:rPr>
          <w:sz w:val="26"/>
          <w:szCs w:val="26"/>
        </w:rPr>
        <w:t> </w:t>
      </w:r>
      <w:r w:rsidR="00230C6E" w:rsidRPr="00001309">
        <w:rPr>
          <w:sz w:val="26"/>
          <w:szCs w:val="26"/>
        </w:rPr>
        <w:t>10.</w:t>
      </w:r>
    </w:p>
    <w:p w:rsidR="00A7145A" w:rsidRPr="00001309" w:rsidRDefault="00A7145A" w:rsidP="00606CF4">
      <w:pPr>
        <w:autoSpaceDE w:val="0"/>
        <w:autoSpaceDN w:val="0"/>
        <w:adjustRightInd w:val="0"/>
        <w:rPr>
          <w:sz w:val="26"/>
          <w:szCs w:val="26"/>
        </w:rPr>
      </w:pPr>
    </w:p>
    <w:p w:rsidR="00563B32" w:rsidRPr="00001309" w:rsidRDefault="00B66DDD" w:rsidP="00B66DDD">
      <w:pPr>
        <w:autoSpaceDE w:val="0"/>
        <w:autoSpaceDN w:val="0"/>
        <w:rPr>
          <w:sz w:val="26"/>
          <w:szCs w:val="26"/>
        </w:rPr>
      </w:pPr>
      <w:r w:rsidRPr="00001309">
        <w:rPr>
          <w:sz w:val="26"/>
          <w:szCs w:val="26"/>
        </w:rPr>
        <w:lastRenderedPageBreak/>
        <w:t xml:space="preserve">On February 4, 2016, a Briefing Order was issued. </w:t>
      </w:r>
      <w:r w:rsidR="00A53C1E" w:rsidRPr="00001309">
        <w:rPr>
          <w:sz w:val="26"/>
          <w:szCs w:val="26"/>
        </w:rPr>
        <w:t xml:space="preserve"> </w:t>
      </w:r>
      <w:r w:rsidRPr="00001309">
        <w:rPr>
          <w:sz w:val="26"/>
          <w:szCs w:val="26"/>
        </w:rPr>
        <w:t>A transcript of the hearing was filed on February 10, 2016, consisting of 69 pages.</w:t>
      </w:r>
      <w:r w:rsidR="00230C6E" w:rsidRPr="00001309">
        <w:rPr>
          <w:sz w:val="26"/>
          <w:szCs w:val="26"/>
        </w:rPr>
        <w:t xml:space="preserve">  I.D. at 10.</w:t>
      </w:r>
    </w:p>
    <w:p w:rsidR="00563B32" w:rsidRPr="00001309" w:rsidRDefault="00563B32" w:rsidP="00B66DDD">
      <w:pPr>
        <w:autoSpaceDE w:val="0"/>
        <w:autoSpaceDN w:val="0"/>
        <w:rPr>
          <w:sz w:val="26"/>
          <w:szCs w:val="26"/>
        </w:rPr>
      </w:pPr>
    </w:p>
    <w:p w:rsidR="00563B32" w:rsidRPr="00001309" w:rsidRDefault="00B66DDD" w:rsidP="00B66DDD">
      <w:pPr>
        <w:autoSpaceDE w:val="0"/>
        <w:autoSpaceDN w:val="0"/>
        <w:rPr>
          <w:sz w:val="26"/>
          <w:szCs w:val="26"/>
        </w:rPr>
      </w:pPr>
      <w:r w:rsidRPr="00001309">
        <w:rPr>
          <w:sz w:val="26"/>
          <w:szCs w:val="26"/>
        </w:rPr>
        <w:t xml:space="preserve">On March 2, 2016, Main Briefs were filed by Blue Pilot and </w:t>
      </w:r>
      <w:r w:rsidR="00F429DB">
        <w:rPr>
          <w:sz w:val="26"/>
          <w:szCs w:val="26"/>
        </w:rPr>
        <w:t xml:space="preserve">the </w:t>
      </w:r>
      <w:r w:rsidRPr="00001309">
        <w:rPr>
          <w:sz w:val="26"/>
          <w:szCs w:val="26"/>
        </w:rPr>
        <w:t xml:space="preserve">Joint Complainants. </w:t>
      </w:r>
      <w:r w:rsidR="00DE24DC" w:rsidRPr="00001309">
        <w:rPr>
          <w:sz w:val="26"/>
          <w:szCs w:val="26"/>
        </w:rPr>
        <w:t xml:space="preserve"> </w:t>
      </w:r>
      <w:r w:rsidRPr="00001309">
        <w:rPr>
          <w:sz w:val="26"/>
          <w:szCs w:val="26"/>
        </w:rPr>
        <w:t xml:space="preserve">On March 23, 2016, Reply Briefs were filed by Blue Pilot and </w:t>
      </w:r>
      <w:r w:rsidR="00F429DB">
        <w:rPr>
          <w:sz w:val="26"/>
          <w:szCs w:val="26"/>
        </w:rPr>
        <w:t xml:space="preserve">the </w:t>
      </w:r>
      <w:r w:rsidRPr="00001309">
        <w:rPr>
          <w:sz w:val="26"/>
          <w:szCs w:val="26"/>
        </w:rPr>
        <w:t xml:space="preserve">Joint Complainants. </w:t>
      </w:r>
      <w:r w:rsidR="00723657" w:rsidRPr="00001309">
        <w:rPr>
          <w:sz w:val="26"/>
          <w:szCs w:val="26"/>
        </w:rPr>
        <w:t xml:space="preserve"> </w:t>
      </w:r>
      <w:r w:rsidRPr="00001309">
        <w:rPr>
          <w:sz w:val="26"/>
          <w:szCs w:val="26"/>
        </w:rPr>
        <w:t>I&amp;E and OSBA did not submit any briefs.</w:t>
      </w:r>
      <w:r w:rsidR="00E820A4" w:rsidRPr="00001309">
        <w:rPr>
          <w:sz w:val="26"/>
          <w:szCs w:val="26"/>
        </w:rPr>
        <w:t xml:space="preserve">  I.D. at 10.</w:t>
      </w:r>
    </w:p>
    <w:p w:rsidR="00563B32" w:rsidRPr="00001309" w:rsidRDefault="00563B32" w:rsidP="00B66DDD">
      <w:pPr>
        <w:autoSpaceDE w:val="0"/>
        <w:autoSpaceDN w:val="0"/>
        <w:rPr>
          <w:sz w:val="26"/>
          <w:szCs w:val="26"/>
        </w:rPr>
      </w:pPr>
    </w:p>
    <w:p w:rsidR="004768C5" w:rsidRPr="00001309" w:rsidRDefault="00B66DDD" w:rsidP="00A75181">
      <w:pPr>
        <w:autoSpaceDE w:val="0"/>
        <w:autoSpaceDN w:val="0"/>
        <w:rPr>
          <w:sz w:val="26"/>
          <w:szCs w:val="26"/>
        </w:rPr>
      </w:pPr>
      <w:r w:rsidRPr="00001309">
        <w:rPr>
          <w:sz w:val="26"/>
          <w:szCs w:val="26"/>
        </w:rPr>
        <w:t xml:space="preserve">By Interim Order, the record in this case closed on March 24, 2016. </w:t>
      </w:r>
      <w:r w:rsidR="007916B1" w:rsidRPr="00001309">
        <w:rPr>
          <w:sz w:val="26"/>
          <w:szCs w:val="26"/>
        </w:rPr>
        <w:t xml:space="preserve"> </w:t>
      </w:r>
      <w:r w:rsidRPr="00001309">
        <w:rPr>
          <w:sz w:val="26"/>
          <w:szCs w:val="26"/>
        </w:rPr>
        <w:t>On May</w:t>
      </w:r>
      <w:r w:rsidR="00A7145A" w:rsidRPr="00001309">
        <w:rPr>
          <w:sz w:val="26"/>
          <w:szCs w:val="26"/>
        </w:rPr>
        <w:t> </w:t>
      </w:r>
      <w:r w:rsidRPr="00001309">
        <w:rPr>
          <w:sz w:val="26"/>
          <w:szCs w:val="26"/>
        </w:rPr>
        <w:t>3, 2016, Blue Pilot filed a letter stating it agree</w:t>
      </w:r>
      <w:r w:rsidR="009B33EC" w:rsidRPr="00001309">
        <w:rPr>
          <w:sz w:val="26"/>
          <w:szCs w:val="26"/>
        </w:rPr>
        <w:t>d</w:t>
      </w:r>
      <w:r w:rsidRPr="00001309">
        <w:rPr>
          <w:sz w:val="26"/>
          <w:szCs w:val="26"/>
        </w:rPr>
        <w:t xml:space="preserve"> to waive confidential treatment of certain material contained in the written testimonies and briefs previously submitted by </w:t>
      </w:r>
      <w:r w:rsidR="00F429DB">
        <w:rPr>
          <w:sz w:val="26"/>
          <w:szCs w:val="26"/>
        </w:rPr>
        <w:t xml:space="preserve">the </w:t>
      </w:r>
      <w:r w:rsidRPr="00001309">
        <w:rPr>
          <w:sz w:val="26"/>
          <w:szCs w:val="26"/>
        </w:rPr>
        <w:t>Joint Complainants.</w:t>
      </w:r>
      <w:r w:rsidR="00EE23A7" w:rsidRPr="00001309">
        <w:rPr>
          <w:sz w:val="26"/>
          <w:szCs w:val="26"/>
        </w:rPr>
        <w:t xml:space="preserve">  I.D. at 10.</w:t>
      </w:r>
    </w:p>
    <w:p w:rsidR="004768C5" w:rsidRPr="00001309" w:rsidRDefault="004768C5" w:rsidP="00A75181">
      <w:pPr>
        <w:autoSpaceDE w:val="0"/>
        <w:autoSpaceDN w:val="0"/>
        <w:rPr>
          <w:sz w:val="26"/>
          <w:szCs w:val="26"/>
        </w:rPr>
      </w:pPr>
    </w:p>
    <w:p w:rsidR="004768C5" w:rsidRPr="00001309" w:rsidRDefault="00B66DDD" w:rsidP="00A75181">
      <w:pPr>
        <w:autoSpaceDE w:val="0"/>
        <w:autoSpaceDN w:val="0"/>
        <w:rPr>
          <w:sz w:val="26"/>
          <w:szCs w:val="26"/>
        </w:rPr>
      </w:pPr>
      <w:r w:rsidRPr="00001309">
        <w:rPr>
          <w:sz w:val="26"/>
          <w:szCs w:val="26"/>
        </w:rPr>
        <w:t xml:space="preserve">On May 9, 2016, </w:t>
      </w:r>
      <w:r w:rsidR="00F429DB">
        <w:rPr>
          <w:sz w:val="26"/>
          <w:szCs w:val="26"/>
        </w:rPr>
        <w:t xml:space="preserve">the </w:t>
      </w:r>
      <w:r w:rsidRPr="00001309">
        <w:rPr>
          <w:sz w:val="26"/>
          <w:szCs w:val="26"/>
        </w:rPr>
        <w:t>Joint Complainants filed revised Main and Reply Briefs, which have certain confidential designations removed.</w:t>
      </w:r>
      <w:r w:rsidR="004768C5" w:rsidRPr="00001309">
        <w:rPr>
          <w:rStyle w:val="FootnoteReference"/>
          <w:sz w:val="26"/>
          <w:szCs w:val="26"/>
        </w:rPr>
        <w:t xml:space="preserve"> </w:t>
      </w:r>
      <w:r w:rsidR="004768C5" w:rsidRPr="00001309">
        <w:rPr>
          <w:rStyle w:val="FootnoteReference"/>
          <w:sz w:val="26"/>
          <w:szCs w:val="26"/>
        </w:rPr>
        <w:footnoteReference w:id="14"/>
      </w:r>
      <w:r w:rsidR="004768C5" w:rsidRPr="00001309">
        <w:rPr>
          <w:sz w:val="26"/>
          <w:szCs w:val="26"/>
        </w:rPr>
        <w:t xml:space="preserve">  </w:t>
      </w:r>
      <w:r w:rsidRPr="00001309">
        <w:rPr>
          <w:sz w:val="26"/>
          <w:szCs w:val="26"/>
        </w:rPr>
        <w:t xml:space="preserve">On May 13, 2016, </w:t>
      </w:r>
      <w:r w:rsidR="00F429DB">
        <w:rPr>
          <w:sz w:val="26"/>
          <w:szCs w:val="26"/>
        </w:rPr>
        <w:t xml:space="preserve">the </w:t>
      </w:r>
      <w:r w:rsidRPr="00001309">
        <w:rPr>
          <w:sz w:val="26"/>
          <w:szCs w:val="26"/>
        </w:rPr>
        <w:t xml:space="preserve">Joint Complainants filed updated Direct Testimonies of Barbara R. Alexander, Steven </w:t>
      </w:r>
      <w:r w:rsidR="009E01E4">
        <w:rPr>
          <w:sz w:val="26"/>
          <w:szCs w:val="26"/>
        </w:rPr>
        <w:t>L</w:t>
      </w:r>
      <w:r w:rsidRPr="00001309">
        <w:rPr>
          <w:sz w:val="26"/>
          <w:szCs w:val="26"/>
        </w:rPr>
        <w:t>. Estomin and Ashley E. Everette (OAG/OCA St. 1, St. 2 and St. 3 with accompanying exhibits).</w:t>
      </w:r>
      <w:r w:rsidR="00563B32" w:rsidRPr="00001309">
        <w:rPr>
          <w:sz w:val="26"/>
          <w:szCs w:val="26"/>
        </w:rPr>
        <w:t xml:space="preserve">  I.D. at</w:t>
      </w:r>
      <w:r w:rsidR="00A7145A" w:rsidRPr="00001309">
        <w:rPr>
          <w:sz w:val="26"/>
          <w:szCs w:val="26"/>
        </w:rPr>
        <w:t> </w:t>
      </w:r>
      <w:r w:rsidR="00563B32" w:rsidRPr="00001309">
        <w:rPr>
          <w:sz w:val="26"/>
          <w:szCs w:val="26"/>
        </w:rPr>
        <w:t>10.</w:t>
      </w:r>
    </w:p>
    <w:p w:rsidR="00A7145A" w:rsidRPr="00001309" w:rsidRDefault="00A7145A" w:rsidP="00A75181">
      <w:pPr>
        <w:autoSpaceDE w:val="0"/>
        <w:autoSpaceDN w:val="0"/>
        <w:rPr>
          <w:sz w:val="26"/>
          <w:szCs w:val="26"/>
        </w:rPr>
      </w:pPr>
    </w:p>
    <w:p w:rsidR="00230C6E" w:rsidRPr="00001309" w:rsidRDefault="00563B32" w:rsidP="00A75181">
      <w:pPr>
        <w:autoSpaceDE w:val="0"/>
        <w:autoSpaceDN w:val="0"/>
        <w:rPr>
          <w:sz w:val="26"/>
          <w:szCs w:val="26"/>
        </w:rPr>
      </w:pPr>
      <w:r w:rsidRPr="00001309">
        <w:rPr>
          <w:sz w:val="26"/>
          <w:szCs w:val="26"/>
        </w:rPr>
        <w:t>The Initial Decision</w:t>
      </w:r>
      <w:r w:rsidR="00A225FE" w:rsidRPr="00001309">
        <w:rPr>
          <w:sz w:val="26"/>
          <w:szCs w:val="26"/>
        </w:rPr>
        <w:t xml:space="preserve"> was issued </w:t>
      </w:r>
      <w:r w:rsidR="00230C6E" w:rsidRPr="00001309">
        <w:rPr>
          <w:sz w:val="26"/>
          <w:szCs w:val="26"/>
        </w:rPr>
        <w:t>July 7, 2016</w:t>
      </w:r>
      <w:r w:rsidR="00A225FE" w:rsidRPr="00001309">
        <w:rPr>
          <w:sz w:val="26"/>
          <w:szCs w:val="26"/>
        </w:rPr>
        <w:t>.  Exceptions</w:t>
      </w:r>
      <w:r w:rsidR="00230C6E" w:rsidRPr="00001309">
        <w:rPr>
          <w:sz w:val="26"/>
          <w:szCs w:val="26"/>
        </w:rPr>
        <w:t>,</w:t>
      </w:r>
      <w:r w:rsidR="00A225FE" w:rsidRPr="00001309">
        <w:rPr>
          <w:sz w:val="26"/>
          <w:szCs w:val="26"/>
        </w:rPr>
        <w:t xml:space="preserve"> Replies</w:t>
      </w:r>
      <w:r w:rsidR="00230C6E" w:rsidRPr="00001309">
        <w:rPr>
          <w:sz w:val="26"/>
          <w:szCs w:val="26"/>
        </w:rPr>
        <w:t>, and the RESA Petition</w:t>
      </w:r>
      <w:r w:rsidR="00A225FE" w:rsidRPr="00001309">
        <w:rPr>
          <w:sz w:val="26"/>
          <w:szCs w:val="26"/>
        </w:rPr>
        <w:t xml:space="preserve"> </w:t>
      </w:r>
      <w:r w:rsidRPr="00001309">
        <w:rPr>
          <w:sz w:val="26"/>
          <w:szCs w:val="26"/>
        </w:rPr>
        <w:t>w</w:t>
      </w:r>
      <w:r w:rsidR="00A225FE" w:rsidRPr="00001309">
        <w:rPr>
          <w:sz w:val="26"/>
          <w:szCs w:val="26"/>
        </w:rPr>
        <w:t>ere</w:t>
      </w:r>
      <w:r w:rsidRPr="00001309">
        <w:rPr>
          <w:sz w:val="26"/>
          <w:szCs w:val="26"/>
        </w:rPr>
        <w:t xml:space="preserve"> </w:t>
      </w:r>
      <w:r w:rsidR="00A225FE" w:rsidRPr="00001309">
        <w:rPr>
          <w:sz w:val="26"/>
          <w:szCs w:val="26"/>
        </w:rPr>
        <w:t>filed</w:t>
      </w:r>
      <w:r w:rsidRPr="00001309">
        <w:rPr>
          <w:sz w:val="26"/>
          <w:szCs w:val="26"/>
        </w:rPr>
        <w:t xml:space="preserve"> thereafter.</w:t>
      </w:r>
    </w:p>
    <w:p w:rsidR="00FC4EFB" w:rsidRPr="00001309" w:rsidRDefault="00FC4EFB" w:rsidP="00253032">
      <w:pPr>
        <w:autoSpaceDE w:val="0"/>
        <w:autoSpaceDN w:val="0"/>
        <w:ind w:firstLine="0"/>
        <w:rPr>
          <w:sz w:val="26"/>
          <w:szCs w:val="26"/>
        </w:rPr>
      </w:pPr>
    </w:p>
    <w:p w:rsidR="009E2071" w:rsidRPr="004B3722" w:rsidRDefault="008E630C" w:rsidP="00992AA2">
      <w:pPr>
        <w:pStyle w:val="Heading1"/>
        <w:ind w:firstLine="0"/>
        <w:jc w:val="center"/>
        <w:rPr>
          <w:rFonts w:ascii="Times New Roman" w:hAnsi="Times New Roman" w:cs="Times New Roman"/>
          <w:b/>
          <w:color w:val="auto"/>
          <w:sz w:val="26"/>
          <w:szCs w:val="26"/>
        </w:rPr>
      </w:pPr>
      <w:bookmarkStart w:id="16" w:name="_Toc517831031"/>
      <w:r w:rsidRPr="004B3722">
        <w:rPr>
          <w:rFonts w:ascii="Times New Roman" w:hAnsi="Times New Roman" w:cs="Times New Roman"/>
          <w:b/>
          <w:color w:val="auto"/>
          <w:sz w:val="26"/>
          <w:szCs w:val="26"/>
        </w:rPr>
        <w:lastRenderedPageBreak/>
        <w:t>I</w:t>
      </w:r>
      <w:r w:rsidR="00992AA2" w:rsidRPr="004B3722">
        <w:rPr>
          <w:rFonts w:ascii="Times New Roman" w:hAnsi="Times New Roman" w:cs="Times New Roman"/>
          <w:b/>
          <w:color w:val="auto"/>
          <w:sz w:val="26"/>
          <w:szCs w:val="26"/>
        </w:rPr>
        <w:t>V</w:t>
      </w:r>
      <w:r w:rsidRPr="004B3722">
        <w:rPr>
          <w:rFonts w:ascii="Times New Roman" w:hAnsi="Times New Roman" w:cs="Times New Roman"/>
          <w:b/>
          <w:color w:val="auto"/>
          <w:sz w:val="26"/>
          <w:szCs w:val="26"/>
        </w:rPr>
        <w:t>.</w:t>
      </w:r>
      <w:r w:rsidRPr="004B3722">
        <w:rPr>
          <w:rFonts w:ascii="Times New Roman" w:hAnsi="Times New Roman" w:cs="Times New Roman"/>
          <w:b/>
          <w:color w:val="auto"/>
          <w:sz w:val="26"/>
          <w:szCs w:val="26"/>
        </w:rPr>
        <w:tab/>
      </w:r>
      <w:r w:rsidR="00527405" w:rsidRPr="004B3722">
        <w:rPr>
          <w:rFonts w:ascii="Times New Roman" w:hAnsi="Times New Roman" w:cs="Times New Roman"/>
          <w:b/>
          <w:color w:val="auto"/>
          <w:sz w:val="26"/>
          <w:szCs w:val="26"/>
        </w:rPr>
        <w:t>Discussion</w:t>
      </w:r>
      <w:bookmarkEnd w:id="16"/>
    </w:p>
    <w:p w:rsidR="004B33DB" w:rsidRPr="00001309" w:rsidRDefault="004B33DB" w:rsidP="009E01E4">
      <w:pPr>
        <w:keepNext/>
        <w:keepLines/>
        <w:rPr>
          <w:sz w:val="26"/>
          <w:szCs w:val="26"/>
        </w:rPr>
      </w:pPr>
    </w:p>
    <w:p w:rsidR="004B33DB" w:rsidRPr="00001309" w:rsidRDefault="004B33DB" w:rsidP="009E01E4">
      <w:pPr>
        <w:keepNext/>
        <w:keepLines/>
        <w:rPr>
          <w:sz w:val="26"/>
          <w:szCs w:val="26"/>
        </w:rPr>
      </w:pPr>
      <w:r w:rsidRPr="00001309">
        <w:rPr>
          <w:sz w:val="26"/>
          <w:szCs w:val="26"/>
        </w:rPr>
        <w:t xml:space="preserve">As a threshold consideration, we advise the Parties that any issue or Exception that we do not specifically address should be deemed to have been duly considered and rejected without further discussion.  It is well settled that the Commission is not required to consider, expressly or at length, each contention or argument raised by the parties.  </w:t>
      </w:r>
      <w:r w:rsidRPr="00001309">
        <w:rPr>
          <w:i/>
          <w:sz w:val="26"/>
          <w:szCs w:val="26"/>
        </w:rPr>
        <w:t>Consolidated Rail Corporation v. Pa. PUC</w:t>
      </w:r>
      <w:r w:rsidRPr="00001309">
        <w:rPr>
          <w:sz w:val="26"/>
          <w:szCs w:val="26"/>
        </w:rPr>
        <w:t>, 625 A.2d 741 (Pa. Cmwlth.</w:t>
      </w:r>
      <w:r w:rsidR="00A06128" w:rsidRPr="00001309">
        <w:rPr>
          <w:sz w:val="26"/>
          <w:szCs w:val="26"/>
        </w:rPr>
        <w:t xml:space="preserve"> </w:t>
      </w:r>
      <w:r w:rsidRPr="00001309">
        <w:rPr>
          <w:sz w:val="26"/>
          <w:szCs w:val="26"/>
        </w:rPr>
        <w:t xml:space="preserve">1993); </w:t>
      </w:r>
      <w:r w:rsidRPr="00001309">
        <w:rPr>
          <w:i/>
          <w:sz w:val="26"/>
          <w:szCs w:val="26"/>
        </w:rPr>
        <w:t>see also, generally</w:t>
      </w:r>
      <w:r w:rsidRPr="00001309">
        <w:rPr>
          <w:sz w:val="26"/>
          <w:szCs w:val="26"/>
        </w:rPr>
        <w:t xml:space="preserve">, </w:t>
      </w:r>
      <w:r w:rsidRPr="00001309">
        <w:rPr>
          <w:i/>
          <w:sz w:val="26"/>
          <w:szCs w:val="26"/>
        </w:rPr>
        <w:t>Univ. of Pa. v. Pa. PUC</w:t>
      </w:r>
      <w:r w:rsidRPr="00001309">
        <w:rPr>
          <w:sz w:val="26"/>
          <w:szCs w:val="26"/>
        </w:rPr>
        <w:t>, 485 A.2d 1217 (Pa. Cmwlth.</w:t>
      </w:r>
      <w:r w:rsidR="00A06128" w:rsidRPr="00001309">
        <w:rPr>
          <w:sz w:val="26"/>
          <w:szCs w:val="26"/>
        </w:rPr>
        <w:t xml:space="preserve"> </w:t>
      </w:r>
      <w:r w:rsidRPr="00001309">
        <w:rPr>
          <w:sz w:val="26"/>
          <w:szCs w:val="26"/>
        </w:rPr>
        <w:t>1984).</w:t>
      </w:r>
    </w:p>
    <w:p w:rsidR="004B33DB" w:rsidRPr="00001309" w:rsidRDefault="004B33DB" w:rsidP="004B33DB">
      <w:pPr>
        <w:autoSpaceDE w:val="0"/>
        <w:autoSpaceDN w:val="0"/>
        <w:ind w:firstLine="0"/>
        <w:rPr>
          <w:sz w:val="26"/>
          <w:szCs w:val="26"/>
        </w:rPr>
      </w:pPr>
    </w:p>
    <w:p w:rsidR="00075A0C" w:rsidRPr="00114094" w:rsidRDefault="009B33EC" w:rsidP="001812E2">
      <w:pPr>
        <w:pStyle w:val="Heading2"/>
        <w:spacing w:before="0"/>
        <w:ind w:firstLine="0"/>
        <w:rPr>
          <w:rFonts w:ascii="Times New Roman" w:hAnsi="Times New Roman" w:cs="Times New Roman"/>
          <w:b/>
          <w:color w:val="auto"/>
        </w:rPr>
      </w:pPr>
      <w:bookmarkStart w:id="17" w:name="_Toc517831032"/>
      <w:r w:rsidRPr="00114094">
        <w:rPr>
          <w:rFonts w:ascii="Times New Roman" w:hAnsi="Times New Roman" w:cs="Times New Roman"/>
          <w:b/>
          <w:color w:val="auto"/>
        </w:rPr>
        <w:t>A.</w:t>
      </w:r>
      <w:r w:rsidRPr="00114094">
        <w:rPr>
          <w:rFonts w:ascii="Times New Roman" w:hAnsi="Times New Roman" w:cs="Times New Roman"/>
          <w:b/>
          <w:color w:val="auto"/>
        </w:rPr>
        <w:tab/>
      </w:r>
      <w:r w:rsidR="00075A0C" w:rsidRPr="00114094">
        <w:rPr>
          <w:rFonts w:ascii="Times New Roman" w:hAnsi="Times New Roman" w:cs="Times New Roman"/>
          <w:b/>
          <w:color w:val="auto"/>
        </w:rPr>
        <w:t>ALJs’ Recommendation</w:t>
      </w:r>
      <w:bookmarkEnd w:id="17"/>
    </w:p>
    <w:p w:rsidR="00075A0C" w:rsidRPr="00001309" w:rsidRDefault="00075A0C" w:rsidP="000C0346">
      <w:pPr>
        <w:keepNext/>
        <w:keepLines/>
        <w:autoSpaceDE w:val="0"/>
        <w:autoSpaceDN w:val="0"/>
        <w:rPr>
          <w:sz w:val="26"/>
          <w:szCs w:val="26"/>
        </w:rPr>
      </w:pPr>
    </w:p>
    <w:p w:rsidR="0002732A" w:rsidRPr="00001309" w:rsidRDefault="00E85569" w:rsidP="005963E6">
      <w:pPr>
        <w:pStyle w:val="Default"/>
        <w:rPr>
          <w:rFonts w:ascii="Times New Roman" w:hAnsi="Times New Roman" w:cs="Times New Roman"/>
          <w:color w:val="auto"/>
          <w:sz w:val="26"/>
          <w:szCs w:val="26"/>
        </w:rPr>
      </w:pPr>
      <w:r w:rsidRPr="00001309">
        <w:rPr>
          <w:rFonts w:ascii="Times New Roman" w:hAnsi="Times New Roman" w:cs="Times New Roman"/>
          <w:color w:val="auto"/>
          <w:sz w:val="26"/>
          <w:szCs w:val="26"/>
        </w:rPr>
        <w:t xml:space="preserve">ALJs Barnes and Cheskis, reached 174 Findings of Fact and drew </w:t>
      </w:r>
      <w:r w:rsidR="0002732A" w:rsidRPr="00001309">
        <w:rPr>
          <w:rFonts w:ascii="Times New Roman" w:hAnsi="Times New Roman" w:cs="Times New Roman"/>
          <w:color w:val="auto"/>
          <w:sz w:val="26"/>
          <w:szCs w:val="26"/>
        </w:rPr>
        <w:t>31</w:t>
      </w:r>
      <w:r w:rsidRPr="00001309">
        <w:rPr>
          <w:rFonts w:ascii="Times New Roman" w:hAnsi="Times New Roman" w:cs="Times New Roman"/>
          <w:color w:val="auto"/>
          <w:sz w:val="26"/>
          <w:szCs w:val="26"/>
        </w:rPr>
        <w:t xml:space="preserve"> Conclusions of Law.  Said Findings of Fact and Conclusions of Law are, hereby, adopted, consistent with the discussion contained in this Opinion and Order</w:t>
      </w:r>
      <w:r w:rsidR="002536B9" w:rsidRPr="00001309">
        <w:rPr>
          <w:rFonts w:ascii="Times New Roman" w:hAnsi="Times New Roman" w:cs="Times New Roman"/>
          <w:color w:val="auto"/>
          <w:sz w:val="26"/>
          <w:szCs w:val="26"/>
        </w:rPr>
        <w:t>, unless modified or rejected by necessary implication from the discussion herein</w:t>
      </w:r>
      <w:r w:rsidRPr="00001309">
        <w:rPr>
          <w:rFonts w:ascii="Times New Roman" w:hAnsi="Times New Roman" w:cs="Times New Roman"/>
          <w:color w:val="auto"/>
          <w:sz w:val="26"/>
          <w:szCs w:val="26"/>
        </w:rPr>
        <w:t>.</w:t>
      </w:r>
    </w:p>
    <w:p w:rsidR="0002732A" w:rsidRPr="00001309" w:rsidRDefault="0002732A" w:rsidP="005963E6">
      <w:pPr>
        <w:pStyle w:val="Default"/>
        <w:rPr>
          <w:rFonts w:ascii="Times New Roman" w:hAnsi="Times New Roman" w:cs="Times New Roman"/>
          <w:color w:val="auto"/>
          <w:sz w:val="26"/>
          <w:szCs w:val="26"/>
        </w:rPr>
      </w:pPr>
    </w:p>
    <w:p w:rsidR="005963E6" w:rsidRPr="00001309" w:rsidRDefault="009D39D2" w:rsidP="005963E6">
      <w:pPr>
        <w:pStyle w:val="Default"/>
        <w:rPr>
          <w:rFonts w:ascii="Times New Roman" w:hAnsi="Times New Roman" w:cs="Times New Roman"/>
          <w:color w:val="auto"/>
          <w:sz w:val="26"/>
          <w:szCs w:val="26"/>
        </w:rPr>
      </w:pPr>
      <w:r w:rsidRPr="00001309">
        <w:rPr>
          <w:rFonts w:ascii="Times New Roman" w:hAnsi="Times New Roman" w:cs="Times New Roman"/>
          <w:color w:val="auto"/>
          <w:sz w:val="26"/>
          <w:szCs w:val="26"/>
        </w:rPr>
        <w:t xml:space="preserve">We </w:t>
      </w:r>
      <w:r w:rsidR="00230C6E" w:rsidRPr="00001309">
        <w:rPr>
          <w:rFonts w:ascii="Times New Roman" w:hAnsi="Times New Roman" w:cs="Times New Roman"/>
          <w:color w:val="auto"/>
          <w:sz w:val="26"/>
          <w:szCs w:val="26"/>
        </w:rPr>
        <w:t xml:space="preserve">will address </w:t>
      </w:r>
      <w:r w:rsidRPr="00001309">
        <w:rPr>
          <w:rFonts w:ascii="Times New Roman" w:hAnsi="Times New Roman" w:cs="Times New Roman"/>
          <w:color w:val="auto"/>
          <w:sz w:val="26"/>
          <w:szCs w:val="26"/>
        </w:rPr>
        <w:t>the substan</w:t>
      </w:r>
      <w:r w:rsidR="00230C6E" w:rsidRPr="00001309">
        <w:rPr>
          <w:rFonts w:ascii="Times New Roman" w:hAnsi="Times New Roman" w:cs="Times New Roman"/>
          <w:color w:val="auto"/>
          <w:sz w:val="26"/>
          <w:szCs w:val="26"/>
        </w:rPr>
        <w:t>tive elements</w:t>
      </w:r>
      <w:r w:rsidRPr="00001309">
        <w:rPr>
          <w:rFonts w:ascii="Times New Roman" w:hAnsi="Times New Roman" w:cs="Times New Roman"/>
          <w:color w:val="auto"/>
          <w:sz w:val="26"/>
          <w:szCs w:val="26"/>
        </w:rPr>
        <w:t xml:space="preserve"> of the Complaint under the applicable counts:</w:t>
      </w:r>
      <w:r w:rsidR="009E7577" w:rsidRPr="00001309">
        <w:rPr>
          <w:rFonts w:ascii="Times New Roman" w:hAnsi="Times New Roman" w:cs="Times New Roman"/>
          <w:color w:val="auto"/>
          <w:sz w:val="26"/>
          <w:szCs w:val="26"/>
        </w:rPr>
        <w:t xml:space="preserve"> Count I – Failure to Provide Accurate Pricing Information</w:t>
      </w:r>
      <w:r w:rsidR="00BD3683" w:rsidRPr="00001309">
        <w:rPr>
          <w:rFonts w:ascii="Times New Roman" w:hAnsi="Times New Roman" w:cs="Times New Roman"/>
          <w:color w:val="auto"/>
          <w:sz w:val="26"/>
          <w:szCs w:val="26"/>
        </w:rPr>
        <w:t xml:space="preserve"> (Finding of Fact Nos. 27-60)</w:t>
      </w:r>
      <w:r w:rsidR="009E7577" w:rsidRPr="00001309">
        <w:rPr>
          <w:rFonts w:ascii="Times New Roman" w:hAnsi="Times New Roman" w:cs="Times New Roman"/>
          <w:color w:val="auto"/>
          <w:sz w:val="26"/>
          <w:szCs w:val="26"/>
        </w:rPr>
        <w:t xml:space="preserve">; </w:t>
      </w:r>
      <w:r w:rsidR="005963E6" w:rsidRPr="00001309">
        <w:rPr>
          <w:rFonts w:ascii="Times New Roman" w:hAnsi="Times New Roman" w:cs="Times New Roman"/>
          <w:color w:val="auto"/>
          <w:sz w:val="26"/>
          <w:szCs w:val="26"/>
        </w:rPr>
        <w:t xml:space="preserve">Count II – </w:t>
      </w:r>
      <w:r w:rsidR="007B3039">
        <w:rPr>
          <w:rFonts w:ascii="Times New Roman" w:hAnsi="Times New Roman" w:cs="Times New Roman"/>
          <w:color w:val="auto"/>
          <w:sz w:val="26"/>
          <w:szCs w:val="26"/>
        </w:rPr>
        <w:t>Failure to Conform Prices to the Disclosure</w:t>
      </w:r>
      <w:r w:rsidR="00BD3683" w:rsidRPr="00001309">
        <w:rPr>
          <w:rFonts w:ascii="Times New Roman" w:hAnsi="Times New Roman" w:cs="Times New Roman"/>
          <w:color w:val="auto"/>
          <w:sz w:val="26"/>
          <w:szCs w:val="26"/>
        </w:rPr>
        <w:t xml:space="preserve"> (Finding of Fact Nos. 61-67)</w:t>
      </w:r>
      <w:r w:rsidR="005963E6" w:rsidRPr="00001309">
        <w:rPr>
          <w:rFonts w:ascii="Times New Roman" w:hAnsi="Times New Roman" w:cs="Times New Roman"/>
          <w:color w:val="auto"/>
          <w:sz w:val="26"/>
          <w:szCs w:val="26"/>
        </w:rPr>
        <w:t>; Count III – Misleading and Deceptive Promises of Savings</w:t>
      </w:r>
      <w:r w:rsidR="00BD3683" w:rsidRPr="00001309">
        <w:rPr>
          <w:rFonts w:ascii="Times New Roman" w:hAnsi="Times New Roman" w:cs="Times New Roman"/>
          <w:color w:val="auto"/>
          <w:sz w:val="26"/>
          <w:szCs w:val="26"/>
        </w:rPr>
        <w:t xml:space="preserve"> (Finding of Fact Nos. 68-158)</w:t>
      </w:r>
      <w:r w:rsidR="005963E6" w:rsidRPr="00001309">
        <w:rPr>
          <w:rFonts w:ascii="Times New Roman" w:hAnsi="Times New Roman" w:cs="Times New Roman"/>
          <w:color w:val="auto"/>
          <w:sz w:val="26"/>
          <w:szCs w:val="26"/>
        </w:rPr>
        <w:t xml:space="preserve">; Count IV – Lack of Good Faith </w:t>
      </w:r>
      <w:r w:rsidR="00474E36">
        <w:rPr>
          <w:rFonts w:ascii="Times New Roman" w:hAnsi="Times New Roman" w:cs="Times New Roman"/>
          <w:color w:val="auto"/>
          <w:sz w:val="26"/>
          <w:szCs w:val="26"/>
        </w:rPr>
        <w:t xml:space="preserve">in </w:t>
      </w:r>
      <w:r w:rsidR="005963E6" w:rsidRPr="00001309">
        <w:rPr>
          <w:rFonts w:ascii="Times New Roman" w:hAnsi="Times New Roman" w:cs="Times New Roman"/>
          <w:color w:val="auto"/>
          <w:sz w:val="26"/>
          <w:szCs w:val="26"/>
        </w:rPr>
        <w:t>Handling of Complaints</w:t>
      </w:r>
      <w:r w:rsidR="00F16D73" w:rsidRPr="00001309">
        <w:rPr>
          <w:rFonts w:ascii="Times New Roman" w:hAnsi="Times New Roman" w:cs="Times New Roman"/>
          <w:color w:val="auto"/>
          <w:sz w:val="26"/>
          <w:szCs w:val="26"/>
        </w:rPr>
        <w:t xml:space="preserve"> (Finding of Fact Nos. 159-170)</w:t>
      </w:r>
      <w:r w:rsidR="005963E6" w:rsidRPr="00001309">
        <w:rPr>
          <w:rFonts w:ascii="Times New Roman" w:hAnsi="Times New Roman" w:cs="Times New Roman"/>
          <w:color w:val="auto"/>
          <w:sz w:val="26"/>
          <w:szCs w:val="26"/>
        </w:rPr>
        <w:t xml:space="preserve">; and Count V – </w:t>
      </w:r>
      <w:r w:rsidR="00AF5129">
        <w:rPr>
          <w:rFonts w:ascii="Times New Roman" w:hAnsi="Times New Roman" w:cs="Times New Roman"/>
          <w:color w:val="auto"/>
          <w:sz w:val="26"/>
          <w:szCs w:val="26"/>
        </w:rPr>
        <w:t xml:space="preserve">Failure </w:t>
      </w:r>
      <w:r w:rsidR="001573EB">
        <w:rPr>
          <w:rFonts w:ascii="Times New Roman" w:hAnsi="Times New Roman" w:cs="Times New Roman"/>
          <w:color w:val="auto"/>
          <w:sz w:val="26"/>
          <w:szCs w:val="26"/>
        </w:rPr>
        <w:t xml:space="preserve">to Comply with the </w:t>
      </w:r>
      <w:r w:rsidR="005963E6" w:rsidRPr="00001309">
        <w:rPr>
          <w:rFonts w:ascii="Times New Roman" w:hAnsi="Times New Roman" w:cs="Times New Roman"/>
          <w:color w:val="auto"/>
          <w:sz w:val="26"/>
          <w:szCs w:val="26"/>
        </w:rPr>
        <w:t xml:space="preserve">Telemarketer Registration Act </w:t>
      </w:r>
      <w:r w:rsidR="00F16D73" w:rsidRPr="00001309">
        <w:rPr>
          <w:rFonts w:ascii="Times New Roman" w:hAnsi="Times New Roman" w:cs="Times New Roman"/>
          <w:color w:val="auto"/>
          <w:sz w:val="26"/>
          <w:szCs w:val="26"/>
        </w:rPr>
        <w:t xml:space="preserve"> (Finding of Fact Nos.</w:t>
      </w:r>
      <w:r w:rsidR="00E15356">
        <w:rPr>
          <w:rFonts w:ascii="Times New Roman" w:hAnsi="Times New Roman" w:cs="Times New Roman"/>
          <w:color w:val="auto"/>
          <w:sz w:val="26"/>
          <w:szCs w:val="26"/>
        </w:rPr>
        <w:t> </w:t>
      </w:r>
      <w:r w:rsidR="00F16D73" w:rsidRPr="00001309">
        <w:rPr>
          <w:rFonts w:ascii="Times New Roman" w:hAnsi="Times New Roman" w:cs="Times New Roman"/>
          <w:color w:val="auto"/>
          <w:sz w:val="26"/>
          <w:szCs w:val="26"/>
        </w:rPr>
        <w:t>171-174)</w:t>
      </w:r>
      <w:r w:rsidR="00B65379" w:rsidRPr="00001309">
        <w:rPr>
          <w:rFonts w:ascii="Times New Roman" w:hAnsi="Times New Roman" w:cs="Times New Roman"/>
          <w:color w:val="auto"/>
          <w:sz w:val="26"/>
          <w:szCs w:val="26"/>
        </w:rPr>
        <w:t>.</w:t>
      </w:r>
    </w:p>
    <w:p w:rsidR="009D39D2" w:rsidRPr="00001309" w:rsidRDefault="009D39D2" w:rsidP="005963E6">
      <w:pPr>
        <w:pStyle w:val="Default"/>
        <w:rPr>
          <w:rFonts w:ascii="Times New Roman" w:hAnsi="Times New Roman" w:cs="Times New Roman"/>
          <w:color w:val="auto"/>
          <w:sz w:val="26"/>
          <w:szCs w:val="26"/>
        </w:rPr>
      </w:pPr>
    </w:p>
    <w:p w:rsidR="009D39D2" w:rsidRPr="00001309" w:rsidRDefault="009D39D2" w:rsidP="005963E6">
      <w:pPr>
        <w:pStyle w:val="Default"/>
        <w:rPr>
          <w:rFonts w:ascii="Times New Roman" w:hAnsi="Times New Roman" w:cs="Times New Roman"/>
          <w:color w:val="auto"/>
          <w:sz w:val="26"/>
          <w:szCs w:val="26"/>
        </w:rPr>
      </w:pPr>
      <w:r w:rsidRPr="00001309">
        <w:rPr>
          <w:rFonts w:ascii="Times New Roman" w:hAnsi="Times New Roman" w:cs="Times New Roman"/>
          <w:color w:val="auto"/>
          <w:sz w:val="26"/>
          <w:szCs w:val="26"/>
        </w:rPr>
        <w:t>Prior to addressing the applicable counts, the following preliminary legal contentions were considered:</w:t>
      </w:r>
    </w:p>
    <w:p w:rsidR="00CD2C99" w:rsidRPr="00001309" w:rsidRDefault="00CD2C99" w:rsidP="00BD3683">
      <w:pPr>
        <w:pStyle w:val="Default"/>
        <w:ind w:firstLine="0"/>
        <w:rPr>
          <w:rFonts w:ascii="Times New Roman" w:hAnsi="Times New Roman" w:cs="Times New Roman"/>
          <w:color w:val="auto"/>
          <w:sz w:val="26"/>
          <w:szCs w:val="26"/>
        </w:rPr>
      </w:pPr>
    </w:p>
    <w:p w:rsidR="002B0C46" w:rsidRPr="00001309" w:rsidRDefault="009B33EC" w:rsidP="001812E2">
      <w:pPr>
        <w:pStyle w:val="Default"/>
        <w:keepNext/>
        <w:keepLines/>
        <w:ind w:firstLine="0"/>
        <w:outlineLvl w:val="1"/>
        <w:rPr>
          <w:rFonts w:ascii="Times New Roman" w:hAnsi="Times New Roman" w:cs="Times New Roman"/>
          <w:b/>
          <w:color w:val="auto"/>
          <w:sz w:val="26"/>
          <w:szCs w:val="26"/>
        </w:rPr>
      </w:pPr>
      <w:bookmarkStart w:id="18" w:name="_Toc517831033"/>
      <w:r w:rsidRPr="00001309">
        <w:rPr>
          <w:rFonts w:ascii="Times New Roman" w:hAnsi="Times New Roman" w:cs="Times New Roman"/>
          <w:b/>
          <w:color w:val="auto"/>
          <w:sz w:val="26"/>
          <w:szCs w:val="26"/>
        </w:rPr>
        <w:lastRenderedPageBreak/>
        <w:t>B</w:t>
      </w:r>
      <w:r w:rsidR="002B0C46" w:rsidRPr="00001309">
        <w:rPr>
          <w:rFonts w:ascii="Times New Roman" w:hAnsi="Times New Roman" w:cs="Times New Roman"/>
          <w:b/>
          <w:color w:val="auto"/>
          <w:sz w:val="26"/>
          <w:szCs w:val="26"/>
        </w:rPr>
        <w:t>.</w:t>
      </w:r>
      <w:r w:rsidR="002B0C46" w:rsidRPr="00001309">
        <w:rPr>
          <w:rFonts w:ascii="Times New Roman" w:hAnsi="Times New Roman" w:cs="Times New Roman"/>
          <w:b/>
          <w:color w:val="auto"/>
          <w:sz w:val="26"/>
          <w:szCs w:val="26"/>
        </w:rPr>
        <w:tab/>
        <w:t>Legal Standard</w:t>
      </w:r>
      <w:bookmarkEnd w:id="18"/>
    </w:p>
    <w:p w:rsidR="002B0C46" w:rsidRPr="00001309" w:rsidRDefault="002B0C46" w:rsidP="008508D1">
      <w:pPr>
        <w:pStyle w:val="Default"/>
        <w:keepNext/>
        <w:keepLines/>
        <w:rPr>
          <w:rFonts w:ascii="Times New Roman" w:hAnsi="Times New Roman" w:cs="Times New Roman"/>
          <w:color w:val="auto"/>
          <w:sz w:val="26"/>
          <w:szCs w:val="26"/>
        </w:rPr>
      </w:pPr>
    </w:p>
    <w:p w:rsidR="008351A5" w:rsidRPr="00001309" w:rsidRDefault="00F429DB" w:rsidP="008351A5">
      <w:pPr>
        <w:pStyle w:val="Default"/>
        <w:rPr>
          <w:rFonts w:ascii="Times New Roman" w:hAnsi="Times New Roman" w:cs="Times New Roman"/>
          <w:color w:val="auto"/>
          <w:spacing w:val="-3"/>
          <w:sz w:val="26"/>
          <w:szCs w:val="26"/>
        </w:rPr>
      </w:pPr>
      <w:r>
        <w:rPr>
          <w:rFonts w:ascii="Times New Roman" w:hAnsi="Times New Roman" w:cs="Times New Roman"/>
          <w:color w:val="auto"/>
          <w:sz w:val="26"/>
          <w:szCs w:val="26"/>
        </w:rPr>
        <w:t xml:space="preserve">The </w:t>
      </w:r>
      <w:r w:rsidR="008351A5" w:rsidRPr="00001309">
        <w:rPr>
          <w:rFonts w:ascii="Times New Roman" w:hAnsi="Times New Roman" w:cs="Times New Roman"/>
          <w:color w:val="auto"/>
          <w:sz w:val="26"/>
          <w:szCs w:val="26"/>
        </w:rPr>
        <w:t xml:space="preserve">Joint Complainants, as proponents of a rule or order from the Commission, have the burden of proof in this proceeding.  66 Pa.C.S. § 332(a).  </w:t>
      </w:r>
      <w:r w:rsidR="00240262" w:rsidRPr="00001309">
        <w:rPr>
          <w:rFonts w:ascii="Times New Roman" w:hAnsi="Times New Roman" w:cs="Times New Roman"/>
          <w:color w:val="auto"/>
          <w:sz w:val="26"/>
          <w:szCs w:val="26"/>
        </w:rPr>
        <w:t>“</w:t>
      </w:r>
      <w:r w:rsidR="00240262" w:rsidRPr="00001309">
        <w:rPr>
          <w:rFonts w:ascii="Times New Roman" w:hAnsi="Times New Roman" w:cs="Times New Roman"/>
          <w:color w:val="auto"/>
          <w:spacing w:val="-3"/>
          <w:sz w:val="26"/>
          <w:szCs w:val="26"/>
        </w:rPr>
        <w:t xml:space="preserve">Burden of proof” means that the proponents of said rule or order have a duty to establish a fact by a preponderance of the evidence, or evidence more convincing, by even the smallest degree, than the evidence presented by the other party.  </w:t>
      </w:r>
      <w:r w:rsidR="00240262" w:rsidRPr="00001309">
        <w:rPr>
          <w:rFonts w:ascii="Times New Roman" w:hAnsi="Times New Roman" w:cs="Times New Roman"/>
          <w:i/>
          <w:color w:val="auto"/>
          <w:spacing w:val="-3"/>
          <w:sz w:val="26"/>
          <w:szCs w:val="26"/>
        </w:rPr>
        <w:t>Se-Ling Hosiery v. Margulies</w:t>
      </w:r>
      <w:r w:rsidR="00240262" w:rsidRPr="00001309">
        <w:rPr>
          <w:rFonts w:ascii="Times New Roman" w:hAnsi="Times New Roman" w:cs="Times New Roman"/>
          <w:color w:val="auto"/>
          <w:spacing w:val="-3"/>
          <w:sz w:val="26"/>
          <w:szCs w:val="26"/>
        </w:rPr>
        <w:t xml:space="preserve">, 364 Pa. 54, 70 A.2d 854 (1950).  </w:t>
      </w:r>
      <w:r w:rsidR="008351A5" w:rsidRPr="00001309">
        <w:rPr>
          <w:rFonts w:ascii="Times New Roman" w:hAnsi="Times New Roman" w:cs="Times New Roman"/>
          <w:color w:val="auto"/>
          <w:spacing w:val="-3"/>
          <w:sz w:val="26"/>
          <w:szCs w:val="26"/>
        </w:rPr>
        <w:t xml:space="preserve">Section 332(a) of the Code requires that, as a matter of law, </w:t>
      </w:r>
      <w:r>
        <w:rPr>
          <w:rFonts w:ascii="Times New Roman" w:hAnsi="Times New Roman" w:cs="Times New Roman"/>
          <w:color w:val="auto"/>
          <w:spacing w:val="-3"/>
          <w:sz w:val="26"/>
          <w:szCs w:val="26"/>
        </w:rPr>
        <w:t xml:space="preserve">the </w:t>
      </w:r>
      <w:r w:rsidR="008351A5" w:rsidRPr="00001309">
        <w:rPr>
          <w:rFonts w:ascii="Times New Roman" w:hAnsi="Times New Roman" w:cs="Times New Roman"/>
          <w:color w:val="auto"/>
          <w:spacing w:val="-3"/>
          <w:sz w:val="26"/>
          <w:szCs w:val="26"/>
        </w:rPr>
        <w:t xml:space="preserve">Joint Complainants must show that the named </w:t>
      </w:r>
      <w:r w:rsidR="00300B0E" w:rsidRPr="00001309">
        <w:rPr>
          <w:rFonts w:ascii="Times New Roman" w:hAnsi="Times New Roman" w:cs="Times New Roman"/>
          <w:color w:val="auto"/>
          <w:spacing w:val="-3"/>
          <w:sz w:val="26"/>
          <w:szCs w:val="26"/>
        </w:rPr>
        <w:t xml:space="preserve">EGS </w:t>
      </w:r>
      <w:r w:rsidR="00C85019" w:rsidRPr="00001309">
        <w:rPr>
          <w:rFonts w:ascii="Times New Roman" w:hAnsi="Times New Roman" w:cs="Times New Roman"/>
          <w:color w:val="auto"/>
          <w:spacing w:val="-3"/>
          <w:sz w:val="26"/>
          <w:szCs w:val="26"/>
        </w:rPr>
        <w:t>respondent</w:t>
      </w:r>
      <w:r w:rsidR="008351A5" w:rsidRPr="00001309">
        <w:rPr>
          <w:rFonts w:ascii="Times New Roman" w:hAnsi="Times New Roman" w:cs="Times New Roman"/>
          <w:color w:val="auto"/>
          <w:spacing w:val="-3"/>
          <w:sz w:val="26"/>
          <w:szCs w:val="26"/>
        </w:rPr>
        <w:t xml:space="preserve">, Blue Pilot, is responsible or accountable for the problem described in the complaint </w:t>
      </w:r>
      <w:proofErr w:type="gramStart"/>
      <w:r w:rsidR="008351A5" w:rsidRPr="00001309">
        <w:rPr>
          <w:rFonts w:ascii="Times New Roman" w:hAnsi="Times New Roman" w:cs="Times New Roman"/>
          <w:color w:val="auto"/>
          <w:spacing w:val="-3"/>
          <w:sz w:val="26"/>
          <w:szCs w:val="26"/>
        </w:rPr>
        <w:t>in order to</w:t>
      </w:r>
      <w:proofErr w:type="gramEnd"/>
      <w:r w:rsidR="008351A5" w:rsidRPr="00001309">
        <w:rPr>
          <w:rFonts w:ascii="Times New Roman" w:hAnsi="Times New Roman" w:cs="Times New Roman"/>
          <w:color w:val="auto"/>
          <w:spacing w:val="-3"/>
          <w:sz w:val="26"/>
          <w:szCs w:val="26"/>
        </w:rPr>
        <w:t xml:space="preserve"> prevail.  </w:t>
      </w:r>
      <w:r w:rsidR="008351A5" w:rsidRPr="00001309">
        <w:rPr>
          <w:rFonts w:ascii="Times New Roman" w:hAnsi="Times New Roman" w:cs="Times New Roman"/>
          <w:i/>
          <w:color w:val="auto"/>
          <w:spacing w:val="-3"/>
          <w:sz w:val="26"/>
          <w:szCs w:val="26"/>
        </w:rPr>
        <w:t xml:space="preserve">See </w:t>
      </w:r>
      <w:r w:rsidR="008351A5" w:rsidRPr="00001309">
        <w:rPr>
          <w:rFonts w:ascii="Times New Roman" w:hAnsi="Times New Roman" w:cs="Times New Roman"/>
          <w:color w:val="auto"/>
          <w:spacing w:val="-3"/>
          <w:sz w:val="26"/>
          <w:szCs w:val="26"/>
        </w:rPr>
        <w:t>I.D. at</w:t>
      </w:r>
      <w:r w:rsidR="006C798C" w:rsidRPr="00001309">
        <w:rPr>
          <w:rFonts w:ascii="Times New Roman" w:hAnsi="Times New Roman" w:cs="Times New Roman"/>
          <w:color w:val="auto"/>
          <w:spacing w:val="-3"/>
          <w:sz w:val="26"/>
          <w:szCs w:val="26"/>
        </w:rPr>
        <w:t xml:space="preserve"> 43</w:t>
      </w:r>
      <w:r w:rsidR="008351A5" w:rsidRPr="00001309">
        <w:rPr>
          <w:rFonts w:ascii="Times New Roman" w:hAnsi="Times New Roman" w:cs="Times New Roman"/>
          <w:color w:val="auto"/>
          <w:spacing w:val="-3"/>
          <w:sz w:val="26"/>
          <w:szCs w:val="26"/>
        </w:rPr>
        <w:t xml:space="preserve">, citing </w:t>
      </w:r>
      <w:r w:rsidR="008351A5" w:rsidRPr="00001309">
        <w:rPr>
          <w:rFonts w:ascii="Times New Roman" w:hAnsi="Times New Roman" w:cs="Times New Roman"/>
          <w:i/>
          <w:color w:val="auto"/>
          <w:spacing w:val="-3"/>
          <w:sz w:val="26"/>
          <w:szCs w:val="26"/>
        </w:rPr>
        <w:t>Patterson v. Bell Tel. Co. of Pa</w:t>
      </w:r>
      <w:r w:rsidR="008351A5" w:rsidRPr="00001309">
        <w:rPr>
          <w:rFonts w:ascii="Times New Roman" w:hAnsi="Times New Roman" w:cs="Times New Roman"/>
          <w:color w:val="auto"/>
          <w:spacing w:val="-3"/>
          <w:sz w:val="26"/>
          <w:szCs w:val="26"/>
        </w:rPr>
        <w:t>., 72 Pa. P</w:t>
      </w:r>
      <w:r w:rsidR="00480CAE" w:rsidRPr="00001309">
        <w:rPr>
          <w:rFonts w:ascii="Times New Roman" w:hAnsi="Times New Roman" w:cs="Times New Roman"/>
          <w:color w:val="auto"/>
          <w:spacing w:val="-3"/>
          <w:sz w:val="26"/>
          <w:szCs w:val="26"/>
        </w:rPr>
        <w:t>.</w:t>
      </w:r>
      <w:r w:rsidR="008351A5" w:rsidRPr="00001309">
        <w:rPr>
          <w:rFonts w:ascii="Times New Roman" w:hAnsi="Times New Roman" w:cs="Times New Roman"/>
          <w:color w:val="auto"/>
          <w:spacing w:val="-3"/>
          <w:sz w:val="26"/>
          <w:szCs w:val="26"/>
        </w:rPr>
        <w:t>U</w:t>
      </w:r>
      <w:r w:rsidR="00480CAE" w:rsidRPr="00001309">
        <w:rPr>
          <w:rFonts w:ascii="Times New Roman" w:hAnsi="Times New Roman" w:cs="Times New Roman"/>
          <w:color w:val="auto"/>
          <w:spacing w:val="-3"/>
          <w:sz w:val="26"/>
          <w:szCs w:val="26"/>
        </w:rPr>
        <w:t>.</w:t>
      </w:r>
      <w:r w:rsidR="008351A5" w:rsidRPr="00001309">
        <w:rPr>
          <w:rFonts w:ascii="Times New Roman" w:hAnsi="Times New Roman" w:cs="Times New Roman"/>
          <w:color w:val="auto"/>
          <w:spacing w:val="-3"/>
          <w:sz w:val="26"/>
          <w:szCs w:val="26"/>
        </w:rPr>
        <w:t>C</w:t>
      </w:r>
      <w:r w:rsidR="00480CAE" w:rsidRPr="00001309">
        <w:rPr>
          <w:rFonts w:ascii="Times New Roman" w:hAnsi="Times New Roman" w:cs="Times New Roman"/>
          <w:color w:val="auto"/>
          <w:spacing w:val="-3"/>
          <w:sz w:val="26"/>
          <w:szCs w:val="26"/>
        </w:rPr>
        <w:t>.</w:t>
      </w:r>
      <w:r w:rsidR="008351A5" w:rsidRPr="00001309">
        <w:rPr>
          <w:rFonts w:ascii="Times New Roman" w:hAnsi="Times New Roman" w:cs="Times New Roman"/>
          <w:color w:val="auto"/>
          <w:spacing w:val="-3"/>
          <w:sz w:val="26"/>
          <w:szCs w:val="26"/>
        </w:rPr>
        <w:t xml:space="preserve"> 196 (1990). “The offense must be a violation of the Public Utility Code, the Commission’s regulations or an outstanding order of the Commission.</w:t>
      </w:r>
      <w:r w:rsidR="00E833F6" w:rsidRPr="00001309">
        <w:rPr>
          <w:rFonts w:ascii="Times New Roman" w:hAnsi="Times New Roman" w:cs="Times New Roman"/>
          <w:color w:val="auto"/>
          <w:spacing w:val="-3"/>
          <w:sz w:val="26"/>
          <w:szCs w:val="26"/>
        </w:rPr>
        <w:t xml:space="preserve">” </w:t>
      </w:r>
      <w:r w:rsidR="008351A5" w:rsidRPr="00001309">
        <w:rPr>
          <w:rFonts w:ascii="Times New Roman" w:hAnsi="Times New Roman" w:cs="Times New Roman"/>
          <w:color w:val="auto"/>
          <w:spacing w:val="-3"/>
          <w:sz w:val="26"/>
          <w:szCs w:val="26"/>
        </w:rPr>
        <w:t xml:space="preserve"> </w:t>
      </w:r>
      <w:r w:rsidR="006C798C" w:rsidRPr="00001309">
        <w:rPr>
          <w:rFonts w:ascii="Times New Roman" w:hAnsi="Times New Roman" w:cs="Times New Roman"/>
          <w:i/>
          <w:color w:val="auto"/>
          <w:spacing w:val="-3"/>
          <w:sz w:val="26"/>
          <w:szCs w:val="26"/>
        </w:rPr>
        <w:t>Id</w:t>
      </w:r>
      <w:r w:rsidR="006C798C" w:rsidRPr="00001309">
        <w:rPr>
          <w:rFonts w:ascii="Times New Roman" w:hAnsi="Times New Roman" w:cs="Times New Roman"/>
          <w:color w:val="auto"/>
          <w:spacing w:val="-3"/>
          <w:sz w:val="26"/>
          <w:szCs w:val="26"/>
        </w:rPr>
        <w:t>.</w:t>
      </w:r>
      <w:r w:rsidR="00E833F6" w:rsidRPr="00001309">
        <w:rPr>
          <w:rFonts w:ascii="Times New Roman" w:hAnsi="Times New Roman" w:cs="Times New Roman"/>
          <w:color w:val="auto"/>
          <w:spacing w:val="-3"/>
          <w:sz w:val="26"/>
          <w:szCs w:val="26"/>
        </w:rPr>
        <w:t xml:space="preserve">; 66 </w:t>
      </w:r>
      <w:r w:rsidR="00A35069">
        <w:rPr>
          <w:rFonts w:ascii="Times New Roman" w:hAnsi="Times New Roman" w:cs="Times New Roman"/>
          <w:color w:val="auto"/>
          <w:spacing w:val="-3"/>
          <w:sz w:val="26"/>
          <w:szCs w:val="26"/>
        </w:rPr>
        <w:t xml:space="preserve">Pa.C.S. </w:t>
      </w:r>
      <w:r w:rsidR="00E833F6" w:rsidRPr="00001309">
        <w:rPr>
          <w:rFonts w:ascii="Times New Roman" w:hAnsi="Times New Roman" w:cs="Times New Roman"/>
          <w:color w:val="auto"/>
          <w:spacing w:val="-3"/>
          <w:sz w:val="26"/>
          <w:szCs w:val="26"/>
        </w:rPr>
        <w:t xml:space="preserve"> § 701.</w:t>
      </w:r>
    </w:p>
    <w:p w:rsidR="008351A5" w:rsidRPr="00001309" w:rsidRDefault="008351A5" w:rsidP="006C798C">
      <w:pPr>
        <w:autoSpaceDE w:val="0"/>
        <w:autoSpaceDN w:val="0"/>
        <w:adjustRightInd w:val="0"/>
        <w:ind w:firstLine="0"/>
        <w:rPr>
          <w:sz w:val="26"/>
          <w:szCs w:val="26"/>
        </w:rPr>
      </w:pPr>
    </w:p>
    <w:p w:rsidR="008351A5" w:rsidRPr="00001309" w:rsidRDefault="00E833F6" w:rsidP="008351A5">
      <w:pPr>
        <w:autoSpaceDE w:val="0"/>
        <w:autoSpaceDN w:val="0"/>
        <w:rPr>
          <w:sz w:val="26"/>
          <w:szCs w:val="26"/>
        </w:rPr>
      </w:pPr>
      <w:r w:rsidRPr="00001309">
        <w:rPr>
          <w:sz w:val="26"/>
          <w:szCs w:val="26"/>
        </w:rPr>
        <w:t>I</w:t>
      </w:r>
      <w:r w:rsidR="006C798C" w:rsidRPr="00001309">
        <w:rPr>
          <w:sz w:val="26"/>
          <w:szCs w:val="26"/>
        </w:rPr>
        <w:t>t is axiomatic that t</w:t>
      </w:r>
      <w:r w:rsidR="008351A5" w:rsidRPr="00001309">
        <w:rPr>
          <w:sz w:val="26"/>
          <w:szCs w:val="26"/>
        </w:rPr>
        <w:t xml:space="preserve">he decision of the Commission must be supported by substantial evidence. </w:t>
      </w:r>
      <w:r w:rsidR="003D4AB2" w:rsidRPr="00001309">
        <w:rPr>
          <w:sz w:val="26"/>
          <w:szCs w:val="26"/>
        </w:rPr>
        <w:t xml:space="preserve"> </w:t>
      </w:r>
      <w:r w:rsidR="008351A5" w:rsidRPr="00001309">
        <w:rPr>
          <w:sz w:val="26"/>
          <w:szCs w:val="26"/>
        </w:rPr>
        <w:t xml:space="preserve">2 </w:t>
      </w:r>
      <w:r w:rsidR="00A35069">
        <w:rPr>
          <w:sz w:val="26"/>
          <w:szCs w:val="26"/>
        </w:rPr>
        <w:t xml:space="preserve">Pa.C.S. </w:t>
      </w:r>
      <w:r w:rsidR="008351A5" w:rsidRPr="00001309">
        <w:rPr>
          <w:sz w:val="26"/>
          <w:szCs w:val="26"/>
        </w:rPr>
        <w:t xml:space="preserve"> § 704.  “Substantial evidence” is such relevant evidence that a reasonable mind might accept as adequate to support a conclusion.  More is required than a mere trace of evidence or a suspicion of the existence of a fact sought to be established.  </w:t>
      </w:r>
      <w:r w:rsidR="008351A5" w:rsidRPr="00001309">
        <w:rPr>
          <w:i/>
          <w:sz w:val="26"/>
          <w:szCs w:val="26"/>
        </w:rPr>
        <w:t>Norfolk &amp; Western Ry. Co. v. Pa. PUC</w:t>
      </w:r>
      <w:r w:rsidR="008351A5" w:rsidRPr="00001309">
        <w:rPr>
          <w:sz w:val="26"/>
          <w:szCs w:val="26"/>
        </w:rPr>
        <w:t xml:space="preserve">, 413 A.2d 1037 (Pa. 1980); </w:t>
      </w:r>
      <w:r w:rsidR="008351A5" w:rsidRPr="00001309">
        <w:rPr>
          <w:i/>
          <w:sz w:val="26"/>
          <w:szCs w:val="26"/>
        </w:rPr>
        <w:t>Erie Resistor Corp. v. Unemployment Comp. Bd. of Review</w:t>
      </w:r>
      <w:r w:rsidR="008351A5" w:rsidRPr="00001309">
        <w:rPr>
          <w:sz w:val="26"/>
          <w:szCs w:val="26"/>
        </w:rPr>
        <w:t xml:space="preserve">, 166 A.2d 96 (Pa. Super. 1961); and </w:t>
      </w:r>
      <w:r w:rsidR="008351A5" w:rsidRPr="00001309">
        <w:rPr>
          <w:i/>
          <w:sz w:val="26"/>
          <w:szCs w:val="26"/>
        </w:rPr>
        <w:t>Murphy v. Comm., Dept. of Public Welfare, White Haven Center</w:t>
      </w:r>
      <w:r w:rsidR="008351A5" w:rsidRPr="00001309">
        <w:rPr>
          <w:sz w:val="26"/>
          <w:szCs w:val="26"/>
        </w:rPr>
        <w:t>, 480 A.2d 382 (Pa. Cmwlth. 1984).</w:t>
      </w:r>
      <w:r w:rsidR="006C798C" w:rsidRPr="00001309">
        <w:rPr>
          <w:sz w:val="26"/>
          <w:szCs w:val="26"/>
        </w:rPr>
        <w:t xml:space="preserve">  I.D. at 43.</w:t>
      </w:r>
    </w:p>
    <w:p w:rsidR="006C798C" w:rsidRPr="00001309" w:rsidRDefault="006C798C" w:rsidP="008351A5">
      <w:pPr>
        <w:autoSpaceDE w:val="0"/>
        <w:autoSpaceDN w:val="0"/>
        <w:rPr>
          <w:sz w:val="26"/>
          <w:szCs w:val="26"/>
        </w:rPr>
      </w:pPr>
    </w:p>
    <w:p w:rsidR="006629FC" w:rsidRPr="00001309" w:rsidRDefault="006C798C" w:rsidP="00A36092">
      <w:pPr>
        <w:autoSpaceDE w:val="0"/>
        <w:autoSpaceDN w:val="0"/>
        <w:adjustRightInd w:val="0"/>
        <w:rPr>
          <w:sz w:val="26"/>
          <w:szCs w:val="26"/>
        </w:rPr>
      </w:pPr>
      <w:r w:rsidRPr="00001309">
        <w:rPr>
          <w:sz w:val="26"/>
          <w:szCs w:val="26"/>
        </w:rPr>
        <w:t xml:space="preserve">We, hereby, adopt the recitation of the applicable principles of the burden of proof as </w:t>
      </w:r>
      <w:r w:rsidR="00174677" w:rsidRPr="00001309">
        <w:rPr>
          <w:sz w:val="26"/>
          <w:szCs w:val="26"/>
        </w:rPr>
        <w:t>explained</w:t>
      </w:r>
      <w:r w:rsidRPr="00001309">
        <w:rPr>
          <w:sz w:val="26"/>
          <w:szCs w:val="26"/>
        </w:rPr>
        <w:t xml:space="preserve"> by the presiding ALJs.</w:t>
      </w:r>
      <w:r w:rsidR="008643CA" w:rsidRPr="00001309">
        <w:rPr>
          <w:sz w:val="26"/>
          <w:szCs w:val="26"/>
        </w:rPr>
        <w:t xml:space="preserve">  We further note that, while the burden of proof does not shift in a proceeding</w:t>
      </w:r>
      <w:r w:rsidR="00174677" w:rsidRPr="00001309">
        <w:rPr>
          <w:sz w:val="26"/>
          <w:szCs w:val="26"/>
        </w:rPr>
        <w:t xml:space="preserve"> and always remains on a complainant</w:t>
      </w:r>
      <w:r w:rsidR="008643CA" w:rsidRPr="00001309">
        <w:rPr>
          <w:sz w:val="26"/>
          <w:szCs w:val="26"/>
        </w:rPr>
        <w:t>, the burden of going forward with the evidence may, in fact</w:t>
      </w:r>
      <w:r w:rsidR="00E043D9" w:rsidRPr="00001309">
        <w:rPr>
          <w:sz w:val="26"/>
          <w:szCs w:val="26"/>
        </w:rPr>
        <w:t>,</w:t>
      </w:r>
      <w:r w:rsidR="008643CA" w:rsidRPr="00001309">
        <w:rPr>
          <w:sz w:val="26"/>
          <w:szCs w:val="26"/>
        </w:rPr>
        <w:t xml:space="preserve"> shift.</w:t>
      </w:r>
      <w:r w:rsidR="00B05ECF" w:rsidRPr="00001309">
        <w:rPr>
          <w:sz w:val="26"/>
          <w:szCs w:val="26"/>
        </w:rPr>
        <w:t xml:space="preserve">  </w:t>
      </w:r>
      <w:r w:rsidR="00B05ECF" w:rsidRPr="00001309">
        <w:rPr>
          <w:bCs/>
          <w:i/>
          <w:sz w:val="26"/>
          <w:szCs w:val="26"/>
        </w:rPr>
        <w:t>Burleson v. Pa. PUC</w:t>
      </w:r>
      <w:r w:rsidR="00B05ECF" w:rsidRPr="00001309">
        <w:rPr>
          <w:bCs/>
          <w:sz w:val="26"/>
          <w:szCs w:val="26"/>
        </w:rPr>
        <w:t>, 501 Pa. 433, 461 A.2d 1234 (</w:t>
      </w:r>
      <w:r w:rsidR="00FA5D1C" w:rsidRPr="00001309">
        <w:rPr>
          <w:bCs/>
          <w:sz w:val="26"/>
          <w:szCs w:val="26"/>
        </w:rPr>
        <w:t xml:space="preserve">Pa. </w:t>
      </w:r>
      <w:r w:rsidR="00B05ECF" w:rsidRPr="00001309">
        <w:rPr>
          <w:bCs/>
          <w:sz w:val="26"/>
          <w:szCs w:val="26"/>
        </w:rPr>
        <w:t>1983)</w:t>
      </w:r>
      <w:r w:rsidR="00A36092" w:rsidRPr="00001309">
        <w:rPr>
          <w:bCs/>
          <w:sz w:val="26"/>
          <w:szCs w:val="26"/>
        </w:rPr>
        <w:t xml:space="preserve">; </w:t>
      </w:r>
      <w:hyperlink r:id="rId9" w:history="1">
        <w:r w:rsidR="00A36092" w:rsidRPr="00001309">
          <w:rPr>
            <w:rStyle w:val="Hyperlink"/>
            <w:i/>
            <w:iCs/>
            <w:color w:val="auto"/>
            <w:sz w:val="26"/>
            <w:szCs w:val="26"/>
            <w:u w:val="none"/>
          </w:rPr>
          <w:t>Replogle v. Pa. Electric Company</w:t>
        </w:r>
        <w:r w:rsidR="00A36092" w:rsidRPr="00001309">
          <w:rPr>
            <w:rStyle w:val="Hyperlink"/>
            <w:color w:val="auto"/>
            <w:sz w:val="26"/>
            <w:szCs w:val="26"/>
            <w:u w:val="none"/>
          </w:rPr>
          <w:t>, 54 Pa. P</w:t>
        </w:r>
        <w:r w:rsidR="00480CAE" w:rsidRPr="00001309">
          <w:rPr>
            <w:rStyle w:val="Hyperlink"/>
            <w:color w:val="auto"/>
            <w:sz w:val="26"/>
            <w:szCs w:val="26"/>
            <w:u w:val="none"/>
          </w:rPr>
          <w:t>.</w:t>
        </w:r>
        <w:r w:rsidR="00A36092" w:rsidRPr="00001309">
          <w:rPr>
            <w:rStyle w:val="Hyperlink"/>
            <w:color w:val="auto"/>
            <w:sz w:val="26"/>
            <w:szCs w:val="26"/>
            <w:u w:val="none"/>
          </w:rPr>
          <w:t>U</w:t>
        </w:r>
        <w:r w:rsidR="00480CAE" w:rsidRPr="00001309">
          <w:rPr>
            <w:rStyle w:val="Hyperlink"/>
            <w:color w:val="auto"/>
            <w:sz w:val="26"/>
            <w:szCs w:val="26"/>
            <w:u w:val="none"/>
          </w:rPr>
          <w:t>.</w:t>
        </w:r>
        <w:r w:rsidR="00A36092" w:rsidRPr="00001309">
          <w:rPr>
            <w:rStyle w:val="Hyperlink"/>
            <w:color w:val="auto"/>
            <w:sz w:val="26"/>
            <w:szCs w:val="26"/>
            <w:u w:val="none"/>
          </w:rPr>
          <w:t>C</w:t>
        </w:r>
        <w:r w:rsidR="00480CAE" w:rsidRPr="00001309">
          <w:rPr>
            <w:rStyle w:val="Hyperlink"/>
            <w:color w:val="auto"/>
            <w:sz w:val="26"/>
            <w:szCs w:val="26"/>
            <w:u w:val="none"/>
          </w:rPr>
          <w:t>.</w:t>
        </w:r>
        <w:r w:rsidR="00A36092" w:rsidRPr="00001309">
          <w:rPr>
            <w:rStyle w:val="Hyperlink"/>
            <w:color w:val="auto"/>
            <w:sz w:val="26"/>
            <w:szCs w:val="26"/>
            <w:u w:val="none"/>
          </w:rPr>
          <w:t xml:space="preserve"> 528 (1980)</w:t>
        </w:r>
      </w:hyperlink>
      <w:r w:rsidR="00A36092" w:rsidRPr="00001309">
        <w:rPr>
          <w:sz w:val="26"/>
          <w:szCs w:val="26"/>
        </w:rPr>
        <w:t xml:space="preserve">;  </w:t>
      </w:r>
      <w:hyperlink r:id="rId10" w:history="1">
        <w:r w:rsidR="00A36092" w:rsidRPr="00001309">
          <w:rPr>
            <w:rStyle w:val="Hyperlink"/>
            <w:i/>
            <w:iCs/>
            <w:color w:val="auto"/>
            <w:sz w:val="26"/>
            <w:szCs w:val="26"/>
            <w:u w:val="none"/>
          </w:rPr>
          <w:t>Waldron v. Philadelphia Electric Company</w:t>
        </w:r>
        <w:r w:rsidR="00A36092" w:rsidRPr="00001309">
          <w:rPr>
            <w:rStyle w:val="Hyperlink"/>
            <w:color w:val="auto"/>
            <w:sz w:val="26"/>
            <w:szCs w:val="26"/>
            <w:u w:val="none"/>
          </w:rPr>
          <w:t>, 54 Pa. P</w:t>
        </w:r>
        <w:r w:rsidR="00480CAE" w:rsidRPr="00001309">
          <w:rPr>
            <w:rStyle w:val="Hyperlink"/>
            <w:color w:val="auto"/>
            <w:sz w:val="26"/>
            <w:szCs w:val="26"/>
            <w:u w:val="none"/>
          </w:rPr>
          <w:t>.</w:t>
        </w:r>
        <w:r w:rsidR="00A36092" w:rsidRPr="00001309">
          <w:rPr>
            <w:rStyle w:val="Hyperlink"/>
            <w:color w:val="auto"/>
            <w:sz w:val="26"/>
            <w:szCs w:val="26"/>
            <w:u w:val="none"/>
          </w:rPr>
          <w:t>U</w:t>
        </w:r>
        <w:r w:rsidR="00480CAE" w:rsidRPr="00001309">
          <w:rPr>
            <w:rStyle w:val="Hyperlink"/>
            <w:color w:val="auto"/>
            <w:sz w:val="26"/>
            <w:szCs w:val="26"/>
            <w:u w:val="none"/>
          </w:rPr>
          <w:t>.</w:t>
        </w:r>
        <w:r w:rsidR="00A36092" w:rsidRPr="00001309">
          <w:rPr>
            <w:rStyle w:val="Hyperlink"/>
            <w:color w:val="auto"/>
            <w:sz w:val="26"/>
            <w:szCs w:val="26"/>
            <w:u w:val="none"/>
          </w:rPr>
          <w:t>C</w:t>
        </w:r>
        <w:r w:rsidR="00480CAE" w:rsidRPr="00001309">
          <w:rPr>
            <w:rStyle w:val="Hyperlink"/>
            <w:color w:val="auto"/>
            <w:sz w:val="26"/>
            <w:szCs w:val="26"/>
            <w:u w:val="none"/>
          </w:rPr>
          <w:t>.</w:t>
        </w:r>
        <w:r w:rsidR="00A36092" w:rsidRPr="00001309">
          <w:rPr>
            <w:rStyle w:val="Hyperlink"/>
            <w:color w:val="auto"/>
            <w:sz w:val="26"/>
            <w:szCs w:val="26"/>
            <w:u w:val="none"/>
          </w:rPr>
          <w:t xml:space="preserve"> 98 (1980)</w:t>
        </w:r>
      </w:hyperlink>
      <w:r w:rsidR="00A36092" w:rsidRPr="00001309">
        <w:rPr>
          <w:sz w:val="26"/>
          <w:szCs w:val="26"/>
        </w:rPr>
        <w:t xml:space="preserve"> (</w:t>
      </w:r>
      <w:r w:rsidR="00A36092" w:rsidRPr="00001309">
        <w:rPr>
          <w:i/>
          <w:iCs/>
          <w:sz w:val="26"/>
          <w:szCs w:val="26"/>
        </w:rPr>
        <w:t>Waldron</w:t>
      </w:r>
      <w:r w:rsidR="00A36092" w:rsidRPr="00001309">
        <w:rPr>
          <w:sz w:val="26"/>
          <w:szCs w:val="26"/>
        </w:rPr>
        <w:t xml:space="preserve">).  </w:t>
      </w:r>
      <w:r w:rsidR="008643CA" w:rsidRPr="00001309">
        <w:rPr>
          <w:sz w:val="26"/>
          <w:szCs w:val="26"/>
        </w:rPr>
        <w:t xml:space="preserve">By its failure to </w:t>
      </w:r>
      <w:r w:rsidR="008643CA" w:rsidRPr="00001309">
        <w:rPr>
          <w:sz w:val="26"/>
          <w:szCs w:val="26"/>
        </w:rPr>
        <w:lastRenderedPageBreak/>
        <w:t xml:space="preserve">submit any evidence in these proceedings, Blue Pilot has waived its ability to avail itself of the shifting burdens of going forward with the evidence in several areas.  </w:t>
      </w:r>
      <w:r w:rsidR="008643CA" w:rsidRPr="00001309">
        <w:rPr>
          <w:i/>
          <w:sz w:val="26"/>
          <w:szCs w:val="26"/>
        </w:rPr>
        <w:t xml:space="preserve">See e.g., </w:t>
      </w:r>
      <w:r w:rsidR="008643CA" w:rsidRPr="00001309">
        <w:rPr>
          <w:sz w:val="26"/>
          <w:szCs w:val="26"/>
        </w:rPr>
        <w:t>I.D. at</w:t>
      </w:r>
      <w:r w:rsidR="009E01E4">
        <w:rPr>
          <w:sz w:val="26"/>
          <w:szCs w:val="26"/>
        </w:rPr>
        <w:t> </w:t>
      </w:r>
      <w:r w:rsidR="008643CA" w:rsidRPr="00001309">
        <w:rPr>
          <w:sz w:val="26"/>
          <w:szCs w:val="26"/>
        </w:rPr>
        <w:t>11</w:t>
      </w:r>
      <w:r w:rsidR="00B541AE" w:rsidRPr="00001309">
        <w:rPr>
          <w:sz w:val="26"/>
          <w:szCs w:val="26"/>
        </w:rPr>
        <w:t>5</w:t>
      </w:r>
      <w:r w:rsidR="008643CA" w:rsidRPr="00001309">
        <w:rPr>
          <w:sz w:val="26"/>
          <w:szCs w:val="26"/>
        </w:rPr>
        <w:t>.</w:t>
      </w:r>
      <w:r w:rsidR="009E2D3D" w:rsidRPr="00001309">
        <w:rPr>
          <w:rStyle w:val="FootnoteReference"/>
          <w:sz w:val="26"/>
          <w:szCs w:val="26"/>
        </w:rPr>
        <w:footnoteReference w:id="15"/>
      </w:r>
      <w:r w:rsidR="008643CA" w:rsidRPr="00001309">
        <w:rPr>
          <w:sz w:val="26"/>
          <w:szCs w:val="26"/>
        </w:rPr>
        <w:t xml:space="preserve"> </w:t>
      </w:r>
    </w:p>
    <w:p w:rsidR="003842B7" w:rsidRPr="00001309" w:rsidRDefault="003842B7" w:rsidP="00F5211E">
      <w:pPr>
        <w:autoSpaceDE w:val="0"/>
        <w:autoSpaceDN w:val="0"/>
        <w:rPr>
          <w:sz w:val="26"/>
          <w:szCs w:val="26"/>
        </w:rPr>
      </w:pPr>
    </w:p>
    <w:p w:rsidR="008351A5" w:rsidRPr="00FC4EFB" w:rsidRDefault="00F42EE0" w:rsidP="001812E2">
      <w:pPr>
        <w:pStyle w:val="Heading2"/>
        <w:spacing w:before="0"/>
        <w:ind w:firstLine="0"/>
        <w:rPr>
          <w:rFonts w:ascii="Times New Roman" w:hAnsi="Times New Roman" w:cs="Times New Roman"/>
          <w:b/>
          <w:color w:val="auto"/>
        </w:rPr>
      </w:pPr>
      <w:bookmarkStart w:id="19" w:name="_Toc517831034"/>
      <w:r w:rsidRPr="00FC4EFB">
        <w:rPr>
          <w:rFonts w:ascii="Times New Roman" w:hAnsi="Times New Roman" w:cs="Times New Roman"/>
          <w:b/>
          <w:color w:val="auto"/>
        </w:rPr>
        <w:t>C</w:t>
      </w:r>
      <w:r w:rsidR="008351A5" w:rsidRPr="00FC4EFB">
        <w:rPr>
          <w:rFonts w:ascii="Times New Roman" w:hAnsi="Times New Roman" w:cs="Times New Roman"/>
          <w:b/>
          <w:color w:val="auto"/>
        </w:rPr>
        <w:t>.</w:t>
      </w:r>
      <w:r w:rsidR="00397ED1" w:rsidRPr="00FC4EFB">
        <w:rPr>
          <w:rFonts w:ascii="Times New Roman" w:hAnsi="Times New Roman" w:cs="Times New Roman"/>
          <w:b/>
          <w:color w:val="auto"/>
        </w:rPr>
        <w:tab/>
      </w:r>
      <w:r w:rsidR="008351A5" w:rsidRPr="00FC4EFB">
        <w:rPr>
          <w:rFonts w:ascii="Times New Roman" w:hAnsi="Times New Roman" w:cs="Times New Roman"/>
          <w:b/>
          <w:color w:val="auto"/>
        </w:rPr>
        <w:t>Subject Matter Jurisdiction</w:t>
      </w:r>
      <w:bookmarkEnd w:id="19"/>
    </w:p>
    <w:p w:rsidR="008351A5" w:rsidRPr="00001309" w:rsidRDefault="008351A5" w:rsidP="008508D1">
      <w:pPr>
        <w:keepNext/>
        <w:keepLines/>
        <w:autoSpaceDE w:val="0"/>
        <w:autoSpaceDN w:val="0"/>
        <w:adjustRightInd w:val="0"/>
        <w:rPr>
          <w:sz w:val="26"/>
          <w:szCs w:val="26"/>
        </w:rPr>
      </w:pPr>
    </w:p>
    <w:p w:rsidR="008351A5" w:rsidRPr="00001309" w:rsidRDefault="008351A5" w:rsidP="008A28A2">
      <w:pPr>
        <w:autoSpaceDE w:val="0"/>
        <w:autoSpaceDN w:val="0"/>
        <w:adjustRightInd w:val="0"/>
        <w:rPr>
          <w:sz w:val="26"/>
          <w:szCs w:val="26"/>
        </w:rPr>
      </w:pPr>
      <w:r w:rsidRPr="00001309">
        <w:rPr>
          <w:sz w:val="26"/>
          <w:szCs w:val="26"/>
        </w:rPr>
        <w:t xml:space="preserve">Blue Pilot </w:t>
      </w:r>
      <w:r w:rsidR="006629FC" w:rsidRPr="00001309">
        <w:rPr>
          <w:sz w:val="26"/>
          <w:szCs w:val="26"/>
        </w:rPr>
        <w:t xml:space="preserve">has </w:t>
      </w:r>
      <w:r w:rsidR="000C184E" w:rsidRPr="00001309">
        <w:rPr>
          <w:sz w:val="26"/>
          <w:szCs w:val="26"/>
        </w:rPr>
        <w:t xml:space="preserve">raised </w:t>
      </w:r>
      <w:r w:rsidR="006629FC" w:rsidRPr="00001309">
        <w:rPr>
          <w:sz w:val="26"/>
          <w:szCs w:val="26"/>
        </w:rPr>
        <w:t xml:space="preserve">a fundamental </w:t>
      </w:r>
      <w:r w:rsidRPr="00001309">
        <w:rPr>
          <w:sz w:val="26"/>
          <w:szCs w:val="26"/>
        </w:rPr>
        <w:t>challenge</w:t>
      </w:r>
      <w:r w:rsidR="006629FC" w:rsidRPr="00001309">
        <w:rPr>
          <w:sz w:val="26"/>
          <w:szCs w:val="26"/>
        </w:rPr>
        <w:t xml:space="preserve"> to</w:t>
      </w:r>
      <w:r w:rsidRPr="00001309">
        <w:rPr>
          <w:sz w:val="26"/>
          <w:szCs w:val="26"/>
        </w:rPr>
        <w:t xml:space="preserve"> the Commission’s subject matter jurisdiction</w:t>
      </w:r>
      <w:r w:rsidR="006629FC" w:rsidRPr="00001309">
        <w:rPr>
          <w:sz w:val="26"/>
          <w:szCs w:val="26"/>
        </w:rPr>
        <w:t xml:space="preserve"> in this proceeding</w:t>
      </w:r>
      <w:r w:rsidRPr="00001309">
        <w:rPr>
          <w:sz w:val="26"/>
          <w:szCs w:val="26"/>
        </w:rPr>
        <w:t>.</w:t>
      </w:r>
      <w:r w:rsidR="008A28A2" w:rsidRPr="00001309">
        <w:rPr>
          <w:sz w:val="26"/>
          <w:szCs w:val="26"/>
        </w:rPr>
        <w:t xml:space="preserve">  </w:t>
      </w:r>
      <w:r w:rsidR="008A28A2" w:rsidRPr="00001309">
        <w:rPr>
          <w:i/>
          <w:sz w:val="26"/>
          <w:szCs w:val="26"/>
        </w:rPr>
        <w:t xml:space="preserve">See </w:t>
      </w:r>
      <w:r w:rsidR="008A28A2" w:rsidRPr="00001309">
        <w:rPr>
          <w:sz w:val="26"/>
          <w:szCs w:val="26"/>
        </w:rPr>
        <w:t>I.D. at 43-46;</w:t>
      </w:r>
      <w:r w:rsidRPr="00001309">
        <w:rPr>
          <w:sz w:val="26"/>
          <w:szCs w:val="26"/>
        </w:rPr>
        <w:t xml:space="preserve"> Blue Pilot M.B. at 32-35.</w:t>
      </w:r>
    </w:p>
    <w:p w:rsidR="008351A5" w:rsidRPr="00001309" w:rsidRDefault="008351A5" w:rsidP="008351A5">
      <w:pPr>
        <w:autoSpaceDE w:val="0"/>
        <w:autoSpaceDN w:val="0"/>
        <w:adjustRightInd w:val="0"/>
        <w:rPr>
          <w:sz w:val="26"/>
          <w:szCs w:val="26"/>
        </w:rPr>
      </w:pPr>
    </w:p>
    <w:p w:rsidR="008351A5" w:rsidRPr="00001309" w:rsidRDefault="008A28A2" w:rsidP="008A28A2">
      <w:pPr>
        <w:autoSpaceDE w:val="0"/>
        <w:autoSpaceDN w:val="0"/>
        <w:adjustRightInd w:val="0"/>
        <w:rPr>
          <w:sz w:val="26"/>
          <w:szCs w:val="26"/>
        </w:rPr>
      </w:pPr>
      <w:r w:rsidRPr="00001309">
        <w:rPr>
          <w:sz w:val="26"/>
          <w:szCs w:val="26"/>
        </w:rPr>
        <w:t xml:space="preserve">We shall adopt the ALJs’ conclusions regarding the extent of our subject matter jurisdiction in this Complaint, as modified by our discussion of Blue Pilot’s </w:t>
      </w:r>
      <w:r w:rsidR="00F42EE0" w:rsidRPr="00001309">
        <w:rPr>
          <w:sz w:val="26"/>
          <w:szCs w:val="26"/>
        </w:rPr>
        <w:t xml:space="preserve">specific </w:t>
      </w:r>
      <w:r w:rsidRPr="00001309">
        <w:rPr>
          <w:sz w:val="26"/>
          <w:szCs w:val="26"/>
        </w:rPr>
        <w:t>Exceptions to the I.D.</w:t>
      </w:r>
    </w:p>
    <w:p w:rsidR="00B22E3C" w:rsidRPr="00001309" w:rsidRDefault="00B22E3C" w:rsidP="00B22E3C">
      <w:pPr>
        <w:autoSpaceDE w:val="0"/>
        <w:autoSpaceDN w:val="0"/>
        <w:adjustRightInd w:val="0"/>
        <w:ind w:firstLine="0"/>
        <w:rPr>
          <w:sz w:val="26"/>
          <w:szCs w:val="26"/>
        </w:rPr>
      </w:pPr>
    </w:p>
    <w:p w:rsidR="006629FC" w:rsidRPr="00001309" w:rsidRDefault="00B22E3C" w:rsidP="001D6E3A">
      <w:pPr>
        <w:autoSpaceDE w:val="0"/>
        <w:autoSpaceDN w:val="0"/>
        <w:adjustRightInd w:val="0"/>
        <w:rPr>
          <w:sz w:val="26"/>
          <w:szCs w:val="26"/>
        </w:rPr>
      </w:pPr>
      <w:r w:rsidRPr="00001309">
        <w:rPr>
          <w:sz w:val="26"/>
          <w:szCs w:val="26"/>
        </w:rPr>
        <w:t xml:space="preserve">Blue Pilot </w:t>
      </w:r>
      <w:r w:rsidR="00F42EE0" w:rsidRPr="00001309">
        <w:rPr>
          <w:sz w:val="26"/>
          <w:szCs w:val="26"/>
        </w:rPr>
        <w:t xml:space="preserve">takes general objection to the conclusions in the I.D. and </w:t>
      </w:r>
      <w:r w:rsidRPr="00001309">
        <w:rPr>
          <w:sz w:val="26"/>
          <w:szCs w:val="26"/>
        </w:rPr>
        <w:t xml:space="preserve">argues, </w:t>
      </w:r>
      <w:r w:rsidRPr="00001309">
        <w:rPr>
          <w:i/>
          <w:sz w:val="26"/>
          <w:szCs w:val="26"/>
        </w:rPr>
        <w:t>inter alia</w:t>
      </w:r>
      <w:r w:rsidRPr="00001309">
        <w:rPr>
          <w:sz w:val="26"/>
          <w:szCs w:val="26"/>
        </w:rPr>
        <w:t xml:space="preserve">, that the Complaint and </w:t>
      </w:r>
      <w:r w:rsidR="009F4EB9" w:rsidRPr="00001309">
        <w:rPr>
          <w:sz w:val="26"/>
          <w:szCs w:val="26"/>
        </w:rPr>
        <w:t xml:space="preserve">the </w:t>
      </w:r>
      <w:r w:rsidRPr="00001309">
        <w:rPr>
          <w:sz w:val="26"/>
          <w:szCs w:val="26"/>
        </w:rPr>
        <w:t>ALJs</w:t>
      </w:r>
      <w:r w:rsidR="001D6E3A" w:rsidRPr="00001309">
        <w:rPr>
          <w:sz w:val="26"/>
          <w:szCs w:val="26"/>
        </w:rPr>
        <w:t>’</w:t>
      </w:r>
      <w:r w:rsidRPr="00001309">
        <w:rPr>
          <w:sz w:val="26"/>
          <w:szCs w:val="26"/>
        </w:rPr>
        <w:t xml:space="preserve"> recommendation to sustain the Complaint, in part, exceed the scope of Commission jurisdiction</w:t>
      </w:r>
      <w:r w:rsidR="001D6E3A" w:rsidRPr="00001309">
        <w:rPr>
          <w:sz w:val="26"/>
          <w:szCs w:val="26"/>
        </w:rPr>
        <w:t xml:space="preserve">.  </w:t>
      </w:r>
      <w:r w:rsidR="00F42EE0" w:rsidRPr="00001309">
        <w:rPr>
          <w:sz w:val="26"/>
          <w:szCs w:val="26"/>
        </w:rPr>
        <w:t xml:space="preserve">Blue Pilot asserts that </w:t>
      </w:r>
      <w:r w:rsidR="001D6E3A" w:rsidRPr="00001309">
        <w:rPr>
          <w:sz w:val="26"/>
          <w:szCs w:val="26"/>
        </w:rPr>
        <w:t>Commission jurisdiction and authority is exceeded in the following areas:</w:t>
      </w:r>
      <w:r w:rsidRPr="00001309">
        <w:rPr>
          <w:sz w:val="26"/>
          <w:szCs w:val="26"/>
        </w:rPr>
        <w:t xml:space="preserve"> </w:t>
      </w:r>
      <w:r w:rsidR="001D6E3A" w:rsidRPr="00001309">
        <w:rPr>
          <w:sz w:val="26"/>
          <w:szCs w:val="26"/>
        </w:rPr>
        <w:t xml:space="preserve">(1) </w:t>
      </w:r>
      <w:r w:rsidRPr="00001309">
        <w:rPr>
          <w:sz w:val="26"/>
          <w:szCs w:val="26"/>
        </w:rPr>
        <w:t xml:space="preserve">the Commission does not have jurisdiction or authority to interpret a private contract between an EGS and a customer </w:t>
      </w:r>
      <w:r w:rsidR="001D6E3A" w:rsidRPr="00001309">
        <w:rPr>
          <w:sz w:val="26"/>
          <w:szCs w:val="26"/>
        </w:rPr>
        <w:t>to</w:t>
      </w:r>
      <w:r w:rsidRPr="00001309">
        <w:rPr>
          <w:sz w:val="26"/>
          <w:szCs w:val="26"/>
        </w:rPr>
        <w:t xml:space="preserve"> determine whether the contract has been breached; </w:t>
      </w:r>
      <w:r w:rsidR="001D6E3A" w:rsidRPr="00001309">
        <w:rPr>
          <w:sz w:val="26"/>
          <w:szCs w:val="26"/>
        </w:rPr>
        <w:t xml:space="preserve">(2) </w:t>
      </w:r>
      <w:r w:rsidRPr="00001309">
        <w:rPr>
          <w:sz w:val="26"/>
          <w:szCs w:val="26"/>
        </w:rPr>
        <w:t xml:space="preserve">the Commission does not have authority to insert words into a contract based on extrinsic evidence; </w:t>
      </w:r>
      <w:r w:rsidR="001D6E3A" w:rsidRPr="00001309">
        <w:rPr>
          <w:sz w:val="26"/>
          <w:szCs w:val="26"/>
        </w:rPr>
        <w:t xml:space="preserve">(3) </w:t>
      </w:r>
      <w:r w:rsidRPr="00001309">
        <w:rPr>
          <w:sz w:val="26"/>
          <w:szCs w:val="26"/>
        </w:rPr>
        <w:t xml:space="preserve">the Commission does not have jurisdiction over the “rates” charged to Blue Pilot customers </w:t>
      </w:r>
      <w:r w:rsidR="001D6E3A" w:rsidRPr="00001309">
        <w:rPr>
          <w:sz w:val="26"/>
          <w:szCs w:val="26"/>
        </w:rPr>
        <w:t xml:space="preserve">pursuant to their variable rate agreements </w:t>
      </w:r>
      <w:r w:rsidRPr="00001309">
        <w:rPr>
          <w:sz w:val="26"/>
          <w:szCs w:val="26"/>
        </w:rPr>
        <w:t xml:space="preserve">and a determination that </w:t>
      </w:r>
      <w:r w:rsidR="00880AA8" w:rsidRPr="00001309">
        <w:rPr>
          <w:sz w:val="26"/>
          <w:szCs w:val="26"/>
        </w:rPr>
        <w:t>its billed</w:t>
      </w:r>
      <w:r w:rsidRPr="00001309">
        <w:rPr>
          <w:sz w:val="26"/>
          <w:szCs w:val="26"/>
        </w:rPr>
        <w:t xml:space="preserve"> charges did not conform to </w:t>
      </w:r>
      <w:r w:rsidR="001D6E3A" w:rsidRPr="00001309">
        <w:rPr>
          <w:sz w:val="26"/>
          <w:szCs w:val="26"/>
        </w:rPr>
        <w:t>Blue Pilot’s</w:t>
      </w:r>
      <w:r w:rsidR="004B2409" w:rsidRPr="00001309">
        <w:rPr>
          <w:sz w:val="26"/>
          <w:szCs w:val="26"/>
        </w:rPr>
        <w:t xml:space="preserve"> disclosures necessarily involves </w:t>
      </w:r>
      <w:r w:rsidRPr="00001309">
        <w:rPr>
          <w:sz w:val="26"/>
          <w:szCs w:val="26"/>
        </w:rPr>
        <w:t>conduct</w:t>
      </w:r>
      <w:r w:rsidR="004B2409" w:rsidRPr="00001309">
        <w:rPr>
          <w:sz w:val="26"/>
          <w:szCs w:val="26"/>
        </w:rPr>
        <w:t>ing</w:t>
      </w:r>
      <w:r w:rsidRPr="00001309">
        <w:rPr>
          <w:sz w:val="26"/>
          <w:szCs w:val="26"/>
        </w:rPr>
        <w:t xml:space="preserve"> a cost of service analysis to determine whether an EGS’s prices are</w:t>
      </w:r>
      <w:r w:rsidR="004B2409" w:rsidRPr="00001309">
        <w:rPr>
          <w:sz w:val="26"/>
          <w:szCs w:val="26"/>
        </w:rPr>
        <w:t xml:space="preserve"> </w:t>
      </w:r>
      <w:r w:rsidRPr="00001309">
        <w:rPr>
          <w:sz w:val="26"/>
          <w:szCs w:val="26"/>
        </w:rPr>
        <w:t xml:space="preserve">just and reasonable; </w:t>
      </w:r>
      <w:r w:rsidR="001D6E3A" w:rsidRPr="00001309">
        <w:rPr>
          <w:sz w:val="26"/>
          <w:szCs w:val="26"/>
        </w:rPr>
        <w:t xml:space="preserve">(4) </w:t>
      </w:r>
      <w:r w:rsidRPr="00001309">
        <w:rPr>
          <w:sz w:val="26"/>
          <w:szCs w:val="26"/>
        </w:rPr>
        <w:t xml:space="preserve">the Commission </w:t>
      </w:r>
      <w:r w:rsidR="004B2409" w:rsidRPr="00001309">
        <w:rPr>
          <w:sz w:val="26"/>
          <w:szCs w:val="26"/>
        </w:rPr>
        <w:t xml:space="preserve">does not have authority to </w:t>
      </w:r>
      <w:r w:rsidRPr="00001309">
        <w:rPr>
          <w:sz w:val="26"/>
          <w:szCs w:val="26"/>
        </w:rPr>
        <w:t>require an EGS’s prices to mirror specific</w:t>
      </w:r>
      <w:r w:rsidR="004B2409" w:rsidRPr="00001309">
        <w:rPr>
          <w:sz w:val="26"/>
          <w:szCs w:val="26"/>
        </w:rPr>
        <w:t xml:space="preserve"> </w:t>
      </w:r>
      <w:r w:rsidR="001D6E3A" w:rsidRPr="00001309">
        <w:rPr>
          <w:sz w:val="26"/>
          <w:szCs w:val="26"/>
        </w:rPr>
        <w:t xml:space="preserve">wholesale market conditions without containing a profit margin or reflecting other factors; and (5) the Commission does not have </w:t>
      </w:r>
      <w:r w:rsidR="001D6E3A" w:rsidRPr="00001309">
        <w:rPr>
          <w:sz w:val="26"/>
          <w:szCs w:val="26"/>
        </w:rPr>
        <w:lastRenderedPageBreak/>
        <w:t xml:space="preserve">authority to award damages in the form of refunds to all customers served by Blue Pilot from December 2013 through March 2014.  </w:t>
      </w:r>
      <w:r w:rsidR="001D6E3A" w:rsidRPr="00001309">
        <w:rPr>
          <w:i/>
          <w:sz w:val="26"/>
          <w:szCs w:val="26"/>
        </w:rPr>
        <w:t>See</w:t>
      </w:r>
      <w:r w:rsidR="001D6E3A" w:rsidRPr="00001309">
        <w:rPr>
          <w:sz w:val="26"/>
          <w:szCs w:val="26"/>
        </w:rPr>
        <w:t xml:space="preserve"> Blue Pilot Exc. at </w:t>
      </w:r>
      <w:r w:rsidR="00A13EC2" w:rsidRPr="00001309">
        <w:rPr>
          <w:sz w:val="26"/>
          <w:szCs w:val="26"/>
        </w:rPr>
        <w:t>3-4.</w:t>
      </w:r>
    </w:p>
    <w:p w:rsidR="00A13EC2" w:rsidRPr="00001309" w:rsidRDefault="00A13EC2" w:rsidP="001D6E3A">
      <w:pPr>
        <w:autoSpaceDE w:val="0"/>
        <w:autoSpaceDN w:val="0"/>
        <w:adjustRightInd w:val="0"/>
        <w:rPr>
          <w:sz w:val="26"/>
          <w:szCs w:val="26"/>
        </w:rPr>
      </w:pPr>
    </w:p>
    <w:p w:rsidR="00A13EC2" w:rsidRPr="00001309" w:rsidRDefault="00A13EC2" w:rsidP="001D6E3A">
      <w:pPr>
        <w:autoSpaceDE w:val="0"/>
        <w:autoSpaceDN w:val="0"/>
        <w:adjustRightInd w:val="0"/>
        <w:rPr>
          <w:sz w:val="26"/>
          <w:szCs w:val="26"/>
        </w:rPr>
      </w:pPr>
      <w:r w:rsidRPr="00001309">
        <w:rPr>
          <w:sz w:val="26"/>
          <w:szCs w:val="26"/>
        </w:rPr>
        <w:t>These arguments will be addressed in the specific context of the Complaint</w:t>
      </w:r>
      <w:r w:rsidR="00116366" w:rsidRPr="00001309">
        <w:rPr>
          <w:sz w:val="26"/>
          <w:szCs w:val="26"/>
        </w:rPr>
        <w:t>,</w:t>
      </w:r>
      <w:r w:rsidRPr="00001309">
        <w:rPr>
          <w:sz w:val="26"/>
          <w:szCs w:val="26"/>
        </w:rPr>
        <w:t xml:space="preserve"> and its counts which have been reviewed by the ALJs.</w:t>
      </w:r>
    </w:p>
    <w:p w:rsidR="008A28A2" w:rsidRPr="00001309" w:rsidRDefault="008A28A2" w:rsidP="00FB7A4F">
      <w:pPr>
        <w:autoSpaceDE w:val="0"/>
        <w:autoSpaceDN w:val="0"/>
        <w:adjustRightInd w:val="0"/>
        <w:ind w:firstLine="0"/>
        <w:rPr>
          <w:sz w:val="26"/>
          <w:szCs w:val="26"/>
        </w:rPr>
      </w:pPr>
    </w:p>
    <w:p w:rsidR="008351A5" w:rsidRPr="00FC4EFB" w:rsidRDefault="00FB7A4F" w:rsidP="001812E2">
      <w:pPr>
        <w:pStyle w:val="Heading2"/>
        <w:spacing w:before="0"/>
        <w:ind w:firstLine="0"/>
        <w:rPr>
          <w:rFonts w:ascii="Times New Roman" w:hAnsi="Times New Roman" w:cs="Times New Roman"/>
          <w:b/>
          <w:color w:val="auto"/>
        </w:rPr>
      </w:pPr>
      <w:bookmarkStart w:id="20" w:name="_Toc517831035"/>
      <w:r w:rsidRPr="00FC4EFB">
        <w:rPr>
          <w:rFonts w:ascii="Times New Roman" w:hAnsi="Times New Roman" w:cs="Times New Roman"/>
          <w:b/>
          <w:color w:val="auto"/>
        </w:rPr>
        <w:t>D</w:t>
      </w:r>
      <w:r w:rsidR="008351A5" w:rsidRPr="00FC4EFB">
        <w:rPr>
          <w:rFonts w:ascii="Times New Roman" w:hAnsi="Times New Roman" w:cs="Times New Roman"/>
          <w:b/>
          <w:color w:val="auto"/>
        </w:rPr>
        <w:t>.</w:t>
      </w:r>
      <w:r w:rsidR="00397ED1" w:rsidRPr="00FC4EFB">
        <w:rPr>
          <w:rFonts w:ascii="Times New Roman" w:hAnsi="Times New Roman" w:cs="Times New Roman"/>
          <w:b/>
          <w:color w:val="auto"/>
        </w:rPr>
        <w:tab/>
      </w:r>
      <w:r w:rsidR="008351A5" w:rsidRPr="00FC4EFB">
        <w:rPr>
          <w:rFonts w:ascii="Times New Roman" w:hAnsi="Times New Roman" w:cs="Times New Roman"/>
          <w:b/>
          <w:color w:val="auto"/>
        </w:rPr>
        <w:t xml:space="preserve">Authority/Role of OAG/OCA </w:t>
      </w:r>
      <w:r w:rsidR="00480CAE" w:rsidRPr="00FC4EFB">
        <w:rPr>
          <w:rFonts w:ascii="Times New Roman" w:hAnsi="Times New Roman" w:cs="Times New Roman"/>
          <w:b/>
          <w:color w:val="auto"/>
        </w:rPr>
        <w:t xml:space="preserve">as </w:t>
      </w:r>
      <w:r w:rsidR="008351A5" w:rsidRPr="00FC4EFB">
        <w:rPr>
          <w:rFonts w:ascii="Times New Roman" w:hAnsi="Times New Roman" w:cs="Times New Roman"/>
          <w:b/>
          <w:color w:val="auto"/>
        </w:rPr>
        <w:t>Joint Complainants</w:t>
      </w:r>
      <w:bookmarkEnd w:id="20"/>
    </w:p>
    <w:p w:rsidR="008A28A2" w:rsidRPr="00001309" w:rsidRDefault="008A28A2" w:rsidP="008508D1">
      <w:pPr>
        <w:keepNext/>
        <w:keepLines/>
        <w:autoSpaceDE w:val="0"/>
        <w:autoSpaceDN w:val="0"/>
        <w:adjustRightInd w:val="0"/>
        <w:rPr>
          <w:sz w:val="26"/>
          <w:szCs w:val="26"/>
        </w:rPr>
      </w:pPr>
    </w:p>
    <w:p w:rsidR="008351A5" w:rsidRPr="00001309" w:rsidRDefault="008351A5" w:rsidP="008351A5">
      <w:pPr>
        <w:autoSpaceDE w:val="0"/>
        <w:autoSpaceDN w:val="0"/>
        <w:adjustRightInd w:val="0"/>
        <w:rPr>
          <w:sz w:val="26"/>
          <w:szCs w:val="26"/>
        </w:rPr>
      </w:pPr>
      <w:r w:rsidRPr="00001309">
        <w:rPr>
          <w:sz w:val="26"/>
          <w:szCs w:val="26"/>
        </w:rPr>
        <w:t>Blue Pilot</w:t>
      </w:r>
      <w:r w:rsidR="00EA096D" w:rsidRPr="00001309">
        <w:rPr>
          <w:sz w:val="26"/>
          <w:szCs w:val="26"/>
        </w:rPr>
        <w:t xml:space="preserve">’s essential </w:t>
      </w:r>
      <w:r w:rsidRPr="00001309">
        <w:rPr>
          <w:sz w:val="26"/>
          <w:szCs w:val="26"/>
        </w:rPr>
        <w:t>conten</w:t>
      </w:r>
      <w:r w:rsidR="00EA096D" w:rsidRPr="00001309">
        <w:rPr>
          <w:sz w:val="26"/>
          <w:szCs w:val="26"/>
        </w:rPr>
        <w:t>tion in this regard is its objection that</w:t>
      </w:r>
      <w:r w:rsidRPr="00001309">
        <w:rPr>
          <w:sz w:val="26"/>
          <w:szCs w:val="26"/>
        </w:rPr>
        <w:t xml:space="preserve"> </w:t>
      </w:r>
      <w:r w:rsidR="00F429DB">
        <w:rPr>
          <w:sz w:val="26"/>
          <w:szCs w:val="26"/>
        </w:rPr>
        <w:t xml:space="preserve">the </w:t>
      </w:r>
      <w:r w:rsidRPr="00001309">
        <w:rPr>
          <w:sz w:val="26"/>
          <w:szCs w:val="26"/>
        </w:rPr>
        <w:t>Joint Complainants</w:t>
      </w:r>
      <w:r w:rsidR="00EA096D" w:rsidRPr="00001309">
        <w:rPr>
          <w:sz w:val="26"/>
          <w:szCs w:val="26"/>
        </w:rPr>
        <w:t xml:space="preserve"> lack the requisite </w:t>
      </w:r>
      <w:r w:rsidRPr="00001309">
        <w:rPr>
          <w:sz w:val="26"/>
          <w:szCs w:val="26"/>
        </w:rPr>
        <w:t xml:space="preserve">authority to seek relief on behalf of individual consumers as though this </w:t>
      </w:r>
      <w:r w:rsidR="00EA096D" w:rsidRPr="00001309">
        <w:rPr>
          <w:sz w:val="26"/>
          <w:szCs w:val="26"/>
        </w:rPr>
        <w:t xml:space="preserve">proceeding </w:t>
      </w:r>
      <w:r w:rsidRPr="00001309">
        <w:rPr>
          <w:sz w:val="26"/>
          <w:szCs w:val="26"/>
        </w:rPr>
        <w:t>“were a class action lawsuit”</w:t>
      </w:r>
      <w:r w:rsidR="00EA096D" w:rsidRPr="00001309">
        <w:rPr>
          <w:sz w:val="26"/>
          <w:szCs w:val="26"/>
        </w:rPr>
        <w:t xml:space="preserve"> </w:t>
      </w:r>
      <w:r w:rsidR="002B2FA9" w:rsidRPr="00001309">
        <w:rPr>
          <w:sz w:val="26"/>
          <w:szCs w:val="26"/>
        </w:rPr>
        <w:t xml:space="preserve">proceeding </w:t>
      </w:r>
      <w:r w:rsidR="00EA096D" w:rsidRPr="00001309">
        <w:rPr>
          <w:sz w:val="26"/>
          <w:szCs w:val="26"/>
        </w:rPr>
        <w:t xml:space="preserve">under </w:t>
      </w:r>
      <w:r w:rsidR="002B2FA9" w:rsidRPr="00001309">
        <w:rPr>
          <w:sz w:val="26"/>
          <w:szCs w:val="26"/>
        </w:rPr>
        <w:t>the Rules of C</w:t>
      </w:r>
      <w:r w:rsidR="00EA096D" w:rsidRPr="00001309">
        <w:rPr>
          <w:sz w:val="26"/>
          <w:szCs w:val="26"/>
        </w:rPr>
        <w:t xml:space="preserve">ivil </w:t>
      </w:r>
      <w:r w:rsidR="002B2FA9" w:rsidRPr="00001309">
        <w:rPr>
          <w:sz w:val="26"/>
          <w:szCs w:val="26"/>
        </w:rPr>
        <w:t>P</w:t>
      </w:r>
      <w:r w:rsidR="00EA096D" w:rsidRPr="00001309">
        <w:rPr>
          <w:sz w:val="26"/>
          <w:szCs w:val="26"/>
        </w:rPr>
        <w:t>rocedur</w:t>
      </w:r>
      <w:r w:rsidR="002B2FA9" w:rsidRPr="00001309">
        <w:rPr>
          <w:sz w:val="26"/>
          <w:szCs w:val="26"/>
        </w:rPr>
        <w:t>e</w:t>
      </w:r>
      <w:r w:rsidR="009B4C79" w:rsidRPr="00001309">
        <w:rPr>
          <w:sz w:val="26"/>
          <w:szCs w:val="26"/>
        </w:rPr>
        <w:t xml:space="preserve"> applicable to a court of law</w:t>
      </w:r>
      <w:r w:rsidR="00EA096D" w:rsidRPr="00001309">
        <w:rPr>
          <w:sz w:val="26"/>
          <w:szCs w:val="26"/>
        </w:rPr>
        <w:t xml:space="preserve">.  </w:t>
      </w:r>
      <w:r w:rsidR="009B4C79" w:rsidRPr="00001309">
        <w:rPr>
          <w:i/>
          <w:sz w:val="26"/>
          <w:szCs w:val="26"/>
        </w:rPr>
        <w:t>See</w:t>
      </w:r>
      <w:r w:rsidR="009B4C79" w:rsidRPr="00001309">
        <w:rPr>
          <w:sz w:val="26"/>
          <w:szCs w:val="26"/>
        </w:rPr>
        <w:t xml:space="preserve"> </w:t>
      </w:r>
      <w:r w:rsidR="00EA096D" w:rsidRPr="00001309">
        <w:rPr>
          <w:sz w:val="26"/>
          <w:szCs w:val="26"/>
        </w:rPr>
        <w:t>I.D. at 46, referencing</w:t>
      </w:r>
      <w:r w:rsidRPr="00001309">
        <w:rPr>
          <w:sz w:val="26"/>
          <w:szCs w:val="26"/>
        </w:rPr>
        <w:t xml:space="preserve"> Blue Pilot M.B. at 40-45.</w:t>
      </w:r>
    </w:p>
    <w:p w:rsidR="00EA096D" w:rsidRPr="00001309" w:rsidRDefault="00EA096D" w:rsidP="008351A5">
      <w:pPr>
        <w:autoSpaceDE w:val="0"/>
        <w:autoSpaceDN w:val="0"/>
        <w:adjustRightInd w:val="0"/>
        <w:rPr>
          <w:sz w:val="26"/>
          <w:szCs w:val="26"/>
        </w:rPr>
      </w:pPr>
    </w:p>
    <w:p w:rsidR="00FB7A4F" w:rsidRPr="00001309" w:rsidRDefault="00FB7A4F" w:rsidP="00FB7A4F">
      <w:pPr>
        <w:autoSpaceDE w:val="0"/>
        <w:autoSpaceDN w:val="0"/>
        <w:adjustRightInd w:val="0"/>
        <w:rPr>
          <w:sz w:val="26"/>
          <w:szCs w:val="26"/>
        </w:rPr>
      </w:pPr>
      <w:r w:rsidRPr="00001309">
        <w:rPr>
          <w:sz w:val="26"/>
          <w:szCs w:val="26"/>
        </w:rPr>
        <w:t xml:space="preserve">On consideration of the arguments of Blue Pilot, the ALJs rejected its position.  The </w:t>
      </w:r>
      <w:r w:rsidR="00312731" w:rsidRPr="00001309">
        <w:rPr>
          <w:sz w:val="26"/>
          <w:szCs w:val="26"/>
        </w:rPr>
        <w:t xml:space="preserve">ALJs’ </w:t>
      </w:r>
      <w:r w:rsidRPr="00001309">
        <w:rPr>
          <w:sz w:val="26"/>
          <w:szCs w:val="26"/>
        </w:rPr>
        <w:t xml:space="preserve">pertinent reasoning </w:t>
      </w:r>
      <w:r w:rsidR="009B4C79" w:rsidRPr="00001309">
        <w:rPr>
          <w:sz w:val="26"/>
          <w:szCs w:val="26"/>
        </w:rPr>
        <w:t xml:space="preserve">and conclusion </w:t>
      </w:r>
      <w:r w:rsidRPr="00001309">
        <w:rPr>
          <w:sz w:val="26"/>
          <w:szCs w:val="26"/>
        </w:rPr>
        <w:t>is set forth below:</w:t>
      </w:r>
    </w:p>
    <w:p w:rsidR="00FB7A4F" w:rsidRPr="00001309" w:rsidRDefault="00FB7A4F" w:rsidP="00FB7A4F">
      <w:pPr>
        <w:autoSpaceDE w:val="0"/>
        <w:autoSpaceDN w:val="0"/>
        <w:adjustRightInd w:val="0"/>
        <w:rPr>
          <w:sz w:val="26"/>
          <w:szCs w:val="26"/>
        </w:rPr>
      </w:pPr>
    </w:p>
    <w:p w:rsidR="008351A5" w:rsidRPr="00001309" w:rsidRDefault="008351A5" w:rsidP="008A6A56">
      <w:pPr>
        <w:pStyle w:val="Default"/>
        <w:spacing w:line="240" w:lineRule="auto"/>
        <w:ind w:left="1440" w:right="1440" w:firstLine="0"/>
        <w:rPr>
          <w:rFonts w:ascii="Times New Roman" w:hAnsi="Times New Roman" w:cs="Times New Roman"/>
          <w:color w:val="auto"/>
          <w:spacing w:val="-3"/>
          <w:sz w:val="26"/>
          <w:szCs w:val="26"/>
        </w:rPr>
      </w:pPr>
      <w:r w:rsidRPr="00001309">
        <w:rPr>
          <w:rFonts w:ascii="Times New Roman" w:hAnsi="Times New Roman" w:cs="Times New Roman"/>
          <w:color w:val="auto"/>
          <w:sz w:val="26"/>
          <w:szCs w:val="26"/>
        </w:rPr>
        <w:t xml:space="preserve">Act 161 of the Pennsylvania General Assembly, 71 </w:t>
      </w:r>
      <w:r w:rsidR="00A35069">
        <w:rPr>
          <w:rFonts w:ascii="Times New Roman" w:hAnsi="Times New Roman" w:cs="Times New Roman"/>
          <w:color w:val="auto"/>
          <w:sz w:val="26"/>
          <w:szCs w:val="26"/>
        </w:rPr>
        <w:t xml:space="preserve">Pa.C.S. </w:t>
      </w:r>
      <w:r w:rsidRPr="00001309">
        <w:rPr>
          <w:rFonts w:ascii="Times New Roman" w:hAnsi="Times New Roman" w:cs="Times New Roman"/>
          <w:color w:val="auto"/>
          <w:sz w:val="26"/>
          <w:szCs w:val="26"/>
        </w:rPr>
        <w:t xml:space="preserve"> § 309-2, as enacted July 9, 1976, authorizes the Office of Consumer Advocate (OCA) to represent the interests of residential customers in rate proceedings before the Commission. </w:t>
      </w:r>
      <w:r w:rsidR="009B4C79" w:rsidRPr="00001309">
        <w:rPr>
          <w:rFonts w:ascii="Times New Roman" w:hAnsi="Times New Roman" w:cs="Times New Roman"/>
          <w:color w:val="auto"/>
          <w:sz w:val="26"/>
          <w:szCs w:val="26"/>
        </w:rPr>
        <w:t xml:space="preserve"> </w:t>
      </w:r>
      <w:r w:rsidRPr="00001309">
        <w:rPr>
          <w:rFonts w:ascii="Times New Roman" w:hAnsi="Times New Roman" w:cs="Times New Roman"/>
          <w:color w:val="auto"/>
          <w:sz w:val="26"/>
          <w:szCs w:val="26"/>
        </w:rPr>
        <w:t xml:space="preserve">Similarly, the OSBA, pursuant to 73 </w:t>
      </w:r>
      <w:r w:rsidR="00A35069">
        <w:rPr>
          <w:rFonts w:ascii="Times New Roman" w:hAnsi="Times New Roman" w:cs="Times New Roman"/>
          <w:color w:val="auto"/>
          <w:sz w:val="26"/>
          <w:szCs w:val="26"/>
        </w:rPr>
        <w:t xml:space="preserve">Pa.C.S. </w:t>
      </w:r>
      <w:r w:rsidRPr="00001309">
        <w:rPr>
          <w:rFonts w:ascii="Times New Roman" w:hAnsi="Times New Roman" w:cs="Times New Roman"/>
          <w:color w:val="auto"/>
          <w:sz w:val="26"/>
          <w:szCs w:val="26"/>
        </w:rPr>
        <w:t xml:space="preserve"> §§399.41, </w:t>
      </w:r>
      <w:r w:rsidRPr="00001309">
        <w:rPr>
          <w:rFonts w:ascii="Times New Roman" w:hAnsi="Times New Roman" w:cs="Times New Roman"/>
          <w:i/>
          <w:iCs/>
          <w:color w:val="auto"/>
          <w:sz w:val="26"/>
          <w:szCs w:val="26"/>
        </w:rPr>
        <w:t xml:space="preserve">et seq. </w:t>
      </w:r>
      <w:r w:rsidRPr="00001309">
        <w:rPr>
          <w:rFonts w:ascii="Times New Roman" w:hAnsi="Times New Roman" w:cs="Times New Roman"/>
          <w:color w:val="auto"/>
          <w:sz w:val="26"/>
          <w:szCs w:val="26"/>
        </w:rPr>
        <w:t xml:space="preserve">is authorized to represent small business customers’ interests in utility matters before the Commission. </w:t>
      </w:r>
      <w:r w:rsidR="009B4C79" w:rsidRPr="00001309">
        <w:rPr>
          <w:rFonts w:ascii="Times New Roman" w:hAnsi="Times New Roman" w:cs="Times New Roman"/>
          <w:color w:val="auto"/>
          <w:sz w:val="26"/>
          <w:szCs w:val="26"/>
        </w:rPr>
        <w:t xml:space="preserve"> </w:t>
      </w:r>
      <w:r w:rsidRPr="00001309">
        <w:rPr>
          <w:rFonts w:ascii="Times New Roman" w:hAnsi="Times New Roman" w:cs="Times New Roman"/>
          <w:color w:val="auto"/>
          <w:sz w:val="26"/>
          <w:szCs w:val="26"/>
        </w:rPr>
        <w:t xml:space="preserve">The Bureau of Investigation and Enforcement (I&amp;E) serves as the prosecutory bureau for purposes of representing the public interest in </w:t>
      </w:r>
      <w:r w:rsidRPr="00001309">
        <w:rPr>
          <w:rFonts w:ascii="Times New Roman" w:hAnsi="Times New Roman" w:cs="Times New Roman"/>
          <w:color w:val="auto"/>
          <w:spacing w:val="-3"/>
          <w:sz w:val="26"/>
          <w:szCs w:val="26"/>
        </w:rPr>
        <w:t xml:space="preserve">ratemaking and service matters before the Commission. </w:t>
      </w:r>
      <w:r w:rsidR="009B4C79" w:rsidRPr="00001309">
        <w:rPr>
          <w:rFonts w:ascii="Times New Roman" w:hAnsi="Times New Roman" w:cs="Times New Roman"/>
          <w:color w:val="auto"/>
          <w:spacing w:val="-3"/>
          <w:sz w:val="26"/>
          <w:szCs w:val="26"/>
        </w:rPr>
        <w:t xml:space="preserve"> </w:t>
      </w:r>
      <w:r w:rsidRPr="00001309">
        <w:rPr>
          <w:rFonts w:ascii="Times New Roman" w:hAnsi="Times New Roman" w:cs="Times New Roman"/>
          <w:color w:val="auto"/>
          <w:spacing w:val="-3"/>
          <w:sz w:val="26"/>
          <w:szCs w:val="26"/>
        </w:rPr>
        <w:t>These “statutory advocates” participate in various types of investigations and complaint proceedings before the Commission.</w:t>
      </w:r>
    </w:p>
    <w:p w:rsidR="00B44581" w:rsidRPr="00001309" w:rsidRDefault="00B44581" w:rsidP="00FB7A4F">
      <w:pPr>
        <w:autoSpaceDE w:val="0"/>
        <w:autoSpaceDN w:val="0"/>
        <w:adjustRightInd w:val="0"/>
        <w:spacing w:line="240" w:lineRule="auto"/>
        <w:ind w:left="1440" w:right="1440" w:firstLine="0"/>
        <w:rPr>
          <w:sz w:val="26"/>
          <w:szCs w:val="26"/>
        </w:rPr>
      </w:pPr>
    </w:p>
    <w:p w:rsidR="008351A5" w:rsidRPr="00001309" w:rsidRDefault="008351A5" w:rsidP="00FB7A4F">
      <w:pPr>
        <w:autoSpaceDE w:val="0"/>
        <w:autoSpaceDN w:val="0"/>
        <w:adjustRightInd w:val="0"/>
        <w:spacing w:line="240" w:lineRule="auto"/>
        <w:ind w:left="1440" w:right="1440" w:firstLine="720"/>
        <w:rPr>
          <w:sz w:val="26"/>
          <w:szCs w:val="26"/>
        </w:rPr>
      </w:pPr>
      <w:r w:rsidRPr="00001309">
        <w:rPr>
          <w:sz w:val="26"/>
          <w:szCs w:val="26"/>
        </w:rPr>
        <w:t xml:space="preserve">The Attorney General is not acting on behalf of any one single claimant, but pursuant to its </w:t>
      </w:r>
      <w:r w:rsidRPr="00001309">
        <w:rPr>
          <w:i/>
          <w:iCs/>
          <w:sz w:val="26"/>
          <w:szCs w:val="26"/>
        </w:rPr>
        <w:t>parens patriae</w:t>
      </w:r>
      <w:r w:rsidRPr="00001309">
        <w:rPr>
          <w:sz w:val="26"/>
          <w:szCs w:val="26"/>
        </w:rPr>
        <w:t xml:space="preserve"> powers. </w:t>
      </w:r>
      <w:r w:rsidR="00167977" w:rsidRPr="00001309">
        <w:rPr>
          <w:sz w:val="26"/>
          <w:szCs w:val="26"/>
        </w:rPr>
        <w:t xml:space="preserve"> </w:t>
      </w:r>
      <w:r w:rsidRPr="00001309">
        <w:rPr>
          <w:sz w:val="26"/>
          <w:szCs w:val="26"/>
          <w:u w:val="single"/>
        </w:rPr>
        <w:t>See</w:t>
      </w:r>
      <w:r w:rsidRPr="00001309">
        <w:rPr>
          <w:sz w:val="26"/>
          <w:szCs w:val="26"/>
        </w:rPr>
        <w:t xml:space="preserve"> </w:t>
      </w:r>
      <w:r w:rsidRPr="00001309">
        <w:rPr>
          <w:sz w:val="26"/>
          <w:szCs w:val="26"/>
          <w:u w:val="single"/>
        </w:rPr>
        <w:t>e.g.</w:t>
      </w:r>
      <w:r w:rsidRPr="00001309">
        <w:rPr>
          <w:sz w:val="26"/>
          <w:szCs w:val="26"/>
        </w:rPr>
        <w:t xml:space="preserve"> </w:t>
      </w:r>
      <w:r w:rsidRPr="00001309">
        <w:rPr>
          <w:sz w:val="26"/>
          <w:szCs w:val="26"/>
          <w:u w:val="single"/>
        </w:rPr>
        <w:t>Commonwealth v. Foster</w:t>
      </w:r>
      <w:r w:rsidRPr="00001309">
        <w:rPr>
          <w:sz w:val="26"/>
          <w:szCs w:val="26"/>
        </w:rPr>
        <w:t xml:space="preserve">, 57 Pa. D. &amp; C.2d 203 (C.P. Allegheny 1972) (Characterizes the Commonwealth’s action by the Attorney General under the Consumer Protection Law </w:t>
      </w:r>
      <w:r w:rsidRPr="00001309">
        <w:rPr>
          <w:sz w:val="26"/>
          <w:szCs w:val="26"/>
        </w:rPr>
        <w:lastRenderedPageBreak/>
        <w:t xml:space="preserve">(CPL) as </w:t>
      </w:r>
      <w:r w:rsidRPr="00001309">
        <w:rPr>
          <w:i/>
          <w:iCs/>
          <w:sz w:val="26"/>
          <w:szCs w:val="26"/>
        </w:rPr>
        <w:t>parens patriae</w:t>
      </w:r>
      <w:r w:rsidRPr="00001309">
        <w:rPr>
          <w:sz w:val="26"/>
          <w:szCs w:val="26"/>
        </w:rPr>
        <w:t xml:space="preserve">). </w:t>
      </w:r>
      <w:r w:rsidR="009B4C79" w:rsidRPr="00001309">
        <w:rPr>
          <w:sz w:val="26"/>
          <w:szCs w:val="26"/>
        </w:rPr>
        <w:t xml:space="preserve"> </w:t>
      </w:r>
      <w:r w:rsidRPr="00001309">
        <w:rPr>
          <w:sz w:val="26"/>
          <w:szCs w:val="26"/>
        </w:rPr>
        <w:t xml:space="preserve">The Attorney General does not act as the private attorney for any given customer but instead is authorized to bring a proceeding on behalf of the public “to protect the citizenry,” by among other things, seeking injunctive relief, restitution and civil penalties. </w:t>
      </w:r>
      <w:bookmarkStart w:id="21" w:name="_Hlk500229336"/>
      <w:r w:rsidR="00167977" w:rsidRPr="00001309">
        <w:rPr>
          <w:sz w:val="26"/>
          <w:szCs w:val="26"/>
        </w:rPr>
        <w:t xml:space="preserve"> </w:t>
      </w:r>
      <w:r w:rsidRPr="00001309">
        <w:rPr>
          <w:sz w:val="26"/>
          <w:szCs w:val="26"/>
          <w:u w:val="single"/>
        </w:rPr>
        <w:t>Valley Forge Towers South Condominium v. Ron-Ike Foam Insulators, Inc</w:t>
      </w:r>
      <w:r w:rsidRPr="00001309">
        <w:rPr>
          <w:sz w:val="26"/>
          <w:szCs w:val="26"/>
        </w:rPr>
        <w:t>., 393 Pa.</w:t>
      </w:r>
      <w:r w:rsidR="000D7EF9" w:rsidRPr="00001309">
        <w:rPr>
          <w:sz w:val="26"/>
          <w:szCs w:val="26"/>
        </w:rPr>
        <w:t xml:space="preserve"> </w:t>
      </w:r>
      <w:r w:rsidRPr="00001309">
        <w:rPr>
          <w:sz w:val="26"/>
          <w:szCs w:val="26"/>
        </w:rPr>
        <w:t xml:space="preserve">Super. 339, 346, 574 A.2d 641, 644 (1990), </w:t>
      </w:r>
      <w:r w:rsidRPr="00001309">
        <w:rPr>
          <w:sz w:val="26"/>
          <w:szCs w:val="26"/>
          <w:u w:val="single"/>
        </w:rPr>
        <w:t>aff’d</w:t>
      </w:r>
      <w:r w:rsidRPr="00001309">
        <w:rPr>
          <w:sz w:val="26"/>
          <w:szCs w:val="26"/>
        </w:rPr>
        <w:t xml:space="preserve"> 529 Pa. 512, 605 A. 2d 798 (1990).</w:t>
      </w:r>
    </w:p>
    <w:bookmarkEnd w:id="21"/>
    <w:p w:rsidR="00B44581" w:rsidRPr="00001309" w:rsidRDefault="00B44581" w:rsidP="00FB7A4F">
      <w:pPr>
        <w:autoSpaceDE w:val="0"/>
        <w:autoSpaceDN w:val="0"/>
        <w:adjustRightInd w:val="0"/>
        <w:spacing w:line="240" w:lineRule="auto"/>
        <w:ind w:left="1440" w:right="1440" w:firstLine="0"/>
        <w:rPr>
          <w:sz w:val="26"/>
          <w:szCs w:val="26"/>
        </w:rPr>
      </w:pPr>
    </w:p>
    <w:p w:rsidR="008351A5" w:rsidRPr="00001309" w:rsidRDefault="008351A5" w:rsidP="00FB7A4F">
      <w:pPr>
        <w:autoSpaceDE w:val="0"/>
        <w:autoSpaceDN w:val="0"/>
        <w:adjustRightInd w:val="0"/>
        <w:spacing w:line="240" w:lineRule="auto"/>
        <w:ind w:left="1440" w:right="1440" w:firstLine="720"/>
        <w:rPr>
          <w:sz w:val="26"/>
          <w:szCs w:val="26"/>
        </w:rPr>
      </w:pPr>
      <w:r w:rsidRPr="00001309">
        <w:rPr>
          <w:sz w:val="26"/>
          <w:szCs w:val="26"/>
        </w:rPr>
        <w:t xml:space="preserve">We recognize that proceedings brought by the Attorney General generally focus on unfair and deceptive methods, acts and practices. 73 P.S. §§ 201-3, 201-4. </w:t>
      </w:r>
      <w:r w:rsidR="00FB7A4F" w:rsidRPr="00001309">
        <w:rPr>
          <w:sz w:val="26"/>
          <w:szCs w:val="26"/>
        </w:rPr>
        <w:t xml:space="preserve"> </w:t>
      </w:r>
      <w:r w:rsidRPr="00001309">
        <w:rPr>
          <w:sz w:val="26"/>
          <w:szCs w:val="26"/>
        </w:rPr>
        <w:t xml:space="preserve">However, this Commission cannot entertain an action under the CPL and the relief available under our jurisdiction is not </w:t>
      </w:r>
      <w:proofErr w:type="gramStart"/>
      <w:r w:rsidRPr="00001309">
        <w:rPr>
          <w:sz w:val="26"/>
          <w:szCs w:val="26"/>
        </w:rPr>
        <w:t>exactly the same</w:t>
      </w:r>
      <w:proofErr w:type="gramEnd"/>
      <w:r w:rsidRPr="00001309">
        <w:rPr>
          <w:sz w:val="26"/>
          <w:szCs w:val="26"/>
        </w:rPr>
        <w:t xml:space="preserve"> as the relief available in a court of law’s jurisdiction in that the Commission cannot award compensatory or punitive damages to a consumer for the fraudulent activities of a company. </w:t>
      </w:r>
      <w:r w:rsidRPr="00001309">
        <w:rPr>
          <w:sz w:val="26"/>
          <w:szCs w:val="26"/>
          <w:u w:val="single"/>
        </w:rPr>
        <w:t>Feingold v. Bell of PA</w:t>
      </w:r>
      <w:r w:rsidRPr="00001309">
        <w:rPr>
          <w:sz w:val="26"/>
          <w:szCs w:val="26"/>
        </w:rPr>
        <w:t xml:space="preserve">., 282 A.2d 1191 (Pa. 1977). Nevertheless, although the relief available at this administrative agency level may not make Pennsylvania’s consumers whole, the Commission’s regulations hold licensees “responsible for any fraudulent deceptive or other unlawful marketing or billing acts performed by the licensee, its employees, agents or representatives” and “a license may be suspended or revoked and fines may be imposed against the licensee for the failure to follow the principles in § 54.43 (relating to standards of conduct and disclosure for licensees).” 52 </w:t>
      </w:r>
      <w:r w:rsidR="00A35069">
        <w:rPr>
          <w:sz w:val="26"/>
          <w:szCs w:val="26"/>
        </w:rPr>
        <w:t xml:space="preserve">Pa.C.S. </w:t>
      </w:r>
      <w:r w:rsidRPr="00001309">
        <w:rPr>
          <w:sz w:val="26"/>
          <w:szCs w:val="26"/>
        </w:rPr>
        <w:t xml:space="preserve"> §§</w:t>
      </w:r>
      <w:r w:rsidR="00167977" w:rsidRPr="00001309">
        <w:rPr>
          <w:sz w:val="26"/>
          <w:szCs w:val="26"/>
        </w:rPr>
        <w:t> </w:t>
      </w:r>
      <w:r w:rsidRPr="00001309">
        <w:rPr>
          <w:sz w:val="26"/>
          <w:szCs w:val="26"/>
        </w:rPr>
        <w:t>54.42(a)(6) and 54.43(f).</w:t>
      </w:r>
    </w:p>
    <w:p w:rsidR="00B44581" w:rsidRPr="00001309" w:rsidRDefault="00B44581" w:rsidP="00FB7A4F">
      <w:pPr>
        <w:autoSpaceDE w:val="0"/>
        <w:autoSpaceDN w:val="0"/>
        <w:spacing w:line="240" w:lineRule="auto"/>
        <w:ind w:left="1440" w:right="1440" w:firstLine="0"/>
        <w:rPr>
          <w:sz w:val="26"/>
          <w:szCs w:val="26"/>
        </w:rPr>
      </w:pPr>
    </w:p>
    <w:p w:rsidR="00414F14" w:rsidRPr="00001309" w:rsidRDefault="008351A5" w:rsidP="00FB7A4F">
      <w:pPr>
        <w:autoSpaceDE w:val="0"/>
        <w:autoSpaceDN w:val="0"/>
        <w:spacing w:line="240" w:lineRule="auto"/>
        <w:ind w:left="1440" w:right="1440" w:firstLine="720"/>
        <w:rPr>
          <w:sz w:val="26"/>
          <w:szCs w:val="26"/>
        </w:rPr>
      </w:pPr>
      <w:r w:rsidRPr="00001309">
        <w:rPr>
          <w:sz w:val="26"/>
          <w:szCs w:val="26"/>
        </w:rPr>
        <w:t xml:space="preserve">Some Commission regulations governing EGS conduct require compliance with the CPL and TRA. 52 </w:t>
      </w:r>
      <w:r w:rsidR="00A35069">
        <w:rPr>
          <w:sz w:val="26"/>
          <w:szCs w:val="26"/>
        </w:rPr>
        <w:t xml:space="preserve">Pa.C.S. </w:t>
      </w:r>
      <w:r w:rsidRPr="00001309">
        <w:rPr>
          <w:sz w:val="26"/>
          <w:szCs w:val="26"/>
        </w:rPr>
        <w:t xml:space="preserve"> §§</w:t>
      </w:r>
      <w:r w:rsidR="00167977" w:rsidRPr="00001309">
        <w:rPr>
          <w:sz w:val="26"/>
          <w:szCs w:val="26"/>
        </w:rPr>
        <w:t> </w:t>
      </w:r>
      <w:r w:rsidRPr="00001309">
        <w:rPr>
          <w:sz w:val="26"/>
          <w:szCs w:val="26"/>
        </w:rPr>
        <w:t xml:space="preserve">54.42(a)(6); 54.43(f); and 111.12(d)(1). </w:t>
      </w:r>
      <w:r w:rsidR="009B4C79" w:rsidRPr="00001309">
        <w:rPr>
          <w:sz w:val="26"/>
          <w:szCs w:val="26"/>
        </w:rPr>
        <w:t xml:space="preserve"> </w:t>
      </w:r>
      <w:r w:rsidRPr="00001309">
        <w:rPr>
          <w:sz w:val="26"/>
          <w:szCs w:val="26"/>
        </w:rPr>
        <w:t xml:space="preserve">Thus, it is appropriate to hear a joint complaint filed by OAG/OCA alleging fraudulent and deceptive marketing practices against Respondent because many customers of Blue Pilot complained to OAG/OCA seeking relief and the Commission has the authority to grant, condition, suspend, and revoke licenses as well as assess civil penalties and direct refunds to consumers for violations of regulations and the Public Utility Code. </w:t>
      </w:r>
      <w:r w:rsidR="00FB7A4F" w:rsidRPr="00001309">
        <w:rPr>
          <w:sz w:val="26"/>
          <w:szCs w:val="26"/>
        </w:rPr>
        <w:t xml:space="preserve"> </w:t>
      </w:r>
      <w:r w:rsidRPr="00001309">
        <w:rPr>
          <w:sz w:val="26"/>
          <w:szCs w:val="26"/>
        </w:rPr>
        <w:t xml:space="preserve">For </w:t>
      </w:r>
      <w:proofErr w:type="gramStart"/>
      <w:r w:rsidRPr="00001309">
        <w:rPr>
          <w:sz w:val="26"/>
          <w:szCs w:val="26"/>
        </w:rPr>
        <w:t>all of</w:t>
      </w:r>
      <w:proofErr w:type="gramEnd"/>
      <w:r w:rsidRPr="00001309">
        <w:rPr>
          <w:sz w:val="26"/>
          <w:szCs w:val="26"/>
        </w:rPr>
        <w:t xml:space="preserve"> these aforementioned reasons, we believe Joint Complainants have authority to participate in a proceeding such </w:t>
      </w:r>
    </w:p>
    <w:p w:rsidR="008351A5" w:rsidRPr="00001309" w:rsidRDefault="008351A5" w:rsidP="00414F14">
      <w:pPr>
        <w:keepNext/>
        <w:keepLines/>
        <w:autoSpaceDE w:val="0"/>
        <w:autoSpaceDN w:val="0"/>
        <w:spacing w:line="240" w:lineRule="auto"/>
        <w:ind w:left="1440" w:right="1440" w:firstLine="0"/>
        <w:rPr>
          <w:sz w:val="26"/>
          <w:szCs w:val="26"/>
        </w:rPr>
      </w:pPr>
      <w:r w:rsidRPr="00001309">
        <w:rPr>
          <w:sz w:val="26"/>
          <w:szCs w:val="26"/>
        </w:rPr>
        <w:lastRenderedPageBreak/>
        <w:t>as the instant one seeking to terminate alleged ongoing consumer fraud.</w:t>
      </w:r>
    </w:p>
    <w:p w:rsidR="00414F14" w:rsidRPr="00001309" w:rsidRDefault="00414F14" w:rsidP="00414F14">
      <w:pPr>
        <w:keepNext/>
        <w:keepLines/>
        <w:autoSpaceDE w:val="0"/>
        <w:autoSpaceDN w:val="0"/>
        <w:spacing w:line="240" w:lineRule="auto"/>
        <w:ind w:left="1440" w:right="1440" w:firstLine="0"/>
        <w:rPr>
          <w:sz w:val="26"/>
          <w:szCs w:val="26"/>
        </w:rPr>
      </w:pPr>
    </w:p>
    <w:p w:rsidR="00414F14" w:rsidRPr="00001309" w:rsidRDefault="00414F14" w:rsidP="00414F14">
      <w:pPr>
        <w:keepNext/>
        <w:keepLines/>
        <w:autoSpaceDE w:val="0"/>
        <w:autoSpaceDN w:val="0"/>
        <w:spacing w:line="240" w:lineRule="auto"/>
        <w:ind w:left="1440" w:right="1440" w:firstLine="0"/>
        <w:rPr>
          <w:sz w:val="26"/>
          <w:szCs w:val="26"/>
        </w:rPr>
      </w:pPr>
    </w:p>
    <w:p w:rsidR="00CD2C99" w:rsidRPr="00001309" w:rsidRDefault="00FB7A4F" w:rsidP="00B44581">
      <w:pPr>
        <w:autoSpaceDE w:val="0"/>
        <w:autoSpaceDN w:val="0"/>
        <w:ind w:firstLine="0"/>
        <w:rPr>
          <w:sz w:val="26"/>
          <w:szCs w:val="26"/>
        </w:rPr>
      </w:pPr>
      <w:r w:rsidRPr="00001309">
        <w:rPr>
          <w:sz w:val="26"/>
          <w:szCs w:val="26"/>
        </w:rPr>
        <w:t xml:space="preserve">I.D. at </w:t>
      </w:r>
      <w:r w:rsidR="00EB5480" w:rsidRPr="00001309">
        <w:rPr>
          <w:sz w:val="26"/>
          <w:szCs w:val="26"/>
        </w:rPr>
        <w:t>46-48</w:t>
      </w:r>
      <w:r w:rsidRPr="00001309">
        <w:rPr>
          <w:sz w:val="26"/>
          <w:szCs w:val="26"/>
        </w:rPr>
        <w:t>.</w:t>
      </w:r>
    </w:p>
    <w:p w:rsidR="00880AA8" w:rsidRPr="00001309" w:rsidRDefault="00880AA8" w:rsidP="00B44581">
      <w:pPr>
        <w:autoSpaceDE w:val="0"/>
        <w:autoSpaceDN w:val="0"/>
        <w:ind w:firstLine="0"/>
        <w:rPr>
          <w:sz w:val="26"/>
          <w:szCs w:val="26"/>
        </w:rPr>
      </w:pPr>
    </w:p>
    <w:p w:rsidR="00880AA8" w:rsidRPr="00001309" w:rsidRDefault="00880AA8" w:rsidP="00880AA8">
      <w:pPr>
        <w:autoSpaceDE w:val="0"/>
        <w:autoSpaceDN w:val="0"/>
        <w:rPr>
          <w:sz w:val="26"/>
          <w:szCs w:val="26"/>
        </w:rPr>
      </w:pPr>
      <w:r w:rsidRPr="00001309">
        <w:rPr>
          <w:sz w:val="26"/>
          <w:szCs w:val="26"/>
        </w:rPr>
        <w:t>Unless distinguished by our granting, in part, of Blue Pilot’s Exceptions, we adopt the reasoning and recommendations of the ALJs on the above-cited issue.</w:t>
      </w:r>
    </w:p>
    <w:p w:rsidR="00443611" w:rsidRPr="00001309" w:rsidRDefault="00443611" w:rsidP="00880AA8">
      <w:pPr>
        <w:autoSpaceDE w:val="0"/>
        <w:autoSpaceDN w:val="0"/>
        <w:rPr>
          <w:sz w:val="26"/>
          <w:szCs w:val="26"/>
        </w:rPr>
      </w:pPr>
    </w:p>
    <w:p w:rsidR="00CC56F9" w:rsidRPr="00001309" w:rsidRDefault="00CC56F9" w:rsidP="00CC56F9">
      <w:pPr>
        <w:autoSpaceDE w:val="0"/>
        <w:autoSpaceDN w:val="0"/>
        <w:rPr>
          <w:sz w:val="26"/>
          <w:szCs w:val="26"/>
        </w:rPr>
      </w:pPr>
      <w:r w:rsidRPr="00001309">
        <w:rPr>
          <w:sz w:val="26"/>
          <w:szCs w:val="26"/>
        </w:rPr>
        <w:t xml:space="preserve">We find the </w:t>
      </w:r>
      <w:r w:rsidR="00CF66A3" w:rsidRPr="00001309">
        <w:rPr>
          <w:sz w:val="26"/>
          <w:szCs w:val="26"/>
        </w:rPr>
        <w:t xml:space="preserve">reasoning and holding in the </w:t>
      </w:r>
      <w:r w:rsidRPr="00001309">
        <w:rPr>
          <w:sz w:val="26"/>
          <w:szCs w:val="26"/>
        </w:rPr>
        <w:t xml:space="preserve">case of </w:t>
      </w:r>
      <w:r w:rsidRPr="00001309">
        <w:rPr>
          <w:bCs/>
          <w:i/>
          <w:sz w:val="26"/>
          <w:szCs w:val="26"/>
        </w:rPr>
        <w:t>Commonwealth v. TAP Pharm. Prods</w:t>
      </w:r>
      <w:r w:rsidRPr="00001309">
        <w:rPr>
          <w:bCs/>
          <w:sz w:val="26"/>
          <w:szCs w:val="26"/>
        </w:rPr>
        <w:t xml:space="preserve">., 885 A.2d 1127, 1143 (Pa. Cmwlth. 2005), to adequately rebut the concerns raised by Blue Pilot in this Complaint.  </w:t>
      </w:r>
      <w:r w:rsidRPr="00001309">
        <w:rPr>
          <w:bCs/>
          <w:i/>
          <w:sz w:val="26"/>
          <w:szCs w:val="26"/>
        </w:rPr>
        <w:t>Commonwealth v. TAP Pharm. Prods</w:t>
      </w:r>
      <w:r w:rsidRPr="00001309">
        <w:rPr>
          <w:bCs/>
          <w:sz w:val="26"/>
          <w:szCs w:val="26"/>
        </w:rPr>
        <w:t>. expressly considered a challenge to the legal authority of the Pennsylvania Office of Attorney General to p</w:t>
      </w:r>
      <w:r w:rsidR="006F18D3" w:rsidRPr="00001309">
        <w:rPr>
          <w:bCs/>
          <w:sz w:val="26"/>
          <w:szCs w:val="26"/>
        </w:rPr>
        <w:t>rosecute a lawsuit</w:t>
      </w:r>
      <w:r w:rsidRPr="00001309">
        <w:rPr>
          <w:bCs/>
          <w:sz w:val="26"/>
          <w:szCs w:val="26"/>
        </w:rPr>
        <w:t xml:space="preserve"> in its </w:t>
      </w:r>
      <w:r w:rsidRPr="00001309">
        <w:rPr>
          <w:bCs/>
          <w:i/>
          <w:sz w:val="26"/>
          <w:szCs w:val="26"/>
        </w:rPr>
        <w:t>paren</w:t>
      </w:r>
      <w:r w:rsidR="006F18D3" w:rsidRPr="00001309">
        <w:rPr>
          <w:bCs/>
          <w:i/>
          <w:sz w:val="26"/>
          <w:szCs w:val="26"/>
        </w:rPr>
        <w:t>s</w:t>
      </w:r>
      <w:r w:rsidRPr="00001309">
        <w:rPr>
          <w:bCs/>
          <w:i/>
          <w:sz w:val="26"/>
          <w:szCs w:val="26"/>
        </w:rPr>
        <w:t xml:space="preserve"> patri</w:t>
      </w:r>
      <w:r w:rsidR="00ED1519" w:rsidRPr="00001309">
        <w:rPr>
          <w:bCs/>
          <w:i/>
          <w:sz w:val="26"/>
          <w:szCs w:val="26"/>
        </w:rPr>
        <w:t>a</w:t>
      </w:r>
      <w:r w:rsidRPr="00001309">
        <w:rPr>
          <w:bCs/>
          <w:i/>
          <w:sz w:val="26"/>
          <w:szCs w:val="26"/>
        </w:rPr>
        <w:t xml:space="preserve">e </w:t>
      </w:r>
      <w:r w:rsidRPr="00001309">
        <w:rPr>
          <w:bCs/>
          <w:sz w:val="26"/>
          <w:szCs w:val="26"/>
        </w:rPr>
        <w:t xml:space="preserve">capacity </w:t>
      </w:r>
      <w:r w:rsidRPr="00001309">
        <w:rPr>
          <w:sz w:val="26"/>
          <w:szCs w:val="26"/>
        </w:rPr>
        <w:t>on behalf of citizens of Pennsylvania alleging that defendant pharmaceutical companies, through allegedly improper conduct, caused entities of the Commonwealth and some of its citizens to pay inflated prices for certain pharmaceuticals.  The Court, building upon the recognized concept that the OAG can be a “person” for purposes of the CPL</w:t>
      </w:r>
      <w:r w:rsidR="00167977" w:rsidRPr="00001309">
        <w:rPr>
          <w:sz w:val="26"/>
          <w:szCs w:val="26"/>
        </w:rPr>
        <w:t>,</w:t>
      </w:r>
      <w:r w:rsidR="00CF66A3" w:rsidRPr="00001309">
        <w:rPr>
          <w:rStyle w:val="FootnoteReference"/>
          <w:sz w:val="26"/>
          <w:szCs w:val="26"/>
        </w:rPr>
        <w:footnoteReference w:id="16"/>
      </w:r>
      <w:r w:rsidRPr="00001309">
        <w:rPr>
          <w:sz w:val="26"/>
          <w:szCs w:val="26"/>
        </w:rPr>
        <w:t xml:space="preserve"> and that </w:t>
      </w:r>
      <w:r w:rsidR="00CF66A3" w:rsidRPr="00001309">
        <w:rPr>
          <w:sz w:val="26"/>
          <w:szCs w:val="26"/>
        </w:rPr>
        <w:t>the OAG</w:t>
      </w:r>
      <w:r w:rsidRPr="00001309">
        <w:rPr>
          <w:sz w:val="26"/>
          <w:szCs w:val="26"/>
        </w:rPr>
        <w:t xml:space="preserve"> could be granted representational standing on behalf of the Commonwealth, notwithstanding </w:t>
      </w:r>
      <w:r w:rsidR="00CF66A3" w:rsidRPr="00001309">
        <w:rPr>
          <w:sz w:val="26"/>
          <w:szCs w:val="26"/>
        </w:rPr>
        <w:t>that</w:t>
      </w:r>
      <w:r w:rsidRPr="00001309">
        <w:rPr>
          <w:sz w:val="26"/>
          <w:szCs w:val="26"/>
        </w:rPr>
        <w:t xml:space="preserve"> interests of individual consumers would also be vindicated by the lawsuit</w:t>
      </w:r>
      <w:r w:rsidR="00CF66A3" w:rsidRPr="00001309">
        <w:rPr>
          <w:sz w:val="26"/>
          <w:szCs w:val="26"/>
        </w:rPr>
        <w:t>, rejected the challenge of the pharmaceutical defendants</w:t>
      </w:r>
      <w:r w:rsidRPr="00001309">
        <w:rPr>
          <w:sz w:val="26"/>
          <w:szCs w:val="26"/>
        </w:rPr>
        <w:t xml:space="preserve">.  In pertinent part, the Court </w:t>
      </w:r>
      <w:r w:rsidR="00CF66A3" w:rsidRPr="00001309">
        <w:rPr>
          <w:sz w:val="26"/>
          <w:szCs w:val="26"/>
        </w:rPr>
        <w:t>reasoned</w:t>
      </w:r>
      <w:r w:rsidRPr="00001309">
        <w:rPr>
          <w:sz w:val="26"/>
          <w:szCs w:val="26"/>
        </w:rPr>
        <w:t>:</w:t>
      </w:r>
    </w:p>
    <w:p w:rsidR="00CC56F9" w:rsidRPr="00001309" w:rsidRDefault="00CC56F9" w:rsidP="00CC56F9">
      <w:pPr>
        <w:autoSpaceDE w:val="0"/>
        <w:autoSpaceDN w:val="0"/>
        <w:rPr>
          <w:sz w:val="26"/>
          <w:szCs w:val="26"/>
        </w:rPr>
      </w:pPr>
    </w:p>
    <w:p w:rsidR="00CC56F9" w:rsidRPr="00001309" w:rsidRDefault="00CC56F9" w:rsidP="00CC56F9">
      <w:pPr>
        <w:autoSpaceDE w:val="0"/>
        <w:autoSpaceDN w:val="0"/>
        <w:spacing w:line="240" w:lineRule="auto"/>
        <w:ind w:left="1440" w:right="1440" w:firstLine="720"/>
        <w:rPr>
          <w:sz w:val="26"/>
          <w:szCs w:val="26"/>
        </w:rPr>
      </w:pPr>
      <w:r w:rsidRPr="00001309">
        <w:rPr>
          <w:sz w:val="26"/>
          <w:szCs w:val="26"/>
        </w:rPr>
        <w:t xml:space="preserve">Here, the Commonwealth contends that the Amended Complaint pleads its interest in the economic well-being of its populace as its source for its claim of </w:t>
      </w:r>
      <w:r w:rsidRPr="00001309">
        <w:rPr>
          <w:i/>
          <w:sz w:val="26"/>
          <w:szCs w:val="26"/>
        </w:rPr>
        <w:t>parens patriae</w:t>
      </w:r>
      <w:r w:rsidRPr="00001309">
        <w:rPr>
          <w:sz w:val="26"/>
          <w:szCs w:val="26"/>
        </w:rPr>
        <w:t xml:space="preserve"> standing. </w:t>
      </w:r>
      <w:r w:rsidR="00ED1519" w:rsidRPr="00001309">
        <w:rPr>
          <w:sz w:val="26"/>
          <w:szCs w:val="26"/>
        </w:rPr>
        <w:t xml:space="preserve"> </w:t>
      </w:r>
      <w:r w:rsidRPr="00001309">
        <w:rPr>
          <w:sz w:val="26"/>
          <w:szCs w:val="26"/>
        </w:rPr>
        <w:t>According to the Commonwealth</w:t>
      </w:r>
      <w:r w:rsidR="00ED1519" w:rsidRPr="00001309">
        <w:rPr>
          <w:sz w:val="26"/>
          <w:szCs w:val="26"/>
        </w:rPr>
        <w:t>’</w:t>
      </w:r>
      <w:r w:rsidRPr="00001309">
        <w:rPr>
          <w:sz w:val="26"/>
          <w:szCs w:val="26"/>
        </w:rPr>
        <w:t xml:space="preserve">s reasoning, the fact that individuals could have pursued their own actions is not determinative of the question. </w:t>
      </w:r>
      <w:r w:rsidR="00ED1519" w:rsidRPr="00001309">
        <w:rPr>
          <w:sz w:val="26"/>
          <w:szCs w:val="26"/>
        </w:rPr>
        <w:t xml:space="preserve"> </w:t>
      </w:r>
      <w:r w:rsidRPr="00001309">
        <w:rPr>
          <w:sz w:val="26"/>
          <w:szCs w:val="26"/>
        </w:rPr>
        <w:t xml:space="preserve">Even in such cases, the Commonwealth may assert such claims </w:t>
      </w:r>
      <w:r w:rsidRPr="00001309">
        <w:rPr>
          <w:sz w:val="26"/>
          <w:szCs w:val="26"/>
          <w:u w:val="single"/>
        </w:rPr>
        <w:t xml:space="preserve">if it has stated facts </w:t>
      </w:r>
      <w:r w:rsidRPr="00001309">
        <w:rPr>
          <w:sz w:val="26"/>
          <w:szCs w:val="26"/>
          <w:u w:val="single"/>
        </w:rPr>
        <w:lastRenderedPageBreak/>
        <w:t>supporting its own interest in the economic well-being of the Commonwealth and its citizens.</w:t>
      </w:r>
      <w:r w:rsidRPr="00001309">
        <w:rPr>
          <w:sz w:val="26"/>
          <w:szCs w:val="26"/>
          <w:u w:val="single"/>
        </w:rPr>
        <w:br/>
      </w:r>
    </w:p>
    <w:p w:rsidR="00E15356" w:rsidRDefault="00CC56F9" w:rsidP="00E15356">
      <w:pPr>
        <w:autoSpaceDE w:val="0"/>
        <w:autoSpaceDN w:val="0"/>
        <w:spacing w:line="240" w:lineRule="auto"/>
        <w:ind w:left="1440" w:right="1440" w:firstLine="720"/>
        <w:rPr>
          <w:sz w:val="26"/>
          <w:szCs w:val="26"/>
          <w:u w:val="single"/>
        </w:rPr>
      </w:pPr>
      <w:r w:rsidRPr="00001309">
        <w:rPr>
          <w:sz w:val="26"/>
          <w:szCs w:val="26"/>
        </w:rPr>
        <w:t xml:space="preserve">However, as noted above, even if an individual could assert his or her own claim, thus rendering the Commonwealth in one sense a nominal party, </w:t>
      </w:r>
      <w:r w:rsidRPr="00001309">
        <w:rPr>
          <w:sz w:val="26"/>
          <w:szCs w:val="26"/>
          <w:u w:val="single"/>
        </w:rPr>
        <w:t xml:space="preserve">if the Commonwealth has </w:t>
      </w:r>
    </w:p>
    <w:p w:rsidR="00CC56F9" w:rsidRPr="00001309" w:rsidRDefault="00CC56F9" w:rsidP="00E15356">
      <w:pPr>
        <w:keepNext/>
        <w:keepLines/>
        <w:autoSpaceDE w:val="0"/>
        <w:autoSpaceDN w:val="0"/>
        <w:spacing w:line="240" w:lineRule="auto"/>
        <w:ind w:left="1440" w:right="1440" w:firstLine="0"/>
        <w:rPr>
          <w:sz w:val="26"/>
          <w:szCs w:val="26"/>
        </w:rPr>
      </w:pPr>
      <w:r w:rsidRPr="00001309">
        <w:rPr>
          <w:sz w:val="26"/>
          <w:szCs w:val="26"/>
          <w:u w:val="single"/>
        </w:rPr>
        <w:t>asserted its own quasi-sovereign interest, then the fact that individuals could pursue their own claims is irrelevant</w:t>
      </w:r>
      <w:r w:rsidR="005874B2" w:rsidRPr="00001309">
        <w:rPr>
          <w:sz w:val="26"/>
          <w:szCs w:val="26"/>
        </w:rPr>
        <w:t>.</w:t>
      </w:r>
    </w:p>
    <w:p w:rsidR="00414F14" w:rsidRPr="00001309" w:rsidRDefault="00414F14" w:rsidP="00E15356">
      <w:pPr>
        <w:keepNext/>
        <w:keepLines/>
        <w:autoSpaceDE w:val="0"/>
        <w:autoSpaceDN w:val="0"/>
        <w:spacing w:line="240" w:lineRule="auto"/>
        <w:ind w:firstLine="0"/>
        <w:rPr>
          <w:sz w:val="26"/>
          <w:szCs w:val="26"/>
        </w:rPr>
      </w:pPr>
    </w:p>
    <w:p w:rsidR="00414F14" w:rsidRPr="00001309" w:rsidRDefault="00414F14" w:rsidP="00E15356">
      <w:pPr>
        <w:keepNext/>
        <w:keepLines/>
        <w:autoSpaceDE w:val="0"/>
        <w:autoSpaceDN w:val="0"/>
        <w:spacing w:line="240" w:lineRule="auto"/>
        <w:ind w:firstLine="0"/>
        <w:rPr>
          <w:sz w:val="26"/>
          <w:szCs w:val="26"/>
        </w:rPr>
      </w:pPr>
    </w:p>
    <w:p w:rsidR="00CC56F9" w:rsidRPr="00001309" w:rsidRDefault="005874B2" w:rsidP="005874B2">
      <w:pPr>
        <w:autoSpaceDE w:val="0"/>
        <w:autoSpaceDN w:val="0"/>
        <w:ind w:firstLine="0"/>
        <w:rPr>
          <w:sz w:val="26"/>
          <w:szCs w:val="26"/>
        </w:rPr>
      </w:pPr>
      <w:r w:rsidRPr="00001309">
        <w:rPr>
          <w:sz w:val="26"/>
          <w:szCs w:val="26"/>
        </w:rPr>
        <w:t>885 A.2d at 1143 (emphasis supplied).</w:t>
      </w:r>
    </w:p>
    <w:p w:rsidR="00CF66A3" w:rsidRPr="00001309" w:rsidRDefault="00CF66A3" w:rsidP="005874B2">
      <w:pPr>
        <w:autoSpaceDE w:val="0"/>
        <w:autoSpaceDN w:val="0"/>
        <w:ind w:firstLine="0"/>
        <w:rPr>
          <w:sz w:val="26"/>
          <w:szCs w:val="26"/>
        </w:rPr>
      </w:pPr>
    </w:p>
    <w:p w:rsidR="005874B2" w:rsidRPr="00001309" w:rsidRDefault="005874B2" w:rsidP="005874B2">
      <w:pPr>
        <w:autoSpaceDE w:val="0"/>
        <w:autoSpaceDN w:val="0"/>
        <w:rPr>
          <w:sz w:val="26"/>
          <w:szCs w:val="26"/>
        </w:rPr>
      </w:pPr>
      <w:r w:rsidRPr="00001309">
        <w:rPr>
          <w:sz w:val="26"/>
          <w:szCs w:val="26"/>
        </w:rPr>
        <w:t xml:space="preserve">We find the </w:t>
      </w:r>
      <w:r w:rsidR="006A52F0" w:rsidRPr="00001309">
        <w:rPr>
          <w:sz w:val="26"/>
          <w:szCs w:val="26"/>
        </w:rPr>
        <w:t xml:space="preserve">ALJ’s </w:t>
      </w:r>
      <w:r w:rsidRPr="00001309">
        <w:rPr>
          <w:sz w:val="26"/>
          <w:szCs w:val="26"/>
        </w:rPr>
        <w:t xml:space="preserve">conclusions to be entirely consistent with the instruction provided by the Courts: “The key to resolving this question [representational standing of the OAG as </w:t>
      </w:r>
      <w:r w:rsidRPr="00001309">
        <w:rPr>
          <w:i/>
          <w:sz w:val="26"/>
          <w:szCs w:val="26"/>
        </w:rPr>
        <w:t>parens patriae</w:t>
      </w:r>
      <w:r w:rsidRPr="00001309">
        <w:rPr>
          <w:sz w:val="26"/>
          <w:szCs w:val="26"/>
        </w:rPr>
        <w:t>] is determining whether the Commonwealth has pleaded a quasi-sovereign interest rather than simply representing the interests of individuals who could have pursued their own claims.”</w:t>
      </w:r>
      <w:r w:rsidR="00CF66A3" w:rsidRPr="00001309">
        <w:rPr>
          <w:sz w:val="26"/>
          <w:szCs w:val="26"/>
        </w:rPr>
        <w:t xml:space="preserve">  885 A.2d at 1143. </w:t>
      </w:r>
      <w:r w:rsidRPr="00001309">
        <w:rPr>
          <w:sz w:val="26"/>
          <w:szCs w:val="26"/>
        </w:rPr>
        <w:t xml:space="preserve"> We find that the OAG/OCA have well-pled their interest in the overall, economic </w:t>
      </w:r>
      <w:r w:rsidR="004501E1" w:rsidRPr="00001309">
        <w:rPr>
          <w:sz w:val="26"/>
          <w:szCs w:val="26"/>
        </w:rPr>
        <w:t>well-being</w:t>
      </w:r>
      <w:r w:rsidRPr="00001309">
        <w:rPr>
          <w:sz w:val="26"/>
          <w:szCs w:val="26"/>
        </w:rPr>
        <w:t xml:space="preserve"> of the citizens of the Commonwealth in obtaining the </w:t>
      </w:r>
      <w:r w:rsidR="00CF66A3" w:rsidRPr="00001309">
        <w:rPr>
          <w:sz w:val="26"/>
          <w:szCs w:val="26"/>
        </w:rPr>
        <w:t>benefits of access to electric generation based on compliance</w:t>
      </w:r>
      <w:r w:rsidRPr="00001309">
        <w:rPr>
          <w:sz w:val="26"/>
          <w:szCs w:val="26"/>
        </w:rPr>
        <w:t xml:space="preserve"> </w:t>
      </w:r>
      <w:r w:rsidR="00CF66A3" w:rsidRPr="00001309">
        <w:rPr>
          <w:sz w:val="26"/>
          <w:szCs w:val="26"/>
        </w:rPr>
        <w:t xml:space="preserve">with a code of conduct set forth in the Commission Regulations that have been promulgated pursuant to </w:t>
      </w:r>
      <w:r w:rsidRPr="00001309">
        <w:rPr>
          <w:sz w:val="26"/>
          <w:szCs w:val="26"/>
        </w:rPr>
        <w:t>the Act.</w:t>
      </w:r>
    </w:p>
    <w:p w:rsidR="00880AA8" w:rsidRPr="00001309" w:rsidRDefault="00880AA8" w:rsidP="00880AA8">
      <w:pPr>
        <w:autoSpaceDE w:val="0"/>
        <w:autoSpaceDN w:val="0"/>
        <w:rPr>
          <w:sz w:val="26"/>
          <w:szCs w:val="26"/>
        </w:rPr>
      </w:pPr>
    </w:p>
    <w:p w:rsidR="00683656" w:rsidRPr="00B6127E" w:rsidRDefault="00FB7A4F" w:rsidP="001812E2">
      <w:pPr>
        <w:pStyle w:val="Heading2"/>
        <w:spacing w:before="0"/>
        <w:ind w:firstLine="0"/>
        <w:rPr>
          <w:rFonts w:ascii="Times New Roman" w:hAnsi="Times New Roman" w:cs="Times New Roman"/>
          <w:b/>
          <w:color w:val="auto"/>
        </w:rPr>
      </w:pPr>
      <w:bookmarkStart w:id="22" w:name="_Toc517831036"/>
      <w:r w:rsidRPr="00B6127E">
        <w:rPr>
          <w:rFonts w:ascii="Times New Roman" w:hAnsi="Times New Roman" w:cs="Times New Roman"/>
          <w:b/>
          <w:color w:val="auto"/>
        </w:rPr>
        <w:t>E</w:t>
      </w:r>
      <w:r w:rsidR="00683656" w:rsidRPr="00B6127E">
        <w:rPr>
          <w:rFonts w:ascii="Times New Roman" w:hAnsi="Times New Roman" w:cs="Times New Roman"/>
          <w:b/>
          <w:color w:val="auto"/>
        </w:rPr>
        <w:t>.</w:t>
      </w:r>
      <w:r w:rsidR="00397ED1" w:rsidRPr="00B6127E">
        <w:rPr>
          <w:rFonts w:ascii="Times New Roman" w:hAnsi="Times New Roman" w:cs="Times New Roman"/>
          <w:b/>
          <w:color w:val="auto"/>
        </w:rPr>
        <w:tab/>
      </w:r>
      <w:r w:rsidR="00683656" w:rsidRPr="00B6127E">
        <w:rPr>
          <w:rFonts w:ascii="Times New Roman" w:hAnsi="Times New Roman" w:cs="Times New Roman"/>
          <w:b/>
          <w:color w:val="auto"/>
        </w:rPr>
        <w:t>Pattern and Practice</w:t>
      </w:r>
      <w:bookmarkEnd w:id="22"/>
    </w:p>
    <w:p w:rsidR="00683656" w:rsidRPr="00001309" w:rsidRDefault="00683656" w:rsidP="00414F14">
      <w:pPr>
        <w:keepNext/>
        <w:keepLines/>
        <w:autoSpaceDE w:val="0"/>
        <w:autoSpaceDN w:val="0"/>
        <w:rPr>
          <w:sz w:val="26"/>
          <w:szCs w:val="26"/>
        </w:rPr>
      </w:pPr>
    </w:p>
    <w:p w:rsidR="005568DE" w:rsidRPr="00001309" w:rsidRDefault="005568DE" w:rsidP="005568DE">
      <w:pPr>
        <w:autoSpaceDE w:val="0"/>
        <w:autoSpaceDN w:val="0"/>
        <w:rPr>
          <w:sz w:val="26"/>
          <w:szCs w:val="26"/>
        </w:rPr>
      </w:pPr>
      <w:r w:rsidRPr="00001309">
        <w:rPr>
          <w:sz w:val="26"/>
          <w:szCs w:val="26"/>
        </w:rPr>
        <w:t xml:space="preserve">Blue Pilot relied upon </w:t>
      </w:r>
      <w:r w:rsidR="009B4C79" w:rsidRPr="00001309">
        <w:rPr>
          <w:sz w:val="26"/>
          <w:szCs w:val="26"/>
        </w:rPr>
        <w:t>various federal court and Commission</w:t>
      </w:r>
      <w:r w:rsidRPr="00001309">
        <w:rPr>
          <w:sz w:val="26"/>
          <w:szCs w:val="26"/>
        </w:rPr>
        <w:t xml:space="preserve"> decisions to argue that</w:t>
      </w:r>
      <w:r w:rsidR="009B2016" w:rsidRPr="00001309">
        <w:rPr>
          <w:sz w:val="26"/>
          <w:szCs w:val="26"/>
        </w:rPr>
        <w:t xml:space="preserve"> </w:t>
      </w:r>
      <w:r w:rsidR="00F429DB">
        <w:rPr>
          <w:sz w:val="26"/>
          <w:szCs w:val="26"/>
        </w:rPr>
        <w:t xml:space="preserve">the </w:t>
      </w:r>
      <w:r w:rsidR="009B2016" w:rsidRPr="00001309">
        <w:rPr>
          <w:sz w:val="26"/>
          <w:szCs w:val="26"/>
        </w:rPr>
        <w:t xml:space="preserve">Joint Complainants and the Commission are improperly attributing characteristics of a class action civil lawsuit to the instant proceeding.  Thus, Blue Pilot objects that cumulative evidence of individual consumer experiences </w:t>
      </w:r>
      <w:r w:rsidR="009B4C79" w:rsidRPr="00001309">
        <w:rPr>
          <w:sz w:val="26"/>
          <w:szCs w:val="26"/>
        </w:rPr>
        <w:t>regarding</w:t>
      </w:r>
      <w:r w:rsidR="009B2016" w:rsidRPr="00001309">
        <w:rPr>
          <w:sz w:val="26"/>
          <w:szCs w:val="26"/>
        </w:rPr>
        <w:t xml:space="preserve"> its business practices can</w:t>
      </w:r>
      <w:r w:rsidR="009B4C79" w:rsidRPr="00001309">
        <w:rPr>
          <w:sz w:val="26"/>
          <w:szCs w:val="26"/>
        </w:rPr>
        <w:t>not</w:t>
      </w:r>
      <w:r w:rsidR="009B2016" w:rsidRPr="00001309">
        <w:rPr>
          <w:sz w:val="26"/>
          <w:szCs w:val="26"/>
        </w:rPr>
        <w:t xml:space="preserve"> be the basis f</w:t>
      </w:r>
      <w:r w:rsidR="008732F2" w:rsidRPr="00001309">
        <w:rPr>
          <w:sz w:val="26"/>
          <w:szCs w:val="26"/>
        </w:rPr>
        <w:t>or</w:t>
      </w:r>
      <w:r w:rsidR="009B2016" w:rsidRPr="00001309">
        <w:rPr>
          <w:sz w:val="26"/>
          <w:szCs w:val="26"/>
        </w:rPr>
        <w:t xml:space="preserve"> </w:t>
      </w:r>
      <w:r w:rsidR="004E7BE3" w:rsidRPr="00001309">
        <w:rPr>
          <w:sz w:val="26"/>
          <w:szCs w:val="26"/>
        </w:rPr>
        <w:t xml:space="preserve">specific </w:t>
      </w:r>
      <w:r w:rsidR="009B2016" w:rsidRPr="00001309">
        <w:rPr>
          <w:sz w:val="26"/>
          <w:szCs w:val="26"/>
        </w:rPr>
        <w:t>findings for each individual customer and</w:t>
      </w:r>
      <w:r w:rsidR="004E7BE3" w:rsidRPr="00001309">
        <w:rPr>
          <w:sz w:val="26"/>
          <w:szCs w:val="26"/>
        </w:rPr>
        <w:t>, therefore,</w:t>
      </w:r>
      <w:r w:rsidR="009B2016" w:rsidRPr="00001309">
        <w:rPr>
          <w:sz w:val="26"/>
          <w:szCs w:val="26"/>
        </w:rPr>
        <w:t xml:space="preserve"> </w:t>
      </w:r>
      <w:r w:rsidR="009B4C79" w:rsidRPr="00001309">
        <w:rPr>
          <w:sz w:val="26"/>
          <w:szCs w:val="26"/>
        </w:rPr>
        <w:t xml:space="preserve">support </w:t>
      </w:r>
      <w:r w:rsidR="009B2016" w:rsidRPr="00001309">
        <w:rPr>
          <w:sz w:val="26"/>
          <w:szCs w:val="26"/>
        </w:rPr>
        <w:t>relief</w:t>
      </w:r>
      <w:r w:rsidR="009B4C79" w:rsidRPr="00001309">
        <w:rPr>
          <w:sz w:val="26"/>
          <w:szCs w:val="26"/>
        </w:rPr>
        <w:t xml:space="preserve">.  </w:t>
      </w:r>
      <w:r w:rsidR="009B4C79" w:rsidRPr="00001309">
        <w:rPr>
          <w:i/>
          <w:sz w:val="26"/>
          <w:szCs w:val="26"/>
        </w:rPr>
        <w:t>See</w:t>
      </w:r>
      <w:r w:rsidRPr="00001309">
        <w:rPr>
          <w:sz w:val="26"/>
          <w:szCs w:val="26"/>
        </w:rPr>
        <w:t xml:space="preserve"> </w:t>
      </w:r>
      <w:r w:rsidRPr="00001309">
        <w:rPr>
          <w:i/>
          <w:sz w:val="26"/>
          <w:szCs w:val="26"/>
        </w:rPr>
        <w:t>Painter v. Aqua PA, Inc</w:t>
      </w:r>
      <w:r w:rsidRPr="00001309">
        <w:rPr>
          <w:sz w:val="26"/>
          <w:szCs w:val="26"/>
        </w:rPr>
        <w:t xml:space="preserve">., Docket No. C-2011-2239557 (Opinion and Order entered May 22, 2014); and </w:t>
      </w:r>
      <w:r w:rsidRPr="00001309">
        <w:rPr>
          <w:i/>
          <w:sz w:val="26"/>
          <w:szCs w:val="26"/>
        </w:rPr>
        <w:t xml:space="preserve">Pettko v. Pennsylvania American Water </w:t>
      </w:r>
      <w:r w:rsidRPr="00001309">
        <w:rPr>
          <w:i/>
          <w:sz w:val="26"/>
          <w:szCs w:val="26"/>
        </w:rPr>
        <w:lastRenderedPageBreak/>
        <w:t>Company</w:t>
      </w:r>
      <w:r w:rsidRPr="00001309">
        <w:rPr>
          <w:sz w:val="26"/>
          <w:szCs w:val="26"/>
        </w:rPr>
        <w:t>, Docket No. C-2011-2226096 (</w:t>
      </w:r>
      <w:r w:rsidR="00293EF2" w:rsidRPr="00001309">
        <w:rPr>
          <w:sz w:val="26"/>
          <w:szCs w:val="26"/>
        </w:rPr>
        <w:t>Initial Decision d</w:t>
      </w:r>
      <w:r w:rsidRPr="00001309">
        <w:rPr>
          <w:sz w:val="26"/>
          <w:szCs w:val="26"/>
        </w:rPr>
        <w:t>ated October 5, 2011</w:t>
      </w:r>
      <w:r w:rsidR="00293EF2" w:rsidRPr="00001309">
        <w:rPr>
          <w:sz w:val="26"/>
          <w:szCs w:val="26"/>
        </w:rPr>
        <w:t>;</w:t>
      </w:r>
      <w:r w:rsidRPr="00001309">
        <w:rPr>
          <w:sz w:val="26"/>
          <w:szCs w:val="26"/>
        </w:rPr>
        <w:t xml:space="preserve"> </w:t>
      </w:r>
      <w:r w:rsidR="00293EF2" w:rsidRPr="00001309">
        <w:rPr>
          <w:sz w:val="26"/>
          <w:szCs w:val="26"/>
        </w:rPr>
        <w:t>final Order,</w:t>
      </w:r>
      <w:r w:rsidRPr="00001309">
        <w:rPr>
          <w:sz w:val="26"/>
          <w:szCs w:val="26"/>
        </w:rPr>
        <w:t xml:space="preserve"> February 18, 2013).</w:t>
      </w:r>
      <w:r w:rsidR="009B2016" w:rsidRPr="00001309">
        <w:rPr>
          <w:sz w:val="26"/>
          <w:szCs w:val="26"/>
        </w:rPr>
        <w:t xml:space="preserve">  I.D. at</w:t>
      </w:r>
      <w:r w:rsidR="006A52F0" w:rsidRPr="00001309">
        <w:rPr>
          <w:sz w:val="26"/>
          <w:szCs w:val="26"/>
        </w:rPr>
        <w:t> </w:t>
      </w:r>
      <w:r w:rsidR="00A214DE" w:rsidRPr="00001309">
        <w:rPr>
          <w:sz w:val="26"/>
          <w:szCs w:val="26"/>
        </w:rPr>
        <w:t>49-50.</w:t>
      </w:r>
    </w:p>
    <w:p w:rsidR="00464519" w:rsidRPr="00001309" w:rsidRDefault="00464519" w:rsidP="005568DE">
      <w:pPr>
        <w:autoSpaceDE w:val="0"/>
        <w:autoSpaceDN w:val="0"/>
        <w:rPr>
          <w:sz w:val="26"/>
          <w:szCs w:val="26"/>
        </w:rPr>
      </w:pPr>
    </w:p>
    <w:p w:rsidR="00464519" w:rsidRPr="00001309" w:rsidRDefault="00464519" w:rsidP="005568DE">
      <w:pPr>
        <w:autoSpaceDE w:val="0"/>
        <w:autoSpaceDN w:val="0"/>
        <w:rPr>
          <w:sz w:val="26"/>
          <w:szCs w:val="26"/>
        </w:rPr>
      </w:pPr>
      <w:r w:rsidRPr="00001309">
        <w:rPr>
          <w:sz w:val="26"/>
          <w:szCs w:val="26"/>
        </w:rPr>
        <w:t>The ALJs</w:t>
      </w:r>
      <w:r w:rsidR="005D4E02">
        <w:rPr>
          <w:sz w:val="26"/>
          <w:szCs w:val="26"/>
        </w:rPr>
        <w:t xml:space="preserve"> rejected the argument of Blue Pilot that the OCA is precluded from representing the public interest in this case.  In doing so, the ALJs</w:t>
      </w:r>
      <w:r w:rsidRPr="00001309">
        <w:rPr>
          <w:sz w:val="26"/>
          <w:szCs w:val="26"/>
        </w:rPr>
        <w:t xml:space="preserve"> </w:t>
      </w:r>
      <w:r w:rsidR="005D4E02" w:rsidRPr="00001309">
        <w:rPr>
          <w:sz w:val="26"/>
          <w:szCs w:val="26"/>
        </w:rPr>
        <w:t>rel</w:t>
      </w:r>
      <w:r w:rsidR="005D4E02">
        <w:rPr>
          <w:sz w:val="26"/>
          <w:szCs w:val="26"/>
        </w:rPr>
        <w:t>ied</w:t>
      </w:r>
      <w:r w:rsidR="005D4E02" w:rsidRPr="00001309">
        <w:rPr>
          <w:sz w:val="26"/>
          <w:szCs w:val="26"/>
        </w:rPr>
        <w:t xml:space="preserve"> </w:t>
      </w:r>
      <w:r w:rsidRPr="00001309">
        <w:rPr>
          <w:sz w:val="26"/>
          <w:szCs w:val="26"/>
        </w:rPr>
        <w:t xml:space="preserve">in </w:t>
      </w:r>
      <w:r w:rsidR="009B4C79" w:rsidRPr="00001309">
        <w:rPr>
          <w:sz w:val="26"/>
          <w:szCs w:val="26"/>
        </w:rPr>
        <w:t xml:space="preserve">substantial </w:t>
      </w:r>
      <w:r w:rsidRPr="00001309">
        <w:rPr>
          <w:sz w:val="26"/>
          <w:szCs w:val="26"/>
        </w:rPr>
        <w:t xml:space="preserve">part on </w:t>
      </w:r>
      <w:r w:rsidRPr="00001309">
        <w:rPr>
          <w:i/>
          <w:sz w:val="26"/>
          <w:szCs w:val="26"/>
        </w:rPr>
        <w:t>Richard Sanderman v. LP Water and Sewer Company</w:t>
      </w:r>
      <w:r w:rsidRPr="00001309">
        <w:rPr>
          <w:i/>
          <w:iCs/>
          <w:sz w:val="26"/>
          <w:szCs w:val="26"/>
        </w:rPr>
        <w:t xml:space="preserve">, </w:t>
      </w:r>
      <w:r w:rsidRPr="00001309">
        <w:rPr>
          <w:sz w:val="26"/>
          <w:szCs w:val="26"/>
        </w:rPr>
        <w:t>87 Pa. PUC 734 (1997) (</w:t>
      </w:r>
      <w:r w:rsidRPr="00001309">
        <w:rPr>
          <w:i/>
          <w:sz w:val="26"/>
          <w:szCs w:val="26"/>
        </w:rPr>
        <w:t>Sanderman</w:t>
      </w:r>
      <w:r w:rsidRPr="00001309">
        <w:rPr>
          <w:sz w:val="26"/>
          <w:szCs w:val="26"/>
        </w:rPr>
        <w:t>)</w:t>
      </w:r>
      <w:r w:rsidR="008B2777">
        <w:rPr>
          <w:sz w:val="26"/>
          <w:szCs w:val="26"/>
        </w:rPr>
        <w:t>,</w:t>
      </w:r>
      <w:r w:rsidR="00025E68" w:rsidRPr="00001309">
        <w:rPr>
          <w:rStyle w:val="FootnoteReference"/>
          <w:sz w:val="26"/>
          <w:szCs w:val="26"/>
        </w:rPr>
        <w:footnoteReference w:id="17"/>
      </w:r>
      <w:r w:rsidRPr="00001309">
        <w:rPr>
          <w:sz w:val="26"/>
          <w:szCs w:val="26"/>
        </w:rPr>
        <w:t xml:space="preserve"> distinguished the holdings of the cases relied upon by Blue Pilot.</w:t>
      </w:r>
      <w:r w:rsidR="007356F4" w:rsidRPr="00001309">
        <w:rPr>
          <w:sz w:val="26"/>
          <w:szCs w:val="26"/>
        </w:rPr>
        <w:t xml:space="preserve">  </w:t>
      </w:r>
      <w:r w:rsidR="007356F4" w:rsidRPr="00001309">
        <w:rPr>
          <w:i/>
          <w:sz w:val="26"/>
          <w:szCs w:val="26"/>
        </w:rPr>
        <w:t xml:space="preserve">See </w:t>
      </w:r>
      <w:r w:rsidR="007356F4" w:rsidRPr="00001309">
        <w:rPr>
          <w:sz w:val="26"/>
          <w:szCs w:val="26"/>
        </w:rPr>
        <w:t>I.D. at</w:t>
      </w:r>
      <w:r w:rsidR="008B2777">
        <w:rPr>
          <w:sz w:val="26"/>
          <w:szCs w:val="26"/>
        </w:rPr>
        <w:t> </w:t>
      </w:r>
      <w:r w:rsidR="007356F4" w:rsidRPr="00001309">
        <w:rPr>
          <w:sz w:val="26"/>
          <w:szCs w:val="26"/>
        </w:rPr>
        <w:t>50-55.</w:t>
      </w:r>
    </w:p>
    <w:p w:rsidR="005568DE" w:rsidRPr="00001309" w:rsidRDefault="005568DE" w:rsidP="00847065">
      <w:pPr>
        <w:autoSpaceDE w:val="0"/>
        <w:autoSpaceDN w:val="0"/>
        <w:rPr>
          <w:sz w:val="26"/>
          <w:szCs w:val="26"/>
        </w:rPr>
      </w:pPr>
    </w:p>
    <w:p w:rsidR="00BB0931" w:rsidRPr="00001309" w:rsidRDefault="004549A5" w:rsidP="004E7BE3">
      <w:pPr>
        <w:autoSpaceDE w:val="0"/>
        <w:autoSpaceDN w:val="0"/>
        <w:rPr>
          <w:sz w:val="26"/>
          <w:szCs w:val="26"/>
        </w:rPr>
      </w:pPr>
      <w:r w:rsidRPr="00001309">
        <w:rPr>
          <w:sz w:val="26"/>
          <w:szCs w:val="26"/>
        </w:rPr>
        <w:t>At the time of litigatin</w:t>
      </w:r>
      <w:r w:rsidR="004E7BE3" w:rsidRPr="00001309">
        <w:rPr>
          <w:sz w:val="26"/>
          <w:szCs w:val="26"/>
        </w:rPr>
        <w:t>g</w:t>
      </w:r>
      <w:r w:rsidRPr="00001309">
        <w:rPr>
          <w:sz w:val="26"/>
          <w:szCs w:val="26"/>
        </w:rPr>
        <w:t xml:space="preserve"> the instant Complaint, </w:t>
      </w:r>
      <w:r w:rsidR="00464519" w:rsidRPr="00001309">
        <w:rPr>
          <w:sz w:val="26"/>
          <w:szCs w:val="26"/>
        </w:rPr>
        <w:t>the Parties</w:t>
      </w:r>
      <w:r w:rsidRPr="00001309">
        <w:rPr>
          <w:sz w:val="26"/>
          <w:szCs w:val="26"/>
        </w:rPr>
        <w:t xml:space="preserve"> did not</w:t>
      </w:r>
      <w:r w:rsidR="00464519" w:rsidRPr="00001309">
        <w:rPr>
          <w:sz w:val="26"/>
          <w:szCs w:val="26"/>
        </w:rPr>
        <w:t xml:space="preserve"> ha</w:t>
      </w:r>
      <w:r w:rsidRPr="00001309">
        <w:rPr>
          <w:sz w:val="26"/>
          <w:szCs w:val="26"/>
        </w:rPr>
        <w:t>ve</w:t>
      </w:r>
      <w:r w:rsidR="00464519" w:rsidRPr="00001309">
        <w:rPr>
          <w:sz w:val="26"/>
          <w:szCs w:val="26"/>
        </w:rPr>
        <w:t xml:space="preserve"> the benefit of the Commonwealth Court’s decision in </w:t>
      </w:r>
      <w:r w:rsidR="00464519" w:rsidRPr="00001309">
        <w:rPr>
          <w:i/>
          <w:sz w:val="26"/>
          <w:szCs w:val="26"/>
        </w:rPr>
        <w:t>HIKO v. Pa. PUC</w:t>
      </w:r>
      <w:r w:rsidRPr="00001309">
        <w:rPr>
          <w:sz w:val="26"/>
          <w:szCs w:val="26"/>
        </w:rPr>
        <w:t xml:space="preserve">, </w:t>
      </w:r>
      <w:r w:rsidR="00025E68" w:rsidRPr="00001309">
        <w:rPr>
          <w:sz w:val="26"/>
          <w:szCs w:val="26"/>
        </w:rPr>
        <w:t xml:space="preserve">163 A.3d 1079 (Pa. Cmwlth. 2017), </w:t>
      </w:r>
      <w:r w:rsidR="00025E68" w:rsidRPr="00001309">
        <w:rPr>
          <w:i/>
          <w:sz w:val="26"/>
          <w:szCs w:val="26"/>
        </w:rPr>
        <w:t xml:space="preserve">appeal granted </w:t>
      </w:r>
      <w:r w:rsidR="00FC0788" w:rsidRPr="00001309">
        <w:rPr>
          <w:sz w:val="26"/>
          <w:szCs w:val="26"/>
        </w:rPr>
        <w:t>176 A.3d 235 (Pa. 2017) (</w:t>
      </w:r>
      <w:r w:rsidR="00FC0788" w:rsidRPr="00001309">
        <w:rPr>
          <w:i/>
          <w:sz w:val="26"/>
          <w:szCs w:val="26"/>
        </w:rPr>
        <w:t>HIKO</w:t>
      </w:r>
      <w:r w:rsidR="00FC0788" w:rsidRPr="00001309">
        <w:rPr>
          <w:sz w:val="26"/>
          <w:szCs w:val="26"/>
        </w:rPr>
        <w:t>).</w:t>
      </w:r>
      <w:r w:rsidR="00E40F74" w:rsidRPr="00001309">
        <w:rPr>
          <w:rStyle w:val="FootnoteReference"/>
          <w:sz w:val="26"/>
          <w:szCs w:val="26"/>
        </w:rPr>
        <w:footnoteReference w:id="18"/>
      </w:r>
      <w:r w:rsidR="00464519" w:rsidRPr="00001309">
        <w:rPr>
          <w:sz w:val="26"/>
          <w:szCs w:val="26"/>
        </w:rPr>
        <w:t xml:space="preserve">  We read the holding in this case to implicitly </w:t>
      </w:r>
      <w:r w:rsidRPr="00001309">
        <w:rPr>
          <w:sz w:val="26"/>
          <w:szCs w:val="26"/>
        </w:rPr>
        <w:t>refute most, if not all, of the legal contentions of Blue Pilot in this Complaint regarding the jurisdiction and authority of the Commission to investigate and adjudicate claims alleging a violation of the Commission Regulations and the Code</w:t>
      </w:r>
      <w:r w:rsidR="004E7BE3" w:rsidRPr="00001309">
        <w:rPr>
          <w:sz w:val="26"/>
          <w:szCs w:val="26"/>
        </w:rPr>
        <w:t xml:space="preserve"> </w:t>
      </w:r>
      <w:r w:rsidR="004E7BE3" w:rsidRPr="00001309">
        <w:rPr>
          <w:sz w:val="26"/>
          <w:szCs w:val="26"/>
        </w:rPr>
        <w:lastRenderedPageBreak/>
        <w:t>applicable to an EGS</w:t>
      </w:r>
      <w:r w:rsidR="00BB0931" w:rsidRPr="00001309">
        <w:rPr>
          <w:sz w:val="26"/>
          <w:szCs w:val="26"/>
        </w:rPr>
        <w:t xml:space="preserve">, and to impose a civil penalty upon </w:t>
      </w:r>
      <w:r w:rsidR="008732F2" w:rsidRPr="00001309">
        <w:rPr>
          <w:sz w:val="26"/>
          <w:szCs w:val="26"/>
        </w:rPr>
        <w:t>the</w:t>
      </w:r>
      <w:r w:rsidR="00BB0931" w:rsidRPr="00001309">
        <w:rPr>
          <w:sz w:val="26"/>
          <w:szCs w:val="26"/>
        </w:rPr>
        <w:t xml:space="preserve"> establish</w:t>
      </w:r>
      <w:r w:rsidR="008732F2" w:rsidRPr="00001309">
        <w:rPr>
          <w:sz w:val="26"/>
          <w:szCs w:val="26"/>
        </w:rPr>
        <w:t>ment of a record of</w:t>
      </w:r>
      <w:r w:rsidR="00BB0931" w:rsidRPr="00001309">
        <w:rPr>
          <w:sz w:val="26"/>
          <w:szCs w:val="26"/>
        </w:rPr>
        <w:t xml:space="preserve"> violations of the Code and Commission Regulations</w:t>
      </w:r>
      <w:r w:rsidRPr="00001309">
        <w:rPr>
          <w:sz w:val="26"/>
          <w:szCs w:val="26"/>
        </w:rPr>
        <w:t>.</w:t>
      </w:r>
    </w:p>
    <w:p w:rsidR="00BB0931" w:rsidRPr="00001309" w:rsidRDefault="00BB0931" w:rsidP="004E7BE3">
      <w:pPr>
        <w:autoSpaceDE w:val="0"/>
        <w:autoSpaceDN w:val="0"/>
        <w:rPr>
          <w:i/>
          <w:sz w:val="26"/>
          <w:szCs w:val="26"/>
        </w:rPr>
      </w:pPr>
    </w:p>
    <w:p w:rsidR="00D37CC7" w:rsidRPr="00001309" w:rsidRDefault="004549A5" w:rsidP="004E7BE3">
      <w:pPr>
        <w:autoSpaceDE w:val="0"/>
        <w:autoSpaceDN w:val="0"/>
        <w:rPr>
          <w:sz w:val="26"/>
          <w:szCs w:val="26"/>
        </w:rPr>
      </w:pPr>
      <w:r w:rsidRPr="00001309">
        <w:rPr>
          <w:i/>
          <w:sz w:val="26"/>
          <w:szCs w:val="26"/>
        </w:rPr>
        <w:t xml:space="preserve">HIKO v. Pa. PUC </w:t>
      </w:r>
      <w:r w:rsidRPr="00001309">
        <w:rPr>
          <w:sz w:val="26"/>
          <w:szCs w:val="26"/>
        </w:rPr>
        <w:t xml:space="preserve">is authority for the proposition that the Courts </w:t>
      </w:r>
      <w:r w:rsidR="00464519" w:rsidRPr="00001309">
        <w:rPr>
          <w:sz w:val="26"/>
          <w:szCs w:val="26"/>
        </w:rPr>
        <w:t>acknowledge the authority of the Commission to make determination</w:t>
      </w:r>
      <w:r w:rsidRPr="00001309">
        <w:rPr>
          <w:sz w:val="26"/>
          <w:szCs w:val="26"/>
        </w:rPr>
        <w:t>s</w:t>
      </w:r>
      <w:r w:rsidR="00464519" w:rsidRPr="00001309">
        <w:rPr>
          <w:sz w:val="26"/>
          <w:szCs w:val="26"/>
        </w:rPr>
        <w:t xml:space="preserve"> </w:t>
      </w:r>
      <w:r w:rsidRPr="00001309">
        <w:rPr>
          <w:sz w:val="26"/>
          <w:szCs w:val="26"/>
        </w:rPr>
        <w:t>regarding</w:t>
      </w:r>
      <w:r w:rsidR="00F14A5C" w:rsidRPr="00001309">
        <w:rPr>
          <w:sz w:val="26"/>
          <w:szCs w:val="26"/>
        </w:rPr>
        <w:t xml:space="preserve"> EGS</w:t>
      </w:r>
      <w:r w:rsidR="00464519" w:rsidRPr="00001309">
        <w:rPr>
          <w:sz w:val="26"/>
          <w:szCs w:val="26"/>
        </w:rPr>
        <w:t xml:space="preserve"> compliance with the</w:t>
      </w:r>
      <w:r w:rsidR="00F14A5C" w:rsidRPr="00001309">
        <w:rPr>
          <w:sz w:val="26"/>
          <w:szCs w:val="26"/>
        </w:rPr>
        <w:t xml:space="preserve"> Code and Commission Regulations concerning adequate disclosure</w:t>
      </w:r>
      <w:r w:rsidRPr="00001309">
        <w:rPr>
          <w:sz w:val="26"/>
          <w:szCs w:val="26"/>
        </w:rPr>
        <w:t>s</w:t>
      </w:r>
      <w:r w:rsidR="00AF20A5" w:rsidRPr="00001309">
        <w:rPr>
          <w:sz w:val="26"/>
          <w:szCs w:val="26"/>
        </w:rPr>
        <w:t xml:space="preserve"> </w:t>
      </w:r>
      <w:r w:rsidRPr="00001309">
        <w:rPr>
          <w:sz w:val="26"/>
          <w:szCs w:val="26"/>
        </w:rPr>
        <w:t>of their</w:t>
      </w:r>
      <w:r w:rsidR="00AF20A5" w:rsidRPr="00001309">
        <w:rPr>
          <w:sz w:val="26"/>
          <w:szCs w:val="26"/>
        </w:rPr>
        <w:t xml:space="preserve"> variable rate generation service offerings.</w:t>
      </w:r>
      <w:r w:rsidR="0096442C" w:rsidRPr="00001309">
        <w:rPr>
          <w:sz w:val="26"/>
          <w:szCs w:val="26"/>
        </w:rPr>
        <w:t xml:space="preserve">  </w:t>
      </w:r>
      <w:r w:rsidR="0096442C" w:rsidRPr="00001309">
        <w:rPr>
          <w:i/>
          <w:sz w:val="26"/>
          <w:szCs w:val="26"/>
        </w:rPr>
        <w:t xml:space="preserve">See </w:t>
      </w:r>
      <w:r w:rsidR="0096442C" w:rsidRPr="00001309">
        <w:rPr>
          <w:sz w:val="26"/>
          <w:szCs w:val="26"/>
        </w:rPr>
        <w:t xml:space="preserve">I.D. at 53-54, citing </w:t>
      </w:r>
      <w:r w:rsidR="0096442C" w:rsidRPr="00001309">
        <w:rPr>
          <w:i/>
          <w:sz w:val="26"/>
          <w:szCs w:val="26"/>
        </w:rPr>
        <w:t>I&amp;E v. HIKO Energy, LLC</w:t>
      </w:r>
      <w:r w:rsidR="0096442C" w:rsidRPr="00001309">
        <w:rPr>
          <w:sz w:val="26"/>
          <w:szCs w:val="26"/>
        </w:rPr>
        <w:t xml:space="preserve">, Docket No. C-2014-2431410 </w:t>
      </w:r>
      <w:r w:rsidR="00480CAE" w:rsidRPr="00001309">
        <w:rPr>
          <w:sz w:val="26"/>
          <w:szCs w:val="26"/>
        </w:rPr>
        <w:t>(</w:t>
      </w:r>
      <w:r w:rsidR="0096442C" w:rsidRPr="00001309">
        <w:rPr>
          <w:sz w:val="26"/>
          <w:szCs w:val="26"/>
        </w:rPr>
        <w:t xml:space="preserve">Initial Decision </w:t>
      </w:r>
      <w:r w:rsidR="00480CAE" w:rsidRPr="00001309">
        <w:rPr>
          <w:sz w:val="26"/>
          <w:szCs w:val="26"/>
        </w:rPr>
        <w:t>issued Aug</w:t>
      </w:r>
      <w:r w:rsidR="00FC0788" w:rsidRPr="00001309">
        <w:rPr>
          <w:sz w:val="26"/>
          <w:szCs w:val="26"/>
        </w:rPr>
        <w:t>ust</w:t>
      </w:r>
      <w:r w:rsidR="00480CAE" w:rsidRPr="00001309">
        <w:rPr>
          <w:sz w:val="26"/>
          <w:szCs w:val="26"/>
        </w:rPr>
        <w:t xml:space="preserve"> 21, 2015) </w:t>
      </w:r>
      <w:r w:rsidR="009E01E4">
        <w:rPr>
          <w:sz w:val="26"/>
          <w:szCs w:val="26"/>
        </w:rPr>
        <w:t xml:space="preserve">at 35 </w:t>
      </w:r>
      <w:r w:rsidR="0096442C" w:rsidRPr="00001309">
        <w:rPr>
          <w:sz w:val="26"/>
          <w:szCs w:val="26"/>
        </w:rPr>
        <w:t>(The fact that the violations are being raised in one complaint does not minimize the EGS’s liability).</w:t>
      </w:r>
    </w:p>
    <w:p w:rsidR="00D37CC7" w:rsidRPr="00001309" w:rsidRDefault="00D37CC7" w:rsidP="004E7BE3">
      <w:pPr>
        <w:autoSpaceDE w:val="0"/>
        <w:autoSpaceDN w:val="0"/>
        <w:rPr>
          <w:sz w:val="26"/>
          <w:szCs w:val="26"/>
        </w:rPr>
      </w:pPr>
    </w:p>
    <w:p w:rsidR="00D37CC7" w:rsidRPr="00001309" w:rsidRDefault="00D37CC7" w:rsidP="004E7BE3">
      <w:pPr>
        <w:autoSpaceDE w:val="0"/>
        <w:autoSpaceDN w:val="0"/>
        <w:rPr>
          <w:sz w:val="26"/>
          <w:szCs w:val="26"/>
        </w:rPr>
      </w:pPr>
      <w:proofErr w:type="gramStart"/>
      <w:r w:rsidRPr="00001309">
        <w:rPr>
          <w:sz w:val="26"/>
          <w:szCs w:val="26"/>
        </w:rPr>
        <w:t>With regard to</w:t>
      </w:r>
      <w:proofErr w:type="gramEnd"/>
      <w:r w:rsidRPr="00001309">
        <w:rPr>
          <w:sz w:val="26"/>
          <w:szCs w:val="26"/>
        </w:rPr>
        <w:t xml:space="preserve"> Blue Pilot’s contention that cumulative evidence of individual consumer experiences regarding its business practices cannot be the basis for specific findings for each individual customer and, therefore, support relief, we address this in the context of Blue Pilot’s specific Exception to Count III – Misleading and Deceptive Promises of Savings, discussed below.</w:t>
      </w:r>
    </w:p>
    <w:p w:rsidR="00D37CC7" w:rsidRPr="00001309" w:rsidRDefault="00D37CC7" w:rsidP="004E7BE3">
      <w:pPr>
        <w:autoSpaceDE w:val="0"/>
        <w:autoSpaceDN w:val="0"/>
        <w:rPr>
          <w:sz w:val="26"/>
          <w:szCs w:val="26"/>
        </w:rPr>
      </w:pPr>
    </w:p>
    <w:p w:rsidR="00CD16DB" w:rsidRPr="00BF183E" w:rsidRDefault="003D39F4" w:rsidP="00527405">
      <w:pPr>
        <w:pStyle w:val="Heading2"/>
        <w:ind w:firstLine="0"/>
        <w:rPr>
          <w:rFonts w:ascii="Times New Roman" w:hAnsi="Times New Roman" w:cs="Times New Roman"/>
          <w:b/>
          <w:color w:val="auto"/>
        </w:rPr>
      </w:pPr>
      <w:bookmarkStart w:id="23" w:name="_Toc517831037"/>
      <w:r w:rsidRPr="00BF183E">
        <w:rPr>
          <w:rFonts w:ascii="Times New Roman" w:hAnsi="Times New Roman" w:cs="Times New Roman"/>
          <w:b/>
          <w:color w:val="auto"/>
        </w:rPr>
        <w:t>F</w:t>
      </w:r>
      <w:r w:rsidR="00683656" w:rsidRPr="00BF183E">
        <w:rPr>
          <w:rFonts w:ascii="Times New Roman" w:hAnsi="Times New Roman" w:cs="Times New Roman"/>
          <w:b/>
          <w:color w:val="auto"/>
        </w:rPr>
        <w:t>.</w:t>
      </w:r>
      <w:r w:rsidR="002B0C46" w:rsidRPr="00BF183E">
        <w:rPr>
          <w:rFonts w:ascii="Times New Roman" w:hAnsi="Times New Roman" w:cs="Times New Roman"/>
          <w:b/>
          <w:color w:val="auto"/>
        </w:rPr>
        <w:tab/>
      </w:r>
      <w:r w:rsidR="00683656" w:rsidRPr="00BF183E">
        <w:rPr>
          <w:rFonts w:ascii="Times New Roman" w:hAnsi="Times New Roman" w:cs="Times New Roman"/>
          <w:b/>
          <w:color w:val="auto"/>
        </w:rPr>
        <w:t xml:space="preserve">Count I </w:t>
      </w:r>
      <w:r w:rsidR="0026481B">
        <w:rPr>
          <w:rFonts w:ascii="Times New Roman" w:hAnsi="Times New Roman" w:cs="Times New Roman"/>
          <w:b/>
          <w:color w:val="auto"/>
        </w:rPr>
        <w:t>–</w:t>
      </w:r>
      <w:r w:rsidR="00683656" w:rsidRPr="00BF183E">
        <w:rPr>
          <w:rFonts w:ascii="Times New Roman" w:hAnsi="Times New Roman" w:cs="Times New Roman"/>
          <w:b/>
          <w:color w:val="auto"/>
        </w:rPr>
        <w:t xml:space="preserve"> Fail</w:t>
      </w:r>
      <w:r w:rsidR="0026481B">
        <w:rPr>
          <w:rFonts w:ascii="Times New Roman" w:hAnsi="Times New Roman" w:cs="Times New Roman"/>
          <w:b/>
          <w:color w:val="auto"/>
        </w:rPr>
        <w:t>ure</w:t>
      </w:r>
      <w:r w:rsidR="00683656" w:rsidRPr="00BF183E">
        <w:rPr>
          <w:rFonts w:ascii="Times New Roman" w:hAnsi="Times New Roman" w:cs="Times New Roman"/>
          <w:b/>
          <w:color w:val="auto"/>
        </w:rPr>
        <w:t xml:space="preserve"> to Provide Accurate Pricing Information</w:t>
      </w:r>
      <w:r w:rsidR="00CD16DB" w:rsidRPr="00BF183E">
        <w:rPr>
          <w:rFonts w:ascii="Times New Roman" w:hAnsi="Times New Roman" w:cs="Times New Roman"/>
          <w:b/>
          <w:color w:val="auto"/>
        </w:rPr>
        <w:t>.</w:t>
      </w:r>
      <w:bookmarkEnd w:id="23"/>
    </w:p>
    <w:p w:rsidR="00D5361C" w:rsidRPr="00001309" w:rsidRDefault="00D5361C" w:rsidP="006666CC">
      <w:pPr>
        <w:keepNext/>
        <w:keepLines/>
        <w:autoSpaceDE w:val="0"/>
        <w:autoSpaceDN w:val="0"/>
        <w:rPr>
          <w:sz w:val="26"/>
          <w:szCs w:val="26"/>
        </w:rPr>
      </w:pPr>
    </w:p>
    <w:p w:rsidR="00D5361C" w:rsidRPr="00001309" w:rsidRDefault="00CD16DB" w:rsidP="001812E2">
      <w:pPr>
        <w:keepNext/>
        <w:keepLines/>
        <w:autoSpaceDE w:val="0"/>
        <w:autoSpaceDN w:val="0"/>
        <w:ind w:firstLine="720"/>
        <w:rPr>
          <w:b/>
          <w:sz w:val="26"/>
          <w:szCs w:val="26"/>
        </w:rPr>
      </w:pPr>
      <w:r w:rsidRPr="00001309">
        <w:rPr>
          <w:b/>
          <w:sz w:val="26"/>
          <w:szCs w:val="26"/>
        </w:rPr>
        <w:t>1</w:t>
      </w:r>
      <w:r w:rsidR="009B4C79" w:rsidRPr="00001309">
        <w:rPr>
          <w:b/>
          <w:sz w:val="26"/>
          <w:szCs w:val="26"/>
        </w:rPr>
        <w:t>.</w:t>
      </w:r>
      <w:r w:rsidRPr="00001309">
        <w:rPr>
          <w:b/>
          <w:sz w:val="26"/>
          <w:szCs w:val="26"/>
        </w:rPr>
        <w:tab/>
      </w:r>
      <w:r w:rsidR="00D5361C" w:rsidRPr="00001309">
        <w:rPr>
          <w:b/>
          <w:sz w:val="26"/>
          <w:szCs w:val="26"/>
        </w:rPr>
        <w:t>Positions of the Parties</w:t>
      </w:r>
    </w:p>
    <w:p w:rsidR="006666CC" w:rsidRPr="00001309" w:rsidRDefault="006666CC" w:rsidP="006666CC">
      <w:pPr>
        <w:keepNext/>
        <w:keepLines/>
        <w:autoSpaceDE w:val="0"/>
        <w:autoSpaceDN w:val="0"/>
        <w:ind w:left="1440" w:firstLine="720"/>
        <w:rPr>
          <w:b/>
          <w:sz w:val="26"/>
          <w:szCs w:val="26"/>
        </w:rPr>
      </w:pPr>
    </w:p>
    <w:p w:rsidR="00D5361C" w:rsidRPr="00001309" w:rsidRDefault="006666CC" w:rsidP="006666CC">
      <w:pPr>
        <w:keepNext/>
        <w:keepLines/>
        <w:autoSpaceDE w:val="0"/>
        <w:autoSpaceDN w:val="0"/>
        <w:rPr>
          <w:b/>
          <w:sz w:val="26"/>
          <w:szCs w:val="26"/>
        </w:rPr>
      </w:pPr>
      <w:r w:rsidRPr="00001309">
        <w:rPr>
          <w:b/>
          <w:sz w:val="26"/>
          <w:szCs w:val="26"/>
        </w:rPr>
        <w:t>a.</w:t>
      </w:r>
      <w:r w:rsidRPr="00001309">
        <w:rPr>
          <w:b/>
          <w:sz w:val="26"/>
          <w:szCs w:val="26"/>
        </w:rPr>
        <w:tab/>
      </w:r>
      <w:r w:rsidR="00C66354" w:rsidRPr="00001309">
        <w:rPr>
          <w:b/>
          <w:sz w:val="26"/>
          <w:szCs w:val="26"/>
        </w:rPr>
        <w:t>Joint Complainants</w:t>
      </w:r>
    </w:p>
    <w:p w:rsidR="00847065" w:rsidRPr="00001309" w:rsidRDefault="00847065" w:rsidP="006666CC">
      <w:pPr>
        <w:keepNext/>
        <w:keepLines/>
        <w:autoSpaceDE w:val="0"/>
        <w:autoSpaceDN w:val="0"/>
        <w:rPr>
          <w:sz w:val="26"/>
          <w:szCs w:val="26"/>
        </w:rPr>
      </w:pPr>
    </w:p>
    <w:p w:rsidR="00A43093" w:rsidRPr="00001309" w:rsidRDefault="00F429DB" w:rsidP="00847065">
      <w:pPr>
        <w:autoSpaceDE w:val="0"/>
        <w:autoSpaceDN w:val="0"/>
        <w:rPr>
          <w:sz w:val="26"/>
          <w:szCs w:val="26"/>
        </w:rPr>
      </w:pPr>
      <w:r>
        <w:rPr>
          <w:sz w:val="26"/>
          <w:szCs w:val="26"/>
        </w:rPr>
        <w:t xml:space="preserve">The </w:t>
      </w:r>
      <w:r w:rsidR="00A43093" w:rsidRPr="00001309">
        <w:rPr>
          <w:sz w:val="26"/>
          <w:szCs w:val="26"/>
        </w:rPr>
        <w:t xml:space="preserve">Joint Complainants averred that </w:t>
      </w:r>
      <w:r w:rsidR="002E62B3" w:rsidRPr="00001309">
        <w:rPr>
          <w:sz w:val="26"/>
          <w:szCs w:val="26"/>
        </w:rPr>
        <w:t>on review and consideration of the</w:t>
      </w:r>
      <w:r w:rsidR="00A43093" w:rsidRPr="00001309">
        <w:rPr>
          <w:sz w:val="26"/>
          <w:szCs w:val="26"/>
        </w:rPr>
        <w:t xml:space="preserve"> pricing provisions in </w:t>
      </w:r>
      <w:r w:rsidR="002E62B3" w:rsidRPr="00001309">
        <w:rPr>
          <w:sz w:val="26"/>
          <w:szCs w:val="26"/>
        </w:rPr>
        <w:t>Blue Pilot’s</w:t>
      </w:r>
      <w:r w:rsidR="00A43093" w:rsidRPr="00001309">
        <w:rPr>
          <w:sz w:val="26"/>
          <w:szCs w:val="26"/>
        </w:rPr>
        <w:t xml:space="preserve"> disclosure statement, consumers could not determine the price that they would or could be charged or how the price would be calculated.  This was in violation of the Commissions Regulations at Section 54.5(c)</w:t>
      </w:r>
      <w:r w:rsidR="008C3217" w:rsidRPr="00001309">
        <w:rPr>
          <w:sz w:val="26"/>
          <w:szCs w:val="26"/>
        </w:rPr>
        <w:t>, 52 Pa. Code § 54.</w:t>
      </w:r>
      <w:r w:rsidR="004177D4" w:rsidRPr="00001309">
        <w:rPr>
          <w:sz w:val="26"/>
          <w:szCs w:val="26"/>
        </w:rPr>
        <w:t xml:space="preserve">5(c), </w:t>
      </w:r>
      <w:r w:rsidR="00A43093" w:rsidRPr="00001309">
        <w:rPr>
          <w:sz w:val="26"/>
          <w:szCs w:val="26"/>
        </w:rPr>
        <w:t xml:space="preserve"> (requiring that variable pricing terms include the conditions of variability and the limits on price variability), Section 54.43(1) (requiring that suppliers “provide accurate information </w:t>
      </w:r>
      <w:r w:rsidR="00A43093" w:rsidRPr="00001309">
        <w:rPr>
          <w:sz w:val="26"/>
          <w:szCs w:val="26"/>
        </w:rPr>
        <w:lastRenderedPageBreak/>
        <w:t>about their electric generation services using plain language and common terms in communications with consumers” and “in a format that enables customers to compare the various electric generation services offered and the prices charged for each type of service”), and Sections 54.43(f) and 111.12(d)(1) (requiring compliance with consumer protection laws), 52 Pa.</w:t>
      </w:r>
      <w:r w:rsidR="00F62C5C" w:rsidRPr="00001309">
        <w:rPr>
          <w:sz w:val="26"/>
          <w:szCs w:val="26"/>
        </w:rPr>
        <w:t xml:space="preserve"> </w:t>
      </w:r>
      <w:r w:rsidR="00A43093" w:rsidRPr="00001309">
        <w:rPr>
          <w:sz w:val="26"/>
          <w:szCs w:val="26"/>
        </w:rPr>
        <w:t>Code §§ 54.5(c), 54.43(1), 54.43(f) and 111.12(d)(1).  I.D. at 55.</w:t>
      </w:r>
    </w:p>
    <w:p w:rsidR="00A43093" w:rsidRPr="00001309" w:rsidRDefault="00A43093" w:rsidP="00847065">
      <w:pPr>
        <w:autoSpaceDE w:val="0"/>
        <w:autoSpaceDN w:val="0"/>
        <w:rPr>
          <w:sz w:val="26"/>
          <w:szCs w:val="26"/>
        </w:rPr>
      </w:pPr>
    </w:p>
    <w:p w:rsidR="008664E8" w:rsidRPr="00001309" w:rsidRDefault="00F429DB" w:rsidP="00C94043">
      <w:pPr>
        <w:autoSpaceDE w:val="0"/>
        <w:autoSpaceDN w:val="0"/>
        <w:rPr>
          <w:sz w:val="26"/>
          <w:szCs w:val="26"/>
        </w:rPr>
      </w:pPr>
      <w:r>
        <w:rPr>
          <w:sz w:val="26"/>
          <w:szCs w:val="26"/>
        </w:rPr>
        <w:t xml:space="preserve">The </w:t>
      </w:r>
      <w:r w:rsidR="00A43093" w:rsidRPr="00001309">
        <w:rPr>
          <w:sz w:val="26"/>
          <w:szCs w:val="26"/>
        </w:rPr>
        <w:t xml:space="preserve">Joint Complainants averred that Blue Pilot failed to provide accurate pricing information in plain language and using common terms that consumers understand. </w:t>
      </w:r>
      <w:r w:rsidR="002E62B3" w:rsidRPr="00001309">
        <w:rPr>
          <w:sz w:val="26"/>
          <w:szCs w:val="26"/>
        </w:rPr>
        <w:t xml:space="preserve"> </w:t>
      </w:r>
      <w:r>
        <w:rPr>
          <w:sz w:val="26"/>
          <w:szCs w:val="26"/>
        </w:rPr>
        <w:t xml:space="preserve">The </w:t>
      </w:r>
      <w:r w:rsidR="00A43093" w:rsidRPr="00001309">
        <w:rPr>
          <w:sz w:val="26"/>
          <w:szCs w:val="26"/>
        </w:rPr>
        <w:t>Joint Complainants contend</w:t>
      </w:r>
      <w:r w:rsidR="002E62B3" w:rsidRPr="00001309">
        <w:rPr>
          <w:sz w:val="26"/>
          <w:szCs w:val="26"/>
        </w:rPr>
        <w:t>ed</w:t>
      </w:r>
      <w:r w:rsidR="00A43093" w:rsidRPr="00001309">
        <w:rPr>
          <w:sz w:val="26"/>
          <w:szCs w:val="26"/>
        </w:rPr>
        <w:t xml:space="preserve"> that the Commission’s </w:t>
      </w:r>
      <w:r w:rsidR="002E62B3" w:rsidRPr="00001309">
        <w:rPr>
          <w:sz w:val="26"/>
          <w:szCs w:val="26"/>
        </w:rPr>
        <w:t>R</w:t>
      </w:r>
      <w:r w:rsidR="00A43093" w:rsidRPr="00001309">
        <w:rPr>
          <w:sz w:val="26"/>
          <w:szCs w:val="26"/>
        </w:rPr>
        <w:t xml:space="preserve">egulations require suppliers </w:t>
      </w:r>
      <w:r w:rsidR="00197974" w:rsidRPr="00001309">
        <w:rPr>
          <w:sz w:val="26"/>
          <w:szCs w:val="26"/>
        </w:rPr>
        <w:t xml:space="preserve">to </w:t>
      </w:r>
      <w:r w:rsidR="00A43093" w:rsidRPr="00001309">
        <w:rPr>
          <w:sz w:val="26"/>
          <w:szCs w:val="26"/>
        </w:rPr>
        <w:t>“ensure that product or service offerings made by a supplier contain information, verbally or written, in plain language designed to be understood by the customer.” 52 Pa.</w:t>
      </w:r>
      <w:r w:rsidR="002E62B3" w:rsidRPr="00001309">
        <w:rPr>
          <w:sz w:val="26"/>
          <w:szCs w:val="26"/>
        </w:rPr>
        <w:t xml:space="preserve"> </w:t>
      </w:r>
      <w:r w:rsidR="00A43093" w:rsidRPr="00001309">
        <w:rPr>
          <w:sz w:val="26"/>
          <w:szCs w:val="26"/>
        </w:rPr>
        <w:t>Code §</w:t>
      </w:r>
      <w:r w:rsidR="00480CAE" w:rsidRPr="00001309">
        <w:rPr>
          <w:sz w:val="26"/>
          <w:szCs w:val="26"/>
        </w:rPr>
        <w:t xml:space="preserve"> </w:t>
      </w:r>
      <w:r w:rsidR="00A43093" w:rsidRPr="00001309">
        <w:rPr>
          <w:sz w:val="26"/>
          <w:szCs w:val="26"/>
        </w:rPr>
        <w:t xml:space="preserve">111.12(d)(5). </w:t>
      </w:r>
      <w:r>
        <w:rPr>
          <w:sz w:val="26"/>
          <w:szCs w:val="26"/>
        </w:rPr>
        <w:t xml:space="preserve"> The </w:t>
      </w:r>
      <w:r w:rsidR="00A43093" w:rsidRPr="00001309">
        <w:rPr>
          <w:sz w:val="26"/>
          <w:szCs w:val="26"/>
        </w:rPr>
        <w:t>Joint Complainants argue</w:t>
      </w:r>
      <w:r w:rsidR="004177D4" w:rsidRPr="00001309">
        <w:rPr>
          <w:sz w:val="26"/>
          <w:szCs w:val="26"/>
        </w:rPr>
        <w:t>d</w:t>
      </w:r>
      <w:r w:rsidR="00A43093" w:rsidRPr="00001309">
        <w:rPr>
          <w:sz w:val="26"/>
          <w:szCs w:val="26"/>
        </w:rPr>
        <w:t xml:space="preserve"> that Blue Pilot’s practice of failing to provide accurate pricing information in either its disclosure statement or sales agreement </w:t>
      </w:r>
      <w:r w:rsidR="002E62B3" w:rsidRPr="00001309">
        <w:rPr>
          <w:sz w:val="26"/>
          <w:szCs w:val="26"/>
        </w:rPr>
        <w:t xml:space="preserve">also </w:t>
      </w:r>
      <w:r w:rsidR="00A43093" w:rsidRPr="00001309">
        <w:rPr>
          <w:sz w:val="26"/>
          <w:szCs w:val="26"/>
        </w:rPr>
        <w:t>violate</w:t>
      </w:r>
      <w:r w:rsidR="002E62B3" w:rsidRPr="00001309">
        <w:rPr>
          <w:sz w:val="26"/>
          <w:szCs w:val="26"/>
        </w:rPr>
        <w:t>d</w:t>
      </w:r>
      <w:r w:rsidR="00A43093" w:rsidRPr="00001309">
        <w:rPr>
          <w:sz w:val="26"/>
          <w:szCs w:val="26"/>
        </w:rPr>
        <w:t xml:space="preserve"> 66 </w:t>
      </w:r>
      <w:r w:rsidR="00A35069">
        <w:rPr>
          <w:sz w:val="26"/>
          <w:szCs w:val="26"/>
        </w:rPr>
        <w:t xml:space="preserve">Pa.C.S. </w:t>
      </w:r>
      <w:r w:rsidR="00A43093" w:rsidRPr="00001309">
        <w:rPr>
          <w:sz w:val="26"/>
          <w:szCs w:val="26"/>
        </w:rPr>
        <w:t xml:space="preserve"> §2807(d)(2)</w:t>
      </w:r>
      <w:r w:rsidR="00BF183E">
        <w:rPr>
          <w:sz w:val="26"/>
          <w:szCs w:val="26"/>
        </w:rPr>
        <w:t xml:space="preserve">; </w:t>
      </w:r>
      <w:r w:rsidR="00A43093" w:rsidRPr="00001309">
        <w:rPr>
          <w:sz w:val="26"/>
          <w:szCs w:val="26"/>
        </w:rPr>
        <w:t>Section 2807(d)(2)</w:t>
      </w:r>
      <w:r w:rsidR="002E62B3" w:rsidRPr="00001309">
        <w:rPr>
          <w:sz w:val="26"/>
          <w:szCs w:val="26"/>
        </w:rPr>
        <w:t>.</w:t>
      </w:r>
      <w:r w:rsidR="00BF183E">
        <w:rPr>
          <w:sz w:val="26"/>
          <w:szCs w:val="26"/>
        </w:rPr>
        <w:t xml:space="preserve">  </w:t>
      </w:r>
      <w:r w:rsidR="00BF183E">
        <w:rPr>
          <w:i/>
          <w:sz w:val="26"/>
          <w:szCs w:val="26"/>
        </w:rPr>
        <w:t>See</w:t>
      </w:r>
      <w:r w:rsidR="002E62B3" w:rsidRPr="00001309">
        <w:rPr>
          <w:sz w:val="26"/>
          <w:szCs w:val="26"/>
        </w:rPr>
        <w:t xml:space="preserve"> I.D. at 55.</w:t>
      </w:r>
    </w:p>
    <w:p w:rsidR="00D37CC7" w:rsidRPr="00001309" w:rsidRDefault="00D37CC7" w:rsidP="00847065">
      <w:pPr>
        <w:autoSpaceDE w:val="0"/>
        <w:autoSpaceDN w:val="0"/>
        <w:rPr>
          <w:sz w:val="26"/>
          <w:szCs w:val="26"/>
        </w:rPr>
      </w:pPr>
    </w:p>
    <w:p w:rsidR="008664E8" w:rsidRPr="00001309" w:rsidRDefault="006666CC" w:rsidP="006666CC">
      <w:pPr>
        <w:keepNext/>
        <w:keepLines/>
        <w:autoSpaceDE w:val="0"/>
        <w:autoSpaceDN w:val="0"/>
        <w:rPr>
          <w:sz w:val="26"/>
          <w:szCs w:val="26"/>
        </w:rPr>
      </w:pPr>
      <w:r w:rsidRPr="00001309">
        <w:rPr>
          <w:b/>
          <w:sz w:val="26"/>
          <w:szCs w:val="26"/>
        </w:rPr>
        <w:t>b.</w:t>
      </w:r>
      <w:r w:rsidRPr="00001309">
        <w:rPr>
          <w:b/>
          <w:sz w:val="26"/>
          <w:szCs w:val="26"/>
        </w:rPr>
        <w:tab/>
      </w:r>
      <w:r w:rsidR="008664E8" w:rsidRPr="00001309">
        <w:rPr>
          <w:b/>
          <w:sz w:val="26"/>
          <w:szCs w:val="26"/>
        </w:rPr>
        <w:t xml:space="preserve">Blue Pilot </w:t>
      </w:r>
    </w:p>
    <w:p w:rsidR="008664E8" w:rsidRPr="00001309" w:rsidRDefault="008664E8" w:rsidP="006666CC">
      <w:pPr>
        <w:keepNext/>
        <w:keepLines/>
        <w:autoSpaceDE w:val="0"/>
        <w:autoSpaceDN w:val="0"/>
        <w:rPr>
          <w:sz w:val="26"/>
          <w:szCs w:val="26"/>
        </w:rPr>
      </w:pPr>
    </w:p>
    <w:p w:rsidR="008664E8" w:rsidRPr="00001309" w:rsidRDefault="00493DBA" w:rsidP="00493DBA">
      <w:pPr>
        <w:autoSpaceDE w:val="0"/>
        <w:autoSpaceDN w:val="0"/>
        <w:adjustRightInd w:val="0"/>
        <w:rPr>
          <w:sz w:val="26"/>
          <w:szCs w:val="26"/>
        </w:rPr>
      </w:pPr>
      <w:r w:rsidRPr="00001309">
        <w:rPr>
          <w:sz w:val="26"/>
          <w:szCs w:val="26"/>
        </w:rPr>
        <w:t xml:space="preserve">Blue Pilot </w:t>
      </w:r>
      <w:r w:rsidR="008664E8" w:rsidRPr="00001309">
        <w:rPr>
          <w:sz w:val="26"/>
          <w:szCs w:val="26"/>
        </w:rPr>
        <w:t>took the position that</w:t>
      </w:r>
      <w:r w:rsidRPr="00001309">
        <w:rPr>
          <w:sz w:val="26"/>
          <w:szCs w:val="26"/>
        </w:rPr>
        <w:t xml:space="preserve"> its disclosure statement was approved</w:t>
      </w:r>
      <w:r w:rsidR="008664E8" w:rsidRPr="00001309">
        <w:rPr>
          <w:sz w:val="26"/>
          <w:szCs w:val="26"/>
        </w:rPr>
        <w:t>,</w:t>
      </w:r>
      <w:r w:rsidRPr="00001309">
        <w:rPr>
          <w:sz w:val="26"/>
          <w:szCs w:val="26"/>
        </w:rPr>
        <w:t xml:space="preserve"> implicitly</w:t>
      </w:r>
      <w:r w:rsidR="008664E8" w:rsidRPr="00001309">
        <w:rPr>
          <w:sz w:val="26"/>
          <w:szCs w:val="26"/>
        </w:rPr>
        <w:t>,</w:t>
      </w:r>
      <w:r w:rsidRPr="00001309">
        <w:rPr>
          <w:sz w:val="26"/>
          <w:szCs w:val="26"/>
        </w:rPr>
        <w:t xml:space="preserve"> by the Commission in its </w:t>
      </w:r>
      <w:r w:rsidRPr="00001309">
        <w:rPr>
          <w:i/>
          <w:sz w:val="26"/>
          <w:szCs w:val="26"/>
        </w:rPr>
        <w:t>Licensing Order</w:t>
      </w:r>
      <w:r w:rsidR="008664E8" w:rsidRPr="00001309">
        <w:rPr>
          <w:sz w:val="26"/>
          <w:szCs w:val="26"/>
        </w:rPr>
        <w:t>.  Blue Pilot</w:t>
      </w:r>
      <w:r w:rsidRPr="00001309">
        <w:rPr>
          <w:sz w:val="26"/>
          <w:szCs w:val="26"/>
        </w:rPr>
        <w:t xml:space="preserve"> relied upon that approval in distributing t</w:t>
      </w:r>
      <w:r w:rsidR="008664E8" w:rsidRPr="00001309">
        <w:rPr>
          <w:sz w:val="26"/>
          <w:szCs w:val="26"/>
        </w:rPr>
        <w:t>he statement</w:t>
      </w:r>
      <w:r w:rsidRPr="00001309">
        <w:rPr>
          <w:sz w:val="26"/>
          <w:szCs w:val="26"/>
        </w:rPr>
        <w:t xml:space="preserve"> to its customers</w:t>
      </w:r>
      <w:r w:rsidR="008664E8" w:rsidRPr="00001309">
        <w:rPr>
          <w:sz w:val="26"/>
          <w:szCs w:val="26"/>
        </w:rPr>
        <w:t>,</w:t>
      </w:r>
      <w:r w:rsidRPr="00001309">
        <w:rPr>
          <w:sz w:val="26"/>
          <w:szCs w:val="26"/>
        </w:rPr>
        <w:t xml:space="preserve"> believing it was regulatory compliant with 52 Pa.</w:t>
      </w:r>
      <w:r w:rsidR="008664E8" w:rsidRPr="00001309">
        <w:rPr>
          <w:sz w:val="26"/>
          <w:szCs w:val="26"/>
        </w:rPr>
        <w:t xml:space="preserve"> </w:t>
      </w:r>
      <w:r w:rsidRPr="00001309">
        <w:rPr>
          <w:sz w:val="26"/>
          <w:szCs w:val="26"/>
        </w:rPr>
        <w:t>Code § 54.5.</w:t>
      </w:r>
      <w:r w:rsidR="00404046" w:rsidRPr="00001309">
        <w:rPr>
          <w:sz w:val="26"/>
          <w:szCs w:val="26"/>
        </w:rPr>
        <w:t xml:space="preserve">  I.D. at 56.</w:t>
      </w:r>
    </w:p>
    <w:p w:rsidR="008664E8" w:rsidRPr="00001309" w:rsidRDefault="008664E8" w:rsidP="00493DBA">
      <w:pPr>
        <w:autoSpaceDE w:val="0"/>
        <w:autoSpaceDN w:val="0"/>
        <w:adjustRightInd w:val="0"/>
        <w:rPr>
          <w:sz w:val="26"/>
          <w:szCs w:val="26"/>
        </w:rPr>
      </w:pPr>
    </w:p>
    <w:p w:rsidR="00A43093" w:rsidRPr="00001309" w:rsidRDefault="00493DBA" w:rsidP="000F7D56">
      <w:pPr>
        <w:autoSpaceDE w:val="0"/>
        <w:autoSpaceDN w:val="0"/>
        <w:adjustRightInd w:val="0"/>
        <w:rPr>
          <w:sz w:val="26"/>
          <w:szCs w:val="26"/>
        </w:rPr>
      </w:pPr>
      <w:r w:rsidRPr="00001309">
        <w:rPr>
          <w:sz w:val="26"/>
          <w:szCs w:val="26"/>
        </w:rPr>
        <w:t xml:space="preserve">Blue Pilot </w:t>
      </w:r>
      <w:r w:rsidR="008664E8" w:rsidRPr="00001309">
        <w:rPr>
          <w:sz w:val="26"/>
          <w:szCs w:val="26"/>
        </w:rPr>
        <w:t xml:space="preserve">further </w:t>
      </w:r>
      <w:r w:rsidRPr="00001309">
        <w:rPr>
          <w:sz w:val="26"/>
          <w:szCs w:val="26"/>
        </w:rPr>
        <w:t>cite</w:t>
      </w:r>
      <w:r w:rsidR="008664E8" w:rsidRPr="00001309">
        <w:rPr>
          <w:sz w:val="26"/>
          <w:szCs w:val="26"/>
        </w:rPr>
        <w:t>d</w:t>
      </w:r>
      <w:r w:rsidRPr="00001309">
        <w:rPr>
          <w:sz w:val="26"/>
          <w:szCs w:val="26"/>
        </w:rPr>
        <w:t xml:space="preserve"> to an Initial Decision, </w:t>
      </w:r>
      <w:r w:rsidRPr="00001309">
        <w:rPr>
          <w:i/>
          <w:sz w:val="26"/>
          <w:szCs w:val="26"/>
        </w:rPr>
        <w:t>Dubois Manor Motel c/o Nisha Patel v. Blue Pilot Energy, LLC</w:t>
      </w:r>
      <w:r w:rsidRPr="00001309">
        <w:rPr>
          <w:sz w:val="26"/>
          <w:szCs w:val="26"/>
        </w:rPr>
        <w:t xml:space="preserve">, </w:t>
      </w:r>
      <w:r w:rsidR="00404046" w:rsidRPr="00001309">
        <w:rPr>
          <w:i/>
          <w:sz w:val="26"/>
          <w:szCs w:val="26"/>
        </w:rPr>
        <w:t>et al.</w:t>
      </w:r>
      <w:r w:rsidRPr="00001309">
        <w:rPr>
          <w:sz w:val="26"/>
          <w:szCs w:val="26"/>
        </w:rPr>
        <w:t>, Docket No. C-2014-2433817 (Initial Decision issued December 2, 2015)</w:t>
      </w:r>
      <w:r w:rsidR="00404046" w:rsidRPr="00001309">
        <w:rPr>
          <w:sz w:val="26"/>
          <w:szCs w:val="26"/>
        </w:rPr>
        <w:t xml:space="preserve"> </w:t>
      </w:r>
      <w:r w:rsidRPr="00001309">
        <w:rPr>
          <w:sz w:val="26"/>
          <w:szCs w:val="26"/>
        </w:rPr>
        <w:t>(</w:t>
      </w:r>
      <w:r w:rsidRPr="00001309">
        <w:rPr>
          <w:i/>
          <w:sz w:val="26"/>
          <w:szCs w:val="26"/>
        </w:rPr>
        <w:t>DuBois Manor</w:t>
      </w:r>
      <w:r w:rsidRPr="00001309">
        <w:rPr>
          <w:sz w:val="26"/>
          <w:szCs w:val="26"/>
        </w:rPr>
        <w:t xml:space="preserve">), wherein the </w:t>
      </w:r>
      <w:r w:rsidR="00404046" w:rsidRPr="00001309">
        <w:rPr>
          <w:sz w:val="26"/>
          <w:szCs w:val="26"/>
        </w:rPr>
        <w:t xml:space="preserve">presiding </w:t>
      </w:r>
      <w:r w:rsidRPr="00001309">
        <w:rPr>
          <w:sz w:val="26"/>
          <w:szCs w:val="26"/>
        </w:rPr>
        <w:t xml:space="preserve">ALJ </w:t>
      </w:r>
      <w:r w:rsidR="00404046" w:rsidRPr="00001309">
        <w:rPr>
          <w:sz w:val="26"/>
          <w:szCs w:val="26"/>
        </w:rPr>
        <w:t xml:space="preserve">in that proceeding dismissed a formal complaint raising the adequacy of information in Blue Pilot’s disclosure statements and </w:t>
      </w:r>
      <w:r w:rsidRPr="00001309">
        <w:rPr>
          <w:sz w:val="26"/>
          <w:szCs w:val="26"/>
        </w:rPr>
        <w:t xml:space="preserve">found </w:t>
      </w:r>
      <w:r w:rsidR="00404046" w:rsidRPr="00001309">
        <w:rPr>
          <w:sz w:val="26"/>
          <w:szCs w:val="26"/>
        </w:rPr>
        <w:t xml:space="preserve">that the </w:t>
      </w:r>
      <w:r w:rsidRPr="00001309">
        <w:rPr>
          <w:sz w:val="26"/>
          <w:szCs w:val="26"/>
        </w:rPr>
        <w:t>disclosure statement provided accurate, plain language to explain the variable rate product.</w:t>
      </w:r>
      <w:r w:rsidR="00404046" w:rsidRPr="00001309">
        <w:rPr>
          <w:sz w:val="26"/>
          <w:szCs w:val="26"/>
        </w:rPr>
        <w:t xml:space="preserve">  I.D. at 56. </w:t>
      </w:r>
      <w:r w:rsidRPr="00001309">
        <w:rPr>
          <w:sz w:val="26"/>
          <w:szCs w:val="26"/>
        </w:rPr>
        <w:t xml:space="preserve"> Blue Pilot acknowledge</w:t>
      </w:r>
      <w:r w:rsidR="000F7D56" w:rsidRPr="00001309">
        <w:rPr>
          <w:sz w:val="26"/>
          <w:szCs w:val="26"/>
        </w:rPr>
        <w:t>d</w:t>
      </w:r>
      <w:r w:rsidRPr="00001309">
        <w:rPr>
          <w:sz w:val="26"/>
          <w:szCs w:val="26"/>
        </w:rPr>
        <w:t xml:space="preserve"> </w:t>
      </w:r>
      <w:r w:rsidR="000F7D56" w:rsidRPr="00001309">
        <w:rPr>
          <w:sz w:val="26"/>
          <w:szCs w:val="26"/>
        </w:rPr>
        <w:t>a contrary conclusion reached by presiding ALJ Cheskis, according to the “p</w:t>
      </w:r>
      <w:r w:rsidR="004177D4" w:rsidRPr="00001309">
        <w:rPr>
          <w:sz w:val="26"/>
          <w:szCs w:val="26"/>
        </w:rPr>
        <w:t>l</w:t>
      </w:r>
      <w:r w:rsidR="000F7D56" w:rsidRPr="00001309">
        <w:rPr>
          <w:sz w:val="26"/>
          <w:szCs w:val="26"/>
        </w:rPr>
        <w:t xml:space="preserve">ain language” </w:t>
      </w:r>
      <w:r w:rsidR="000F7D56" w:rsidRPr="00001309">
        <w:rPr>
          <w:sz w:val="26"/>
          <w:szCs w:val="26"/>
        </w:rPr>
        <w:lastRenderedPageBreak/>
        <w:t xml:space="preserve">requirements of the Commission’s Regulations in </w:t>
      </w:r>
      <w:r w:rsidRPr="00001309">
        <w:rPr>
          <w:i/>
          <w:sz w:val="26"/>
          <w:szCs w:val="26"/>
        </w:rPr>
        <w:t>Enrico Partners LP v. Blue Pilot Energy, LLC</w:t>
      </w:r>
      <w:r w:rsidRPr="00001309">
        <w:rPr>
          <w:sz w:val="26"/>
          <w:szCs w:val="26"/>
        </w:rPr>
        <w:t>, Docket No. C-2014-2432979 (Initial Decision February 12, 2015).</w:t>
      </w:r>
      <w:r w:rsidR="0077511F" w:rsidRPr="00001309">
        <w:rPr>
          <w:rStyle w:val="FootnoteReference"/>
          <w:sz w:val="26"/>
          <w:szCs w:val="26"/>
        </w:rPr>
        <w:footnoteReference w:id="19"/>
      </w:r>
    </w:p>
    <w:p w:rsidR="00A43093" w:rsidRPr="00001309" w:rsidRDefault="00A43093" w:rsidP="00847065">
      <w:pPr>
        <w:autoSpaceDE w:val="0"/>
        <w:autoSpaceDN w:val="0"/>
        <w:rPr>
          <w:sz w:val="26"/>
          <w:szCs w:val="26"/>
        </w:rPr>
      </w:pPr>
    </w:p>
    <w:p w:rsidR="00F14E54" w:rsidRPr="00001309" w:rsidRDefault="000A2197" w:rsidP="000A2197">
      <w:pPr>
        <w:keepNext/>
        <w:keepLines/>
        <w:autoSpaceDE w:val="0"/>
        <w:autoSpaceDN w:val="0"/>
        <w:rPr>
          <w:b/>
          <w:sz w:val="26"/>
          <w:szCs w:val="26"/>
        </w:rPr>
      </w:pPr>
      <w:r w:rsidRPr="00001309">
        <w:rPr>
          <w:b/>
          <w:sz w:val="26"/>
          <w:szCs w:val="26"/>
        </w:rPr>
        <w:t>c.</w:t>
      </w:r>
      <w:r w:rsidRPr="00001309">
        <w:rPr>
          <w:b/>
          <w:sz w:val="26"/>
          <w:szCs w:val="26"/>
        </w:rPr>
        <w:tab/>
      </w:r>
      <w:r w:rsidR="00F14E54" w:rsidRPr="00001309">
        <w:rPr>
          <w:b/>
          <w:sz w:val="26"/>
          <w:szCs w:val="26"/>
        </w:rPr>
        <w:t>ALJs’ Recommendation</w:t>
      </w:r>
    </w:p>
    <w:p w:rsidR="00F14E54" w:rsidRPr="00001309" w:rsidRDefault="00F14E54" w:rsidP="000A2197">
      <w:pPr>
        <w:keepNext/>
        <w:keepLines/>
        <w:autoSpaceDE w:val="0"/>
        <w:autoSpaceDN w:val="0"/>
        <w:rPr>
          <w:sz w:val="26"/>
          <w:szCs w:val="26"/>
        </w:rPr>
      </w:pPr>
    </w:p>
    <w:p w:rsidR="00055AA3" w:rsidRPr="00001309" w:rsidRDefault="000A7C06" w:rsidP="000A7C06">
      <w:pPr>
        <w:autoSpaceDE w:val="0"/>
        <w:autoSpaceDN w:val="0"/>
        <w:rPr>
          <w:sz w:val="26"/>
          <w:szCs w:val="26"/>
        </w:rPr>
      </w:pPr>
      <w:r w:rsidRPr="00001309">
        <w:rPr>
          <w:sz w:val="26"/>
          <w:szCs w:val="26"/>
        </w:rPr>
        <w:t xml:space="preserve">The ALJs concluded that </w:t>
      </w:r>
      <w:r w:rsidR="00F429DB">
        <w:rPr>
          <w:sz w:val="26"/>
          <w:szCs w:val="26"/>
        </w:rPr>
        <w:t xml:space="preserve">the </w:t>
      </w:r>
      <w:r w:rsidRPr="00001309">
        <w:rPr>
          <w:sz w:val="26"/>
          <w:szCs w:val="26"/>
        </w:rPr>
        <w:t>Joint Complainants met their burden of proof, by a preponderance of the evidence, that the disclosure information provided by Blue Pilot to its variable rate customers during the overbilling period at issue failed to conform to the Code and applicable Commission Regulations.</w:t>
      </w:r>
      <w:r w:rsidR="00055AA3" w:rsidRPr="00001309">
        <w:rPr>
          <w:sz w:val="26"/>
          <w:szCs w:val="26"/>
        </w:rPr>
        <w:t xml:space="preserve">  Disclosure information consistent with and complia</w:t>
      </w:r>
      <w:r w:rsidR="00BF183E">
        <w:rPr>
          <w:sz w:val="26"/>
          <w:szCs w:val="26"/>
        </w:rPr>
        <w:t>nce</w:t>
      </w:r>
      <w:r w:rsidR="00055AA3" w:rsidRPr="00001309">
        <w:rPr>
          <w:sz w:val="26"/>
          <w:szCs w:val="26"/>
        </w:rPr>
        <w:t xml:space="preserve"> with, the following provisions of the Code and Commission Regulations were at issue: 66 Pa.C.S.A. § 2807(d)(2):</w:t>
      </w:r>
    </w:p>
    <w:p w:rsidR="004F5293" w:rsidRPr="00001309" w:rsidRDefault="004F5293" w:rsidP="000A7C06">
      <w:pPr>
        <w:autoSpaceDE w:val="0"/>
        <w:autoSpaceDN w:val="0"/>
        <w:rPr>
          <w:sz w:val="26"/>
          <w:szCs w:val="26"/>
        </w:rPr>
      </w:pPr>
    </w:p>
    <w:p w:rsidR="000A2197" w:rsidRPr="00001309" w:rsidRDefault="00055AA3" w:rsidP="00CE0EAC">
      <w:pPr>
        <w:autoSpaceDE w:val="0"/>
        <w:autoSpaceDN w:val="0"/>
        <w:spacing w:line="240" w:lineRule="auto"/>
        <w:ind w:left="1440" w:right="1440" w:firstLine="0"/>
        <w:rPr>
          <w:sz w:val="26"/>
          <w:szCs w:val="26"/>
        </w:rPr>
      </w:pPr>
      <w:r w:rsidRPr="00001309">
        <w:rPr>
          <w:sz w:val="26"/>
          <w:szCs w:val="26"/>
        </w:rPr>
        <w:t xml:space="preserve">(2) </w:t>
      </w:r>
      <w:r w:rsidR="003A4E2D" w:rsidRPr="00001309">
        <w:rPr>
          <w:sz w:val="26"/>
          <w:szCs w:val="26"/>
        </w:rPr>
        <w:t xml:space="preserve"> </w:t>
      </w:r>
      <w:r w:rsidRPr="00001309">
        <w:rPr>
          <w:sz w:val="26"/>
          <w:szCs w:val="26"/>
        </w:rPr>
        <w:t xml:space="preserve">The commission shall establish regulations to require each electric distribution company, electricity supplier, marketer, aggregator and broker to provide adequate and accurate customer information to enable customers to make informed choices regarding the purchase of all electricity services offered by that provider. Information shall be provided to consumers in </w:t>
      </w:r>
    </w:p>
    <w:p w:rsidR="00055AA3" w:rsidRPr="00001309" w:rsidRDefault="00055AA3" w:rsidP="000A2197">
      <w:pPr>
        <w:keepNext/>
        <w:keepLines/>
        <w:autoSpaceDE w:val="0"/>
        <w:autoSpaceDN w:val="0"/>
        <w:spacing w:line="240" w:lineRule="auto"/>
        <w:ind w:left="1440" w:right="1440" w:firstLine="0"/>
        <w:rPr>
          <w:sz w:val="26"/>
          <w:szCs w:val="26"/>
        </w:rPr>
      </w:pPr>
      <w:r w:rsidRPr="00001309">
        <w:rPr>
          <w:sz w:val="26"/>
          <w:szCs w:val="26"/>
        </w:rPr>
        <w:t>an understandable format that enables consumers to compare prices and services on a uniform basis;</w:t>
      </w:r>
    </w:p>
    <w:p w:rsidR="000A2197" w:rsidRPr="00001309" w:rsidRDefault="000A2197" w:rsidP="000A2197">
      <w:pPr>
        <w:keepNext/>
        <w:keepLines/>
        <w:autoSpaceDE w:val="0"/>
        <w:autoSpaceDN w:val="0"/>
        <w:spacing w:line="240" w:lineRule="auto"/>
        <w:ind w:left="1440" w:right="1440" w:firstLine="0"/>
        <w:rPr>
          <w:sz w:val="26"/>
          <w:szCs w:val="26"/>
        </w:rPr>
      </w:pPr>
    </w:p>
    <w:p w:rsidR="000A2197" w:rsidRPr="00001309" w:rsidRDefault="000A2197" w:rsidP="000A2197">
      <w:pPr>
        <w:keepNext/>
        <w:keepLines/>
        <w:autoSpaceDE w:val="0"/>
        <w:autoSpaceDN w:val="0"/>
        <w:spacing w:line="240" w:lineRule="auto"/>
        <w:ind w:left="1440" w:right="1440" w:firstLine="0"/>
        <w:rPr>
          <w:sz w:val="26"/>
          <w:szCs w:val="26"/>
        </w:rPr>
      </w:pPr>
    </w:p>
    <w:p w:rsidR="00055AA3" w:rsidRPr="00001309" w:rsidRDefault="001E00D4" w:rsidP="00055AA3">
      <w:pPr>
        <w:autoSpaceDE w:val="0"/>
        <w:autoSpaceDN w:val="0"/>
        <w:ind w:firstLine="0"/>
        <w:rPr>
          <w:sz w:val="26"/>
          <w:szCs w:val="26"/>
        </w:rPr>
      </w:pPr>
      <w:r w:rsidRPr="00001309">
        <w:rPr>
          <w:i/>
          <w:sz w:val="26"/>
          <w:szCs w:val="26"/>
        </w:rPr>
        <w:t xml:space="preserve">also </w:t>
      </w:r>
      <w:r w:rsidR="00055AA3" w:rsidRPr="00001309">
        <w:rPr>
          <w:sz w:val="26"/>
          <w:szCs w:val="26"/>
        </w:rPr>
        <w:t>52 Pa. Code §§ 54.5(c):</w:t>
      </w:r>
      <w:r w:rsidR="00007532" w:rsidRPr="00001309">
        <w:rPr>
          <w:rStyle w:val="FootnoteReference"/>
          <w:sz w:val="26"/>
          <w:szCs w:val="26"/>
        </w:rPr>
        <w:footnoteReference w:id="20"/>
      </w:r>
    </w:p>
    <w:p w:rsidR="005708EA" w:rsidRPr="00001309" w:rsidRDefault="005708EA" w:rsidP="001E00D4">
      <w:pPr>
        <w:pStyle w:val="Default"/>
        <w:spacing w:line="240" w:lineRule="auto"/>
        <w:ind w:left="1440" w:right="1440" w:firstLine="0"/>
        <w:rPr>
          <w:rFonts w:ascii="Times New Roman" w:hAnsi="Times New Roman" w:cs="Times New Roman"/>
          <w:b/>
          <w:bCs/>
          <w:color w:val="auto"/>
          <w:sz w:val="26"/>
          <w:szCs w:val="26"/>
        </w:rPr>
      </w:pPr>
    </w:p>
    <w:p w:rsidR="00055AA3" w:rsidRPr="00001309" w:rsidRDefault="00055AA3" w:rsidP="008F6F94">
      <w:pPr>
        <w:pStyle w:val="Default"/>
        <w:keepNext/>
        <w:keepLines/>
        <w:spacing w:line="240" w:lineRule="auto"/>
        <w:ind w:left="1440" w:right="1440" w:firstLine="0"/>
        <w:rPr>
          <w:rFonts w:ascii="Times New Roman" w:hAnsi="Times New Roman" w:cs="Times New Roman"/>
          <w:color w:val="auto"/>
          <w:sz w:val="26"/>
          <w:szCs w:val="26"/>
        </w:rPr>
      </w:pPr>
      <w:r w:rsidRPr="00001309">
        <w:rPr>
          <w:rFonts w:ascii="Times New Roman" w:hAnsi="Times New Roman" w:cs="Times New Roman"/>
          <w:b/>
          <w:bCs/>
          <w:color w:val="auto"/>
          <w:sz w:val="26"/>
          <w:szCs w:val="26"/>
        </w:rPr>
        <w:lastRenderedPageBreak/>
        <w:t xml:space="preserve">§ 54.5. Disclosure statement for residential and small business customers. </w:t>
      </w:r>
    </w:p>
    <w:p w:rsidR="00007532" w:rsidRPr="00001309" w:rsidRDefault="00007532" w:rsidP="008F6F94">
      <w:pPr>
        <w:pStyle w:val="Default"/>
        <w:keepNext/>
        <w:keepLines/>
        <w:spacing w:line="240" w:lineRule="auto"/>
        <w:ind w:left="1440" w:right="1440" w:firstLine="0"/>
        <w:rPr>
          <w:rFonts w:ascii="Times New Roman" w:hAnsi="Times New Roman" w:cs="Times New Roman"/>
          <w:color w:val="auto"/>
          <w:sz w:val="26"/>
          <w:szCs w:val="26"/>
        </w:rPr>
      </w:pPr>
    </w:p>
    <w:p w:rsidR="00055AA3" w:rsidRPr="00001309" w:rsidRDefault="00055AA3" w:rsidP="001E00D4">
      <w:pPr>
        <w:pStyle w:val="Default"/>
        <w:spacing w:line="240" w:lineRule="auto"/>
        <w:ind w:left="1440" w:right="1440" w:firstLine="0"/>
        <w:rPr>
          <w:rFonts w:ascii="Times New Roman" w:hAnsi="Times New Roman" w:cs="Times New Roman"/>
          <w:color w:val="auto"/>
          <w:sz w:val="26"/>
          <w:szCs w:val="26"/>
        </w:rPr>
      </w:pPr>
      <w:r w:rsidRPr="00001309">
        <w:rPr>
          <w:rFonts w:ascii="Times New Roman" w:hAnsi="Times New Roman" w:cs="Times New Roman"/>
          <w:color w:val="auto"/>
          <w:sz w:val="26"/>
          <w:szCs w:val="26"/>
        </w:rPr>
        <w:t xml:space="preserve">(c) The contract’s terms of service shall be disclosed, including the following terms and conditions, if applicable: </w:t>
      </w:r>
    </w:p>
    <w:p w:rsidR="00055AA3" w:rsidRPr="00001309" w:rsidRDefault="00055AA3" w:rsidP="001E00D4">
      <w:pPr>
        <w:pStyle w:val="Default"/>
        <w:spacing w:line="240" w:lineRule="auto"/>
        <w:ind w:left="1440" w:right="1440" w:firstLine="720"/>
        <w:rPr>
          <w:rFonts w:ascii="Times New Roman" w:hAnsi="Times New Roman" w:cs="Times New Roman"/>
          <w:color w:val="auto"/>
          <w:sz w:val="26"/>
          <w:szCs w:val="26"/>
        </w:rPr>
      </w:pPr>
      <w:r w:rsidRPr="00001309">
        <w:rPr>
          <w:rFonts w:ascii="Times New Roman" w:hAnsi="Times New Roman" w:cs="Times New Roman"/>
          <w:color w:val="auto"/>
          <w:sz w:val="26"/>
          <w:szCs w:val="26"/>
        </w:rPr>
        <w:t xml:space="preserve">(1) Generation charges shall be disclosed according to the actual prices. </w:t>
      </w:r>
    </w:p>
    <w:p w:rsidR="00055AA3" w:rsidRPr="00001309" w:rsidRDefault="00055AA3" w:rsidP="001E00D4">
      <w:pPr>
        <w:pStyle w:val="Default"/>
        <w:spacing w:line="240" w:lineRule="auto"/>
        <w:ind w:left="1440" w:right="1440" w:firstLine="720"/>
        <w:rPr>
          <w:rFonts w:ascii="Times New Roman" w:hAnsi="Times New Roman" w:cs="Times New Roman"/>
          <w:color w:val="auto"/>
          <w:sz w:val="26"/>
          <w:szCs w:val="26"/>
        </w:rPr>
      </w:pPr>
      <w:r w:rsidRPr="00001309">
        <w:rPr>
          <w:rFonts w:ascii="Times New Roman" w:hAnsi="Times New Roman" w:cs="Times New Roman"/>
          <w:color w:val="auto"/>
          <w:sz w:val="26"/>
          <w:szCs w:val="26"/>
        </w:rPr>
        <w:t xml:space="preserve">(2) The variable pricing statement, if applicable, must include: </w:t>
      </w:r>
    </w:p>
    <w:p w:rsidR="00055AA3" w:rsidRPr="00001309" w:rsidRDefault="000A2197" w:rsidP="001E00D4">
      <w:pPr>
        <w:pStyle w:val="Default"/>
        <w:spacing w:line="240" w:lineRule="auto"/>
        <w:ind w:left="1440" w:right="1440" w:firstLine="720"/>
        <w:rPr>
          <w:rFonts w:ascii="Times New Roman" w:hAnsi="Times New Roman" w:cs="Times New Roman"/>
          <w:color w:val="auto"/>
          <w:sz w:val="26"/>
          <w:szCs w:val="26"/>
        </w:rPr>
      </w:pPr>
      <w:r w:rsidRPr="00001309">
        <w:rPr>
          <w:rFonts w:ascii="Times New Roman" w:hAnsi="Times New Roman" w:cs="Times New Roman"/>
          <w:color w:val="auto"/>
          <w:sz w:val="26"/>
          <w:szCs w:val="26"/>
        </w:rPr>
        <w:t xml:space="preserve">     </w:t>
      </w:r>
      <w:r w:rsidR="00055AA3" w:rsidRPr="00001309">
        <w:rPr>
          <w:rFonts w:ascii="Times New Roman" w:hAnsi="Times New Roman" w:cs="Times New Roman"/>
          <w:color w:val="auto"/>
          <w:sz w:val="26"/>
          <w:szCs w:val="26"/>
        </w:rPr>
        <w:t xml:space="preserve">(i) Conditions of variability (state on what basis prices will vary). </w:t>
      </w:r>
    </w:p>
    <w:p w:rsidR="00CB72AE" w:rsidRPr="00001309" w:rsidRDefault="00CB72AE" w:rsidP="001E00D4">
      <w:pPr>
        <w:pStyle w:val="Default"/>
        <w:spacing w:line="240" w:lineRule="auto"/>
        <w:ind w:left="1440" w:right="1440" w:firstLine="0"/>
        <w:rPr>
          <w:rFonts w:ascii="Times New Roman" w:hAnsi="Times New Roman" w:cs="Times New Roman"/>
          <w:color w:val="auto"/>
          <w:sz w:val="26"/>
          <w:szCs w:val="26"/>
        </w:rPr>
      </w:pPr>
    </w:p>
    <w:p w:rsidR="00CB72AE" w:rsidRPr="00001309" w:rsidRDefault="001E00D4" w:rsidP="001E00D4">
      <w:pPr>
        <w:pStyle w:val="Default"/>
        <w:spacing w:line="240" w:lineRule="auto"/>
        <w:ind w:left="1440" w:right="1440" w:firstLine="0"/>
        <w:rPr>
          <w:rFonts w:ascii="Times New Roman" w:hAnsi="Times New Roman" w:cs="Times New Roman"/>
          <w:color w:val="auto"/>
          <w:sz w:val="26"/>
          <w:szCs w:val="26"/>
        </w:rPr>
      </w:pPr>
      <w:r w:rsidRPr="00001309">
        <w:rPr>
          <w:rFonts w:ascii="Times New Roman" w:hAnsi="Times New Roman" w:cs="Times New Roman"/>
          <w:color w:val="auto"/>
          <w:sz w:val="26"/>
          <w:szCs w:val="26"/>
        </w:rPr>
        <w:t xml:space="preserve">                </w:t>
      </w:r>
      <w:r w:rsidR="00055AA3" w:rsidRPr="00001309">
        <w:rPr>
          <w:rFonts w:ascii="Times New Roman" w:hAnsi="Times New Roman" w:cs="Times New Roman"/>
          <w:color w:val="auto"/>
          <w:sz w:val="26"/>
          <w:szCs w:val="26"/>
        </w:rPr>
        <w:t>(ii) Limits on price variability</w:t>
      </w:r>
      <w:r w:rsidR="00CB72AE" w:rsidRPr="00001309">
        <w:rPr>
          <w:rFonts w:ascii="Times New Roman" w:hAnsi="Times New Roman" w:cs="Times New Roman"/>
          <w:color w:val="auto"/>
          <w:sz w:val="26"/>
          <w:szCs w:val="26"/>
        </w:rPr>
        <w:t>;</w:t>
      </w:r>
    </w:p>
    <w:p w:rsidR="00055AA3" w:rsidRPr="00001309" w:rsidRDefault="00055AA3" w:rsidP="00CB72AE">
      <w:pPr>
        <w:pStyle w:val="Default"/>
        <w:spacing w:line="240" w:lineRule="auto"/>
        <w:ind w:left="1440" w:right="720"/>
        <w:rPr>
          <w:rFonts w:ascii="Times New Roman" w:hAnsi="Times New Roman" w:cs="Times New Roman"/>
          <w:color w:val="auto"/>
          <w:sz w:val="26"/>
          <w:szCs w:val="26"/>
        </w:rPr>
      </w:pPr>
    </w:p>
    <w:p w:rsidR="000A2197" w:rsidRPr="00001309" w:rsidRDefault="000A2197" w:rsidP="00CB72AE">
      <w:pPr>
        <w:pStyle w:val="Default"/>
        <w:spacing w:line="240" w:lineRule="auto"/>
        <w:ind w:left="1440" w:right="720"/>
        <w:rPr>
          <w:rFonts w:ascii="Times New Roman" w:hAnsi="Times New Roman" w:cs="Times New Roman"/>
          <w:color w:val="auto"/>
          <w:sz w:val="26"/>
          <w:szCs w:val="26"/>
        </w:rPr>
      </w:pPr>
    </w:p>
    <w:p w:rsidR="00CB72AE" w:rsidRPr="00001309" w:rsidRDefault="00055AA3" w:rsidP="00A6171D">
      <w:pPr>
        <w:keepNext/>
        <w:keepLines/>
        <w:autoSpaceDE w:val="0"/>
        <w:autoSpaceDN w:val="0"/>
        <w:spacing w:line="240" w:lineRule="auto"/>
        <w:ind w:firstLine="0"/>
        <w:rPr>
          <w:sz w:val="26"/>
          <w:szCs w:val="26"/>
        </w:rPr>
      </w:pPr>
      <w:r w:rsidRPr="00001309">
        <w:rPr>
          <w:sz w:val="26"/>
          <w:szCs w:val="26"/>
        </w:rPr>
        <w:t>§ 54.43(1) and (f)</w:t>
      </w:r>
      <w:r w:rsidR="00A3491E" w:rsidRPr="00001309">
        <w:rPr>
          <w:sz w:val="26"/>
          <w:szCs w:val="26"/>
        </w:rPr>
        <w:t>:</w:t>
      </w:r>
    </w:p>
    <w:p w:rsidR="005568DE" w:rsidRPr="00001309" w:rsidRDefault="005568DE" w:rsidP="00A6171D">
      <w:pPr>
        <w:keepNext/>
        <w:keepLines/>
        <w:autoSpaceDE w:val="0"/>
        <w:autoSpaceDN w:val="0"/>
        <w:spacing w:line="240" w:lineRule="auto"/>
        <w:ind w:firstLine="0"/>
        <w:rPr>
          <w:sz w:val="26"/>
          <w:szCs w:val="26"/>
        </w:rPr>
      </w:pPr>
    </w:p>
    <w:p w:rsidR="00CB72AE" w:rsidRPr="00001309" w:rsidRDefault="00CB72AE" w:rsidP="00CB72AE">
      <w:pPr>
        <w:autoSpaceDE w:val="0"/>
        <w:autoSpaceDN w:val="0"/>
        <w:spacing w:line="240" w:lineRule="auto"/>
        <w:ind w:firstLine="0"/>
        <w:rPr>
          <w:sz w:val="26"/>
          <w:szCs w:val="26"/>
        </w:rPr>
      </w:pPr>
    </w:p>
    <w:p w:rsidR="00CB72AE" w:rsidRPr="00001309" w:rsidRDefault="00CB72AE" w:rsidP="000A2197">
      <w:pPr>
        <w:keepNext/>
        <w:keepLines/>
        <w:autoSpaceDE w:val="0"/>
        <w:autoSpaceDN w:val="0"/>
        <w:adjustRightInd w:val="0"/>
        <w:spacing w:line="240" w:lineRule="auto"/>
        <w:ind w:left="1440" w:right="1440" w:firstLine="0"/>
        <w:rPr>
          <w:spacing w:val="0"/>
          <w:sz w:val="26"/>
          <w:szCs w:val="26"/>
        </w:rPr>
      </w:pPr>
      <w:r w:rsidRPr="00001309">
        <w:rPr>
          <w:b/>
          <w:bCs/>
          <w:spacing w:val="0"/>
          <w:sz w:val="26"/>
          <w:szCs w:val="26"/>
        </w:rPr>
        <w:t>§ 54.43. Standards of conduc</w:t>
      </w:r>
      <w:r w:rsidR="006277C9">
        <w:rPr>
          <w:b/>
          <w:bCs/>
          <w:spacing w:val="0"/>
          <w:sz w:val="26"/>
          <w:szCs w:val="26"/>
        </w:rPr>
        <w:t>t and disclosure for licensees.</w:t>
      </w:r>
    </w:p>
    <w:p w:rsidR="00CB72AE" w:rsidRPr="00001309" w:rsidRDefault="00CB72AE" w:rsidP="000A2197">
      <w:pPr>
        <w:keepNext/>
        <w:keepLines/>
        <w:autoSpaceDE w:val="0"/>
        <w:autoSpaceDN w:val="0"/>
        <w:adjustRightInd w:val="0"/>
        <w:spacing w:line="240" w:lineRule="auto"/>
        <w:ind w:left="1440" w:right="1440" w:firstLine="0"/>
        <w:rPr>
          <w:spacing w:val="0"/>
          <w:sz w:val="26"/>
          <w:szCs w:val="26"/>
        </w:rPr>
      </w:pPr>
    </w:p>
    <w:p w:rsidR="00CB72AE" w:rsidRPr="00001309" w:rsidRDefault="00CB72AE" w:rsidP="001E00D4">
      <w:pPr>
        <w:autoSpaceDE w:val="0"/>
        <w:autoSpaceDN w:val="0"/>
        <w:adjustRightInd w:val="0"/>
        <w:spacing w:line="240" w:lineRule="auto"/>
        <w:ind w:left="1440" w:right="1440" w:firstLine="0"/>
        <w:rPr>
          <w:spacing w:val="0"/>
          <w:sz w:val="26"/>
          <w:szCs w:val="26"/>
        </w:rPr>
      </w:pPr>
      <w:r w:rsidRPr="00001309">
        <w:rPr>
          <w:spacing w:val="0"/>
          <w:sz w:val="26"/>
          <w:szCs w:val="26"/>
        </w:rPr>
        <w:t>To protect consumers of this Commonwealth, licensees shall adhere to the following principles in the provision of electric generation service:</w:t>
      </w:r>
    </w:p>
    <w:p w:rsidR="00BD4F45" w:rsidRPr="00001309" w:rsidRDefault="00BD4F45" w:rsidP="001E00D4">
      <w:pPr>
        <w:autoSpaceDE w:val="0"/>
        <w:autoSpaceDN w:val="0"/>
        <w:adjustRightInd w:val="0"/>
        <w:spacing w:line="240" w:lineRule="auto"/>
        <w:ind w:left="1440" w:right="1440" w:firstLine="0"/>
        <w:rPr>
          <w:spacing w:val="0"/>
          <w:sz w:val="26"/>
          <w:szCs w:val="26"/>
        </w:rPr>
      </w:pPr>
    </w:p>
    <w:p w:rsidR="00CB72AE" w:rsidRPr="00001309" w:rsidRDefault="00CB72AE" w:rsidP="001E00D4">
      <w:pPr>
        <w:autoSpaceDE w:val="0"/>
        <w:autoSpaceDN w:val="0"/>
        <w:adjustRightInd w:val="0"/>
        <w:spacing w:line="240" w:lineRule="auto"/>
        <w:ind w:left="1440" w:right="1440" w:firstLine="720"/>
        <w:rPr>
          <w:spacing w:val="0"/>
          <w:sz w:val="26"/>
          <w:szCs w:val="26"/>
        </w:rPr>
      </w:pPr>
      <w:r w:rsidRPr="00001309">
        <w:rPr>
          <w:spacing w:val="0"/>
          <w:sz w:val="26"/>
          <w:szCs w:val="26"/>
        </w:rPr>
        <w:t>(1) A licensee shall provide accurate information about their electric generation services using plain language and common terms in communications with consumers. When new terms are used, the terms shall be defined again using plain language. Information shall be provided in a format that enables customers to compare the various electric generation services offered and the prices charged for each type of service.</w:t>
      </w:r>
    </w:p>
    <w:p w:rsidR="001E00D4" w:rsidRPr="00001309" w:rsidRDefault="001E00D4" w:rsidP="00862230">
      <w:pPr>
        <w:autoSpaceDE w:val="0"/>
        <w:autoSpaceDN w:val="0"/>
        <w:adjustRightInd w:val="0"/>
        <w:spacing w:line="240" w:lineRule="auto"/>
        <w:ind w:left="1440" w:right="1440" w:firstLine="0"/>
        <w:rPr>
          <w:spacing w:val="0"/>
          <w:sz w:val="26"/>
          <w:szCs w:val="26"/>
        </w:rPr>
      </w:pPr>
    </w:p>
    <w:p w:rsidR="00CB72AE" w:rsidRPr="00001309" w:rsidRDefault="00CB72AE" w:rsidP="001E00D4">
      <w:pPr>
        <w:autoSpaceDE w:val="0"/>
        <w:autoSpaceDN w:val="0"/>
        <w:adjustRightInd w:val="0"/>
        <w:spacing w:line="240" w:lineRule="auto"/>
        <w:ind w:left="1440" w:right="1440" w:firstLine="0"/>
        <w:jc w:val="center"/>
        <w:rPr>
          <w:spacing w:val="0"/>
          <w:sz w:val="26"/>
          <w:szCs w:val="26"/>
        </w:rPr>
      </w:pPr>
      <w:r w:rsidRPr="00001309">
        <w:rPr>
          <w:spacing w:val="0"/>
          <w:sz w:val="26"/>
          <w:szCs w:val="26"/>
        </w:rPr>
        <w:t xml:space="preserve">* </w:t>
      </w:r>
      <w:r w:rsidR="001E00D4" w:rsidRPr="00001309">
        <w:rPr>
          <w:spacing w:val="0"/>
          <w:sz w:val="26"/>
          <w:szCs w:val="26"/>
        </w:rPr>
        <w:t xml:space="preserve">   </w:t>
      </w:r>
      <w:r w:rsidRPr="00001309">
        <w:rPr>
          <w:spacing w:val="0"/>
          <w:sz w:val="26"/>
          <w:szCs w:val="26"/>
        </w:rPr>
        <w:t xml:space="preserve"> * </w:t>
      </w:r>
      <w:r w:rsidR="001E00D4" w:rsidRPr="00001309">
        <w:rPr>
          <w:spacing w:val="0"/>
          <w:sz w:val="26"/>
          <w:szCs w:val="26"/>
        </w:rPr>
        <w:t xml:space="preserve">   </w:t>
      </w:r>
      <w:r w:rsidRPr="00001309">
        <w:rPr>
          <w:spacing w:val="0"/>
          <w:sz w:val="26"/>
          <w:szCs w:val="26"/>
        </w:rPr>
        <w:t xml:space="preserve"> *</w:t>
      </w:r>
    </w:p>
    <w:p w:rsidR="00CB72AE" w:rsidRPr="00001309" w:rsidRDefault="00CB72AE" w:rsidP="001E00D4">
      <w:pPr>
        <w:autoSpaceDE w:val="0"/>
        <w:autoSpaceDN w:val="0"/>
        <w:adjustRightInd w:val="0"/>
        <w:spacing w:line="240" w:lineRule="auto"/>
        <w:ind w:left="1440" w:right="1440" w:firstLine="0"/>
        <w:rPr>
          <w:spacing w:val="0"/>
          <w:sz w:val="26"/>
          <w:szCs w:val="26"/>
        </w:rPr>
      </w:pPr>
    </w:p>
    <w:p w:rsidR="000A2197" w:rsidRPr="00001309" w:rsidRDefault="00CB72AE" w:rsidP="001E00D4">
      <w:pPr>
        <w:autoSpaceDE w:val="0"/>
        <w:autoSpaceDN w:val="0"/>
        <w:adjustRightInd w:val="0"/>
        <w:spacing w:line="240" w:lineRule="auto"/>
        <w:ind w:left="2160" w:right="1440" w:firstLine="720"/>
        <w:rPr>
          <w:spacing w:val="0"/>
          <w:sz w:val="26"/>
          <w:szCs w:val="26"/>
        </w:rPr>
      </w:pPr>
      <w:r w:rsidRPr="00001309">
        <w:rPr>
          <w:spacing w:val="0"/>
          <w:sz w:val="26"/>
          <w:szCs w:val="26"/>
        </w:rPr>
        <w:t xml:space="preserve">(f) A licensee is responsible for any fraudulent deceptive or other unlawful marketing or billing acts performed by the licensee, its employees, agents or representatives. Licensee shall inform consumers of state consumer protection laws that govern the cancellation or rescission of electric generation supply </w:t>
      </w:r>
    </w:p>
    <w:p w:rsidR="00CB72AE" w:rsidRPr="00001309" w:rsidRDefault="00CB72AE" w:rsidP="000A2197">
      <w:pPr>
        <w:keepNext/>
        <w:keepLines/>
        <w:autoSpaceDE w:val="0"/>
        <w:autoSpaceDN w:val="0"/>
        <w:adjustRightInd w:val="0"/>
        <w:spacing w:line="240" w:lineRule="auto"/>
        <w:ind w:left="2160" w:right="1440" w:firstLine="0"/>
        <w:rPr>
          <w:spacing w:val="0"/>
          <w:sz w:val="26"/>
          <w:szCs w:val="26"/>
        </w:rPr>
      </w:pPr>
      <w:r w:rsidRPr="00001309">
        <w:rPr>
          <w:spacing w:val="0"/>
          <w:sz w:val="26"/>
          <w:szCs w:val="26"/>
        </w:rPr>
        <w:lastRenderedPageBreak/>
        <w:t>contracts. See section 7 of the Unfair Trade Practices and Consumer Protection Law (73 P. S. § 201-7).</w:t>
      </w:r>
    </w:p>
    <w:p w:rsidR="000A2197" w:rsidRPr="00001309" w:rsidRDefault="000A2197" w:rsidP="000A2197">
      <w:pPr>
        <w:keepNext/>
        <w:keepLines/>
        <w:autoSpaceDE w:val="0"/>
        <w:autoSpaceDN w:val="0"/>
        <w:adjustRightInd w:val="0"/>
        <w:spacing w:line="240" w:lineRule="auto"/>
        <w:ind w:left="2160" w:right="1440" w:firstLine="0"/>
        <w:rPr>
          <w:spacing w:val="0"/>
          <w:sz w:val="26"/>
          <w:szCs w:val="26"/>
        </w:rPr>
      </w:pPr>
    </w:p>
    <w:p w:rsidR="000A2197" w:rsidRPr="00001309" w:rsidRDefault="000A2197" w:rsidP="000A2197">
      <w:pPr>
        <w:keepNext/>
        <w:keepLines/>
        <w:autoSpaceDE w:val="0"/>
        <w:autoSpaceDN w:val="0"/>
        <w:adjustRightInd w:val="0"/>
        <w:spacing w:line="240" w:lineRule="auto"/>
        <w:ind w:left="2160" w:right="1440" w:firstLine="0"/>
        <w:rPr>
          <w:spacing w:val="0"/>
          <w:sz w:val="26"/>
          <w:szCs w:val="26"/>
        </w:rPr>
      </w:pPr>
    </w:p>
    <w:p w:rsidR="00055AA3" w:rsidRPr="00001309" w:rsidRDefault="00CB72AE" w:rsidP="00554187">
      <w:pPr>
        <w:keepNext/>
        <w:keepLines/>
        <w:autoSpaceDE w:val="0"/>
        <w:autoSpaceDN w:val="0"/>
        <w:adjustRightInd w:val="0"/>
        <w:ind w:firstLine="0"/>
        <w:rPr>
          <w:sz w:val="26"/>
          <w:szCs w:val="26"/>
        </w:rPr>
      </w:pPr>
      <w:r w:rsidRPr="00001309">
        <w:rPr>
          <w:spacing w:val="0"/>
          <w:sz w:val="26"/>
          <w:szCs w:val="26"/>
        </w:rPr>
        <w:t>52 Pa. Code §§54.43(1) and (f)</w:t>
      </w:r>
      <w:r w:rsidR="001E00D4" w:rsidRPr="00001309">
        <w:rPr>
          <w:spacing w:val="0"/>
          <w:sz w:val="26"/>
          <w:szCs w:val="26"/>
        </w:rPr>
        <w:t>;</w:t>
      </w:r>
      <w:r w:rsidRPr="00001309">
        <w:rPr>
          <w:spacing w:val="0"/>
          <w:sz w:val="26"/>
          <w:szCs w:val="26"/>
        </w:rPr>
        <w:t xml:space="preserve"> and </w:t>
      </w:r>
      <w:r w:rsidR="00055AA3" w:rsidRPr="00001309">
        <w:rPr>
          <w:sz w:val="26"/>
          <w:szCs w:val="26"/>
        </w:rPr>
        <w:t>111.12(d)(1)</w:t>
      </w:r>
      <w:r w:rsidRPr="00001309">
        <w:rPr>
          <w:sz w:val="26"/>
          <w:szCs w:val="26"/>
        </w:rPr>
        <w:t>:</w:t>
      </w:r>
    </w:p>
    <w:p w:rsidR="00554187" w:rsidRPr="00001309" w:rsidRDefault="00554187" w:rsidP="00CB72AE">
      <w:pPr>
        <w:autoSpaceDE w:val="0"/>
        <w:autoSpaceDN w:val="0"/>
        <w:ind w:firstLine="0"/>
        <w:rPr>
          <w:sz w:val="26"/>
          <w:szCs w:val="26"/>
        </w:rPr>
      </w:pPr>
    </w:p>
    <w:p w:rsidR="00002157" w:rsidRPr="00001309" w:rsidRDefault="00002157" w:rsidP="001E00D4">
      <w:pPr>
        <w:autoSpaceDE w:val="0"/>
        <w:autoSpaceDN w:val="0"/>
        <w:adjustRightInd w:val="0"/>
        <w:spacing w:line="240" w:lineRule="auto"/>
        <w:ind w:left="1440" w:right="1440" w:firstLine="0"/>
        <w:rPr>
          <w:spacing w:val="0"/>
          <w:sz w:val="26"/>
          <w:szCs w:val="26"/>
        </w:rPr>
      </w:pPr>
      <w:r w:rsidRPr="00001309">
        <w:rPr>
          <w:b/>
          <w:bCs/>
          <w:spacing w:val="0"/>
          <w:sz w:val="26"/>
          <w:szCs w:val="26"/>
        </w:rPr>
        <w:t>§ 111.12. Consumer protection</w:t>
      </w:r>
      <w:r w:rsidRPr="00001309">
        <w:rPr>
          <w:spacing w:val="0"/>
          <w:sz w:val="26"/>
          <w:szCs w:val="26"/>
        </w:rPr>
        <w:t>.</w:t>
      </w:r>
    </w:p>
    <w:p w:rsidR="00002157" w:rsidRPr="00001309" w:rsidRDefault="00002157" w:rsidP="001E00D4">
      <w:pPr>
        <w:autoSpaceDE w:val="0"/>
        <w:autoSpaceDN w:val="0"/>
        <w:adjustRightInd w:val="0"/>
        <w:spacing w:line="240" w:lineRule="auto"/>
        <w:ind w:left="1440" w:right="1440" w:firstLine="0"/>
        <w:rPr>
          <w:spacing w:val="0"/>
          <w:sz w:val="26"/>
          <w:szCs w:val="26"/>
        </w:rPr>
      </w:pPr>
    </w:p>
    <w:p w:rsidR="00002157" w:rsidRPr="00001309" w:rsidRDefault="00002157" w:rsidP="001E00D4">
      <w:pPr>
        <w:autoSpaceDE w:val="0"/>
        <w:autoSpaceDN w:val="0"/>
        <w:adjustRightInd w:val="0"/>
        <w:spacing w:line="240" w:lineRule="auto"/>
        <w:ind w:left="1440" w:right="1440" w:firstLine="0"/>
        <w:rPr>
          <w:spacing w:val="0"/>
          <w:sz w:val="26"/>
          <w:szCs w:val="26"/>
        </w:rPr>
      </w:pPr>
      <w:r w:rsidRPr="00001309">
        <w:rPr>
          <w:spacing w:val="0"/>
          <w:sz w:val="26"/>
          <w:szCs w:val="26"/>
        </w:rPr>
        <w:t>(d) A supplier:</w:t>
      </w:r>
    </w:p>
    <w:p w:rsidR="00002157" w:rsidRPr="00001309" w:rsidRDefault="00002157" w:rsidP="001E00D4">
      <w:pPr>
        <w:autoSpaceDE w:val="0"/>
        <w:autoSpaceDN w:val="0"/>
        <w:adjustRightInd w:val="0"/>
        <w:spacing w:line="240" w:lineRule="auto"/>
        <w:ind w:left="1440" w:right="1440" w:firstLine="0"/>
        <w:rPr>
          <w:spacing w:val="0"/>
          <w:sz w:val="26"/>
          <w:szCs w:val="26"/>
        </w:rPr>
      </w:pPr>
    </w:p>
    <w:p w:rsidR="00002157" w:rsidRPr="00001309" w:rsidRDefault="00002157" w:rsidP="001E00D4">
      <w:pPr>
        <w:autoSpaceDE w:val="0"/>
        <w:autoSpaceDN w:val="0"/>
        <w:adjustRightInd w:val="0"/>
        <w:spacing w:line="240" w:lineRule="auto"/>
        <w:ind w:left="1440" w:right="1440" w:firstLine="0"/>
        <w:rPr>
          <w:spacing w:val="0"/>
          <w:sz w:val="26"/>
          <w:szCs w:val="26"/>
        </w:rPr>
      </w:pPr>
      <w:r w:rsidRPr="00001309">
        <w:rPr>
          <w:spacing w:val="0"/>
          <w:sz w:val="26"/>
          <w:szCs w:val="26"/>
        </w:rPr>
        <w:t xml:space="preserve">(1) May not engage in misleading or deceptive conduct as defined by State or Federal law, or by Commission rule, regulation or order. </w:t>
      </w:r>
    </w:p>
    <w:p w:rsidR="00002157" w:rsidRPr="00001309" w:rsidRDefault="00002157" w:rsidP="001E00D4">
      <w:pPr>
        <w:autoSpaceDE w:val="0"/>
        <w:autoSpaceDN w:val="0"/>
        <w:adjustRightInd w:val="0"/>
        <w:spacing w:line="240" w:lineRule="auto"/>
        <w:ind w:left="1440" w:right="1440" w:firstLine="0"/>
        <w:rPr>
          <w:spacing w:val="0"/>
          <w:sz w:val="26"/>
          <w:szCs w:val="26"/>
        </w:rPr>
      </w:pPr>
    </w:p>
    <w:p w:rsidR="00002157" w:rsidRPr="00001309" w:rsidRDefault="00002157" w:rsidP="001E00D4">
      <w:pPr>
        <w:autoSpaceDE w:val="0"/>
        <w:autoSpaceDN w:val="0"/>
        <w:adjustRightInd w:val="0"/>
        <w:spacing w:line="240" w:lineRule="auto"/>
        <w:ind w:left="1440" w:right="1440" w:firstLine="0"/>
        <w:rPr>
          <w:spacing w:val="0"/>
          <w:sz w:val="26"/>
          <w:szCs w:val="26"/>
        </w:rPr>
      </w:pPr>
      <w:r w:rsidRPr="00001309">
        <w:rPr>
          <w:spacing w:val="0"/>
          <w:sz w:val="26"/>
          <w:szCs w:val="26"/>
        </w:rPr>
        <w:t xml:space="preserve">(2) May not make false or misleading representations including misrepresenting rates or savings offered by the supplier. </w:t>
      </w:r>
    </w:p>
    <w:p w:rsidR="00002157" w:rsidRPr="00001309" w:rsidRDefault="00002157" w:rsidP="001E00D4">
      <w:pPr>
        <w:autoSpaceDE w:val="0"/>
        <w:autoSpaceDN w:val="0"/>
        <w:adjustRightInd w:val="0"/>
        <w:spacing w:line="240" w:lineRule="auto"/>
        <w:ind w:left="1440" w:right="1440" w:firstLine="0"/>
        <w:rPr>
          <w:spacing w:val="0"/>
          <w:sz w:val="26"/>
          <w:szCs w:val="26"/>
        </w:rPr>
      </w:pPr>
    </w:p>
    <w:p w:rsidR="00002157" w:rsidRPr="00001309" w:rsidRDefault="00002157" w:rsidP="001E00D4">
      <w:pPr>
        <w:autoSpaceDE w:val="0"/>
        <w:autoSpaceDN w:val="0"/>
        <w:adjustRightInd w:val="0"/>
        <w:spacing w:line="240" w:lineRule="auto"/>
        <w:ind w:left="1440" w:right="1440" w:firstLine="0"/>
        <w:rPr>
          <w:spacing w:val="0"/>
          <w:sz w:val="26"/>
          <w:szCs w:val="26"/>
        </w:rPr>
      </w:pPr>
      <w:r w:rsidRPr="00001309">
        <w:rPr>
          <w:spacing w:val="0"/>
          <w:sz w:val="26"/>
          <w:szCs w:val="26"/>
        </w:rPr>
        <w:t xml:space="preserve">(3) Shall provide the customer with written information about the products and services being offered, or with instructions for where the information can be obtained. </w:t>
      </w:r>
    </w:p>
    <w:p w:rsidR="00002157" w:rsidRPr="00001309" w:rsidRDefault="00002157" w:rsidP="001E00D4">
      <w:pPr>
        <w:autoSpaceDE w:val="0"/>
        <w:autoSpaceDN w:val="0"/>
        <w:adjustRightInd w:val="0"/>
        <w:spacing w:line="240" w:lineRule="auto"/>
        <w:ind w:left="1440" w:right="1440" w:firstLine="0"/>
        <w:rPr>
          <w:spacing w:val="0"/>
          <w:sz w:val="26"/>
          <w:szCs w:val="26"/>
        </w:rPr>
      </w:pPr>
    </w:p>
    <w:p w:rsidR="00002157" w:rsidRPr="00001309" w:rsidRDefault="00002157" w:rsidP="001E00D4">
      <w:pPr>
        <w:autoSpaceDE w:val="0"/>
        <w:autoSpaceDN w:val="0"/>
        <w:adjustRightInd w:val="0"/>
        <w:spacing w:line="240" w:lineRule="auto"/>
        <w:ind w:left="1440" w:right="1440" w:firstLine="0"/>
        <w:rPr>
          <w:spacing w:val="0"/>
          <w:sz w:val="26"/>
          <w:szCs w:val="26"/>
        </w:rPr>
      </w:pPr>
      <w:r w:rsidRPr="00001309">
        <w:rPr>
          <w:spacing w:val="0"/>
          <w:sz w:val="26"/>
          <w:szCs w:val="26"/>
        </w:rPr>
        <w:t xml:space="preserve">(4) Shall provide accurate and timely information about services and products being offered. Information includes rates being offered, contract terms, early termination fees and right of cancellation and rescission. </w:t>
      </w:r>
    </w:p>
    <w:p w:rsidR="00002157" w:rsidRPr="00001309" w:rsidRDefault="00002157" w:rsidP="001E00D4">
      <w:pPr>
        <w:autoSpaceDE w:val="0"/>
        <w:autoSpaceDN w:val="0"/>
        <w:adjustRightInd w:val="0"/>
        <w:spacing w:line="240" w:lineRule="auto"/>
        <w:ind w:left="1440" w:right="1440" w:firstLine="0"/>
        <w:rPr>
          <w:spacing w:val="0"/>
          <w:sz w:val="26"/>
          <w:szCs w:val="26"/>
        </w:rPr>
      </w:pPr>
    </w:p>
    <w:p w:rsidR="00BD4F45" w:rsidRPr="00001309" w:rsidRDefault="00002157" w:rsidP="001E00D4">
      <w:pPr>
        <w:autoSpaceDE w:val="0"/>
        <w:autoSpaceDN w:val="0"/>
        <w:adjustRightInd w:val="0"/>
        <w:spacing w:line="240" w:lineRule="auto"/>
        <w:ind w:left="1440" w:right="1440" w:firstLine="0"/>
        <w:rPr>
          <w:spacing w:val="0"/>
          <w:sz w:val="26"/>
          <w:szCs w:val="26"/>
        </w:rPr>
      </w:pPr>
      <w:r w:rsidRPr="00001309">
        <w:rPr>
          <w:spacing w:val="0"/>
          <w:sz w:val="26"/>
          <w:szCs w:val="26"/>
        </w:rPr>
        <w:t xml:space="preserve">(5) Shall ensure that product or service offerings made by a supplier contain information, verbally or written, in plain language designed to be understood by the customer. This includes providing written information to the customer in a language which the supplier’s representative has had </w:t>
      </w:r>
    </w:p>
    <w:p w:rsidR="00002157" w:rsidRPr="00001309" w:rsidRDefault="00002157" w:rsidP="00BD4F45">
      <w:pPr>
        <w:keepNext/>
        <w:keepLines/>
        <w:autoSpaceDE w:val="0"/>
        <w:autoSpaceDN w:val="0"/>
        <w:adjustRightInd w:val="0"/>
        <w:spacing w:line="240" w:lineRule="auto"/>
        <w:ind w:left="1440" w:right="1440" w:firstLine="0"/>
        <w:rPr>
          <w:spacing w:val="0"/>
          <w:sz w:val="26"/>
          <w:szCs w:val="26"/>
        </w:rPr>
      </w:pPr>
      <w:r w:rsidRPr="00001309">
        <w:rPr>
          <w:spacing w:val="0"/>
          <w:sz w:val="26"/>
          <w:szCs w:val="26"/>
        </w:rPr>
        <w:t>substantive discussions with the customer or in which a contract is negotiated.</w:t>
      </w:r>
    </w:p>
    <w:p w:rsidR="00554187" w:rsidRPr="00001309" w:rsidRDefault="00554187" w:rsidP="00BD4F45">
      <w:pPr>
        <w:keepNext/>
        <w:keepLines/>
        <w:autoSpaceDE w:val="0"/>
        <w:autoSpaceDN w:val="0"/>
        <w:adjustRightInd w:val="0"/>
        <w:spacing w:line="240" w:lineRule="auto"/>
        <w:ind w:left="1440" w:right="1440" w:firstLine="0"/>
        <w:rPr>
          <w:spacing w:val="0"/>
          <w:sz w:val="26"/>
          <w:szCs w:val="26"/>
        </w:rPr>
      </w:pPr>
    </w:p>
    <w:p w:rsidR="00554187" w:rsidRPr="00001309" w:rsidRDefault="00554187" w:rsidP="00BD4F45">
      <w:pPr>
        <w:keepNext/>
        <w:keepLines/>
        <w:autoSpaceDE w:val="0"/>
        <w:autoSpaceDN w:val="0"/>
        <w:adjustRightInd w:val="0"/>
        <w:spacing w:line="240" w:lineRule="auto"/>
        <w:ind w:left="1440" w:right="1440" w:firstLine="0"/>
        <w:rPr>
          <w:spacing w:val="0"/>
          <w:sz w:val="26"/>
          <w:szCs w:val="26"/>
        </w:rPr>
      </w:pPr>
    </w:p>
    <w:p w:rsidR="00055AA3" w:rsidRPr="00001309" w:rsidRDefault="00002157" w:rsidP="004177D4">
      <w:pPr>
        <w:ind w:firstLine="0"/>
        <w:rPr>
          <w:spacing w:val="0"/>
          <w:sz w:val="26"/>
          <w:szCs w:val="26"/>
        </w:rPr>
      </w:pPr>
      <w:r w:rsidRPr="00001309">
        <w:rPr>
          <w:spacing w:val="0"/>
          <w:sz w:val="26"/>
          <w:szCs w:val="26"/>
        </w:rPr>
        <w:t xml:space="preserve">52 Pa. Code </w:t>
      </w:r>
      <w:r w:rsidR="00480CAE" w:rsidRPr="00001309">
        <w:rPr>
          <w:spacing w:val="0"/>
          <w:sz w:val="26"/>
          <w:szCs w:val="26"/>
        </w:rPr>
        <w:t xml:space="preserve">§ </w:t>
      </w:r>
      <w:r w:rsidRPr="00001309">
        <w:rPr>
          <w:spacing w:val="0"/>
          <w:sz w:val="26"/>
          <w:szCs w:val="26"/>
        </w:rPr>
        <w:t>111.12(1) – (5).</w:t>
      </w:r>
    </w:p>
    <w:p w:rsidR="001E00D4" w:rsidRPr="00001309" w:rsidRDefault="001E00D4" w:rsidP="000A7C06">
      <w:pPr>
        <w:autoSpaceDE w:val="0"/>
        <w:autoSpaceDN w:val="0"/>
        <w:rPr>
          <w:sz w:val="26"/>
          <w:szCs w:val="26"/>
        </w:rPr>
      </w:pPr>
    </w:p>
    <w:p w:rsidR="000A7C06" w:rsidRPr="00001309" w:rsidRDefault="00002157" w:rsidP="000A7C06">
      <w:pPr>
        <w:autoSpaceDE w:val="0"/>
        <w:autoSpaceDN w:val="0"/>
        <w:rPr>
          <w:sz w:val="26"/>
          <w:szCs w:val="26"/>
        </w:rPr>
      </w:pPr>
      <w:r w:rsidRPr="00001309">
        <w:rPr>
          <w:sz w:val="26"/>
          <w:szCs w:val="26"/>
        </w:rPr>
        <w:t xml:space="preserve">After </w:t>
      </w:r>
      <w:r w:rsidR="000A7C06" w:rsidRPr="00001309">
        <w:rPr>
          <w:sz w:val="26"/>
          <w:szCs w:val="26"/>
        </w:rPr>
        <w:t xml:space="preserve">a </w:t>
      </w:r>
      <w:r w:rsidRPr="00001309">
        <w:rPr>
          <w:sz w:val="26"/>
          <w:szCs w:val="26"/>
        </w:rPr>
        <w:t xml:space="preserve">thorough and </w:t>
      </w:r>
      <w:r w:rsidR="000A7C06" w:rsidRPr="00001309">
        <w:rPr>
          <w:sz w:val="26"/>
          <w:szCs w:val="26"/>
        </w:rPr>
        <w:t>expansive review of the evidence, the ALJs concluded, in pertinent part, as follows:</w:t>
      </w:r>
    </w:p>
    <w:p w:rsidR="00055AA3" w:rsidRPr="00001309" w:rsidRDefault="00055AA3" w:rsidP="000A7C06">
      <w:pPr>
        <w:autoSpaceDE w:val="0"/>
        <w:autoSpaceDN w:val="0"/>
        <w:rPr>
          <w:sz w:val="26"/>
          <w:szCs w:val="26"/>
        </w:rPr>
      </w:pPr>
    </w:p>
    <w:p w:rsidR="00554187" w:rsidRPr="00001309" w:rsidRDefault="00055AA3" w:rsidP="00055AA3">
      <w:pPr>
        <w:autoSpaceDE w:val="0"/>
        <w:autoSpaceDN w:val="0"/>
        <w:adjustRightInd w:val="0"/>
        <w:spacing w:line="240" w:lineRule="auto"/>
        <w:ind w:left="1440" w:right="1440" w:firstLine="720"/>
        <w:rPr>
          <w:spacing w:val="0"/>
          <w:sz w:val="26"/>
          <w:szCs w:val="26"/>
        </w:rPr>
      </w:pPr>
      <w:r w:rsidRPr="00001309">
        <w:rPr>
          <w:spacing w:val="0"/>
          <w:sz w:val="26"/>
          <w:szCs w:val="26"/>
        </w:rPr>
        <w:t xml:space="preserve">Joint Complainants have shown that the Company’s disclosure statement </w:t>
      </w:r>
      <w:proofErr w:type="gramStart"/>
      <w:r w:rsidRPr="00001309">
        <w:rPr>
          <w:spacing w:val="0"/>
          <w:sz w:val="26"/>
          <w:szCs w:val="26"/>
        </w:rPr>
        <w:t>with regard to</w:t>
      </w:r>
      <w:proofErr w:type="gramEnd"/>
      <w:r w:rsidRPr="00001309">
        <w:rPr>
          <w:spacing w:val="0"/>
          <w:sz w:val="26"/>
          <w:szCs w:val="26"/>
        </w:rPr>
        <w:t xml:space="preserve"> the pricing provisions does not provide accurate information in that consumers could not determine the price that they would or could be charged by the Company or how the price would be calculated.  As such, the Company is in violation of the Commission’s regulations at Sections 54.5(c) (requiring that variable pricing terms include the conditions of variability and the limits on price variability), 54.43(1) (requiring that suppliers “provide accurate information about their electric generation services using plain language and common terms in communications with consumers” and “in a format that enables customers to compare the various electric generation services offered and the prices charged for each type of service”), 111.12(d)(5) (requiring that suppliers “ensure that product or service offerings made by a supplier contain information, verbally and written, in plain language designed to be understood by the customer”), and Sections 54.43(f) and </w:t>
      </w:r>
    </w:p>
    <w:p w:rsidR="00055AA3" w:rsidRPr="00001309" w:rsidRDefault="00055AA3" w:rsidP="00554187">
      <w:pPr>
        <w:keepNext/>
        <w:keepLines/>
        <w:autoSpaceDE w:val="0"/>
        <w:autoSpaceDN w:val="0"/>
        <w:adjustRightInd w:val="0"/>
        <w:spacing w:line="240" w:lineRule="auto"/>
        <w:ind w:left="1440" w:right="1440" w:firstLine="0"/>
        <w:rPr>
          <w:spacing w:val="0"/>
          <w:sz w:val="26"/>
          <w:szCs w:val="26"/>
        </w:rPr>
      </w:pPr>
      <w:r w:rsidRPr="00001309">
        <w:rPr>
          <w:spacing w:val="0"/>
          <w:sz w:val="26"/>
          <w:szCs w:val="26"/>
        </w:rPr>
        <w:t xml:space="preserve">111.12(d)(1) (requiring compliance with consumer protection laws), 52 Pa.Code §§ 54.5(c), 54.43(1), 54.43(f), 111.12(d)(5) and 111.12(d)(1). </w:t>
      </w:r>
    </w:p>
    <w:p w:rsidR="00554187" w:rsidRPr="00001309" w:rsidRDefault="00554187" w:rsidP="00554187">
      <w:pPr>
        <w:keepNext/>
        <w:keepLines/>
        <w:autoSpaceDE w:val="0"/>
        <w:autoSpaceDN w:val="0"/>
        <w:adjustRightInd w:val="0"/>
        <w:spacing w:line="240" w:lineRule="auto"/>
        <w:ind w:left="1440" w:right="1440" w:firstLine="720"/>
        <w:rPr>
          <w:spacing w:val="0"/>
          <w:sz w:val="26"/>
          <w:szCs w:val="26"/>
        </w:rPr>
      </w:pPr>
    </w:p>
    <w:p w:rsidR="00554187" w:rsidRPr="00001309" w:rsidRDefault="00554187" w:rsidP="00554187">
      <w:pPr>
        <w:keepNext/>
        <w:keepLines/>
        <w:autoSpaceDE w:val="0"/>
        <w:autoSpaceDN w:val="0"/>
        <w:adjustRightInd w:val="0"/>
        <w:spacing w:line="240" w:lineRule="auto"/>
        <w:ind w:left="1440" w:right="1440" w:firstLine="720"/>
        <w:rPr>
          <w:spacing w:val="0"/>
          <w:sz w:val="26"/>
          <w:szCs w:val="26"/>
        </w:rPr>
      </w:pPr>
    </w:p>
    <w:p w:rsidR="00055AA3" w:rsidRPr="00001309" w:rsidRDefault="00055AA3" w:rsidP="00055AA3">
      <w:pPr>
        <w:autoSpaceDE w:val="0"/>
        <w:autoSpaceDN w:val="0"/>
        <w:spacing w:line="240" w:lineRule="auto"/>
        <w:ind w:firstLine="0"/>
        <w:rPr>
          <w:sz w:val="26"/>
          <w:szCs w:val="26"/>
        </w:rPr>
      </w:pPr>
      <w:r w:rsidRPr="00001309">
        <w:rPr>
          <w:sz w:val="26"/>
          <w:szCs w:val="26"/>
        </w:rPr>
        <w:t>I.D. at 66.</w:t>
      </w:r>
    </w:p>
    <w:p w:rsidR="008351A5" w:rsidRPr="00001309" w:rsidRDefault="008351A5" w:rsidP="00715E17">
      <w:pPr>
        <w:autoSpaceDE w:val="0"/>
        <w:autoSpaceDN w:val="0"/>
        <w:ind w:firstLine="0"/>
        <w:rPr>
          <w:b/>
          <w:sz w:val="26"/>
          <w:szCs w:val="26"/>
        </w:rPr>
      </w:pPr>
    </w:p>
    <w:p w:rsidR="008351A5" w:rsidRPr="00001309" w:rsidRDefault="005E6667" w:rsidP="0080399E">
      <w:pPr>
        <w:keepNext/>
        <w:keepLines/>
        <w:autoSpaceDE w:val="0"/>
        <w:autoSpaceDN w:val="0"/>
        <w:spacing w:line="240" w:lineRule="auto"/>
        <w:ind w:left="1440" w:firstLine="0"/>
        <w:rPr>
          <w:b/>
          <w:sz w:val="26"/>
          <w:szCs w:val="26"/>
        </w:rPr>
      </w:pPr>
      <w:r w:rsidRPr="00001309">
        <w:rPr>
          <w:b/>
          <w:sz w:val="26"/>
          <w:szCs w:val="26"/>
        </w:rPr>
        <w:t>d.</w:t>
      </w:r>
      <w:r w:rsidR="00E304E5" w:rsidRPr="00001309">
        <w:rPr>
          <w:b/>
          <w:sz w:val="26"/>
          <w:szCs w:val="26"/>
        </w:rPr>
        <w:tab/>
      </w:r>
      <w:r w:rsidR="008351A5" w:rsidRPr="00001309">
        <w:rPr>
          <w:b/>
          <w:sz w:val="26"/>
          <w:szCs w:val="26"/>
        </w:rPr>
        <w:t>Exceptions of Blue Pilot</w:t>
      </w:r>
      <w:r w:rsidR="000A7C06" w:rsidRPr="00001309">
        <w:rPr>
          <w:b/>
          <w:sz w:val="26"/>
          <w:szCs w:val="26"/>
        </w:rPr>
        <w:t xml:space="preserve"> and Replies </w:t>
      </w:r>
      <w:r w:rsidR="00E304E5" w:rsidRPr="00001309">
        <w:rPr>
          <w:b/>
          <w:sz w:val="26"/>
          <w:szCs w:val="26"/>
        </w:rPr>
        <w:t xml:space="preserve">of </w:t>
      </w:r>
      <w:r w:rsidR="00F429DB">
        <w:rPr>
          <w:b/>
          <w:sz w:val="26"/>
          <w:szCs w:val="26"/>
        </w:rPr>
        <w:t xml:space="preserve">the </w:t>
      </w:r>
      <w:r w:rsidR="00E304E5" w:rsidRPr="00001309">
        <w:rPr>
          <w:b/>
          <w:sz w:val="26"/>
          <w:szCs w:val="26"/>
        </w:rPr>
        <w:t>Jo</w:t>
      </w:r>
      <w:r w:rsidR="000A7C06" w:rsidRPr="00001309">
        <w:rPr>
          <w:b/>
          <w:sz w:val="26"/>
          <w:szCs w:val="26"/>
        </w:rPr>
        <w:t>int Complainants</w:t>
      </w:r>
    </w:p>
    <w:p w:rsidR="008351A5" w:rsidRPr="00001309" w:rsidRDefault="008351A5" w:rsidP="00554187">
      <w:pPr>
        <w:keepNext/>
        <w:keepLines/>
        <w:autoSpaceDE w:val="0"/>
        <w:autoSpaceDN w:val="0"/>
        <w:ind w:firstLine="0"/>
        <w:rPr>
          <w:b/>
          <w:sz w:val="26"/>
          <w:szCs w:val="26"/>
        </w:rPr>
      </w:pPr>
    </w:p>
    <w:p w:rsidR="00CA00E7" w:rsidRPr="00001309" w:rsidRDefault="008351A5" w:rsidP="00611B2B">
      <w:pPr>
        <w:kinsoku w:val="0"/>
        <w:overflowPunct w:val="0"/>
        <w:textAlignment w:val="baseline"/>
        <w:rPr>
          <w:sz w:val="26"/>
          <w:szCs w:val="26"/>
        </w:rPr>
      </w:pPr>
      <w:r w:rsidRPr="00001309">
        <w:rPr>
          <w:sz w:val="26"/>
          <w:szCs w:val="26"/>
        </w:rPr>
        <w:t xml:space="preserve">Blue Pilot objects to the recommendations in the </w:t>
      </w:r>
      <w:r w:rsidR="00155D25" w:rsidRPr="00001309">
        <w:rPr>
          <w:sz w:val="26"/>
          <w:szCs w:val="26"/>
        </w:rPr>
        <w:t>Initial Decision</w:t>
      </w:r>
      <w:r w:rsidR="001A04CA">
        <w:rPr>
          <w:sz w:val="26"/>
          <w:szCs w:val="26"/>
        </w:rPr>
        <w:t>.</w:t>
      </w:r>
      <w:r w:rsidR="002005D8" w:rsidRPr="00001309">
        <w:rPr>
          <w:sz w:val="26"/>
          <w:szCs w:val="26"/>
        </w:rPr>
        <w:t xml:space="preserve"> </w:t>
      </w:r>
      <w:r w:rsidRPr="00001309">
        <w:rPr>
          <w:sz w:val="26"/>
          <w:szCs w:val="26"/>
        </w:rPr>
        <w:t xml:space="preserve"> </w:t>
      </w:r>
      <w:r w:rsidR="00CA00E7" w:rsidRPr="00001309">
        <w:rPr>
          <w:i/>
          <w:sz w:val="26"/>
          <w:szCs w:val="26"/>
        </w:rPr>
        <w:t>S</w:t>
      </w:r>
      <w:r w:rsidRPr="00001309">
        <w:rPr>
          <w:i/>
          <w:sz w:val="26"/>
          <w:szCs w:val="26"/>
        </w:rPr>
        <w:t xml:space="preserve">ee </w:t>
      </w:r>
      <w:r w:rsidRPr="00001309">
        <w:rPr>
          <w:sz w:val="26"/>
          <w:szCs w:val="26"/>
        </w:rPr>
        <w:t>Exc. at 6-12.</w:t>
      </w:r>
      <w:r w:rsidR="00CA00E7" w:rsidRPr="00001309">
        <w:rPr>
          <w:sz w:val="26"/>
          <w:szCs w:val="26"/>
        </w:rPr>
        <w:t xml:space="preserve">  </w:t>
      </w:r>
      <w:r w:rsidR="00A6700E" w:rsidRPr="00D66BD7">
        <w:rPr>
          <w:sz w:val="26"/>
          <w:szCs w:val="26"/>
        </w:rPr>
        <w:t>According to Blue Pilot</w:t>
      </w:r>
      <w:r w:rsidR="00A6700E">
        <w:rPr>
          <w:sz w:val="26"/>
          <w:szCs w:val="26"/>
        </w:rPr>
        <w:t>’</w:t>
      </w:r>
      <w:r w:rsidR="00A6700E" w:rsidRPr="00D66BD7">
        <w:rPr>
          <w:sz w:val="26"/>
          <w:szCs w:val="26"/>
        </w:rPr>
        <w:t xml:space="preserve">s Exceptions, the </w:t>
      </w:r>
      <w:r w:rsidR="00A6700E">
        <w:rPr>
          <w:sz w:val="26"/>
          <w:szCs w:val="26"/>
        </w:rPr>
        <w:t>Initial Decision</w:t>
      </w:r>
      <w:r w:rsidR="00A6700E" w:rsidRPr="00D66BD7">
        <w:rPr>
          <w:sz w:val="26"/>
          <w:szCs w:val="26"/>
        </w:rPr>
        <w:t xml:space="preserve"> errs in concluding that </w:t>
      </w:r>
      <w:r w:rsidR="00D6298A" w:rsidRPr="007420C2">
        <w:rPr>
          <w:sz w:val="26"/>
          <w:szCs w:val="26"/>
        </w:rPr>
        <w:t xml:space="preserve">Blue Pilot </w:t>
      </w:r>
      <w:r w:rsidR="00A6700E" w:rsidRPr="00D66BD7">
        <w:rPr>
          <w:sz w:val="26"/>
          <w:szCs w:val="26"/>
        </w:rPr>
        <w:t>failed to provide accurate pricing information in its disclosure statement.</w:t>
      </w:r>
      <w:r w:rsidR="00A6700E">
        <w:rPr>
          <w:sz w:val="26"/>
          <w:szCs w:val="26"/>
        </w:rPr>
        <w:t xml:space="preserve"> </w:t>
      </w:r>
      <w:r w:rsidR="00A6700E" w:rsidRPr="00D66BD7">
        <w:rPr>
          <w:sz w:val="26"/>
          <w:szCs w:val="26"/>
        </w:rPr>
        <w:t xml:space="preserve"> </w:t>
      </w:r>
      <w:r w:rsidR="00CA00E7" w:rsidRPr="00001309">
        <w:rPr>
          <w:sz w:val="26"/>
          <w:szCs w:val="26"/>
        </w:rPr>
        <w:t>Blue Pilot takes the position that its disclosure statements were fully compliant with all Commission Regulations under which EGS’ were obligated to provide the conditions of variability.</w:t>
      </w:r>
      <w:r w:rsidR="002A3382" w:rsidRPr="00001309">
        <w:rPr>
          <w:sz w:val="26"/>
          <w:szCs w:val="26"/>
        </w:rPr>
        <w:t xml:space="preserve">  Blue Pilot initially reiterates its position that the language was given imprimatur by Commission Staff.</w:t>
      </w:r>
      <w:r w:rsidR="00611B2B">
        <w:rPr>
          <w:sz w:val="26"/>
          <w:szCs w:val="26"/>
        </w:rPr>
        <w:t xml:space="preserve">  </w:t>
      </w:r>
      <w:r w:rsidR="00CA00E7" w:rsidRPr="00001309">
        <w:rPr>
          <w:sz w:val="26"/>
          <w:szCs w:val="26"/>
        </w:rPr>
        <w:t>Blue Pilot</w:t>
      </w:r>
      <w:r w:rsidR="002A3382" w:rsidRPr="00001309">
        <w:rPr>
          <w:sz w:val="26"/>
          <w:szCs w:val="26"/>
        </w:rPr>
        <w:t xml:space="preserve"> further</w:t>
      </w:r>
      <w:r w:rsidR="00CA00E7" w:rsidRPr="00001309">
        <w:rPr>
          <w:sz w:val="26"/>
          <w:szCs w:val="26"/>
        </w:rPr>
        <w:t xml:space="preserve"> asserts that it</w:t>
      </w:r>
      <w:r w:rsidR="002A3382" w:rsidRPr="00001309">
        <w:rPr>
          <w:sz w:val="26"/>
          <w:szCs w:val="26"/>
        </w:rPr>
        <w:t>s</w:t>
      </w:r>
      <w:r w:rsidR="00CA00E7" w:rsidRPr="00001309">
        <w:rPr>
          <w:sz w:val="26"/>
          <w:szCs w:val="26"/>
        </w:rPr>
        <w:t xml:space="preserve"> </w:t>
      </w:r>
      <w:r w:rsidR="002A3382" w:rsidRPr="00001309">
        <w:rPr>
          <w:sz w:val="26"/>
          <w:szCs w:val="26"/>
        </w:rPr>
        <w:t xml:space="preserve">language and disclosures </w:t>
      </w:r>
      <w:r w:rsidR="00CA00E7" w:rsidRPr="00001309">
        <w:rPr>
          <w:sz w:val="26"/>
          <w:szCs w:val="26"/>
        </w:rPr>
        <w:t>satisfied the</w:t>
      </w:r>
      <w:r w:rsidR="002A3382" w:rsidRPr="00001309">
        <w:rPr>
          <w:sz w:val="26"/>
          <w:szCs w:val="26"/>
        </w:rPr>
        <w:t xml:space="preserve"> Commission Regulation</w:t>
      </w:r>
      <w:r w:rsidR="00CA00E7" w:rsidRPr="00001309">
        <w:rPr>
          <w:sz w:val="26"/>
          <w:szCs w:val="26"/>
        </w:rPr>
        <w:t xml:space="preserve"> requirements by expressly advising its variable rate patrons that prices will vary </w:t>
      </w:r>
      <w:proofErr w:type="gramStart"/>
      <w:r w:rsidR="00CA00E7" w:rsidRPr="00001309">
        <w:rPr>
          <w:sz w:val="26"/>
          <w:szCs w:val="26"/>
        </w:rPr>
        <w:lastRenderedPageBreak/>
        <w:t>on the basis of</w:t>
      </w:r>
      <w:proofErr w:type="gramEnd"/>
      <w:r w:rsidR="00CA00E7" w:rsidRPr="00001309">
        <w:rPr>
          <w:sz w:val="26"/>
          <w:szCs w:val="26"/>
        </w:rPr>
        <w:t xml:space="preserve"> “several” factors, including “PJM wholesale energy market conditions.”  Exc. at 10-11.</w:t>
      </w:r>
    </w:p>
    <w:p w:rsidR="00CA00E7" w:rsidRPr="00001309" w:rsidRDefault="00CA00E7" w:rsidP="00F5211E">
      <w:pPr>
        <w:autoSpaceDE w:val="0"/>
        <w:autoSpaceDN w:val="0"/>
        <w:adjustRightInd w:val="0"/>
        <w:ind w:firstLine="0"/>
        <w:rPr>
          <w:sz w:val="26"/>
          <w:szCs w:val="26"/>
        </w:rPr>
      </w:pPr>
    </w:p>
    <w:p w:rsidR="006D32DC" w:rsidRPr="00001309" w:rsidRDefault="005708EA" w:rsidP="00AE2F47">
      <w:pPr>
        <w:autoSpaceDE w:val="0"/>
        <w:autoSpaceDN w:val="0"/>
        <w:adjustRightInd w:val="0"/>
        <w:rPr>
          <w:sz w:val="26"/>
          <w:szCs w:val="26"/>
        </w:rPr>
      </w:pPr>
      <w:r w:rsidRPr="00001309">
        <w:rPr>
          <w:sz w:val="26"/>
          <w:szCs w:val="26"/>
        </w:rPr>
        <w:t>Blue Pilot further criticizes the ALJs’ recommendations</w:t>
      </w:r>
      <w:r w:rsidR="006D32DC" w:rsidRPr="00001309">
        <w:rPr>
          <w:sz w:val="26"/>
          <w:szCs w:val="26"/>
        </w:rPr>
        <w:t xml:space="preserve"> in </w:t>
      </w:r>
      <w:r w:rsidRPr="00001309">
        <w:rPr>
          <w:sz w:val="26"/>
          <w:szCs w:val="26"/>
        </w:rPr>
        <w:t xml:space="preserve">finding fault with the adequacy of the disclosures by, </w:t>
      </w:r>
      <w:r w:rsidRPr="00001309">
        <w:rPr>
          <w:i/>
          <w:sz w:val="26"/>
          <w:szCs w:val="26"/>
        </w:rPr>
        <w:t xml:space="preserve">inter </w:t>
      </w:r>
      <w:r w:rsidRPr="00001309">
        <w:rPr>
          <w:sz w:val="26"/>
          <w:szCs w:val="26"/>
        </w:rPr>
        <w:t xml:space="preserve">alia, </w:t>
      </w:r>
      <w:r w:rsidR="006D32DC" w:rsidRPr="00001309">
        <w:rPr>
          <w:sz w:val="26"/>
          <w:szCs w:val="26"/>
        </w:rPr>
        <w:t>failing to provide information in its disclosure</w:t>
      </w:r>
      <w:r w:rsidR="00AE2F47" w:rsidRPr="00001309">
        <w:rPr>
          <w:sz w:val="26"/>
          <w:szCs w:val="26"/>
        </w:rPr>
        <w:t xml:space="preserve"> </w:t>
      </w:r>
      <w:r w:rsidR="006D32DC" w:rsidRPr="00001309">
        <w:rPr>
          <w:sz w:val="26"/>
          <w:szCs w:val="26"/>
        </w:rPr>
        <w:t xml:space="preserve">statement that would allow a customer to calculate what an appropriate price should be based on available cost data, failing to advise customers </w:t>
      </w:r>
      <w:r w:rsidRPr="00001309">
        <w:rPr>
          <w:sz w:val="26"/>
          <w:szCs w:val="26"/>
        </w:rPr>
        <w:t xml:space="preserve">of a “ceiling” at which rates could not go higher, </w:t>
      </w:r>
      <w:r w:rsidR="006D32DC" w:rsidRPr="00001309">
        <w:rPr>
          <w:sz w:val="26"/>
          <w:szCs w:val="26"/>
        </w:rPr>
        <w:t>and failing to apprise its customers of the risks associated with a variable rate product.  Exc. at 7-9.</w:t>
      </w:r>
    </w:p>
    <w:p w:rsidR="006D32DC" w:rsidRPr="00001309" w:rsidRDefault="006D32DC" w:rsidP="006D32DC">
      <w:pPr>
        <w:autoSpaceDE w:val="0"/>
        <w:autoSpaceDN w:val="0"/>
        <w:adjustRightInd w:val="0"/>
        <w:ind w:firstLine="0"/>
        <w:rPr>
          <w:sz w:val="26"/>
          <w:szCs w:val="26"/>
        </w:rPr>
      </w:pPr>
    </w:p>
    <w:p w:rsidR="00CA00E7" w:rsidRPr="00001309" w:rsidRDefault="00CA00E7" w:rsidP="006D32DC">
      <w:pPr>
        <w:autoSpaceDE w:val="0"/>
        <w:autoSpaceDN w:val="0"/>
        <w:adjustRightInd w:val="0"/>
        <w:rPr>
          <w:sz w:val="26"/>
          <w:szCs w:val="26"/>
        </w:rPr>
      </w:pPr>
      <w:r w:rsidRPr="00001309">
        <w:rPr>
          <w:sz w:val="26"/>
          <w:szCs w:val="26"/>
        </w:rPr>
        <w:t xml:space="preserve">Blue Pilot </w:t>
      </w:r>
      <w:r w:rsidR="006D32DC" w:rsidRPr="00001309">
        <w:rPr>
          <w:sz w:val="26"/>
          <w:szCs w:val="26"/>
        </w:rPr>
        <w:t xml:space="preserve">further </w:t>
      </w:r>
      <w:r w:rsidRPr="00001309">
        <w:rPr>
          <w:sz w:val="26"/>
          <w:szCs w:val="26"/>
        </w:rPr>
        <w:t xml:space="preserve">cites </w:t>
      </w:r>
      <w:r w:rsidR="00237ED7" w:rsidRPr="00001309">
        <w:rPr>
          <w:sz w:val="26"/>
          <w:szCs w:val="26"/>
        </w:rPr>
        <w:t>certain</w:t>
      </w:r>
      <w:r w:rsidRPr="00001309">
        <w:rPr>
          <w:sz w:val="26"/>
          <w:szCs w:val="26"/>
        </w:rPr>
        <w:t xml:space="preserve"> </w:t>
      </w:r>
      <w:r w:rsidR="000915E5" w:rsidRPr="00001309">
        <w:rPr>
          <w:sz w:val="26"/>
          <w:szCs w:val="26"/>
        </w:rPr>
        <w:t xml:space="preserve">Commission </w:t>
      </w:r>
      <w:r w:rsidRPr="00001309">
        <w:rPr>
          <w:sz w:val="26"/>
          <w:szCs w:val="26"/>
        </w:rPr>
        <w:t xml:space="preserve">decisions and </w:t>
      </w:r>
      <w:r w:rsidR="00237ED7" w:rsidRPr="00001309">
        <w:rPr>
          <w:sz w:val="26"/>
          <w:szCs w:val="26"/>
        </w:rPr>
        <w:t>de</w:t>
      </w:r>
      <w:r w:rsidRPr="00001309">
        <w:rPr>
          <w:sz w:val="26"/>
          <w:szCs w:val="26"/>
        </w:rPr>
        <w:t>cisions of the United States District Court</w:t>
      </w:r>
      <w:r w:rsidR="006D32DC" w:rsidRPr="00001309">
        <w:rPr>
          <w:sz w:val="26"/>
          <w:szCs w:val="26"/>
        </w:rPr>
        <w:t>s</w:t>
      </w:r>
      <w:r w:rsidRPr="00001309">
        <w:rPr>
          <w:sz w:val="26"/>
          <w:szCs w:val="26"/>
        </w:rPr>
        <w:t xml:space="preserve">, that it argues, are </w:t>
      </w:r>
      <w:r w:rsidR="000915E5" w:rsidRPr="00001309">
        <w:rPr>
          <w:sz w:val="26"/>
          <w:szCs w:val="26"/>
        </w:rPr>
        <w:t xml:space="preserve">examples </w:t>
      </w:r>
      <w:r w:rsidRPr="00001309">
        <w:rPr>
          <w:sz w:val="26"/>
          <w:szCs w:val="26"/>
        </w:rPr>
        <w:t xml:space="preserve">wherein the language </w:t>
      </w:r>
      <w:r w:rsidR="00237ED7" w:rsidRPr="00001309">
        <w:rPr>
          <w:sz w:val="26"/>
          <w:szCs w:val="26"/>
        </w:rPr>
        <w:t xml:space="preserve">in its disclosure </w:t>
      </w:r>
      <w:r w:rsidR="009928AF" w:rsidRPr="00001309">
        <w:rPr>
          <w:sz w:val="26"/>
          <w:szCs w:val="26"/>
        </w:rPr>
        <w:t>was</w:t>
      </w:r>
      <w:r w:rsidRPr="00001309">
        <w:rPr>
          <w:sz w:val="26"/>
          <w:szCs w:val="26"/>
        </w:rPr>
        <w:t xml:space="preserve"> </w:t>
      </w:r>
      <w:r w:rsidR="009928AF" w:rsidRPr="00001309">
        <w:rPr>
          <w:sz w:val="26"/>
          <w:szCs w:val="26"/>
        </w:rPr>
        <w:t>r</w:t>
      </w:r>
      <w:r w:rsidRPr="00001309">
        <w:rPr>
          <w:sz w:val="26"/>
          <w:szCs w:val="26"/>
        </w:rPr>
        <w:t xml:space="preserve">eviewed and found adequate to </w:t>
      </w:r>
      <w:r w:rsidR="009928AF" w:rsidRPr="00001309">
        <w:rPr>
          <w:sz w:val="26"/>
          <w:szCs w:val="26"/>
        </w:rPr>
        <w:t>reject</w:t>
      </w:r>
      <w:r w:rsidRPr="00001309">
        <w:rPr>
          <w:sz w:val="26"/>
          <w:szCs w:val="26"/>
        </w:rPr>
        <w:t xml:space="preserve"> complaints </w:t>
      </w:r>
      <w:r w:rsidR="00FE4AEB" w:rsidRPr="00001309">
        <w:rPr>
          <w:sz w:val="26"/>
          <w:szCs w:val="26"/>
        </w:rPr>
        <w:t xml:space="preserve">of its customers filed </w:t>
      </w:r>
      <w:r w:rsidRPr="00001309">
        <w:rPr>
          <w:sz w:val="26"/>
          <w:szCs w:val="26"/>
        </w:rPr>
        <w:t xml:space="preserve">against it.  </w:t>
      </w:r>
      <w:r w:rsidRPr="00001309">
        <w:rPr>
          <w:i/>
          <w:sz w:val="26"/>
          <w:szCs w:val="26"/>
        </w:rPr>
        <w:t xml:space="preserve">See </w:t>
      </w:r>
      <w:r w:rsidRPr="00001309">
        <w:rPr>
          <w:sz w:val="26"/>
          <w:szCs w:val="26"/>
        </w:rPr>
        <w:t>Exc. at 10-11,</w:t>
      </w:r>
      <w:r w:rsidR="00AD67FD" w:rsidRPr="00001309">
        <w:rPr>
          <w:sz w:val="26"/>
          <w:szCs w:val="26"/>
        </w:rPr>
        <w:t xml:space="preserve"> citing, </w:t>
      </w:r>
      <w:r w:rsidR="00AD67FD" w:rsidRPr="00001309">
        <w:rPr>
          <w:i/>
          <w:sz w:val="26"/>
          <w:szCs w:val="26"/>
        </w:rPr>
        <w:t>inter alia</w:t>
      </w:r>
      <w:r w:rsidR="00AD67FD" w:rsidRPr="00001309">
        <w:rPr>
          <w:sz w:val="26"/>
          <w:szCs w:val="26"/>
        </w:rPr>
        <w:t xml:space="preserve">, </w:t>
      </w:r>
      <w:r w:rsidRPr="00001309">
        <w:rPr>
          <w:i/>
          <w:iCs/>
          <w:sz w:val="26"/>
          <w:szCs w:val="26"/>
        </w:rPr>
        <w:t xml:space="preserve">DuBois Manor Motel c/o Nisha Patel </w:t>
      </w:r>
      <w:r w:rsidRPr="00001309">
        <w:rPr>
          <w:sz w:val="26"/>
          <w:szCs w:val="26"/>
        </w:rPr>
        <w:t xml:space="preserve">v. </w:t>
      </w:r>
      <w:r w:rsidRPr="00001309">
        <w:rPr>
          <w:i/>
          <w:iCs/>
          <w:sz w:val="26"/>
          <w:szCs w:val="26"/>
        </w:rPr>
        <w:t>Blue Pilot Energy,</w:t>
      </w:r>
      <w:r w:rsidR="00AD67FD" w:rsidRPr="00001309">
        <w:rPr>
          <w:i/>
          <w:iCs/>
          <w:sz w:val="26"/>
          <w:szCs w:val="26"/>
        </w:rPr>
        <w:t xml:space="preserve"> </w:t>
      </w:r>
      <w:r w:rsidRPr="00001309">
        <w:rPr>
          <w:i/>
          <w:iCs/>
          <w:sz w:val="26"/>
          <w:szCs w:val="26"/>
        </w:rPr>
        <w:t>LLC</w:t>
      </w:r>
      <w:r w:rsidR="002E6C1C" w:rsidRPr="00001309">
        <w:rPr>
          <w:i/>
          <w:iCs/>
          <w:sz w:val="26"/>
          <w:szCs w:val="26"/>
        </w:rPr>
        <w:t>, et al.</w:t>
      </w:r>
      <w:r w:rsidRPr="00001309">
        <w:rPr>
          <w:sz w:val="26"/>
          <w:szCs w:val="26"/>
        </w:rPr>
        <w:t xml:space="preserve">, Docket No. C-2014-2433817 (Initial Decision </w:t>
      </w:r>
      <w:r w:rsidR="00480CAE" w:rsidRPr="00001309">
        <w:rPr>
          <w:sz w:val="26"/>
          <w:szCs w:val="26"/>
        </w:rPr>
        <w:t xml:space="preserve">issued </w:t>
      </w:r>
      <w:r w:rsidRPr="00001309">
        <w:rPr>
          <w:sz w:val="26"/>
          <w:szCs w:val="26"/>
        </w:rPr>
        <w:t>December</w:t>
      </w:r>
      <w:r w:rsidR="00AE2F47" w:rsidRPr="00001309">
        <w:rPr>
          <w:sz w:val="26"/>
          <w:szCs w:val="26"/>
        </w:rPr>
        <w:t> </w:t>
      </w:r>
      <w:r w:rsidRPr="00001309">
        <w:rPr>
          <w:sz w:val="26"/>
          <w:szCs w:val="26"/>
        </w:rPr>
        <w:t xml:space="preserve">2, 2015; </w:t>
      </w:r>
      <w:r w:rsidR="00480CAE" w:rsidRPr="00001309">
        <w:rPr>
          <w:sz w:val="26"/>
          <w:szCs w:val="26"/>
        </w:rPr>
        <w:t>F</w:t>
      </w:r>
      <w:r w:rsidR="00AD67FD" w:rsidRPr="00001309">
        <w:rPr>
          <w:sz w:val="26"/>
          <w:szCs w:val="26"/>
        </w:rPr>
        <w:t xml:space="preserve">inal </w:t>
      </w:r>
      <w:r w:rsidRPr="00001309">
        <w:rPr>
          <w:sz w:val="26"/>
          <w:szCs w:val="26"/>
        </w:rPr>
        <w:t>Order entered June 9, 2016)</w:t>
      </w:r>
      <w:r w:rsidR="00AD67FD" w:rsidRPr="00001309">
        <w:rPr>
          <w:sz w:val="26"/>
          <w:szCs w:val="26"/>
        </w:rPr>
        <w:t>;</w:t>
      </w:r>
      <w:r w:rsidRPr="00001309">
        <w:rPr>
          <w:sz w:val="26"/>
          <w:szCs w:val="26"/>
        </w:rPr>
        <w:t xml:space="preserve"> </w:t>
      </w:r>
      <w:r w:rsidRPr="00001309">
        <w:rPr>
          <w:i/>
          <w:iCs/>
          <w:sz w:val="26"/>
          <w:szCs w:val="26"/>
        </w:rPr>
        <w:t>Yaglidereliler Corp. v. Blue Pilot Energy, LLC</w:t>
      </w:r>
      <w:r w:rsidRPr="00001309">
        <w:rPr>
          <w:sz w:val="26"/>
          <w:szCs w:val="26"/>
        </w:rPr>
        <w:t xml:space="preserve">, Docket No. C-2014-2413732 (Initial Decision </w:t>
      </w:r>
      <w:r w:rsidR="00480CAE" w:rsidRPr="00001309">
        <w:rPr>
          <w:sz w:val="26"/>
          <w:szCs w:val="26"/>
        </w:rPr>
        <w:t>issued</w:t>
      </w:r>
      <w:r w:rsidR="00480CAE" w:rsidRPr="00001309">
        <w:rPr>
          <w:i/>
          <w:iCs/>
          <w:sz w:val="26"/>
          <w:szCs w:val="26"/>
        </w:rPr>
        <w:t xml:space="preserve"> </w:t>
      </w:r>
      <w:r w:rsidRPr="00001309">
        <w:rPr>
          <w:sz w:val="26"/>
          <w:szCs w:val="26"/>
        </w:rPr>
        <w:t>June 24, 2014; Order on Remand entered January 16, 2015) (</w:t>
      </w:r>
      <w:r w:rsidRPr="00001309">
        <w:rPr>
          <w:i/>
          <w:iCs/>
          <w:sz w:val="26"/>
          <w:szCs w:val="26"/>
        </w:rPr>
        <w:t>Yaglidereliler Corp. Order)</w:t>
      </w:r>
      <w:r w:rsidR="00AD67FD" w:rsidRPr="00001309">
        <w:rPr>
          <w:iCs/>
          <w:sz w:val="26"/>
          <w:szCs w:val="26"/>
        </w:rPr>
        <w:t>;</w:t>
      </w:r>
      <w:r w:rsidRPr="00001309">
        <w:rPr>
          <w:i/>
          <w:iCs/>
          <w:sz w:val="26"/>
          <w:szCs w:val="26"/>
        </w:rPr>
        <w:t xml:space="preserve"> Durante v. Blue Pilot Energy, LLC, </w:t>
      </w:r>
      <w:r w:rsidRPr="00001309">
        <w:rPr>
          <w:sz w:val="26"/>
          <w:szCs w:val="26"/>
        </w:rPr>
        <w:t>Docket No. F-2015-2487082 (Order entered</w:t>
      </w:r>
      <w:r w:rsidR="002E6C1C" w:rsidRPr="00001309">
        <w:rPr>
          <w:sz w:val="26"/>
          <w:szCs w:val="26"/>
        </w:rPr>
        <w:t xml:space="preserve"> </w:t>
      </w:r>
      <w:r w:rsidRPr="00001309">
        <w:rPr>
          <w:sz w:val="26"/>
          <w:szCs w:val="26"/>
        </w:rPr>
        <w:t>March 14, 2016)</w:t>
      </w:r>
      <w:r w:rsidR="009928AF" w:rsidRPr="00001309">
        <w:rPr>
          <w:rStyle w:val="FootnoteReference"/>
          <w:sz w:val="26"/>
          <w:szCs w:val="26"/>
        </w:rPr>
        <w:footnoteReference w:id="21"/>
      </w:r>
      <w:r w:rsidR="009928AF" w:rsidRPr="00001309">
        <w:rPr>
          <w:sz w:val="26"/>
          <w:szCs w:val="26"/>
        </w:rPr>
        <w:t>;</w:t>
      </w:r>
      <w:r w:rsidRPr="00001309">
        <w:rPr>
          <w:sz w:val="26"/>
          <w:szCs w:val="26"/>
        </w:rPr>
        <w:t xml:space="preserve"> </w:t>
      </w:r>
      <w:r w:rsidRPr="00001309">
        <w:rPr>
          <w:i/>
          <w:iCs/>
          <w:sz w:val="26"/>
          <w:szCs w:val="26"/>
        </w:rPr>
        <w:t xml:space="preserve">Silvis v. Ambit Energy L.P., </w:t>
      </w:r>
      <w:r w:rsidRPr="00001309">
        <w:rPr>
          <w:sz w:val="26"/>
          <w:szCs w:val="26"/>
        </w:rPr>
        <w:t>2016 WL</w:t>
      </w:r>
      <w:r w:rsidR="00AD67FD" w:rsidRPr="00001309">
        <w:rPr>
          <w:sz w:val="26"/>
          <w:szCs w:val="26"/>
        </w:rPr>
        <w:t xml:space="preserve"> </w:t>
      </w:r>
      <w:r w:rsidRPr="00001309">
        <w:rPr>
          <w:sz w:val="26"/>
          <w:szCs w:val="26"/>
        </w:rPr>
        <w:t xml:space="preserve">1086703 (E.D. Pa. March 21, 2016); </w:t>
      </w:r>
      <w:r w:rsidRPr="00001309">
        <w:rPr>
          <w:i/>
          <w:iCs/>
          <w:sz w:val="26"/>
          <w:szCs w:val="26"/>
        </w:rPr>
        <w:t xml:space="preserve">Orange </w:t>
      </w:r>
      <w:r w:rsidRPr="00001309">
        <w:rPr>
          <w:sz w:val="26"/>
          <w:szCs w:val="26"/>
        </w:rPr>
        <w:t xml:space="preserve">v. </w:t>
      </w:r>
      <w:r w:rsidRPr="00001309">
        <w:rPr>
          <w:i/>
          <w:iCs/>
          <w:sz w:val="26"/>
          <w:szCs w:val="26"/>
        </w:rPr>
        <w:t xml:space="preserve">Starion Energy PA, Inc., </w:t>
      </w:r>
      <w:r w:rsidRPr="00001309">
        <w:rPr>
          <w:sz w:val="26"/>
          <w:szCs w:val="26"/>
        </w:rPr>
        <w:t>2016 WL 1043618</w:t>
      </w:r>
      <w:r w:rsidR="00AD67FD" w:rsidRPr="00001309">
        <w:rPr>
          <w:sz w:val="26"/>
          <w:szCs w:val="26"/>
        </w:rPr>
        <w:t xml:space="preserve"> </w:t>
      </w:r>
      <w:r w:rsidRPr="00001309">
        <w:rPr>
          <w:sz w:val="26"/>
          <w:szCs w:val="26"/>
        </w:rPr>
        <w:t>(E.D. Pa. March 16, 2016).</w:t>
      </w:r>
      <w:r w:rsidR="009928AF" w:rsidRPr="00001309">
        <w:rPr>
          <w:sz w:val="26"/>
          <w:szCs w:val="26"/>
        </w:rPr>
        <w:t xml:space="preserve">  Exc. at 11.</w:t>
      </w:r>
    </w:p>
    <w:p w:rsidR="00DE7363" w:rsidRPr="00001309" w:rsidRDefault="00DE7363" w:rsidP="006D32DC">
      <w:pPr>
        <w:autoSpaceDE w:val="0"/>
        <w:autoSpaceDN w:val="0"/>
        <w:adjustRightInd w:val="0"/>
        <w:rPr>
          <w:sz w:val="26"/>
          <w:szCs w:val="26"/>
        </w:rPr>
      </w:pPr>
    </w:p>
    <w:p w:rsidR="00DE7363" w:rsidRPr="00001309" w:rsidRDefault="00DE7363" w:rsidP="006D32DC">
      <w:pPr>
        <w:autoSpaceDE w:val="0"/>
        <w:autoSpaceDN w:val="0"/>
        <w:adjustRightInd w:val="0"/>
        <w:rPr>
          <w:sz w:val="26"/>
          <w:szCs w:val="26"/>
        </w:rPr>
      </w:pPr>
      <w:r w:rsidRPr="00001309">
        <w:rPr>
          <w:sz w:val="26"/>
          <w:szCs w:val="26"/>
        </w:rPr>
        <w:t>In all, Blue Pilot complains that the adequacy of its disclosure was sufficient based on the requ</w:t>
      </w:r>
      <w:r w:rsidR="000915E5" w:rsidRPr="00001309">
        <w:rPr>
          <w:sz w:val="26"/>
          <w:szCs w:val="26"/>
        </w:rPr>
        <w:t>i</w:t>
      </w:r>
      <w:r w:rsidRPr="00001309">
        <w:rPr>
          <w:sz w:val="26"/>
          <w:szCs w:val="26"/>
        </w:rPr>
        <w:t>r</w:t>
      </w:r>
      <w:r w:rsidR="000915E5" w:rsidRPr="00001309">
        <w:rPr>
          <w:sz w:val="26"/>
          <w:szCs w:val="26"/>
        </w:rPr>
        <w:t>ements of the Regulations at the time the claims arose and that it should not be judged based on the amendments and modifications for disclosure which have been implemented subsequently.</w:t>
      </w:r>
    </w:p>
    <w:p w:rsidR="008351A5" w:rsidRPr="00001309" w:rsidRDefault="008351A5" w:rsidP="008351A5">
      <w:pPr>
        <w:autoSpaceDE w:val="0"/>
        <w:autoSpaceDN w:val="0"/>
        <w:adjustRightInd w:val="0"/>
        <w:rPr>
          <w:sz w:val="26"/>
          <w:szCs w:val="26"/>
        </w:rPr>
      </w:pPr>
    </w:p>
    <w:p w:rsidR="00DC21C1" w:rsidRPr="00001309" w:rsidRDefault="00952DD0" w:rsidP="0011683B">
      <w:pPr>
        <w:autoSpaceDE w:val="0"/>
        <w:autoSpaceDN w:val="0"/>
        <w:adjustRightInd w:val="0"/>
        <w:rPr>
          <w:sz w:val="26"/>
          <w:szCs w:val="26"/>
        </w:rPr>
      </w:pPr>
      <w:r>
        <w:rPr>
          <w:sz w:val="26"/>
          <w:szCs w:val="26"/>
        </w:rPr>
        <w:t xml:space="preserve">According to the Joint Complainants, the ALJs correctly determined that Blue Pilot’s disclosure statement violated 52 Pa. Code § 54.5(c) as well as other provisions of the Commission’s regulations.  </w:t>
      </w:r>
      <w:r w:rsidR="009F3577" w:rsidRPr="00001309">
        <w:rPr>
          <w:sz w:val="26"/>
          <w:szCs w:val="26"/>
        </w:rPr>
        <w:t xml:space="preserve">In their Replies to Exceptions, </w:t>
      </w:r>
      <w:r w:rsidR="00F429DB">
        <w:rPr>
          <w:sz w:val="26"/>
          <w:szCs w:val="26"/>
        </w:rPr>
        <w:t xml:space="preserve">the </w:t>
      </w:r>
      <w:r w:rsidR="0011683B" w:rsidRPr="00001309">
        <w:rPr>
          <w:sz w:val="26"/>
          <w:szCs w:val="26"/>
        </w:rPr>
        <w:t>Joint Complain</w:t>
      </w:r>
      <w:r w:rsidR="00DA1B3E" w:rsidRPr="00001309">
        <w:rPr>
          <w:sz w:val="26"/>
          <w:szCs w:val="26"/>
        </w:rPr>
        <w:t>ants</w:t>
      </w:r>
      <w:r w:rsidR="0011683B" w:rsidRPr="00001309">
        <w:rPr>
          <w:sz w:val="26"/>
          <w:szCs w:val="26"/>
        </w:rPr>
        <w:t xml:space="preserve"> </w:t>
      </w:r>
      <w:r w:rsidR="00AB5AF7" w:rsidRPr="00001309">
        <w:rPr>
          <w:sz w:val="26"/>
          <w:szCs w:val="26"/>
        </w:rPr>
        <w:t>argue</w:t>
      </w:r>
      <w:r w:rsidR="0011683B" w:rsidRPr="00001309">
        <w:rPr>
          <w:sz w:val="26"/>
          <w:szCs w:val="26"/>
        </w:rPr>
        <w:t xml:space="preserve"> that the </w:t>
      </w:r>
      <w:r w:rsidR="00155D25" w:rsidRPr="00001309">
        <w:rPr>
          <w:sz w:val="26"/>
          <w:szCs w:val="26"/>
        </w:rPr>
        <w:t>Initial Decision</w:t>
      </w:r>
      <w:r w:rsidR="0011683B" w:rsidRPr="00001309">
        <w:rPr>
          <w:sz w:val="26"/>
          <w:szCs w:val="26"/>
        </w:rPr>
        <w:t xml:space="preserve"> should be affirmed as it is based on the evidence of record, including statements of Blue Pilot customers and prof</w:t>
      </w:r>
      <w:r w:rsidR="009F3577" w:rsidRPr="00001309">
        <w:rPr>
          <w:sz w:val="26"/>
          <w:szCs w:val="26"/>
        </w:rPr>
        <w:t>f</w:t>
      </w:r>
      <w:r w:rsidR="0011683B" w:rsidRPr="00001309">
        <w:rPr>
          <w:sz w:val="26"/>
          <w:szCs w:val="26"/>
        </w:rPr>
        <w:t xml:space="preserve">ered expert witness testimony.  </w:t>
      </w:r>
      <w:r>
        <w:rPr>
          <w:sz w:val="26"/>
          <w:szCs w:val="26"/>
        </w:rPr>
        <w:t xml:space="preserve">  </w:t>
      </w:r>
      <w:r w:rsidR="0011683B" w:rsidRPr="00001309">
        <w:rPr>
          <w:sz w:val="26"/>
          <w:szCs w:val="26"/>
        </w:rPr>
        <w:t>R.Exc. at 1-3.</w:t>
      </w:r>
    </w:p>
    <w:p w:rsidR="00205637" w:rsidRPr="00001309" w:rsidRDefault="00205637" w:rsidP="000915E5">
      <w:pPr>
        <w:autoSpaceDE w:val="0"/>
        <w:autoSpaceDN w:val="0"/>
        <w:adjustRightInd w:val="0"/>
        <w:ind w:firstLine="0"/>
        <w:rPr>
          <w:b/>
          <w:sz w:val="26"/>
          <w:szCs w:val="26"/>
        </w:rPr>
      </w:pPr>
    </w:p>
    <w:p w:rsidR="007F2C64" w:rsidRPr="00001309" w:rsidRDefault="005E6667" w:rsidP="00554187">
      <w:pPr>
        <w:keepNext/>
        <w:keepLines/>
        <w:autoSpaceDE w:val="0"/>
        <w:autoSpaceDN w:val="0"/>
        <w:adjustRightInd w:val="0"/>
        <w:rPr>
          <w:b/>
          <w:sz w:val="26"/>
          <w:szCs w:val="26"/>
        </w:rPr>
      </w:pPr>
      <w:r w:rsidRPr="00001309">
        <w:rPr>
          <w:b/>
          <w:sz w:val="26"/>
          <w:szCs w:val="26"/>
        </w:rPr>
        <w:t>e.</w:t>
      </w:r>
      <w:r w:rsidRPr="00001309">
        <w:rPr>
          <w:b/>
          <w:sz w:val="26"/>
          <w:szCs w:val="26"/>
        </w:rPr>
        <w:tab/>
      </w:r>
      <w:r w:rsidR="007F2C64" w:rsidRPr="00001309">
        <w:rPr>
          <w:b/>
          <w:sz w:val="26"/>
          <w:szCs w:val="26"/>
        </w:rPr>
        <w:t>Disposition</w:t>
      </w:r>
    </w:p>
    <w:p w:rsidR="00EA70CE" w:rsidRPr="00001309" w:rsidRDefault="00EA70CE" w:rsidP="00554187">
      <w:pPr>
        <w:keepNext/>
        <w:keepLines/>
        <w:autoSpaceDE w:val="0"/>
        <w:autoSpaceDN w:val="0"/>
        <w:adjustRightInd w:val="0"/>
        <w:rPr>
          <w:b/>
          <w:sz w:val="26"/>
          <w:szCs w:val="26"/>
        </w:rPr>
      </w:pPr>
    </w:p>
    <w:p w:rsidR="00A32A81" w:rsidRDefault="001617FA" w:rsidP="000A41B1">
      <w:pPr>
        <w:autoSpaceDE w:val="0"/>
        <w:autoSpaceDN w:val="0"/>
        <w:adjustRightInd w:val="0"/>
        <w:rPr>
          <w:sz w:val="26"/>
          <w:szCs w:val="26"/>
        </w:rPr>
      </w:pPr>
      <w:r w:rsidRPr="00001309">
        <w:rPr>
          <w:sz w:val="26"/>
          <w:szCs w:val="26"/>
        </w:rPr>
        <w:t xml:space="preserve">On consideration of the Exceptions of Blue Pilot, we shall deny the </w:t>
      </w:r>
      <w:r w:rsidR="006C426F" w:rsidRPr="00001309">
        <w:rPr>
          <w:sz w:val="26"/>
          <w:szCs w:val="26"/>
        </w:rPr>
        <w:t xml:space="preserve">Exceptions </w:t>
      </w:r>
      <w:r w:rsidRPr="00001309">
        <w:rPr>
          <w:sz w:val="26"/>
          <w:szCs w:val="26"/>
        </w:rPr>
        <w:t>consistent with the discussion in this Opinion and Order.</w:t>
      </w:r>
    </w:p>
    <w:p w:rsidR="00363C2E" w:rsidRDefault="00363C2E" w:rsidP="000A41B1">
      <w:pPr>
        <w:autoSpaceDE w:val="0"/>
        <w:autoSpaceDN w:val="0"/>
        <w:adjustRightInd w:val="0"/>
        <w:rPr>
          <w:sz w:val="26"/>
          <w:szCs w:val="26"/>
        </w:rPr>
      </w:pPr>
    </w:p>
    <w:p w:rsidR="00363C2E" w:rsidRDefault="00363C2E" w:rsidP="00363C2E">
      <w:pPr>
        <w:kinsoku w:val="0"/>
        <w:overflowPunct w:val="0"/>
        <w:textAlignment w:val="baseline"/>
        <w:rPr>
          <w:sz w:val="26"/>
          <w:szCs w:val="26"/>
        </w:rPr>
      </w:pPr>
    </w:p>
    <w:p w:rsidR="00363C2E" w:rsidRDefault="00363C2E" w:rsidP="00363C2E">
      <w:pPr>
        <w:kinsoku w:val="0"/>
        <w:overflowPunct w:val="0"/>
        <w:textAlignment w:val="baseline"/>
        <w:rPr>
          <w:sz w:val="26"/>
          <w:szCs w:val="26"/>
          <w:vertAlign w:val="superscript"/>
        </w:rPr>
      </w:pPr>
      <w:r w:rsidRPr="00D66BD7">
        <w:rPr>
          <w:noProof/>
          <w:sz w:val="26"/>
          <w:szCs w:val="26"/>
        </w:rPr>
        <mc:AlternateContent>
          <mc:Choice Requires="wps">
            <w:drawing>
              <wp:anchor distT="0" distB="0" distL="0" distR="0" simplePos="0" relativeHeight="251659264" behindDoc="0" locked="0" layoutInCell="0" allowOverlap="1" wp14:anchorId="78CC02FD" wp14:editId="459B9175">
                <wp:simplePos x="0" y="0"/>
                <wp:positionH relativeFrom="page">
                  <wp:posOffset>3747135</wp:posOffset>
                </wp:positionH>
                <wp:positionV relativeFrom="page">
                  <wp:posOffset>9420860</wp:posOffset>
                </wp:positionV>
                <wp:extent cx="180340" cy="135890"/>
                <wp:effectExtent l="0" t="0" r="0" b="0"/>
                <wp:wrapSquare wrapText="bothSides"/>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358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6941" w:rsidRDefault="00446941" w:rsidP="00363C2E">
                            <w:pPr>
                              <w:kinsoku w:val="0"/>
                              <w:overflowPunct w:val="0"/>
                              <w:spacing w:line="212" w:lineRule="exact"/>
                              <w:textAlignment w:val="baseline"/>
                              <w:rPr>
                                <w:sz w:val="19"/>
                                <w:szCs w:val="19"/>
                              </w:rPr>
                            </w:pPr>
                            <w:r>
                              <w:rPr>
                                <w:sz w:val="19"/>
                                <w:szCs w:val="19"/>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CC02FD" id="_x0000_t202" coordsize="21600,21600" o:spt="202" path="m,l,21600r21600,l21600,xe">
                <v:stroke joinstyle="miter"/>
                <v:path gradientshapeok="t" o:connecttype="rect"/>
              </v:shapetype>
              <v:shape id="Text Box 3" o:spid="_x0000_s1026" type="#_x0000_t202" style="position:absolute;left:0;text-align:left;margin-left:295.05pt;margin-top:741.8pt;width:14.2pt;height:10.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" o:allowincell="f" stroked="f">
                <v:fill opacity="0"/>
                <v:textbox inset="0,0,0,0">
                  <w:txbxContent>
                    <w:p w:rsidR="00446941" w:rsidRDefault="00446941" w:rsidP="00363C2E">
                      <w:pPr>
                        <w:kinsoku w:val="0"/>
                        <w:overflowPunct w:val="0"/>
                        <w:spacing w:line="212" w:lineRule="exact"/>
                        <w:textAlignment w:val="baseline"/>
                        <w:rPr>
                          <w:sz w:val="19"/>
                          <w:szCs w:val="19"/>
                        </w:rPr>
                      </w:pPr>
                      <w:r>
                        <w:rPr>
                          <w:sz w:val="19"/>
                          <w:szCs w:val="19"/>
                        </w:rPr>
                        <w:t>2</w:t>
                      </w:r>
                    </w:p>
                  </w:txbxContent>
                </v:textbox>
                <w10:wrap type="square" anchorx="page" anchory="page"/>
              </v:shape>
            </w:pict>
          </mc:Fallback>
        </mc:AlternateContent>
      </w:r>
      <w:r>
        <w:rPr>
          <w:sz w:val="26"/>
          <w:szCs w:val="26"/>
        </w:rPr>
        <w:t>On consideration of the record in this matter, we conclude that t</w:t>
      </w:r>
      <w:r w:rsidRPr="00D66BD7">
        <w:rPr>
          <w:sz w:val="26"/>
          <w:szCs w:val="26"/>
        </w:rPr>
        <w:t>he I</w:t>
      </w:r>
      <w:r w:rsidR="00EB6A47">
        <w:rPr>
          <w:sz w:val="26"/>
          <w:szCs w:val="26"/>
        </w:rPr>
        <w:t>nitial Decision</w:t>
      </w:r>
      <w:r w:rsidRPr="00D66BD7">
        <w:rPr>
          <w:sz w:val="26"/>
          <w:szCs w:val="26"/>
        </w:rPr>
        <w:t xml:space="preserve"> correctly finds that Blue Pilot</w:t>
      </w:r>
      <w:r>
        <w:rPr>
          <w:sz w:val="26"/>
          <w:szCs w:val="26"/>
        </w:rPr>
        <w:t>’</w:t>
      </w:r>
      <w:r w:rsidRPr="00D66BD7">
        <w:rPr>
          <w:sz w:val="26"/>
          <w:szCs w:val="26"/>
        </w:rPr>
        <w:t xml:space="preserve">s disclosure statement does not comply with our </w:t>
      </w:r>
      <w:r>
        <w:rPr>
          <w:sz w:val="26"/>
          <w:szCs w:val="26"/>
        </w:rPr>
        <w:t>R</w:t>
      </w:r>
      <w:r w:rsidRPr="00D66BD7">
        <w:rPr>
          <w:sz w:val="26"/>
          <w:szCs w:val="26"/>
        </w:rPr>
        <w:t xml:space="preserve">egulations. </w:t>
      </w:r>
      <w:r w:rsidR="00EB6A47">
        <w:rPr>
          <w:sz w:val="26"/>
          <w:szCs w:val="26"/>
        </w:rPr>
        <w:t xml:space="preserve"> </w:t>
      </w:r>
      <w:r w:rsidRPr="00D66BD7">
        <w:rPr>
          <w:sz w:val="26"/>
          <w:szCs w:val="26"/>
        </w:rPr>
        <w:t xml:space="preserve">The record evidence shows that Blue Pilot issued disclosure statements that failed to provide accurate information in that consumers could not determine the price that they would or could be charged or how the price would be calculated. </w:t>
      </w:r>
      <w:r>
        <w:rPr>
          <w:sz w:val="26"/>
          <w:szCs w:val="26"/>
        </w:rPr>
        <w:t xml:space="preserve"> </w:t>
      </w:r>
      <w:r w:rsidRPr="00D66BD7">
        <w:rPr>
          <w:sz w:val="26"/>
          <w:szCs w:val="26"/>
        </w:rPr>
        <w:t>As such, Blue Pilot</w:t>
      </w:r>
      <w:r>
        <w:rPr>
          <w:sz w:val="26"/>
          <w:szCs w:val="26"/>
        </w:rPr>
        <w:t>’</w:t>
      </w:r>
      <w:r w:rsidRPr="00D66BD7">
        <w:rPr>
          <w:sz w:val="26"/>
          <w:szCs w:val="26"/>
        </w:rPr>
        <w:t xml:space="preserve">s disclosure violated numerous Commission </w:t>
      </w:r>
      <w:r>
        <w:rPr>
          <w:sz w:val="26"/>
          <w:szCs w:val="26"/>
        </w:rPr>
        <w:t>R</w:t>
      </w:r>
      <w:r w:rsidRPr="00D66BD7">
        <w:rPr>
          <w:sz w:val="26"/>
          <w:szCs w:val="26"/>
        </w:rPr>
        <w:t xml:space="preserve">egulations, </w:t>
      </w:r>
      <w:r>
        <w:rPr>
          <w:sz w:val="26"/>
          <w:szCs w:val="26"/>
        </w:rPr>
        <w:t xml:space="preserve">most notably, </w:t>
      </w:r>
      <w:r w:rsidRPr="00D66BD7">
        <w:rPr>
          <w:sz w:val="26"/>
          <w:szCs w:val="26"/>
        </w:rPr>
        <w:t>Section 54.5(c) (requiring that variable pricing terms include the conditions of variability and the limits on price variability)</w:t>
      </w:r>
      <w:r w:rsidR="007D5294">
        <w:rPr>
          <w:sz w:val="26"/>
          <w:szCs w:val="26"/>
        </w:rPr>
        <w:t>;</w:t>
      </w:r>
      <w:r w:rsidRPr="00D66BD7">
        <w:rPr>
          <w:sz w:val="26"/>
          <w:szCs w:val="26"/>
        </w:rPr>
        <w:t xml:space="preserve"> </w:t>
      </w:r>
      <w:r>
        <w:rPr>
          <w:sz w:val="26"/>
          <w:szCs w:val="26"/>
        </w:rPr>
        <w:t xml:space="preserve">Section </w:t>
      </w:r>
      <w:r w:rsidRPr="00D66BD7">
        <w:rPr>
          <w:sz w:val="26"/>
          <w:szCs w:val="26"/>
        </w:rPr>
        <w:t xml:space="preserve">54.43(1) (requiring that suppliers </w:t>
      </w:r>
      <w:r>
        <w:rPr>
          <w:sz w:val="26"/>
          <w:szCs w:val="26"/>
        </w:rPr>
        <w:t>“</w:t>
      </w:r>
      <w:r w:rsidRPr="00D66BD7">
        <w:rPr>
          <w:sz w:val="26"/>
          <w:szCs w:val="26"/>
        </w:rPr>
        <w:t>provide accurate information about their electric generation services using plain language and common terms in communications with consumers</w:t>
      </w:r>
      <w:r>
        <w:rPr>
          <w:sz w:val="26"/>
          <w:szCs w:val="26"/>
        </w:rPr>
        <w:t>”</w:t>
      </w:r>
      <w:r w:rsidRPr="00D66BD7">
        <w:rPr>
          <w:sz w:val="26"/>
          <w:szCs w:val="26"/>
        </w:rPr>
        <w:t xml:space="preserve"> and </w:t>
      </w:r>
      <w:r>
        <w:rPr>
          <w:sz w:val="26"/>
          <w:szCs w:val="26"/>
        </w:rPr>
        <w:t>“</w:t>
      </w:r>
      <w:r w:rsidRPr="00D66BD7">
        <w:rPr>
          <w:sz w:val="26"/>
          <w:szCs w:val="26"/>
        </w:rPr>
        <w:t>in a format that enables customers to compare the various electric generation services offered and the prices charged for each type of service</w:t>
      </w:r>
      <w:r>
        <w:rPr>
          <w:sz w:val="26"/>
          <w:szCs w:val="26"/>
        </w:rPr>
        <w:t>”</w:t>
      </w:r>
      <w:r w:rsidRPr="00D66BD7">
        <w:rPr>
          <w:sz w:val="26"/>
          <w:szCs w:val="26"/>
        </w:rPr>
        <w:t>)</w:t>
      </w:r>
      <w:r w:rsidR="007D5294">
        <w:rPr>
          <w:sz w:val="26"/>
          <w:szCs w:val="26"/>
        </w:rPr>
        <w:t>;</w:t>
      </w:r>
      <w:r w:rsidRPr="00D66BD7">
        <w:rPr>
          <w:sz w:val="26"/>
          <w:szCs w:val="26"/>
        </w:rPr>
        <w:t xml:space="preserve"> and </w:t>
      </w:r>
      <w:r>
        <w:rPr>
          <w:sz w:val="26"/>
          <w:szCs w:val="26"/>
        </w:rPr>
        <w:t xml:space="preserve">Section </w:t>
      </w:r>
      <w:r w:rsidRPr="00D66BD7">
        <w:rPr>
          <w:sz w:val="26"/>
          <w:szCs w:val="26"/>
        </w:rPr>
        <w:t xml:space="preserve">111.12(d)(5) </w:t>
      </w:r>
      <w:r>
        <w:rPr>
          <w:sz w:val="26"/>
          <w:szCs w:val="26"/>
        </w:rPr>
        <w:t>(</w:t>
      </w:r>
      <w:r w:rsidRPr="00D66BD7">
        <w:rPr>
          <w:sz w:val="26"/>
          <w:szCs w:val="26"/>
        </w:rPr>
        <w:t xml:space="preserve">requiring that suppliers </w:t>
      </w:r>
      <w:r>
        <w:rPr>
          <w:sz w:val="26"/>
          <w:szCs w:val="26"/>
        </w:rPr>
        <w:t>“</w:t>
      </w:r>
      <w:r w:rsidRPr="00D66BD7">
        <w:rPr>
          <w:sz w:val="26"/>
          <w:szCs w:val="26"/>
        </w:rPr>
        <w:t xml:space="preserve">ensure that product or service </w:t>
      </w:r>
      <w:r w:rsidRPr="00D66BD7">
        <w:rPr>
          <w:sz w:val="26"/>
          <w:szCs w:val="26"/>
        </w:rPr>
        <w:lastRenderedPageBreak/>
        <w:t xml:space="preserve">offerings made by a supplier contain information, verbally and written, in plain language designed to be understood by the </w:t>
      </w:r>
      <w:r>
        <w:rPr>
          <w:sz w:val="26"/>
          <w:szCs w:val="26"/>
        </w:rPr>
        <w:t>c</w:t>
      </w:r>
      <w:r w:rsidRPr="00D66BD7">
        <w:rPr>
          <w:sz w:val="26"/>
          <w:szCs w:val="26"/>
        </w:rPr>
        <w:t>ustomer</w:t>
      </w:r>
      <w:r>
        <w:rPr>
          <w:sz w:val="26"/>
          <w:szCs w:val="26"/>
        </w:rPr>
        <w:t>”</w:t>
      </w:r>
      <w:r w:rsidRPr="00D66BD7">
        <w:rPr>
          <w:sz w:val="26"/>
          <w:szCs w:val="26"/>
        </w:rPr>
        <w:t>).</w:t>
      </w:r>
      <w:r>
        <w:rPr>
          <w:rStyle w:val="FootnoteReference"/>
          <w:sz w:val="26"/>
          <w:szCs w:val="26"/>
        </w:rPr>
        <w:footnoteReference w:id="22"/>
      </w:r>
    </w:p>
    <w:p w:rsidR="00363C2E" w:rsidRDefault="00363C2E" w:rsidP="00363C2E">
      <w:pPr>
        <w:kinsoku w:val="0"/>
        <w:overflowPunct w:val="0"/>
        <w:ind w:firstLine="0"/>
        <w:textAlignment w:val="baseline"/>
        <w:rPr>
          <w:sz w:val="26"/>
          <w:szCs w:val="26"/>
        </w:rPr>
      </w:pPr>
    </w:p>
    <w:p w:rsidR="00363C2E" w:rsidRPr="001D317F" w:rsidRDefault="00952DD0" w:rsidP="00363C2E">
      <w:pPr>
        <w:kinsoku w:val="0"/>
        <w:overflowPunct w:val="0"/>
        <w:textAlignment w:val="baseline"/>
        <w:rPr>
          <w:spacing w:val="3"/>
          <w:sz w:val="26"/>
          <w:szCs w:val="26"/>
        </w:rPr>
      </w:pPr>
      <w:r>
        <w:rPr>
          <w:sz w:val="26"/>
          <w:szCs w:val="26"/>
        </w:rPr>
        <w:t>T</w:t>
      </w:r>
      <w:r w:rsidR="00363C2E" w:rsidRPr="00D66BD7">
        <w:rPr>
          <w:sz w:val="26"/>
          <w:szCs w:val="26"/>
        </w:rPr>
        <w:t xml:space="preserve">he finding in the </w:t>
      </w:r>
      <w:r w:rsidR="00661EE2">
        <w:rPr>
          <w:sz w:val="26"/>
          <w:szCs w:val="26"/>
        </w:rPr>
        <w:t>Initial Decision</w:t>
      </w:r>
      <w:r w:rsidR="00363C2E" w:rsidRPr="00D66BD7">
        <w:rPr>
          <w:sz w:val="26"/>
          <w:szCs w:val="26"/>
        </w:rPr>
        <w:t xml:space="preserve"> regarding Blue Pilot</w:t>
      </w:r>
      <w:r w:rsidR="009570EC">
        <w:rPr>
          <w:sz w:val="26"/>
          <w:szCs w:val="26"/>
        </w:rPr>
        <w:t>’</w:t>
      </w:r>
      <w:r w:rsidR="00363C2E" w:rsidRPr="00D66BD7">
        <w:rPr>
          <w:sz w:val="26"/>
          <w:szCs w:val="26"/>
        </w:rPr>
        <w:t xml:space="preserve">s disclosure statement was based on </w:t>
      </w:r>
      <w:r w:rsidR="00363C2E">
        <w:rPr>
          <w:sz w:val="26"/>
          <w:szCs w:val="26"/>
        </w:rPr>
        <w:t xml:space="preserve">credible </w:t>
      </w:r>
      <w:r w:rsidR="00363C2E" w:rsidRPr="00D66BD7">
        <w:rPr>
          <w:sz w:val="26"/>
          <w:szCs w:val="26"/>
        </w:rPr>
        <w:t>expert testimony that</w:t>
      </w:r>
      <w:r w:rsidR="00363C2E">
        <w:rPr>
          <w:sz w:val="26"/>
          <w:szCs w:val="26"/>
        </w:rPr>
        <w:t xml:space="preserve"> found</w:t>
      </w:r>
      <w:r w:rsidR="007D5294">
        <w:rPr>
          <w:sz w:val="26"/>
          <w:szCs w:val="26"/>
        </w:rPr>
        <w:t xml:space="preserve"> </w:t>
      </w:r>
      <w:r w:rsidR="00363C2E">
        <w:rPr>
          <w:sz w:val="26"/>
          <w:szCs w:val="26"/>
        </w:rPr>
        <w:t>“[t]he</w:t>
      </w:r>
      <w:r w:rsidR="00363C2E" w:rsidRPr="00D66BD7">
        <w:rPr>
          <w:sz w:val="26"/>
          <w:szCs w:val="26"/>
        </w:rPr>
        <w:t xml:space="preserve"> Disclosure Statement provides virtually no information regarding the establishment of prices following the expiration of the initial fixed-price period</w:t>
      </w:r>
      <w:r w:rsidR="00363C2E">
        <w:rPr>
          <w:sz w:val="26"/>
          <w:szCs w:val="26"/>
        </w:rPr>
        <w:t>”</w:t>
      </w:r>
      <w:r w:rsidR="00363C2E" w:rsidRPr="00D66BD7">
        <w:rPr>
          <w:sz w:val="26"/>
          <w:szCs w:val="26"/>
        </w:rPr>
        <w:t xml:space="preserve"> and </w:t>
      </w:r>
      <w:r w:rsidR="00363C2E">
        <w:rPr>
          <w:sz w:val="26"/>
          <w:szCs w:val="26"/>
        </w:rPr>
        <w:t>“</w:t>
      </w:r>
      <w:r w:rsidR="00363C2E" w:rsidRPr="00D66BD7">
        <w:rPr>
          <w:sz w:val="26"/>
          <w:szCs w:val="26"/>
        </w:rPr>
        <w:t>the Disclosure Statement is vague and does not contain any substantive information about the variable price feature that allows any reasonable consumer to understand the basis for how the price will be calculated or may change.</w:t>
      </w:r>
      <w:r w:rsidR="00363C2E">
        <w:rPr>
          <w:sz w:val="26"/>
          <w:szCs w:val="26"/>
        </w:rPr>
        <w:t xml:space="preserve">”  </w:t>
      </w:r>
      <w:r w:rsidR="00363C2E">
        <w:rPr>
          <w:i/>
          <w:spacing w:val="3"/>
          <w:sz w:val="26"/>
          <w:szCs w:val="26"/>
        </w:rPr>
        <w:t xml:space="preserve">See </w:t>
      </w:r>
      <w:r w:rsidR="00363C2E" w:rsidRPr="001D317F">
        <w:rPr>
          <w:spacing w:val="3"/>
          <w:sz w:val="26"/>
          <w:szCs w:val="26"/>
        </w:rPr>
        <w:t>Joint Complainant R. Exc. at 2, citing OAG/OCA St. 2 at 8-9; OAG/OCA St. I at 28.</w:t>
      </w:r>
    </w:p>
    <w:p w:rsidR="00363C2E" w:rsidRDefault="00363C2E" w:rsidP="00363C2E">
      <w:pPr>
        <w:kinsoku w:val="0"/>
        <w:overflowPunct w:val="0"/>
        <w:textAlignment w:val="baseline"/>
        <w:rPr>
          <w:sz w:val="26"/>
          <w:szCs w:val="26"/>
        </w:rPr>
      </w:pPr>
    </w:p>
    <w:p w:rsidR="00363C2E" w:rsidRPr="00D66BD7" w:rsidRDefault="00363C2E" w:rsidP="00363C2E">
      <w:pPr>
        <w:kinsoku w:val="0"/>
        <w:overflowPunct w:val="0"/>
        <w:textAlignment w:val="baseline"/>
        <w:rPr>
          <w:sz w:val="26"/>
          <w:szCs w:val="26"/>
        </w:rPr>
      </w:pPr>
      <w:r w:rsidRPr="00D66BD7">
        <w:rPr>
          <w:sz w:val="26"/>
          <w:szCs w:val="26"/>
        </w:rPr>
        <w:t xml:space="preserve">The </w:t>
      </w:r>
      <w:r>
        <w:rPr>
          <w:sz w:val="26"/>
          <w:szCs w:val="26"/>
        </w:rPr>
        <w:t xml:space="preserve">ALJ’s </w:t>
      </w:r>
      <w:r w:rsidRPr="00D66BD7">
        <w:rPr>
          <w:sz w:val="26"/>
          <w:szCs w:val="26"/>
        </w:rPr>
        <w:t>finding</w:t>
      </w:r>
      <w:r>
        <w:rPr>
          <w:sz w:val="26"/>
          <w:szCs w:val="26"/>
        </w:rPr>
        <w:t>s</w:t>
      </w:r>
      <w:r w:rsidRPr="00D66BD7">
        <w:rPr>
          <w:sz w:val="26"/>
          <w:szCs w:val="26"/>
        </w:rPr>
        <w:t xml:space="preserve"> </w:t>
      </w:r>
      <w:r>
        <w:rPr>
          <w:sz w:val="26"/>
          <w:szCs w:val="26"/>
        </w:rPr>
        <w:t>also</w:t>
      </w:r>
      <w:r w:rsidRPr="00D66BD7">
        <w:rPr>
          <w:sz w:val="26"/>
          <w:szCs w:val="26"/>
        </w:rPr>
        <w:t xml:space="preserve"> </w:t>
      </w:r>
      <w:r w:rsidR="007D5294">
        <w:rPr>
          <w:sz w:val="26"/>
          <w:szCs w:val="26"/>
        </w:rPr>
        <w:t xml:space="preserve">were </w:t>
      </w:r>
      <w:r w:rsidRPr="00D66BD7">
        <w:rPr>
          <w:sz w:val="26"/>
          <w:szCs w:val="26"/>
        </w:rPr>
        <w:t>based on consumer testimony</w:t>
      </w:r>
      <w:r w:rsidR="007D5294">
        <w:rPr>
          <w:sz w:val="26"/>
          <w:szCs w:val="26"/>
        </w:rPr>
        <w:t>,</w:t>
      </w:r>
      <w:r w:rsidRPr="00D66BD7">
        <w:rPr>
          <w:sz w:val="26"/>
          <w:szCs w:val="26"/>
        </w:rPr>
        <w:t xml:space="preserve"> which showed that residential and small business customers of Blue Pilot</w:t>
      </w:r>
      <w:r>
        <w:rPr>
          <w:sz w:val="26"/>
          <w:szCs w:val="26"/>
        </w:rPr>
        <w:t>,</w:t>
      </w:r>
      <w:r w:rsidRPr="00D66BD7">
        <w:rPr>
          <w:sz w:val="26"/>
          <w:szCs w:val="26"/>
        </w:rPr>
        <w:t xml:space="preserve"> during the </w:t>
      </w:r>
      <w:r w:rsidR="00E37BB4" w:rsidRPr="00D66BD7">
        <w:rPr>
          <w:sz w:val="26"/>
          <w:szCs w:val="26"/>
        </w:rPr>
        <w:t>period</w:t>
      </w:r>
      <w:r w:rsidRPr="00D66BD7">
        <w:rPr>
          <w:sz w:val="26"/>
          <w:szCs w:val="26"/>
        </w:rPr>
        <w:t xml:space="preserve"> in question</w:t>
      </w:r>
      <w:r>
        <w:rPr>
          <w:sz w:val="26"/>
          <w:szCs w:val="26"/>
        </w:rPr>
        <w:t>,</w:t>
      </w:r>
      <w:r w:rsidRPr="00D66BD7">
        <w:rPr>
          <w:sz w:val="26"/>
          <w:szCs w:val="26"/>
        </w:rPr>
        <w:t xml:space="preserve"> either did not receive a disclosure statement or received a disclosure statement that failed to reveal all the substantial factors upon which pricing would be based such that a reasonable customer could determine his/her/its variable rate.</w:t>
      </w:r>
      <w:r>
        <w:rPr>
          <w:sz w:val="26"/>
          <w:szCs w:val="26"/>
        </w:rPr>
        <w:t xml:space="preserve">  </w:t>
      </w:r>
      <w:r>
        <w:rPr>
          <w:i/>
          <w:sz w:val="26"/>
          <w:szCs w:val="26"/>
        </w:rPr>
        <w:t xml:space="preserve">See </w:t>
      </w:r>
      <w:r>
        <w:rPr>
          <w:sz w:val="26"/>
          <w:szCs w:val="26"/>
        </w:rPr>
        <w:t>Joint Complainant R.Exc. at 2-3.</w:t>
      </w:r>
      <w:r w:rsidRPr="00D66BD7">
        <w:rPr>
          <w:sz w:val="26"/>
          <w:szCs w:val="26"/>
        </w:rPr>
        <w:t xml:space="preserve"> </w:t>
      </w:r>
      <w:r>
        <w:rPr>
          <w:sz w:val="26"/>
          <w:szCs w:val="26"/>
        </w:rPr>
        <w:t xml:space="preserve"> </w:t>
      </w:r>
      <w:r w:rsidRPr="00D66BD7">
        <w:rPr>
          <w:sz w:val="26"/>
          <w:szCs w:val="26"/>
        </w:rPr>
        <w:t>Blue Pilot did not successfully rebut this expert witness and consumer evidence.</w:t>
      </w:r>
    </w:p>
    <w:p w:rsidR="00363C2E" w:rsidRDefault="00363C2E" w:rsidP="00363C2E">
      <w:pPr>
        <w:kinsoku w:val="0"/>
        <w:overflowPunct w:val="0"/>
        <w:ind w:firstLine="0"/>
        <w:textAlignment w:val="baseline"/>
        <w:rPr>
          <w:sz w:val="26"/>
          <w:szCs w:val="26"/>
        </w:rPr>
      </w:pPr>
    </w:p>
    <w:p w:rsidR="00363C2E" w:rsidRDefault="00363C2E" w:rsidP="009542A1">
      <w:pPr>
        <w:kinsoku w:val="0"/>
        <w:overflowPunct w:val="0"/>
        <w:textAlignment w:val="baseline"/>
        <w:rPr>
          <w:sz w:val="26"/>
          <w:szCs w:val="26"/>
        </w:rPr>
      </w:pPr>
      <w:r w:rsidRPr="00D66BD7">
        <w:rPr>
          <w:sz w:val="26"/>
          <w:szCs w:val="26"/>
        </w:rPr>
        <w:t xml:space="preserve">Blue Pilot also argues the </w:t>
      </w:r>
      <w:r w:rsidR="00661EE2">
        <w:rPr>
          <w:sz w:val="26"/>
          <w:szCs w:val="26"/>
        </w:rPr>
        <w:t>Initial Decision</w:t>
      </w:r>
      <w:r w:rsidRPr="00D66BD7">
        <w:rPr>
          <w:sz w:val="26"/>
          <w:szCs w:val="26"/>
        </w:rPr>
        <w:t xml:space="preserve"> ignores the Commission</w:t>
      </w:r>
      <w:r>
        <w:rPr>
          <w:sz w:val="26"/>
          <w:szCs w:val="26"/>
        </w:rPr>
        <w:t>’</w:t>
      </w:r>
      <w:r w:rsidRPr="00D66BD7">
        <w:rPr>
          <w:sz w:val="26"/>
          <w:szCs w:val="26"/>
        </w:rPr>
        <w:t xml:space="preserve">s decision in </w:t>
      </w:r>
      <w:r w:rsidRPr="00D66BD7">
        <w:rPr>
          <w:i/>
          <w:iCs/>
          <w:sz w:val="26"/>
          <w:szCs w:val="26"/>
        </w:rPr>
        <w:t>DuBois Manor</w:t>
      </w:r>
      <w:r>
        <w:rPr>
          <w:iCs/>
          <w:sz w:val="26"/>
          <w:szCs w:val="26"/>
        </w:rPr>
        <w:t>,</w:t>
      </w:r>
      <w:r w:rsidRPr="00D66BD7">
        <w:rPr>
          <w:i/>
          <w:iCs/>
          <w:sz w:val="26"/>
          <w:szCs w:val="26"/>
        </w:rPr>
        <w:t xml:space="preserve"> </w:t>
      </w:r>
      <w:r w:rsidRPr="00363C2E">
        <w:rPr>
          <w:i/>
          <w:iCs/>
          <w:sz w:val="26"/>
          <w:szCs w:val="26"/>
        </w:rPr>
        <w:t>supra</w:t>
      </w:r>
      <w:r>
        <w:rPr>
          <w:iCs/>
          <w:sz w:val="26"/>
          <w:szCs w:val="26"/>
        </w:rPr>
        <w:t xml:space="preserve">, </w:t>
      </w:r>
      <w:r w:rsidRPr="00363C2E">
        <w:rPr>
          <w:sz w:val="26"/>
          <w:szCs w:val="26"/>
        </w:rPr>
        <w:t>that</w:t>
      </w:r>
      <w:r w:rsidRPr="00D66BD7">
        <w:rPr>
          <w:sz w:val="26"/>
          <w:szCs w:val="26"/>
        </w:rPr>
        <w:t xml:space="preserve"> Blue Pilot</w:t>
      </w:r>
      <w:r>
        <w:rPr>
          <w:sz w:val="26"/>
          <w:szCs w:val="26"/>
        </w:rPr>
        <w:t>’</w:t>
      </w:r>
      <w:r w:rsidRPr="00D66BD7">
        <w:rPr>
          <w:sz w:val="26"/>
          <w:szCs w:val="26"/>
        </w:rPr>
        <w:t xml:space="preserve">s disclosure statement provided accurate, plain language to explain the variable rate product. </w:t>
      </w:r>
      <w:r>
        <w:rPr>
          <w:sz w:val="26"/>
          <w:szCs w:val="26"/>
        </w:rPr>
        <w:t xml:space="preserve"> </w:t>
      </w:r>
      <w:r w:rsidRPr="00D66BD7">
        <w:rPr>
          <w:sz w:val="26"/>
          <w:szCs w:val="26"/>
        </w:rPr>
        <w:t xml:space="preserve">However, the </w:t>
      </w:r>
      <w:r w:rsidRPr="00D66BD7">
        <w:rPr>
          <w:i/>
          <w:iCs/>
          <w:sz w:val="26"/>
          <w:szCs w:val="26"/>
        </w:rPr>
        <w:t xml:space="preserve">DuBois Manor </w:t>
      </w:r>
      <w:r w:rsidRPr="00D66BD7">
        <w:rPr>
          <w:sz w:val="26"/>
          <w:szCs w:val="26"/>
        </w:rPr>
        <w:t>case involved a different set of facts and evidentiary record than the current case</w:t>
      </w:r>
      <w:r>
        <w:rPr>
          <w:sz w:val="26"/>
          <w:szCs w:val="26"/>
        </w:rPr>
        <w:t xml:space="preserve"> and, therefore, is clearly distinguishable from the present case</w:t>
      </w:r>
      <w:r w:rsidRPr="00D66BD7">
        <w:rPr>
          <w:sz w:val="26"/>
          <w:szCs w:val="26"/>
        </w:rPr>
        <w:t xml:space="preserve">. </w:t>
      </w:r>
      <w:r>
        <w:rPr>
          <w:sz w:val="26"/>
          <w:szCs w:val="26"/>
        </w:rPr>
        <w:t xml:space="preserve"> </w:t>
      </w:r>
      <w:r w:rsidRPr="00D66BD7">
        <w:rPr>
          <w:sz w:val="26"/>
          <w:szCs w:val="26"/>
        </w:rPr>
        <w:t xml:space="preserve">As noted </w:t>
      </w:r>
      <w:r>
        <w:rPr>
          <w:sz w:val="26"/>
          <w:szCs w:val="26"/>
        </w:rPr>
        <w:t xml:space="preserve">by the presiding ALJs, </w:t>
      </w:r>
      <w:r w:rsidRPr="00D66BD7">
        <w:rPr>
          <w:sz w:val="26"/>
          <w:szCs w:val="26"/>
        </w:rPr>
        <w:t xml:space="preserve">there was no expert testimony and no recording of the sales call </w:t>
      </w:r>
      <w:r w:rsidR="006F749A">
        <w:rPr>
          <w:sz w:val="26"/>
          <w:szCs w:val="26"/>
        </w:rPr>
        <w:t>placed into</w:t>
      </w:r>
      <w:r w:rsidRPr="00D66BD7">
        <w:rPr>
          <w:sz w:val="26"/>
          <w:szCs w:val="26"/>
        </w:rPr>
        <w:t xml:space="preserve"> evidence in the </w:t>
      </w:r>
      <w:r w:rsidRPr="00D66BD7">
        <w:rPr>
          <w:i/>
          <w:iCs/>
          <w:sz w:val="26"/>
          <w:szCs w:val="26"/>
        </w:rPr>
        <w:t xml:space="preserve">DuBois Manor </w:t>
      </w:r>
      <w:r w:rsidRPr="00D66BD7">
        <w:rPr>
          <w:sz w:val="26"/>
          <w:szCs w:val="26"/>
        </w:rPr>
        <w:t>case</w:t>
      </w:r>
      <w:r>
        <w:rPr>
          <w:sz w:val="26"/>
          <w:szCs w:val="26"/>
        </w:rPr>
        <w:t xml:space="preserve">.  </w:t>
      </w:r>
      <w:r>
        <w:rPr>
          <w:i/>
          <w:sz w:val="26"/>
          <w:szCs w:val="26"/>
        </w:rPr>
        <w:t xml:space="preserve">See </w:t>
      </w:r>
      <w:r>
        <w:rPr>
          <w:sz w:val="26"/>
          <w:szCs w:val="26"/>
        </w:rPr>
        <w:t xml:space="preserve">I.D. at 64. </w:t>
      </w:r>
      <w:r w:rsidRPr="00D66BD7">
        <w:rPr>
          <w:sz w:val="26"/>
          <w:szCs w:val="26"/>
        </w:rPr>
        <w:t xml:space="preserve"> </w:t>
      </w:r>
      <w:r>
        <w:rPr>
          <w:sz w:val="26"/>
          <w:szCs w:val="26"/>
        </w:rPr>
        <w:t>A</w:t>
      </w:r>
      <w:r w:rsidRPr="00D66BD7">
        <w:rPr>
          <w:sz w:val="26"/>
          <w:szCs w:val="26"/>
        </w:rPr>
        <w:t>nd</w:t>
      </w:r>
      <w:r>
        <w:rPr>
          <w:sz w:val="26"/>
          <w:szCs w:val="26"/>
        </w:rPr>
        <w:t>,</w:t>
      </w:r>
      <w:r w:rsidRPr="00D66BD7">
        <w:rPr>
          <w:sz w:val="26"/>
          <w:szCs w:val="26"/>
        </w:rPr>
        <w:t xml:space="preserve"> the </w:t>
      </w:r>
      <w:r>
        <w:rPr>
          <w:sz w:val="26"/>
          <w:szCs w:val="26"/>
        </w:rPr>
        <w:t>P</w:t>
      </w:r>
      <w:r w:rsidRPr="00D66BD7">
        <w:rPr>
          <w:sz w:val="26"/>
          <w:szCs w:val="26"/>
        </w:rPr>
        <w:t xml:space="preserve">residing Officer in </w:t>
      </w:r>
      <w:r w:rsidRPr="00D66BD7">
        <w:rPr>
          <w:i/>
          <w:iCs/>
          <w:sz w:val="26"/>
          <w:szCs w:val="26"/>
        </w:rPr>
        <w:t>DuBois Manor</w:t>
      </w:r>
      <w:r w:rsidRPr="00D66BD7">
        <w:rPr>
          <w:sz w:val="26"/>
          <w:szCs w:val="26"/>
        </w:rPr>
        <w:t xml:space="preserve"> found the complainant</w:t>
      </w:r>
      <w:r w:rsidR="006F749A">
        <w:rPr>
          <w:sz w:val="26"/>
          <w:szCs w:val="26"/>
        </w:rPr>
        <w:t>’</w:t>
      </w:r>
      <w:r w:rsidRPr="00D66BD7">
        <w:rPr>
          <w:sz w:val="26"/>
          <w:szCs w:val="26"/>
        </w:rPr>
        <w:t xml:space="preserve">s </w:t>
      </w:r>
      <w:r w:rsidRPr="00D66BD7">
        <w:rPr>
          <w:sz w:val="26"/>
          <w:szCs w:val="26"/>
        </w:rPr>
        <w:lastRenderedPageBreak/>
        <w:t>testimony</w:t>
      </w:r>
      <w:r>
        <w:rPr>
          <w:sz w:val="26"/>
          <w:szCs w:val="26"/>
        </w:rPr>
        <w:t>,</w:t>
      </w:r>
      <w:r w:rsidRPr="00D66BD7">
        <w:rPr>
          <w:sz w:val="26"/>
          <w:szCs w:val="26"/>
        </w:rPr>
        <w:t xml:space="preserve"> that he was promised a one-year fixed rate product when he enrolled with Blue Pilot</w:t>
      </w:r>
      <w:r w:rsidR="006F749A">
        <w:rPr>
          <w:sz w:val="26"/>
          <w:szCs w:val="26"/>
        </w:rPr>
        <w:t>,</w:t>
      </w:r>
      <w:r w:rsidRPr="00D66BD7">
        <w:rPr>
          <w:sz w:val="26"/>
          <w:szCs w:val="26"/>
        </w:rPr>
        <w:t xml:space="preserve"> was not credible.</w:t>
      </w:r>
    </w:p>
    <w:p w:rsidR="006F749A" w:rsidRDefault="006F749A" w:rsidP="00363C2E">
      <w:pPr>
        <w:kinsoku w:val="0"/>
        <w:overflowPunct w:val="0"/>
        <w:textAlignment w:val="baseline"/>
        <w:rPr>
          <w:sz w:val="26"/>
          <w:szCs w:val="26"/>
        </w:rPr>
      </w:pPr>
    </w:p>
    <w:p w:rsidR="00673D79" w:rsidRDefault="00363C2E" w:rsidP="00363C2E">
      <w:pPr>
        <w:rPr>
          <w:sz w:val="26"/>
          <w:szCs w:val="26"/>
        </w:rPr>
      </w:pPr>
      <w:r>
        <w:rPr>
          <w:sz w:val="26"/>
          <w:szCs w:val="26"/>
        </w:rPr>
        <w:t xml:space="preserve">In the present case, </w:t>
      </w:r>
      <w:r w:rsidRPr="00D66BD7">
        <w:rPr>
          <w:sz w:val="26"/>
          <w:szCs w:val="26"/>
        </w:rPr>
        <w:t>Blue Pilot seems to ignore th</w:t>
      </w:r>
      <w:r>
        <w:rPr>
          <w:sz w:val="26"/>
          <w:szCs w:val="26"/>
        </w:rPr>
        <w:t>is</w:t>
      </w:r>
      <w:r w:rsidRPr="00D66BD7">
        <w:rPr>
          <w:sz w:val="26"/>
          <w:szCs w:val="26"/>
        </w:rPr>
        <w:t xml:space="preserve"> Commission</w:t>
      </w:r>
      <w:r>
        <w:rPr>
          <w:sz w:val="26"/>
          <w:szCs w:val="26"/>
        </w:rPr>
        <w:t>’</w:t>
      </w:r>
      <w:r w:rsidRPr="00D66BD7">
        <w:rPr>
          <w:sz w:val="26"/>
          <w:szCs w:val="26"/>
        </w:rPr>
        <w:t xml:space="preserve">s decision in </w:t>
      </w:r>
      <w:r w:rsidRPr="00001309">
        <w:rPr>
          <w:i/>
          <w:sz w:val="26"/>
          <w:szCs w:val="26"/>
        </w:rPr>
        <w:t>Enrico Partners L.P. v. Blue Pilot, LLC</w:t>
      </w:r>
      <w:r w:rsidRPr="00001309">
        <w:rPr>
          <w:sz w:val="26"/>
          <w:szCs w:val="26"/>
        </w:rPr>
        <w:t>, Docket No.</w:t>
      </w:r>
      <w:r w:rsidRPr="00001309">
        <w:rPr>
          <w:i/>
          <w:sz w:val="26"/>
          <w:szCs w:val="26"/>
        </w:rPr>
        <w:t xml:space="preserve"> </w:t>
      </w:r>
      <w:r w:rsidRPr="00001309">
        <w:rPr>
          <w:bCs/>
          <w:sz w:val="26"/>
          <w:szCs w:val="26"/>
        </w:rPr>
        <w:t>C-2014-2432979</w:t>
      </w:r>
      <w:r w:rsidRPr="00001309">
        <w:rPr>
          <w:sz w:val="26"/>
          <w:szCs w:val="26"/>
        </w:rPr>
        <w:t xml:space="preserve"> (Order entered May 14, 2017) (</w:t>
      </w:r>
      <w:r w:rsidRPr="00001309">
        <w:rPr>
          <w:i/>
          <w:sz w:val="26"/>
          <w:szCs w:val="26"/>
        </w:rPr>
        <w:t>Enrico</w:t>
      </w:r>
      <w:r w:rsidRPr="00001309">
        <w:rPr>
          <w:sz w:val="26"/>
          <w:szCs w:val="26"/>
        </w:rPr>
        <w:t>).</w:t>
      </w:r>
      <w:r>
        <w:rPr>
          <w:sz w:val="26"/>
          <w:szCs w:val="26"/>
        </w:rPr>
        <w:t xml:space="preserve">  I</w:t>
      </w:r>
      <w:r w:rsidRPr="00D66BD7">
        <w:rPr>
          <w:sz w:val="26"/>
          <w:szCs w:val="26"/>
        </w:rPr>
        <w:t xml:space="preserve">n </w:t>
      </w:r>
      <w:r w:rsidRPr="00001309">
        <w:rPr>
          <w:i/>
          <w:sz w:val="26"/>
          <w:szCs w:val="26"/>
        </w:rPr>
        <w:t>Enrico</w:t>
      </w:r>
      <w:r w:rsidR="00673D79">
        <w:rPr>
          <w:sz w:val="26"/>
          <w:szCs w:val="26"/>
        </w:rPr>
        <w:t>,</w:t>
      </w:r>
      <w:r w:rsidRPr="00D66BD7">
        <w:rPr>
          <w:sz w:val="26"/>
          <w:szCs w:val="26"/>
        </w:rPr>
        <w:t xml:space="preserve"> we found that the same variable pricing disclosure language at issue here was unclear and contained inconsistencies in violation of our </w:t>
      </w:r>
      <w:r w:rsidR="006F749A">
        <w:rPr>
          <w:sz w:val="26"/>
          <w:szCs w:val="26"/>
        </w:rPr>
        <w:t>R</w:t>
      </w:r>
      <w:r w:rsidRPr="00D66BD7">
        <w:rPr>
          <w:sz w:val="26"/>
          <w:szCs w:val="26"/>
        </w:rPr>
        <w:t>egulations.</w:t>
      </w:r>
      <w:r>
        <w:rPr>
          <w:sz w:val="26"/>
          <w:szCs w:val="26"/>
        </w:rPr>
        <w:t xml:space="preserve">  </w:t>
      </w:r>
    </w:p>
    <w:p w:rsidR="00673D79" w:rsidRDefault="00673D79" w:rsidP="00363C2E">
      <w:pPr>
        <w:rPr>
          <w:sz w:val="26"/>
          <w:szCs w:val="26"/>
        </w:rPr>
      </w:pPr>
    </w:p>
    <w:p w:rsidR="00363C2E" w:rsidRDefault="00363C2E" w:rsidP="00673D79">
      <w:pPr>
        <w:rPr>
          <w:sz w:val="26"/>
          <w:szCs w:val="26"/>
        </w:rPr>
      </w:pPr>
      <w:r w:rsidRPr="00001309">
        <w:rPr>
          <w:sz w:val="26"/>
          <w:szCs w:val="26"/>
        </w:rPr>
        <w:t xml:space="preserve">In </w:t>
      </w:r>
      <w:r w:rsidRPr="00001309">
        <w:rPr>
          <w:i/>
          <w:sz w:val="26"/>
          <w:szCs w:val="26"/>
        </w:rPr>
        <w:t>Enrico</w:t>
      </w:r>
      <w:r w:rsidRPr="00001309">
        <w:rPr>
          <w:sz w:val="26"/>
          <w:szCs w:val="26"/>
        </w:rPr>
        <w:t xml:space="preserve">, we adopted in substantial part the analysis and conclusions of </w:t>
      </w:r>
      <w:r w:rsidR="006F749A">
        <w:rPr>
          <w:sz w:val="26"/>
          <w:szCs w:val="26"/>
        </w:rPr>
        <w:t xml:space="preserve">presiding </w:t>
      </w:r>
      <w:r w:rsidRPr="00001309">
        <w:rPr>
          <w:sz w:val="26"/>
          <w:szCs w:val="26"/>
        </w:rPr>
        <w:t xml:space="preserve">ALJ Cheskis </w:t>
      </w:r>
      <w:r w:rsidR="006F749A">
        <w:rPr>
          <w:sz w:val="26"/>
          <w:szCs w:val="26"/>
        </w:rPr>
        <w:t>in</w:t>
      </w:r>
      <w:r w:rsidRPr="00001309">
        <w:rPr>
          <w:sz w:val="26"/>
          <w:szCs w:val="26"/>
        </w:rPr>
        <w:t xml:space="preserve"> </w:t>
      </w:r>
      <w:r w:rsidR="006F749A">
        <w:rPr>
          <w:sz w:val="26"/>
          <w:szCs w:val="26"/>
        </w:rPr>
        <w:t>the f</w:t>
      </w:r>
      <w:r w:rsidRPr="00001309">
        <w:rPr>
          <w:sz w:val="26"/>
          <w:szCs w:val="26"/>
        </w:rPr>
        <w:t xml:space="preserve">ormal </w:t>
      </w:r>
      <w:r w:rsidR="006F749A">
        <w:rPr>
          <w:sz w:val="26"/>
          <w:szCs w:val="26"/>
        </w:rPr>
        <w:t>c</w:t>
      </w:r>
      <w:r w:rsidRPr="00001309">
        <w:rPr>
          <w:sz w:val="26"/>
          <w:szCs w:val="26"/>
        </w:rPr>
        <w:t>omplaint filed against Blue Pilot</w:t>
      </w:r>
      <w:r w:rsidR="006F749A">
        <w:rPr>
          <w:sz w:val="26"/>
          <w:szCs w:val="26"/>
        </w:rPr>
        <w:t xml:space="preserve"> which resulted in the Initial Decision and final Commission Order</w:t>
      </w:r>
      <w:r w:rsidRPr="00001309">
        <w:rPr>
          <w:sz w:val="26"/>
          <w:szCs w:val="26"/>
        </w:rPr>
        <w:t xml:space="preserve">.  The complainant </w:t>
      </w:r>
      <w:r w:rsidR="006F749A">
        <w:rPr>
          <w:sz w:val="26"/>
          <w:szCs w:val="26"/>
        </w:rPr>
        <w:t xml:space="preserve">in </w:t>
      </w:r>
      <w:r w:rsidR="006F749A">
        <w:rPr>
          <w:i/>
          <w:sz w:val="26"/>
          <w:szCs w:val="26"/>
        </w:rPr>
        <w:t xml:space="preserve">Enrico </w:t>
      </w:r>
      <w:r w:rsidRPr="00001309">
        <w:rPr>
          <w:sz w:val="26"/>
          <w:szCs w:val="26"/>
        </w:rPr>
        <w:t>was a small business customer</w:t>
      </w:r>
      <w:r w:rsidR="00673D79">
        <w:rPr>
          <w:sz w:val="26"/>
          <w:szCs w:val="26"/>
        </w:rPr>
        <w:t>,</w:t>
      </w:r>
      <w:r>
        <w:rPr>
          <w:sz w:val="26"/>
          <w:szCs w:val="26"/>
        </w:rPr>
        <w:t xml:space="preserve"> and th</w:t>
      </w:r>
      <w:r w:rsidRPr="00001309">
        <w:rPr>
          <w:sz w:val="26"/>
          <w:szCs w:val="26"/>
        </w:rPr>
        <w:t>e primary issue concerned whether a specific phrase in Blue Pilot’s disclosure statement</w:t>
      </w:r>
      <w:r>
        <w:rPr>
          <w:sz w:val="26"/>
          <w:szCs w:val="26"/>
        </w:rPr>
        <w:t>, identical to the language in this Complaint</w:t>
      </w:r>
      <w:r w:rsidRPr="00001309">
        <w:rPr>
          <w:sz w:val="26"/>
          <w:szCs w:val="26"/>
        </w:rPr>
        <w:t xml:space="preserve"> purporting to identify the conditions of rate variability</w:t>
      </w:r>
      <w:r w:rsidR="00673D79">
        <w:rPr>
          <w:sz w:val="26"/>
          <w:szCs w:val="26"/>
        </w:rPr>
        <w:t>,</w:t>
      </w:r>
      <w:r w:rsidRPr="00001309">
        <w:rPr>
          <w:sz w:val="26"/>
          <w:szCs w:val="26"/>
        </w:rPr>
        <w:t xml:space="preserve"> complied with the Commission’s Regulations.  </w:t>
      </w:r>
      <w:r w:rsidR="00D61FF5">
        <w:rPr>
          <w:sz w:val="26"/>
          <w:szCs w:val="26"/>
        </w:rPr>
        <w:t xml:space="preserve">The </w:t>
      </w:r>
      <w:r w:rsidRPr="00001309">
        <w:rPr>
          <w:sz w:val="26"/>
          <w:szCs w:val="26"/>
        </w:rPr>
        <w:t xml:space="preserve">presiding ALJ </w:t>
      </w:r>
      <w:r w:rsidR="006F749A">
        <w:rPr>
          <w:sz w:val="26"/>
          <w:szCs w:val="26"/>
        </w:rPr>
        <w:t xml:space="preserve">Cheskis </w:t>
      </w:r>
      <w:r w:rsidRPr="00001309">
        <w:rPr>
          <w:sz w:val="26"/>
          <w:szCs w:val="26"/>
        </w:rPr>
        <w:t xml:space="preserve">in </w:t>
      </w:r>
      <w:r w:rsidRPr="00001309">
        <w:rPr>
          <w:i/>
          <w:sz w:val="26"/>
          <w:szCs w:val="26"/>
        </w:rPr>
        <w:t>Enrico</w:t>
      </w:r>
      <w:r w:rsidRPr="00001309">
        <w:rPr>
          <w:i/>
          <w:sz w:val="26"/>
        </w:rPr>
        <w:t xml:space="preserve"> </w:t>
      </w:r>
      <w:r w:rsidRPr="00001309">
        <w:rPr>
          <w:sz w:val="26"/>
          <w:szCs w:val="26"/>
        </w:rPr>
        <w:t xml:space="preserve">concluded that the applicable language did not comport with the “plain language” requirements of our Regulations.  The </w:t>
      </w:r>
      <w:r w:rsidR="006F749A">
        <w:rPr>
          <w:sz w:val="26"/>
          <w:szCs w:val="26"/>
        </w:rPr>
        <w:t>R</w:t>
      </w:r>
      <w:r w:rsidRPr="00001309">
        <w:rPr>
          <w:sz w:val="26"/>
          <w:szCs w:val="26"/>
        </w:rPr>
        <w:t xml:space="preserve">egulations were interpreted concerning Blue Pilot’s reference to, and reliance on, the statement, “. . . we may increase or decrease your rate based upon several factors, including changes in wholesale energy market prices in the PJM Markets.  Your variable rate will be based upon PJM wholesale market conditions.”  </w:t>
      </w:r>
      <w:r w:rsidRPr="00001309">
        <w:rPr>
          <w:i/>
          <w:sz w:val="26"/>
          <w:szCs w:val="26"/>
        </w:rPr>
        <w:t xml:space="preserve">See Enrico </w:t>
      </w:r>
      <w:r w:rsidRPr="00001309">
        <w:rPr>
          <w:sz w:val="26"/>
          <w:szCs w:val="26"/>
        </w:rPr>
        <w:t>at 16-17.</w:t>
      </w:r>
      <w:r w:rsidR="00673D79">
        <w:rPr>
          <w:sz w:val="26"/>
          <w:szCs w:val="26"/>
        </w:rPr>
        <w:t xml:space="preserve">  </w:t>
      </w:r>
      <w:r w:rsidR="00410C4B">
        <w:rPr>
          <w:sz w:val="26"/>
          <w:szCs w:val="26"/>
        </w:rPr>
        <w:t xml:space="preserve">The </w:t>
      </w:r>
      <w:r>
        <w:rPr>
          <w:sz w:val="26"/>
          <w:szCs w:val="26"/>
        </w:rPr>
        <w:t>Commission</w:t>
      </w:r>
      <w:r w:rsidR="00673D79">
        <w:rPr>
          <w:sz w:val="26"/>
          <w:szCs w:val="26"/>
        </w:rPr>
        <w:t xml:space="preserve"> in </w:t>
      </w:r>
      <w:r w:rsidR="00673D79">
        <w:rPr>
          <w:i/>
          <w:sz w:val="26"/>
          <w:szCs w:val="26"/>
        </w:rPr>
        <w:t>Enrico</w:t>
      </w:r>
      <w:r>
        <w:rPr>
          <w:sz w:val="26"/>
          <w:szCs w:val="26"/>
        </w:rPr>
        <w:t xml:space="preserve"> found </w:t>
      </w:r>
      <w:r w:rsidR="00410C4B">
        <w:rPr>
          <w:sz w:val="26"/>
          <w:szCs w:val="26"/>
        </w:rPr>
        <w:t>that these sentences were</w:t>
      </w:r>
      <w:r>
        <w:rPr>
          <w:sz w:val="26"/>
          <w:szCs w:val="26"/>
        </w:rPr>
        <w:t xml:space="preserve"> unclear and ambiguous when read together.  </w:t>
      </w:r>
      <w:r>
        <w:rPr>
          <w:i/>
          <w:sz w:val="26"/>
          <w:szCs w:val="26"/>
        </w:rPr>
        <w:t xml:space="preserve">See Enrico </w:t>
      </w:r>
      <w:r>
        <w:rPr>
          <w:sz w:val="26"/>
          <w:szCs w:val="26"/>
        </w:rPr>
        <w:t>I.D. at 10, as adopted by the Commission.</w:t>
      </w:r>
      <w:r w:rsidR="00410C4B" w:rsidRPr="00410C4B">
        <w:rPr>
          <w:rStyle w:val="FootnoteReference"/>
          <w:sz w:val="26"/>
          <w:szCs w:val="26"/>
        </w:rPr>
        <w:t xml:space="preserve"> </w:t>
      </w:r>
      <w:r w:rsidR="00410C4B">
        <w:rPr>
          <w:rStyle w:val="FootnoteReference"/>
          <w:sz w:val="26"/>
          <w:szCs w:val="26"/>
        </w:rPr>
        <w:footnoteReference w:id="23"/>
      </w:r>
    </w:p>
    <w:p w:rsidR="006F749A" w:rsidRDefault="006F749A" w:rsidP="00363C2E">
      <w:pPr>
        <w:autoSpaceDE w:val="0"/>
        <w:autoSpaceDN w:val="0"/>
        <w:adjustRightInd w:val="0"/>
        <w:rPr>
          <w:sz w:val="26"/>
          <w:szCs w:val="26"/>
        </w:rPr>
      </w:pPr>
    </w:p>
    <w:p w:rsidR="00F41A79" w:rsidRPr="00D66BD7" w:rsidRDefault="00F41A79" w:rsidP="00F41A79">
      <w:pPr>
        <w:kinsoku w:val="0"/>
        <w:overflowPunct w:val="0"/>
        <w:textAlignment w:val="baseline"/>
        <w:rPr>
          <w:sz w:val="26"/>
          <w:szCs w:val="26"/>
        </w:rPr>
      </w:pPr>
      <w:r w:rsidRPr="00D66BD7">
        <w:rPr>
          <w:noProof/>
          <w:sz w:val="26"/>
          <w:szCs w:val="26"/>
        </w:rPr>
        <w:lastRenderedPageBreak/>
        <mc:AlternateContent>
          <mc:Choice Requires="wps">
            <w:drawing>
              <wp:anchor distT="0" distB="0" distL="0" distR="0" simplePos="0" relativeHeight="251661312" behindDoc="0" locked="0" layoutInCell="0" allowOverlap="1" wp14:anchorId="2ACFE38D" wp14:editId="04597271">
                <wp:simplePos x="0" y="0"/>
                <wp:positionH relativeFrom="page">
                  <wp:posOffset>3731895</wp:posOffset>
                </wp:positionH>
                <wp:positionV relativeFrom="page">
                  <wp:posOffset>9420860</wp:posOffset>
                </wp:positionV>
                <wp:extent cx="171450" cy="137795"/>
                <wp:effectExtent l="0" t="0" r="0" b="0"/>
                <wp:wrapSquare wrapText="bothSides"/>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77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6941" w:rsidRDefault="00446941" w:rsidP="00F41A79">
                            <w:pPr>
                              <w:kinsoku w:val="0"/>
                              <w:overflowPunct w:val="0"/>
                              <w:spacing w:line="212" w:lineRule="exact"/>
                              <w:textAlignment w:val="baseline"/>
                            </w:pPr>
                            <w: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FE38D" id="Text Box 5" o:spid="_x0000_s1027" type="#_x0000_t202" style="position:absolute;left:0;text-align:left;margin-left:293.85pt;margin-top:741.8pt;width:13.5pt;height:10.8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" o:allowincell="f" stroked="f">
                <v:fill opacity="0"/>
                <v:textbox inset="0,0,0,0">
                  <w:txbxContent>
                    <w:p w:rsidR="00446941" w:rsidRDefault="00446941" w:rsidP="00F41A79">
                      <w:pPr>
                        <w:kinsoku w:val="0"/>
                        <w:overflowPunct w:val="0"/>
                        <w:spacing w:line="212" w:lineRule="exact"/>
                        <w:textAlignment w:val="baseline"/>
                      </w:pPr>
                      <w:r>
                        <w:t>3</w:t>
                      </w:r>
                    </w:p>
                  </w:txbxContent>
                </v:textbox>
                <w10:wrap type="square" anchorx="page" anchory="page"/>
              </v:shape>
            </w:pict>
          </mc:Fallback>
        </mc:AlternateContent>
      </w:r>
      <w:r w:rsidRPr="00D66BD7">
        <w:rPr>
          <w:sz w:val="26"/>
          <w:szCs w:val="26"/>
        </w:rPr>
        <w:t xml:space="preserve">Blue Pilot also cites to </w:t>
      </w:r>
      <w:r w:rsidRPr="00D66BD7">
        <w:rPr>
          <w:i/>
          <w:iCs/>
          <w:sz w:val="26"/>
          <w:szCs w:val="26"/>
        </w:rPr>
        <w:t xml:space="preserve">Silvis v. Ambit Energy L.P., </w:t>
      </w:r>
      <w:r w:rsidRPr="00D66BD7">
        <w:rPr>
          <w:sz w:val="26"/>
          <w:szCs w:val="26"/>
        </w:rPr>
        <w:t>2016 WL 1086703 (E</w:t>
      </w:r>
      <w:r>
        <w:rPr>
          <w:sz w:val="26"/>
          <w:szCs w:val="26"/>
        </w:rPr>
        <w:t>.</w:t>
      </w:r>
      <w:r w:rsidRPr="00D66BD7">
        <w:rPr>
          <w:sz w:val="26"/>
          <w:szCs w:val="26"/>
        </w:rPr>
        <w:t xml:space="preserve">D. Pa. March 21, 2016) and </w:t>
      </w:r>
      <w:r w:rsidRPr="00D66BD7">
        <w:rPr>
          <w:i/>
          <w:iCs/>
          <w:sz w:val="26"/>
          <w:szCs w:val="26"/>
        </w:rPr>
        <w:t xml:space="preserve">Orange v. Starion Energy Pa., Inc., </w:t>
      </w:r>
      <w:r w:rsidRPr="00D66BD7">
        <w:rPr>
          <w:sz w:val="26"/>
          <w:szCs w:val="26"/>
        </w:rPr>
        <w:t xml:space="preserve">2016 WL 1043618 as further support that its disclosure language is clear. </w:t>
      </w:r>
      <w:r>
        <w:rPr>
          <w:sz w:val="26"/>
          <w:szCs w:val="26"/>
        </w:rPr>
        <w:t xml:space="preserve"> </w:t>
      </w:r>
      <w:r w:rsidRPr="00D66BD7">
        <w:rPr>
          <w:sz w:val="26"/>
          <w:szCs w:val="26"/>
        </w:rPr>
        <w:t xml:space="preserve">However, </w:t>
      </w:r>
      <w:r>
        <w:rPr>
          <w:sz w:val="26"/>
          <w:szCs w:val="26"/>
        </w:rPr>
        <w:t>on review, we</w:t>
      </w:r>
      <w:r w:rsidRPr="00D66BD7">
        <w:rPr>
          <w:sz w:val="26"/>
          <w:szCs w:val="26"/>
        </w:rPr>
        <w:t xml:space="preserve"> do not </w:t>
      </w:r>
      <w:r>
        <w:rPr>
          <w:sz w:val="26"/>
          <w:szCs w:val="26"/>
        </w:rPr>
        <w:t xml:space="preserve">find that </w:t>
      </w:r>
      <w:r w:rsidRPr="00D66BD7">
        <w:rPr>
          <w:sz w:val="26"/>
          <w:szCs w:val="26"/>
        </w:rPr>
        <w:t xml:space="preserve">these cases are relevant, as they involve class actions pursuant to other EGS </w:t>
      </w:r>
      <w:r>
        <w:rPr>
          <w:sz w:val="26"/>
          <w:szCs w:val="26"/>
        </w:rPr>
        <w:t xml:space="preserve">company </w:t>
      </w:r>
      <w:r w:rsidRPr="00D66BD7">
        <w:rPr>
          <w:sz w:val="26"/>
          <w:szCs w:val="26"/>
        </w:rPr>
        <w:t>disclosure statements</w:t>
      </w:r>
      <w:r>
        <w:rPr>
          <w:sz w:val="26"/>
          <w:szCs w:val="26"/>
        </w:rPr>
        <w:t>/information,</w:t>
      </w:r>
      <w:r w:rsidRPr="00D66BD7">
        <w:rPr>
          <w:sz w:val="26"/>
          <w:szCs w:val="26"/>
        </w:rPr>
        <w:t xml:space="preserve"> with different language than what is at issue in this case.</w:t>
      </w:r>
    </w:p>
    <w:p w:rsidR="00F41A79" w:rsidRDefault="00F41A79" w:rsidP="00F41A79">
      <w:pPr>
        <w:kinsoku w:val="0"/>
        <w:overflowPunct w:val="0"/>
        <w:textAlignment w:val="baseline"/>
        <w:rPr>
          <w:sz w:val="26"/>
          <w:szCs w:val="26"/>
        </w:rPr>
      </w:pPr>
    </w:p>
    <w:p w:rsidR="00F41A79" w:rsidRPr="00D66BD7" w:rsidRDefault="00F41A79" w:rsidP="00F41A79">
      <w:pPr>
        <w:kinsoku w:val="0"/>
        <w:overflowPunct w:val="0"/>
        <w:textAlignment w:val="baseline"/>
        <w:rPr>
          <w:sz w:val="26"/>
          <w:szCs w:val="26"/>
        </w:rPr>
      </w:pPr>
      <w:r>
        <w:rPr>
          <w:sz w:val="26"/>
          <w:szCs w:val="26"/>
        </w:rPr>
        <w:t xml:space="preserve">Based on the foregoing, we shall </w:t>
      </w:r>
      <w:r w:rsidRPr="00D66BD7">
        <w:rPr>
          <w:sz w:val="26"/>
          <w:szCs w:val="26"/>
        </w:rPr>
        <w:t>deny Blue Pilot</w:t>
      </w:r>
      <w:r>
        <w:rPr>
          <w:sz w:val="26"/>
          <w:szCs w:val="26"/>
        </w:rPr>
        <w:t>’</w:t>
      </w:r>
      <w:r w:rsidRPr="00D66BD7">
        <w:rPr>
          <w:sz w:val="26"/>
          <w:szCs w:val="26"/>
        </w:rPr>
        <w:t>s Exception to the I</w:t>
      </w:r>
      <w:r w:rsidR="00D61FF5">
        <w:rPr>
          <w:sz w:val="26"/>
          <w:szCs w:val="26"/>
        </w:rPr>
        <w:t>nitial Decision</w:t>
      </w:r>
      <w:r w:rsidRPr="00D66BD7">
        <w:rPr>
          <w:sz w:val="26"/>
          <w:szCs w:val="26"/>
        </w:rPr>
        <w:t xml:space="preserve"> regarding Count I </w:t>
      </w:r>
      <w:r w:rsidR="00474E36">
        <w:rPr>
          <w:sz w:val="26"/>
          <w:szCs w:val="26"/>
        </w:rPr>
        <w:t xml:space="preserve">(Failure to Provide Accurate Pricing Information) </w:t>
      </w:r>
      <w:r w:rsidRPr="00D66BD7">
        <w:rPr>
          <w:sz w:val="26"/>
          <w:szCs w:val="26"/>
        </w:rPr>
        <w:t>of the Complaint.</w:t>
      </w:r>
    </w:p>
    <w:p w:rsidR="00A32A81" w:rsidRPr="00001309" w:rsidRDefault="00A32A81" w:rsidP="009542A1">
      <w:pPr>
        <w:autoSpaceDE w:val="0"/>
        <w:autoSpaceDN w:val="0"/>
        <w:adjustRightInd w:val="0"/>
        <w:ind w:firstLine="0"/>
        <w:rPr>
          <w:sz w:val="26"/>
          <w:szCs w:val="26"/>
        </w:rPr>
      </w:pPr>
    </w:p>
    <w:p w:rsidR="00683656" w:rsidRPr="00625D82" w:rsidRDefault="00882984" w:rsidP="00F429DB">
      <w:pPr>
        <w:pStyle w:val="Heading2"/>
        <w:ind w:firstLine="0"/>
        <w:rPr>
          <w:rFonts w:ascii="Times New Roman" w:hAnsi="Times New Roman" w:cs="Times New Roman"/>
          <w:b/>
          <w:color w:val="auto"/>
        </w:rPr>
      </w:pPr>
      <w:bookmarkStart w:id="24" w:name="_Toc517831038"/>
      <w:r w:rsidRPr="00625D82">
        <w:rPr>
          <w:rFonts w:ascii="Times New Roman" w:hAnsi="Times New Roman" w:cs="Times New Roman"/>
          <w:b/>
          <w:color w:val="auto"/>
        </w:rPr>
        <w:t>G</w:t>
      </w:r>
      <w:r w:rsidR="00683656" w:rsidRPr="00625D82">
        <w:rPr>
          <w:rFonts w:ascii="Times New Roman" w:hAnsi="Times New Roman" w:cs="Times New Roman"/>
          <w:b/>
          <w:color w:val="auto"/>
        </w:rPr>
        <w:t>.</w:t>
      </w:r>
      <w:r w:rsidRPr="00625D82">
        <w:rPr>
          <w:rFonts w:ascii="Times New Roman" w:hAnsi="Times New Roman" w:cs="Times New Roman"/>
          <w:b/>
          <w:color w:val="auto"/>
        </w:rPr>
        <w:tab/>
      </w:r>
      <w:r w:rsidR="00683656" w:rsidRPr="00625D82">
        <w:rPr>
          <w:rFonts w:ascii="Times New Roman" w:hAnsi="Times New Roman" w:cs="Times New Roman"/>
          <w:b/>
          <w:color w:val="auto"/>
        </w:rPr>
        <w:t xml:space="preserve">Count II </w:t>
      </w:r>
      <w:r w:rsidR="007B3039">
        <w:rPr>
          <w:rFonts w:ascii="Times New Roman" w:hAnsi="Times New Roman" w:cs="Times New Roman"/>
          <w:b/>
          <w:color w:val="auto"/>
        </w:rPr>
        <w:t>–</w:t>
      </w:r>
      <w:r w:rsidR="00683656" w:rsidRPr="00625D82">
        <w:rPr>
          <w:rFonts w:ascii="Times New Roman" w:hAnsi="Times New Roman" w:cs="Times New Roman"/>
          <w:b/>
          <w:color w:val="auto"/>
        </w:rPr>
        <w:t xml:space="preserve"> </w:t>
      </w:r>
      <w:r w:rsidR="007B3039">
        <w:rPr>
          <w:rFonts w:ascii="Times New Roman" w:hAnsi="Times New Roman" w:cs="Times New Roman"/>
          <w:b/>
          <w:color w:val="auto"/>
        </w:rPr>
        <w:t xml:space="preserve">Failure to Conform </w:t>
      </w:r>
      <w:r w:rsidR="00683656" w:rsidRPr="00625D82">
        <w:rPr>
          <w:rFonts w:ascii="Times New Roman" w:hAnsi="Times New Roman" w:cs="Times New Roman"/>
          <w:b/>
          <w:color w:val="auto"/>
        </w:rPr>
        <w:t xml:space="preserve">Prices to </w:t>
      </w:r>
      <w:r w:rsidR="007B3039">
        <w:rPr>
          <w:rFonts w:ascii="Times New Roman" w:hAnsi="Times New Roman" w:cs="Times New Roman"/>
          <w:b/>
          <w:color w:val="auto"/>
        </w:rPr>
        <w:t xml:space="preserve">the </w:t>
      </w:r>
      <w:r w:rsidR="00683656" w:rsidRPr="00625D82">
        <w:rPr>
          <w:rFonts w:ascii="Times New Roman" w:hAnsi="Times New Roman" w:cs="Times New Roman"/>
          <w:b/>
          <w:color w:val="auto"/>
        </w:rPr>
        <w:t>Disclosure Statement</w:t>
      </w:r>
      <w:bookmarkEnd w:id="24"/>
    </w:p>
    <w:p w:rsidR="00683656" w:rsidRPr="00001309" w:rsidRDefault="00683656" w:rsidP="000E32C8">
      <w:pPr>
        <w:keepNext/>
        <w:keepLines/>
        <w:autoSpaceDE w:val="0"/>
        <w:autoSpaceDN w:val="0"/>
        <w:rPr>
          <w:sz w:val="23"/>
          <w:szCs w:val="23"/>
        </w:rPr>
      </w:pPr>
    </w:p>
    <w:p w:rsidR="000A7C06" w:rsidRPr="00001309" w:rsidRDefault="00882984" w:rsidP="00F429DB">
      <w:pPr>
        <w:keepNext/>
        <w:keepLines/>
        <w:autoSpaceDE w:val="0"/>
        <w:autoSpaceDN w:val="0"/>
        <w:ind w:left="720" w:firstLine="0"/>
        <w:rPr>
          <w:b/>
          <w:sz w:val="26"/>
          <w:szCs w:val="26"/>
        </w:rPr>
      </w:pPr>
      <w:r w:rsidRPr="00001309">
        <w:rPr>
          <w:b/>
          <w:sz w:val="26"/>
          <w:szCs w:val="26"/>
        </w:rPr>
        <w:t>1</w:t>
      </w:r>
      <w:r w:rsidR="00B000FE" w:rsidRPr="00001309">
        <w:rPr>
          <w:b/>
          <w:sz w:val="26"/>
          <w:szCs w:val="26"/>
        </w:rPr>
        <w:t>.</w:t>
      </w:r>
      <w:r w:rsidRPr="00001309">
        <w:rPr>
          <w:b/>
          <w:sz w:val="26"/>
          <w:szCs w:val="26"/>
        </w:rPr>
        <w:tab/>
      </w:r>
      <w:r w:rsidR="000A7C06" w:rsidRPr="00001309">
        <w:rPr>
          <w:b/>
          <w:sz w:val="26"/>
          <w:szCs w:val="26"/>
        </w:rPr>
        <w:t>Positions of the Parties</w:t>
      </w:r>
    </w:p>
    <w:p w:rsidR="00BE6B80" w:rsidRPr="00001309" w:rsidRDefault="00BE6B80" w:rsidP="000E32C8">
      <w:pPr>
        <w:keepNext/>
        <w:keepLines/>
        <w:autoSpaceDE w:val="0"/>
        <w:autoSpaceDN w:val="0"/>
        <w:ind w:left="720" w:firstLine="720"/>
        <w:rPr>
          <w:sz w:val="26"/>
          <w:szCs w:val="26"/>
        </w:rPr>
      </w:pPr>
    </w:p>
    <w:p w:rsidR="00882984" w:rsidRPr="00001309" w:rsidRDefault="00BE6B80" w:rsidP="000E32C8">
      <w:pPr>
        <w:keepNext/>
        <w:keepLines/>
        <w:autoSpaceDE w:val="0"/>
        <w:autoSpaceDN w:val="0"/>
        <w:rPr>
          <w:b/>
          <w:sz w:val="26"/>
          <w:szCs w:val="26"/>
        </w:rPr>
      </w:pPr>
      <w:r w:rsidRPr="00001309">
        <w:rPr>
          <w:b/>
          <w:sz w:val="26"/>
          <w:szCs w:val="26"/>
        </w:rPr>
        <w:t>a.</w:t>
      </w:r>
      <w:r w:rsidRPr="00001309">
        <w:rPr>
          <w:b/>
          <w:sz w:val="26"/>
          <w:szCs w:val="26"/>
        </w:rPr>
        <w:tab/>
      </w:r>
      <w:r w:rsidR="00882984" w:rsidRPr="00001309">
        <w:rPr>
          <w:b/>
          <w:sz w:val="26"/>
          <w:szCs w:val="26"/>
        </w:rPr>
        <w:t>Joint Complainants</w:t>
      </w:r>
    </w:p>
    <w:p w:rsidR="004A5CCA" w:rsidRPr="00001309" w:rsidRDefault="004A5CCA" w:rsidP="000E32C8">
      <w:pPr>
        <w:keepNext/>
        <w:keepLines/>
        <w:autoSpaceDE w:val="0"/>
        <w:autoSpaceDN w:val="0"/>
        <w:rPr>
          <w:sz w:val="26"/>
          <w:szCs w:val="26"/>
        </w:rPr>
      </w:pPr>
    </w:p>
    <w:p w:rsidR="000A7C06" w:rsidRPr="00001309" w:rsidRDefault="00F429DB" w:rsidP="00F5211E">
      <w:pPr>
        <w:autoSpaceDE w:val="0"/>
        <w:autoSpaceDN w:val="0"/>
        <w:rPr>
          <w:sz w:val="26"/>
          <w:szCs w:val="26"/>
        </w:rPr>
      </w:pPr>
      <w:r>
        <w:rPr>
          <w:sz w:val="26"/>
          <w:szCs w:val="26"/>
        </w:rPr>
        <w:t xml:space="preserve">The </w:t>
      </w:r>
      <w:r w:rsidR="00F5211E" w:rsidRPr="00001309">
        <w:rPr>
          <w:sz w:val="26"/>
          <w:szCs w:val="26"/>
        </w:rPr>
        <w:t>Joint Complainants contend</w:t>
      </w:r>
      <w:r w:rsidR="00917F22" w:rsidRPr="00001309">
        <w:rPr>
          <w:sz w:val="26"/>
          <w:szCs w:val="26"/>
        </w:rPr>
        <w:t>ed</w:t>
      </w:r>
      <w:r w:rsidR="00F5211E" w:rsidRPr="00001309">
        <w:rPr>
          <w:sz w:val="26"/>
          <w:szCs w:val="26"/>
        </w:rPr>
        <w:t xml:space="preserve"> that Blue Pilot “charged its variable rate customers prices at least as high as $0.50 per kWh for electricity” in early 2014.</w:t>
      </w:r>
      <w:r w:rsidR="00C6320C" w:rsidRPr="00001309">
        <w:rPr>
          <w:sz w:val="26"/>
          <w:szCs w:val="26"/>
        </w:rPr>
        <w:t xml:space="preserve">  </w:t>
      </w:r>
      <w:r w:rsidR="00C6320C" w:rsidRPr="00001309">
        <w:rPr>
          <w:i/>
          <w:sz w:val="26"/>
          <w:szCs w:val="26"/>
        </w:rPr>
        <w:t>See</w:t>
      </w:r>
      <w:r w:rsidR="00C6320C" w:rsidRPr="00001309">
        <w:rPr>
          <w:sz w:val="26"/>
          <w:szCs w:val="26"/>
        </w:rPr>
        <w:t xml:space="preserve"> I.D. </w:t>
      </w:r>
      <w:r w:rsidR="004E2A64" w:rsidRPr="00001309">
        <w:rPr>
          <w:sz w:val="26"/>
          <w:szCs w:val="26"/>
        </w:rPr>
        <w:t>at</w:t>
      </w:r>
      <w:r w:rsidR="000B7AAD" w:rsidRPr="00001309">
        <w:rPr>
          <w:sz w:val="26"/>
          <w:szCs w:val="26"/>
        </w:rPr>
        <w:t> </w:t>
      </w:r>
      <w:r w:rsidR="00C6320C" w:rsidRPr="00001309">
        <w:rPr>
          <w:sz w:val="26"/>
          <w:szCs w:val="26"/>
        </w:rPr>
        <w:t>69</w:t>
      </w:r>
      <w:r w:rsidR="004E2A64" w:rsidRPr="00001309">
        <w:rPr>
          <w:sz w:val="26"/>
          <w:szCs w:val="26"/>
        </w:rPr>
        <w:t>.</w:t>
      </w:r>
      <w:r w:rsidR="00F5211E" w:rsidRPr="00001309">
        <w:rPr>
          <w:sz w:val="26"/>
          <w:szCs w:val="26"/>
        </w:rPr>
        <w:t xml:space="preserve"> </w:t>
      </w:r>
      <w:r w:rsidR="00917F22" w:rsidRPr="00001309">
        <w:rPr>
          <w:sz w:val="26"/>
          <w:szCs w:val="26"/>
        </w:rPr>
        <w:t xml:space="preserve"> </w:t>
      </w:r>
      <w:r>
        <w:rPr>
          <w:sz w:val="26"/>
          <w:szCs w:val="26"/>
        </w:rPr>
        <w:t xml:space="preserve">The </w:t>
      </w:r>
      <w:r w:rsidR="00F5211E" w:rsidRPr="00001309">
        <w:rPr>
          <w:sz w:val="26"/>
          <w:szCs w:val="26"/>
        </w:rPr>
        <w:t>Joint Complainants averred that the prices charged by Blue Pilot “do not conform to the variable rate pricing provision” of the Company’s disclosure statement.</w:t>
      </w:r>
      <w:r w:rsidR="004A5CCA" w:rsidRPr="00001309">
        <w:rPr>
          <w:sz w:val="26"/>
          <w:szCs w:val="26"/>
        </w:rPr>
        <w:t xml:space="preserve">  </w:t>
      </w:r>
      <w:r w:rsidR="004A5CCA" w:rsidRPr="00001309">
        <w:rPr>
          <w:i/>
          <w:sz w:val="26"/>
          <w:szCs w:val="26"/>
        </w:rPr>
        <w:t>Id</w:t>
      </w:r>
      <w:r w:rsidR="004A5CCA" w:rsidRPr="00001309">
        <w:rPr>
          <w:sz w:val="26"/>
          <w:szCs w:val="26"/>
        </w:rPr>
        <w:t>.</w:t>
      </w:r>
      <w:r w:rsidR="00F5211E" w:rsidRPr="00001309">
        <w:rPr>
          <w:sz w:val="26"/>
          <w:szCs w:val="26"/>
        </w:rPr>
        <w:t xml:space="preserve"> </w:t>
      </w:r>
      <w:r w:rsidR="00917F22" w:rsidRPr="00001309">
        <w:rPr>
          <w:sz w:val="26"/>
          <w:szCs w:val="26"/>
        </w:rPr>
        <w:t xml:space="preserve"> </w:t>
      </w:r>
      <w:r>
        <w:rPr>
          <w:sz w:val="26"/>
          <w:szCs w:val="26"/>
        </w:rPr>
        <w:t xml:space="preserve">The </w:t>
      </w:r>
      <w:r w:rsidR="00F5211E" w:rsidRPr="00001309">
        <w:rPr>
          <w:sz w:val="26"/>
          <w:szCs w:val="26"/>
        </w:rPr>
        <w:t xml:space="preserve">Joint Complainants </w:t>
      </w:r>
      <w:r w:rsidR="00917F22" w:rsidRPr="00001309">
        <w:rPr>
          <w:sz w:val="26"/>
          <w:szCs w:val="26"/>
        </w:rPr>
        <w:t>took the position</w:t>
      </w:r>
      <w:r w:rsidR="00F5211E" w:rsidRPr="00001309">
        <w:rPr>
          <w:sz w:val="26"/>
          <w:szCs w:val="26"/>
        </w:rPr>
        <w:t xml:space="preserve"> </w:t>
      </w:r>
      <w:r w:rsidR="00917F22" w:rsidRPr="00001309">
        <w:rPr>
          <w:sz w:val="26"/>
          <w:szCs w:val="26"/>
        </w:rPr>
        <w:t xml:space="preserve">that </w:t>
      </w:r>
      <w:r w:rsidR="00F5211E" w:rsidRPr="00001309">
        <w:rPr>
          <w:sz w:val="26"/>
          <w:szCs w:val="26"/>
        </w:rPr>
        <w:t>Blue Pilot violated the Commission</w:t>
      </w:r>
      <w:r w:rsidR="004A5CCA" w:rsidRPr="00001309">
        <w:rPr>
          <w:sz w:val="26"/>
          <w:szCs w:val="26"/>
        </w:rPr>
        <w:t>’</w:t>
      </w:r>
      <w:r w:rsidR="00F5211E" w:rsidRPr="00001309">
        <w:rPr>
          <w:sz w:val="26"/>
          <w:szCs w:val="26"/>
        </w:rPr>
        <w:t xml:space="preserve">s </w:t>
      </w:r>
      <w:r w:rsidR="00693E2F" w:rsidRPr="00001309">
        <w:rPr>
          <w:sz w:val="26"/>
          <w:szCs w:val="26"/>
        </w:rPr>
        <w:t>R</w:t>
      </w:r>
      <w:r w:rsidR="00F5211E" w:rsidRPr="00001309">
        <w:rPr>
          <w:sz w:val="26"/>
          <w:szCs w:val="26"/>
        </w:rPr>
        <w:t xml:space="preserve">egulations because “prices billed must reflect the marketed prices and the agreed upon prices in the disclosure statement” as well as “agreed upon prices in the disclosure statement must reflect the marketed prices and the billed prices.” </w:t>
      </w:r>
      <w:r w:rsidR="00917F22" w:rsidRPr="00001309">
        <w:rPr>
          <w:sz w:val="26"/>
          <w:szCs w:val="26"/>
        </w:rPr>
        <w:t xml:space="preserve">I.D. </w:t>
      </w:r>
      <w:r w:rsidR="004E2A64" w:rsidRPr="00001309">
        <w:rPr>
          <w:sz w:val="26"/>
          <w:szCs w:val="26"/>
        </w:rPr>
        <w:t xml:space="preserve">at </w:t>
      </w:r>
      <w:r w:rsidR="006F2928" w:rsidRPr="00001309">
        <w:rPr>
          <w:sz w:val="26"/>
          <w:szCs w:val="26"/>
        </w:rPr>
        <w:t xml:space="preserve">69, referencing </w:t>
      </w:r>
      <w:r w:rsidR="00F5211E" w:rsidRPr="00001309">
        <w:rPr>
          <w:sz w:val="26"/>
          <w:szCs w:val="26"/>
        </w:rPr>
        <w:t>52 Pa.</w:t>
      </w:r>
      <w:r w:rsidR="006F2928" w:rsidRPr="00001309">
        <w:rPr>
          <w:sz w:val="26"/>
          <w:szCs w:val="26"/>
        </w:rPr>
        <w:t xml:space="preserve"> </w:t>
      </w:r>
      <w:r w:rsidR="00F5211E" w:rsidRPr="00001309">
        <w:rPr>
          <w:sz w:val="26"/>
          <w:szCs w:val="26"/>
        </w:rPr>
        <w:t>Code §§ 54.4(a), 54.5(a).</w:t>
      </w:r>
    </w:p>
    <w:p w:rsidR="00D37CC7" w:rsidRPr="00001309" w:rsidRDefault="00D37CC7" w:rsidP="00C5298A">
      <w:pPr>
        <w:autoSpaceDE w:val="0"/>
        <w:autoSpaceDN w:val="0"/>
        <w:ind w:firstLine="0"/>
        <w:rPr>
          <w:sz w:val="26"/>
          <w:szCs w:val="26"/>
        </w:rPr>
      </w:pPr>
    </w:p>
    <w:p w:rsidR="00345385" w:rsidRPr="00001309" w:rsidRDefault="00345385" w:rsidP="000935DF">
      <w:pPr>
        <w:keepNext/>
        <w:keepLines/>
        <w:autoSpaceDE w:val="0"/>
        <w:autoSpaceDN w:val="0"/>
        <w:ind w:firstLine="720"/>
        <w:rPr>
          <w:b/>
          <w:sz w:val="26"/>
          <w:szCs w:val="26"/>
        </w:rPr>
      </w:pPr>
      <w:r w:rsidRPr="00001309">
        <w:rPr>
          <w:b/>
          <w:sz w:val="26"/>
          <w:szCs w:val="26"/>
        </w:rPr>
        <w:lastRenderedPageBreak/>
        <w:tab/>
      </w:r>
      <w:r w:rsidR="00107C1C" w:rsidRPr="00001309">
        <w:rPr>
          <w:b/>
          <w:sz w:val="26"/>
          <w:szCs w:val="26"/>
        </w:rPr>
        <w:t>b.</w:t>
      </w:r>
      <w:r w:rsidR="00107C1C" w:rsidRPr="00001309">
        <w:rPr>
          <w:b/>
          <w:sz w:val="26"/>
          <w:szCs w:val="26"/>
        </w:rPr>
        <w:tab/>
      </w:r>
      <w:r w:rsidRPr="00001309">
        <w:rPr>
          <w:b/>
          <w:sz w:val="26"/>
          <w:szCs w:val="26"/>
        </w:rPr>
        <w:t>Blue Pilot</w:t>
      </w:r>
    </w:p>
    <w:p w:rsidR="004A5CCA" w:rsidRPr="00001309" w:rsidRDefault="004A5CCA" w:rsidP="000935DF">
      <w:pPr>
        <w:keepNext/>
        <w:keepLines/>
        <w:autoSpaceDE w:val="0"/>
        <w:autoSpaceDN w:val="0"/>
        <w:ind w:firstLine="720"/>
        <w:rPr>
          <w:sz w:val="26"/>
          <w:szCs w:val="26"/>
        </w:rPr>
      </w:pPr>
    </w:p>
    <w:p w:rsidR="009513FD" w:rsidRPr="00001309" w:rsidRDefault="006F2928" w:rsidP="006F2928">
      <w:pPr>
        <w:autoSpaceDE w:val="0"/>
        <w:autoSpaceDN w:val="0"/>
        <w:rPr>
          <w:sz w:val="26"/>
          <w:szCs w:val="26"/>
        </w:rPr>
      </w:pPr>
      <w:r w:rsidRPr="00001309">
        <w:rPr>
          <w:sz w:val="26"/>
          <w:szCs w:val="26"/>
        </w:rPr>
        <w:t xml:space="preserve">Blue Pilot argued that the Commission may not regulate EGS prices or interpret contracts between EGSs and their customers. </w:t>
      </w:r>
      <w:r w:rsidR="0052543A" w:rsidRPr="00001309">
        <w:rPr>
          <w:sz w:val="26"/>
          <w:szCs w:val="26"/>
        </w:rPr>
        <w:t xml:space="preserve"> </w:t>
      </w:r>
      <w:r w:rsidRPr="00001309">
        <w:rPr>
          <w:sz w:val="26"/>
          <w:szCs w:val="26"/>
        </w:rPr>
        <w:t xml:space="preserve">Blue Pilot </w:t>
      </w:r>
      <w:r w:rsidR="003767D1" w:rsidRPr="00001309">
        <w:rPr>
          <w:sz w:val="26"/>
          <w:szCs w:val="26"/>
        </w:rPr>
        <w:t>advised</w:t>
      </w:r>
      <w:r w:rsidRPr="00001309">
        <w:rPr>
          <w:sz w:val="26"/>
          <w:szCs w:val="26"/>
        </w:rPr>
        <w:t xml:space="preserve"> that it is not a “public utility” under the Code and, therefore, the Commission has no authority to regulate its rates or to determine whether a billing occurred </w:t>
      </w:r>
      <w:r w:rsidR="003767D1" w:rsidRPr="00001309">
        <w:rPr>
          <w:sz w:val="26"/>
          <w:szCs w:val="26"/>
        </w:rPr>
        <w:t xml:space="preserve">that was </w:t>
      </w:r>
      <w:r w:rsidRPr="00001309">
        <w:rPr>
          <w:sz w:val="26"/>
          <w:szCs w:val="26"/>
        </w:rPr>
        <w:t xml:space="preserve">not in accordance with a disclosure statement or marketed prices.  </w:t>
      </w:r>
      <w:r w:rsidRPr="00001309">
        <w:rPr>
          <w:i/>
          <w:sz w:val="26"/>
          <w:szCs w:val="26"/>
        </w:rPr>
        <w:t xml:space="preserve">See </w:t>
      </w:r>
      <w:r w:rsidRPr="00001309">
        <w:rPr>
          <w:sz w:val="26"/>
          <w:szCs w:val="26"/>
        </w:rPr>
        <w:t xml:space="preserve">I.D. at 69, citing </w:t>
      </w:r>
      <w:r w:rsidRPr="00001309">
        <w:rPr>
          <w:i/>
          <w:sz w:val="26"/>
          <w:szCs w:val="26"/>
        </w:rPr>
        <w:t>Coalition for Affordable Utility Services and Energy Efficiency in Pennsylvania, et al v. Pa. PUC</w:t>
      </w:r>
      <w:r w:rsidRPr="00001309">
        <w:rPr>
          <w:i/>
          <w:iCs/>
          <w:sz w:val="26"/>
          <w:szCs w:val="26"/>
        </w:rPr>
        <w:t xml:space="preserve">, </w:t>
      </w:r>
      <w:r w:rsidRPr="00001309">
        <w:rPr>
          <w:sz w:val="26"/>
          <w:szCs w:val="26"/>
        </w:rPr>
        <w:t>120 A.3d 1087; (Pa.</w:t>
      </w:r>
      <w:r w:rsidR="00772FA8" w:rsidRPr="00001309">
        <w:rPr>
          <w:sz w:val="26"/>
          <w:szCs w:val="26"/>
        </w:rPr>
        <w:t xml:space="preserve"> </w:t>
      </w:r>
      <w:r w:rsidRPr="00001309">
        <w:rPr>
          <w:sz w:val="26"/>
          <w:szCs w:val="26"/>
        </w:rPr>
        <w:t>Cmwlth. 2015)(</w:t>
      </w:r>
      <w:r w:rsidRPr="00001309">
        <w:rPr>
          <w:i/>
          <w:sz w:val="26"/>
          <w:szCs w:val="26"/>
        </w:rPr>
        <w:t>CAUSE-PA</w:t>
      </w:r>
      <w:r w:rsidRPr="00001309">
        <w:rPr>
          <w:sz w:val="26"/>
          <w:szCs w:val="26"/>
        </w:rPr>
        <w:t>).</w:t>
      </w:r>
    </w:p>
    <w:p w:rsidR="009513FD" w:rsidRPr="00001309" w:rsidRDefault="009513FD" w:rsidP="006F2928">
      <w:pPr>
        <w:autoSpaceDE w:val="0"/>
        <w:autoSpaceDN w:val="0"/>
        <w:rPr>
          <w:sz w:val="26"/>
          <w:szCs w:val="26"/>
        </w:rPr>
      </w:pPr>
    </w:p>
    <w:p w:rsidR="005568DE" w:rsidRPr="00001309" w:rsidRDefault="006F2928" w:rsidP="006F2928">
      <w:pPr>
        <w:autoSpaceDE w:val="0"/>
        <w:autoSpaceDN w:val="0"/>
        <w:rPr>
          <w:sz w:val="26"/>
          <w:szCs w:val="26"/>
        </w:rPr>
      </w:pPr>
      <w:r w:rsidRPr="00001309">
        <w:rPr>
          <w:sz w:val="26"/>
          <w:szCs w:val="26"/>
        </w:rPr>
        <w:t xml:space="preserve">Blue Pilot conceded that the Commonwealth Court </w:t>
      </w:r>
      <w:r w:rsidR="00A25A55" w:rsidRPr="00001309">
        <w:rPr>
          <w:sz w:val="26"/>
          <w:szCs w:val="26"/>
        </w:rPr>
        <w:t xml:space="preserve">in </w:t>
      </w:r>
      <w:r w:rsidR="00A25A55" w:rsidRPr="00001309">
        <w:rPr>
          <w:i/>
          <w:sz w:val="26"/>
          <w:szCs w:val="26"/>
        </w:rPr>
        <w:t>CAUSE-PA</w:t>
      </w:r>
      <w:r w:rsidR="00A25A55" w:rsidRPr="00001309">
        <w:rPr>
          <w:sz w:val="26"/>
          <w:szCs w:val="26"/>
        </w:rPr>
        <w:t xml:space="preserve"> </w:t>
      </w:r>
      <w:r w:rsidRPr="00001309">
        <w:rPr>
          <w:sz w:val="26"/>
          <w:szCs w:val="26"/>
        </w:rPr>
        <w:t>stated the Commission could “bend” competition such that it need not be unbridled</w:t>
      </w:r>
      <w:r w:rsidR="00F90F4D" w:rsidRPr="00001309">
        <w:rPr>
          <w:sz w:val="26"/>
          <w:szCs w:val="26"/>
        </w:rPr>
        <w:t xml:space="preserve"> competition under the Act</w:t>
      </w:r>
      <w:r w:rsidRPr="00001309">
        <w:rPr>
          <w:sz w:val="26"/>
          <w:szCs w:val="26"/>
        </w:rPr>
        <w:t>, especially where low-income consumers are concerned.  However, Blue Pilot argue</w:t>
      </w:r>
      <w:r w:rsidR="00F90F4D" w:rsidRPr="00001309">
        <w:rPr>
          <w:sz w:val="26"/>
          <w:szCs w:val="26"/>
        </w:rPr>
        <w:t>d</w:t>
      </w:r>
      <w:r w:rsidRPr="00001309">
        <w:rPr>
          <w:sz w:val="26"/>
          <w:szCs w:val="26"/>
        </w:rPr>
        <w:t xml:space="preserve"> that the decision should be narrowly interpreted to carve out just one exception to the overall</w:t>
      </w:r>
      <w:r w:rsidR="00C52022" w:rsidRPr="00001309">
        <w:rPr>
          <w:sz w:val="26"/>
          <w:szCs w:val="26"/>
        </w:rPr>
        <w:t>,</w:t>
      </w:r>
      <w:r w:rsidRPr="00001309">
        <w:rPr>
          <w:sz w:val="26"/>
          <w:szCs w:val="26"/>
        </w:rPr>
        <w:t xml:space="preserve"> general rule that the Commission cannot determine the reasonableness of a rate, or direct the issuance a refund</w:t>
      </w:r>
      <w:r w:rsidR="003C5D69" w:rsidRPr="00001309">
        <w:rPr>
          <w:sz w:val="26"/>
          <w:szCs w:val="26"/>
        </w:rPr>
        <w:t>,</w:t>
      </w:r>
      <w:r w:rsidRPr="00001309">
        <w:rPr>
          <w:sz w:val="26"/>
          <w:szCs w:val="26"/>
        </w:rPr>
        <w:t xml:space="preserve"> as it is tied to the rate. </w:t>
      </w:r>
      <w:r w:rsidR="00555D0F" w:rsidRPr="00001309">
        <w:rPr>
          <w:sz w:val="26"/>
          <w:szCs w:val="26"/>
        </w:rPr>
        <w:t xml:space="preserve"> </w:t>
      </w:r>
      <w:r w:rsidRPr="00001309">
        <w:rPr>
          <w:sz w:val="26"/>
          <w:szCs w:val="26"/>
        </w:rPr>
        <w:t>Additionally, Blue Pilot argue</w:t>
      </w:r>
      <w:r w:rsidR="00827C82" w:rsidRPr="00001309">
        <w:rPr>
          <w:sz w:val="26"/>
          <w:szCs w:val="26"/>
        </w:rPr>
        <w:t>d</w:t>
      </w:r>
      <w:r w:rsidRPr="00001309">
        <w:rPr>
          <w:sz w:val="26"/>
          <w:szCs w:val="26"/>
        </w:rPr>
        <w:t xml:space="preserve"> the Joint Complainants have failed to show its variable prices in early 2014 departed from a Commission-approved disclosure statement. </w:t>
      </w:r>
      <w:r w:rsidR="00827C82" w:rsidRPr="00001309">
        <w:rPr>
          <w:sz w:val="26"/>
          <w:szCs w:val="26"/>
        </w:rPr>
        <w:t xml:space="preserve"> Based on the foregoing</w:t>
      </w:r>
      <w:r w:rsidRPr="00001309">
        <w:rPr>
          <w:sz w:val="26"/>
          <w:szCs w:val="26"/>
        </w:rPr>
        <w:t>, Blue Pilot argue</w:t>
      </w:r>
      <w:r w:rsidR="00827C82" w:rsidRPr="00001309">
        <w:rPr>
          <w:sz w:val="26"/>
          <w:szCs w:val="26"/>
        </w:rPr>
        <w:t>d</w:t>
      </w:r>
      <w:r w:rsidRPr="00001309">
        <w:rPr>
          <w:sz w:val="26"/>
          <w:szCs w:val="26"/>
        </w:rPr>
        <w:t xml:space="preserve"> that there </w:t>
      </w:r>
      <w:r w:rsidR="00827C82" w:rsidRPr="00001309">
        <w:rPr>
          <w:sz w:val="26"/>
          <w:szCs w:val="26"/>
        </w:rPr>
        <w:t>wa</w:t>
      </w:r>
      <w:r w:rsidRPr="00001309">
        <w:rPr>
          <w:sz w:val="26"/>
          <w:szCs w:val="26"/>
        </w:rPr>
        <w:t>s no violation of Section 54.4, 52 Pa.</w:t>
      </w:r>
      <w:r w:rsidR="00B2039B" w:rsidRPr="00001309">
        <w:rPr>
          <w:sz w:val="26"/>
          <w:szCs w:val="26"/>
        </w:rPr>
        <w:t xml:space="preserve"> </w:t>
      </w:r>
      <w:r w:rsidRPr="00001309">
        <w:rPr>
          <w:sz w:val="26"/>
          <w:szCs w:val="26"/>
        </w:rPr>
        <w:t>Code</w:t>
      </w:r>
      <w:r w:rsidR="00A25A55" w:rsidRPr="00001309">
        <w:rPr>
          <w:sz w:val="26"/>
          <w:szCs w:val="26"/>
        </w:rPr>
        <w:t xml:space="preserve"> § 54.4</w:t>
      </w:r>
      <w:r w:rsidRPr="00001309">
        <w:rPr>
          <w:sz w:val="26"/>
          <w:szCs w:val="26"/>
        </w:rPr>
        <w:t>.</w:t>
      </w:r>
      <w:r w:rsidR="0052543A" w:rsidRPr="00001309">
        <w:rPr>
          <w:sz w:val="26"/>
          <w:szCs w:val="26"/>
        </w:rPr>
        <w:t xml:space="preserve">  </w:t>
      </w:r>
      <w:r w:rsidR="00C52022" w:rsidRPr="00001309">
        <w:rPr>
          <w:sz w:val="26"/>
          <w:szCs w:val="26"/>
        </w:rPr>
        <w:t>I.D. at 69.</w:t>
      </w:r>
    </w:p>
    <w:p w:rsidR="00F1083D" w:rsidRPr="00001309" w:rsidRDefault="00F1083D" w:rsidP="001F5A69">
      <w:pPr>
        <w:autoSpaceDE w:val="0"/>
        <w:autoSpaceDN w:val="0"/>
        <w:ind w:firstLine="0"/>
        <w:rPr>
          <w:sz w:val="26"/>
          <w:szCs w:val="26"/>
        </w:rPr>
      </w:pPr>
    </w:p>
    <w:p w:rsidR="000A7C06" w:rsidRPr="00001309" w:rsidRDefault="00747231" w:rsidP="00810F03">
      <w:pPr>
        <w:keepNext/>
        <w:keepLines/>
        <w:autoSpaceDE w:val="0"/>
        <w:autoSpaceDN w:val="0"/>
        <w:ind w:firstLine="720"/>
        <w:rPr>
          <w:b/>
          <w:sz w:val="26"/>
          <w:szCs w:val="26"/>
        </w:rPr>
      </w:pPr>
      <w:r w:rsidRPr="00001309">
        <w:rPr>
          <w:b/>
          <w:sz w:val="26"/>
          <w:szCs w:val="26"/>
        </w:rPr>
        <w:t>2</w:t>
      </w:r>
      <w:r w:rsidR="002820B9" w:rsidRPr="00001309">
        <w:rPr>
          <w:b/>
          <w:sz w:val="26"/>
          <w:szCs w:val="26"/>
        </w:rPr>
        <w:t>.</w:t>
      </w:r>
      <w:r w:rsidR="002820B9" w:rsidRPr="00001309">
        <w:rPr>
          <w:b/>
          <w:sz w:val="26"/>
          <w:szCs w:val="26"/>
        </w:rPr>
        <w:tab/>
      </w:r>
      <w:r w:rsidR="000A7C06" w:rsidRPr="00001309">
        <w:rPr>
          <w:b/>
          <w:sz w:val="26"/>
          <w:szCs w:val="26"/>
        </w:rPr>
        <w:t>ALJs’ Recommendations</w:t>
      </w:r>
    </w:p>
    <w:p w:rsidR="000A7C06" w:rsidRPr="00001309" w:rsidRDefault="000A7C06" w:rsidP="00810F03">
      <w:pPr>
        <w:keepNext/>
        <w:keepLines/>
        <w:autoSpaceDE w:val="0"/>
        <w:autoSpaceDN w:val="0"/>
        <w:ind w:firstLine="720"/>
        <w:rPr>
          <w:sz w:val="26"/>
          <w:szCs w:val="26"/>
        </w:rPr>
      </w:pPr>
    </w:p>
    <w:p w:rsidR="00B2039B" w:rsidRPr="00001309" w:rsidRDefault="00B2039B" w:rsidP="00B2039B">
      <w:pPr>
        <w:autoSpaceDE w:val="0"/>
        <w:autoSpaceDN w:val="0"/>
        <w:rPr>
          <w:sz w:val="26"/>
          <w:szCs w:val="26"/>
        </w:rPr>
      </w:pPr>
      <w:r w:rsidRPr="00001309">
        <w:rPr>
          <w:sz w:val="26"/>
          <w:szCs w:val="26"/>
        </w:rPr>
        <w:t>The ALJs, in reliance on the evidentiary record established in this proceeding, rejected the legal position of Blue Pilot.  The ALJs concluded that:</w:t>
      </w:r>
    </w:p>
    <w:p w:rsidR="00B2039B" w:rsidRPr="00001309" w:rsidRDefault="00B2039B" w:rsidP="00B2039B">
      <w:pPr>
        <w:autoSpaceDE w:val="0"/>
        <w:autoSpaceDN w:val="0"/>
        <w:rPr>
          <w:sz w:val="26"/>
          <w:szCs w:val="26"/>
        </w:rPr>
      </w:pPr>
    </w:p>
    <w:p w:rsidR="00B2039B" w:rsidRPr="00001309" w:rsidRDefault="00A40FBF" w:rsidP="00A40FBF">
      <w:pPr>
        <w:autoSpaceDE w:val="0"/>
        <w:autoSpaceDN w:val="0"/>
        <w:adjustRightInd w:val="0"/>
        <w:spacing w:line="240" w:lineRule="auto"/>
        <w:ind w:left="1440" w:right="1440" w:firstLine="0"/>
        <w:rPr>
          <w:spacing w:val="0"/>
          <w:sz w:val="26"/>
          <w:szCs w:val="26"/>
        </w:rPr>
      </w:pPr>
      <w:r w:rsidRPr="00001309">
        <w:rPr>
          <w:spacing w:val="0"/>
          <w:sz w:val="26"/>
          <w:szCs w:val="26"/>
        </w:rPr>
        <w:t>[T]</w:t>
      </w:r>
      <w:r w:rsidR="00B2039B" w:rsidRPr="00001309">
        <w:rPr>
          <w:spacing w:val="0"/>
          <w:sz w:val="26"/>
          <w:szCs w:val="26"/>
        </w:rPr>
        <w:t xml:space="preserve">he Choice Act may have had an “overarching goal” of competition through deregulation of the energy supply industry, which was generally thought would lead to reduced electricity costs for consumers. </w:t>
      </w:r>
      <w:r w:rsidR="00005184" w:rsidRPr="00001309">
        <w:rPr>
          <w:spacing w:val="0"/>
          <w:sz w:val="26"/>
          <w:szCs w:val="26"/>
        </w:rPr>
        <w:t xml:space="preserve"> </w:t>
      </w:r>
      <w:r w:rsidR="00B2039B" w:rsidRPr="00001309">
        <w:rPr>
          <w:spacing w:val="0"/>
          <w:sz w:val="26"/>
          <w:szCs w:val="26"/>
        </w:rPr>
        <w:t xml:space="preserve">However, the Court also held </w:t>
      </w:r>
      <w:r w:rsidR="00B2039B" w:rsidRPr="00001309">
        <w:rPr>
          <w:spacing w:val="0"/>
          <w:sz w:val="26"/>
          <w:szCs w:val="26"/>
        </w:rPr>
        <w:lastRenderedPageBreak/>
        <w:t xml:space="preserve">that this “scheme does not demand absolute and unbridled competition.” </w:t>
      </w:r>
      <w:r w:rsidR="00B2039B" w:rsidRPr="00001309">
        <w:rPr>
          <w:spacing w:val="0"/>
          <w:sz w:val="26"/>
          <w:szCs w:val="26"/>
          <w:u w:val="single"/>
        </w:rPr>
        <w:t>Id</w:t>
      </w:r>
      <w:r w:rsidR="00B2039B" w:rsidRPr="00001309">
        <w:rPr>
          <w:spacing w:val="0"/>
          <w:sz w:val="26"/>
          <w:szCs w:val="26"/>
        </w:rPr>
        <w:t>.</w:t>
      </w:r>
    </w:p>
    <w:p w:rsidR="00B2039B" w:rsidRPr="00001309" w:rsidRDefault="00B2039B" w:rsidP="00B2039B">
      <w:pPr>
        <w:autoSpaceDE w:val="0"/>
        <w:autoSpaceDN w:val="0"/>
        <w:adjustRightInd w:val="0"/>
        <w:spacing w:line="240" w:lineRule="auto"/>
        <w:ind w:left="1440" w:right="1440" w:firstLine="0"/>
        <w:rPr>
          <w:spacing w:val="0"/>
          <w:sz w:val="26"/>
          <w:szCs w:val="26"/>
        </w:rPr>
      </w:pPr>
    </w:p>
    <w:p w:rsidR="00B2039B" w:rsidRPr="00001309" w:rsidRDefault="00B2039B" w:rsidP="00B2039B">
      <w:pPr>
        <w:autoSpaceDE w:val="0"/>
        <w:autoSpaceDN w:val="0"/>
        <w:adjustRightInd w:val="0"/>
        <w:spacing w:line="240" w:lineRule="auto"/>
        <w:ind w:left="1440" w:right="1440" w:firstLine="720"/>
        <w:rPr>
          <w:spacing w:val="0"/>
          <w:sz w:val="26"/>
          <w:szCs w:val="26"/>
        </w:rPr>
      </w:pPr>
      <w:r w:rsidRPr="00001309">
        <w:rPr>
          <w:spacing w:val="0"/>
          <w:sz w:val="26"/>
          <w:szCs w:val="26"/>
        </w:rPr>
        <w:t xml:space="preserve">We find credible Ms. Alexander’s testimony as follows: </w:t>
      </w:r>
    </w:p>
    <w:p w:rsidR="00B2039B" w:rsidRPr="00001309" w:rsidRDefault="00B2039B" w:rsidP="00B2039B">
      <w:pPr>
        <w:autoSpaceDE w:val="0"/>
        <w:autoSpaceDN w:val="0"/>
        <w:adjustRightInd w:val="0"/>
        <w:spacing w:line="240" w:lineRule="auto"/>
        <w:ind w:left="1440" w:right="1440" w:firstLine="0"/>
        <w:rPr>
          <w:spacing w:val="0"/>
          <w:sz w:val="26"/>
          <w:szCs w:val="26"/>
        </w:rPr>
      </w:pPr>
    </w:p>
    <w:p w:rsidR="00B2039B" w:rsidRPr="00001309" w:rsidRDefault="00B2039B" w:rsidP="00B2039B">
      <w:pPr>
        <w:autoSpaceDE w:val="0"/>
        <w:autoSpaceDN w:val="0"/>
        <w:adjustRightInd w:val="0"/>
        <w:spacing w:line="240" w:lineRule="auto"/>
        <w:ind w:left="2160" w:right="1440" w:firstLine="720"/>
        <w:rPr>
          <w:spacing w:val="0"/>
          <w:sz w:val="26"/>
          <w:szCs w:val="26"/>
        </w:rPr>
      </w:pPr>
      <w:r w:rsidRPr="00001309">
        <w:rPr>
          <w:spacing w:val="0"/>
          <w:sz w:val="26"/>
          <w:szCs w:val="26"/>
        </w:rPr>
        <w:t>My first observation is that the information provided to customers in Blue Pilot’s Disclosure Statement does not provide any basis for a customer to understand how the variable price will be calculated. Second, based on the information Blue Pilot has provided to date in responses to discovery, Blue Pilot’s methodology to establish its retail prices has no correlation to the vague language of its Disclosure Statement.</w:t>
      </w:r>
    </w:p>
    <w:p w:rsidR="001F5A69" w:rsidRPr="00001309" w:rsidRDefault="001F5A69" w:rsidP="00B2039B">
      <w:pPr>
        <w:autoSpaceDE w:val="0"/>
        <w:autoSpaceDN w:val="0"/>
        <w:adjustRightInd w:val="0"/>
        <w:spacing w:line="240" w:lineRule="auto"/>
        <w:ind w:left="2160" w:right="1440" w:firstLine="720"/>
        <w:rPr>
          <w:spacing w:val="0"/>
          <w:sz w:val="26"/>
          <w:szCs w:val="26"/>
        </w:rPr>
      </w:pPr>
    </w:p>
    <w:p w:rsidR="00B2039B" w:rsidRPr="00001309" w:rsidRDefault="00B2039B" w:rsidP="00B2039B">
      <w:pPr>
        <w:autoSpaceDE w:val="0"/>
        <w:autoSpaceDN w:val="0"/>
        <w:adjustRightInd w:val="0"/>
        <w:spacing w:line="240" w:lineRule="auto"/>
        <w:ind w:left="1440" w:right="1440" w:firstLine="0"/>
        <w:rPr>
          <w:spacing w:val="0"/>
          <w:sz w:val="26"/>
          <w:szCs w:val="26"/>
        </w:rPr>
      </w:pPr>
      <w:r w:rsidRPr="00001309">
        <w:rPr>
          <w:spacing w:val="0"/>
          <w:sz w:val="26"/>
          <w:szCs w:val="26"/>
        </w:rPr>
        <w:t xml:space="preserve">OAG/OCA St. 1 at 30. </w:t>
      </w:r>
      <w:r w:rsidR="00005184" w:rsidRPr="00001309">
        <w:rPr>
          <w:spacing w:val="0"/>
          <w:sz w:val="26"/>
          <w:szCs w:val="26"/>
        </w:rPr>
        <w:t xml:space="preserve"> </w:t>
      </w:r>
      <w:r w:rsidRPr="00001309">
        <w:rPr>
          <w:spacing w:val="0"/>
          <w:sz w:val="26"/>
          <w:szCs w:val="26"/>
        </w:rPr>
        <w:t xml:space="preserve">Further, Ms. Alexander concluded that Blue Pilot “charged prices to Pennsylvania customers that do not conform to any reasonable interpretation of its Disclosure Statement.” </w:t>
      </w:r>
      <w:r w:rsidRPr="00001309">
        <w:rPr>
          <w:spacing w:val="0"/>
          <w:sz w:val="26"/>
          <w:szCs w:val="26"/>
          <w:u w:val="single"/>
        </w:rPr>
        <w:t>Id</w:t>
      </w:r>
      <w:r w:rsidRPr="00001309">
        <w:rPr>
          <w:spacing w:val="0"/>
          <w:sz w:val="26"/>
          <w:szCs w:val="26"/>
        </w:rPr>
        <w:t xml:space="preserve">. at 31-32. </w:t>
      </w:r>
      <w:r w:rsidR="00005184" w:rsidRPr="00001309">
        <w:rPr>
          <w:spacing w:val="0"/>
          <w:sz w:val="26"/>
          <w:szCs w:val="26"/>
        </w:rPr>
        <w:t xml:space="preserve"> </w:t>
      </w:r>
      <w:r w:rsidRPr="00001309">
        <w:rPr>
          <w:spacing w:val="0"/>
          <w:sz w:val="26"/>
          <w:szCs w:val="26"/>
        </w:rPr>
        <w:t xml:space="preserve">As Ms. Alexander explained: </w:t>
      </w:r>
    </w:p>
    <w:p w:rsidR="00B2039B" w:rsidRPr="00001309" w:rsidRDefault="00B2039B" w:rsidP="00B2039B">
      <w:pPr>
        <w:autoSpaceDE w:val="0"/>
        <w:autoSpaceDN w:val="0"/>
        <w:adjustRightInd w:val="0"/>
        <w:spacing w:line="240" w:lineRule="auto"/>
        <w:ind w:left="1440" w:right="1440" w:firstLine="0"/>
        <w:rPr>
          <w:spacing w:val="0"/>
          <w:sz w:val="26"/>
          <w:szCs w:val="26"/>
        </w:rPr>
      </w:pPr>
    </w:p>
    <w:p w:rsidR="002820B9" w:rsidRPr="00001309" w:rsidRDefault="00B2039B" w:rsidP="00B2039B">
      <w:pPr>
        <w:autoSpaceDE w:val="0"/>
        <w:autoSpaceDN w:val="0"/>
        <w:adjustRightInd w:val="0"/>
        <w:spacing w:line="240" w:lineRule="auto"/>
        <w:ind w:left="2160" w:right="1440" w:firstLine="720"/>
        <w:rPr>
          <w:spacing w:val="0"/>
          <w:sz w:val="26"/>
          <w:szCs w:val="26"/>
        </w:rPr>
      </w:pPr>
      <w:r w:rsidRPr="00001309">
        <w:rPr>
          <w:spacing w:val="0"/>
          <w:sz w:val="26"/>
          <w:szCs w:val="26"/>
        </w:rPr>
        <w:t xml:space="preserve">Blue Pilot’s actual practices in establishing prices cannot be rationally documented or explained and the Company cannot provide any calculations that were used to determine its retail prices or how its prices </w:t>
      </w:r>
      <w:proofErr w:type="gramStart"/>
      <w:r w:rsidRPr="00001309">
        <w:rPr>
          <w:spacing w:val="0"/>
          <w:sz w:val="26"/>
          <w:szCs w:val="26"/>
        </w:rPr>
        <w:t>actually reflected</w:t>
      </w:r>
      <w:proofErr w:type="gramEnd"/>
      <w:r w:rsidRPr="00001309">
        <w:rPr>
          <w:spacing w:val="0"/>
          <w:sz w:val="26"/>
          <w:szCs w:val="26"/>
        </w:rPr>
        <w:t xml:space="preserve"> any specific wholesale market prices, factors, or other identifiable costs.</w:t>
      </w:r>
      <w:r w:rsidR="001544BD" w:rsidRPr="00001309">
        <w:rPr>
          <w:spacing w:val="0"/>
          <w:sz w:val="26"/>
          <w:szCs w:val="26"/>
        </w:rPr>
        <w:t xml:space="preserve"> </w:t>
      </w:r>
      <w:r w:rsidRPr="00001309">
        <w:rPr>
          <w:spacing w:val="0"/>
          <w:sz w:val="26"/>
          <w:szCs w:val="26"/>
        </w:rPr>
        <w:t xml:space="preserve"> Rather, Blue Pilot used an amalgam of factors, including a desired rate of return, projected electricity costs, day-ahead market costs, projected weather, fluctuations in generators’ pricing into the PJM grid, and the spot prices of natural gas. </w:t>
      </w:r>
      <w:r w:rsidR="000355E4" w:rsidRPr="00001309">
        <w:rPr>
          <w:spacing w:val="0"/>
          <w:sz w:val="26"/>
          <w:szCs w:val="26"/>
        </w:rPr>
        <w:t xml:space="preserve"> </w:t>
      </w:r>
      <w:r w:rsidRPr="00001309">
        <w:rPr>
          <w:spacing w:val="0"/>
          <w:sz w:val="26"/>
          <w:szCs w:val="26"/>
        </w:rPr>
        <w:t>Blue Pilot admits that, “Calculations for determining rates do not exist.” Furthermore, as set forth in the testimony of Dr.</w:t>
      </w:r>
      <w:r w:rsidR="00CA2B7C" w:rsidRPr="00001309">
        <w:rPr>
          <w:spacing w:val="0"/>
          <w:sz w:val="26"/>
          <w:szCs w:val="26"/>
        </w:rPr>
        <w:t> </w:t>
      </w:r>
      <w:r w:rsidRPr="00001309">
        <w:rPr>
          <w:spacing w:val="0"/>
          <w:sz w:val="26"/>
          <w:szCs w:val="26"/>
        </w:rPr>
        <w:t xml:space="preserve">Steven Estomin on behalf of the Joint Complainants, Blue Pilot’s prices cannot be explained by any reference to actual PJM market </w:t>
      </w:r>
      <w:proofErr w:type="gramStart"/>
      <w:r w:rsidRPr="00001309">
        <w:rPr>
          <w:spacing w:val="0"/>
          <w:sz w:val="26"/>
          <w:szCs w:val="26"/>
        </w:rPr>
        <w:t>costs, but</w:t>
      </w:r>
      <w:proofErr w:type="gramEnd"/>
      <w:r w:rsidRPr="00001309">
        <w:rPr>
          <w:spacing w:val="0"/>
          <w:sz w:val="26"/>
          <w:szCs w:val="26"/>
        </w:rPr>
        <w:t xml:space="preserve"> appears to reflect factors that were manipulated in an undisclosed manner, some of which were not identified in its Disclosure Statement. </w:t>
      </w:r>
      <w:r w:rsidR="000355E4" w:rsidRPr="00001309">
        <w:rPr>
          <w:spacing w:val="0"/>
          <w:sz w:val="26"/>
          <w:szCs w:val="26"/>
        </w:rPr>
        <w:t xml:space="preserve"> </w:t>
      </w:r>
      <w:r w:rsidRPr="00001309">
        <w:rPr>
          <w:spacing w:val="0"/>
          <w:sz w:val="26"/>
          <w:szCs w:val="26"/>
        </w:rPr>
        <w:t xml:space="preserve">Furthermore, when asked to </w:t>
      </w:r>
    </w:p>
    <w:p w:rsidR="00B2039B" w:rsidRPr="00001309" w:rsidRDefault="00B2039B" w:rsidP="002820B9">
      <w:pPr>
        <w:keepNext/>
        <w:keepLines/>
        <w:autoSpaceDE w:val="0"/>
        <w:autoSpaceDN w:val="0"/>
        <w:adjustRightInd w:val="0"/>
        <w:spacing w:line="240" w:lineRule="auto"/>
        <w:ind w:left="2160" w:right="1440" w:firstLine="0"/>
        <w:rPr>
          <w:spacing w:val="0"/>
          <w:sz w:val="26"/>
          <w:szCs w:val="26"/>
        </w:rPr>
      </w:pPr>
      <w:r w:rsidRPr="00001309">
        <w:rPr>
          <w:spacing w:val="0"/>
          <w:sz w:val="26"/>
          <w:szCs w:val="26"/>
        </w:rPr>
        <w:lastRenderedPageBreak/>
        <w:t xml:space="preserve">recreate the calculation or formulation of prices it </w:t>
      </w:r>
      <w:proofErr w:type="gramStart"/>
      <w:r w:rsidRPr="00001309">
        <w:rPr>
          <w:spacing w:val="0"/>
          <w:sz w:val="26"/>
          <w:szCs w:val="26"/>
        </w:rPr>
        <w:t>actually charged</w:t>
      </w:r>
      <w:proofErr w:type="gramEnd"/>
      <w:r w:rsidRPr="00001309">
        <w:rPr>
          <w:spacing w:val="0"/>
          <w:sz w:val="26"/>
          <w:szCs w:val="26"/>
        </w:rPr>
        <w:t xml:space="preserve"> customers, Blue Pilot could not do so. </w:t>
      </w:r>
    </w:p>
    <w:p w:rsidR="006F543C" w:rsidRPr="00001309" w:rsidRDefault="006F543C" w:rsidP="002820B9">
      <w:pPr>
        <w:keepNext/>
        <w:keepLines/>
        <w:autoSpaceDE w:val="0"/>
        <w:autoSpaceDN w:val="0"/>
        <w:adjustRightInd w:val="0"/>
        <w:spacing w:line="240" w:lineRule="auto"/>
        <w:ind w:left="2160" w:right="1440" w:firstLine="0"/>
        <w:rPr>
          <w:spacing w:val="0"/>
          <w:sz w:val="26"/>
          <w:szCs w:val="26"/>
        </w:rPr>
      </w:pPr>
    </w:p>
    <w:p w:rsidR="006F543C" w:rsidRPr="00001309" w:rsidRDefault="006F543C" w:rsidP="002820B9">
      <w:pPr>
        <w:keepNext/>
        <w:keepLines/>
        <w:autoSpaceDE w:val="0"/>
        <w:autoSpaceDN w:val="0"/>
        <w:adjustRightInd w:val="0"/>
        <w:spacing w:line="240" w:lineRule="auto"/>
        <w:ind w:left="2160" w:right="1440" w:firstLine="0"/>
        <w:rPr>
          <w:spacing w:val="0"/>
          <w:sz w:val="26"/>
          <w:szCs w:val="26"/>
        </w:rPr>
      </w:pPr>
    </w:p>
    <w:p w:rsidR="00B2039B" w:rsidRPr="00001309" w:rsidRDefault="00B2039B" w:rsidP="001743A2">
      <w:pPr>
        <w:autoSpaceDE w:val="0"/>
        <w:autoSpaceDN w:val="0"/>
        <w:adjustRightInd w:val="0"/>
        <w:ind w:left="720" w:firstLine="720"/>
        <w:rPr>
          <w:spacing w:val="0"/>
          <w:sz w:val="26"/>
          <w:szCs w:val="26"/>
        </w:rPr>
      </w:pPr>
      <w:r w:rsidRPr="00001309">
        <w:rPr>
          <w:spacing w:val="0"/>
          <w:sz w:val="26"/>
          <w:szCs w:val="26"/>
        </w:rPr>
        <w:t>OAG/OCA St. 1 at 31.</w:t>
      </w:r>
    </w:p>
    <w:p w:rsidR="001743A2" w:rsidRPr="00001309" w:rsidRDefault="001743A2" w:rsidP="001743A2">
      <w:pPr>
        <w:autoSpaceDE w:val="0"/>
        <w:autoSpaceDN w:val="0"/>
        <w:adjustRightInd w:val="0"/>
        <w:ind w:firstLine="0"/>
        <w:rPr>
          <w:spacing w:val="0"/>
          <w:sz w:val="26"/>
          <w:szCs w:val="26"/>
        </w:rPr>
      </w:pPr>
      <w:r w:rsidRPr="00001309">
        <w:rPr>
          <w:spacing w:val="0"/>
          <w:sz w:val="26"/>
          <w:szCs w:val="26"/>
        </w:rPr>
        <w:t>I.D. at 71.</w:t>
      </w:r>
    </w:p>
    <w:p w:rsidR="00E71409" w:rsidRPr="00001309" w:rsidRDefault="00E71409" w:rsidP="001743A2">
      <w:pPr>
        <w:autoSpaceDE w:val="0"/>
        <w:autoSpaceDN w:val="0"/>
        <w:rPr>
          <w:sz w:val="26"/>
          <w:szCs w:val="26"/>
        </w:rPr>
      </w:pPr>
    </w:p>
    <w:p w:rsidR="00747F9E" w:rsidRPr="00001309" w:rsidRDefault="006D77A3" w:rsidP="001743A2">
      <w:pPr>
        <w:autoSpaceDE w:val="0"/>
        <w:autoSpaceDN w:val="0"/>
        <w:rPr>
          <w:sz w:val="26"/>
          <w:szCs w:val="26"/>
        </w:rPr>
      </w:pPr>
      <w:r w:rsidRPr="00001309">
        <w:rPr>
          <w:sz w:val="26"/>
          <w:szCs w:val="26"/>
        </w:rPr>
        <w:t xml:space="preserve">The presiding ALJs, relying on language of the Commonwealth Court in </w:t>
      </w:r>
      <w:r w:rsidRPr="00001309">
        <w:rPr>
          <w:i/>
          <w:sz w:val="26"/>
          <w:szCs w:val="26"/>
        </w:rPr>
        <w:t>CAUSE</w:t>
      </w:r>
      <w:r w:rsidRPr="00001309">
        <w:rPr>
          <w:sz w:val="26"/>
          <w:szCs w:val="26"/>
        </w:rPr>
        <w:t xml:space="preserve">, </w:t>
      </w:r>
      <w:r w:rsidR="00747F9E" w:rsidRPr="00001309">
        <w:rPr>
          <w:sz w:val="26"/>
          <w:szCs w:val="26"/>
        </w:rPr>
        <w:t xml:space="preserve">that </w:t>
      </w:r>
      <w:r w:rsidR="00DE4CA6" w:rsidRPr="00001309">
        <w:rPr>
          <w:sz w:val="26"/>
          <w:szCs w:val="26"/>
        </w:rPr>
        <w:t xml:space="preserve">observed, </w:t>
      </w:r>
      <w:r w:rsidR="00747F9E" w:rsidRPr="00001309">
        <w:rPr>
          <w:sz w:val="26"/>
          <w:szCs w:val="26"/>
        </w:rPr>
        <w:t xml:space="preserve">this “scheme </w:t>
      </w:r>
      <w:r w:rsidR="000355E4" w:rsidRPr="00001309">
        <w:rPr>
          <w:sz w:val="26"/>
          <w:szCs w:val="26"/>
        </w:rPr>
        <w:t xml:space="preserve">[Act] </w:t>
      </w:r>
      <w:r w:rsidR="00747F9E" w:rsidRPr="00001309">
        <w:rPr>
          <w:sz w:val="26"/>
          <w:szCs w:val="26"/>
        </w:rPr>
        <w:t>does not demand absolute and unbridled competition</w:t>
      </w:r>
      <w:r w:rsidRPr="00001309">
        <w:rPr>
          <w:sz w:val="26"/>
          <w:szCs w:val="26"/>
        </w:rPr>
        <w:t>,</w:t>
      </w:r>
      <w:r w:rsidR="00747F9E" w:rsidRPr="00001309">
        <w:rPr>
          <w:sz w:val="26"/>
          <w:szCs w:val="26"/>
        </w:rPr>
        <w:t>”</w:t>
      </w:r>
      <w:r w:rsidRPr="00001309">
        <w:rPr>
          <w:sz w:val="26"/>
          <w:szCs w:val="26"/>
        </w:rPr>
        <w:t xml:space="preserve"> found that the Commission did not exceed the scope of its authority in this Complaint and that the evidence established intentional billing </w:t>
      </w:r>
      <w:r w:rsidR="001F5A69" w:rsidRPr="00001309">
        <w:rPr>
          <w:sz w:val="26"/>
          <w:szCs w:val="26"/>
        </w:rPr>
        <w:t>contrary to</w:t>
      </w:r>
      <w:r w:rsidRPr="00001309">
        <w:rPr>
          <w:sz w:val="26"/>
          <w:szCs w:val="26"/>
        </w:rPr>
        <w:t xml:space="preserve"> Blue Pilot’s disclosure.  I.D. at 71.  </w:t>
      </w:r>
      <w:r w:rsidRPr="00001309">
        <w:rPr>
          <w:i/>
          <w:sz w:val="26"/>
          <w:szCs w:val="26"/>
        </w:rPr>
        <w:t xml:space="preserve">See also, </w:t>
      </w:r>
      <w:r w:rsidRPr="00001309">
        <w:rPr>
          <w:sz w:val="26"/>
          <w:szCs w:val="26"/>
        </w:rPr>
        <w:t xml:space="preserve">I.D. at 62, citing the Commission’s holding in </w:t>
      </w:r>
      <w:r w:rsidRPr="00001309">
        <w:rPr>
          <w:i/>
          <w:sz w:val="26"/>
          <w:szCs w:val="26"/>
        </w:rPr>
        <w:t>Kiback v. IDT Energy, Inc</w:t>
      </w:r>
      <w:r w:rsidRPr="00001309">
        <w:rPr>
          <w:sz w:val="26"/>
          <w:szCs w:val="26"/>
        </w:rPr>
        <w:t>., Docket No. C-2014-2409676 (Order entered August 20, 2015)</w:t>
      </w:r>
      <w:r w:rsidR="007F29CE" w:rsidRPr="00001309">
        <w:rPr>
          <w:sz w:val="26"/>
          <w:szCs w:val="26"/>
        </w:rPr>
        <w:t xml:space="preserve"> (</w:t>
      </w:r>
      <w:r w:rsidR="007F29CE" w:rsidRPr="00001309">
        <w:rPr>
          <w:i/>
          <w:sz w:val="26"/>
          <w:szCs w:val="26"/>
        </w:rPr>
        <w:t>Kiback</w:t>
      </w:r>
      <w:r w:rsidR="007F29CE" w:rsidRPr="00001309">
        <w:rPr>
          <w:sz w:val="26"/>
          <w:szCs w:val="26"/>
        </w:rPr>
        <w:t>)</w:t>
      </w:r>
      <w:r w:rsidRPr="00001309">
        <w:rPr>
          <w:sz w:val="26"/>
          <w:szCs w:val="26"/>
        </w:rPr>
        <w:t>:</w:t>
      </w:r>
    </w:p>
    <w:p w:rsidR="006D77A3" w:rsidRPr="00001309" w:rsidRDefault="006D77A3" w:rsidP="001743A2">
      <w:pPr>
        <w:autoSpaceDE w:val="0"/>
        <w:autoSpaceDN w:val="0"/>
        <w:rPr>
          <w:sz w:val="26"/>
          <w:szCs w:val="26"/>
        </w:rPr>
      </w:pPr>
    </w:p>
    <w:p w:rsidR="006F543C" w:rsidRPr="00001309" w:rsidRDefault="006D77A3" w:rsidP="00CE1E39">
      <w:pPr>
        <w:keepNext/>
        <w:keepLines/>
        <w:autoSpaceDE w:val="0"/>
        <w:autoSpaceDN w:val="0"/>
        <w:spacing w:line="240" w:lineRule="auto"/>
        <w:ind w:left="1440" w:right="1440" w:firstLine="720"/>
        <w:rPr>
          <w:sz w:val="26"/>
          <w:szCs w:val="26"/>
        </w:rPr>
      </w:pPr>
      <w:r w:rsidRPr="00001309">
        <w:rPr>
          <w:sz w:val="26"/>
          <w:szCs w:val="26"/>
        </w:rPr>
        <w:t xml:space="preserve">Our customer choice standards are high, specific, and unequivocal. They are intended to ensure fairness and integrity in the competitive market by requiring all marketer behavior – oral, written, or electronic – to be straightforward and clear. </w:t>
      </w:r>
    </w:p>
    <w:p w:rsidR="006D77A3" w:rsidRPr="00001309" w:rsidRDefault="006D77A3" w:rsidP="006F543C">
      <w:pPr>
        <w:keepNext/>
        <w:keepLines/>
        <w:autoSpaceDE w:val="0"/>
        <w:autoSpaceDN w:val="0"/>
        <w:spacing w:line="240" w:lineRule="auto"/>
        <w:ind w:left="1440" w:right="1440" w:firstLine="0"/>
        <w:rPr>
          <w:sz w:val="26"/>
          <w:szCs w:val="26"/>
        </w:rPr>
      </w:pPr>
      <w:r w:rsidRPr="00001309">
        <w:rPr>
          <w:sz w:val="26"/>
          <w:szCs w:val="26"/>
        </w:rPr>
        <w:t>Only in this way may consumers make informed choices and the market flourish.</w:t>
      </w:r>
    </w:p>
    <w:p w:rsidR="006F543C" w:rsidRPr="00001309" w:rsidRDefault="006F543C" w:rsidP="006F543C">
      <w:pPr>
        <w:keepNext/>
        <w:keepLines/>
        <w:autoSpaceDE w:val="0"/>
        <w:autoSpaceDN w:val="0"/>
        <w:spacing w:line="240" w:lineRule="auto"/>
        <w:ind w:left="1440" w:right="1440" w:firstLine="720"/>
        <w:rPr>
          <w:sz w:val="26"/>
          <w:szCs w:val="26"/>
        </w:rPr>
      </w:pPr>
    </w:p>
    <w:p w:rsidR="006F543C" w:rsidRPr="00001309" w:rsidRDefault="006F543C" w:rsidP="006F543C">
      <w:pPr>
        <w:keepNext/>
        <w:keepLines/>
        <w:autoSpaceDE w:val="0"/>
        <w:autoSpaceDN w:val="0"/>
        <w:spacing w:line="240" w:lineRule="auto"/>
        <w:ind w:left="1440" w:right="1440" w:firstLine="720"/>
        <w:rPr>
          <w:sz w:val="26"/>
          <w:szCs w:val="26"/>
        </w:rPr>
      </w:pPr>
    </w:p>
    <w:p w:rsidR="006D77A3" w:rsidRPr="00001309" w:rsidRDefault="00DE4CA6" w:rsidP="006D77A3">
      <w:pPr>
        <w:autoSpaceDE w:val="0"/>
        <w:autoSpaceDN w:val="0"/>
        <w:ind w:firstLine="0"/>
        <w:rPr>
          <w:sz w:val="26"/>
          <w:szCs w:val="26"/>
        </w:rPr>
      </w:pPr>
      <w:r w:rsidRPr="00001309">
        <w:rPr>
          <w:i/>
          <w:sz w:val="26"/>
          <w:szCs w:val="26"/>
        </w:rPr>
        <w:t>Kiback</w:t>
      </w:r>
      <w:r w:rsidRPr="00001309">
        <w:rPr>
          <w:sz w:val="26"/>
          <w:szCs w:val="26"/>
        </w:rPr>
        <w:t>, at 24.</w:t>
      </w:r>
    </w:p>
    <w:p w:rsidR="00DE4CA6" w:rsidRPr="00001309" w:rsidRDefault="00DE4CA6" w:rsidP="006D77A3">
      <w:pPr>
        <w:autoSpaceDE w:val="0"/>
        <w:autoSpaceDN w:val="0"/>
        <w:ind w:firstLine="0"/>
        <w:rPr>
          <w:sz w:val="26"/>
          <w:szCs w:val="26"/>
        </w:rPr>
      </w:pPr>
    </w:p>
    <w:p w:rsidR="00F5211E" w:rsidRPr="00001309" w:rsidRDefault="00747231" w:rsidP="00F429DB">
      <w:pPr>
        <w:keepNext/>
        <w:keepLines/>
        <w:autoSpaceDE w:val="0"/>
        <w:autoSpaceDN w:val="0"/>
        <w:spacing w:line="240" w:lineRule="auto"/>
        <w:ind w:firstLine="720"/>
        <w:rPr>
          <w:sz w:val="26"/>
          <w:szCs w:val="26"/>
        </w:rPr>
      </w:pPr>
      <w:r w:rsidRPr="00001309">
        <w:rPr>
          <w:b/>
          <w:sz w:val="26"/>
          <w:szCs w:val="26"/>
        </w:rPr>
        <w:t>3</w:t>
      </w:r>
      <w:r w:rsidR="00276F0F" w:rsidRPr="00001309">
        <w:rPr>
          <w:b/>
          <w:sz w:val="26"/>
          <w:szCs w:val="26"/>
        </w:rPr>
        <w:t>.</w:t>
      </w:r>
      <w:r w:rsidR="00276F0F" w:rsidRPr="00001309">
        <w:rPr>
          <w:b/>
          <w:sz w:val="26"/>
          <w:szCs w:val="26"/>
        </w:rPr>
        <w:tab/>
      </w:r>
      <w:r w:rsidR="00F5211E" w:rsidRPr="00001309">
        <w:rPr>
          <w:b/>
          <w:sz w:val="26"/>
          <w:szCs w:val="26"/>
        </w:rPr>
        <w:t xml:space="preserve">Exceptions of Blue Pilot and Replies of </w:t>
      </w:r>
      <w:r w:rsidR="00F429DB">
        <w:rPr>
          <w:b/>
          <w:sz w:val="26"/>
          <w:szCs w:val="26"/>
        </w:rPr>
        <w:t xml:space="preserve">the </w:t>
      </w:r>
      <w:r w:rsidR="00F5211E" w:rsidRPr="00001309">
        <w:rPr>
          <w:b/>
          <w:sz w:val="26"/>
          <w:szCs w:val="26"/>
        </w:rPr>
        <w:t>Joint Complainants</w:t>
      </w:r>
    </w:p>
    <w:p w:rsidR="00F5211E" w:rsidRDefault="00F5211E" w:rsidP="003624BC">
      <w:pPr>
        <w:keepNext/>
        <w:keepLines/>
        <w:autoSpaceDE w:val="0"/>
        <w:autoSpaceDN w:val="0"/>
        <w:rPr>
          <w:sz w:val="26"/>
          <w:szCs w:val="26"/>
        </w:rPr>
      </w:pPr>
    </w:p>
    <w:p w:rsidR="001F5A69" w:rsidRPr="00001309" w:rsidRDefault="0093155F" w:rsidP="00124ECD">
      <w:pPr>
        <w:autoSpaceDE w:val="0"/>
        <w:autoSpaceDN w:val="0"/>
        <w:rPr>
          <w:sz w:val="26"/>
          <w:szCs w:val="26"/>
        </w:rPr>
      </w:pPr>
      <w:r w:rsidRPr="0093155F">
        <w:rPr>
          <w:sz w:val="26"/>
          <w:szCs w:val="26"/>
        </w:rPr>
        <w:t>According to Blue Pilot in its Exceptions, the I</w:t>
      </w:r>
      <w:r w:rsidR="00D115FB">
        <w:rPr>
          <w:sz w:val="26"/>
          <w:szCs w:val="26"/>
        </w:rPr>
        <w:t xml:space="preserve">nitial </w:t>
      </w:r>
      <w:r w:rsidRPr="0093155F">
        <w:rPr>
          <w:sz w:val="26"/>
          <w:szCs w:val="26"/>
        </w:rPr>
        <w:t>D</w:t>
      </w:r>
      <w:r w:rsidR="00D115FB">
        <w:rPr>
          <w:sz w:val="26"/>
          <w:szCs w:val="26"/>
        </w:rPr>
        <w:t>ecision</w:t>
      </w:r>
      <w:r w:rsidRPr="0093155F">
        <w:rPr>
          <w:sz w:val="26"/>
          <w:szCs w:val="26"/>
        </w:rPr>
        <w:t xml:space="preserve"> errs in concluding </w:t>
      </w:r>
      <w:r w:rsidR="00D6298A">
        <w:rPr>
          <w:sz w:val="26"/>
          <w:szCs w:val="26"/>
        </w:rPr>
        <w:t xml:space="preserve">Blue Pilot </w:t>
      </w:r>
      <w:r w:rsidRPr="0093155F">
        <w:rPr>
          <w:sz w:val="26"/>
          <w:szCs w:val="26"/>
        </w:rPr>
        <w:t>charged prices that did not conform to its disclosure statement</w:t>
      </w:r>
      <w:r>
        <w:rPr>
          <w:sz w:val="26"/>
          <w:szCs w:val="26"/>
        </w:rPr>
        <w:t>.</w:t>
      </w:r>
      <w:r w:rsidR="000557F9">
        <w:rPr>
          <w:sz w:val="26"/>
          <w:szCs w:val="26"/>
        </w:rPr>
        <w:t xml:space="preserve">  Exc. at</w:t>
      </w:r>
      <w:r w:rsidR="00B72E7B">
        <w:rPr>
          <w:sz w:val="26"/>
          <w:szCs w:val="26"/>
        </w:rPr>
        <w:t> </w:t>
      </w:r>
      <w:r w:rsidR="000557F9">
        <w:rPr>
          <w:sz w:val="26"/>
          <w:szCs w:val="26"/>
        </w:rPr>
        <w:t>11</w:t>
      </w:r>
      <w:r w:rsidR="00B72E7B">
        <w:rPr>
          <w:sz w:val="26"/>
          <w:szCs w:val="26"/>
        </w:rPr>
        <w:noBreakHyphen/>
      </w:r>
      <w:r w:rsidR="000557F9">
        <w:rPr>
          <w:sz w:val="26"/>
          <w:szCs w:val="26"/>
        </w:rPr>
        <w:t xml:space="preserve">15.  </w:t>
      </w:r>
      <w:r w:rsidR="001F5A69" w:rsidRPr="00001309">
        <w:rPr>
          <w:sz w:val="26"/>
          <w:szCs w:val="26"/>
        </w:rPr>
        <w:t xml:space="preserve">In Exceptions, Blue Pilot relies upon the </w:t>
      </w:r>
      <w:r w:rsidR="00EF0258" w:rsidRPr="00001309">
        <w:rPr>
          <w:sz w:val="26"/>
          <w:szCs w:val="26"/>
        </w:rPr>
        <w:t xml:space="preserve">decisions of </w:t>
      </w:r>
      <w:r w:rsidR="00CB23A7" w:rsidRPr="00001309">
        <w:rPr>
          <w:i/>
          <w:iCs/>
          <w:sz w:val="26"/>
          <w:szCs w:val="26"/>
        </w:rPr>
        <w:t xml:space="preserve">Commonwealth et al. v. Blue Pilot Energy, LLC, </w:t>
      </w:r>
      <w:r w:rsidR="00CB23A7" w:rsidRPr="00001309">
        <w:rPr>
          <w:sz w:val="26"/>
          <w:szCs w:val="26"/>
        </w:rPr>
        <w:t xml:space="preserve">Docket No. C-2014-2427655 (Order entered December 11, 2014) </w:t>
      </w:r>
      <w:r w:rsidR="00CB23A7" w:rsidRPr="00001309">
        <w:rPr>
          <w:i/>
          <w:iCs/>
          <w:sz w:val="26"/>
          <w:szCs w:val="26"/>
        </w:rPr>
        <w:t>(Blue Pilot Interlocutory Order</w:t>
      </w:r>
      <w:r w:rsidR="003C73A2" w:rsidRPr="00001309">
        <w:rPr>
          <w:iCs/>
          <w:sz w:val="26"/>
          <w:szCs w:val="26"/>
        </w:rPr>
        <w:t xml:space="preserve">) and the </w:t>
      </w:r>
      <w:r w:rsidR="003C73A2" w:rsidRPr="00001309">
        <w:rPr>
          <w:i/>
          <w:iCs/>
          <w:sz w:val="26"/>
          <w:szCs w:val="26"/>
        </w:rPr>
        <w:t>FES Declaratory Order</w:t>
      </w:r>
      <w:r w:rsidR="005473D1">
        <w:rPr>
          <w:iCs/>
          <w:sz w:val="26"/>
          <w:szCs w:val="26"/>
        </w:rPr>
        <w:t>,</w:t>
      </w:r>
      <w:r w:rsidR="003C73A2" w:rsidRPr="00001309">
        <w:rPr>
          <w:i/>
          <w:iCs/>
          <w:sz w:val="26"/>
          <w:szCs w:val="26"/>
        </w:rPr>
        <w:t xml:space="preserve"> </w:t>
      </w:r>
      <w:r w:rsidR="003C73A2" w:rsidRPr="00001309">
        <w:rPr>
          <w:iCs/>
          <w:sz w:val="26"/>
          <w:szCs w:val="26"/>
        </w:rPr>
        <w:t>to</w:t>
      </w:r>
      <w:r w:rsidR="003C73A2" w:rsidRPr="00001309">
        <w:rPr>
          <w:i/>
          <w:iCs/>
          <w:sz w:val="26"/>
          <w:szCs w:val="26"/>
        </w:rPr>
        <w:t xml:space="preserve"> </w:t>
      </w:r>
      <w:r w:rsidR="003C73A2" w:rsidRPr="00001309">
        <w:rPr>
          <w:iCs/>
          <w:sz w:val="26"/>
          <w:szCs w:val="26"/>
        </w:rPr>
        <w:t>argue that t</w:t>
      </w:r>
      <w:r w:rsidR="003C73A2" w:rsidRPr="00001309">
        <w:rPr>
          <w:sz w:val="26"/>
          <w:szCs w:val="26"/>
        </w:rPr>
        <w:t xml:space="preserve">he Commission has expressly confirmed that it does not have traditional ratemaking authority over competitive suppliers and does not regulate competitive supply rates. </w:t>
      </w:r>
      <w:r w:rsidR="00CB23A7" w:rsidRPr="00001309">
        <w:rPr>
          <w:sz w:val="26"/>
          <w:szCs w:val="26"/>
        </w:rPr>
        <w:t xml:space="preserve"> </w:t>
      </w:r>
      <w:r w:rsidR="003C73A2" w:rsidRPr="00001309">
        <w:rPr>
          <w:sz w:val="26"/>
          <w:szCs w:val="26"/>
        </w:rPr>
        <w:t xml:space="preserve">Based on the </w:t>
      </w:r>
      <w:r w:rsidR="003C73A2" w:rsidRPr="00001309">
        <w:rPr>
          <w:sz w:val="26"/>
          <w:szCs w:val="26"/>
        </w:rPr>
        <w:lastRenderedPageBreak/>
        <w:t>holdings of these decisions, Blue Pilot reasons that t</w:t>
      </w:r>
      <w:r w:rsidR="001F5A69" w:rsidRPr="00001309">
        <w:rPr>
          <w:sz w:val="26"/>
          <w:szCs w:val="26"/>
        </w:rPr>
        <w:t xml:space="preserve">he only methods by which the Commission can determine that </w:t>
      </w:r>
      <w:r w:rsidR="003C73A2" w:rsidRPr="00001309">
        <w:rPr>
          <w:sz w:val="26"/>
          <w:szCs w:val="26"/>
        </w:rPr>
        <w:t xml:space="preserve">it </w:t>
      </w:r>
      <w:r w:rsidR="001F5A69" w:rsidRPr="00001309">
        <w:rPr>
          <w:sz w:val="26"/>
          <w:szCs w:val="26"/>
        </w:rPr>
        <w:t>charged prices that did not conform to the disclosure statement are to: (</w:t>
      </w:r>
      <w:r w:rsidR="003C73A2" w:rsidRPr="00001309">
        <w:rPr>
          <w:sz w:val="26"/>
          <w:szCs w:val="26"/>
        </w:rPr>
        <w:t>1</w:t>
      </w:r>
      <w:r w:rsidR="001F5A69" w:rsidRPr="00001309">
        <w:rPr>
          <w:sz w:val="26"/>
          <w:szCs w:val="26"/>
        </w:rPr>
        <w:t>) interpret the terms of the contract; (</w:t>
      </w:r>
      <w:r w:rsidR="003C73A2" w:rsidRPr="00001309">
        <w:rPr>
          <w:sz w:val="26"/>
          <w:szCs w:val="26"/>
        </w:rPr>
        <w:t>2</w:t>
      </w:r>
      <w:r w:rsidR="001F5A69" w:rsidRPr="00001309">
        <w:rPr>
          <w:sz w:val="26"/>
          <w:szCs w:val="26"/>
        </w:rPr>
        <w:t xml:space="preserve">) perform a cost-of-service analysis to evaluate the reasonableness of </w:t>
      </w:r>
      <w:r w:rsidR="000B7D20" w:rsidRPr="00001309">
        <w:rPr>
          <w:sz w:val="26"/>
          <w:szCs w:val="26"/>
        </w:rPr>
        <w:t>its</w:t>
      </w:r>
      <w:r w:rsidR="001F5A69" w:rsidRPr="00001309">
        <w:rPr>
          <w:sz w:val="26"/>
          <w:szCs w:val="26"/>
        </w:rPr>
        <w:t xml:space="preserve"> prices; and (</w:t>
      </w:r>
      <w:r w:rsidR="003C73A2" w:rsidRPr="00001309">
        <w:rPr>
          <w:sz w:val="26"/>
          <w:szCs w:val="26"/>
        </w:rPr>
        <w:t>3</w:t>
      </w:r>
      <w:r w:rsidR="001F5A69" w:rsidRPr="00001309">
        <w:rPr>
          <w:sz w:val="26"/>
          <w:szCs w:val="26"/>
        </w:rPr>
        <w:t>) determine a reasonable rate of return - none of which the Commission may do.</w:t>
      </w:r>
      <w:r w:rsidR="003C73A2" w:rsidRPr="00001309">
        <w:rPr>
          <w:sz w:val="26"/>
          <w:szCs w:val="26"/>
        </w:rPr>
        <w:t xml:space="preserve">  Blue Pilot complains,</w:t>
      </w:r>
      <w:r w:rsidR="001F5A69" w:rsidRPr="00001309">
        <w:rPr>
          <w:sz w:val="26"/>
          <w:szCs w:val="26"/>
        </w:rPr>
        <w:t xml:space="preserve"> </w:t>
      </w:r>
      <w:r w:rsidR="003C73A2" w:rsidRPr="00001309">
        <w:rPr>
          <w:sz w:val="26"/>
          <w:szCs w:val="26"/>
        </w:rPr>
        <w:t>“[i]</w:t>
      </w:r>
      <w:r w:rsidR="001F5A69" w:rsidRPr="00001309">
        <w:rPr>
          <w:sz w:val="26"/>
          <w:szCs w:val="26"/>
        </w:rPr>
        <w:t>t is simply not possible to determine whether an EGS breached a contract in a situation where a variable-priced disclosure</w:t>
      </w:r>
      <w:r w:rsidR="003C73A2" w:rsidRPr="00001309">
        <w:rPr>
          <w:sz w:val="26"/>
          <w:szCs w:val="26"/>
        </w:rPr>
        <w:t xml:space="preserve"> </w:t>
      </w:r>
      <w:r w:rsidR="001F5A69" w:rsidRPr="00001309">
        <w:rPr>
          <w:sz w:val="26"/>
          <w:szCs w:val="26"/>
        </w:rPr>
        <w:t>statement does not contain a specific index, formula, pricing methodology or ceiling.</w:t>
      </w:r>
      <w:r w:rsidR="003C73A2" w:rsidRPr="00001309">
        <w:rPr>
          <w:sz w:val="26"/>
          <w:szCs w:val="26"/>
        </w:rPr>
        <w:t>”  Exc. at 13.</w:t>
      </w:r>
    </w:p>
    <w:p w:rsidR="001F5A69" w:rsidRPr="00001309" w:rsidRDefault="001F5A69" w:rsidP="00003533">
      <w:pPr>
        <w:autoSpaceDE w:val="0"/>
        <w:autoSpaceDN w:val="0"/>
        <w:rPr>
          <w:sz w:val="26"/>
          <w:szCs w:val="26"/>
        </w:rPr>
      </w:pPr>
    </w:p>
    <w:p w:rsidR="001F5A69" w:rsidRPr="00001309" w:rsidRDefault="00C5504C" w:rsidP="00C5504C">
      <w:pPr>
        <w:autoSpaceDE w:val="0"/>
        <w:autoSpaceDN w:val="0"/>
        <w:adjustRightInd w:val="0"/>
        <w:rPr>
          <w:sz w:val="26"/>
          <w:szCs w:val="26"/>
        </w:rPr>
      </w:pPr>
      <w:r w:rsidRPr="00001309">
        <w:rPr>
          <w:sz w:val="26"/>
          <w:szCs w:val="26"/>
        </w:rPr>
        <w:t xml:space="preserve">Blue Pilot continues, that probably </w:t>
      </w:r>
      <w:r w:rsidR="00D61259" w:rsidRPr="00001309">
        <w:rPr>
          <w:sz w:val="26"/>
          <w:szCs w:val="26"/>
        </w:rPr>
        <w:t xml:space="preserve">the most compelling example of a factor that </w:t>
      </w:r>
      <w:r w:rsidRPr="00001309">
        <w:rPr>
          <w:sz w:val="26"/>
          <w:szCs w:val="26"/>
        </w:rPr>
        <w:t xml:space="preserve">goes beyond </w:t>
      </w:r>
      <w:r w:rsidR="00D61259" w:rsidRPr="00001309">
        <w:rPr>
          <w:sz w:val="26"/>
          <w:szCs w:val="26"/>
        </w:rPr>
        <w:t xml:space="preserve">the </w:t>
      </w:r>
      <w:r w:rsidRPr="00001309">
        <w:rPr>
          <w:sz w:val="26"/>
          <w:szCs w:val="26"/>
        </w:rPr>
        <w:t xml:space="preserve">scope of </w:t>
      </w:r>
      <w:r w:rsidR="00D61259" w:rsidRPr="00001309">
        <w:rPr>
          <w:sz w:val="26"/>
          <w:szCs w:val="26"/>
        </w:rPr>
        <w:t xml:space="preserve">Commission </w:t>
      </w:r>
      <w:r w:rsidRPr="00001309">
        <w:rPr>
          <w:sz w:val="26"/>
          <w:szCs w:val="26"/>
        </w:rPr>
        <w:t>r</w:t>
      </w:r>
      <w:r w:rsidR="00D61259" w:rsidRPr="00001309">
        <w:rPr>
          <w:sz w:val="26"/>
          <w:szCs w:val="26"/>
        </w:rPr>
        <w:t>eview or limit</w:t>
      </w:r>
      <w:r w:rsidR="000B7D20" w:rsidRPr="00001309">
        <w:rPr>
          <w:sz w:val="26"/>
          <w:szCs w:val="26"/>
        </w:rPr>
        <w:t>ation</w:t>
      </w:r>
      <w:r w:rsidR="00D61259" w:rsidRPr="00001309">
        <w:rPr>
          <w:sz w:val="26"/>
          <w:szCs w:val="26"/>
        </w:rPr>
        <w:t xml:space="preserve"> in the context of a deregulated energy market</w:t>
      </w:r>
      <w:r w:rsidR="000B7D20" w:rsidRPr="00001309">
        <w:rPr>
          <w:sz w:val="26"/>
          <w:szCs w:val="26"/>
        </w:rPr>
        <w:t>,</w:t>
      </w:r>
      <w:r w:rsidR="00D61259" w:rsidRPr="00001309">
        <w:rPr>
          <w:sz w:val="26"/>
          <w:szCs w:val="26"/>
        </w:rPr>
        <w:t xml:space="preserve"> is the profit margin earned by competitive EGSs.</w:t>
      </w:r>
      <w:r w:rsidRPr="00001309">
        <w:rPr>
          <w:sz w:val="26"/>
          <w:szCs w:val="26"/>
        </w:rPr>
        <w:t xml:space="preserve">  Exc. at 14. </w:t>
      </w:r>
      <w:r w:rsidR="00D61259" w:rsidRPr="00001309">
        <w:rPr>
          <w:sz w:val="26"/>
          <w:szCs w:val="26"/>
        </w:rPr>
        <w:t xml:space="preserve"> </w:t>
      </w:r>
      <w:r w:rsidRPr="00001309">
        <w:rPr>
          <w:sz w:val="26"/>
          <w:szCs w:val="26"/>
        </w:rPr>
        <w:t>Blue Pilot points out that t</w:t>
      </w:r>
      <w:r w:rsidR="00D61259" w:rsidRPr="00001309">
        <w:rPr>
          <w:sz w:val="26"/>
          <w:szCs w:val="26"/>
        </w:rPr>
        <w:t>he Commission has no requirements for an EGS’s profit margin — nothing requires that it be defined, flat, limited or disclosed</w:t>
      </w:r>
      <w:r w:rsidR="000B7D20" w:rsidRPr="00001309">
        <w:rPr>
          <w:sz w:val="26"/>
          <w:szCs w:val="26"/>
        </w:rPr>
        <w:t xml:space="preserve">.  </w:t>
      </w:r>
      <w:r w:rsidR="000B7D20" w:rsidRPr="00001309">
        <w:rPr>
          <w:i/>
          <w:sz w:val="26"/>
          <w:szCs w:val="26"/>
        </w:rPr>
        <w:t>Id</w:t>
      </w:r>
      <w:r w:rsidR="000B7D20" w:rsidRPr="00001309">
        <w:rPr>
          <w:sz w:val="26"/>
          <w:szCs w:val="26"/>
        </w:rPr>
        <w:t>.</w:t>
      </w:r>
    </w:p>
    <w:p w:rsidR="00D61259" w:rsidRPr="00001309" w:rsidRDefault="00D61259" w:rsidP="001F5A69">
      <w:pPr>
        <w:autoSpaceDE w:val="0"/>
        <w:autoSpaceDN w:val="0"/>
        <w:ind w:firstLine="720"/>
        <w:rPr>
          <w:sz w:val="26"/>
          <w:szCs w:val="26"/>
        </w:rPr>
      </w:pPr>
    </w:p>
    <w:p w:rsidR="001F5A69" w:rsidRPr="00001309" w:rsidRDefault="00276F0F" w:rsidP="001F5A69">
      <w:pPr>
        <w:autoSpaceDE w:val="0"/>
        <w:autoSpaceDN w:val="0"/>
        <w:ind w:firstLine="720"/>
        <w:rPr>
          <w:sz w:val="26"/>
          <w:szCs w:val="26"/>
        </w:rPr>
      </w:pPr>
      <w:r w:rsidRPr="00001309">
        <w:rPr>
          <w:sz w:val="26"/>
          <w:szCs w:val="26"/>
        </w:rPr>
        <w:tab/>
      </w:r>
      <w:r w:rsidR="001F5A69" w:rsidRPr="00001309">
        <w:rPr>
          <w:sz w:val="26"/>
          <w:szCs w:val="26"/>
        </w:rPr>
        <w:t xml:space="preserve">In its Replies, OAG/OCA emphasize the record support of the ALJs’ recommendations based on the testimony of its expert witnesses.  Additionally, </w:t>
      </w:r>
      <w:r w:rsidR="00F429DB">
        <w:rPr>
          <w:sz w:val="26"/>
          <w:szCs w:val="26"/>
        </w:rPr>
        <w:t xml:space="preserve">the </w:t>
      </w:r>
      <w:r w:rsidR="001F5A69" w:rsidRPr="00001309">
        <w:rPr>
          <w:sz w:val="26"/>
          <w:szCs w:val="26"/>
        </w:rPr>
        <w:t xml:space="preserve">Joint Complainants distinguish the issue involved in this Complaint from that which was decided in the </w:t>
      </w:r>
      <w:r w:rsidR="001F5A69" w:rsidRPr="00001309">
        <w:rPr>
          <w:i/>
          <w:sz w:val="26"/>
          <w:szCs w:val="26"/>
        </w:rPr>
        <w:t>FES Declaratory Order</w:t>
      </w:r>
      <w:r w:rsidR="001F5A69" w:rsidRPr="00001309">
        <w:rPr>
          <w:sz w:val="26"/>
          <w:szCs w:val="26"/>
        </w:rPr>
        <w:t xml:space="preserve">.  </w:t>
      </w:r>
      <w:r w:rsidR="00F429DB">
        <w:rPr>
          <w:sz w:val="26"/>
          <w:szCs w:val="26"/>
        </w:rPr>
        <w:t xml:space="preserve">The </w:t>
      </w:r>
      <w:r w:rsidR="001F5A69" w:rsidRPr="00001309">
        <w:rPr>
          <w:sz w:val="26"/>
          <w:szCs w:val="26"/>
        </w:rPr>
        <w:t xml:space="preserve">Joint Complainants argue that there is no issue concerning the interpretation of a contract that is involved, as was the case in </w:t>
      </w:r>
      <w:r w:rsidR="001F5A69" w:rsidRPr="00001309">
        <w:rPr>
          <w:i/>
          <w:sz w:val="26"/>
          <w:szCs w:val="26"/>
        </w:rPr>
        <w:t>FES Declaratory Order</w:t>
      </w:r>
      <w:r w:rsidR="001F5A69" w:rsidRPr="00001309">
        <w:rPr>
          <w:sz w:val="26"/>
          <w:szCs w:val="26"/>
        </w:rPr>
        <w:t>, but rather compliance with established Commission Regulations. R.</w:t>
      </w:r>
      <w:r w:rsidR="00EB6A47">
        <w:rPr>
          <w:sz w:val="26"/>
          <w:szCs w:val="26"/>
        </w:rPr>
        <w:t> </w:t>
      </w:r>
      <w:r w:rsidR="001F5A69" w:rsidRPr="00001309">
        <w:rPr>
          <w:sz w:val="26"/>
          <w:szCs w:val="26"/>
        </w:rPr>
        <w:t>Exc. at 4-6.</w:t>
      </w:r>
    </w:p>
    <w:p w:rsidR="00646C78" w:rsidRPr="00001309" w:rsidRDefault="00646C78" w:rsidP="00667966">
      <w:pPr>
        <w:autoSpaceDE w:val="0"/>
        <w:autoSpaceDN w:val="0"/>
        <w:ind w:firstLine="0"/>
        <w:rPr>
          <w:sz w:val="26"/>
          <w:szCs w:val="26"/>
        </w:rPr>
      </w:pPr>
    </w:p>
    <w:p w:rsidR="00EA70CE" w:rsidRPr="007B3039" w:rsidRDefault="00747231" w:rsidP="007B3039">
      <w:pPr>
        <w:keepNext/>
        <w:keepLines/>
        <w:autoSpaceDE w:val="0"/>
        <w:autoSpaceDN w:val="0"/>
        <w:adjustRightInd w:val="0"/>
        <w:ind w:firstLine="720"/>
        <w:rPr>
          <w:b/>
          <w:sz w:val="26"/>
          <w:szCs w:val="26"/>
        </w:rPr>
      </w:pPr>
      <w:r w:rsidRPr="00001309">
        <w:rPr>
          <w:b/>
          <w:sz w:val="26"/>
          <w:szCs w:val="26"/>
        </w:rPr>
        <w:t>4</w:t>
      </w:r>
      <w:r w:rsidR="00276F0F" w:rsidRPr="00001309">
        <w:rPr>
          <w:b/>
          <w:sz w:val="26"/>
          <w:szCs w:val="26"/>
        </w:rPr>
        <w:t>.</w:t>
      </w:r>
      <w:r w:rsidR="00276F0F" w:rsidRPr="00001309">
        <w:rPr>
          <w:b/>
          <w:sz w:val="26"/>
          <w:szCs w:val="26"/>
        </w:rPr>
        <w:tab/>
      </w:r>
      <w:r w:rsidR="007E018C" w:rsidRPr="00001309">
        <w:rPr>
          <w:b/>
          <w:sz w:val="26"/>
          <w:szCs w:val="26"/>
        </w:rPr>
        <w:t>Disposition</w:t>
      </w:r>
    </w:p>
    <w:p w:rsidR="00EA70CE" w:rsidRPr="00001309" w:rsidRDefault="00EA70CE" w:rsidP="003624BC">
      <w:pPr>
        <w:keepNext/>
        <w:keepLines/>
        <w:autoSpaceDE w:val="0"/>
        <w:autoSpaceDN w:val="0"/>
        <w:adjustRightInd w:val="0"/>
        <w:rPr>
          <w:sz w:val="26"/>
          <w:szCs w:val="26"/>
        </w:rPr>
      </w:pPr>
    </w:p>
    <w:p w:rsidR="00447076" w:rsidRDefault="00447076" w:rsidP="00447076">
      <w:pPr>
        <w:autoSpaceDE w:val="0"/>
        <w:autoSpaceDN w:val="0"/>
        <w:adjustRightInd w:val="0"/>
        <w:rPr>
          <w:sz w:val="26"/>
          <w:szCs w:val="26"/>
        </w:rPr>
      </w:pPr>
      <w:r w:rsidRPr="00001309">
        <w:rPr>
          <w:sz w:val="26"/>
          <w:szCs w:val="26"/>
        </w:rPr>
        <w:t>On consideration of the Exceptions of Blue Pilot, we shall deny the Exceptions consistent with the discussion in this Opinion and Order.</w:t>
      </w:r>
    </w:p>
    <w:p w:rsidR="00447076" w:rsidRDefault="00447076" w:rsidP="001E1004">
      <w:pPr>
        <w:kinsoku w:val="0"/>
        <w:overflowPunct w:val="0"/>
        <w:textAlignment w:val="baseline"/>
        <w:rPr>
          <w:spacing w:val="-2"/>
          <w:sz w:val="26"/>
          <w:szCs w:val="26"/>
        </w:rPr>
      </w:pPr>
    </w:p>
    <w:p w:rsidR="00EA70CE" w:rsidRPr="00447076" w:rsidRDefault="001E1004" w:rsidP="00447076">
      <w:pPr>
        <w:kinsoku w:val="0"/>
        <w:overflowPunct w:val="0"/>
        <w:textAlignment w:val="baseline"/>
        <w:rPr>
          <w:spacing w:val="-2"/>
          <w:sz w:val="26"/>
          <w:szCs w:val="26"/>
        </w:rPr>
      </w:pPr>
      <w:r>
        <w:rPr>
          <w:spacing w:val="-2"/>
          <w:sz w:val="26"/>
          <w:szCs w:val="26"/>
        </w:rPr>
        <w:lastRenderedPageBreak/>
        <w:t xml:space="preserve"> </w:t>
      </w:r>
      <w:r w:rsidRPr="00DC7A16">
        <w:rPr>
          <w:spacing w:val="-2"/>
          <w:sz w:val="26"/>
          <w:szCs w:val="26"/>
        </w:rPr>
        <w:t xml:space="preserve"> </w:t>
      </w:r>
      <w:r w:rsidR="009820E2">
        <w:rPr>
          <w:spacing w:val="-2"/>
          <w:sz w:val="26"/>
          <w:szCs w:val="26"/>
        </w:rPr>
        <w:t>Upon review</w:t>
      </w:r>
      <w:r w:rsidRPr="00DC7A16">
        <w:rPr>
          <w:spacing w:val="-2"/>
          <w:sz w:val="26"/>
          <w:szCs w:val="26"/>
        </w:rPr>
        <w:t>, the substantial, credible record evidence shows that Blue Pilot</w:t>
      </w:r>
      <w:r w:rsidR="0062565A">
        <w:rPr>
          <w:spacing w:val="-2"/>
          <w:sz w:val="26"/>
          <w:szCs w:val="26"/>
        </w:rPr>
        <w:t>’</w:t>
      </w:r>
      <w:r w:rsidRPr="00DC7A16">
        <w:rPr>
          <w:spacing w:val="-2"/>
          <w:sz w:val="26"/>
          <w:szCs w:val="26"/>
        </w:rPr>
        <w:t>s prices charged to customers did not conform to the company</w:t>
      </w:r>
      <w:r>
        <w:rPr>
          <w:spacing w:val="-2"/>
          <w:sz w:val="26"/>
          <w:szCs w:val="26"/>
        </w:rPr>
        <w:t>’</w:t>
      </w:r>
      <w:r w:rsidRPr="00DC7A16">
        <w:rPr>
          <w:spacing w:val="-2"/>
          <w:sz w:val="26"/>
          <w:szCs w:val="26"/>
        </w:rPr>
        <w:t xml:space="preserve">s disclosure statement in violation of the Commission's </w:t>
      </w:r>
      <w:r>
        <w:rPr>
          <w:spacing w:val="-2"/>
          <w:sz w:val="26"/>
          <w:szCs w:val="26"/>
        </w:rPr>
        <w:t>R</w:t>
      </w:r>
      <w:r w:rsidRPr="00DC7A16">
        <w:rPr>
          <w:spacing w:val="-2"/>
          <w:sz w:val="26"/>
          <w:szCs w:val="26"/>
        </w:rPr>
        <w:t>egulations.</w:t>
      </w:r>
      <w:r w:rsidR="00447076">
        <w:rPr>
          <w:spacing w:val="-2"/>
          <w:sz w:val="26"/>
          <w:szCs w:val="26"/>
        </w:rPr>
        <w:t xml:space="preserve">  </w:t>
      </w:r>
      <w:r w:rsidR="004656BC" w:rsidRPr="00001309">
        <w:rPr>
          <w:sz w:val="26"/>
          <w:szCs w:val="26"/>
        </w:rPr>
        <w:t xml:space="preserve">We </w:t>
      </w:r>
      <w:r w:rsidR="00C92FD6" w:rsidRPr="00001309">
        <w:rPr>
          <w:sz w:val="26"/>
          <w:szCs w:val="26"/>
        </w:rPr>
        <w:t>primarily</w:t>
      </w:r>
      <w:r w:rsidR="00321F10" w:rsidRPr="00001309">
        <w:rPr>
          <w:sz w:val="26"/>
          <w:szCs w:val="26"/>
        </w:rPr>
        <w:t xml:space="preserve"> </w:t>
      </w:r>
      <w:r w:rsidR="004656BC" w:rsidRPr="00001309">
        <w:rPr>
          <w:sz w:val="26"/>
          <w:szCs w:val="26"/>
        </w:rPr>
        <w:t xml:space="preserve">rely on </w:t>
      </w:r>
      <w:r w:rsidR="00064C8E" w:rsidRPr="00001309">
        <w:rPr>
          <w:sz w:val="26"/>
          <w:szCs w:val="26"/>
        </w:rPr>
        <w:t xml:space="preserve">our </w:t>
      </w:r>
      <w:r w:rsidR="00321F10" w:rsidRPr="00001309">
        <w:rPr>
          <w:sz w:val="26"/>
          <w:szCs w:val="26"/>
        </w:rPr>
        <w:t xml:space="preserve">review and </w:t>
      </w:r>
      <w:r w:rsidR="00064C8E" w:rsidRPr="00001309">
        <w:rPr>
          <w:sz w:val="26"/>
          <w:szCs w:val="26"/>
        </w:rPr>
        <w:t>adoption</w:t>
      </w:r>
      <w:r w:rsidR="004656BC" w:rsidRPr="00001309">
        <w:rPr>
          <w:sz w:val="26"/>
          <w:szCs w:val="26"/>
        </w:rPr>
        <w:t xml:space="preserve"> of t</w:t>
      </w:r>
      <w:r w:rsidR="00EA70CE" w:rsidRPr="00001309">
        <w:rPr>
          <w:sz w:val="26"/>
          <w:szCs w:val="26"/>
        </w:rPr>
        <w:t>he pertinent Findings of Fact in this area</w:t>
      </w:r>
      <w:r w:rsidR="004656BC" w:rsidRPr="00001309">
        <w:rPr>
          <w:sz w:val="26"/>
          <w:szCs w:val="26"/>
        </w:rPr>
        <w:t>, which</w:t>
      </w:r>
      <w:r w:rsidR="00EA70CE" w:rsidRPr="00001309">
        <w:rPr>
          <w:sz w:val="26"/>
          <w:szCs w:val="26"/>
        </w:rPr>
        <w:t xml:space="preserve"> are Nos. 36</w:t>
      </w:r>
      <w:r w:rsidR="00A25A55" w:rsidRPr="00001309">
        <w:rPr>
          <w:sz w:val="26"/>
          <w:szCs w:val="26"/>
        </w:rPr>
        <w:t>,</w:t>
      </w:r>
      <w:r w:rsidR="00EA70CE" w:rsidRPr="00001309">
        <w:rPr>
          <w:sz w:val="26"/>
          <w:szCs w:val="26"/>
        </w:rPr>
        <w:t xml:space="preserve"> 37</w:t>
      </w:r>
      <w:r w:rsidR="00A25A55" w:rsidRPr="00001309">
        <w:rPr>
          <w:sz w:val="26"/>
          <w:szCs w:val="26"/>
        </w:rPr>
        <w:t>,</w:t>
      </w:r>
      <w:r w:rsidR="00EA70CE" w:rsidRPr="00001309">
        <w:rPr>
          <w:sz w:val="26"/>
          <w:szCs w:val="26"/>
        </w:rPr>
        <w:t xml:space="preserve"> 49</w:t>
      </w:r>
      <w:r w:rsidR="00A25A55" w:rsidRPr="00001309">
        <w:rPr>
          <w:sz w:val="26"/>
          <w:szCs w:val="26"/>
        </w:rPr>
        <w:t xml:space="preserve"> and</w:t>
      </w:r>
      <w:r w:rsidR="00EA70CE" w:rsidRPr="00001309">
        <w:rPr>
          <w:sz w:val="26"/>
          <w:szCs w:val="26"/>
        </w:rPr>
        <w:t xml:space="preserve"> 55:</w:t>
      </w:r>
    </w:p>
    <w:p w:rsidR="00EA70CE" w:rsidRPr="00001309" w:rsidRDefault="00EA70CE" w:rsidP="00EA70CE">
      <w:pPr>
        <w:autoSpaceDE w:val="0"/>
        <w:autoSpaceDN w:val="0"/>
        <w:adjustRightInd w:val="0"/>
        <w:rPr>
          <w:sz w:val="26"/>
          <w:szCs w:val="26"/>
        </w:rPr>
      </w:pPr>
    </w:p>
    <w:p w:rsidR="00EA70CE" w:rsidRPr="00001309" w:rsidRDefault="00EA70CE" w:rsidP="00EA70CE">
      <w:pPr>
        <w:pStyle w:val="Default"/>
        <w:spacing w:line="240" w:lineRule="auto"/>
        <w:ind w:left="1440" w:right="1440" w:firstLine="0"/>
        <w:rPr>
          <w:rFonts w:ascii="Times New Roman" w:hAnsi="Times New Roman" w:cs="Times New Roman"/>
          <w:color w:val="auto"/>
          <w:sz w:val="26"/>
          <w:szCs w:val="26"/>
        </w:rPr>
      </w:pPr>
      <w:r w:rsidRPr="00001309">
        <w:rPr>
          <w:rFonts w:ascii="Times New Roman" w:hAnsi="Times New Roman" w:cs="Times New Roman"/>
          <w:color w:val="auto"/>
          <w:sz w:val="26"/>
          <w:szCs w:val="26"/>
        </w:rPr>
        <w:t xml:space="preserve">36. </w:t>
      </w:r>
      <w:r w:rsidRPr="00001309">
        <w:rPr>
          <w:color w:val="auto"/>
          <w:sz w:val="26"/>
          <w:szCs w:val="26"/>
        </w:rPr>
        <w:tab/>
      </w:r>
      <w:r w:rsidRPr="00001309">
        <w:rPr>
          <w:rFonts w:ascii="Times New Roman" w:hAnsi="Times New Roman" w:cs="Times New Roman"/>
          <w:color w:val="auto"/>
          <w:sz w:val="26"/>
          <w:szCs w:val="26"/>
        </w:rPr>
        <w:t xml:space="preserve">Blue Pilot’s customers were not charged prices that were either clearly or consistently determined by PJM market conditions. </w:t>
      </w:r>
      <w:r w:rsidR="00064C8E" w:rsidRPr="00001309">
        <w:rPr>
          <w:rFonts w:ascii="Times New Roman" w:hAnsi="Times New Roman" w:cs="Times New Roman"/>
          <w:color w:val="auto"/>
          <w:sz w:val="26"/>
          <w:szCs w:val="26"/>
        </w:rPr>
        <w:t xml:space="preserve"> </w:t>
      </w:r>
      <w:r w:rsidRPr="00001309">
        <w:rPr>
          <w:rFonts w:ascii="Times New Roman" w:hAnsi="Times New Roman" w:cs="Times New Roman"/>
          <w:color w:val="auto"/>
          <w:sz w:val="26"/>
          <w:szCs w:val="26"/>
        </w:rPr>
        <w:t xml:space="preserve">OAG/OCA St. 2 at 6-7. </w:t>
      </w:r>
    </w:p>
    <w:p w:rsidR="00EA70CE" w:rsidRPr="00001309" w:rsidRDefault="00EA70CE" w:rsidP="00EA70CE">
      <w:pPr>
        <w:pStyle w:val="Default"/>
        <w:spacing w:line="240" w:lineRule="auto"/>
        <w:ind w:left="1440" w:right="1440" w:firstLine="0"/>
        <w:rPr>
          <w:rFonts w:ascii="Times New Roman" w:hAnsi="Times New Roman" w:cs="Times New Roman"/>
          <w:color w:val="auto"/>
          <w:sz w:val="26"/>
          <w:szCs w:val="26"/>
        </w:rPr>
      </w:pPr>
    </w:p>
    <w:p w:rsidR="00EA70CE" w:rsidRPr="00001309" w:rsidRDefault="00EA70CE" w:rsidP="00EA70CE">
      <w:pPr>
        <w:pStyle w:val="Default"/>
        <w:spacing w:line="240" w:lineRule="auto"/>
        <w:ind w:left="1440" w:right="1440" w:firstLine="0"/>
        <w:rPr>
          <w:rFonts w:ascii="Times New Roman" w:hAnsi="Times New Roman" w:cs="Times New Roman"/>
          <w:color w:val="auto"/>
          <w:sz w:val="26"/>
          <w:szCs w:val="26"/>
        </w:rPr>
      </w:pPr>
      <w:r w:rsidRPr="00001309">
        <w:rPr>
          <w:rFonts w:ascii="Times New Roman" w:hAnsi="Times New Roman" w:cs="Times New Roman"/>
          <w:color w:val="auto"/>
          <w:sz w:val="26"/>
          <w:szCs w:val="26"/>
        </w:rPr>
        <w:t xml:space="preserve">37. </w:t>
      </w:r>
      <w:r w:rsidRPr="00001309">
        <w:rPr>
          <w:color w:val="auto"/>
          <w:sz w:val="26"/>
          <w:szCs w:val="26"/>
        </w:rPr>
        <w:tab/>
      </w:r>
      <w:r w:rsidRPr="00001309">
        <w:rPr>
          <w:rFonts w:ascii="Times New Roman" w:hAnsi="Times New Roman" w:cs="Times New Roman"/>
          <w:color w:val="auto"/>
          <w:sz w:val="26"/>
          <w:szCs w:val="26"/>
        </w:rPr>
        <w:t xml:space="preserve">Blue Pilot’s customers were billed at variable rates that were largely unrelated to PJM wholesale market conditions and largely unrelated to its costs. </w:t>
      </w:r>
      <w:r w:rsidR="00064C8E" w:rsidRPr="00001309">
        <w:rPr>
          <w:rFonts w:ascii="Times New Roman" w:hAnsi="Times New Roman" w:cs="Times New Roman"/>
          <w:color w:val="auto"/>
          <w:sz w:val="26"/>
          <w:szCs w:val="26"/>
        </w:rPr>
        <w:t xml:space="preserve"> </w:t>
      </w:r>
      <w:r w:rsidRPr="00001309">
        <w:rPr>
          <w:rFonts w:ascii="Times New Roman" w:hAnsi="Times New Roman" w:cs="Times New Roman"/>
          <w:color w:val="auto"/>
          <w:sz w:val="26"/>
          <w:szCs w:val="26"/>
        </w:rPr>
        <w:t xml:space="preserve">OAG/OCA St. 2 at 7. </w:t>
      </w:r>
    </w:p>
    <w:p w:rsidR="00EA70CE" w:rsidRPr="00001309" w:rsidRDefault="00EA70CE" w:rsidP="004656BC">
      <w:pPr>
        <w:autoSpaceDE w:val="0"/>
        <w:autoSpaceDN w:val="0"/>
        <w:adjustRightInd w:val="0"/>
        <w:ind w:firstLine="0"/>
        <w:jc w:val="center"/>
        <w:rPr>
          <w:sz w:val="26"/>
          <w:szCs w:val="26"/>
        </w:rPr>
      </w:pPr>
    </w:p>
    <w:p w:rsidR="004656BC" w:rsidRPr="00001309" w:rsidRDefault="004656BC" w:rsidP="004656BC">
      <w:pPr>
        <w:autoSpaceDE w:val="0"/>
        <w:autoSpaceDN w:val="0"/>
        <w:adjustRightInd w:val="0"/>
        <w:ind w:firstLine="0"/>
        <w:jc w:val="center"/>
        <w:rPr>
          <w:sz w:val="26"/>
          <w:szCs w:val="26"/>
        </w:rPr>
      </w:pPr>
      <w:r w:rsidRPr="00001309">
        <w:rPr>
          <w:sz w:val="26"/>
          <w:szCs w:val="26"/>
        </w:rPr>
        <w:t>*          *          *</w:t>
      </w:r>
    </w:p>
    <w:p w:rsidR="004656BC" w:rsidRPr="00001309" w:rsidRDefault="004656BC" w:rsidP="00CD2C99">
      <w:pPr>
        <w:autoSpaceDE w:val="0"/>
        <w:autoSpaceDN w:val="0"/>
        <w:adjustRightInd w:val="0"/>
        <w:ind w:firstLine="0"/>
        <w:rPr>
          <w:sz w:val="26"/>
          <w:szCs w:val="26"/>
        </w:rPr>
      </w:pPr>
    </w:p>
    <w:p w:rsidR="004656BC" w:rsidRPr="00001309" w:rsidRDefault="004656BC" w:rsidP="004656BC">
      <w:pPr>
        <w:pStyle w:val="Default"/>
        <w:spacing w:line="240" w:lineRule="auto"/>
        <w:ind w:left="1440" w:right="1440" w:firstLine="0"/>
        <w:rPr>
          <w:rFonts w:ascii="Times New Roman" w:hAnsi="Times New Roman" w:cs="Times New Roman"/>
          <w:color w:val="auto"/>
          <w:sz w:val="26"/>
          <w:szCs w:val="26"/>
        </w:rPr>
      </w:pPr>
      <w:r w:rsidRPr="00001309">
        <w:rPr>
          <w:rFonts w:ascii="Times New Roman" w:hAnsi="Times New Roman" w:cs="Times New Roman"/>
          <w:color w:val="auto"/>
          <w:sz w:val="26"/>
          <w:szCs w:val="26"/>
        </w:rPr>
        <w:t xml:space="preserve">49. </w:t>
      </w:r>
      <w:r w:rsidRPr="00001309">
        <w:rPr>
          <w:color w:val="auto"/>
          <w:sz w:val="26"/>
          <w:szCs w:val="26"/>
        </w:rPr>
        <w:tab/>
      </w:r>
      <w:r w:rsidRPr="00001309">
        <w:rPr>
          <w:rFonts w:ascii="Times New Roman" w:hAnsi="Times New Roman" w:cs="Times New Roman"/>
          <w:color w:val="auto"/>
          <w:sz w:val="26"/>
          <w:szCs w:val="26"/>
        </w:rPr>
        <w:t xml:space="preserve">While Blue Pilot’s prices increased with the average PJM day-ahead prices between month one and month two, they did not decrease with the decline in average PJM day-ahead prices between months two and three. OAG/OCA St. 2 at 16; Exhibit SLE-3. </w:t>
      </w:r>
    </w:p>
    <w:p w:rsidR="004656BC" w:rsidRPr="00001309" w:rsidRDefault="004656BC" w:rsidP="00CD2C99">
      <w:pPr>
        <w:autoSpaceDE w:val="0"/>
        <w:autoSpaceDN w:val="0"/>
        <w:adjustRightInd w:val="0"/>
        <w:ind w:firstLine="0"/>
        <w:rPr>
          <w:sz w:val="26"/>
          <w:szCs w:val="26"/>
        </w:rPr>
      </w:pPr>
    </w:p>
    <w:p w:rsidR="004656BC" w:rsidRPr="00001309" w:rsidRDefault="004656BC" w:rsidP="004656BC">
      <w:pPr>
        <w:autoSpaceDE w:val="0"/>
        <w:autoSpaceDN w:val="0"/>
        <w:adjustRightInd w:val="0"/>
        <w:ind w:firstLine="0"/>
        <w:jc w:val="center"/>
        <w:rPr>
          <w:sz w:val="26"/>
          <w:szCs w:val="26"/>
        </w:rPr>
      </w:pPr>
      <w:r w:rsidRPr="00001309">
        <w:rPr>
          <w:sz w:val="26"/>
          <w:szCs w:val="26"/>
        </w:rPr>
        <w:t>*          *          *</w:t>
      </w:r>
    </w:p>
    <w:p w:rsidR="004656BC" w:rsidRPr="00001309" w:rsidRDefault="004656BC" w:rsidP="004656BC">
      <w:pPr>
        <w:pStyle w:val="Default"/>
        <w:spacing w:line="240" w:lineRule="auto"/>
        <w:ind w:left="1440" w:right="1440" w:firstLine="0"/>
        <w:rPr>
          <w:rFonts w:ascii="Times New Roman" w:hAnsi="Times New Roman" w:cs="Times New Roman"/>
          <w:color w:val="auto"/>
          <w:sz w:val="26"/>
          <w:szCs w:val="26"/>
        </w:rPr>
      </w:pPr>
    </w:p>
    <w:p w:rsidR="004656BC" w:rsidRPr="00001309" w:rsidRDefault="004656BC" w:rsidP="004656BC">
      <w:pPr>
        <w:pStyle w:val="Default"/>
        <w:spacing w:line="240" w:lineRule="auto"/>
        <w:ind w:left="1440" w:right="1440" w:firstLine="0"/>
        <w:rPr>
          <w:rFonts w:ascii="Times New Roman" w:hAnsi="Times New Roman" w:cs="Times New Roman"/>
          <w:color w:val="auto"/>
          <w:sz w:val="26"/>
          <w:szCs w:val="26"/>
        </w:rPr>
      </w:pPr>
      <w:r w:rsidRPr="00001309">
        <w:rPr>
          <w:rFonts w:ascii="Times New Roman" w:hAnsi="Times New Roman" w:cs="Times New Roman"/>
          <w:color w:val="auto"/>
          <w:sz w:val="26"/>
          <w:szCs w:val="26"/>
        </w:rPr>
        <w:t xml:space="preserve">55. </w:t>
      </w:r>
      <w:r w:rsidRPr="00001309">
        <w:rPr>
          <w:color w:val="auto"/>
          <w:sz w:val="26"/>
          <w:szCs w:val="26"/>
        </w:rPr>
        <w:tab/>
      </w:r>
      <w:r w:rsidRPr="00001309">
        <w:rPr>
          <w:rFonts w:ascii="Times New Roman" w:hAnsi="Times New Roman" w:cs="Times New Roman"/>
          <w:color w:val="auto"/>
          <w:sz w:val="26"/>
          <w:szCs w:val="26"/>
        </w:rPr>
        <w:t xml:space="preserve">The prices Blue Pilot charged could not be recalculated by the </w:t>
      </w:r>
      <w:proofErr w:type="gramStart"/>
      <w:r w:rsidRPr="00001309">
        <w:rPr>
          <w:rFonts w:ascii="Times New Roman" w:hAnsi="Times New Roman" w:cs="Times New Roman"/>
          <w:color w:val="auto"/>
          <w:sz w:val="26"/>
          <w:szCs w:val="26"/>
        </w:rPr>
        <w:t>Company, and</w:t>
      </w:r>
      <w:proofErr w:type="gramEnd"/>
      <w:r w:rsidRPr="00001309">
        <w:rPr>
          <w:rFonts w:ascii="Times New Roman" w:hAnsi="Times New Roman" w:cs="Times New Roman"/>
          <w:color w:val="auto"/>
          <w:sz w:val="26"/>
          <w:szCs w:val="26"/>
        </w:rPr>
        <w:t xml:space="preserve"> did not conform to any reasonable interpretation of the language regarding pricing in the disclosure statement. </w:t>
      </w:r>
      <w:r w:rsidR="00064C8E" w:rsidRPr="00001309">
        <w:rPr>
          <w:rFonts w:ascii="Times New Roman" w:hAnsi="Times New Roman" w:cs="Times New Roman"/>
          <w:color w:val="auto"/>
          <w:sz w:val="26"/>
          <w:szCs w:val="26"/>
        </w:rPr>
        <w:t xml:space="preserve"> </w:t>
      </w:r>
      <w:r w:rsidRPr="00001309">
        <w:rPr>
          <w:rFonts w:ascii="Times New Roman" w:hAnsi="Times New Roman" w:cs="Times New Roman"/>
          <w:color w:val="auto"/>
          <w:sz w:val="26"/>
          <w:szCs w:val="26"/>
        </w:rPr>
        <w:t>OAG/OCA St. 1 at 32.</w:t>
      </w:r>
    </w:p>
    <w:p w:rsidR="00276F0F" w:rsidRPr="00001309" w:rsidRDefault="00276F0F" w:rsidP="004656BC">
      <w:pPr>
        <w:pStyle w:val="Default"/>
        <w:spacing w:line="240" w:lineRule="auto"/>
        <w:ind w:left="1440" w:right="1440" w:firstLine="0"/>
        <w:rPr>
          <w:rFonts w:ascii="Times New Roman" w:hAnsi="Times New Roman" w:cs="Times New Roman"/>
          <w:color w:val="auto"/>
          <w:sz w:val="26"/>
          <w:szCs w:val="26"/>
        </w:rPr>
      </w:pPr>
    </w:p>
    <w:p w:rsidR="00573050" w:rsidRDefault="00573050" w:rsidP="001E1004">
      <w:pPr>
        <w:kinsoku w:val="0"/>
        <w:overflowPunct w:val="0"/>
        <w:textAlignment w:val="baseline"/>
        <w:rPr>
          <w:spacing w:val="-2"/>
          <w:sz w:val="26"/>
          <w:szCs w:val="26"/>
        </w:rPr>
      </w:pPr>
    </w:p>
    <w:p w:rsidR="001E1004" w:rsidRDefault="001E1004" w:rsidP="001E1004">
      <w:pPr>
        <w:kinsoku w:val="0"/>
        <w:overflowPunct w:val="0"/>
        <w:textAlignment w:val="baseline"/>
        <w:rPr>
          <w:spacing w:val="-2"/>
          <w:sz w:val="26"/>
          <w:szCs w:val="26"/>
        </w:rPr>
      </w:pPr>
      <w:r>
        <w:rPr>
          <w:spacing w:val="-2"/>
          <w:sz w:val="26"/>
          <w:szCs w:val="26"/>
        </w:rPr>
        <w:t>We</w:t>
      </w:r>
      <w:r w:rsidRPr="00DC7A16">
        <w:rPr>
          <w:spacing w:val="-2"/>
          <w:sz w:val="26"/>
          <w:szCs w:val="26"/>
        </w:rPr>
        <w:t xml:space="preserve"> note </w:t>
      </w:r>
      <w:r>
        <w:rPr>
          <w:spacing w:val="-2"/>
          <w:sz w:val="26"/>
          <w:szCs w:val="26"/>
        </w:rPr>
        <w:t xml:space="preserve">that </w:t>
      </w:r>
      <w:r w:rsidRPr="00DC7A16">
        <w:rPr>
          <w:spacing w:val="-2"/>
          <w:sz w:val="26"/>
          <w:szCs w:val="26"/>
        </w:rPr>
        <w:t>Findings of Fact Nos. 36, 37, 49, and 55</w:t>
      </w:r>
      <w:r>
        <w:rPr>
          <w:spacing w:val="-2"/>
          <w:sz w:val="26"/>
          <w:szCs w:val="26"/>
        </w:rPr>
        <w:t>, cited above, establish</w:t>
      </w:r>
      <w:r w:rsidRPr="00DC7A16">
        <w:rPr>
          <w:spacing w:val="-2"/>
          <w:sz w:val="26"/>
          <w:szCs w:val="26"/>
        </w:rPr>
        <w:t xml:space="preserve"> that</w:t>
      </w:r>
      <w:r>
        <w:rPr>
          <w:spacing w:val="-2"/>
          <w:sz w:val="26"/>
          <w:szCs w:val="26"/>
        </w:rPr>
        <w:t>:</w:t>
      </w:r>
      <w:r w:rsidRPr="00DC7A16">
        <w:rPr>
          <w:spacing w:val="-2"/>
          <w:sz w:val="26"/>
          <w:szCs w:val="26"/>
        </w:rPr>
        <w:t xml:space="preserve"> (1) Blue Pilot</w:t>
      </w:r>
      <w:r>
        <w:rPr>
          <w:spacing w:val="-2"/>
          <w:sz w:val="26"/>
          <w:szCs w:val="26"/>
        </w:rPr>
        <w:t>’</w:t>
      </w:r>
      <w:r w:rsidRPr="00DC7A16">
        <w:rPr>
          <w:spacing w:val="-2"/>
          <w:sz w:val="26"/>
          <w:szCs w:val="26"/>
        </w:rPr>
        <w:t xml:space="preserve">s customers were not charged prices that were either clearly or consistently determined by PJM market conditions and were billed at variable rates that were largely unrelated to PJM wholesale market conditions and largely unrelated to its </w:t>
      </w:r>
      <w:r w:rsidRPr="00DC7A16">
        <w:rPr>
          <w:spacing w:val="-2"/>
          <w:sz w:val="26"/>
          <w:szCs w:val="26"/>
        </w:rPr>
        <w:lastRenderedPageBreak/>
        <w:t>costs;</w:t>
      </w:r>
      <w:r>
        <w:rPr>
          <w:rStyle w:val="FootnoteReference"/>
          <w:spacing w:val="-2"/>
          <w:sz w:val="26"/>
          <w:szCs w:val="26"/>
        </w:rPr>
        <w:footnoteReference w:id="24"/>
      </w:r>
      <w:r w:rsidRPr="00DC7A16">
        <w:rPr>
          <w:spacing w:val="-2"/>
          <w:sz w:val="26"/>
          <w:szCs w:val="26"/>
        </w:rPr>
        <w:t xml:space="preserve"> (2) while Blue Pilot</w:t>
      </w:r>
      <w:r>
        <w:rPr>
          <w:spacing w:val="-2"/>
          <w:sz w:val="26"/>
          <w:szCs w:val="26"/>
        </w:rPr>
        <w:t>’</w:t>
      </w:r>
      <w:r w:rsidRPr="00DC7A16">
        <w:rPr>
          <w:spacing w:val="-2"/>
          <w:sz w:val="26"/>
          <w:szCs w:val="26"/>
        </w:rPr>
        <w:t>s prices increased with the average PJM day-ahead prices between month one and month two of the relevant time period, they did not decrease with the decline in average PJM day-ahead prices between months two and three;</w:t>
      </w:r>
      <w:r w:rsidR="00FE4775">
        <w:rPr>
          <w:rStyle w:val="FootnoteReference"/>
          <w:spacing w:val="-2"/>
          <w:sz w:val="26"/>
          <w:szCs w:val="26"/>
        </w:rPr>
        <w:footnoteReference w:id="25"/>
      </w:r>
      <w:r w:rsidRPr="00DC7A16">
        <w:rPr>
          <w:spacing w:val="-2"/>
          <w:sz w:val="26"/>
          <w:szCs w:val="26"/>
        </w:rPr>
        <w:t xml:space="preserve"> and (3) the prices Blue Pilot charged could not be recalculated by the company, and did not conform to any reasonable interpretation of the language regarding pricing in the disclosure statement.</w:t>
      </w:r>
      <w:r w:rsidR="006F14FE">
        <w:rPr>
          <w:rStyle w:val="FootnoteReference"/>
          <w:spacing w:val="-2"/>
          <w:sz w:val="26"/>
          <w:szCs w:val="26"/>
        </w:rPr>
        <w:footnoteReference w:id="26"/>
      </w:r>
    </w:p>
    <w:p w:rsidR="00B35D91" w:rsidRPr="00001309" w:rsidRDefault="00B35D91" w:rsidP="0062565A">
      <w:pPr>
        <w:autoSpaceDE w:val="0"/>
        <w:autoSpaceDN w:val="0"/>
        <w:adjustRightInd w:val="0"/>
        <w:ind w:firstLine="0"/>
        <w:rPr>
          <w:sz w:val="26"/>
          <w:szCs w:val="26"/>
        </w:rPr>
      </w:pPr>
    </w:p>
    <w:p w:rsidR="00EA70CE" w:rsidRPr="00001309" w:rsidRDefault="00A41D0F" w:rsidP="00EA70CE">
      <w:pPr>
        <w:autoSpaceDE w:val="0"/>
        <w:autoSpaceDN w:val="0"/>
        <w:adjustRightInd w:val="0"/>
        <w:rPr>
          <w:sz w:val="26"/>
          <w:szCs w:val="26"/>
        </w:rPr>
      </w:pPr>
      <w:r w:rsidRPr="00001309">
        <w:rPr>
          <w:sz w:val="26"/>
          <w:szCs w:val="26"/>
        </w:rPr>
        <w:t>I</w:t>
      </w:r>
      <w:r w:rsidR="00EA70CE" w:rsidRPr="00001309">
        <w:rPr>
          <w:sz w:val="26"/>
          <w:szCs w:val="26"/>
        </w:rPr>
        <w:t xml:space="preserve">n Finding of Fact No. 49, the ALJs concluded that – notwithstanding representations </w:t>
      </w:r>
      <w:r w:rsidR="00D82808" w:rsidRPr="00001309">
        <w:rPr>
          <w:sz w:val="26"/>
          <w:szCs w:val="26"/>
        </w:rPr>
        <w:t xml:space="preserve">to customers </w:t>
      </w:r>
      <w:r w:rsidR="00EA70CE" w:rsidRPr="00001309">
        <w:rPr>
          <w:sz w:val="26"/>
          <w:szCs w:val="26"/>
        </w:rPr>
        <w:t xml:space="preserve">that the variable prices charged pursuant to </w:t>
      </w:r>
      <w:r w:rsidR="009D0F62" w:rsidRPr="00001309">
        <w:rPr>
          <w:sz w:val="26"/>
          <w:szCs w:val="26"/>
        </w:rPr>
        <w:t xml:space="preserve">Blue Pilot’s </w:t>
      </w:r>
      <w:r w:rsidR="00EA70CE" w:rsidRPr="00001309">
        <w:rPr>
          <w:sz w:val="26"/>
          <w:szCs w:val="26"/>
        </w:rPr>
        <w:t xml:space="preserve">disclosure would bear some rational and reasonable relationship to the PJM wholesale market, the prices charged were </w:t>
      </w:r>
      <w:r w:rsidR="00EA70CE" w:rsidRPr="00001309">
        <w:rPr>
          <w:sz w:val="26"/>
          <w:u w:val="single"/>
        </w:rPr>
        <w:t>counter</w:t>
      </w:r>
      <w:r w:rsidR="00EA70CE" w:rsidRPr="00001309">
        <w:rPr>
          <w:sz w:val="26"/>
          <w:szCs w:val="26"/>
        </w:rPr>
        <w:t xml:space="preserve"> to the PJM wholesale recorded prices</w:t>
      </w:r>
      <w:r w:rsidR="00484F9F" w:rsidRPr="00001309">
        <w:rPr>
          <w:sz w:val="26"/>
          <w:szCs w:val="26"/>
        </w:rPr>
        <w:t xml:space="preserve"> (emphasis ours)</w:t>
      </w:r>
      <w:r w:rsidR="00EA70CE" w:rsidRPr="00001309">
        <w:rPr>
          <w:sz w:val="26"/>
          <w:szCs w:val="26"/>
        </w:rPr>
        <w:t>:</w:t>
      </w:r>
    </w:p>
    <w:p w:rsidR="00EA70CE" w:rsidRPr="00001309" w:rsidRDefault="00EA70CE" w:rsidP="00EA70CE">
      <w:pPr>
        <w:autoSpaceDE w:val="0"/>
        <w:autoSpaceDN w:val="0"/>
        <w:adjustRightInd w:val="0"/>
        <w:rPr>
          <w:sz w:val="26"/>
          <w:szCs w:val="26"/>
        </w:rPr>
      </w:pPr>
    </w:p>
    <w:p w:rsidR="00D70CA7" w:rsidRPr="00001309" w:rsidRDefault="00EA70CE" w:rsidP="00EA70CE">
      <w:pPr>
        <w:pStyle w:val="Default"/>
        <w:spacing w:line="240" w:lineRule="auto"/>
        <w:ind w:left="1440" w:right="1440" w:firstLine="0"/>
        <w:rPr>
          <w:rFonts w:ascii="Times New Roman" w:hAnsi="Times New Roman" w:cs="Times New Roman"/>
          <w:color w:val="auto"/>
          <w:sz w:val="26"/>
          <w:szCs w:val="26"/>
        </w:rPr>
      </w:pPr>
      <w:r w:rsidRPr="00001309">
        <w:rPr>
          <w:rFonts w:ascii="Times New Roman" w:hAnsi="Times New Roman" w:cs="Times New Roman"/>
          <w:color w:val="auto"/>
          <w:sz w:val="26"/>
          <w:szCs w:val="26"/>
        </w:rPr>
        <w:t>49.</w:t>
      </w:r>
      <w:r w:rsidRPr="00001309">
        <w:rPr>
          <w:color w:val="auto"/>
          <w:sz w:val="26"/>
          <w:szCs w:val="26"/>
        </w:rPr>
        <w:tab/>
      </w:r>
      <w:r w:rsidRPr="00001309">
        <w:rPr>
          <w:rFonts w:ascii="Times New Roman" w:hAnsi="Times New Roman" w:cs="Times New Roman"/>
          <w:color w:val="auto"/>
          <w:sz w:val="26"/>
          <w:szCs w:val="26"/>
        </w:rPr>
        <w:t xml:space="preserve">While Blue Pilot’s prices increased with the average PJM day-ahead prices between month one and month two, they did not decrease with the decline in average PJM </w:t>
      </w:r>
    </w:p>
    <w:p w:rsidR="00EA70CE" w:rsidRPr="00001309" w:rsidRDefault="00EA70CE" w:rsidP="00D70CA7">
      <w:pPr>
        <w:pStyle w:val="Default"/>
        <w:keepNext/>
        <w:keepLines/>
        <w:spacing w:line="240" w:lineRule="auto"/>
        <w:ind w:left="1440" w:right="1440" w:firstLine="0"/>
        <w:rPr>
          <w:rFonts w:ascii="Times New Roman" w:hAnsi="Times New Roman" w:cs="Times New Roman"/>
          <w:color w:val="auto"/>
          <w:sz w:val="26"/>
          <w:szCs w:val="26"/>
        </w:rPr>
      </w:pPr>
      <w:r w:rsidRPr="00001309">
        <w:rPr>
          <w:rFonts w:ascii="Times New Roman" w:hAnsi="Times New Roman" w:cs="Times New Roman"/>
          <w:color w:val="auto"/>
          <w:sz w:val="26"/>
          <w:szCs w:val="26"/>
        </w:rPr>
        <w:t>day</w:t>
      </w:r>
      <w:r w:rsidR="00D70CA7" w:rsidRPr="00001309">
        <w:rPr>
          <w:rFonts w:ascii="Times New Roman" w:hAnsi="Times New Roman" w:cs="Times New Roman"/>
          <w:color w:val="auto"/>
          <w:sz w:val="26"/>
          <w:szCs w:val="26"/>
        </w:rPr>
        <w:noBreakHyphen/>
      </w:r>
      <w:r w:rsidRPr="00001309">
        <w:rPr>
          <w:rFonts w:ascii="Times New Roman" w:hAnsi="Times New Roman" w:cs="Times New Roman"/>
          <w:color w:val="auto"/>
          <w:sz w:val="26"/>
          <w:szCs w:val="26"/>
        </w:rPr>
        <w:t xml:space="preserve">ahead prices between months two and three. </w:t>
      </w:r>
      <w:r w:rsidR="00D82808" w:rsidRPr="00001309">
        <w:rPr>
          <w:rFonts w:ascii="Times New Roman" w:hAnsi="Times New Roman" w:cs="Times New Roman"/>
          <w:color w:val="auto"/>
          <w:sz w:val="26"/>
          <w:szCs w:val="26"/>
        </w:rPr>
        <w:t xml:space="preserve"> </w:t>
      </w:r>
      <w:r w:rsidRPr="00001309">
        <w:rPr>
          <w:rFonts w:ascii="Times New Roman" w:hAnsi="Times New Roman" w:cs="Times New Roman"/>
          <w:color w:val="auto"/>
          <w:sz w:val="26"/>
          <w:szCs w:val="26"/>
        </w:rPr>
        <w:t>OAG/OCA St. 2 at 16; Exhibit SLE-3.</w:t>
      </w:r>
    </w:p>
    <w:p w:rsidR="00086AF7" w:rsidRPr="00001309" w:rsidRDefault="00086AF7" w:rsidP="00D70CA7">
      <w:pPr>
        <w:pStyle w:val="Default"/>
        <w:keepNext/>
        <w:keepLines/>
        <w:spacing w:line="240" w:lineRule="auto"/>
        <w:ind w:left="1440" w:right="1440" w:firstLine="0"/>
        <w:rPr>
          <w:rFonts w:ascii="Times New Roman" w:hAnsi="Times New Roman" w:cs="Times New Roman"/>
          <w:color w:val="auto"/>
          <w:sz w:val="26"/>
          <w:szCs w:val="26"/>
        </w:rPr>
      </w:pPr>
    </w:p>
    <w:p w:rsidR="00086AF7" w:rsidRPr="00001309" w:rsidRDefault="00086AF7" w:rsidP="00D70CA7">
      <w:pPr>
        <w:pStyle w:val="Default"/>
        <w:keepNext/>
        <w:keepLines/>
        <w:spacing w:line="240" w:lineRule="auto"/>
        <w:ind w:left="1440" w:right="1440" w:firstLine="0"/>
        <w:rPr>
          <w:rFonts w:ascii="Times New Roman" w:hAnsi="Times New Roman" w:cs="Times New Roman"/>
          <w:color w:val="auto"/>
          <w:sz w:val="26"/>
          <w:szCs w:val="26"/>
        </w:rPr>
      </w:pPr>
    </w:p>
    <w:p w:rsidR="00A41D0F" w:rsidRPr="00001309" w:rsidRDefault="00A41D0F" w:rsidP="00A41D0F">
      <w:pPr>
        <w:autoSpaceDE w:val="0"/>
        <w:autoSpaceDN w:val="0"/>
        <w:adjustRightInd w:val="0"/>
        <w:rPr>
          <w:sz w:val="26"/>
          <w:szCs w:val="26"/>
        </w:rPr>
      </w:pPr>
      <w:r w:rsidRPr="00001309">
        <w:rPr>
          <w:sz w:val="26"/>
          <w:szCs w:val="26"/>
        </w:rPr>
        <w:t>Blue Pilot added an “acceptable gross margin percentage” to its cost basis in determining its variable prices</w:t>
      </w:r>
      <w:r w:rsidR="00D63E26" w:rsidRPr="00001309">
        <w:rPr>
          <w:sz w:val="26"/>
          <w:szCs w:val="26"/>
        </w:rPr>
        <w:t>.  Blue Pilot, however</w:t>
      </w:r>
      <w:r w:rsidRPr="00001309">
        <w:rPr>
          <w:sz w:val="26"/>
          <w:szCs w:val="26"/>
        </w:rPr>
        <w:t xml:space="preserve">, did not reveal this pricing factor as part of the financial risk </w:t>
      </w:r>
      <w:r w:rsidR="00872023" w:rsidRPr="00001309">
        <w:rPr>
          <w:sz w:val="26"/>
          <w:szCs w:val="26"/>
        </w:rPr>
        <w:t xml:space="preserve">to which </w:t>
      </w:r>
      <w:r w:rsidRPr="00001309">
        <w:rPr>
          <w:sz w:val="26"/>
          <w:szCs w:val="26"/>
        </w:rPr>
        <w:t>its customers were agreeing in its Sales Agreement or disclosure statement.</w:t>
      </w:r>
      <w:r w:rsidR="00D63E26" w:rsidRPr="00001309">
        <w:rPr>
          <w:sz w:val="26"/>
          <w:szCs w:val="26"/>
        </w:rPr>
        <w:t xml:space="preserve">  </w:t>
      </w:r>
      <w:r w:rsidR="00D63E26" w:rsidRPr="00001309">
        <w:rPr>
          <w:i/>
          <w:sz w:val="26"/>
          <w:szCs w:val="26"/>
        </w:rPr>
        <w:t>See</w:t>
      </w:r>
      <w:r w:rsidRPr="00001309">
        <w:rPr>
          <w:sz w:val="26"/>
          <w:szCs w:val="26"/>
        </w:rPr>
        <w:t xml:space="preserve"> OAG/OCA St. 2 at 17</w:t>
      </w:r>
      <w:r w:rsidR="00D63E26" w:rsidRPr="00001309">
        <w:rPr>
          <w:sz w:val="26"/>
          <w:szCs w:val="26"/>
        </w:rPr>
        <w:t>;</w:t>
      </w:r>
      <w:r w:rsidRPr="00001309">
        <w:rPr>
          <w:sz w:val="26"/>
          <w:szCs w:val="26"/>
        </w:rPr>
        <w:t xml:space="preserve"> I.D. at 19</w:t>
      </w:r>
      <w:r w:rsidR="00D63E26" w:rsidRPr="00001309">
        <w:rPr>
          <w:sz w:val="26"/>
          <w:szCs w:val="26"/>
        </w:rPr>
        <w:t>;</w:t>
      </w:r>
      <w:r w:rsidRPr="00001309">
        <w:rPr>
          <w:sz w:val="26"/>
          <w:szCs w:val="26"/>
        </w:rPr>
        <w:t xml:space="preserve"> Finding of Fact </w:t>
      </w:r>
      <w:r w:rsidR="00D82808" w:rsidRPr="00001309">
        <w:rPr>
          <w:sz w:val="26"/>
          <w:szCs w:val="26"/>
        </w:rPr>
        <w:t xml:space="preserve">No. </w:t>
      </w:r>
      <w:r w:rsidRPr="00001309">
        <w:rPr>
          <w:sz w:val="26"/>
          <w:szCs w:val="26"/>
        </w:rPr>
        <w:t xml:space="preserve">50.  </w:t>
      </w:r>
      <w:r w:rsidR="00D63E26" w:rsidRPr="00001309">
        <w:rPr>
          <w:sz w:val="26"/>
          <w:szCs w:val="26"/>
        </w:rPr>
        <w:t xml:space="preserve">We note that </w:t>
      </w:r>
      <w:r w:rsidRPr="00001309">
        <w:rPr>
          <w:sz w:val="26"/>
          <w:szCs w:val="26"/>
        </w:rPr>
        <w:t xml:space="preserve">Blue Pilot has not asserted that this </w:t>
      </w:r>
      <w:r w:rsidR="00AB79F5" w:rsidRPr="00001309">
        <w:rPr>
          <w:sz w:val="26"/>
          <w:szCs w:val="26"/>
        </w:rPr>
        <w:t xml:space="preserve">gross margin percentage </w:t>
      </w:r>
      <w:r w:rsidR="00D63E26" w:rsidRPr="00001309">
        <w:rPr>
          <w:sz w:val="26"/>
          <w:szCs w:val="26"/>
        </w:rPr>
        <w:t xml:space="preserve">factor – a reasonable assumption in both a regulated and unregulated market </w:t>
      </w:r>
      <w:r w:rsidR="00484F9F" w:rsidRPr="00001309">
        <w:rPr>
          <w:sz w:val="26"/>
          <w:szCs w:val="26"/>
        </w:rPr>
        <w:t xml:space="preserve">- </w:t>
      </w:r>
      <w:r w:rsidR="00D63E26" w:rsidRPr="00001309">
        <w:rPr>
          <w:sz w:val="26"/>
          <w:szCs w:val="26"/>
        </w:rPr>
        <w:t xml:space="preserve"> </w:t>
      </w:r>
      <w:r w:rsidRPr="00001309">
        <w:rPr>
          <w:sz w:val="26"/>
          <w:szCs w:val="26"/>
        </w:rPr>
        <w:t>accounts for the absence of a r</w:t>
      </w:r>
      <w:r w:rsidR="00D82808" w:rsidRPr="00001309">
        <w:rPr>
          <w:sz w:val="26"/>
          <w:szCs w:val="26"/>
        </w:rPr>
        <w:t>ational</w:t>
      </w:r>
      <w:r w:rsidRPr="00001309">
        <w:rPr>
          <w:sz w:val="26"/>
          <w:szCs w:val="26"/>
        </w:rPr>
        <w:t xml:space="preserve"> relationship between PJM wholesale prices and t</w:t>
      </w:r>
      <w:r w:rsidR="00D82808" w:rsidRPr="00001309">
        <w:rPr>
          <w:sz w:val="26"/>
          <w:szCs w:val="26"/>
        </w:rPr>
        <w:t>he</w:t>
      </w:r>
      <w:r w:rsidRPr="00001309">
        <w:rPr>
          <w:sz w:val="26"/>
          <w:szCs w:val="26"/>
        </w:rPr>
        <w:t xml:space="preserve"> </w:t>
      </w:r>
      <w:r w:rsidR="00B070B9" w:rsidRPr="00001309">
        <w:rPr>
          <w:sz w:val="26"/>
          <w:szCs w:val="26"/>
        </w:rPr>
        <w:t xml:space="preserve">generation </w:t>
      </w:r>
      <w:r w:rsidRPr="00001309">
        <w:rPr>
          <w:sz w:val="26"/>
          <w:szCs w:val="26"/>
        </w:rPr>
        <w:t>rates</w:t>
      </w:r>
      <w:r w:rsidR="00D82808" w:rsidRPr="00001309">
        <w:rPr>
          <w:sz w:val="26"/>
          <w:szCs w:val="26"/>
        </w:rPr>
        <w:t xml:space="preserve"> it charged</w:t>
      </w:r>
      <w:r w:rsidRPr="00001309">
        <w:rPr>
          <w:sz w:val="26"/>
          <w:szCs w:val="26"/>
        </w:rPr>
        <w:t>.</w:t>
      </w:r>
    </w:p>
    <w:p w:rsidR="000A7C06" w:rsidRPr="00001309" w:rsidRDefault="000A7C06" w:rsidP="000A7C06">
      <w:pPr>
        <w:autoSpaceDE w:val="0"/>
        <w:autoSpaceDN w:val="0"/>
        <w:ind w:firstLine="720"/>
        <w:rPr>
          <w:b/>
          <w:sz w:val="26"/>
          <w:szCs w:val="26"/>
        </w:rPr>
      </w:pPr>
    </w:p>
    <w:p w:rsidR="007E018C" w:rsidRPr="00001309" w:rsidRDefault="00AB79F5" w:rsidP="00573050">
      <w:pPr>
        <w:kinsoku w:val="0"/>
        <w:overflowPunct w:val="0"/>
        <w:textAlignment w:val="baseline"/>
        <w:rPr>
          <w:sz w:val="26"/>
          <w:szCs w:val="26"/>
        </w:rPr>
      </w:pPr>
      <w:r w:rsidRPr="00001309">
        <w:rPr>
          <w:sz w:val="26"/>
          <w:szCs w:val="26"/>
        </w:rPr>
        <w:t>In denying the Exceptions of Blue Pilot, w</w:t>
      </w:r>
      <w:r w:rsidR="007E018C" w:rsidRPr="00001309">
        <w:rPr>
          <w:sz w:val="26"/>
          <w:szCs w:val="26"/>
        </w:rPr>
        <w:t xml:space="preserve">e </w:t>
      </w:r>
      <w:r w:rsidR="00D63E26" w:rsidRPr="00001309">
        <w:rPr>
          <w:sz w:val="26"/>
          <w:szCs w:val="26"/>
        </w:rPr>
        <w:t xml:space="preserve">acknowledge </w:t>
      </w:r>
      <w:r w:rsidRPr="00001309">
        <w:rPr>
          <w:sz w:val="26"/>
          <w:szCs w:val="26"/>
        </w:rPr>
        <w:t>the</w:t>
      </w:r>
      <w:r w:rsidR="007E018C" w:rsidRPr="00001309">
        <w:rPr>
          <w:sz w:val="26"/>
          <w:szCs w:val="26"/>
        </w:rPr>
        <w:t xml:space="preserve"> concerns that the Polar Vortex of 2014 was a</w:t>
      </w:r>
      <w:r w:rsidR="00DE6862" w:rsidRPr="00001309">
        <w:rPr>
          <w:sz w:val="26"/>
          <w:szCs w:val="26"/>
        </w:rPr>
        <w:t>n industry-wide,</w:t>
      </w:r>
      <w:r w:rsidR="007E018C" w:rsidRPr="00001309">
        <w:rPr>
          <w:sz w:val="26"/>
          <w:szCs w:val="26"/>
        </w:rPr>
        <w:t xml:space="preserve"> generic factor in the spikes in energy prices experienced by consumers during </w:t>
      </w:r>
      <w:r w:rsidR="00DE6862" w:rsidRPr="00001309">
        <w:rPr>
          <w:sz w:val="26"/>
          <w:szCs w:val="26"/>
        </w:rPr>
        <w:t xml:space="preserve">certain portions of </w:t>
      </w:r>
      <w:r w:rsidR="007E018C" w:rsidRPr="00001309">
        <w:rPr>
          <w:sz w:val="26"/>
          <w:szCs w:val="26"/>
        </w:rPr>
        <w:t xml:space="preserve">the applicable period in this Complaint. </w:t>
      </w:r>
      <w:r w:rsidR="00573050">
        <w:rPr>
          <w:sz w:val="26"/>
          <w:szCs w:val="26"/>
        </w:rPr>
        <w:t xml:space="preserve"> </w:t>
      </w:r>
      <w:r w:rsidR="006B446B" w:rsidRPr="00001309">
        <w:rPr>
          <w:i/>
          <w:sz w:val="26"/>
          <w:szCs w:val="26"/>
        </w:rPr>
        <w:t xml:space="preserve">See, e.g. </w:t>
      </w:r>
      <w:r w:rsidR="006B446B" w:rsidRPr="00001309">
        <w:rPr>
          <w:sz w:val="26"/>
          <w:szCs w:val="26"/>
        </w:rPr>
        <w:t>Exc. at 16-17.</w:t>
      </w:r>
      <w:r w:rsidR="007E018C" w:rsidRPr="00001309">
        <w:rPr>
          <w:sz w:val="26"/>
          <w:szCs w:val="26"/>
        </w:rPr>
        <w:t xml:space="preserve">  </w:t>
      </w:r>
      <w:r w:rsidR="00573050" w:rsidRPr="00DC7A16">
        <w:rPr>
          <w:sz w:val="26"/>
          <w:szCs w:val="26"/>
        </w:rPr>
        <w:t>Although the Polar Vortex may have been an aggravating event, the bottom line is that Blue Pilot failed to show any discernable relationship to the PJM prices referenced in the disclosure statement</w:t>
      </w:r>
      <w:r w:rsidR="00573050">
        <w:rPr>
          <w:sz w:val="26"/>
          <w:szCs w:val="26"/>
        </w:rPr>
        <w:t xml:space="preserve"> and the prices charged</w:t>
      </w:r>
      <w:r w:rsidR="00573050" w:rsidRPr="00DC7A16">
        <w:rPr>
          <w:sz w:val="26"/>
          <w:szCs w:val="26"/>
        </w:rPr>
        <w:t xml:space="preserve">. </w:t>
      </w:r>
      <w:r w:rsidR="00573050">
        <w:rPr>
          <w:sz w:val="26"/>
          <w:szCs w:val="26"/>
        </w:rPr>
        <w:t xml:space="preserve"> </w:t>
      </w:r>
      <w:r w:rsidR="00573050" w:rsidRPr="00DC7A16">
        <w:rPr>
          <w:sz w:val="26"/>
          <w:szCs w:val="26"/>
        </w:rPr>
        <w:t>Rather, Blue Pilot was opportunistic at best and extortionate at worst when it imposed these charges during the winter heating period when its customers were most vulnerable.</w:t>
      </w:r>
      <w:r w:rsidR="00573050">
        <w:rPr>
          <w:sz w:val="26"/>
          <w:szCs w:val="26"/>
        </w:rPr>
        <w:t xml:space="preserve">  </w:t>
      </w:r>
      <w:r w:rsidR="007E018C" w:rsidRPr="00001309">
        <w:rPr>
          <w:i/>
          <w:sz w:val="26"/>
          <w:szCs w:val="26"/>
        </w:rPr>
        <w:t xml:space="preserve">See </w:t>
      </w:r>
      <w:r w:rsidR="007E018C" w:rsidRPr="00001309">
        <w:rPr>
          <w:sz w:val="26"/>
          <w:szCs w:val="26"/>
        </w:rPr>
        <w:t>Testimony of Dr. Estomin addressed in substantial part, I.D. at 71-7</w:t>
      </w:r>
      <w:r w:rsidRPr="00001309">
        <w:rPr>
          <w:sz w:val="26"/>
          <w:szCs w:val="26"/>
        </w:rPr>
        <w:t>3</w:t>
      </w:r>
      <w:r w:rsidR="007E018C" w:rsidRPr="00001309">
        <w:rPr>
          <w:sz w:val="26"/>
          <w:szCs w:val="26"/>
        </w:rPr>
        <w:t>:</w:t>
      </w:r>
    </w:p>
    <w:p w:rsidR="00DE6862" w:rsidRPr="00001309" w:rsidRDefault="00DE6862" w:rsidP="007E018C">
      <w:pPr>
        <w:autoSpaceDE w:val="0"/>
        <w:autoSpaceDN w:val="0"/>
        <w:rPr>
          <w:sz w:val="26"/>
          <w:szCs w:val="26"/>
        </w:rPr>
      </w:pPr>
    </w:p>
    <w:p w:rsidR="00D70CA7" w:rsidRPr="00001309" w:rsidRDefault="007E018C" w:rsidP="007E018C">
      <w:pPr>
        <w:autoSpaceDE w:val="0"/>
        <w:autoSpaceDN w:val="0"/>
        <w:adjustRightInd w:val="0"/>
        <w:spacing w:line="240" w:lineRule="auto"/>
        <w:ind w:left="1440" w:right="1440" w:firstLine="720"/>
        <w:rPr>
          <w:sz w:val="26"/>
          <w:szCs w:val="26"/>
        </w:rPr>
      </w:pPr>
      <w:r w:rsidRPr="00001309">
        <w:rPr>
          <w:sz w:val="26"/>
          <w:szCs w:val="26"/>
        </w:rPr>
        <w:t xml:space="preserve">The overriding implication is that the prices charged by Blue Pilot could not possibly be tied to the PJM wholesale markets. </w:t>
      </w:r>
      <w:r w:rsidR="00D82808" w:rsidRPr="00001309">
        <w:rPr>
          <w:sz w:val="26"/>
          <w:szCs w:val="26"/>
        </w:rPr>
        <w:t xml:space="preserve"> </w:t>
      </w:r>
      <w:r w:rsidRPr="00001309">
        <w:rPr>
          <w:sz w:val="26"/>
          <w:szCs w:val="26"/>
        </w:rPr>
        <w:t xml:space="preserve">Rates tied to the PJM wholesale power markets would not be nearly as uniform as suggested by the data shown in Table 1 through Table 3. </w:t>
      </w:r>
      <w:r w:rsidR="00D82808" w:rsidRPr="00001309">
        <w:rPr>
          <w:sz w:val="26"/>
          <w:szCs w:val="26"/>
        </w:rPr>
        <w:t xml:space="preserve"> </w:t>
      </w:r>
      <w:r w:rsidRPr="00001309">
        <w:rPr>
          <w:sz w:val="26"/>
          <w:szCs w:val="26"/>
        </w:rPr>
        <w:t xml:space="preserve">This conclusion is additionally supported by the data shown as graphs in Exhibit SLE-2 (confidential), which depict the number of customers served under </w:t>
      </w:r>
      <w:proofErr w:type="gramStart"/>
      <w:r w:rsidRPr="00001309">
        <w:rPr>
          <w:sz w:val="26"/>
          <w:szCs w:val="26"/>
        </w:rPr>
        <w:t>all of</w:t>
      </w:r>
      <w:proofErr w:type="gramEnd"/>
      <w:r w:rsidRPr="00001309">
        <w:rPr>
          <w:sz w:val="26"/>
          <w:szCs w:val="26"/>
        </w:rPr>
        <w:t xml:space="preserve"> the Blue Pilot variable prices disaggregated by EDC area. </w:t>
      </w:r>
      <w:r w:rsidR="00D82808" w:rsidRPr="00001309">
        <w:rPr>
          <w:sz w:val="26"/>
          <w:szCs w:val="26"/>
        </w:rPr>
        <w:t xml:space="preserve"> </w:t>
      </w:r>
      <w:r w:rsidRPr="00001309">
        <w:rPr>
          <w:sz w:val="26"/>
          <w:szCs w:val="26"/>
        </w:rPr>
        <w:t xml:space="preserve">What is shown in Exhibit SLE-2 (confidential) is </w:t>
      </w:r>
    </w:p>
    <w:p w:rsidR="007E018C" w:rsidRPr="00001309" w:rsidRDefault="007E018C" w:rsidP="00D70CA7">
      <w:pPr>
        <w:keepNext/>
        <w:keepLines/>
        <w:autoSpaceDE w:val="0"/>
        <w:autoSpaceDN w:val="0"/>
        <w:adjustRightInd w:val="0"/>
        <w:spacing w:line="240" w:lineRule="auto"/>
        <w:ind w:left="1440" w:right="1440" w:firstLine="0"/>
        <w:rPr>
          <w:sz w:val="26"/>
          <w:szCs w:val="26"/>
        </w:rPr>
      </w:pPr>
      <w:r w:rsidRPr="00001309">
        <w:rPr>
          <w:sz w:val="26"/>
          <w:szCs w:val="26"/>
        </w:rPr>
        <w:t xml:space="preserve">that the lack of variability in the Blue Pilot prices is, in fact, </w:t>
      </w:r>
      <w:r w:rsidRPr="00001309">
        <w:rPr>
          <w:sz w:val="26"/>
          <w:szCs w:val="26"/>
          <w:u w:val="single"/>
        </w:rPr>
        <w:t>understated</w:t>
      </w:r>
      <w:r w:rsidRPr="00001309">
        <w:rPr>
          <w:sz w:val="26"/>
          <w:szCs w:val="26"/>
        </w:rPr>
        <w:t xml:space="preserve"> in Table 1 through Table 3.</w:t>
      </w:r>
    </w:p>
    <w:p w:rsidR="00086AF7" w:rsidRPr="00001309" w:rsidRDefault="00086AF7" w:rsidP="00D70CA7">
      <w:pPr>
        <w:keepNext/>
        <w:keepLines/>
        <w:autoSpaceDE w:val="0"/>
        <w:autoSpaceDN w:val="0"/>
        <w:adjustRightInd w:val="0"/>
        <w:spacing w:line="240" w:lineRule="auto"/>
        <w:ind w:left="1440" w:right="1440" w:firstLine="0"/>
        <w:rPr>
          <w:sz w:val="26"/>
          <w:szCs w:val="26"/>
        </w:rPr>
      </w:pPr>
    </w:p>
    <w:p w:rsidR="00086AF7" w:rsidRPr="00001309" w:rsidRDefault="00086AF7" w:rsidP="00D70CA7">
      <w:pPr>
        <w:keepNext/>
        <w:keepLines/>
        <w:autoSpaceDE w:val="0"/>
        <w:autoSpaceDN w:val="0"/>
        <w:adjustRightInd w:val="0"/>
        <w:spacing w:line="240" w:lineRule="auto"/>
        <w:ind w:left="1440" w:right="1440" w:firstLine="0"/>
        <w:rPr>
          <w:sz w:val="26"/>
          <w:szCs w:val="26"/>
        </w:rPr>
      </w:pPr>
    </w:p>
    <w:p w:rsidR="007E018C" w:rsidRPr="00001309" w:rsidRDefault="007E018C" w:rsidP="007E018C">
      <w:pPr>
        <w:autoSpaceDE w:val="0"/>
        <w:autoSpaceDN w:val="0"/>
        <w:ind w:firstLine="0"/>
        <w:rPr>
          <w:sz w:val="26"/>
          <w:szCs w:val="26"/>
        </w:rPr>
      </w:pPr>
      <w:r w:rsidRPr="00001309">
        <w:rPr>
          <w:sz w:val="26"/>
          <w:szCs w:val="26"/>
        </w:rPr>
        <w:t>I.D. at 73, citing OAG/OCA St. 2 at 14-15. (Emphasis in original</w:t>
      </w:r>
      <w:r w:rsidR="00AB79F5" w:rsidRPr="00001309">
        <w:rPr>
          <w:sz w:val="26"/>
          <w:szCs w:val="26"/>
        </w:rPr>
        <w:t xml:space="preserve"> prepared testimony</w:t>
      </w:r>
      <w:r w:rsidRPr="00001309">
        <w:rPr>
          <w:sz w:val="26"/>
          <w:szCs w:val="26"/>
        </w:rPr>
        <w:t>).</w:t>
      </w:r>
    </w:p>
    <w:p w:rsidR="007E018C" w:rsidRPr="00001309" w:rsidRDefault="007E018C" w:rsidP="007E018C">
      <w:pPr>
        <w:autoSpaceDE w:val="0"/>
        <w:autoSpaceDN w:val="0"/>
        <w:ind w:firstLine="0"/>
        <w:rPr>
          <w:sz w:val="26"/>
          <w:szCs w:val="26"/>
        </w:rPr>
      </w:pPr>
    </w:p>
    <w:p w:rsidR="00D63E26" w:rsidRPr="00001309" w:rsidRDefault="007E018C" w:rsidP="007E018C">
      <w:pPr>
        <w:autoSpaceDE w:val="0"/>
        <w:autoSpaceDN w:val="0"/>
        <w:rPr>
          <w:sz w:val="26"/>
          <w:szCs w:val="26"/>
        </w:rPr>
      </w:pPr>
      <w:r w:rsidRPr="00001309">
        <w:rPr>
          <w:sz w:val="26"/>
          <w:szCs w:val="26"/>
        </w:rPr>
        <w:t xml:space="preserve">The testimony of Dr. Estomin, was further corroborated by the expert testimony of </w:t>
      </w:r>
      <w:r w:rsidR="00872023" w:rsidRPr="00001309">
        <w:rPr>
          <w:sz w:val="26"/>
          <w:szCs w:val="26"/>
        </w:rPr>
        <w:t>Ms.</w:t>
      </w:r>
      <w:r w:rsidRPr="00001309">
        <w:rPr>
          <w:sz w:val="26"/>
          <w:szCs w:val="26"/>
        </w:rPr>
        <w:t xml:space="preserve"> Everette.</w:t>
      </w:r>
      <w:r w:rsidR="00683234" w:rsidRPr="00001309">
        <w:rPr>
          <w:sz w:val="26"/>
          <w:szCs w:val="26"/>
        </w:rPr>
        <w:t xml:space="preserve">  I.D. at 74-75.</w:t>
      </w:r>
    </w:p>
    <w:p w:rsidR="00683234" w:rsidRPr="00001309" w:rsidRDefault="00683234" w:rsidP="007E018C">
      <w:pPr>
        <w:autoSpaceDE w:val="0"/>
        <w:autoSpaceDN w:val="0"/>
        <w:rPr>
          <w:sz w:val="26"/>
          <w:szCs w:val="26"/>
        </w:rPr>
      </w:pPr>
    </w:p>
    <w:p w:rsidR="007E018C" w:rsidRPr="00001309" w:rsidRDefault="007E018C" w:rsidP="007E018C">
      <w:pPr>
        <w:autoSpaceDE w:val="0"/>
        <w:autoSpaceDN w:val="0"/>
        <w:rPr>
          <w:sz w:val="26"/>
          <w:szCs w:val="26"/>
        </w:rPr>
      </w:pPr>
      <w:r w:rsidRPr="00001309">
        <w:rPr>
          <w:sz w:val="26"/>
          <w:szCs w:val="26"/>
        </w:rPr>
        <w:t xml:space="preserve">Blue Pilot’s criticism of the </w:t>
      </w:r>
      <w:r w:rsidR="00683234" w:rsidRPr="00001309">
        <w:rPr>
          <w:sz w:val="26"/>
          <w:szCs w:val="26"/>
        </w:rPr>
        <w:t>t</w:t>
      </w:r>
      <w:r w:rsidR="001E5943" w:rsidRPr="00001309">
        <w:rPr>
          <w:sz w:val="26"/>
          <w:szCs w:val="26"/>
        </w:rPr>
        <w:t>estimony of</w:t>
      </w:r>
      <w:r w:rsidRPr="00001309">
        <w:rPr>
          <w:sz w:val="26"/>
          <w:szCs w:val="26"/>
        </w:rPr>
        <w:t xml:space="preserve"> </w:t>
      </w:r>
      <w:r w:rsidR="00F429DB">
        <w:rPr>
          <w:sz w:val="26"/>
          <w:szCs w:val="26"/>
        </w:rPr>
        <w:t xml:space="preserve">the </w:t>
      </w:r>
      <w:r w:rsidR="001E5943" w:rsidRPr="00001309">
        <w:rPr>
          <w:sz w:val="26"/>
          <w:szCs w:val="26"/>
        </w:rPr>
        <w:t xml:space="preserve">Joint Complainants’ </w:t>
      </w:r>
      <w:r w:rsidRPr="00001309">
        <w:rPr>
          <w:sz w:val="26"/>
          <w:szCs w:val="26"/>
        </w:rPr>
        <w:t xml:space="preserve">experts is to lodge a </w:t>
      </w:r>
      <w:r w:rsidR="001D27BF" w:rsidRPr="00001309">
        <w:rPr>
          <w:sz w:val="26"/>
          <w:szCs w:val="26"/>
        </w:rPr>
        <w:t xml:space="preserve">general </w:t>
      </w:r>
      <w:r w:rsidRPr="00001309">
        <w:rPr>
          <w:sz w:val="26"/>
          <w:szCs w:val="26"/>
        </w:rPr>
        <w:t xml:space="preserve">criticism that the presiding ALJs are holding </w:t>
      </w:r>
      <w:r w:rsidR="001D27BF" w:rsidRPr="00001309">
        <w:rPr>
          <w:sz w:val="26"/>
          <w:szCs w:val="26"/>
        </w:rPr>
        <w:t>it</w:t>
      </w:r>
      <w:r w:rsidRPr="00001309">
        <w:rPr>
          <w:sz w:val="26"/>
          <w:szCs w:val="26"/>
        </w:rPr>
        <w:t xml:space="preserve"> to a “just and reasonable” standard for the </w:t>
      </w:r>
      <w:r w:rsidR="001E5943" w:rsidRPr="00001309">
        <w:rPr>
          <w:sz w:val="26"/>
          <w:szCs w:val="26"/>
        </w:rPr>
        <w:t xml:space="preserve">electric generation </w:t>
      </w:r>
      <w:r w:rsidRPr="00001309">
        <w:rPr>
          <w:sz w:val="26"/>
          <w:szCs w:val="26"/>
        </w:rPr>
        <w:t xml:space="preserve">charges </w:t>
      </w:r>
      <w:r w:rsidR="001D27BF" w:rsidRPr="00001309">
        <w:rPr>
          <w:sz w:val="26"/>
          <w:szCs w:val="26"/>
        </w:rPr>
        <w:t>imposed on</w:t>
      </w:r>
      <w:r w:rsidRPr="00001309">
        <w:rPr>
          <w:sz w:val="26"/>
          <w:szCs w:val="26"/>
        </w:rPr>
        <w:t xml:space="preserve"> its customers that is akin to </w:t>
      </w:r>
      <w:r w:rsidR="001E5943" w:rsidRPr="00001309">
        <w:rPr>
          <w:sz w:val="26"/>
          <w:szCs w:val="26"/>
        </w:rPr>
        <w:t xml:space="preserve">a “just and reasonable” </w:t>
      </w:r>
      <w:r w:rsidRPr="00001309">
        <w:rPr>
          <w:sz w:val="26"/>
          <w:szCs w:val="26"/>
        </w:rPr>
        <w:t xml:space="preserve">ratemaking </w:t>
      </w:r>
      <w:r w:rsidR="00DA6922" w:rsidRPr="00001309">
        <w:rPr>
          <w:sz w:val="26"/>
          <w:szCs w:val="26"/>
        </w:rPr>
        <w:t xml:space="preserve">standard </w:t>
      </w:r>
      <w:r w:rsidRPr="00001309">
        <w:rPr>
          <w:sz w:val="26"/>
          <w:szCs w:val="26"/>
        </w:rPr>
        <w:t xml:space="preserve">for </w:t>
      </w:r>
      <w:r w:rsidR="00226595" w:rsidRPr="00001309">
        <w:rPr>
          <w:sz w:val="26"/>
          <w:szCs w:val="26"/>
        </w:rPr>
        <w:t xml:space="preserve">rates charged by </w:t>
      </w:r>
      <w:r w:rsidRPr="00001309">
        <w:rPr>
          <w:sz w:val="26"/>
          <w:szCs w:val="26"/>
        </w:rPr>
        <w:t xml:space="preserve">a “public utility” under the Code.  </w:t>
      </w:r>
      <w:r w:rsidR="001D27BF" w:rsidRPr="00001309">
        <w:rPr>
          <w:i/>
          <w:sz w:val="26"/>
          <w:szCs w:val="26"/>
        </w:rPr>
        <w:lastRenderedPageBreak/>
        <w:t xml:space="preserve">See </w:t>
      </w:r>
      <w:r w:rsidRPr="00001309">
        <w:rPr>
          <w:sz w:val="26"/>
          <w:szCs w:val="26"/>
        </w:rPr>
        <w:t>66 Pa.C.S. § 1301</w:t>
      </w:r>
      <w:r w:rsidR="001D27BF" w:rsidRPr="00001309">
        <w:rPr>
          <w:sz w:val="26"/>
          <w:szCs w:val="26"/>
        </w:rPr>
        <w:t>, “[e]very rate made, demanded, or received by any public utility, . . . shall be just and reasonable . . .</w:t>
      </w:r>
      <w:r w:rsidR="00703386" w:rsidRPr="00001309">
        <w:rPr>
          <w:sz w:val="26"/>
          <w:szCs w:val="26"/>
        </w:rPr>
        <w:t xml:space="preserve"> .</w:t>
      </w:r>
      <w:r w:rsidR="001D27BF" w:rsidRPr="00001309">
        <w:rPr>
          <w:sz w:val="26"/>
          <w:szCs w:val="26"/>
        </w:rPr>
        <w:t>”</w:t>
      </w:r>
      <w:r w:rsidRPr="00001309">
        <w:rPr>
          <w:sz w:val="26"/>
          <w:szCs w:val="26"/>
        </w:rPr>
        <w:t xml:space="preserve">  </w:t>
      </w:r>
      <w:r w:rsidR="00050417" w:rsidRPr="00001309">
        <w:rPr>
          <w:sz w:val="26"/>
          <w:szCs w:val="26"/>
        </w:rPr>
        <w:t>Again, w</w:t>
      </w:r>
      <w:r w:rsidRPr="00001309">
        <w:rPr>
          <w:sz w:val="26"/>
          <w:szCs w:val="26"/>
        </w:rPr>
        <w:t>e do not agree.</w:t>
      </w:r>
    </w:p>
    <w:p w:rsidR="007E018C" w:rsidRPr="00001309" w:rsidRDefault="007E018C" w:rsidP="007E018C">
      <w:pPr>
        <w:autoSpaceDE w:val="0"/>
        <w:autoSpaceDN w:val="0"/>
        <w:rPr>
          <w:sz w:val="26"/>
          <w:szCs w:val="26"/>
        </w:rPr>
      </w:pPr>
      <w:r w:rsidRPr="00001309">
        <w:rPr>
          <w:sz w:val="26"/>
          <w:szCs w:val="26"/>
        </w:rPr>
        <w:t xml:space="preserve"> </w:t>
      </w:r>
    </w:p>
    <w:p w:rsidR="009B23A5" w:rsidRPr="00001309" w:rsidRDefault="007E018C" w:rsidP="00872023">
      <w:pPr>
        <w:autoSpaceDE w:val="0"/>
        <w:autoSpaceDN w:val="0"/>
        <w:adjustRightInd w:val="0"/>
        <w:rPr>
          <w:sz w:val="26"/>
          <w:szCs w:val="26"/>
        </w:rPr>
      </w:pPr>
      <w:r w:rsidRPr="00001309">
        <w:rPr>
          <w:sz w:val="26"/>
          <w:szCs w:val="26"/>
        </w:rPr>
        <w:t xml:space="preserve">In the absence of any counter testimony adduced by Blue Pilot, the clear inference of the expert witness testimony of </w:t>
      </w:r>
      <w:r w:rsidR="00F429DB">
        <w:rPr>
          <w:sz w:val="26"/>
          <w:szCs w:val="26"/>
        </w:rPr>
        <w:t xml:space="preserve">the </w:t>
      </w:r>
      <w:r w:rsidRPr="00001309">
        <w:rPr>
          <w:sz w:val="26"/>
          <w:szCs w:val="26"/>
        </w:rPr>
        <w:t xml:space="preserve">Joint Complainants is that the </w:t>
      </w:r>
      <w:r w:rsidR="00DA6922" w:rsidRPr="00001309">
        <w:rPr>
          <w:sz w:val="26"/>
          <w:szCs w:val="26"/>
        </w:rPr>
        <w:t xml:space="preserve">electric generation </w:t>
      </w:r>
      <w:r w:rsidRPr="00001309">
        <w:rPr>
          <w:sz w:val="26"/>
          <w:szCs w:val="26"/>
        </w:rPr>
        <w:t xml:space="preserve">charges imposed by Blue Pilot were </w:t>
      </w:r>
      <w:r w:rsidR="00573050">
        <w:rPr>
          <w:sz w:val="26"/>
          <w:szCs w:val="26"/>
        </w:rPr>
        <w:t>not a product of any discerned relationship between the generation market.</w:t>
      </w:r>
      <w:r w:rsidR="00A70293" w:rsidRPr="00001309">
        <w:rPr>
          <w:sz w:val="26"/>
          <w:szCs w:val="26"/>
        </w:rPr>
        <w:t xml:space="preserve">  I.D. at 75</w:t>
      </w:r>
      <w:r w:rsidR="00872023" w:rsidRPr="00001309">
        <w:rPr>
          <w:sz w:val="26"/>
          <w:szCs w:val="26"/>
        </w:rPr>
        <w:t xml:space="preserve">; </w:t>
      </w:r>
      <w:r w:rsidR="00872023" w:rsidRPr="00001309">
        <w:rPr>
          <w:i/>
          <w:sz w:val="26"/>
          <w:szCs w:val="26"/>
        </w:rPr>
        <w:t xml:space="preserve">See </w:t>
      </w:r>
      <w:r w:rsidR="00872023" w:rsidRPr="00001309">
        <w:rPr>
          <w:sz w:val="26"/>
          <w:szCs w:val="26"/>
        </w:rPr>
        <w:t>Testimony of Everette, at 14-20.</w:t>
      </w:r>
      <w:r w:rsidR="00242609" w:rsidRPr="00001309">
        <w:rPr>
          <w:rStyle w:val="FootnoteReference"/>
          <w:sz w:val="26"/>
          <w:szCs w:val="26"/>
        </w:rPr>
        <w:footnoteReference w:id="27"/>
      </w:r>
      <w:r w:rsidRPr="00001309">
        <w:rPr>
          <w:sz w:val="26"/>
          <w:szCs w:val="26"/>
        </w:rPr>
        <w:t xml:space="preserve">  </w:t>
      </w:r>
      <w:r w:rsidR="0062565A">
        <w:rPr>
          <w:sz w:val="26"/>
          <w:szCs w:val="26"/>
        </w:rPr>
        <w:t>The record does n</w:t>
      </w:r>
      <w:r w:rsidRPr="00001309">
        <w:rPr>
          <w:sz w:val="26"/>
          <w:szCs w:val="26"/>
        </w:rPr>
        <w:t xml:space="preserve">ot contain any </w:t>
      </w:r>
      <w:r w:rsidR="00DA6922" w:rsidRPr="00001309">
        <w:rPr>
          <w:sz w:val="26"/>
          <w:szCs w:val="26"/>
        </w:rPr>
        <w:t xml:space="preserve">evidentiary </w:t>
      </w:r>
      <w:r w:rsidRPr="00001309">
        <w:rPr>
          <w:sz w:val="26"/>
          <w:szCs w:val="26"/>
        </w:rPr>
        <w:t xml:space="preserve">rebuttal other than </w:t>
      </w:r>
      <w:r w:rsidR="00D82808" w:rsidRPr="00001309">
        <w:rPr>
          <w:sz w:val="26"/>
          <w:szCs w:val="26"/>
        </w:rPr>
        <w:t xml:space="preserve">the </w:t>
      </w:r>
      <w:r w:rsidRPr="00001309">
        <w:rPr>
          <w:sz w:val="26"/>
          <w:szCs w:val="26"/>
        </w:rPr>
        <w:t>arguments of counsel.</w:t>
      </w:r>
      <w:r w:rsidR="006416F0" w:rsidRPr="00001309">
        <w:rPr>
          <w:sz w:val="26"/>
          <w:szCs w:val="26"/>
        </w:rPr>
        <w:t xml:space="preserve">  </w:t>
      </w:r>
      <w:r w:rsidR="006416F0" w:rsidRPr="00001309">
        <w:rPr>
          <w:i/>
          <w:sz w:val="26"/>
          <w:szCs w:val="26"/>
        </w:rPr>
        <w:t xml:space="preserve">See, e.g., </w:t>
      </w:r>
      <w:r w:rsidR="006416F0" w:rsidRPr="00001309">
        <w:rPr>
          <w:sz w:val="26"/>
          <w:szCs w:val="26"/>
        </w:rPr>
        <w:t xml:space="preserve">Finding of Fact Nos. </w:t>
      </w:r>
      <w:r w:rsidR="00AF3569" w:rsidRPr="00001309">
        <w:rPr>
          <w:sz w:val="26"/>
          <w:szCs w:val="26"/>
        </w:rPr>
        <w:t xml:space="preserve">37; </w:t>
      </w:r>
      <w:r w:rsidR="006416F0" w:rsidRPr="00001309">
        <w:rPr>
          <w:sz w:val="26"/>
          <w:szCs w:val="26"/>
        </w:rPr>
        <w:t>96-99.</w:t>
      </w:r>
      <w:r w:rsidRPr="00001309">
        <w:rPr>
          <w:sz w:val="26"/>
          <w:szCs w:val="26"/>
        </w:rPr>
        <w:t xml:space="preserve">  To have this conduct occur in </w:t>
      </w:r>
      <w:r w:rsidR="00DA6922" w:rsidRPr="00001309">
        <w:rPr>
          <w:sz w:val="26"/>
          <w:szCs w:val="26"/>
        </w:rPr>
        <w:t xml:space="preserve">the context of a </w:t>
      </w:r>
      <w:r w:rsidRPr="00001309">
        <w:rPr>
          <w:sz w:val="26"/>
          <w:szCs w:val="26"/>
        </w:rPr>
        <w:t xml:space="preserve">developing </w:t>
      </w:r>
      <w:r w:rsidR="00DA6922" w:rsidRPr="00001309">
        <w:rPr>
          <w:sz w:val="26"/>
          <w:szCs w:val="26"/>
        </w:rPr>
        <w:t>electric energy</w:t>
      </w:r>
      <w:r w:rsidRPr="00001309">
        <w:rPr>
          <w:sz w:val="26"/>
          <w:szCs w:val="26"/>
        </w:rPr>
        <w:t xml:space="preserve"> </w:t>
      </w:r>
      <w:r w:rsidR="00DA6922" w:rsidRPr="00001309">
        <w:rPr>
          <w:sz w:val="26"/>
          <w:szCs w:val="26"/>
        </w:rPr>
        <w:t xml:space="preserve">market seeking to </w:t>
      </w:r>
      <w:r w:rsidRPr="00001309">
        <w:rPr>
          <w:sz w:val="26"/>
          <w:szCs w:val="26"/>
        </w:rPr>
        <w:t>encourage consumer choice</w:t>
      </w:r>
      <w:r w:rsidR="00DA6922" w:rsidRPr="00001309">
        <w:rPr>
          <w:sz w:val="26"/>
          <w:szCs w:val="26"/>
        </w:rPr>
        <w:t>,</w:t>
      </w:r>
      <w:r w:rsidRPr="00001309">
        <w:rPr>
          <w:sz w:val="26"/>
          <w:szCs w:val="26"/>
        </w:rPr>
        <w:t xml:space="preserve"> runs counter to the goals and objectives of the Act</w:t>
      </w:r>
      <w:r w:rsidR="00DA6922" w:rsidRPr="00001309">
        <w:rPr>
          <w:sz w:val="26"/>
          <w:szCs w:val="26"/>
        </w:rPr>
        <w:t>.</w:t>
      </w:r>
      <w:r w:rsidR="009B23A5" w:rsidRPr="00001309">
        <w:rPr>
          <w:sz w:val="26"/>
          <w:szCs w:val="26"/>
        </w:rPr>
        <w:t xml:space="preserve">  </w:t>
      </w:r>
      <w:r w:rsidR="009B23A5" w:rsidRPr="00001309">
        <w:rPr>
          <w:i/>
          <w:sz w:val="26"/>
          <w:szCs w:val="26"/>
        </w:rPr>
        <w:t>See, e.g</w:t>
      </w:r>
      <w:r w:rsidR="009B23A5" w:rsidRPr="00001309">
        <w:rPr>
          <w:sz w:val="26"/>
          <w:szCs w:val="26"/>
        </w:rPr>
        <w:t xml:space="preserve">., </w:t>
      </w:r>
      <w:r w:rsidR="009B23A5" w:rsidRPr="00001309">
        <w:rPr>
          <w:iCs/>
          <w:sz w:val="26"/>
          <w:szCs w:val="26"/>
        </w:rPr>
        <w:t>Review</w:t>
      </w:r>
      <w:r w:rsidR="009B23A5" w:rsidRPr="00001309">
        <w:rPr>
          <w:i/>
          <w:iCs/>
          <w:sz w:val="26"/>
          <w:szCs w:val="26"/>
        </w:rPr>
        <w:t xml:space="preserve"> of Rules, Policies and Consumer Education Measures Regarding Variable Rate Retail Electric Products, </w:t>
      </w:r>
      <w:r w:rsidR="009B23A5" w:rsidRPr="00001309">
        <w:rPr>
          <w:sz w:val="26"/>
          <w:szCs w:val="26"/>
        </w:rPr>
        <w:t>Docket No. M</w:t>
      </w:r>
      <w:r w:rsidR="00A550CD">
        <w:rPr>
          <w:sz w:val="26"/>
          <w:szCs w:val="26"/>
        </w:rPr>
        <w:noBreakHyphen/>
      </w:r>
      <w:r w:rsidR="009B23A5" w:rsidRPr="00001309">
        <w:rPr>
          <w:sz w:val="26"/>
          <w:szCs w:val="26"/>
        </w:rPr>
        <w:t>2014-2406134 (Order entered March 4, 2014) (</w:t>
      </w:r>
      <w:r w:rsidR="009B23A5" w:rsidRPr="00001309">
        <w:rPr>
          <w:i/>
          <w:iCs/>
          <w:sz w:val="26"/>
          <w:szCs w:val="26"/>
        </w:rPr>
        <w:t>Variable Price Order</w:t>
      </w:r>
      <w:r w:rsidR="009B23A5" w:rsidRPr="00001309">
        <w:rPr>
          <w:iCs/>
          <w:sz w:val="26"/>
          <w:szCs w:val="26"/>
        </w:rPr>
        <w:t>)</w:t>
      </w:r>
      <w:r w:rsidR="002C3690" w:rsidRPr="00001309">
        <w:rPr>
          <w:i/>
          <w:iCs/>
          <w:sz w:val="26"/>
          <w:szCs w:val="26"/>
        </w:rPr>
        <w:t>.</w:t>
      </w:r>
    </w:p>
    <w:p w:rsidR="0062565A" w:rsidRPr="00DC7A16" w:rsidRDefault="0062565A" w:rsidP="00797991">
      <w:pPr>
        <w:kinsoku w:val="0"/>
        <w:overflowPunct w:val="0"/>
        <w:ind w:firstLine="0"/>
        <w:textAlignment w:val="baseline"/>
        <w:rPr>
          <w:sz w:val="26"/>
          <w:szCs w:val="26"/>
        </w:rPr>
      </w:pPr>
    </w:p>
    <w:p w:rsidR="0062565A" w:rsidRDefault="0062565A" w:rsidP="0062565A">
      <w:pPr>
        <w:kinsoku w:val="0"/>
        <w:overflowPunct w:val="0"/>
        <w:textAlignment w:val="baseline"/>
        <w:rPr>
          <w:sz w:val="26"/>
          <w:szCs w:val="26"/>
        </w:rPr>
      </w:pPr>
      <w:r w:rsidRPr="00DC7A16">
        <w:rPr>
          <w:sz w:val="26"/>
          <w:szCs w:val="26"/>
        </w:rPr>
        <w:t xml:space="preserve">Blue Pilot also argues that Count II should be dismissed because the Commission does not regulate competitive supply rates and private contracts between consumers and EGSs. </w:t>
      </w:r>
      <w:r>
        <w:rPr>
          <w:sz w:val="26"/>
          <w:szCs w:val="26"/>
        </w:rPr>
        <w:t xml:space="preserve"> </w:t>
      </w:r>
      <w:r w:rsidRPr="00DC7A16">
        <w:rPr>
          <w:sz w:val="26"/>
          <w:szCs w:val="26"/>
        </w:rPr>
        <w:t xml:space="preserve">However, as we found in the </w:t>
      </w:r>
      <w:r w:rsidR="00797991" w:rsidRPr="00001309">
        <w:rPr>
          <w:i/>
          <w:iCs/>
          <w:sz w:val="26"/>
          <w:szCs w:val="26"/>
        </w:rPr>
        <w:t>Blue Pilot Interlocutory Order</w:t>
      </w:r>
      <w:r w:rsidRPr="00DC7A16">
        <w:rPr>
          <w:sz w:val="26"/>
          <w:szCs w:val="26"/>
        </w:rPr>
        <w:t xml:space="preserve"> entered at this docket, the Commission's attempt to discern whether Blue Pilot billed customers in accordance with its disclosure statement as required by our </w:t>
      </w:r>
      <w:r>
        <w:rPr>
          <w:sz w:val="26"/>
          <w:szCs w:val="26"/>
        </w:rPr>
        <w:t>R</w:t>
      </w:r>
      <w:r w:rsidRPr="00DC7A16">
        <w:rPr>
          <w:sz w:val="26"/>
          <w:szCs w:val="26"/>
        </w:rPr>
        <w:t xml:space="preserve">egulations is an issue that is squarely within our jurisdiction. </w:t>
      </w:r>
      <w:r>
        <w:rPr>
          <w:sz w:val="26"/>
          <w:szCs w:val="26"/>
        </w:rPr>
        <w:t xml:space="preserve"> We</w:t>
      </w:r>
      <w:r w:rsidRPr="00DC7A16">
        <w:rPr>
          <w:sz w:val="26"/>
          <w:szCs w:val="26"/>
        </w:rPr>
        <w:t xml:space="preserve"> note that the Commonwealth Court of Pennsylvania in </w:t>
      </w:r>
      <w:r w:rsidRPr="00DC7A16">
        <w:rPr>
          <w:i/>
          <w:iCs/>
          <w:sz w:val="26"/>
          <w:szCs w:val="26"/>
        </w:rPr>
        <w:t>HIKO v. Pa. Pub. Util. Comm</w:t>
      </w:r>
      <w:r w:rsidR="00797991">
        <w:rPr>
          <w:i/>
          <w:iCs/>
          <w:sz w:val="26"/>
          <w:szCs w:val="26"/>
        </w:rPr>
        <w:t>’</w:t>
      </w:r>
      <w:r w:rsidRPr="00DC7A16">
        <w:rPr>
          <w:i/>
          <w:iCs/>
          <w:sz w:val="26"/>
          <w:szCs w:val="26"/>
        </w:rPr>
        <w:t>n</w:t>
      </w:r>
      <w:r>
        <w:rPr>
          <w:iCs/>
          <w:sz w:val="26"/>
          <w:szCs w:val="26"/>
        </w:rPr>
        <w:t>,</w:t>
      </w:r>
      <w:r w:rsidRPr="00DC7A16">
        <w:rPr>
          <w:i/>
          <w:iCs/>
          <w:sz w:val="26"/>
          <w:szCs w:val="26"/>
        </w:rPr>
        <w:t xml:space="preserve"> </w:t>
      </w:r>
      <w:r w:rsidR="00797991">
        <w:rPr>
          <w:i/>
          <w:iCs/>
          <w:sz w:val="26"/>
          <w:szCs w:val="26"/>
        </w:rPr>
        <w:t>supra</w:t>
      </w:r>
      <w:r w:rsidR="00797991">
        <w:rPr>
          <w:iCs/>
          <w:sz w:val="26"/>
          <w:szCs w:val="26"/>
        </w:rPr>
        <w:t>,</w:t>
      </w:r>
      <w:r w:rsidR="00797991">
        <w:rPr>
          <w:i/>
          <w:iCs/>
          <w:sz w:val="26"/>
          <w:szCs w:val="26"/>
        </w:rPr>
        <w:t xml:space="preserve"> </w:t>
      </w:r>
      <w:r w:rsidRPr="00DC7A16">
        <w:rPr>
          <w:sz w:val="26"/>
          <w:szCs w:val="26"/>
        </w:rPr>
        <w:t>has confirmed the Commission</w:t>
      </w:r>
      <w:r>
        <w:rPr>
          <w:sz w:val="26"/>
          <w:szCs w:val="26"/>
        </w:rPr>
        <w:t>’</w:t>
      </w:r>
      <w:r w:rsidRPr="00DC7A16">
        <w:rPr>
          <w:sz w:val="26"/>
          <w:szCs w:val="26"/>
        </w:rPr>
        <w:t xml:space="preserve">s authority to </w:t>
      </w:r>
      <w:r w:rsidRPr="00DC7A16">
        <w:rPr>
          <w:sz w:val="26"/>
          <w:szCs w:val="26"/>
        </w:rPr>
        <w:lastRenderedPageBreak/>
        <w:t>regulate certain aspects of the services provided by EGSs, including whether an EGS billed price matches the disclosure statement.</w:t>
      </w:r>
      <w:r>
        <w:rPr>
          <w:rStyle w:val="FootnoteReference"/>
          <w:sz w:val="26"/>
          <w:szCs w:val="26"/>
        </w:rPr>
        <w:footnoteReference w:id="28"/>
      </w:r>
    </w:p>
    <w:p w:rsidR="0062565A" w:rsidRDefault="0062565A" w:rsidP="0062565A">
      <w:pPr>
        <w:kinsoku w:val="0"/>
        <w:overflowPunct w:val="0"/>
        <w:textAlignment w:val="baseline"/>
        <w:rPr>
          <w:sz w:val="26"/>
          <w:szCs w:val="26"/>
          <w:vertAlign w:val="superscript"/>
        </w:rPr>
      </w:pPr>
    </w:p>
    <w:p w:rsidR="00AC7D4B" w:rsidRDefault="00AC7D4B" w:rsidP="00AC7D4B">
      <w:pPr>
        <w:autoSpaceDE w:val="0"/>
        <w:autoSpaceDN w:val="0"/>
        <w:adjustRightInd w:val="0"/>
        <w:rPr>
          <w:sz w:val="26"/>
          <w:szCs w:val="26"/>
        </w:rPr>
      </w:pPr>
      <w:r w:rsidRPr="00D92595">
        <w:rPr>
          <w:sz w:val="26"/>
          <w:szCs w:val="26"/>
        </w:rPr>
        <w:t xml:space="preserve">The essential argument of Blue Pilot is that the Commission does not have the authority to set prices in a competitive environment.  This is true.  </w:t>
      </w:r>
      <w:r w:rsidRPr="00D92595">
        <w:rPr>
          <w:i/>
          <w:sz w:val="26"/>
          <w:szCs w:val="26"/>
        </w:rPr>
        <w:t xml:space="preserve">See </w:t>
      </w:r>
      <w:r w:rsidRPr="00D92595">
        <w:rPr>
          <w:sz w:val="26"/>
          <w:szCs w:val="26"/>
        </w:rPr>
        <w:t>Finding of Fact No.</w:t>
      </w:r>
      <w:r w:rsidR="00A550CD">
        <w:rPr>
          <w:sz w:val="26"/>
          <w:szCs w:val="26"/>
        </w:rPr>
        <w:t> </w:t>
      </w:r>
      <w:r w:rsidRPr="00D92595">
        <w:rPr>
          <w:sz w:val="26"/>
          <w:szCs w:val="26"/>
        </w:rPr>
        <w:t xml:space="preserve">55.  What is at issue is not a concern over the variability of rates in a competitive market, but the adequacy of the representations of fact presented by Blue Pilot to its customers.  We find that </w:t>
      </w:r>
      <w:r w:rsidR="00F429DB">
        <w:rPr>
          <w:sz w:val="26"/>
          <w:szCs w:val="26"/>
        </w:rPr>
        <w:t xml:space="preserve">the </w:t>
      </w:r>
      <w:r w:rsidRPr="00D92595">
        <w:rPr>
          <w:sz w:val="26"/>
          <w:szCs w:val="26"/>
        </w:rPr>
        <w:t xml:space="preserve">Joint Complainants have proved that the disclosures did not apprise customers of any objective facts or objective bases </w:t>
      </w:r>
      <w:proofErr w:type="gramStart"/>
      <w:r w:rsidRPr="00D92595">
        <w:rPr>
          <w:sz w:val="26"/>
          <w:szCs w:val="26"/>
        </w:rPr>
        <w:t>in order for</w:t>
      </w:r>
      <w:proofErr w:type="gramEnd"/>
      <w:r w:rsidRPr="00D92595">
        <w:rPr>
          <w:sz w:val="26"/>
          <w:szCs w:val="26"/>
        </w:rPr>
        <w:t xml:space="preserve"> them to make informed purchasing decisions.  </w:t>
      </w:r>
      <w:r w:rsidRPr="00D92595">
        <w:rPr>
          <w:i/>
          <w:sz w:val="26"/>
          <w:szCs w:val="26"/>
        </w:rPr>
        <w:t>See Kiback</w:t>
      </w:r>
      <w:r w:rsidRPr="00D92595">
        <w:rPr>
          <w:sz w:val="26"/>
          <w:szCs w:val="26"/>
        </w:rPr>
        <w:t>.  Rather, the statements of Blue Pilot suggesting that there would be a nexus between the PJM wholesale market conditions and “other” factors, to determine the contours of variability, was so ambiguous as to be illusory.</w:t>
      </w:r>
    </w:p>
    <w:p w:rsidR="00E50DA2" w:rsidRPr="00001309" w:rsidRDefault="00E50DA2" w:rsidP="00AC7D4B">
      <w:pPr>
        <w:ind w:firstLine="0"/>
        <w:rPr>
          <w:sz w:val="26"/>
          <w:szCs w:val="26"/>
        </w:rPr>
      </w:pPr>
    </w:p>
    <w:p w:rsidR="00E50DA2" w:rsidRPr="00001309" w:rsidRDefault="00E50DA2" w:rsidP="00B43066">
      <w:pPr>
        <w:rPr>
          <w:sz w:val="26"/>
          <w:szCs w:val="26"/>
        </w:rPr>
      </w:pPr>
      <w:r w:rsidRPr="00001309">
        <w:rPr>
          <w:sz w:val="26"/>
          <w:szCs w:val="26"/>
        </w:rPr>
        <w:t xml:space="preserve">We must also reject Blue Pilot’s contention that the ALJs’ consideration of statements, including the welcome letter, sales script, verification script, and marketing materials, were not germane to this count.  </w:t>
      </w:r>
      <w:r w:rsidRPr="00001309">
        <w:rPr>
          <w:i/>
          <w:sz w:val="26"/>
          <w:szCs w:val="26"/>
        </w:rPr>
        <w:t>See</w:t>
      </w:r>
      <w:r w:rsidRPr="00001309">
        <w:rPr>
          <w:sz w:val="26"/>
          <w:szCs w:val="26"/>
        </w:rPr>
        <w:t xml:space="preserve"> Exc. at 15, n. 45.  Blue Pilot would rely on, </w:t>
      </w:r>
      <w:r w:rsidRPr="00001309">
        <w:rPr>
          <w:i/>
          <w:sz w:val="26"/>
          <w:szCs w:val="26"/>
        </w:rPr>
        <w:t>inter alia</w:t>
      </w:r>
      <w:r w:rsidRPr="00001309">
        <w:rPr>
          <w:sz w:val="26"/>
          <w:szCs w:val="26"/>
        </w:rPr>
        <w:t xml:space="preserve">, </w:t>
      </w:r>
      <w:r w:rsidRPr="00001309">
        <w:rPr>
          <w:i/>
          <w:sz w:val="26"/>
          <w:szCs w:val="26"/>
        </w:rPr>
        <w:t>Debbie Gruelle c/o Toll Diversified Properties, Inc. v. PPL Electric Utilities Corporation and Blue Pilot Energy, LLC</w:t>
      </w:r>
      <w:r w:rsidRPr="00001309">
        <w:rPr>
          <w:sz w:val="26"/>
          <w:szCs w:val="26"/>
        </w:rPr>
        <w:t xml:space="preserve">, Docket No. </w:t>
      </w:r>
      <w:r w:rsidR="00D647AF" w:rsidRPr="00001309">
        <w:rPr>
          <w:sz w:val="26"/>
          <w:szCs w:val="26"/>
        </w:rPr>
        <w:t xml:space="preserve">C-2015-2463573 </w:t>
      </w:r>
      <w:r w:rsidRPr="00001309">
        <w:rPr>
          <w:sz w:val="26"/>
          <w:szCs w:val="26"/>
        </w:rPr>
        <w:t>(Initial Decision</w:t>
      </w:r>
      <w:r w:rsidR="00A25A55" w:rsidRPr="00001309">
        <w:rPr>
          <w:sz w:val="26"/>
          <w:szCs w:val="26"/>
        </w:rPr>
        <w:t xml:space="preserve"> </w:t>
      </w:r>
      <w:r w:rsidR="00731F10" w:rsidRPr="00001309">
        <w:rPr>
          <w:sz w:val="26"/>
          <w:szCs w:val="26"/>
        </w:rPr>
        <w:t xml:space="preserve">issued </w:t>
      </w:r>
      <w:r w:rsidR="00D647AF" w:rsidRPr="00001309">
        <w:rPr>
          <w:sz w:val="26"/>
          <w:szCs w:val="26"/>
        </w:rPr>
        <w:t>November 18, 2015</w:t>
      </w:r>
      <w:r w:rsidRPr="00001309">
        <w:rPr>
          <w:sz w:val="26"/>
          <w:szCs w:val="26"/>
        </w:rPr>
        <w:t>; Final Order December 22, 2015) (</w:t>
      </w:r>
      <w:r w:rsidRPr="00001309">
        <w:rPr>
          <w:i/>
          <w:sz w:val="26"/>
          <w:szCs w:val="26"/>
        </w:rPr>
        <w:t>Gruelle</w:t>
      </w:r>
      <w:r w:rsidRPr="00001309">
        <w:rPr>
          <w:sz w:val="26"/>
          <w:szCs w:val="26"/>
        </w:rPr>
        <w:t>), as support.  Cases to the contrary are distinguishable on their facts.  The solicitation materials</w:t>
      </w:r>
      <w:proofErr w:type="gramStart"/>
      <w:r w:rsidRPr="00001309">
        <w:rPr>
          <w:sz w:val="26"/>
          <w:szCs w:val="26"/>
        </w:rPr>
        <w:t>, as a whole, must</w:t>
      </w:r>
      <w:proofErr w:type="gramEnd"/>
      <w:r w:rsidRPr="00001309">
        <w:rPr>
          <w:sz w:val="26"/>
          <w:szCs w:val="26"/>
        </w:rPr>
        <w:t xml:space="preserve"> be considered as material and relevant to the EGS’ marketing efforts under the Commission’s Regulations.  52 Pa. Code §111.12(d)(2).  </w:t>
      </w:r>
      <w:r w:rsidRPr="00001309">
        <w:rPr>
          <w:i/>
          <w:sz w:val="26"/>
          <w:szCs w:val="26"/>
        </w:rPr>
        <w:t>See, e.g. Kiback</w:t>
      </w:r>
      <w:r w:rsidRPr="00001309">
        <w:rPr>
          <w:sz w:val="26"/>
          <w:szCs w:val="26"/>
        </w:rPr>
        <w:t>.</w:t>
      </w:r>
    </w:p>
    <w:p w:rsidR="000A7C06" w:rsidRDefault="000A7C06" w:rsidP="00555D0F">
      <w:pPr>
        <w:autoSpaceDE w:val="0"/>
        <w:autoSpaceDN w:val="0"/>
        <w:ind w:firstLine="0"/>
        <w:rPr>
          <w:sz w:val="23"/>
          <w:szCs w:val="23"/>
        </w:rPr>
      </w:pPr>
    </w:p>
    <w:p w:rsidR="00AC7D4B" w:rsidRPr="00797991" w:rsidRDefault="00AC7D4B" w:rsidP="00797991">
      <w:pPr>
        <w:autoSpaceDE w:val="0"/>
        <w:autoSpaceDN w:val="0"/>
        <w:rPr>
          <w:sz w:val="26"/>
          <w:szCs w:val="26"/>
        </w:rPr>
      </w:pPr>
      <w:r w:rsidRPr="00001309">
        <w:rPr>
          <w:sz w:val="26"/>
          <w:szCs w:val="26"/>
        </w:rPr>
        <w:t xml:space="preserve">Based on the foregoing, the </w:t>
      </w:r>
      <w:r w:rsidR="00474E36" w:rsidRPr="003B6549">
        <w:rPr>
          <w:sz w:val="26"/>
          <w:szCs w:val="26"/>
        </w:rPr>
        <w:t>Exception</w:t>
      </w:r>
      <w:r w:rsidR="00474E36">
        <w:rPr>
          <w:sz w:val="26"/>
          <w:szCs w:val="26"/>
        </w:rPr>
        <w:t>s</w:t>
      </w:r>
      <w:r w:rsidR="00474E36" w:rsidRPr="003B6549">
        <w:rPr>
          <w:sz w:val="26"/>
          <w:szCs w:val="26"/>
        </w:rPr>
        <w:t xml:space="preserve"> o</w:t>
      </w:r>
      <w:r w:rsidR="00474E36">
        <w:rPr>
          <w:sz w:val="26"/>
          <w:szCs w:val="26"/>
        </w:rPr>
        <w:t>f</w:t>
      </w:r>
      <w:r w:rsidR="00474E36" w:rsidRPr="003B6549">
        <w:rPr>
          <w:sz w:val="26"/>
          <w:szCs w:val="26"/>
        </w:rPr>
        <w:t xml:space="preserve"> </w:t>
      </w:r>
      <w:r w:rsidR="00474E36">
        <w:rPr>
          <w:sz w:val="26"/>
          <w:szCs w:val="26"/>
        </w:rPr>
        <w:t xml:space="preserve">Blue Pilot to </w:t>
      </w:r>
      <w:r w:rsidR="00474E36" w:rsidRPr="003B6549">
        <w:rPr>
          <w:sz w:val="26"/>
          <w:szCs w:val="26"/>
        </w:rPr>
        <w:t xml:space="preserve">the </w:t>
      </w:r>
      <w:r w:rsidR="00474E36">
        <w:rPr>
          <w:sz w:val="26"/>
          <w:szCs w:val="26"/>
        </w:rPr>
        <w:t>Initial Decision</w:t>
      </w:r>
      <w:r w:rsidR="00474E36" w:rsidRPr="003B6549">
        <w:rPr>
          <w:sz w:val="26"/>
          <w:szCs w:val="26"/>
        </w:rPr>
        <w:t xml:space="preserve"> regarding Count </w:t>
      </w:r>
      <w:r w:rsidR="00474E36">
        <w:rPr>
          <w:sz w:val="26"/>
          <w:szCs w:val="26"/>
        </w:rPr>
        <w:t xml:space="preserve">II (Failure to Conform Prices to the Disclosure Statement) </w:t>
      </w:r>
      <w:r w:rsidRPr="00001309">
        <w:rPr>
          <w:sz w:val="26"/>
          <w:szCs w:val="26"/>
        </w:rPr>
        <w:t>are denied.</w:t>
      </w:r>
    </w:p>
    <w:p w:rsidR="00AC7D4B" w:rsidRPr="00FA77CA" w:rsidRDefault="00AC7D4B" w:rsidP="00555D0F">
      <w:pPr>
        <w:autoSpaceDE w:val="0"/>
        <w:autoSpaceDN w:val="0"/>
        <w:ind w:firstLine="0"/>
        <w:rPr>
          <w:sz w:val="26"/>
          <w:szCs w:val="26"/>
        </w:rPr>
      </w:pPr>
    </w:p>
    <w:p w:rsidR="00683656" w:rsidRPr="0083490C" w:rsidRDefault="00555D0F" w:rsidP="00F429DB">
      <w:pPr>
        <w:pStyle w:val="Heading2"/>
        <w:ind w:firstLine="0"/>
        <w:rPr>
          <w:rFonts w:ascii="Times New Roman" w:hAnsi="Times New Roman" w:cs="Times New Roman"/>
          <w:b/>
          <w:color w:val="auto"/>
        </w:rPr>
      </w:pPr>
      <w:bookmarkStart w:id="25" w:name="_Toc517831039"/>
      <w:r w:rsidRPr="0083490C">
        <w:rPr>
          <w:rFonts w:ascii="Times New Roman" w:hAnsi="Times New Roman" w:cs="Times New Roman"/>
          <w:b/>
          <w:color w:val="auto"/>
        </w:rPr>
        <w:t>H</w:t>
      </w:r>
      <w:r w:rsidR="00683656" w:rsidRPr="0083490C">
        <w:rPr>
          <w:rFonts w:ascii="Times New Roman" w:hAnsi="Times New Roman" w:cs="Times New Roman"/>
          <w:b/>
          <w:color w:val="auto"/>
        </w:rPr>
        <w:t>.</w:t>
      </w:r>
      <w:r w:rsidRPr="0083490C">
        <w:rPr>
          <w:rFonts w:ascii="Times New Roman" w:hAnsi="Times New Roman" w:cs="Times New Roman"/>
          <w:b/>
          <w:color w:val="auto"/>
        </w:rPr>
        <w:tab/>
      </w:r>
      <w:r w:rsidR="00683656" w:rsidRPr="0083490C">
        <w:rPr>
          <w:rFonts w:ascii="Times New Roman" w:hAnsi="Times New Roman" w:cs="Times New Roman"/>
          <w:b/>
          <w:color w:val="auto"/>
        </w:rPr>
        <w:t xml:space="preserve">Count III – </w:t>
      </w:r>
      <w:bookmarkStart w:id="26" w:name="_Hlk500314743"/>
      <w:r w:rsidR="00683656" w:rsidRPr="0083490C">
        <w:rPr>
          <w:rFonts w:ascii="Times New Roman" w:hAnsi="Times New Roman" w:cs="Times New Roman"/>
          <w:b/>
          <w:color w:val="auto"/>
        </w:rPr>
        <w:t>Misleading and Deceptive Promises of Savings</w:t>
      </w:r>
      <w:bookmarkEnd w:id="25"/>
      <w:bookmarkEnd w:id="26"/>
    </w:p>
    <w:p w:rsidR="009B0E96" w:rsidRPr="00001309" w:rsidRDefault="009B0E96" w:rsidP="00A045EB">
      <w:pPr>
        <w:keepNext/>
        <w:keepLines/>
        <w:autoSpaceDE w:val="0"/>
        <w:autoSpaceDN w:val="0"/>
        <w:rPr>
          <w:b/>
          <w:sz w:val="26"/>
          <w:szCs w:val="26"/>
        </w:rPr>
      </w:pPr>
    </w:p>
    <w:p w:rsidR="00683656" w:rsidRPr="00001309" w:rsidRDefault="00555D0F" w:rsidP="00F429DB">
      <w:pPr>
        <w:keepNext/>
        <w:keepLines/>
        <w:autoSpaceDE w:val="0"/>
        <w:autoSpaceDN w:val="0"/>
        <w:ind w:firstLine="720"/>
        <w:rPr>
          <w:b/>
          <w:sz w:val="26"/>
          <w:szCs w:val="26"/>
        </w:rPr>
      </w:pPr>
      <w:r w:rsidRPr="00001309">
        <w:rPr>
          <w:b/>
          <w:sz w:val="26"/>
          <w:szCs w:val="26"/>
        </w:rPr>
        <w:t>1</w:t>
      </w:r>
      <w:r w:rsidR="0078661E" w:rsidRPr="00001309">
        <w:rPr>
          <w:b/>
          <w:sz w:val="26"/>
          <w:szCs w:val="26"/>
        </w:rPr>
        <w:t>.</w:t>
      </w:r>
      <w:r w:rsidRPr="00001309">
        <w:rPr>
          <w:b/>
          <w:sz w:val="26"/>
          <w:szCs w:val="26"/>
        </w:rPr>
        <w:tab/>
      </w:r>
      <w:r w:rsidR="009B0E96" w:rsidRPr="00001309">
        <w:rPr>
          <w:b/>
          <w:sz w:val="26"/>
          <w:szCs w:val="26"/>
        </w:rPr>
        <w:t>Positions of the Parties</w:t>
      </w:r>
    </w:p>
    <w:p w:rsidR="00A045EB" w:rsidRPr="00001309" w:rsidRDefault="00A045EB" w:rsidP="00A045EB">
      <w:pPr>
        <w:keepNext/>
        <w:keepLines/>
        <w:autoSpaceDE w:val="0"/>
        <w:autoSpaceDN w:val="0"/>
        <w:rPr>
          <w:sz w:val="26"/>
          <w:szCs w:val="26"/>
        </w:rPr>
      </w:pPr>
    </w:p>
    <w:p w:rsidR="00D02920" w:rsidRPr="00001309" w:rsidRDefault="00A045EB" w:rsidP="00A045EB">
      <w:pPr>
        <w:keepNext/>
        <w:keepLines/>
        <w:autoSpaceDE w:val="0"/>
        <w:autoSpaceDN w:val="0"/>
        <w:adjustRightInd w:val="0"/>
        <w:rPr>
          <w:b/>
          <w:sz w:val="26"/>
          <w:szCs w:val="26"/>
        </w:rPr>
      </w:pPr>
      <w:r w:rsidRPr="00001309">
        <w:rPr>
          <w:b/>
          <w:sz w:val="26"/>
          <w:szCs w:val="26"/>
        </w:rPr>
        <w:t>a.</w:t>
      </w:r>
      <w:r w:rsidRPr="00001309">
        <w:rPr>
          <w:b/>
          <w:sz w:val="26"/>
          <w:szCs w:val="26"/>
        </w:rPr>
        <w:tab/>
      </w:r>
      <w:r w:rsidR="00D02920" w:rsidRPr="00001309">
        <w:rPr>
          <w:b/>
          <w:sz w:val="26"/>
          <w:szCs w:val="26"/>
        </w:rPr>
        <w:t>Joint Complainants</w:t>
      </w:r>
    </w:p>
    <w:p w:rsidR="0078661E" w:rsidRPr="00001309" w:rsidRDefault="0078661E" w:rsidP="00A045EB">
      <w:pPr>
        <w:keepNext/>
        <w:keepLines/>
        <w:autoSpaceDE w:val="0"/>
        <w:autoSpaceDN w:val="0"/>
        <w:adjustRightInd w:val="0"/>
        <w:rPr>
          <w:sz w:val="26"/>
          <w:szCs w:val="26"/>
        </w:rPr>
      </w:pPr>
    </w:p>
    <w:p w:rsidR="0032504E" w:rsidRPr="00001309" w:rsidRDefault="00F429DB" w:rsidP="0032504E">
      <w:pPr>
        <w:autoSpaceDE w:val="0"/>
        <w:autoSpaceDN w:val="0"/>
        <w:adjustRightInd w:val="0"/>
        <w:rPr>
          <w:sz w:val="26"/>
          <w:szCs w:val="26"/>
        </w:rPr>
      </w:pPr>
      <w:r>
        <w:rPr>
          <w:sz w:val="26"/>
          <w:szCs w:val="26"/>
        </w:rPr>
        <w:t xml:space="preserve">The </w:t>
      </w:r>
      <w:r w:rsidR="0032504E" w:rsidRPr="00001309">
        <w:rPr>
          <w:sz w:val="26"/>
          <w:szCs w:val="26"/>
        </w:rPr>
        <w:t>Joint Complainants argue</w:t>
      </w:r>
      <w:r w:rsidR="00D02920" w:rsidRPr="00001309">
        <w:rPr>
          <w:sz w:val="26"/>
          <w:szCs w:val="26"/>
        </w:rPr>
        <w:t>d</w:t>
      </w:r>
      <w:r w:rsidR="0032504E" w:rsidRPr="00001309">
        <w:rPr>
          <w:sz w:val="26"/>
          <w:szCs w:val="26"/>
        </w:rPr>
        <w:t xml:space="preserve"> that Blue Pilot’s salespeople made misleading and deceptive promises of savings to consumers </w:t>
      </w:r>
      <w:proofErr w:type="gramStart"/>
      <w:r w:rsidR="0032504E" w:rsidRPr="00001309">
        <w:rPr>
          <w:sz w:val="26"/>
          <w:szCs w:val="26"/>
        </w:rPr>
        <w:t>in order to</w:t>
      </w:r>
      <w:proofErr w:type="gramEnd"/>
      <w:r w:rsidR="0032504E" w:rsidRPr="00001309">
        <w:rPr>
          <w:sz w:val="26"/>
          <w:szCs w:val="26"/>
        </w:rPr>
        <w:t xml:space="preserve"> induce the consumers to switch to Blue Pilot</w:t>
      </w:r>
      <w:r w:rsidR="00577FAB" w:rsidRPr="00001309">
        <w:rPr>
          <w:sz w:val="26"/>
          <w:szCs w:val="26"/>
        </w:rPr>
        <w:t>, s</w:t>
      </w:r>
      <w:r w:rsidR="0032504E" w:rsidRPr="00001309">
        <w:rPr>
          <w:sz w:val="26"/>
          <w:szCs w:val="26"/>
        </w:rPr>
        <w:t>pecifically: (1) that Blue Pilot’s rates would always save customers money over the PTC; (2) Blue Pilot’s rates would be competitive with the PTC; and (3) that Blue Pilot’s rates would always be lower than or equal to the PTC.</w:t>
      </w:r>
      <w:r w:rsidR="00577FAB" w:rsidRPr="00001309">
        <w:rPr>
          <w:sz w:val="26"/>
          <w:szCs w:val="26"/>
        </w:rPr>
        <w:t xml:space="preserve">  I.D. at </w:t>
      </w:r>
      <w:r w:rsidR="00E61580" w:rsidRPr="00001309">
        <w:rPr>
          <w:sz w:val="26"/>
          <w:szCs w:val="26"/>
        </w:rPr>
        <w:t>78.</w:t>
      </w:r>
    </w:p>
    <w:p w:rsidR="0032504E" w:rsidRPr="00001309" w:rsidRDefault="0032504E" w:rsidP="0032504E">
      <w:pPr>
        <w:autoSpaceDE w:val="0"/>
        <w:autoSpaceDN w:val="0"/>
        <w:rPr>
          <w:sz w:val="26"/>
          <w:szCs w:val="26"/>
        </w:rPr>
      </w:pPr>
    </w:p>
    <w:p w:rsidR="00E61580" w:rsidRPr="00001309" w:rsidRDefault="00F429DB" w:rsidP="0032504E">
      <w:pPr>
        <w:autoSpaceDE w:val="0"/>
        <w:autoSpaceDN w:val="0"/>
        <w:rPr>
          <w:sz w:val="26"/>
          <w:szCs w:val="26"/>
        </w:rPr>
      </w:pPr>
      <w:r>
        <w:rPr>
          <w:sz w:val="26"/>
          <w:szCs w:val="26"/>
        </w:rPr>
        <w:t xml:space="preserve">The </w:t>
      </w:r>
      <w:r w:rsidR="0032504E" w:rsidRPr="00001309">
        <w:rPr>
          <w:sz w:val="26"/>
          <w:szCs w:val="26"/>
        </w:rPr>
        <w:t>Joint Complainants averred that Blue Pilot did not deliver on the promises</w:t>
      </w:r>
      <w:r w:rsidR="00E61580" w:rsidRPr="00001309">
        <w:rPr>
          <w:sz w:val="26"/>
          <w:szCs w:val="26"/>
        </w:rPr>
        <w:t xml:space="preserve"> represented to customers as an inducement to </w:t>
      </w:r>
      <w:r w:rsidR="0032504E" w:rsidRPr="00001309">
        <w:rPr>
          <w:sz w:val="26"/>
          <w:szCs w:val="26"/>
        </w:rPr>
        <w:t>s</w:t>
      </w:r>
      <w:r w:rsidR="00E61580" w:rsidRPr="00001309">
        <w:rPr>
          <w:sz w:val="26"/>
          <w:szCs w:val="26"/>
        </w:rPr>
        <w:t>witch.  I.D. at 78.  C</w:t>
      </w:r>
      <w:r w:rsidR="0032504E" w:rsidRPr="00001309">
        <w:rPr>
          <w:sz w:val="26"/>
          <w:szCs w:val="26"/>
        </w:rPr>
        <w:t xml:space="preserve">ustomers received bills for </w:t>
      </w:r>
      <w:r w:rsidR="00E61580" w:rsidRPr="00001309">
        <w:rPr>
          <w:sz w:val="26"/>
          <w:szCs w:val="26"/>
        </w:rPr>
        <w:t>g</w:t>
      </w:r>
      <w:r w:rsidR="0032504E" w:rsidRPr="00001309">
        <w:rPr>
          <w:sz w:val="26"/>
          <w:szCs w:val="26"/>
        </w:rPr>
        <w:t xml:space="preserve">eneration supply that were at least two or three times more than the PTC </w:t>
      </w:r>
      <w:r w:rsidR="00E61580" w:rsidRPr="00001309">
        <w:rPr>
          <w:sz w:val="26"/>
          <w:szCs w:val="26"/>
        </w:rPr>
        <w:t>of their respective, EDC</w:t>
      </w:r>
      <w:r w:rsidR="00A25A55" w:rsidRPr="00001309">
        <w:rPr>
          <w:sz w:val="26"/>
          <w:szCs w:val="26"/>
        </w:rPr>
        <w:t>, a</w:t>
      </w:r>
      <w:r w:rsidR="0032504E" w:rsidRPr="00001309">
        <w:rPr>
          <w:sz w:val="26"/>
          <w:szCs w:val="26"/>
        </w:rPr>
        <w:t>nd, in some cases, over six times more than the PTC.</w:t>
      </w:r>
      <w:r w:rsidR="005E4B96" w:rsidRPr="00001309">
        <w:rPr>
          <w:sz w:val="26"/>
          <w:szCs w:val="26"/>
        </w:rPr>
        <w:t xml:space="preserve">  </w:t>
      </w:r>
      <w:r w:rsidR="005E4B96" w:rsidRPr="00001309">
        <w:rPr>
          <w:i/>
          <w:sz w:val="26"/>
          <w:szCs w:val="26"/>
        </w:rPr>
        <w:t>Id</w:t>
      </w:r>
      <w:r w:rsidR="005E4B96" w:rsidRPr="00001309">
        <w:rPr>
          <w:sz w:val="26"/>
          <w:szCs w:val="26"/>
        </w:rPr>
        <w:t>.</w:t>
      </w:r>
    </w:p>
    <w:p w:rsidR="00E61580" w:rsidRPr="00001309" w:rsidRDefault="00E61580" w:rsidP="0032504E">
      <w:pPr>
        <w:autoSpaceDE w:val="0"/>
        <w:autoSpaceDN w:val="0"/>
        <w:rPr>
          <w:sz w:val="26"/>
          <w:szCs w:val="26"/>
        </w:rPr>
      </w:pPr>
    </w:p>
    <w:p w:rsidR="0032504E" w:rsidRPr="00001309" w:rsidRDefault="0032504E" w:rsidP="0032504E">
      <w:pPr>
        <w:autoSpaceDE w:val="0"/>
        <w:autoSpaceDN w:val="0"/>
        <w:rPr>
          <w:sz w:val="26"/>
          <w:szCs w:val="26"/>
        </w:rPr>
      </w:pPr>
      <w:r w:rsidRPr="00001309">
        <w:rPr>
          <w:sz w:val="26"/>
          <w:szCs w:val="26"/>
        </w:rPr>
        <w:t xml:space="preserve">Based on the </w:t>
      </w:r>
      <w:r w:rsidR="00E61580" w:rsidRPr="00001309">
        <w:rPr>
          <w:sz w:val="26"/>
          <w:szCs w:val="26"/>
        </w:rPr>
        <w:t xml:space="preserve">foregoing, </w:t>
      </w:r>
      <w:r w:rsidR="00F429DB">
        <w:rPr>
          <w:sz w:val="26"/>
          <w:szCs w:val="26"/>
        </w:rPr>
        <w:t xml:space="preserve">the </w:t>
      </w:r>
      <w:r w:rsidRPr="00001309">
        <w:rPr>
          <w:sz w:val="26"/>
          <w:szCs w:val="26"/>
        </w:rPr>
        <w:t xml:space="preserve">Joint Complainants averred that </w:t>
      </w:r>
      <w:r w:rsidR="00E61580" w:rsidRPr="00001309">
        <w:rPr>
          <w:sz w:val="26"/>
          <w:szCs w:val="26"/>
        </w:rPr>
        <w:t>Blue Pilot</w:t>
      </w:r>
      <w:r w:rsidRPr="00001309">
        <w:rPr>
          <w:sz w:val="26"/>
          <w:szCs w:val="26"/>
        </w:rPr>
        <w:t xml:space="preserve"> violated the following Sections of the Commission’s </w:t>
      </w:r>
      <w:r w:rsidR="00B43066" w:rsidRPr="00001309">
        <w:rPr>
          <w:sz w:val="26"/>
          <w:szCs w:val="26"/>
        </w:rPr>
        <w:t>R</w:t>
      </w:r>
      <w:r w:rsidRPr="00001309">
        <w:rPr>
          <w:sz w:val="26"/>
          <w:szCs w:val="26"/>
        </w:rPr>
        <w:t xml:space="preserve">egulations: (1) </w:t>
      </w:r>
      <w:r w:rsidR="00FD068C" w:rsidRPr="00001309">
        <w:rPr>
          <w:sz w:val="26"/>
          <w:szCs w:val="26"/>
        </w:rPr>
        <w:t xml:space="preserve">§ </w:t>
      </w:r>
      <w:r w:rsidRPr="00001309">
        <w:rPr>
          <w:sz w:val="26"/>
          <w:szCs w:val="26"/>
        </w:rPr>
        <w:t xml:space="preserve">54.43(f) (relating to EGS responsibility for fraudulent, deceptive or other unlawful marketing acts by employees, agents and representatives); (2) </w:t>
      </w:r>
      <w:r w:rsidR="00FD068C" w:rsidRPr="00001309">
        <w:rPr>
          <w:sz w:val="26"/>
          <w:szCs w:val="26"/>
        </w:rPr>
        <w:t xml:space="preserve">§ </w:t>
      </w:r>
      <w:r w:rsidRPr="00001309">
        <w:rPr>
          <w:sz w:val="26"/>
          <w:szCs w:val="26"/>
        </w:rPr>
        <w:t xml:space="preserve">111.4 (relating to supplier responsibility to develop standards and qualifications for individuals it hires as agents); (3) </w:t>
      </w:r>
      <w:r w:rsidR="00FD068C" w:rsidRPr="00001309">
        <w:rPr>
          <w:sz w:val="26"/>
          <w:szCs w:val="26"/>
        </w:rPr>
        <w:t xml:space="preserve">§ </w:t>
      </w:r>
      <w:r w:rsidRPr="00001309">
        <w:rPr>
          <w:sz w:val="26"/>
          <w:szCs w:val="26"/>
        </w:rPr>
        <w:t xml:space="preserve">111.5 (relating to supplier responsibility to adequately train and monitor its agents); and (4) </w:t>
      </w:r>
      <w:r w:rsidR="00FD068C" w:rsidRPr="00001309">
        <w:rPr>
          <w:sz w:val="26"/>
          <w:szCs w:val="26"/>
        </w:rPr>
        <w:t xml:space="preserve">§ </w:t>
      </w:r>
      <w:r w:rsidRPr="00001309">
        <w:rPr>
          <w:sz w:val="26"/>
          <w:szCs w:val="26"/>
        </w:rPr>
        <w:t>111.12(d)(1) (relating to compliance with the Consumer Protection Law), 52 Pa.</w:t>
      </w:r>
      <w:r w:rsidR="00E61580" w:rsidRPr="00001309">
        <w:rPr>
          <w:sz w:val="26"/>
          <w:szCs w:val="26"/>
        </w:rPr>
        <w:t xml:space="preserve"> </w:t>
      </w:r>
      <w:r w:rsidRPr="00001309">
        <w:rPr>
          <w:sz w:val="26"/>
          <w:szCs w:val="26"/>
        </w:rPr>
        <w:t>Code §§ 54.43(f), 111.4, 111.5, and 111.12(d)(1)</w:t>
      </w:r>
      <w:r w:rsidR="00E61580" w:rsidRPr="00001309">
        <w:rPr>
          <w:sz w:val="26"/>
          <w:szCs w:val="26"/>
        </w:rPr>
        <w:t>; and</w:t>
      </w:r>
      <w:r w:rsidRPr="00001309">
        <w:rPr>
          <w:sz w:val="26"/>
          <w:szCs w:val="26"/>
        </w:rPr>
        <w:t xml:space="preserve"> Sections 54.4(a) and 54.5(a), 52 Pa.</w:t>
      </w:r>
      <w:r w:rsidR="00E61580" w:rsidRPr="00001309">
        <w:rPr>
          <w:sz w:val="26"/>
          <w:szCs w:val="26"/>
        </w:rPr>
        <w:t xml:space="preserve"> </w:t>
      </w:r>
      <w:r w:rsidRPr="00001309">
        <w:rPr>
          <w:sz w:val="26"/>
          <w:szCs w:val="26"/>
        </w:rPr>
        <w:t xml:space="preserve">Code §§ 54.4(a) and </w:t>
      </w:r>
      <w:r w:rsidRPr="00001309">
        <w:rPr>
          <w:sz w:val="26"/>
          <w:szCs w:val="26"/>
        </w:rPr>
        <w:lastRenderedPageBreak/>
        <w:t>54.5(a), b</w:t>
      </w:r>
      <w:r w:rsidR="00E61580" w:rsidRPr="00001309">
        <w:rPr>
          <w:sz w:val="26"/>
          <w:szCs w:val="26"/>
        </w:rPr>
        <w:t>ased on allegations that</w:t>
      </w:r>
      <w:r w:rsidRPr="00001309">
        <w:rPr>
          <w:sz w:val="26"/>
          <w:szCs w:val="26"/>
        </w:rPr>
        <w:t xml:space="preserve"> the Company failed to bill customers in accordance with its marketed prices.</w:t>
      </w:r>
      <w:r w:rsidR="00E61580" w:rsidRPr="00001309">
        <w:rPr>
          <w:sz w:val="26"/>
          <w:szCs w:val="26"/>
        </w:rPr>
        <w:t xml:space="preserve">  I.D. at 78.</w:t>
      </w:r>
      <w:r w:rsidR="00E61580" w:rsidRPr="00001309">
        <w:rPr>
          <w:rStyle w:val="FootnoteReference"/>
          <w:sz w:val="26"/>
          <w:szCs w:val="26"/>
        </w:rPr>
        <w:footnoteReference w:id="29"/>
      </w:r>
    </w:p>
    <w:p w:rsidR="008E342A" w:rsidRPr="00001309" w:rsidRDefault="008E342A" w:rsidP="00D231E3">
      <w:pPr>
        <w:autoSpaceDE w:val="0"/>
        <w:autoSpaceDN w:val="0"/>
        <w:ind w:firstLine="0"/>
        <w:rPr>
          <w:sz w:val="26"/>
          <w:szCs w:val="26"/>
        </w:rPr>
      </w:pPr>
    </w:p>
    <w:p w:rsidR="00D231E3" w:rsidRPr="00001309" w:rsidRDefault="00A045EB" w:rsidP="00A045EB">
      <w:pPr>
        <w:keepNext/>
        <w:keepLines/>
        <w:autoSpaceDE w:val="0"/>
        <w:autoSpaceDN w:val="0"/>
        <w:rPr>
          <w:sz w:val="26"/>
          <w:szCs w:val="26"/>
        </w:rPr>
      </w:pPr>
      <w:r w:rsidRPr="00001309">
        <w:rPr>
          <w:b/>
          <w:sz w:val="26"/>
          <w:szCs w:val="26"/>
        </w:rPr>
        <w:t>b.</w:t>
      </w:r>
      <w:r w:rsidRPr="00001309">
        <w:rPr>
          <w:b/>
          <w:sz w:val="26"/>
          <w:szCs w:val="26"/>
        </w:rPr>
        <w:tab/>
      </w:r>
      <w:r w:rsidR="00D231E3" w:rsidRPr="00001309">
        <w:rPr>
          <w:b/>
          <w:sz w:val="26"/>
          <w:szCs w:val="26"/>
        </w:rPr>
        <w:t xml:space="preserve">Blue Pilot </w:t>
      </w:r>
    </w:p>
    <w:p w:rsidR="00D231E3" w:rsidRPr="00001309" w:rsidRDefault="00D231E3" w:rsidP="00A045EB">
      <w:pPr>
        <w:keepNext/>
        <w:keepLines/>
        <w:autoSpaceDE w:val="0"/>
        <w:autoSpaceDN w:val="0"/>
        <w:rPr>
          <w:sz w:val="26"/>
          <w:szCs w:val="26"/>
        </w:rPr>
      </w:pPr>
    </w:p>
    <w:p w:rsidR="00D231E3" w:rsidRPr="00001309" w:rsidRDefault="00D231E3" w:rsidP="00D231E3">
      <w:pPr>
        <w:autoSpaceDE w:val="0"/>
        <w:autoSpaceDN w:val="0"/>
        <w:rPr>
          <w:sz w:val="26"/>
          <w:szCs w:val="26"/>
        </w:rPr>
      </w:pPr>
      <w:r w:rsidRPr="00001309">
        <w:rPr>
          <w:sz w:val="26"/>
          <w:szCs w:val="26"/>
        </w:rPr>
        <w:t xml:space="preserve">Blue Pilot responded that the consumer testimony does not prove Blue Pilot’s promised savings were not realized because the evidence shows many consumers testified that savings were not guaranteed by </w:t>
      </w:r>
      <w:r w:rsidR="00C45A43" w:rsidRPr="00001309">
        <w:rPr>
          <w:sz w:val="26"/>
          <w:szCs w:val="26"/>
        </w:rPr>
        <w:t xml:space="preserve">its </w:t>
      </w:r>
      <w:r w:rsidRPr="00001309">
        <w:rPr>
          <w:sz w:val="26"/>
          <w:szCs w:val="26"/>
        </w:rPr>
        <w:t xml:space="preserve">sales representatives.  I.D. at 79.  Blue Pilot also critiqued the consumer testimony regarding what sales agents told its customers as uncorroborated hearsay testimony that should not be given any weight.  </w:t>
      </w:r>
      <w:r w:rsidRPr="00001309">
        <w:rPr>
          <w:i/>
          <w:sz w:val="26"/>
          <w:szCs w:val="26"/>
        </w:rPr>
        <w:t>Id</w:t>
      </w:r>
      <w:r w:rsidRPr="00001309">
        <w:rPr>
          <w:sz w:val="26"/>
          <w:szCs w:val="26"/>
        </w:rPr>
        <w:t>.</w:t>
      </w:r>
    </w:p>
    <w:p w:rsidR="00D231E3" w:rsidRPr="00001309" w:rsidRDefault="00D231E3" w:rsidP="00D231E3">
      <w:pPr>
        <w:autoSpaceDE w:val="0"/>
        <w:autoSpaceDN w:val="0"/>
        <w:rPr>
          <w:sz w:val="26"/>
          <w:szCs w:val="26"/>
        </w:rPr>
      </w:pPr>
    </w:p>
    <w:p w:rsidR="007F0179" w:rsidRPr="00001309" w:rsidRDefault="00D231E3" w:rsidP="003560B0">
      <w:pPr>
        <w:autoSpaceDE w:val="0"/>
        <w:autoSpaceDN w:val="0"/>
        <w:rPr>
          <w:sz w:val="26"/>
          <w:szCs w:val="26"/>
        </w:rPr>
      </w:pPr>
      <w:r w:rsidRPr="00001309">
        <w:rPr>
          <w:sz w:val="26"/>
          <w:szCs w:val="26"/>
        </w:rPr>
        <w:t>Blue Pilot argued that the customers who testified were not credible</w:t>
      </w:r>
      <w:r w:rsidR="001E36EC" w:rsidRPr="00001309">
        <w:rPr>
          <w:sz w:val="26"/>
          <w:szCs w:val="26"/>
        </w:rPr>
        <w:t xml:space="preserve"> </w:t>
      </w:r>
      <w:r w:rsidR="00324A35" w:rsidRPr="00001309">
        <w:rPr>
          <w:sz w:val="26"/>
          <w:szCs w:val="26"/>
        </w:rPr>
        <w:t xml:space="preserve">in </w:t>
      </w:r>
      <w:r w:rsidR="001E36EC" w:rsidRPr="00001309">
        <w:rPr>
          <w:sz w:val="26"/>
          <w:szCs w:val="26"/>
        </w:rPr>
        <w:t>that, as a general matter, their recollections of the</w:t>
      </w:r>
      <w:r w:rsidR="00B75887" w:rsidRPr="00001309">
        <w:rPr>
          <w:sz w:val="26"/>
          <w:szCs w:val="26"/>
        </w:rPr>
        <w:t xml:space="preserve"> details of the </w:t>
      </w:r>
      <w:r w:rsidR="001E36EC" w:rsidRPr="00001309">
        <w:rPr>
          <w:sz w:val="26"/>
          <w:szCs w:val="26"/>
        </w:rPr>
        <w:t xml:space="preserve">“sales pitch” from </w:t>
      </w:r>
      <w:r w:rsidR="00324A35" w:rsidRPr="00001309">
        <w:rPr>
          <w:sz w:val="26"/>
          <w:szCs w:val="26"/>
        </w:rPr>
        <w:t xml:space="preserve">Blue Pilot </w:t>
      </w:r>
      <w:r w:rsidR="001E36EC" w:rsidRPr="00001309">
        <w:rPr>
          <w:sz w:val="26"/>
          <w:szCs w:val="26"/>
        </w:rPr>
        <w:t xml:space="preserve">marketing agents were faulty, that consumers generally lacked sophistication </w:t>
      </w:r>
      <w:r w:rsidR="00B75887" w:rsidRPr="00001309">
        <w:rPr>
          <w:sz w:val="26"/>
          <w:szCs w:val="26"/>
        </w:rPr>
        <w:t>regarding</w:t>
      </w:r>
      <w:r w:rsidR="001E36EC" w:rsidRPr="00001309">
        <w:rPr>
          <w:sz w:val="26"/>
          <w:szCs w:val="26"/>
        </w:rPr>
        <w:t xml:space="preserve"> the variable rate market</w:t>
      </w:r>
      <w:r w:rsidR="00324A35" w:rsidRPr="00001309">
        <w:rPr>
          <w:sz w:val="26"/>
          <w:szCs w:val="26"/>
        </w:rPr>
        <w:t xml:space="preserve"> </w:t>
      </w:r>
      <w:r w:rsidR="00FF7711" w:rsidRPr="00001309">
        <w:rPr>
          <w:sz w:val="26"/>
          <w:szCs w:val="26"/>
        </w:rPr>
        <w:t xml:space="preserve">in which </w:t>
      </w:r>
      <w:r w:rsidR="00324A35" w:rsidRPr="00001309">
        <w:rPr>
          <w:sz w:val="26"/>
          <w:szCs w:val="26"/>
        </w:rPr>
        <w:t>they were participati</w:t>
      </w:r>
      <w:r w:rsidR="00A045EB" w:rsidRPr="00001309">
        <w:rPr>
          <w:sz w:val="26"/>
          <w:szCs w:val="26"/>
        </w:rPr>
        <w:t>ng</w:t>
      </w:r>
      <w:r w:rsidR="001E36EC" w:rsidRPr="00001309">
        <w:rPr>
          <w:sz w:val="26"/>
          <w:szCs w:val="26"/>
        </w:rPr>
        <w:t xml:space="preserve">, and </w:t>
      </w:r>
      <w:r w:rsidR="00324A35" w:rsidRPr="00001309">
        <w:rPr>
          <w:sz w:val="26"/>
          <w:szCs w:val="26"/>
        </w:rPr>
        <w:t xml:space="preserve">that testimonies </w:t>
      </w:r>
      <w:r w:rsidR="001E36EC" w:rsidRPr="00001309">
        <w:rPr>
          <w:sz w:val="26"/>
          <w:szCs w:val="26"/>
        </w:rPr>
        <w:t xml:space="preserve">were possibly biased </w:t>
      </w:r>
      <w:r w:rsidR="00324A35" w:rsidRPr="00001309">
        <w:rPr>
          <w:sz w:val="26"/>
          <w:szCs w:val="26"/>
        </w:rPr>
        <w:t>b</w:t>
      </w:r>
      <w:r w:rsidR="00FD068C" w:rsidRPr="00001309">
        <w:rPr>
          <w:sz w:val="26"/>
          <w:szCs w:val="26"/>
        </w:rPr>
        <w:t>ased upon</w:t>
      </w:r>
      <w:r w:rsidR="00324A35" w:rsidRPr="00001309">
        <w:rPr>
          <w:sz w:val="26"/>
          <w:szCs w:val="26"/>
        </w:rPr>
        <w:t xml:space="preserve"> “leading” questions</w:t>
      </w:r>
      <w:r w:rsidR="00B75887" w:rsidRPr="00001309">
        <w:rPr>
          <w:sz w:val="26"/>
          <w:szCs w:val="26"/>
        </w:rPr>
        <w:t xml:space="preserve"> </w:t>
      </w:r>
      <w:r w:rsidR="006003F9" w:rsidRPr="00001309">
        <w:rPr>
          <w:sz w:val="26"/>
          <w:szCs w:val="26"/>
        </w:rPr>
        <w:t xml:space="preserve">posed </w:t>
      </w:r>
      <w:r w:rsidR="00B75887" w:rsidRPr="00001309">
        <w:rPr>
          <w:sz w:val="26"/>
          <w:szCs w:val="26"/>
        </w:rPr>
        <w:t xml:space="preserve">by </w:t>
      </w:r>
      <w:r w:rsidR="00F429DB">
        <w:rPr>
          <w:sz w:val="26"/>
          <w:szCs w:val="26"/>
        </w:rPr>
        <w:t xml:space="preserve">the </w:t>
      </w:r>
      <w:r w:rsidR="00B75887" w:rsidRPr="00001309">
        <w:rPr>
          <w:sz w:val="26"/>
          <w:szCs w:val="26"/>
        </w:rPr>
        <w:t>Joint Complainants</w:t>
      </w:r>
      <w:r w:rsidR="00324A35" w:rsidRPr="00001309">
        <w:rPr>
          <w:sz w:val="26"/>
          <w:szCs w:val="26"/>
        </w:rPr>
        <w:t>, creating an</w:t>
      </w:r>
      <w:r w:rsidR="001E36EC" w:rsidRPr="00001309">
        <w:rPr>
          <w:sz w:val="26"/>
          <w:szCs w:val="26"/>
        </w:rPr>
        <w:t xml:space="preserve"> expectation of recovering money from the proceedings.  </w:t>
      </w:r>
      <w:r w:rsidR="001E36EC" w:rsidRPr="00001309">
        <w:rPr>
          <w:i/>
          <w:sz w:val="26"/>
          <w:szCs w:val="26"/>
        </w:rPr>
        <w:t xml:space="preserve">See </w:t>
      </w:r>
      <w:r w:rsidR="001E36EC" w:rsidRPr="00001309">
        <w:rPr>
          <w:sz w:val="26"/>
          <w:szCs w:val="26"/>
        </w:rPr>
        <w:t>M.B. at 94-98;</w:t>
      </w:r>
      <w:r w:rsidRPr="00001309">
        <w:rPr>
          <w:sz w:val="26"/>
          <w:szCs w:val="26"/>
        </w:rPr>
        <w:t xml:space="preserve"> </w:t>
      </w:r>
      <w:r w:rsidR="00BA107F" w:rsidRPr="00001309">
        <w:rPr>
          <w:sz w:val="26"/>
          <w:szCs w:val="26"/>
        </w:rPr>
        <w:t xml:space="preserve">R.B. at 47; </w:t>
      </w:r>
      <w:r w:rsidRPr="00001309">
        <w:rPr>
          <w:sz w:val="26"/>
          <w:szCs w:val="26"/>
        </w:rPr>
        <w:t>I.D. at</w:t>
      </w:r>
      <w:r w:rsidR="002B251F" w:rsidRPr="00001309">
        <w:rPr>
          <w:sz w:val="26"/>
          <w:szCs w:val="26"/>
        </w:rPr>
        <w:t> </w:t>
      </w:r>
      <w:r w:rsidRPr="00001309">
        <w:rPr>
          <w:sz w:val="26"/>
          <w:szCs w:val="26"/>
        </w:rPr>
        <w:t>79.</w:t>
      </w:r>
      <w:r w:rsidR="005E177B" w:rsidRPr="00001309">
        <w:rPr>
          <w:sz w:val="26"/>
          <w:szCs w:val="26"/>
        </w:rPr>
        <w:t xml:space="preserve">  The Company argued that the testimony </w:t>
      </w:r>
      <w:r w:rsidR="00FD068C" w:rsidRPr="00001309">
        <w:rPr>
          <w:sz w:val="26"/>
          <w:szCs w:val="26"/>
        </w:rPr>
        <w:t xml:space="preserve">of </w:t>
      </w:r>
      <w:r w:rsidR="00F429DB">
        <w:rPr>
          <w:sz w:val="26"/>
          <w:szCs w:val="26"/>
        </w:rPr>
        <w:t xml:space="preserve">the </w:t>
      </w:r>
      <w:r w:rsidR="00FD068C" w:rsidRPr="00001309">
        <w:rPr>
          <w:sz w:val="26"/>
          <w:szCs w:val="26"/>
        </w:rPr>
        <w:t xml:space="preserve">Joint Complainants </w:t>
      </w:r>
      <w:r w:rsidR="005E177B" w:rsidRPr="00001309">
        <w:rPr>
          <w:sz w:val="26"/>
          <w:szCs w:val="26"/>
        </w:rPr>
        <w:t>was refuted by the language in its disclosure statement.</w:t>
      </w:r>
      <w:r w:rsidRPr="00001309">
        <w:rPr>
          <w:sz w:val="26"/>
          <w:szCs w:val="26"/>
        </w:rPr>
        <w:t xml:space="preserve">  </w:t>
      </w:r>
      <w:r w:rsidR="005E177B" w:rsidRPr="00001309">
        <w:rPr>
          <w:sz w:val="26"/>
          <w:szCs w:val="26"/>
        </w:rPr>
        <w:t xml:space="preserve">Also, </w:t>
      </w:r>
      <w:r w:rsidRPr="00001309">
        <w:rPr>
          <w:sz w:val="26"/>
          <w:szCs w:val="26"/>
        </w:rPr>
        <w:t>Blue Pilot contend</w:t>
      </w:r>
      <w:r w:rsidR="007F0179" w:rsidRPr="00001309">
        <w:rPr>
          <w:sz w:val="26"/>
          <w:szCs w:val="26"/>
        </w:rPr>
        <w:t>ed</w:t>
      </w:r>
      <w:r w:rsidR="008E241B" w:rsidRPr="00001309">
        <w:rPr>
          <w:sz w:val="26"/>
          <w:szCs w:val="26"/>
        </w:rPr>
        <w:t xml:space="preserve"> </w:t>
      </w:r>
      <w:r w:rsidR="007F0179" w:rsidRPr="00001309">
        <w:rPr>
          <w:sz w:val="26"/>
          <w:szCs w:val="26"/>
        </w:rPr>
        <w:t>that</w:t>
      </w:r>
      <w:r w:rsidRPr="00001309">
        <w:rPr>
          <w:sz w:val="26"/>
          <w:szCs w:val="26"/>
        </w:rPr>
        <w:t xml:space="preserve"> Sections 111.4 and 111.5 of the Commission’s </w:t>
      </w:r>
      <w:r w:rsidR="00747231" w:rsidRPr="00001309">
        <w:rPr>
          <w:sz w:val="26"/>
          <w:szCs w:val="26"/>
        </w:rPr>
        <w:t>R</w:t>
      </w:r>
      <w:r w:rsidRPr="00001309">
        <w:rPr>
          <w:sz w:val="26"/>
          <w:szCs w:val="26"/>
        </w:rPr>
        <w:t xml:space="preserve">egulations were not violated and there </w:t>
      </w:r>
      <w:r w:rsidR="003560B0" w:rsidRPr="00001309">
        <w:rPr>
          <w:sz w:val="26"/>
          <w:szCs w:val="26"/>
        </w:rPr>
        <w:t>wa</w:t>
      </w:r>
      <w:r w:rsidRPr="00001309">
        <w:rPr>
          <w:sz w:val="26"/>
          <w:szCs w:val="26"/>
        </w:rPr>
        <w:t>s insufficient evidence to show Blue Pilot failed to adequately train and monitor its agents.</w:t>
      </w:r>
      <w:r w:rsidR="00324A35" w:rsidRPr="00001309">
        <w:rPr>
          <w:sz w:val="26"/>
          <w:szCs w:val="26"/>
        </w:rPr>
        <w:t xml:space="preserve">  I.D. at 79.</w:t>
      </w:r>
    </w:p>
    <w:p w:rsidR="00324A35" w:rsidRPr="00001309" w:rsidRDefault="00324A35" w:rsidP="003560B0">
      <w:pPr>
        <w:autoSpaceDE w:val="0"/>
        <w:autoSpaceDN w:val="0"/>
        <w:rPr>
          <w:sz w:val="26"/>
          <w:szCs w:val="26"/>
        </w:rPr>
      </w:pPr>
    </w:p>
    <w:p w:rsidR="006003F9" w:rsidRPr="00001309" w:rsidRDefault="00D231E3" w:rsidP="003560B0">
      <w:pPr>
        <w:autoSpaceDE w:val="0"/>
        <w:autoSpaceDN w:val="0"/>
        <w:rPr>
          <w:sz w:val="26"/>
          <w:szCs w:val="26"/>
        </w:rPr>
      </w:pPr>
      <w:r w:rsidRPr="00001309">
        <w:rPr>
          <w:sz w:val="26"/>
          <w:szCs w:val="26"/>
        </w:rPr>
        <w:t>Specifically, Blue Pilot contend</w:t>
      </w:r>
      <w:r w:rsidR="007F0179" w:rsidRPr="00001309">
        <w:rPr>
          <w:sz w:val="26"/>
          <w:szCs w:val="26"/>
        </w:rPr>
        <w:t>ed</w:t>
      </w:r>
      <w:r w:rsidRPr="00001309">
        <w:rPr>
          <w:sz w:val="26"/>
          <w:szCs w:val="26"/>
        </w:rPr>
        <w:t xml:space="preserve"> </w:t>
      </w:r>
      <w:r w:rsidR="006003F9" w:rsidRPr="00001309">
        <w:rPr>
          <w:sz w:val="26"/>
          <w:szCs w:val="26"/>
        </w:rPr>
        <w:t xml:space="preserve">that, </w:t>
      </w:r>
      <w:r w:rsidRPr="00001309">
        <w:rPr>
          <w:sz w:val="26"/>
          <w:szCs w:val="26"/>
        </w:rPr>
        <w:t>at least</w:t>
      </w:r>
      <w:r w:rsidR="006003F9" w:rsidRPr="00001309">
        <w:rPr>
          <w:sz w:val="26"/>
          <w:szCs w:val="26"/>
        </w:rPr>
        <w:t>,</w:t>
      </w:r>
      <w:r w:rsidRPr="00001309">
        <w:rPr>
          <w:sz w:val="26"/>
          <w:szCs w:val="26"/>
        </w:rPr>
        <w:t xml:space="preserve"> Section 111.5 (relating to agent training requirements), is vague. </w:t>
      </w:r>
      <w:r w:rsidR="007F0179" w:rsidRPr="00001309">
        <w:rPr>
          <w:sz w:val="26"/>
          <w:szCs w:val="26"/>
        </w:rPr>
        <w:t xml:space="preserve"> </w:t>
      </w:r>
      <w:r w:rsidR="003560B0" w:rsidRPr="00001309">
        <w:rPr>
          <w:sz w:val="26"/>
          <w:szCs w:val="26"/>
        </w:rPr>
        <w:t xml:space="preserve">Based on the concerns of vagueness, </w:t>
      </w:r>
      <w:r w:rsidRPr="00001309">
        <w:rPr>
          <w:sz w:val="26"/>
          <w:szCs w:val="26"/>
        </w:rPr>
        <w:t>Blue Pilot argue</w:t>
      </w:r>
      <w:r w:rsidR="003560B0" w:rsidRPr="00001309">
        <w:rPr>
          <w:sz w:val="26"/>
          <w:szCs w:val="26"/>
        </w:rPr>
        <w:t>d that the</w:t>
      </w:r>
      <w:r w:rsidRPr="00001309">
        <w:rPr>
          <w:sz w:val="26"/>
          <w:szCs w:val="26"/>
        </w:rPr>
        <w:t xml:space="preserve"> imposition of civil penalties</w:t>
      </w:r>
      <w:r w:rsidR="00B75887" w:rsidRPr="00001309">
        <w:rPr>
          <w:sz w:val="26"/>
          <w:szCs w:val="26"/>
        </w:rPr>
        <w:t xml:space="preserve">, </w:t>
      </w:r>
      <w:r w:rsidR="00B75887" w:rsidRPr="00001309">
        <w:rPr>
          <w:i/>
          <w:sz w:val="26"/>
          <w:szCs w:val="26"/>
        </w:rPr>
        <w:t>infra</w:t>
      </w:r>
      <w:r w:rsidR="00B75887" w:rsidRPr="00001309">
        <w:rPr>
          <w:sz w:val="26"/>
          <w:szCs w:val="26"/>
        </w:rPr>
        <w:t>,</w:t>
      </w:r>
      <w:r w:rsidR="00B75887" w:rsidRPr="00001309">
        <w:rPr>
          <w:i/>
          <w:sz w:val="26"/>
          <w:szCs w:val="26"/>
        </w:rPr>
        <w:t xml:space="preserve"> </w:t>
      </w:r>
      <w:r w:rsidRPr="00001309">
        <w:rPr>
          <w:sz w:val="26"/>
          <w:szCs w:val="26"/>
        </w:rPr>
        <w:t xml:space="preserve">for violating a vague regulation would violate its due process rights, since it could </w:t>
      </w:r>
      <w:r w:rsidR="006003F9" w:rsidRPr="00001309">
        <w:rPr>
          <w:sz w:val="26"/>
          <w:szCs w:val="26"/>
        </w:rPr>
        <w:t>n</w:t>
      </w:r>
      <w:r w:rsidRPr="00001309">
        <w:rPr>
          <w:sz w:val="26"/>
          <w:szCs w:val="26"/>
        </w:rPr>
        <w:t xml:space="preserve">ot reasonably </w:t>
      </w:r>
      <w:r w:rsidR="006003F9" w:rsidRPr="00001309">
        <w:rPr>
          <w:sz w:val="26"/>
          <w:szCs w:val="26"/>
        </w:rPr>
        <w:t xml:space="preserve">have </w:t>
      </w:r>
      <w:r w:rsidRPr="00001309">
        <w:rPr>
          <w:sz w:val="26"/>
          <w:szCs w:val="26"/>
        </w:rPr>
        <w:t xml:space="preserve">been </w:t>
      </w:r>
      <w:r w:rsidR="006003F9" w:rsidRPr="00001309">
        <w:rPr>
          <w:sz w:val="26"/>
          <w:szCs w:val="26"/>
        </w:rPr>
        <w:t xml:space="preserve">placed </w:t>
      </w:r>
      <w:r w:rsidRPr="00001309">
        <w:rPr>
          <w:sz w:val="26"/>
          <w:szCs w:val="26"/>
        </w:rPr>
        <w:t xml:space="preserve">on notice as to </w:t>
      </w:r>
      <w:r w:rsidRPr="00001309">
        <w:rPr>
          <w:sz w:val="26"/>
          <w:szCs w:val="26"/>
        </w:rPr>
        <w:lastRenderedPageBreak/>
        <w:t>the specific conduct that was required.</w:t>
      </w:r>
      <w:r w:rsidR="003560B0" w:rsidRPr="00001309">
        <w:rPr>
          <w:sz w:val="26"/>
          <w:szCs w:val="26"/>
        </w:rPr>
        <w:t xml:space="preserve">  </w:t>
      </w:r>
      <w:r w:rsidR="007F0179" w:rsidRPr="00001309">
        <w:rPr>
          <w:sz w:val="26"/>
          <w:szCs w:val="26"/>
        </w:rPr>
        <w:t>I.D. at 79</w:t>
      </w:r>
      <w:r w:rsidR="003560B0" w:rsidRPr="00001309">
        <w:rPr>
          <w:sz w:val="26"/>
          <w:szCs w:val="26"/>
        </w:rPr>
        <w:t xml:space="preserve">, citing Blue Pilot R.B. at 31, </w:t>
      </w:r>
      <w:r w:rsidR="002B251F" w:rsidRPr="00001309">
        <w:rPr>
          <w:sz w:val="26"/>
          <w:szCs w:val="26"/>
        </w:rPr>
        <w:t>n.</w:t>
      </w:r>
      <w:r w:rsidR="003560B0" w:rsidRPr="00001309">
        <w:rPr>
          <w:sz w:val="26"/>
          <w:szCs w:val="26"/>
        </w:rPr>
        <w:t xml:space="preserve"> 46, referring to</w:t>
      </w:r>
      <w:r w:rsidRPr="00001309">
        <w:rPr>
          <w:sz w:val="26"/>
          <w:szCs w:val="26"/>
        </w:rPr>
        <w:t xml:space="preserve"> </w:t>
      </w:r>
      <w:r w:rsidRPr="00001309">
        <w:rPr>
          <w:i/>
          <w:sz w:val="26"/>
          <w:szCs w:val="26"/>
        </w:rPr>
        <w:t>Baggett et al. v. Bullitt et al</w:t>
      </w:r>
      <w:r w:rsidRPr="00001309">
        <w:rPr>
          <w:sz w:val="26"/>
          <w:szCs w:val="26"/>
        </w:rPr>
        <w:t>., 377 U.S. 360 (1964).</w:t>
      </w:r>
    </w:p>
    <w:p w:rsidR="006003F9" w:rsidRPr="00001309" w:rsidRDefault="006003F9" w:rsidP="003560B0">
      <w:pPr>
        <w:autoSpaceDE w:val="0"/>
        <w:autoSpaceDN w:val="0"/>
        <w:rPr>
          <w:sz w:val="26"/>
          <w:szCs w:val="26"/>
        </w:rPr>
      </w:pPr>
    </w:p>
    <w:p w:rsidR="00D231E3" w:rsidRPr="00001309" w:rsidRDefault="00DB7754" w:rsidP="003560B0">
      <w:pPr>
        <w:autoSpaceDE w:val="0"/>
        <w:autoSpaceDN w:val="0"/>
        <w:rPr>
          <w:sz w:val="26"/>
          <w:szCs w:val="26"/>
        </w:rPr>
      </w:pPr>
      <w:r w:rsidRPr="00001309">
        <w:rPr>
          <w:sz w:val="26"/>
          <w:szCs w:val="26"/>
        </w:rPr>
        <w:t>Also, regarding due process considerations, Blue Pilot appears to take the position that it was not placed on notice</w:t>
      </w:r>
      <w:r w:rsidR="006003F9" w:rsidRPr="00001309">
        <w:rPr>
          <w:sz w:val="26"/>
          <w:szCs w:val="26"/>
        </w:rPr>
        <w:t xml:space="preserve"> from </w:t>
      </w:r>
      <w:r w:rsidRPr="00001309">
        <w:rPr>
          <w:sz w:val="26"/>
          <w:szCs w:val="26"/>
        </w:rPr>
        <w:t xml:space="preserve">the </w:t>
      </w:r>
      <w:r w:rsidR="006003F9" w:rsidRPr="00001309">
        <w:rPr>
          <w:sz w:val="26"/>
          <w:szCs w:val="26"/>
        </w:rPr>
        <w:t xml:space="preserve">allegations in the </w:t>
      </w:r>
      <w:r w:rsidRPr="00001309">
        <w:rPr>
          <w:sz w:val="26"/>
          <w:szCs w:val="26"/>
        </w:rPr>
        <w:t xml:space="preserve">Complaint, </w:t>
      </w:r>
      <w:r w:rsidR="00FB39EA" w:rsidRPr="00001309">
        <w:rPr>
          <w:sz w:val="26"/>
          <w:szCs w:val="26"/>
        </w:rPr>
        <w:t>that it would be charged with violation</w:t>
      </w:r>
      <w:r w:rsidR="00B75887" w:rsidRPr="00001309">
        <w:rPr>
          <w:sz w:val="26"/>
          <w:szCs w:val="26"/>
        </w:rPr>
        <w:t>s</w:t>
      </w:r>
      <w:r w:rsidR="00FB39EA" w:rsidRPr="00001309">
        <w:rPr>
          <w:sz w:val="26"/>
          <w:szCs w:val="26"/>
        </w:rPr>
        <w:t xml:space="preserve"> </w:t>
      </w:r>
      <w:r w:rsidR="00B75887" w:rsidRPr="00001309">
        <w:rPr>
          <w:sz w:val="26"/>
          <w:szCs w:val="26"/>
        </w:rPr>
        <w:t xml:space="preserve">of </w:t>
      </w:r>
      <w:r w:rsidR="00FB39EA" w:rsidRPr="00001309">
        <w:rPr>
          <w:sz w:val="26"/>
          <w:szCs w:val="26"/>
        </w:rPr>
        <w:t xml:space="preserve">the Commission Regulations that require it to bill customers according to marketed prices and to reflect marketed and billed prices in its disclosure statements.  </w:t>
      </w:r>
      <w:r w:rsidR="00EA5D64" w:rsidRPr="00001309">
        <w:rPr>
          <w:i/>
          <w:sz w:val="26"/>
          <w:szCs w:val="26"/>
        </w:rPr>
        <w:t xml:space="preserve">See </w:t>
      </w:r>
      <w:r w:rsidR="00FB39EA" w:rsidRPr="00001309">
        <w:rPr>
          <w:sz w:val="26"/>
          <w:szCs w:val="26"/>
        </w:rPr>
        <w:t>R.B. at 41.</w:t>
      </w:r>
    </w:p>
    <w:p w:rsidR="00132086" w:rsidRPr="00001309" w:rsidRDefault="00132086" w:rsidP="003560B0">
      <w:pPr>
        <w:autoSpaceDE w:val="0"/>
        <w:autoSpaceDN w:val="0"/>
        <w:rPr>
          <w:sz w:val="26"/>
          <w:szCs w:val="26"/>
        </w:rPr>
      </w:pPr>
    </w:p>
    <w:p w:rsidR="00C32C1D" w:rsidRPr="00001309" w:rsidRDefault="00132086" w:rsidP="005F7C64">
      <w:pPr>
        <w:autoSpaceDE w:val="0"/>
        <w:autoSpaceDN w:val="0"/>
        <w:rPr>
          <w:sz w:val="26"/>
          <w:szCs w:val="26"/>
        </w:rPr>
      </w:pPr>
      <w:r w:rsidRPr="00001309">
        <w:rPr>
          <w:sz w:val="26"/>
          <w:szCs w:val="26"/>
        </w:rPr>
        <w:t>Also, as summarized in Blue Pilot’s Reply Brief, t</w:t>
      </w:r>
      <w:r w:rsidR="00CD4B48" w:rsidRPr="00001309">
        <w:rPr>
          <w:sz w:val="26"/>
          <w:szCs w:val="26"/>
        </w:rPr>
        <w:t>he Company continues a</w:t>
      </w:r>
      <w:r w:rsidRPr="00001309">
        <w:rPr>
          <w:sz w:val="26"/>
          <w:szCs w:val="26"/>
        </w:rPr>
        <w:t xml:space="preserve"> general </w:t>
      </w:r>
      <w:r w:rsidR="00035BF2" w:rsidRPr="00001309">
        <w:rPr>
          <w:sz w:val="26"/>
          <w:szCs w:val="26"/>
        </w:rPr>
        <w:t>challenge to</w:t>
      </w:r>
      <w:r w:rsidRPr="00001309">
        <w:rPr>
          <w:sz w:val="26"/>
          <w:szCs w:val="26"/>
        </w:rPr>
        <w:t xml:space="preserve"> the sufficiency of the evidence of </w:t>
      </w:r>
      <w:r w:rsidR="00F429DB">
        <w:rPr>
          <w:sz w:val="26"/>
          <w:szCs w:val="26"/>
        </w:rPr>
        <w:t xml:space="preserve">the </w:t>
      </w:r>
      <w:r w:rsidRPr="00001309">
        <w:rPr>
          <w:sz w:val="26"/>
          <w:szCs w:val="26"/>
        </w:rPr>
        <w:t>Joint Complainants.  Blue Pilot took the position that a glaring omission in the record is evidence of individual customer billing data.  R.B. at 10.  According to Blue Pilot, “</w:t>
      </w:r>
      <w:r w:rsidR="00740D70" w:rsidRPr="00001309">
        <w:rPr>
          <w:sz w:val="26"/>
          <w:szCs w:val="26"/>
        </w:rPr>
        <w:t>[w]</w:t>
      </w:r>
      <w:proofErr w:type="spellStart"/>
      <w:r w:rsidRPr="00001309">
        <w:rPr>
          <w:sz w:val="26"/>
          <w:szCs w:val="26"/>
        </w:rPr>
        <w:t>ithout</w:t>
      </w:r>
      <w:proofErr w:type="spellEnd"/>
      <w:r w:rsidRPr="00001309">
        <w:rPr>
          <w:sz w:val="26"/>
          <w:szCs w:val="26"/>
        </w:rPr>
        <w:t xml:space="preserve"> such data, and without knowing the contract terms for each customer, it is impossible to determine that any specific promises made to individual consumers were not honored.  Therefore, ordering across-the-board refunds would not only exceed the Commission’s statutory authority but would also be contrary to the record in some instances and wholly unsupported with respect to the </w:t>
      </w:r>
      <w:proofErr w:type="gramStart"/>
      <w:r w:rsidRPr="00001309">
        <w:rPr>
          <w:sz w:val="26"/>
          <w:szCs w:val="26"/>
        </w:rPr>
        <w:t>vast majority</w:t>
      </w:r>
      <w:proofErr w:type="gramEnd"/>
      <w:r w:rsidRPr="00001309">
        <w:rPr>
          <w:sz w:val="26"/>
          <w:szCs w:val="26"/>
        </w:rPr>
        <w:t xml:space="preserve"> of customers.”  R.</w:t>
      </w:r>
      <w:r w:rsidR="00502ED8" w:rsidRPr="00001309">
        <w:rPr>
          <w:sz w:val="26"/>
          <w:szCs w:val="26"/>
        </w:rPr>
        <w:t>B</w:t>
      </w:r>
      <w:r w:rsidRPr="00001309">
        <w:rPr>
          <w:sz w:val="26"/>
          <w:szCs w:val="26"/>
        </w:rPr>
        <w:t xml:space="preserve">. at </w:t>
      </w:r>
      <w:r w:rsidR="00C32C1D" w:rsidRPr="00001309">
        <w:rPr>
          <w:sz w:val="26"/>
          <w:szCs w:val="26"/>
        </w:rPr>
        <w:t>10.</w:t>
      </w:r>
    </w:p>
    <w:p w:rsidR="00FC0788" w:rsidRPr="00001309" w:rsidRDefault="00FC0788" w:rsidP="005F7C64">
      <w:pPr>
        <w:autoSpaceDE w:val="0"/>
        <w:autoSpaceDN w:val="0"/>
        <w:rPr>
          <w:sz w:val="26"/>
          <w:szCs w:val="26"/>
        </w:rPr>
      </w:pPr>
    </w:p>
    <w:p w:rsidR="009B0E96" w:rsidRPr="00001309" w:rsidRDefault="00747231" w:rsidP="001812E2">
      <w:pPr>
        <w:keepNext/>
        <w:keepLines/>
        <w:autoSpaceDE w:val="0"/>
        <w:autoSpaceDN w:val="0"/>
        <w:ind w:firstLine="720"/>
        <w:rPr>
          <w:b/>
          <w:sz w:val="26"/>
          <w:szCs w:val="26"/>
        </w:rPr>
      </w:pPr>
      <w:r w:rsidRPr="00001309">
        <w:rPr>
          <w:b/>
          <w:sz w:val="26"/>
          <w:szCs w:val="26"/>
        </w:rPr>
        <w:t>2</w:t>
      </w:r>
      <w:r w:rsidR="00A045EB" w:rsidRPr="00001309">
        <w:rPr>
          <w:b/>
          <w:sz w:val="26"/>
          <w:szCs w:val="26"/>
        </w:rPr>
        <w:t>.</w:t>
      </w:r>
      <w:r w:rsidR="00A045EB" w:rsidRPr="00001309">
        <w:rPr>
          <w:b/>
          <w:sz w:val="26"/>
          <w:szCs w:val="26"/>
        </w:rPr>
        <w:tab/>
      </w:r>
      <w:r w:rsidR="005752D6" w:rsidRPr="00001309">
        <w:rPr>
          <w:b/>
          <w:sz w:val="26"/>
          <w:szCs w:val="26"/>
        </w:rPr>
        <w:t>ALJs’ Recommendation</w:t>
      </w:r>
    </w:p>
    <w:p w:rsidR="008E241B" w:rsidRPr="00001309" w:rsidRDefault="008E241B" w:rsidP="004D6FAA">
      <w:pPr>
        <w:keepNext/>
        <w:keepLines/>
        <w:autoSpaceDE w:val="0"/>
        <w:autoSpaceDN w:val="0"/>
        <w:rPr>
          <w:b/>
          <w:sz w:val="26"/>
          <w:szCs w:val="26"/>
        </w:rPr>
      </w:pPr>
    </w:p>
    <w:p w:rsidR="00257A4F" w:rsidRPr="00001309" w:rsidRDefault="008E241B" w:rsidP="00257A4F">
      <w:pPr>
        <w:autoSpaceDE w:val="0"/>
        <w:autoSpaceDN w:val="0"/>
        <w:rPr>
          <w:sz w:val="26"/>
          <w:szCs w:val="26"/>
        </w:rPr>
      </w:pPr>
      <w:r w:rsidRPr="00001309">
        <w:rPr>
          <w:sz w:val="26"/>
          <w:szCs w:val="26"/>
        </w:rPr>
        <w:t>The ALJs</w:t>
      </w:r>
      <w:r w:rsidR="00A73646" w:rsidRPr="00001309">
        <w:rPr>
          <w:sz w:val="26"/>
          <w:szCs w:val="26"/>
        </w:rPr>
        <w:t xml:space="preserve"> </w:t>
      </w:r>
      <w:r w:rsidR="00035BF2" w:rsidRPr="00001309">
        <w:rPr>
          <w:sz w:val="26"/>
          <w:szCs w:val="26"/>
        </w:rPr>
        <w:t xml:space="preserve">recommended </w:t>
      </w:r>
      <w:r w:rsidR="00A73646" w:rsidRPr="00001309">
        <w:rPr>
          <w:sz w:val="26"/>
          <w:szCs w:val="26"/>
        </w:rPr>
        <w:t>sustain</w:t>
      </w:r>
      <w:r w:rsidR="00035BF2" w:rsidRPr="00001309">
        <w:rPr>
          <w:sz w:val="26"/>
          <w:szCs w:val="26"/>
        </w:rPr>
        <w:t>ing</w:t>
      </w:r>
      <w:r w:rsidR="00A73646" w:rsidRPr="00001309">
        <w:rPr>
          <w:sz w:val="26"/>
          <w:szCs w:val="26"/>
        </w:rPr>
        <w:t xml:space="preserve"> </w:t>
      </w:r>
      <w:r w:rsidR="00F429DB">
        <w:rPr>
          <w:sz w:val="26"/>
          <w:szCs w:val="26"/>
        </w:rPr>
        <w:t xml:space="preserve">the </w:t>
      </w:r>
      <w:r w:rsidR="00A73646" w:rsidRPr="00001309">
        <w:rPr>
          <w:sz w:val="26"/>
          <w:szCs w:val="26"/>
        </w:rPr>
        <w:t>Joint Complainants’ Count III.  As a threshold determination, the ALJs</w:t>
      </w:r>
      <w:r w:rsidRPr="00001309">
        <w:rPr>
          <w:sz w:val="26"/>
          <w:szCs w:val="26"/>
        </w:rPr>
        <w:t xml:space="preserve"> rejected Blue Pilot’s objections to the consumer testimony</w:t>
      </w:r>
      <w:r w:rsidR="00CE4E62" w:rsidRPr="00001309">
        <w:rPr>
          <w:sz w:val="26"/>
          <w:szCs w:val="26"/>
        </w:rPr>
        <w:t xml:space="preserve"> based on</w:t>
      </w:r>
      <w:r w:rsidR="004D6FAA" w:rsidRPr="00001309">
        <w:rPr>
          <w:sz w:val="26"/>
          <w:szCs w:val="26"/>
        </w:rPr>
        <w:t xml:space="preserve"> an</w:t>
      </w:r>
      <w:r w:rsidR="00CE4E62" w:rsidRPr="00001309">
        <w:rPr>
          <w:sz w:val="26"/>
          <w:szCs w:val="26"/>
        </w:rPr>
        <w:t xml:space="preserve"> alleged violation of the rules of evidence prohibiting hearsay testimony</w:t>
      </w:r>
      <w:r w:rsidRPr="00001309">
        <w:rPr>
          <w:sz w:val="26"/>
          <w:szCs w:val="26"/>
        </w:rPr>
        <w:t xml:space="preserve">.  </w:t>
      </w:r>
      <w:r w:rsidR="00CE4E62" w:rsidRPr="00001309">
        <w:rPr>
          <w:sz w:val="26"/>
          <w:szCs w:val="26"/>
        </w:rPr>
        <w:t>T</w:t>
      </w:r>
      <w:r w:rsidRPr="00001309">
        <w:rPr>
          <w:sz w:val="26"/>
          <w:szCs w:val="26"/>
        </w:rPr>
        <w:t xml:space="preserve">he testimony was admitted into evidence and given evidentiary </w:t>
      </w:r>
      <w:r w:rsidR="00AD2D90" w:rsidRPr="00001309">
        <w:rPr>
          <w:sz w:val="26"/>
          <w:szCs w:val="26"/>
        </w:rPr>
        <w:t>consideration</w:t>
      </w:r>
      <w:r w:rsidRPr="00001309">
        <w:rPr>
          <w:sz w:val="26"/>
          <w:szCs w:val="26"/>
        </w:rPr>
        <w:t xml:space="preserve"> </w:t>
      </w:r>
      <w:r w:rsidR="00EA5D64" w:rsidRPr="00001309">
        <w:rPr>
          <w:sz w:val="26"/>
          <w:szCs w:val="26"/>
        </w:rPr>
        <w:t>in reliance on the</w:t>
      </w:r>
      <w:r w:rsidRPr="00001309">
        <w:rPr>
          <w:sz w:val="26"/>
          <w:szCs w:val="26"/>
        </w:rPr>
        <w:t xml:space="preserve"> exception to the rules prohibiting hears</w:t>
      </w:r>
      <w:r w:rsidR="007F0179" w:rsidRPr="00001309">
        <w:rPr>
          <w:sz w:val="26"/>
          <w:szCs w:val="26"/>
        </w:rPr>
        <w:t>ay</w:t>
      </w:r>
      <w:r w:rsidRPr="00001309">
        <w:rPr>
          <w:sz w:val="26"/>
          <w:szCs w:val="26"/>
        </w:rPr>
        <w:t xml:space="preserve"> </w:t>
      </w:r>
      <w:r w:rsidR="00EA5D64" w:rsidRPr="00001309">
        <w:rPr>
          <w:sz w:val="26"/>
          <w:szCs w:val="26"/>
        </w:rPr>
        <w:t>testimony</w:t>
      </w:r>
      <w:r w:rsidR="00F77EEF" w:rsidRPr="00001309">
        <w:rPr>
          <w:sz w:val="26"/>
          <w:szCs w:val="26"/>
        </w:rPr>
        <w:t>,</w:t>
      </w:r>
      <w:r w:rsidR="00EA5D64" w:rsidRPr="00001309">
        <w:rPr>
          <w:sz w:val="26"/>
          <w:szCs w:val="26"/>
        </w:rPr>
        <w:t xml:space="preserve"> </w:t>
      </w:r>
      <w:r w:rsidRPr="00001309">
        <w:rPr>
          <w:sz w:val="26"/>
          <w:szCs w:val="26"/>
        </w:rPr>
        <w:t xml:space="preserve">as a party admission.  </w:t>
      </w:r>
      <w:r w:rsidRPr="00001309">
        <w:rPr>
          <w:i/>
          <w:sz w:val="26"/>
          <w:szCs w:val="26"/>
        </w:rPr>
        <w:t>See</w:t>
      </w:r>
      <w:r w:rsidRPr="00001309">
        <w:rPr>
          <w:sz w:val="26"/>
          <w:szCs w:val="26"/>
        </w:rPr>
        <w:t xml:space="preserve"> I.D. at 79, </w:t>
      </w:r>
      <w:r w:rsidR="007F0179" w:rsidRPr="00001309">
        <w:rPr>
          <w:sz w:val="26"/>
          <w:szCs w:val="26"/>
        </w:rPr>
        <w:t xml:space="preserve">referencing </w:t>
      </w:r>
      <w:r w:rsidRPr="00001309">
        <w:rPr>
          <w:sz w:val="26"/>
          <w:szCs w:val="26"/>
        </w:rPr>
        <w:t>Pa. R</w:t>
      </w:r>
      <w:r w:rsidR="007F0179" w:rsidRPr="00001309">
        <w:rPr>
          <w:sz w:val="26"/>
          <w:szCs w:val="26"/>
        </w:rPr>
        <w:t xml:space="preserve">ule of </w:t>
      </w:r>
      <w:r w:rsidRPr="00001309">
        <w:rPr>
          <w:sz w:val="26"/>
          <w:szCs w:val="26"/>
        </w:rPr>
        <w:t>E</w:t>
      </w:r>
      <w:r w:rsidR="007F0179" w:rsidRPr="00001309">
        <w:rPr>
          <w:sz w:val="26"/>
          <w:szCs w:val="26"/>
        </w:rPr>
        <w:t>vidence</w:t>
      </w:r>
      <w:r w:rsidRPr="00001309">
        <w:rPr>
          <w:sz w:val="26"/>
          <w:szCs w:val="26"/>
        </w:rPr>
        <w:t xml:space="preserve"> 803(25).</w:t>
      </w:r>
      <w:r w:rsidR="008717F4" w:rsidRPr="00001309">
        <w:rPr>
          <w:sz w:val="26"/>
          <w:szCs w:val="26"/>
        </w:rPr>
        <w:t xml:space="preserve">  Further, the presiding ALJs relied </w:t>
      </w:r>
      <w:r w:rsidR="008717F4" w:rsidRPr="00001309">
        <w:rPr>
          <w:sz w:val="26"/>
          <w:szCs w:val="26"/>
        </w:rPr>
        <w:lastRenderedPageBreak/>
        <w:t>upon</w:t>
      </w:r>
      <w:r w:rsidR="00C64F7F" w:rsidRPr="00001309">
        <w:rPr>
          <w:sz w:val="26"/>
          <w:szCs w:val="26"/>
        </w:rPr>
        <w:t xml:space="preserve"> the Commission’s</w:t>
      </w:r>
      <w:r w:rsidR="008717F4" w:rsidRPr="00001309">
        <w:rPr>
          <w:sz w:val="26"/>
          <w:szCs w:val="26"/>
        </w:rPr>
        <w:t xml:space="preserve"> </w:t>
      </w:r>
      <w:r w:rsidR="00257A4F" w:rsidRPr="00001309">
        <w:rPr>
          <w:sz w:val="26"/>
          <w:szCs w:val="26"/>
        </w:rPr>
        <w:t xml:space="preserve">reasoning in </w:t>
      </w:r>
      <w:r w:rsidR="00257A4F" w:rsidRPr="00001309">
        <w:rPr>
          <w:i/>
          <w:sz w:val="26"/>
          <w:szCs w:val="26"/>
        </w:rPr>
        <w:t>Herp</w:t>
      </w:r>
      <w:r w:rsidR="004D6FAA" w:rsidRPr="00001309">
        <w:rPr>
          <w:sz w:val="26"/>
          <w:szCs w:val="26"/>
        </w:rPr>
        <w:t>,</w:t>
      </w:r>
      <w:r w:rsidR="00917E80" w:rsidRPr="00001309">
        <w:rPr>
          <w:rStyle w:val="FootnoteReference"/>
          <w:sz w:val="26"/>
          <w:szCs w:val="26"/>
        </w:rPr>
        <w:footnoteReference w:id="30"/>
      </w:r>
      <w:r w:rsidR="00257A4F" w:rsidRPr="00001309">
        <w:rPr>
          <w:sz w:val="26"/>
          <w:szCs w:val="26"/>
        </w:rPr>
        <w:t xml:space="preserve"> that “[c]</w:t>
      </w:r>
      <w:proofErr w:type="spellStart"/>
      <w:r w:rsidR="00257A4F" w:rsidRPr="00001309">
        <w:rPr>
          <w:sz w:val="26"/>
          <w:szCs w:val="26"/>
        </w:rPr>
        <w:t>ustomers</w:t>
      </w:r>
      <w:proofErr w:type="spellEnd"/>
      <w:r w:rsidR="00257A4F" w:rsidRPr="00001309">
        <w:rPr>
          <w:sz w:val="26"/>
          <w:szCs w:val="26"/>
        </w:rPr>
        <w:t xml:space="preserve"> must be able to rely on all representations made in the sales process.  While written disclosure statements are one source of information upon which customers may rely, they are equally entitled to rely on the oral marketing of an EGS’ agents.”  I.D. at 80, citing </w:t>
      </w:r>
      <w:r w:rsidR="00257A4F" w:rsidRPr="00001309">
        <w:rPr>
          <w:i/>
          <w:sz w:val="26"/>
          <w:szCs w:val="26"/>
        </w:rPr>
        <w:t>Herp</w:t>
      </w:r>
      <w:r w:rsidR="00257A4F" w:rsidRPr="00001309">
        <w:rPr>
          <w:sz w:val="26"/>
          <w:szCs w:val="26"/>
        </w:rPr>
        <w:t>.</w:t>
      </w:r>
    </w:p>
    <w:p w:rsidR="003211D0" w:rsidRPr="00001309" w:rsidRDefault="003211D0" w:rsidP="00917E80">
      <w:pPr>
        <w:autoSpaceDE w:val="0"/>
        <w:autoSpaceDN w:val="0"/>
        <w:rPr>
          <w:sz w:val="26"/>
          <w:szCs w:val="26"/>
        </w:rPr>
      </w:pPr>
    </w:p>
    <w:p w:rsidR="003211D0" w:rsidRPr="00001309" w:rsidRDefault="003211D0" w:rsidP="00917E80">
      <w:pPr>
        <w:autoSpaceDE w:val="0"/>
        <w:autoSpaceDN w:val="0"/>
        <w:rPr>
          <w:sz w:val="26"/>
          <w:szCs w:val="26"/>
        </w:rPr>
      </w:pPr>
      <w:r w:rsidRPr="00001309">
        <w:rPr>
          <w:sz w:val="26"/>
          <w:szCs w:val="26"/>
        </w:rPr>
        <w:t xml:space="preserve">Also, standing contrary to the position of Blue Pilot was the Commission’s language in </w:t>
      </w:r>
      <w:r w:rsidRPr="00001309">
        <w:rPr>
          <w:i/>
          <w:sz w:val="26"/>
          <w:szCs w:val="26"/>
        </w:rPr>
        <w:t xml:space="preserve">Kiback </w:t>
      </w:r>
      <w:r w:rsidRPr="00001309">
        <w:rPr>
          <w:sz w:val="26"/>
          <w:szCs w:val="26"/>
        </w:rPr>
        <w:t>concerning the oral representations of EGS marketing agents/representatives:</w:t>
      </w:r>
    </w:p>
    <w:p w:rsidR="003211D0" w:rsidRPr="00001309" w:rsidRDefault="003211D0" w:rsidP="00917E80">
      <w:pPr>
        <w:autoSpaceDE w:val="0"/>
        <w:autoSpaceDN w:val="0"/>
        <w:rPr>
          <w:sz w:val="26"/>
          <w:szCs w:val="26"/>
        </w:rPr>
      </w:pPr>
    </w:p>
    <w:p w:rsidR="002E54AE" w:rsidRDefault="003211D0" w:rsidP="002E54AE">
      <w:pPr>
        <w:shd w:val="clear" w:color="auto" w:fill="FFFFFF"/>
        <w:spacing w:line="240" w:lineRule="auto"/>
        <w:ind w:left="1440" w:right="1440" w:firstLine="720"/>
        <w:rPr>
          <w:sz w:val="26"/>
          <w:szCs w:val="26"/>
        </w:rPr>
      </w:pPr>
      <w:r w:rsidRPr="00001309">
        <w:rPr>
          <w:sz w:val="26"/>
          <w:szCs w:val="26"/>
        </w:rPr>
        <w:t xml:space="preserve">The conversation between the customer and the sales agent is critical in the development of a proper market for the competitive provision of electric generation service. Yet, in this case, unrebutted record evidence demonstrates that the total cost to purchase, receive or use electric generation service was not truthfully disclosed in a clear and conspicuous manner or that all material restrictions, limitations or conditions were disclosed. The fact that Mr. Kiback subsequently received a disclosure statement and had a right to rescind the contract does </w:t>
      </w:r>
    </w:p>
    <w:p w:rsidR="003211D0" w:rsidRPr="00001309" w:rsidRDefault="003211D0" w:rsidP="002E54AE">
      <w:pPr>
        <w:keepNext/>
        <w:keepLines/>
        <w:shd w:val="clear" w:color="auto" w:fill="FFFFFF"/>
        <w:spacing w:line="240" w:lineRule="auto"/>
        <w:ind w:left="1440" w:right="1440" w:firstLine="0"/>
        <w:rPr>
          <w:sz w:val="26"/>
          <w:szCs w:val="26"/>
        </w:rPr>
      </w:pPr>
      <w:r w:rsidRPr="00001309">
        <w:rPr>
          <w:sz w:val="26"/>
          <w:szCs w:val="26"/>
        </w:rPr>
        <w:t>not negate the underlying violation of the Commission’s telemarketing regulation by the sales agent [during the sales pitch].</w:t>
      </w:r>
    </w:p>
    <w:p w:rsidR="00917754" w:rsidRPr="00001309" w:rsidRDefault="00917754" w:rsidP="002E54AE">
      <w:pPr>
        <w:keepNext/>
        <w:keepLines/>
        <w:shd w:val="clear" w:color="auto" w:fill="FFFFFF"/>
        <w:spacing w:line="240" w:lineRule="auto"/>
        <w:ind w:left="2160" w:right="1440" w:firstLine="720"/>
        <w:rPr>
          <w:rFonts w:eastAsia="Times New Roman"/>
          <w:sz w:val="26"/>
          <w:szCs w:val="26"/>
        </w:rPr>
      </w:pPr>
    </w:p>
    <w:p w:rsidR="00917754" w:rsidRPr="00001309" w:rsidRDefault="00917754" w:rsidP="002E54AE">
      <w:pPr>
        <w:keepNext/>
        <w:keepLines/>
        <w:shd w:val="clear" w:color="auto" w:fill="FFFFFF"/>
        <w:spacing w:line="240" w:lineRule="auto"/>
        <w:ind w:left="2160" w:right="1440" w:firstLine="720"/>
        <w:rPr>
          <w:rFonts w:eastAsia="Times New Roman"/>
          <w:sz w:val="26"/>
          <w:szCs w:val="26"/>
        </w:rPr>
      </w:pPr>
    </w:p>
    <w:p w:rsidR="007F0179" w:rsidRPr="00001309" w:rsidRDefault="003211D0" w:rsidP="003211D0">
      <w:pPr>
        <w:shd w:val="clear" w:color="auto" w:fill="FFFFFF"/>
        <w:ind w:firstLine="0"/>
        <w:rPr>
          <w:rFonts w:eastAsia="Times New Roman"/>
          <w:sz w:val="26"/>
          <w:szCs w:val="26"/>
        </w:rPr>
      </w:pPr>
      <w:r w:rsidRPr="00001309">
        <w:rPr>
          <w:rFonts w:eastAsia="Times New Roman"/>
          <w:sz w:val="26"/>
          <w:szCs w:val="26"/>
        </w:rPr>
        <w:t xml:space="preserve">I.D. at 88, quoting </w:t>
      </w:r>
      <w:r w:rsidRPr="00001309">
        <w:rPr>
          <w:rFonts w:eastAsia="Times New Roman"/>
          <w:i/>
          <w:sz w:val="26"/>
          <w:szCs w:val="26"/>
        </w:rPr>
        <w:t xml:space="preserve">Kiback </w:t>
      </w:r>
      <w:r w:rsidRPr="00001309">
        <w:rPr>
          <w:rFonts w:eastAsia="Times New Roman"/>
          <w:sz w:val="26"/>
          <w:szCs w:val="26"/>
        </w:rPr>
        <w:t>at 25-26.</w:t>
      </w:r>
    </w:p>
    <w:p w:rsidR="003211D0" w:rsidRPr="00001309" w:rsidRDefault="003211D0" w:rsidP="00917E80">
      <w:pPr>
        <w:autoSpaceDE w:val="0"/>
        <w:autoSpaceDN w:val="0"/>
        <w:rPr>
          <w:sz w:val="26"/>
          <w:szCs w:val="26"/>
        </w:rPr>
      </w:pPr>
    </w:p>
    <w:p w:rsidR="00D231E3" w:rsidRPr="00001309" w:rsidRDefault="0074015C" w:rsidP="00847065">
      <w:pPr>
        <w:autoSpaceDE w:val="0"/>
        <w:autoSpaceDN w:val="0"/>
        <w:rPr>
          <w:sz w:val="26"/>
          <w:szCs w:val="26"/>
        </w:rPr>
      </w:pPr>
      <w:r w:rsidRPr="00001309">
        <w:rPr>
          <w:sz w:val="26"/>
          <w:szCs w:val="26"/>
        </w:rPr>
        <w:t xml:space="preserve">The presiding ALJs extensively address the consumer testimony and the data analyzed and presented by </w:t>
      </w:r>
      <w:r w:rsidR="00F429DB">
        <w:rPr>
          <w:sz w:val="26"/>
          <w:szCs w:val="26"/>
        </w:rPr>
        <w:t xml:space="preserve">the </w:t>
      </w:r>
      <w:r w:rsidRPr="00001309">
        <w:rPr>
          <w:sz w:val="26"/>
          <w:szCs w:val="26"/>
        </w:rPr>
        <w:t>Joint Complainants</w:t>
      </w:r>
      <w:r w:rsidR="00B27B77" w:rsidRPr="00001309">
        <w:rPr>
          <w:sz w:val="26"/>
          <w:szCs w:val="26"/>
        </w:rPr>
        <w:t>’ expert</w:t>
      </w:r>
      <w:r w:rsidRPr="00001309">
        <w:rPr>
          <w:sz w:val="26"/>
          <w:szCs w:val="26"/>
        </w:rPr>
        <w:t xml:space="preserve"> witnesses in this matter.  </w:t>
      </w:r>
      <w:r w:rsidRPr="00001309">
        <w:rPr>
          <w:i/>
          <w:sz w:val="26"/>
          <w:szCs w:val="26"/>
        </w:rPr>
        <w:t>See</w:t>
      </w:r>
      <w:r w:rsidRPr="00001309">
        <w:rPr>
          <w:sz w:val="26"/>
          <w:szCs w:val="26"/>
        </w:rPr>
        <w:t xml:space="preserve"> I.D. at</w:t>
      </w:r>
      <w:r w:rsidR="00DA0824" w:rsidRPr="00001309">
        <w:rPr>
          <w:sz w:val="26"/>
          <w:szCs w:val="26"/>
        </w:rPr>
        <w:t> </w:t>
      </w:r>
      <w:r w:rsidRPr="00001309">
        <w:rPr>
          <w:sz w:val="26"/>
          <w:szCs w:val="26"/>
        </w:rPr>
        <w:t xml:space="preserve">80-93.  A summary of the consumer testimony was cited </w:t>
      </w:r>
      <w:r w:rsidR="00747231" w:rsidRPr="00001309">
        <w:rPr>
          <w:sz w:val="26"/>
          <w:szCs w:val="26"/>
        </w:rPr>
        <w:t xml:space="preserve">in the </w:t>
      </w:r>
      <w:r w:rsidRPr="00001309">
        <w:rPr>
          <w:sz w:val="26"/>
          <w:szCs w:val="26"/>
        </w:rPr>
        <w:t xml:space="preserve">I.D. </w:t>
      </w:r>
      <w:r w:rsidR="00747231" w:rsidRPr="00001309">
        <w:rPr>
          <w:sz w:val="26"/>
          <w:szCs w:val="26"/>
        </w:rPr>
        <w:t xml:space="preserve">at </w:t>
      </w:r>
      <w:r w:rsidRPr="00001309">
        <w:rPr>
          <w:sz w:val="26"/>
          <w:szCs w:val="26"/>
        </w:rPr>
        <w:t>8</w:t>
      </w:r>
      <w:r w:rsidR="00C6264B" w:rsidRPr="00001309">
        <w:rPr>
          <w:sz w:val="26"/>
          <w:szCs w:val="26"/>
        </w:rPr>
        <w:t>9</w:t>
      </w:r>
      <w:r w:rsidRPr="00001309">
        <w:rPr>
          <w:sz w:val="26"/>
          <w:szCs w:val="26"/>
        </w:rPr>
        <w:t>-9</w:t>
      </w:r>
      <w:r w:rsidR="00C6264B" w:rsidRPr="00001309">
        <w:rPr>
          <w:sz w:val="26"/>
          <w:szCs w:val="26"/>
        </w:rPr>
        <w:t>0</w:t>
      </w:r>
      <w:r w:rsidRPr="00001309">
        <w:rPr>
          <w:sz w:val="26"/>
          <w:szCs w:val="26"/>
        </w:rPr>
        <w:t>:</w:t>
      </w:r>
    </w:p>
    <w:p w:rsidR="0074015C" w:rsidRPr="00001309" w:rsidRDefault="0074015C" w:rsidP="0074015C">
      <w:pPr>
        <w:autoSpaceDE w:val="0"/>
        <w:autoSpaceDN w:val="0"/>
        <w:adjustRightInd w:val="0"/>
        <w:spacing w:line="240" w:lineRule="auto"/>
        <w:ind w:firstLine="0"/>
      </w:pPr>
    </w:p>
    <w:p w:rsidR="0074015C" w:rsidRPr="00001309" w:rsidRDefault="00F73D5C" w:rsidP="00132658">
      <w:pPr>
        <w:autoSpaceDE w:val="0"/>
        <w:autoSpaceDN w:val="0"/>
        <w:adjustRightInd w:val="0"/>
        <w:spacing w:line="240" w:lineRule="auto"/>
        <w:ind w:left="1728" w:right="1440" w:hanging="288"/>
        <w:rPr>
          <w:sz w:val="26"/>
          <w:szCs w:val="26"/>
        </w:rPr>
      </w:pPr>
      <w:r w:rsidRPr="00001309">
        <w:rPr>
          <w:rFonts w:ascii="Arial Nova" w:hAnsi="Arial Nova"/>
          <w:sz w:val="26"/>
          <w:szCs w:val="26"/>
        </w:rPr>
        <w:t>•</w:t>
      </w:r>
      <w:r w:rsidR="00F67494" w:rsidRPr="00001309">
        <w:rPr>
          <w:rFonts w:ascii="Arial Nova" w:hAnsi="Arial Nova"/>
          <w:sz w:val="26"/>
          <w:szCs w:val="26"/>
        </w:rPr>
        <w:t xml:space="preserve"> </w:t>
      </w:r>
      <w:r w:rsidR="0074015C" w:rsidRPr="00001309">
        <w:rPr>
          <w:sz w:val="26"/>
          <w:szCs w:val="26"/>
        </w:rPr>
        <w:t xml:space="preserve">“[Blue Pilot’s sales agent] told me that I would save a[t] least 2 cents a [k]W[h] and that would amount to a substantial saving[s] for me </w:t>
      </w:r>
      <w:r w:rsidR="00F67494" w:rsidRPr="00001309">
        <w:rPr>
          <w:sz w:val="26"/>
          <w:szCs w:val="26"/>
        </w:rPr>
        <w:t xml:space="preserve">. . . </w:t>
      </w:r>
      <w:r w:rsidR="0074015C" w:rsidRPr="00001309">
        <w:rPr>
          <w:sz w:val="26"/>
          <w:szCs w:val="26"/>
        </w:rPr>
        <w:t xml:space="preserve">” Mr. Bishop was charged 44.9 </w:t>
      </w:r>
      <w:r w:rsidR="0074015C" w:rsidRPr="00001309">
        <w:rPr>
          <w:sz w:val="26"/>
          <w:szCs w:val="26"/>
        </w:rPr>
        <w:lastRenderedPageBreak/>
        <w:t xml:space="preserve">cents/kWh. </w:t>
      </w:r>
      <w:r w:rsidR="00483601" w:rsidRPr="00001309">
        <w:rPr>
          <w:sz w:val="26"/>
          <w:szCs w:val="26"/>
          <w:u w:val="single"/>
        </w:rPr>
        <w:t>See</w:t>
      </w:r>
      <w:r w:rsidR="0074015C" w:rsidRPr="00001309">
        <w:rPr>
          <w:sz w:val="26"/>
          <w:szCs w:val="26"/>
        </w:rPr>
        <w:t xml:space="preserve"> Consumer Testimony of Robert W. Bishop at 100 and Exh. RWB-1.</w:t>
      </w:r>
    </w:p>
    <w:p w:rsidR="0074015C" w:rsidRPr="00001309" w:rsidRDefault="0074015C" w:rsidP="0074015C">
      <w:pPr>
        <w:autoSpaceDE w:val="0"/>
        <w:autoSpaceDN w:val="0"/>
        <w:adjustRightInd w:val="0"/>
        <w:spacing w:line="240" w:lineRule="auto"/>
        <w:ind w:left="1440" w:right="1440" w:firstLine="0"/>
        <w:rPr>
          <w:sz w:val="26"/>
          <w:szCs w:val="26"/>
        </w:rPr>
      </w:pPr>
    </w:p>
    <w:p w:rsidR="0074015C" w:rsidRPr="00001309" w:rsidRDefault="00132658" w:rsidP="00F67494">
      <w:pPr>
        <w:autoSpaceDE w:val="0"/>
        <w:autoSpaceDN w:val="0"/>
        <w:adjustRightInd w:val="0"/>
        <w:spacing w:line="240" w:lineRule="auto"/>
        <w:ind w:left="1584" w:right="1440" w:hanging="144"/>
        <w:rPr>
          <w:sz w:val="26"/>
          <w:szCs w:val="26"/>
        </w:rPr>
      </w:pPr>
      <w:r w:rsidRPr="00001309">
        <w:rPr>
          <w:rFonts w:ascii="Arial Nova" w:hAnsi="Arial Nova"/>
          <w:sz w:val="26"/>
          <w:szCs w:val="26"/>
        </w:rPr>
        <w:t>•</w:t>
      </w:r>
      <w:r w:rsidR="0074015C" w:rsidRPr="00001309">
        <w:rPr>
          <w:sz w:val="26"/>
          <w:szCs w:val="26"/>
        </w:rPr>
        <w:t xml:space="preserve"> “I was told by Blue Pilot that I would </w:t>
      </w:r>
      <w:r w:rsidR="00957812" w:rsidRPr="00001309">
        <w:rPr>
          <w:sz w:val="26"/>
          <w:szCs w:val="26"/>
        </w:rPr>
        <w:t xml:space="preserve">. . . </w:t>
      </w:r>
      <w:r w:rsidR="0074015C" w:rsidRPr="00001309">
        <w:rPr>
          <w:sz w:val="26"/>
          <w:szCs w:val="26"/>
        </w:rPr>
        <w:t xml:space="preserve"> save </w:t>
      </w:r>
      <w:proofErr w:type="spellStart"/>
      <w:r w:rsidR="0074015C" w:rsidRPr="00001309">
        <w:rPr>
          <w:sz w:val="26"/>
          <w:szCs w:val="26"/>
        </w:rPr>
        <w:t>alot</w:t>
      </w:r>
      <w:proofErr w:type="spellEnd"/>
      <w:r w:rsidR="0074015C" w:rsidRPr="00001309">
        <w:rPr>
          <w:sz w:val="26"/>
          <w:szCs w:val="26"/>
        </w:rPr>
        <w:t xml:space="preserve"> (sic) going with them. </w:t>
      </w:r>
      <w:r w:rsidR="00957812" w:rsidRPr="00001309">
        <w:rPr>
          <w:sz w:val="26"/>
          <w:szCs w:val="26"/>
        </w:rPr>
        <w:t xml:space="preserve"> </w:t>
      </w:r>
      <w:r w:rsidR="0074015C" w:rsidRPr="00001309">
        <w:rPr>
          <w:sz w:val="26"/>
          <w:szCs w:val="26"/>
        </w:rPr>
        <w:t xml:space="preserve">I ended up paying 46.9 cents per kWh.” </w:t>
      </w:r>
      <w:r w:rsidR="00957812" w:rsidRPr="00001309">
        <w:rPr>
          <w:sz w:val="26"/>
          <w:szCs w:val="26"/>
        </w:rPr>
        <w:t xml:space="preserve"> </w:t>
      </w:r>
      <w:r w:rsidR="00483601" w:rsidRPr="00001309">
        <w:rPr>
          <w:sz w:val="26"/>
          <w:szCs w:val="26"/>
          <w:u w:val="single"/>
        </w:rPr>
        <w:t>See</w:t>
      </w:r>
      <w:r w:rsidR="0074015C" w:rsidRPr="00001309">
        <w:rPr>
          <w:sz w:val="26"/>
          <w:szCs w:val="26"/>
        </w:rPr>
        <w:t xml:space="preserve"> Consumer Testimony of Betty Ellis at 96. </w:t>
      </w:r>
    </w:p>
    <w:p w:rsidR="0074015C" w:rsidRPr="00001309" w:rsidRDefault="0074015C" w:rsidP="00F67494">
      <w:pPr>
        <w:autoSpaceDE w:val="0"/>
        <w:autoSpaceDN w:val="0"/>
        <w:adjustRightInd w:val="0"/>
        <w:spacing w:line="240" w:lineRule="auto"/>
        <w:ind w:left="1584" w:right="1440" w:hanging="144"/>
        <w:rPr>
          <w:sz w:val="26"/>
          <w:szCs w:val="26"/>
        </w:rPr>
      </w:pPr>
    </w:p>
    <w:p w:rsidR="0074015C" w:rsidRPr="00001309" w:rsidRDefault="00132658" w:rsidP="00F67494">
      <w:pPr>
        <w:autoSpaceDE w:val="0"/>
        <w:autoSpaceDN w:val="0"/>
        <w:adjustRightInd w:val="0"/>
        <w:spacing w:line="240" w:lineRule="auto"/>
        <w:ind w:left="1584" w:right="1440" w:hanging="144"/>
        <w:rPr>
          <w:sz w:val="26"/>
          <w:szCs w:val="26"/>
        </w:rPr>
      </w:pPr>
      <w:r w:rsidRPr="00001309">
        <w:rPr>
          <w:rFonts w:ascii="Arial Nova" w:hAnsi="Arial Nova"/>
          <w:sz w:val="26"/>
          <w:szCs w:val="26"/>
        </w:rPr>
        <w:t>•</w:t>
      </w:r>
      <w:r w:rsidR="0074015C" w:rsidRPr="00001309">
        <w:rPr>
          <w:sz w:val="26"/>
          <w:szCs w:val="26"/>
        </w:rPr>
        <w:t xml:space="preserve"> “The [Blue Pilot] sales person said the new rate after 60 days would be [a] competitive rate. </w:t>
      </w:r>
      <w:r w:rsidR="00957812" w:rsidRPr="00001309">
        <w:rPr>
          <w:sz w:val="26"/>
          <w:szCs w:val="26"/>
        </w:rPr>
        <w:t xml:space="preserve"> </w:t>
      </w:r>
      <w:r w:rsidR="0074015C" w:rsidRPr="00001309">
        <w:rPr>
          <w:sz w:val="26"/>
          <w:szCs w:val="26"/>
        </w:rPr>
        <w:t xml:space="preserve">That never happened!” </w:t>
      </w:r>
      <w:r w:rsidR="00957812" w:rsidRPr="00001309">
        <w:rPr>
          <w:sz w:val="26"/>
          <w:szCs w:val="26"/>
        </w:rPr>
        <w:t xml:space="preserve"> </w:t>
      </w:r>
      <w:r w:rsidR="00483601" w:rsidRPr="00001309">
        <w:rPr>
          <w:sz w:val="26"/>
          <w:szCs w:val="26"/>
          <w:u w:val="single"/>
        </w:rPr>
        <w:t>See</w:t>
      </w:r>
      <w:r w:rsidR="0074015C" w:rsidRPr="00001309">
        <w:rPr>
          <w:sz w:val="26"/>
          <w:szCs w:val="26"/>
        </w:rPr>
        <w:t xml:space="preserve"> Consumer Testimony of Dennis Frey at 391.</w:t>
      </w:r>
    </w:p>
    <w:p w:rsidR="0074015C" w:rsidRPr="00001309" w:rsidRDefault="0074015C" w:rsidP="00F67494">
      <w:pPr>
        <w:autoSpaceDE w:val="0"/>
        <w:autoSpaceDN w:val="0"/>
        <w:adjustRightInd w:val="0"/>
        <w:spacing w:line="240" w:lineRule="auto"/>
        <w:ind w:left="1584" w:right="1440" w:hanging="144"/>
        <w:rPr>
          <w:sz w:val="26"/>
          <w:szCs w:val="26"/>
        </w:rPr>
      </w:pPr>
    </w:p>
    <w:p w:rsidR="0074015C" w:rsidRPr="00001309" w:rsidRDefault="00132658" w:rsidP="00F67494">
      <w:pPr>
        <w:autoSpaceDE w:val="0"/>
        <w:autoSpaceDN w:val="0"/>
        <w:adjustRightInd w:val="0"/>
        <w:spacing w:line="240" w:lineRule="auto"/>
        <w:ind w:left="1584" w:right="1440" w:hanging="144"/>
        <w:rPr>
          <w:sz w:val="26"/>
          <w:szCs w:val="26"/>
        </w:rPr>
      </w:pPr>
      <w:r w:rsidRPr="00001309">
        <w:rPr>
          <w:rFonts w:ascii="Arial Nova" w:hAnsi="Arial Nova"/>
          <w:sz w:val="26"/>
          <w:szCs w:val="26"/>
        </w:rPr>
        <w:t>•</w:t>
      </w:r>
      <w:r w:rsidR="0074015C" w:rsidRPr="00001309">
        <w:rPr>
          <w:sz w:val="26"/>
          <w:szCs w:val="26"/>
        </w:rPr>
        <w:t xml:space="preserve"> “[T]he price would save me money </w:t>
      </w:r>
      <w:r w:rsidR="00957812" w:rsidRPr="00001309">
        <w:rPr>
          <w:sz w:val="26"/>
          <w:szCs w:val="26"/>
        </w:rPr>
        <w:t xml:space="preserve">. . . </w:t>
      </w:r>
      <w:r w:rsidR="0074015C" w:rsidRPr="00001309">
        <w:rPr>
          <w:sz w:val="26"/>
          <w:szCs w:val="26"/>
        </w:rPr>
        <w:t xml:space="preserve">” </w:t>
      </w:r>
      <w:r w:rsidR="00483601" w:rsidRPr="00001309">
        <w:rPr>
          <w:sz w:val="26"/>
          <w:szCs w:val="26"/>
          <w:u w:val="single"/>
        </w:rPr>
        <w:t>See</w:t>
      </w:r>
      <w:r w:rsidR="0074015C" w:rsidRPr="00001309">
        <w:rPr>
          <w:sz w:val="26"/>
          <w:szCs w:val="26"/>
        </w:rPr>
        <w:t xml:space="preserve"> Consumer Testimony of Tammy M. Giles at 512.</w:t>
      </w:r>
    </w:p>
    <w:p w:rsidR="0074015C" w:rsidRPr="00001309" w:rsidRDefault="0074015C" w:rsidP="00F67494">
      <w:pPr>
        <w:autoSpaceDE w:val="0"/>
        <w:autoSpaceDN w:val="0"/>
        <w:adjustRightInd w:val="0"/>
        <w:spacing w:line="240" w:lineRule="auto"/>
        <w:ind w:left="1584" w:right="1440" w:hanging="144"/>
        <w:rPr>
          <w:sz w:val="26"/>
          <w:szCs w:val="26"/>
        </w:rPr>
      </w:pPr>
    </w:p>
    <w:p w:rsidR="0074015C" w:rsidRPr="00001309" w:rsidRDefault="00132658" w:rsidP="00F67494">
      <w:pPr>
        <w:autoSpaceDE w:val="0"/>
        <w:autoSpaceDN w:val="0"/>
        <w:adjustRightInd w:val="0"/>
        <w:spacing w:line="240" w:lineRule="auto"/>
        <w:ind w:left="1584" w:right="1440" w:hanging="144"/>
        <w:rPr>
          <w:sz w:val="26"/>
          <w:szCs w:val="26"/>
        </w:rPr>
      </w:pPr>
      <w:r w:rsidRPr="00001309">
        <w:rPr>
          <w:rFonts w:ascii="Arial Nova" w:hAnsi="Arial Nova"/>
          <w:sz w:val="26"/>
          <w:szCs w:val="26"/>
        </w:rPr>
        <w:t>•</w:t>
      </w:r>
      <w:r w:rsidR="0074015C" w:rsidRPr="00001309">
        <w:rPr>
          <w:sz w:val="26"/>
          <w:szCs w:val="26"/>
        </w:rPr>
        <w:t xml:space="preserve"> Mr. Bekele testified that Blue Pilot “promised a very low rate” and that he understood that Blue Pilot[‘]s [rate] would never exceed the rate of PPL.” </w:t>
      </w:r>
      <w:r w:rsidR="00957812" w:rsidRPr="00001309">
        <w:rPr>
          <w:sz w:val="26"/>
          <w:szCs w:val="26"/>
        </w:rPr>
        <w:t xml:space="preserve"> </w:t>
      </w:r>
      <w:r w:rsidR="00483601" w:rsidRPr="00001309">
        <w:rPr>
          <w:sz w:val="26"/>
          <w:szCs w:val="26"/>
          <w:u w:val="single"/>
        </w:rPr>
        <w:t>See</w:t>
      </w:r>
      <w:r w:rsidR="0074015C" w:rsidRPr="00001309">
        <w:rPr>
          <w:sz w:val="26"/>
          <w:szCs w:val="26"/>
        </w:rPr>
        <w:t xml:space="preserve"> Consumer Testimony of </w:t>
      </w:r>
      <w:proofErr w:type="spellStart"/>
      <w:r w:rsidR="0074015C" w:rsidRPr="00001309">
        <w:rPr>
          <w:sz w:val="26"/>
          <w:szCs w:val="26"/>
        </w:rPr>
        <w:t>Tamrat</w:t>
      </w:r>
      <w:proofErr w:type="spellEnd"/>
      <w:r w:rsidR="0074015C" w:rsidRPr="00001309">
        <w:rPr>
          <w:sz w:val="26"/>
          <w:szCs w:val="26"/>
        </w:rPr>
        <w:t xml:space="preserve"> Bekele at 85.</w:t>
      </w:r>
    </w:p>
    <w:p w:rsidR="0074015C" w:rsidRPr="00001309" w:rsidRDefault="0074015C" w:rsidP="00F67494">
      <w:pPr>
        <w:autoSpaceDE w:val="0"/>
        <w:autoSpaceDN w:val="0"/>
        <w:adjustRightInd w:val="0"/>
        <w:spacing w:line="240" w:lineRule="auto"/>
        <w:ind w:left="1584" w:right="1440" w:hanging="144"/>
        <w:rPr>
          <w:sz w:val="26"/>
          <w:szCs w:val="26"/>
        </w:rPr>
      </w:pPr>
    </w:p>
    <w:p w:rsidR="0074015C" w:rsidRPr="00001309" w:rsidRDefault="00132658" w:rsidP="00F67494">
      <w:pPr>
        <w:autoSpaceDE w:val="0"/>
        <w:autoSpaceDN w:val="0"/>
        <w:adjustRightInd w:val="0"/>
        <w:spacing w:line="240" w:lineRule="auto"/>
        <w:ind w:left="1584" w:right="1440" w:hanging="144"/>
        <w:rPr>
          <w:sz w:val="26"/>
          <w:szCs w:val="26"/>
        </w:rPr>
      </w:pPr>
      <w:r w:rsidRPr="00001309">
        <w:rPr>
          <w:rFonts w:ascii="Arial Nova" w:hAnsi="Arial Nova"/>
          <w:sz w:val="26"/>
          <w:szCs w:val="26"/>
        </w:rPr>
        <w:t>•</w:t>
      </w:r>
      <w:r w:rsidR="0074015C" w:rsidRPr="00001309">
        <w:rPr>
          <w:sz w:val="26"/>
          <w:szCs w:val="26"/>
        </w:rPr>
        <w:t xml:space="preserve"> Mr. VanHorn understood that Blue Pilot’s rate would be fixed at a price lower than West Penn Power and Blue Pilot </w:t>
      </w:r>
      <w:r w:rsidR="00682A07" w:rsidRPr="00001309">
        <w:rPr>
          <w:sz w:val="26"/>
          <w:szCs w:val="26"/>
        </w:rPr>
        <w:t>wou</w:t>
      </w:r>
      <w:r w:rsidR="0074015C" w:rsidRPr="00001309">
        <w:rPr>
          <w:sz w:val="26"/>
          <w:szCs w:val="26"/>
        </w:rPr>
        <w:t xml:space="preserve">ld charge that rate indefinitely. </w:t>
      </w:r>
      <w:r w:rsidR="00957812" w:rsidRPr="00001309">
        <w:rPr>
          <w:sz w:val="26"/>
          <w:szCs w:val="26"/>
        </w:rPr>
        <w:t xml:space="preserve"> </w:t>
      </w:r>
      <w:r w:rsidR="00483601" w:rsidRPr="00001309">
        <w:rPr>
          <w:sz w:val="26"/>
          <w:szCs w:val="26"/>
          <w:u w:val="single"/>
        </w:rPr>
        <w:t>See</w:t>
      </w:r>
      <w:r w:rsidR="0074015C" w:rsidRPr="00001309">
        <w:rPr>
          <w:sz w:val="26"/>
          <w:szCs w:val="26"/>
        </w:rPr>
        <w:t xml:space="preserve"> Consumer Testimony of Jeffrey VanHorn at 387.</w:t>
      </w:r>
    </w:p>
    <w:p w:rsidR="00682A07" w:rsidRPr="00001309" w:rsidRDefault="00682A07" w:rsidP="00F67494">
      <w:pPr>
        <w:autoSpaceDE w:val="0"/>
        <w:autoSpaceDN w:val="0"/>
        <w:adjustRightInd w:val="0"/>
        <w:spacing w:line="240" w:lineRule="auto"/>
        <w:ind w:left="1584" w:right="1440" w:hanging="144"/>
        <w:rPr>
          <w:sz w:val="26"/>
          <w:szCs w:val="26"/>
        </w:rPr>
      </w:pPr>
    </w:p>
    <w:p w:rsidR="0074015C" w:rsidRPr="00001309" w:rsidRDefault="00A550CD" w:rsidP="00F67494">
      <w:pPr>
        <w:autoSpaceDE w:val="0"/>
        <w:autoSpaceDN w:val="0"/>
        <w:adjustRightInd w:val="0"/>
        <w:spacing w:line="240" w:lineRule="auto"/>
        <w:ind w:left="1584" w:right="1440" w:hanging="144"/>
        <w:rPr>
          <w:sz w:val="26"/>
          <w:szCs w:val="26"/>
        </w:rPr>
      </w:pPr>
      <w:r w:rsidRPr="00001309">
        <w:rPr>
          <w:rFonts w:ascii="Arial Nova" w:hAnsi="Arial Nova"/>
          <w:sz w:val="26"/>
          <w:szCs w:val="26"/>
        </w:rPr>
        <w:t>•</w:t>
      </w:r>
      <w:r w:rsidR="0074015C" w:rsidRPr="00001309">
        <w:rPr>
          <w:sz w:val="26"/>
          <w:szCs w:val="26"/>
        </w:rPr>
        <w:t xml:space="preserve"> Mr. Estvanik believed that Blue Pilot would charge a rate “lower than West Penn [Power] </w:t>
      </w:r>
      <w:r w:rsidR="00957812" w:rsidRPr="00001309">
        <w:rPr>
          <w:sz w:val="26"/>
          <w:szCs w:val="26"/>
        </w:rPr>
        <w:t xml:space="preserve">. . . </w:t>
      </w:r>
      <w:r w:rsidR="0074015C" w:rsidRPr="00001309">
        <w:rPr>
          <w:sz w:val="26"/>
          <w:szCs w:val="26"/>
        </w:rPr>
        <w:t xml:space="preserve"> Forever as long as I was signed up with them.” </w:t>
      </w:r>
      <w:r w:rsidR="00483601" w:rsidRPr="00001309">
        <w:rPr>
          <w:sz w:val="26"/>
          <w:szCs w:val="26"/>
          <w:u w:val="single"/>
        </w:rPr>
        <w:t>See</w:t>
      </w:r>
      <w:r w:rsidR="0074015C" w:rsidRPr="00001309">
        <w:rPr>
          <w:sz w:val="26"/>
          <w:szCs w:val="26"/>
        </w:rPr>
        <w:t xml:space="preserve"> Consumer Testimony of Dennis</w:t>
      </w:r>
      <w:r w:rsidR="00957812" w:rsidRPr="00001309">
        <w:rPr>
          <w:sz w:val="26"/>
          <w:szCs w:val="26"/>
        </w:rPr>
        <w:t> </w:t>
      </w:r>
      <w:r w:rsidR="0074015C" w:rsidRPr="00001309">
        <w:rPr>
          <w:sz w:val="26"/>
          <w:szCs w:val="26"/>
        </w:rPr>
        <w:t>M.</w:t>
      </w:r>
      <w:r w:rsidR="00957812" w:rsidRPr="00001309">
        <w:rPr>
          <w:sz w:val="26"/>
          <w:szCs w:val="26"/>
        </w:rPr>
        <w:t> </w:t>
      </w:r>
      <w:r w:rsidR="0074015C" w:rsidRPr="00001309">
        <w:rPr>
          <w:sz w:val="26"/>
          <w:szCs w:val="26"/>
        </w:rPr>
        <w:t xml:space="preserve">Estvanik at 508. </w:t>
      </w:r>
    </w:p>
    <w:p w:rsidR="0074015C" w:rsidRPr="00001309" w:rsidRDefault="0074015C" w:rsidP="00F67494">
      <w:pPr>
        <w:autoSpaceDE w:val="0"/>
        <w:autoSpaceDN w:val="0"/>
        <w:adjustRightInd w:val="0"/>
        <w:spacing w:line="240" w:lineRule="auto"/>
        <w:ind w:left="1584" w:right="1440" w:hanging="144"/>
        <w:rPr>
          <w:sz w:val="26"/>
          <w:szCs w:val="26"/>
        </w:rPr>
      </w:pPr>
    </w:p>
    <w:p w:rsidR="0074015C" w:rsidRPr="00001309" w:rsidRDefault="00132658" w:rsidP="00F67494">
      <w:pPr>
        <w:autoSpaceDE w:val="0"/>
        <w:autoSpaceDN w:val="0"/>
        <w:adjustRightInd w:val="0"/>
        <w:spacing w:line="240" w:lineRule="auto"/>
        <w:ind w:left="1584" w:right="1440" w:hanging="144"/>
        <w:rPr>
          <w:sz w:val="26"/>
          <w:szCs w:val="26"/>
        </w:rPr>
      </w:pPr>
      <w:r w:rsidRPr="00001309">
        <w:rPr>
          <w:rFonts w:ascii="Arial Nova" w:hAnsi="Arial Nova"/>
          <w:sz w:val="26"/>
          <w:szCs w:val="26"/>
        </w:rPr>
        <w:t>•</w:t>
      </w:r>
      <w:r w:rsidR="0074015C" w:rsidRPr="00001309">
        <w:rPr>
          <w:sz w:val="26"/>
          <w:szCs w:val="26"/>
        </w:rPr>
        <w:t xml:space="preserve"> Mr. Wranitz understood that his rates would change “but never by much” and his rate would “always be less than PPL.” </w:t>
      </w:r>
      <w:r w:rsidR="00A04FD4" w:rsidRPr="00001309">
        <w:rPr>
          <w:sz w:val="26"/>
          <w:szCs w:val="26"/>
        </w:rPr>
        <w:t xml:space="preserve"> </w:t>
      </w:r>
      <w:r w:rsidR="00483601" w:rsidRPr="00001309">
        <w:rPr>
          <w:sz w:val="26"/>
          <w:szCs w:val="26"/>
          <w:u w:val="single"/>
        </w:rPr>
        <w:t>See</w:t>
      </w:r>
      <w:r w:rsidR="0074015C" w:rsidRPr="00001309">
        <w:rPr>
          <w:sz w:val="26"/>
          <w:szCs w:val="26"/>
        </w:rPr>
        <w:t xml:space="preserve"> Consumer Testimony of William Wranitz at 291. </w:t>
      </w:r>
    </w:p>
    <w:p w:rsidR="0074015C" w:rsidRPr="00001309" w:rsidRDefault="0074015C" w:rsidP="00F67494">
      <w:pPr>
        <w:autoSpaceDE w:val="0"/>
        <w:autoSpaceDN w:val="0"/>
        <w:adjustRightInd w:val="0"/>
        <w:spacing w:line="240" w:lineRule="auto"/>
        <w:ind w:left="1584" w:right="1440" w:hanging="144"/>
        <w:rPr>
          <w:sz w:val="26"/>
          <w:szCs w:val="26"/>
        </w:rPr>
      </w:pPr>
    </w:p>
    <w:p w:rsidR="0074015C" w:rsidRPr="00001309" w:rsidRDefault="00132658" w:rsidP="00F67494">
      <w:pPr>
        <w:autoSpaceDE w:val="0"/>
        <w:autoSpaceDN w:val="0"/>
        <w:adjustRightInd w:val="0"/>
        <w:spacing w:line="240" w:lineRule="auto"/>
        <w:ind w:left="1584" w:right="1440" w:hanging="144"/>
        <w:rPr>
          <w:sz w:val="26"/>
          <w:szCs w:val="26"/>
        </w:rPr>
      </w:pPr>
      <w:r w:rsidRPr="00001309">
        <w:rPr>
          <w:rFonts w:ascii="Arial Nova" w:hAnsi="Arial Nova"/>
          <w:sz w:val="26"/>
          <w:szCs w:val="26"/>
        </w:rPr>
        <w:t>•</w:t>
      </w:r>
      <w:r w:rsidR="0074015C" w:rsidRPr="00001309">
        <w:rPr>
          <w:sz w:val="26"/>
          <w:szCs w:val="26"/>
        </w:rPr>
        <w:t xml:space="preserve"> Ms. Kennedy testified that a Blue Pilot sales agent locked her into 7.5 cents per kWh and “[the agent] would call to re-evaluate” the price “to keep me happy” and “so that she always could save me money.” </w:t>
      </w:r>
      <w:r w:rsidR="00A04FD4" w:rsidRPr="00001309">
        <w:rPr>
          <w:sz w:val="26"/>
          <w:szCs w:val="26"/>
        </w:rPr>
        <w:t xml:space="preserve"> </w:t>
      </w:r>
      <w:r w:rsidR="00483601" w:rsidRPr="00001309">
        <w:rPr>
          <w:sz w:val="26"/>
          <w:szCs w:val="26"/>
          <w:u w:val="single"/>
        </w:rPr>
        <w:t>See</w:t>
      </w:r>
      <w:r w:rsidR="0074015C" w:rsidRPr="00001309">
        <w:rPr>
          <w:sz w:val="26"/>
          <w:szCs w:val="26"/>
        </w:rPr>
        <w:t xml:space="preserve"> Consumer Testimony of Sherri Kennedy at 2 and N.T. 547.</w:t>
      </w:r>
    </w:p>
    <w:p w:rsidR="0074015C" w:rsidRPr="00001309" w:rsidRDefault="0074015C" w:rsidP="00F67494">
      <w:pPr>
        <w:autoSpaceDE w:val="0"/>
        <w:autoSpaceDN w:val="0"/>
        <w:adjustRightInd w:val="0"/>
        <w:spacing w:line="240" w:lineRule="auto"/>
        <w:ind w:left="1584" w:right="1440" w:hanging="144"/>
        <w:rPr>
          <w:sz w:val="26"/>
          <w:szCs w:val="26"/>
        </w:rPr>
      </w:pPr>
    </w:p>
    <w:p w:rsidR="0074015C" w:rsidRPr="00001309" w:rsidRDefault="00132658" w:rsidP="00F67494">
      <w:pPr>
        <w:autoSpaceDE w:val="0"/>
        <w:autoSpaceDN w:val="0"/>
        <w:adjustRightInd w:val="0"/>
        <w:spacing w:line="240" w:lineRule="auto"/>
        <w:ind w:left="1584" w:right="1440" w:hanging="144"/>
        <w:rPr>
          <w:sz w:val="26"/>
          <w:szCs w:val="26"/>
        </w:rPr>
      </w:pPr>
      <w:r w:rsidRPr="00001309">
        <w:rPr>
          <w:rFonts w:ascii="Arial Nova" w:hAnsi="Arial Nova"/>
          <w:sz w:val="26"/>
          <w:szCs w:val="26"/>
        </w:rPr>
        <w:t>•</w:t>
      </w:r>
      <w:r w:rsidR="0074015C" w:rsidRPr="00001309">
        <w:rPr>
          <w:sz w:val="26"/>
          <w:szCs w:val="26"/>
        </w:rPr>
        <w:t xml:space="preserve"> Mr. Cassel testified that he signed up with Blue Pilot in June 2012 at a fixed rate of 6.75 cents per kWh “and then the price </w:t>
      </w:r>
      <w:r w:rsidR="0074015C" w:rsidRPr="00001309">
        <w:rPr>
          <w:sz w:val="26"/>
          <w:szCs w:val="26"/>
        </w:rPr>
        <w:lastRenderedPageBreak/>
        <w:t xml:space="preserve">would fluctuate according to market rates.” </w:t>
      </w:r>
      <w:r w:rsidR="00A04FD4" w:rsidRPr="00001309">
        <w:rPr>
          <w:sz w:val="26"/>
          <w:szCs w:val="26"/>
        </w:rPr>
        <w:t xml:space="preserve"> </w:t>
      </w:r>
      <w:r w:rsidR="00483601" w:rsidRPr="00001309">
        <w:rPr>
          <w:sz w:val="26"/>
          <w:szCs w:val="26"/>
          <w:u w:val="single"/>
        </w:rPr>
        <w:t>See</w:t>
      </w:r>
      <w:r w:rsidR="0074015C" w:rsidRPr="00001309">
        <w:rPr>
          <w:sz w:val="26"/>
          <w:szCs w:val="26"/>
        </w:rPr>
        <w:t xml:space="preserve"> Consumer Testimony of John J. Cassel at 574.</w:t>
      </w:r>
    </w:p>
    <w:p w:rsidR="0074015C" w:rsidRPr="00001309" w:rsidRDefault="0074015C" w:rsidP="00F67494">
      <w:pPr>
        <w:autoSpaceDE w:val="0"/>
        <w:autoSpaceDN w:val="0"/>
        <w:adjustRightInd w:val="0"/>
        <w:spacing w:line="240" w:lineRule="auto"/>
        <w:ind w:left="1584" w:right="1440" w:hanging="144"/>
        <w:rPr>
          <w:sz w:val="26"/>
          <w:szCs w:val="26"/>
        </w:rPr>
      </w:pPr>
    </w:p>
    <w:p w:rsidR="0074015C" w:rsidRPr="00001309" w:rsidRDefault="00132658" w:rsidP="00F67494">
      <w:pPr>
        <w:autoSpaceDE w:val="0"/>
        <w:autoSpaceDN w:val="0"/>
        <w:adjustRightInd w:val="0"/>
        <w:spacing w:line="240" w:lineRule="auto"/>
        <w:ind w:left="1584" w:right="1440" w:hanging="144"/>
        <w:rPr>
          <w:sz w:val="26"/>
          <w:szCs w:val="26"/>
        </w:rPr>
      </w:pPr>
      <w:r w:rsidRPr="00001309">
        <w:rPr>
          <w:rFonts w:ascii="Arial Nova" w:hAnsi="Arial Nova"/>
          <w:sz w:val="26"/>
          <w:szCs w:val="26"/>
        </w:rPr>
        <w:t>•</w:t>
      </w:r>
      <w:r w:rsidR="0074015C" w:rsidRPr="00001309">
        <w:rPr>
          <w:sz w:val="26"/>
          <w:szCs w:val="26"/>
        </w:rPr>
        <w:t xml:space="preserve"> The Quinns understood that the rates would remain competitive with other suppliers.</w:t>
      </w:r>
      <w:r w:rsidR="00A04FD4" w:rsidRPr="00001309">
        <w:rPr>
          <w:sz w:val="26"/>
          <w:szCs w:val="26"/>
        </w:rPr>
        <w:t xml:space="preserve"> </w:t>
      </w:r>
      <w:r w:rsidR="0074015C" w:rsidRPr="00001309">
        <w:rPr>
          <w:sz w:val="26"/>
          <w:szCs w:val="26"/>
        </w:rPr>
        <w:t xml:space="preserve"> </w:t>
      </w:r>
      <w:r w:rsidR="00483601" w:rsidRPr="00001309">
        <w:rPr>
          <w:sz w:val="26"/>
          <w:szCs w:val="26"/>
          <w:u w:val="single"/>
        </w:rPr>
        <w:t>See</w:t>
      </w:r>
      <w:r w:rsidR="0074015C" w:rsidRPr="00001309">
        <w:rPr>
          <w:sz w:val="26"/>
          <w:szCs w:val="26"/>
        </w:rPr>
        <w:t xml:space="preserve"> Consumer Testimony of Tom &amp; Amy Quinn at 299 and N.T. 304-6.</w:t>
      </w:r>
    </w:p>
    <w:p w:rsidR="0074015C" w:rsidRPr="00001309" w:rsidRDefault="0074015C" w:rsidP="00F67494">
      <w:pPr>
        <w:autoSpaceDE w:val="0"/>
        <w:autoSpaceDN w:val="0"/>
        <w:adjustRightInd w:val="0"/>
        <w:spacing w:line="240" w:lineRule="auto"/>
        <w:ind w:left="1584" w:right="1440" w:hanging="144"/>
        <w:rPr>
          <w:sz w:val="26"/>
          <w:szCs w:val="26"/>
        </w:rPr>
      </w:pPr>
    </w:p>
    <w:p w:rsidR="00682A07" w:rsidRPr="00001309" w:rsidRDefault="00132658" w:rsidP="00F67494">
      <w:pPr>
        <w:autoSpaceDE w:val="0"/>
        <w:autoSpaceDN w:val="0"/>
        <w:adjustRightInd w:val="0"/>
        <w:spacing w:line="240" w:lineRule="auto"/>
        <w:ind w:left="1584" w:right="1440" w:hanging="144"/>
        <w:rPr>
          <w:sz w:val="26"/>
          <w:szCs w:val="26"/>
        </w:rPr>
      </w:pPr>
      <w:r w:rsidRPr="00001309">
        <w:rPr>
          <w:rFonts w:ascii="Arial Nova" w:hAnsi="Arial Nova"/>
          <w:sz w:val="26"/>
          <w:szCs w:val="26"/>
        </w:rPr>
        <w:t>•</w:t>
      </w:r>
      <w:r w:rsidR="0074015C" w:rsidRPr="00001309">
        <w:rPr>
          <w:sz w:val="26"/>
          <w:szCs w:val="26"/>
        </w:rPr>
        <w:t xml:space="preserve"> Mr. Smith testified that he received a notice from Superior that it had sold its interest to Blue </w:t>
      </w:r>
      <w:proofErr w:type="gramStart"/>
      <w:r w:rsidR="0074015C" w:rsidRPr="00001309">
        <w:rPr>
          <w:sz w:val="26"/>
          <w:szCs w:val="26"/>
        </w:rPr>
        <w:t>Pilot</w:t>
      </w:r>
      <w:proofErr w:type="gramEnd"/>
      <w:r w:rsidR="0074015C" w:rsidRPr="00001309">
        <w:rPr>
          <w:sz w:val="26"/>
          <w:szCs w:val="26"/>
        </w:rPr>
        <w:t xml:space="preserve"> but his terms of service would remain the same and rates would be kept “reasonable to market conditions.” </w:t>
      </w:r>
      <w:r w:rsidR="00483601" w:rsidRPr="00001309">
        <w:rPr>
          <w:sz w:val="26"/>
          <w:szCs w:val="26"/>
          <w:u w:val="single"/>
        </w:rPr>
        <w:t>See</w:t>
      </w:r>
      <w:r w:rsidR="0074015C" w:rsidRPr="00001309">
        <w:rPr>
          <w:sz w:val="26"/>
          <w:szCs w:val="26"/>
        </w:rPr>
        <w:t xml:space="preserve"> Consumer Testimony of William C. Sith at 568. and N.T. 338.</w:t>
      </w:r>
    </w:p>
    <w:p w:rsidR="00682A07" w:rsidRPr="00001309" w:rsidRDefault="00682A07" w:rsidP="00F67494">
      <w:pPr>
        <w:autoSpaceDE w:val="0"/>
        <w:autoSpaceDN w:val="0"/>
        <w:adjustRightInd w:val="0"/>
        <w:spacing w:line="240" w:lineRule="auto"/>
        <w:ind w:left="1584" w:right="1440" w:hanging="144"/>
        <w:rPr>
          <w:sz w:val="26"/>
          <w:szCs w:val="26"/>
        </w:rPr>
      </w:pPr>
    </w:p>
    <w:p w:rsidR="0074015C" w:rsidRPr="00001309" w:rsidRDefault="00132658" w:rsidP="00F67494">
      <w:pPr>
        <w:autoSpaceDE w:val="0"/>
        <w:autoSpaceDN w:val="0"/>
        <w:adjustRightInd w:val="0"/>
        <w:spacing w:line="240" w:lineRule="auto"/>
        <w:ind w:left="1584" w:right="1440" w:hanging="144"/>
        <w:rPr>
          <w:sz w:val="26"/>
          <w:szCs w:val="26"/>
        </w:rPr>
      </w:pPr>
      <w:r w:rsidRPr="00001309">
        <w:rPr>
          <w:rFonts w:ascii="Arial Nova" w:hAnsi="Arial Nova"/>
          <w:sz w:val="26"/>
          <w:szCs w:val="26"/>
        </w:rPr>
        <w:t>•</w:t>
      </w:r>
      <w:r w:rsidR="0074015C" w:rsidRPr="00001309">
        <w:rPr>
          <w:sz w:val="26"/>
          <w:szCs w:val="26"/>
        </w:rPr>
        <w:t xml:space="preserve"> Mr. Brontzman was told he “would save [approximately] 2 cents per kWh from [his] current supplier” </w:t>
      </w:r>
      <w:r w:rsidR="00483601" w:rsidRPr="00001309">
        <w:rPr>
          <w:sz w:val="26"/>
          <w:szCs w:val="26"/>
          <w:u w:val="single"/>
        </w:rPr>
        <w:t>See</w:t>
      </w:r>
      <w:r w:rsidR="0074015C" w:rsidRPr="00001309">
        <w:rPr>
          <w:sz w:val="26"/>
          <w:szCs w:val="26"/>
        </w:rPr>
        <w:t xml:space="preserve"> Consumer Testimony of David Brontzman at 165-66.</w:t>
      </w:r>
    </w:p>
    <w:p w:rsidR="0074015C" w:rsidRPr="00001309" w:rsidRDefault="0074015C" w:rsidP="00F67494">
      <w:pPr>
        <w:autoSpaceDE w:val="0"/>
        <w:autoSpaceDN w:val="0"/>
        <w:adjustRightInd w:val="0"/>
        <w:spacing w:line="240" w:lineRule="auto"/>
        <w:ind w:left="1584" w:right="1440" w:hanging="144"/>
        <w:rPr>
          <w:sz w:val="26"/>
          <w:szCs w:val="26"/>
        </w:rPr>
      </w:pPr>
    </w:p>
    <w:p w:rsidR="0074015C" w:rsidRPr="00001309" w:rsidRDefault="00132658" w:rsidP="00F67494">
      <w:pPr>
        <w:autoSpaceDE w:val="0"/>
        <w:autoSpaceDN w:val="0"/>
        <w:adjustRightInd w:val="0"/>
        <w:spacing w:line="240" w:lineRule="auto"/>
        <w:ind w:left="1584" w:right="1440" w:hanging="144"/>
        <w:rPr>
          <w:sz w:val="26"/>
          <w:szCs w:val="26"/>
        </w:rPr>
      </w:pPr>
      <w:r w:rsidRPr="00001309">
        <w:rPr>
          <w:rFonts w:ascii="Arial Nova" w:hAnsi="Arial Nova"/>
          <w:sz w:val="26"/>
          <w:szCs w:val="26"/>
        </w:rPr>
        <w:t>•</w:t>
      </w:r>
      <w:r w:rsidR="0074015C" w:rsidRPr="00001309">
        <w:rPr>
          <w:sz w:val="26"/>
          <w:szCs w:val="26"/>
        </w:rPr>
        <w:t xml:space="preserve"> Mr. Duke testified that he was “quoted [a] rate for a period of 90 days and then that rate could vary slightly each month.” </w:t>
      </w:r>
      <w:r w:rsidR="00483601" w:rsidRPr="00001309">
        <w:rPr>
          <w:sz w:val="26"/>
          <w:szCs w:val="26"/>
          <w:u w:val="single"/>
        </w:rPr>
        <w:t>See</w:t>
      </w:r>
      <w:r w:rsidR="0074015C" w:rsidRPr="00001309">
        <w:rPr>
          <w:sz w:val="26"/>
          <w:szCs w:val="26"/>
        </w:rPr>
        <w:t xml:space="preserve"> Consumer Testimony of David A. Duke at 504. </w:t>
      </w:r>
    </w:p>
    <w:p w:rsidR="0074015C" w:rsidRPr="00001309" w:rsidRDefault="0074015C" w:rsidP="00F67494">
      <w:pPr>
        <w:autoSpaceDE w:val="0"/>
        <w:autoSpaceDN w:val="0"/>
        <w:adjustRightInd w:val="0"/>
        <w:spacing w:line="240" w:lineRule="auto"/>
        <w:ind w:left="1584" w:right="1440" w:hanging="144"/>
        <w:rPr>
          <w:sz w:val="26"/>
          <w:szCs w:val="26"/>
        </w:rPr>
      </w:pPr>
    </w:p>
    <w:p w:rsidR="0074015C" w:rsidRPr="00001309" w:rsidRDefault="00132658" w:rsidP="00F67494">
      <w:pPr>
        <w:autoSpaceDE w:val="0"/>
        <w:autoSpaceDN w:val="0"/>
        <w:adjustRightInd w:val="0"/>
        <w:spacing w:line="240" w:lineRule="auto"/>
        <w:ind w:left="1584" w:right="1440" w:hanging="144"/>
        <w:rPr>
          <w:sz w:val="26"/>
          <w:szCs w:val="26"/>
        </w:rPr>
      </w:pPr>
      <w:r w:rsidRPr="00001309">
        <w:rPr>
          <w:rFonts w:ascii="Arial Nova" w:hAnsi="Arial Nova"/>
          <w:sz w:val="26"/>
          <w:szCs w:val="26"/>
        </w:rPr>
        <w:t>•</w:t>
      </w:r>
      <w:r w:rsidR="0074015C" w:rsidRPr="00001309">
        <w:rPr>
          <w:sz w:val="26"/>
          <w:szCs w:val="26"/>
        </w:rPr>
        <w:t xml:space="preserve"> Mr. Zablonsky testified that he was “led to believe a slight change may happen if I go with a variable rate.” </w:t>
      </w:r>
      <w:r w:rsidR="00483601" w:rsidRPr="00001309">
        <w:rPr>
          <w:sz w:val="26"/>
          <w:szCs w:val="26"/>
          <w:u w:val="single"/>
        </w:rPr>
        <w:t>See</w:t>
      </w:r>
      <w:r w:rsidR="0074015C" w:rsidRPr="00001309">
        <w:rPr>
          <w:sz w:val="26"/>
          <w:szCs w:val="26"/>
        </w:rPr>
        <w:t xml:space="preserve"> Consumer Testimony of Daniel Zablonsky at 271 and N.T. 477. (Emphasis in original). </w:t>
      </w:r>
    </w:p>
    <w:p w:rsidR="0074015C" w:rsidRPr="00001309" w:rsidRDefault="0074015C" w:rsidP="00F67494">
      <w:pPr>
        <w:autoSpaceDE w:val="0"/>
        <w:autoSpaceDN w:val="0"/>
        <w:adjustRightInd w:val="0"/>
        <w:spacing w:line="240" w:lineRule="auto"/>
        <w:ind w:left="1584" w:right="1440" w:hanging="144"/>
        <w:rPr>
          <w:sz w:val="26"/>
          <w:szCs w:val="26"/>
        </w:rPr>
      </w:pPr>
    </w:p>
    <w:p w:rsidR="0074015C" w:rsidRPr="00001309" w:rsidRDefault="00132658" w:rsidP="00F67494">
      <w:pPr>
        <w:autoSpaceDE w:val="0"/>
        <w:autoSpaceDN w:val="0"/>
        <w:adjustRightInd w:val="0"/>
        <w:spacing w:line="240" w:lineRule="auto"/>
        <w:ind w:left="1584" w:right="1440" w:hanging="144"/>
        <w:rPr>
          <w:sz w:val="26"/>
          <w:szCs w:val="26"/>
        </w:rPr>
      </w:pPr>
      <w:r w:rsidRPr="00001309">
        <w:rPr>
          <w:rFonts w:ascii="Arial Nova" w:hAnsi="Arial Nova"/>
          <w:sz w:val="26"/>
          <w:szCs w:val="26"/>
        </w:rPr>
        <w:t>•</w:t>
      </w:r>
      <w:r w:rsidR="0074015C" w:rsidRPr="00001309">
        <w:rPr>
          <w:sz w:val="26"/>
          <w:szCs w:val="26"/>
        </w:rPr>
        <w:t xml:space="preserve"> Ms. Nentwig testified that she believed her rate with Blue Pilot was fixed for 12 months and then variable “but competitive.” </w:t>
      </w:r>
      <w:r w:rsidR="00483601" w:rsidRPr="00001309">
        <w:rPr>
          <w:sz w:val="26"/>
          <w:szCs w:val="26"/>
          <w:u w:val="single"/>
        </w:rPr>
        <w:t>See</w:t>
      </w:r>
      <w:r w:rsidR="0074015C" w:rsidRPr="00001309">
        <w:rPr>
          <w:sz w:val="26"/>
          <w:szCs w:val="26"/>
        </w:rPr>
        <w:t xml:space="preserve"> Consumer Testimony of Rachel and Charles Nentwig at 466. </w:t>
      </w:r>
    </w:p>
    <w:p w:rsidR="0074015C" w:rsidRPr="00001309" w:rsidRDefault="0074015C" w:rsidP="00F67494">
      <w:pPr>
        <w:autoSpaceDE w:val="0"/>
        <w:autoSpaceDN w:val="0"/>
        <w:adjustRightInd w:val="0"/>
        <w:spacing w:line="240" w:lineRule="auto"/>
        <w:ind w:left="1584" w:right="1440" w:hanging="144"/>
        <w:rPr>
          <w:sz w:val="26"/>
          <w:szCs w:val="26"/>
        </w:rPr>
      </w:pPr>
    </w:p>
    <w:p w:rsidR="0074015C" w:rsidRPr="00001309" w:rsidRDefault="00132658" w:rsidP="00E754D5">
      <w:pPr>
        <w:keepNext/>
        <w:keepLines/>
        <w:autoSpaceDE w:val="0"/>
        <w:autoSpaceDN w:val="0"/>
        <w:adjustRightInd w:val="0"/>
        <w:spacing w:line="240" w:lineRule="auto"/>
        <w:ind w:left="1584" w:right="1440" w:hanging="144"/>
        <w:rPr>
          <w:rFonts w:ascii="Arial Nova" w:hAnsi="Arial Nova"/>
          <w:sz w:val="26"/>
          <w:szCs w:val="26"/>
        </w:rPr>
      </w:pPr>
      <w:r w:rsidRPr="00001309">
        <w:rPr>
          <w:rFonts w:ascii="Arial Nova" w:hAnsi="Arial Nova"/>
          <w:sz w:val="26"/>
          <w:szCs w:val="26"/>
        </w:rPr>
        <w:t>•</w:t>
      </w:r>
      <w:r w:rsidR="0074015C" w:rsidRPr="00001309">
        <w:rPr>
          <w:sz w:val="26"/>
          <w:szCs w:val="26"/>
        </w:rPr>
        <w:t xml:space="preserve"> Ms. Wesley was told by the Blue Pilot sales agent that the “rates would never be higher than [M]et-[E]d.” </w:t>
      </w:r>
      <w:r w:rsidR="00483601" w:rsidRPr="00001309">
        <w:rPr>
          <w:sz w:val="26"/>
          <w:szCs w:val="26"/>
          <w:u w:val="single"/>
        </w:rPr>
        <w:t>See</w:t>
      </w:r>
      <w:r w:rsidR="0074015C" w:rsidRPr="00001309">
        <w:rPr>
          <w:sz w:val="26"/>
          <w:szCs w:val="26"/>
        </w:rPr>
        <w:t xml:space="preserve"> Consumer Testimony of Tracy Wesley at 213.</w:t>
      </w:r>
    </w:p>
    <w:p w:rsidR="00DA0824" w:rsidRPr="00001309" w:rsidRDefault="00DA0824" w:rsidP="00E754D5">
      <w:pPr>
        <w:keepNext/>
        <w:keepLines/>
        <w:autoSpaceDE w:val="0"/>
        <w:autoSpaceDN w:val="0"/>
        <w:adjustRightInd w:val="0"/>
        <w:spacing w:line="240" w:lineRule="auto"/>
        <w:ind w:left="1440" w:right="1440" w:firstLine="0"/>
        <w:rPr>
          <w:sz w:val="26"/>
          <w:szCs w:val="26"/>
        </w:rPr>
      </w:pPr>
    </w:p>
    <w:p w:rsidR="00DA0824" w:rsidRPr="00001309" w:rsidRDefault="00DA0824" w:rsidP="00E754D5">
      <w:pPr>
        <w:keepNext/>
        <w:keepLines/>
        <w:autoSpaceDE w:val="0"/>
        <w:autoSpaceDN w:val="0"/>
        <w:adjustRightInd w:val="0"/>
        <w:spacing w:line="240" w:lineRule="auto"/>
        <w:ind w:left="1440" w:right="1440" w:firstLine="0"/>
        <w:rPr>
          <w:sz w:val="26"/>
          <w:szCs w:val="26"/>
        </w:rPr>
      </w:pPr>
    </w:p>
    <w:p w:rsidR="00682A07" w:rsidRPr="00001309" w:rsidRDefault="00C6264B" w:rsidP="00C6264B">
      <w:pPr>
        <w:autoSpaceDE w:val="0"/>
        <w:autoSpaceDN w:val="0"/>
        <w:ind w:firstLine="0"/>
        <w:rPr>
          <w:sz w:val="26"/>
          <w:szCs w:val="26"/>
        </w:rPr>
      </w:pPr>
      <w:r w:rsidRPr="00001309">
        <w:rPr>
          <w:sz w:val="26"/>
          <w:szCs w:val="26"/>
        </w:rPr>
        <w:t>I.D. at 89-90.</w:t>
      </w:r>
    </w:p>
    <w:p w:rsidR="00682A07" w:rsidRPr="00001309" w:rsidRDefault="00682A07" w:rsidP="00847065">
      <w:pPr>
        <w:autoSpaceDE w:val="0"/>
        <w:autoSpaceDN w:val="0"/>
        <w:rPr>
          <w:sz w:val="26"/>
          <w:szCs w:val="26"/>
        </w:rPr>
      </w:pPr>
    </w:p>
    <w:p w:rsidR="00144BB7" w:rsidRPr="00001309" w:rsidRDefault="00E40B09" w:rsidP="00847065">
      <w:pPr>
        <w:autoSpaceDE w:val="0"/>
        <w:autoSpaceDN w:val="0"/>
        <w:rPr>
          <w:sz w:val="26"/>
          <w:szCs w:val="26"/>
        </w:rPr>
      </w:pPr>
      <w:r w:rsidRPr="00001309">
        <w:rPr>
          <w:sz w:val="26"/>
          <w:szCs w:val="26"/>
        </w:rPr>
        <w:lastRenderedPageBreak/>
        <w:t>Specifically</w:t>
      </w:r>
      <w:r w:rsidR="00144BB7" w:rsidRPr="00001309">
        <w:rPr>
          <w:sz w:val="26"/>
          <w:szCs w:val="26"/>
        </w:rPr>
        <w:t xml:space="preserve">, the </w:t>
      </w:r>
      <w:r w:rsidR="0024033E" w:rsidRPr="00001309">
        <w:rPr>
          <w:sz w:val="26"/>
          <w:szCs w:val="26"/>
        </w:rPr>
        <w:t xml:space="preserve">ALJs relied on </w:t>
      </w:r>
      <w:r w:rsidRPr="00001309">
        <w:rPr>
          <w:sz w:val="26"/>
          <w:szCs w:val="26"/>
        </w:rPr>
        <w:t xml:space="preserve">and found persuasive, </w:t>
      </w:r>
      <w:r w:rsidR="0024033E" w:rsidRPr="00001309">
        <w:rPr>
          <w:sz w:val="26"/>
          <w:szCs w:val="26"/>
        </w:rPr>
        <w:t xml:space="preserve">the analysis and conclusions </w:t>
      </w:r>
      <w:r w:rsidR="00144BB7" w:rsidRPr="00001309">
        <w:rPr>
          <w:sz w:val="26"/>
          <w:szCs w:val="26"/>
        </w:rPr>
        <w:t xml:space="preserve">drawn from the testimony of </w:t>
      </w:r>
      <w:r w:rsidR="00F429DB">
        <w:rPr>
          <w:sz w:val="26"/>
          <w:szCs w:val="26"/>
        </w:rPr>
        <w:t xml:space="preserve">the </w:t>
      </w:r>
      <w:r w:rsidR="00144BB7" w:rsidRPr="00001309">
        <w:rPr>
          <w:sz w:val="26"/>
          <w:szCs w:val="26"/>
        </w:rPr>
        <w:t>Joint Complainants</w:t>
      </w:r>
      <w:r w:rsidR="00AD2D90" w:rsidRPr="00001309">
        <w:rPr>
          <w:sz w:val="26"/>
          <w:szCs w:val="26"/>
        </w:rPr>
        <w:t>’</w:t>
      </w:r>
      <w:r w:rsidR="00144BB7" w:rsidRPr="00001309">
        <w:rPr>
          <w:sz w:val="26"/>
          <w:szCs w:val="26"/>
        </w:rPr>
        <w:t xml:space="preserve"> </w:t>
      </w:r>
      <w:r w:rsidR="0024033E" w:rsidRPr="00001309">
        <w:rPr>
          <w:sz w:val="26"/>
          <w:szCs w:val="26"/>
        </w:rPr>
        <w:t xml:space="preserve">expert </w:t>
      </w:r>
      <w:r w:rsidR="00144BB7" w:rsidRPr="00001309">
        <w:rPr>
          <w:sz w:val="26"/>
          <w:szCs w:val="26"/>
        </w:rPr>
        <w:t>witness, Ashley E. Everette</w:t>
      </w:r>
      <w:r w:rsidR="0024033E" w:rsidRPr="00001309">
        <w:rPr>
          <w:sz w:val="26"/>
          <w:szCs w:val="26"/>
        </w:rPr>
        <w:t>.  The pertinent conclusions</w:t>
      </w:r>
      <w:r w:rsidR="00144BB7" w:rsidRPr="00001309">
        <w:rPr>
          <w:sz w:val="26"/>
          <w:szCs w:val="26"/>
        </w:rPr>
        <w:t xml:space="preserve"> </w:t>
      </w:r>
      <w:r w:rsidR="0024033E" w:rsidRPr="00001309">
        <w:rPr>
          <w:sz w:val="26"/>
          <w:szCs w:val="26"/>
        </w:rPr>
        <w:t xml:space="preserve">of the witness </w:t>
      </w:r>
      <w:r w:rsidR="00144BB7" w:rsidRPr="00001309">
        <w:rPr>
          <w:sz w:val="26"/>
          <w:szCs w:val="26"/>
        </w:rPr>
        <w:t>w</w:t>
      </w:r>
      <w:r w:rsidR="0024033E" w:rsidRPr="00001309">
        <w:rPr>
          <w:sz w:val="26"/>
          <w:szCs w:val="26"/>
        </w:rPr>
        <w:t>ere</w:t>
      </w:r>
      <w:r w:rsidR="00144BB7" w:rsidRPr="00001309">
        <w:rPr>
          <w:sz w:val="26"/>
          <w:szCs w:val="26"/>
        </w:rPr>
        <w:t xml:space="preserve"> explained</w:t>
      </w:r>
      <w:r w:rsidR="0024033E" w:rsidRPr="00001309">
        <w:rPr>
          <w:sz w:val="26"/>
          <w:szCs w:val="26"/>
        </w:rPr>
        <w:t xml:space="preserve"> as follows</w:t>
      </w:r>
      <w:r w:rsidR="00144BB7" w:rsidRPr="00001309">
        <w:rPr>
          <w:sz w:val="26"/>
          <w:szCs w:val="26"/>
        </w:rPr>
        <w:t>:</w:t>
      </w:r>
    </w:p>
    <w:p w:rsidR="00144BB7" w:rsidRPr="00001309" w:rsidRDefault="00144BB7" w:rsidP="00847065">
      <w:pPr>
        <w:autoSpaceDE w:val="0"/>
        <w:autoSpaceDN w:val="0"/>
        <w:rPr>
          <w:sz w:val="26"/>
          <w:szCs w:val="26"/>
        </w:rPr>
      </w:pPr>
    </w:p>
    <w:p w:rsidR="00144BB7" w:rsidRPr="00001309" w:rsidRDefault="00144BB7" w:rsidP="00144BB7">
      <w:pPr>
        <w:autoSpaceDE w:val="0"/>
        <w:autoSpaceDN w:val="0"/>
        <w:spacing w:line="240" w:lineRule="auto"/>
        <w:ind w:left="1440" w:right="1440" w:firstLine="720"/>
        <w:rPr>
          <w:sz w:val="26"/>
          <w:szCs w:val="26"/>
        </w:rPr>
      </w:pPr>
      <w:r w:rsidRPr="00001309">
        <w:rPr>
          <w:sz w:val="26"/>
          <w:szCs w:val="26"/>
        </w:rPr>
        <w:t xml:space="preserve">Blue Pilot represented in its marketing materials and the Company’s salespeople stated in their sales pitches that customers will experience savings by switching to Blue Pilot. In her Direct Testimony, Joint Complainants’ expert witness Ashley E. Everette evaluated these claims by reviewing billing data provided by the Company for December 2013 through March 2014 and applicable EDC PTCs. </w:t>
      </w:r>
      <w:r w:rsidR="00AD2D90" w:rsidRPr="00001309">
        <w:rPr>
          <w:sz w:val="26"/>
          <w:szCs w:val="26"/>
        </w:rPr>
        <w:t xml:space="preserve"> </w:t>
      </w:r>
      <w:r w:rsidRPr="00001309">
        <w:rPr>
          <w:sz w:val="26"/>
          <w:szCs w:val="26"/>
          <w:u w:val="single"/>
        </w:rPr>
        <w:t>See</w:t>
      </w:r>
      <w:r w:rsidRPr="00001309">
        <w:rPr>
          <w:sz w:val="26"/>
          <w:szCs w:val="26"/>
        </w:rPr>
        <w:t xml:space="preserve"> </w:t>
      </w:r>
      <w:r w:rsidRPr="00001309">
        <w:rPr>
          <w:sz w:val="26"/>
          <w:szCs w:val="26"/>
          <w:u w:val="single"/>
        </w:rPr>
        <w:t>gen’ly</w:t>
      </w:r>
      <w:r w:rsidRPr="00001309">
        <w:rPr>
          <w:sz w:val="26"/>
          <w:szCs w:val="26"/>
        </w:rPr>
        <w:t xml:space="preserve"> OAG/OCA St 3.</w:t>
      </w:r>
    </w:p>
    <w:p w:rsidR="00144BB7" w:rsidRPr="00001309" w:rsidRDefault="00144BB7" w:rsidP="00144BB7">
      <w:pPr>
        <w:autoSpaceDE w:val="0"/>
        <w:autoSpaceDN w:val="0"/>
        <w:spacing w:line="240" w:lineRule="auto"/>
        <w:ind w:left="1440" w:right="1440" w:firstLine="0"/>
        <w:rPr>
          <w:sz w:val="26"/>
          <w:szCs w:val="26"/>
        </w:rPr>
      </w:pPr>
    </w:p>
    <w:p w:rsidR="00C82E6C" w:rsidRDefault="00144BB7" w:rsidP="00144BB7">
      <w:pPr>
        <w:autoSpaceDE w:val="0"/>
        <w:autoSpaceDN w:val="0"/>
        <w:adjustRightInd w:val="0"/>
        <w:spacing w:line="240" w:lineRule="auto"/>
        <w:ind w:left="1440" w:right="1440" w:firstLine="720"/>
        <w:rPr>
          <w:sz w:val="26"/>
          <w:szCs w:val="26"/>
        </w:rPr>
      </w:pPr>
      <w:r w:rsidRPr="00001309">
        <w:rPr>
          <w:sz w:val="26"/>
          <w:szCs w:val="26"/>
        </w:rPr>
        <w:t xml:space="preserve">Ms. Everette provides a detailed analysis of Blue Pilot’s charges to customers by month, customer class and price. </w:t>
      </w:r>
      <w:r w:rsidR="00AD2D90" w:rsidRPr="00001309">
        <w:rPr>
          <w:sz w:val="26"/>
          <w:szCs w:val="26"/>
        </w:rPr>
        <w:t xml:space="preserve"> </w:t>
      </w:r>
      <w:r w:rsidRPr="00001309">
        <w:rPr>
          <w:sz w:val="26"/>
          <w:szCs w:val="26"/>
          <w:u w:val="single"/>
        </w:rPr>
        <w:t>See</w:t>
      </w:r>
      <w:r w:rsidRPr="00001309">
        <w:rPr>
          <w:sz w:val="26"/>
          <w:szCs w:val="26"/>
        </w:rPr>
        <w:t xml:space="preserve"> </w:t>
      </w:r>
      <w:r w:rsidRPr="00001309">
        <w:rPr>
          <w:sz w:val="26"/>
          <w:szCs w:val="26"/>
          <w:u w:val="single"/>
        </w:rPr>
        <w:t>gen’ly</w:t>
      </w:r>
      <w:r w:rsidRPr="00001309">
        <w:rPr>
          <w:sz w:val="26"/>
          <w:szCs w:val="26"/>
        </w:rPr>
        <w:t xml:space="preserve"> OAG/OCA St. 3. </w:t>
      </w:r>
      <w:r w:rsidR="00AD2D90" w:rsidRPr="00001309">
        <w:rPr>
          <w:sz w:val="26"/>
          <w:szCs w:val="26"/>
        </w:rPr>
        <w:t xml:space="preserve"> </w:t>
      </w:r>
      <w:r w:rsidRPr="00001309">
        <w:rPr>
          <w:sz w:val="26"/>
          <w:szCs w:val="26"/>
        </w:rPr>
        <w:t xml:space="preserve">Ms. Everette’s testimony demonstrates that overall, Blue Pilot’s customers paid significantly more than the Price to Compare in December 2013, January 2014, February 2014, and March 2014. See OAG/OCA St. 3 at 4-7. </w:t>
      </w:r>
      <w:r w:rsidR="00AD2D90" w:rsidRPr="00001309">
        <w:rPr>
          <w:sz w:val="26"/>
          <w:szCs w:val="26"/>
        </w:rPr>
        <w:t xml:space="preserve"> </w:t>
      </w:r>
      <w:r w:rsidRPr="00001309">
        <w:rPr>
          <w:sz w:val="26"/>
          <w:szCs w:val="26"/>
        </w:rPr>
        <w:t xml:space="preserve">Specifically, Ms. Everette determined that, overall, residential customers paid </w:t>
      </w:r>
      <w:r w:rsidR="008679F7" w:rsidRPr="00001309">
        <w:rPr>
          <w:b/>
          <w:bCs/>
          <w:sz w:val="26"/>
          <w:szCs w:val="26"/>
        </w:rPr>
        <w:t>BEGIN</w:t>
      </w:r>
    </w:p>
    <w:p w:rsidR="00C82E6C" w:rsidRDefault="00C82E6C" w:rsidP="00C82E6C">
      <w:pPr>
        <w:autoSpaceDE w:val="0"/>
        <w:autoSpaceDN w:val="0"/>
        <w:adjustRightInd w:val="0"/>
        <w:spacing w:line="240" w:lineRule="auto"/>
        <w:ind w:left="1440" w:right="1440" w:firstLine="0"/>
        <w:rPr>
          <w:sz w:val="26"/>
          <w:szCs w:val="26"/>
        </w:rPr>
      </w:pPr>
      <w:r>
        <w:rPr>
          <w:sz w:val="26"/>
          <w:szCs w:val="26"/>
        </w:rPr>
        <w:t xml:space="preserve"> </w:t>
      </w:r>
      <w:r w:rsidR="00105FF1" w:rsidRPr="00001309">
        <w:rPr>
          <w:b/>
          <w:bCs/>
          <w:sz w:val="26"/>
          <w:szCs w:val="26"/>
        </w:rPr>
        <w:t xml:space="preserve">PROPRIETARY  </w:t>
      </w:r>
      <w:r w:rsidR="00105FF1">
        <w:rPr>
          <w:b/>
          <w:bCs/>
          <w:sz w:val="26"/>
          <w:szCs w:val="26"/>
        </w:rPr>
        <w:t xml:space="preserve">               END PROPRIETARY </w:t>
      </w:r>
      <w:r w:rsidR="00144BB7" w:rsidRPr="00001309">
        <w:rPr>
          <w:sz w:val="26"/>
          <w:szCs w:val="26"/>
        </w:rPr>
        <w:t xml:space="preserve">more than their applicable PTC in December 2013, </w:t>
      </w:r>
      <w:r w:rsidR="00105FF1" w:rsidRPr="00001309">
        <w:rPr>
          <w:b/>
          <w:bCs/>
          <w:sz w:val="26"/>
          <w:szCs w:val="26"/>
        </w:rPr>
        <w:t>BEGIN</w:t>
      </w:r>
    </w:p>
    <w:p w:rsidR="00C82E6C" w:rsidRDefault="00C82E6C" w:rsidP="00C82E6C">
      <w:pPr>
        <w:autoSpaceDE w:val="0"/>
        <w:autoSpaceDN w:val="0"/>
        <w:adjustRightInd w:val="0"/>
        <w:spacing w:line="240" w:lineRule="auto"/>
        <w:ind w:left="1440" w:right="1440" w:firstLine="0"/>
        <w:rPr>
          <w:sz w:val="26"/>
          <w:szCs w:val="26"/>
        </w:rPr>
      </w:pPr>
      <w:r>
        <w:rPr>
          <w:sz w:val="26"/>
          <w:szCs w:val="26"/>
        </w:rPr>
        <w:t xml:space="preserve"> </w:t>
      </w:r>
      <w:r w:rsidR="00105FF1" w:rsidRPr="00001309">
        <w:rPr>
          <w:b/>
          <w:bCs/>
          <w:sz w:val="26"/>
          <w:szCs w:val="26"/>
        </w:rPr>
        <w:t>PROPRIETARY</w:t>
      </w:r>
      <w:r>
        <w:rPr>
          <w:sz w:val="26"/>
          <w:szCs w:val="26"/>
        </w:rPr>
        <w:tab/>
      </w:r>
      <w:r>
        <w:rPr>
          <w:sz w:val="26"/>
          <w:szCs w:val="26"/>
        </w:rPr>
        <w:tab/>
      </w:r>
      <w:r w:rsidR="00105FF1">
        <w:rPr>
          <w:sz w:val="26"/>
          <w:szCs w:val="26"/>
        </w:rPr>
        <w:t xml:space="preserve">  </w:t>
      </w:r>
      <w:r w:rsidR="00105FF1">
        <w:rPr>
          <w:b/>
          <w:bCs/>
          <w:sz w:val="26"/>
          <w:szCs w:val="26"/>
        </w:rPr>
        <w:t xml:space="preserve">END PROPRIETARY </w:t>
      </w:r>
      <w:r w:rsidR="00144BB7" w:rsidRPr="00001309">
        <w:rPr>
          <w:sz w:val="26"/>
          <w:szCs w:val="26"/>
        </w:rPr>
        <w:t xml:space="preserve">more than their applicable PTC in January 2014, </w:t>
      </w:r>
      <w:r w:rsidR="00105FF1" w:rsidRPr="00001309">
        <w:rPr>
          <w:b/>
          <w:bCs/>
          <w:sz w:val="26"/>
          <w:szCs w:val="26"/>
        </w:rPr>
        <w:t>BEGIN</w:t>
      </w:r>
    </w:p>
    <w:p w:rsidR="00C82E6C" w:rsidRPr="00105FF1" w:rsidRDefault="00C82E6C" w:rsidP="00C82E6C">
      <w:pPr>
        <w:autoSpaceDE w:val="0"/>
        <w:autoSpaceDN w:val="0"/>
        <w:adjustRightInd w:val="0"/>
        <w:spacing w:line="240" w:lineRule="auto"/>
        <w:ind w:left="1440" w:right="1440" w:firstLine="0"/>
        <w:rPr>
          <w:b/>
          <w:sz w:val="26"/>
          <w:szCs w:val="26"/>
        </w:rPr>
      </w:pPr>
      <w:r>
        <w:rPr>
          <w:sz w:val="26"/>
          <w:szCs w:val="26"/>
        </w:rPr>
        <w:t xml:space="preserve"> </w:t>
      </w:r>
      <w:r w:rsidR="00105FF1" w:rsidRPr="00001309">
        <w:rPr>
          <w:b/>
          <w:bCs/>
          <w:sz w:val="26"/>
          <w:szCs w:val="26"/>
        </w:rPr>
        <w:t>PROPRIETARY</w:t>
      </w:r>
      <w:r>
        <w:rPr>
          <w:sz w:val="26"/>
          <w:szCs w:val="26"/>
        </w:rPr>
        <w:t xml:space="preserve"> </w:t>
      </w:r>
      <w:r w:rsidR="00105FF1">
        <w:rPr>
          <w:sz w:val="26"/>
          <w:szCs w:val="26"/>
        </w:rPr>
        <w:t xml:space="preserve">  </w:t>
      </w:r>
      <w:r>
        <w:rPr>
          <w:sz w:val="26"/>
          <w:szCs w:val="26"/>
        </w:rPr>
        <w:t xml:space="preserve">     </w:t>
      </w:r>
      <w:r w:rsidR="00105FF1">
        <w:rPr>
          <w:sz w:val="26"/>
          <w:szCs w:val="26"/>
        </w:rPr>
        <w:t xml:space="preserve">  </w:t>
      </w:r>
      <w:r>
        <w:rPr>
          <w:sz w:val="26"/>
          <w:szCs w:val="26"/>
        </w:rPr>
        <w:t xml:space="preserve">         </w:t>
      </w:r>
      <w:r w:rsidR="00105FF1">
        <w:rPr>
          <w:b/>
          <w:bCs/>
          <w:sz w:val="26"/>
          <w:szCs w:val="26"/>
        </w:rPr>
        <w:t>END PROPRIETARY</w:t>
      </w:r>
      <w:r>
        <w:rPr>
          <w:sz w:val="26"/>
          <w:szCs w:val="26"/>
        </w:rPr>
        <w:t xml:space="preserve"> </w:t>
      </w:r>
      <w:r w:rsidR="00144BB7" w:rsidRPr="00001309">
        <w:rPr>
          <w:sz w:val="26"/>
          <w:szCs w:val="26"/>
        </w:rPr>
        <w:t>more than their appli</w:t>
      </w:r>
      <w:r>
        <w:rPr>
          <w:sz w:val="26"/>
          <w:szCs w:val="26"/>
        </w:rPr>
        <w:t>cable PTC in February 2014, and</w:t>
      </w:r>
      <w:r w:rsidR="00105FF1">
        <w:rPr>
          <w:sz w:val="26"/>
          <w:szCs w:val="26"/>
        </w:rPr>
        <w:t xml:space="preserve"> </w:t>
      </w:r>
      <w:r w:rsidR="00105FF1" w:rsidRPr="00001309">
        <w:rPr>
          <w:b/>
          <w:bCs/>
          <w:sz w:val="26"/>
          <w:szCs w:val="26"/>
        </w:rPr>
        <w:t>BEGIN</w:t>
      </w:r>
    </w:p>
    <w:p w:rsidR="00143F10" w:rsidRDefault="00105FF1" w:rsidP="00C82E6C">
      <w:pPr>
        <w:autoSpaceDE w:val="0"/>
        <w:autoSpaceDN w:val="0"/>
        <w:adjustRightInd w:val="0"/>
        <w:spacing w:line="240" w:lineRule="auto"/>
        <w:ind w:left="1440" w:right="1440" w:firstLine="0"/>
        <w:rPr>
          <w:b/>
          <w:bCs/>
          <w:sz w:val="26"/>
          <w:szCs w:val="26"/>
        </w:rPr>
      </w:pPr>
      <w:r w:rsidRPr="00001309">
        <w:rPr>
          <w:b/>
          <w:bCs/>
          <w:sz w:val="26"/>
          <w:szCs w:val="26"/>
        </w:rPr>
        <w:t>PROPRIETARY</w:t>
      </w:r>
      <w:r w:rsidR="00C82E6C">
        <w:rPr>
          <w:b/>
          <w:bCs/>
          <w:sz w:val="26"/>
          <w:szCs w:val="26"/>
        </w:rPr>
        <w:t xml:space="preserve">          </w:t>
      </w:r>
      <w:r>
        <w:rPr>
          <w:b/>
          <w:bCs/>
          <w:sz w:val="26"/>
          <w:szCs w:val="26"/>
        </w:rPr>
        <w:t xml:space="preserve">     </w:t>
      </w:r>
      <w:r w:rsidR="00C82E6C">
        <w:rPr>
          <w:b/>
          <w:bCs/>
          <w:sz w:val="26"/>
          <w:szCs w:val="26"/>
        </w:rPr>
        <w:t xml:space="preserve">    </w:t>
      </w:r>
      <w:r>
        <w:rPr>
          <w:b/>
          <w:bCs/>
          <w:sz w:val="26"/>
          <w:szCs w:val="26"/>
        </w:rPr>
        <w:t>END PROPRIETARY</w:t>
      </w:r>
      <w:r w:rsidR="00C82E6C">
        <w:rPr>
          <w:b/>
          <w:bCs/>
          <w:sz w:val="26"/>
          <w:szCs w:val="26"/>
        </w:rPr>
        <w:t xml:space="preserve"> </w:t>
      </w:r>
      <w:r w:rsidR="00144BB7" w:rsidRPr="00001309">
        <w:rPr>
          <w:sz w:val="26"/>
          <w:szCs w:val="26"/>
        </w:rPr>
        <w:t xml:space="preserve">more than their applicable PTC in March 2014 </w:t>
      </w:r>
      <w:proofErr w:type="gramStart"/>
      <w:r w:rsidR="00144BB7" w:rsidRPr="00001309">
        <w:rPr>
          <w:sz w:val="26"/>
          <w:szCs w:val="26"/>
        </w:rPr>
        <w:t>as a result of</w:t>
      </w:r>
      <w:proofErr w:type="gramEnd"/>
      <w:r w:rsidR="00144BB7" w:rsidRPr="00001309">
        <w:rPr>
          <w:sz w:val="26"/>
          <w:szCs w:val="26"/>
        </w:rPr>
        <w:t xml:space="preserve"> switching to Blue Pilot. </w:t>
      </w:r>
      <w:r w:rsidR="00AD2D90" w:rsidRPr="00001309">
        <w:rPr>
          <w:sz w:val="26"/>
          <w:szCs w:val="26"/>
        </w:rPr>
        <w:t xml:space="preserve"> </w:t>
      </w:r>
      <w:r w:rsidR="00144BB7" w:rsidRPr="00001309">
        <w:rPr>
          <w:sz w:val="26"/>
          <w:szCs w:val="26"/>
        </w:rPr>
        <w:t xml:space="preserve">OAG/OCA St. 3 at 4-7. </w:t>
      </w:r>
      <w:r w:rsidR="00AD2D90" w:rsidRPr="00001309">
        <w:rPr>
          <w:sz w:val="26"/>
          <w:szCs w:val="26"/>
        </w:rPr>
        <w:t xml:space="preserve"> </w:t>
      </w:r>
      <w:r w:rsidR="00144BB7" w:rsidRPr="00001309">
        <w:rPr>
          <w:sz w:val="26"/>
          <w:szCs w:val="26"/>
        </w:rPr>
        <w:t xml:space="preserve">Moreover, Ms. Everette determined that, overall, small business customers paid </w:t>
      </w:r>
      <w:bookmarkStart w:id="27" w:name="_Hlk519684382"/>
      <w:r w:rsidRPr="00001309">
        <w:rPr>
          <w:b/>
          <w:bCs/>
          <w:sz w:val="26"/>
          <w:szCs w:val="26"/>
        </w:rPr>
        <w:t xml:space="preserve">BEGIN </w:t>
      </w:r>
      <w:bookmarkEnd w:id="27"/>
      <w:r w:rsidRPr="00001309">
        <w:rPr>
          <w:b/>
          <w:bCs/>
          <w:sz w:val="26"/>
          <w:szCs w:val="26"/>
        </w:rPr>
        <w:t xml:space="preserve">PROPRIETARY  </w:t>
      </w:r>
      <w:r>
        <w:rPr>
          <w:bCs/>
          <w:sz w:val="26"/>
          <w:szCs w:val="26"/>
        </w:rPr>
        <w:t xml:space="preserve">           </w:t>
      </w:r>
      <w:r w:rsidRPr="00001309">
        <w:rPr>
          <w:b/>
          <w:bCs/>
          <w:sz w:val="26"/>
          <w:szCs w:val="26"/>
        </w:rPr>
        <w:t xml:space="preserve"> END</w:t>
      </w:r>
      <w:r w:rsidR="00C82E6C">
        <w:rPr>
          <w:sz w:val="26"/>
          <w:szCs w:val="26"/>
        </w:rPr>
        <w:t xml:space="preserve"> </w:t>
      </w:r>
      <w:bookmarkStart w:id="28" w:name="_Hlk519684431"/>
      <w:r w:rsidRPr="00001309">
        <w:rPr>
          <w:b/>
          <w:bCs/>
          <w:sz w:val="26"/>
          <w:szCs w:val="26"/>
        </w:rPr>
        <w:t>PROPRIETARY</w:t>
      </w:r>
      <w:r>
        <w:rPr>
          <w:b/>
          <w:bCs/>
          <w:sz w:val="26"/>
          <w:szCs w:val="26"/>
        </w:rPr>
        <w:t xml:space="preserve"> </w:t>
      </w:r>
      <w:bookmarkEnd w:id="28"/>
      <w:r w:rsidR="00144BB7" w:rsidRPr="00001309">
        <w:rPr>
          <w:sz w:val="26"/>
          <w:szCs w:val="26"/>
        </w:rPr>
        <w:t xml:space="preserve">more than their applicable PTC in December 2013, </w:t>
      </w:r>
      <w:r w:rsidRPr="00001309">
        <w:rPr>
          <w:b/>
          <w:bCs/>
          <w:sz w:val="26"/>
          <w:szCs w:val="26"/>
        </w:rPr>
        <w:t>BEGIN</w:t>
      </w:r>
      <w:r>
        <w:rPr>
          <w:b/>
          <w:bCs/>
          <w:sz w:val="26"/>
          <w:szCs w:val="26"/>
        </w:rPr>
        <w:t xml:space="preserve"> </w:t>
      </w:r>
      <w:r w:rsidRPr="00001309">
        <w:rPr>
          <w:b/>
          <w:bCs/>
          <w:sz w:val="26"/>
          <w:szCs w:val="26"/>
        </w:rPr>
        <w:t>PROPRIETARY</w:t>
      </w:r>
      <w:r>
        <w:rPr>
          <w:b/>
          <w:bCs/>
          <w:sz w:val="26"/>
          <w:szCs w:val="26"/>
        </w:rPr>
        <w:t xml:space="preserve">                </w:t>
      </w:r>
      <w:r w:rsidRPr="00001309">
        <w:rPr>
          <w:b/>
          <w:bCs/>
          <w:sz w:val="26"/>
          <w:szCs w:val="26"/>
        </w:rPr>
        <w:t>END</w:t>
      </w:r>
      <w:r>
        <w:rPr>
          <w:b/>
          <w:bCs/>
          <w:sz w:val="26"/>
          <w:szCs w:val="26"/>
        </w:rPr>
        <w:t xml:space="preserve">   </w:t>
      </w:r>
      <w:r w:rsidR="00C82E6C">
        <w:rPr>
          <w:b/>
          <w:bCs/>
          <w:sz w:val="26"/>
          <w:szCs w:val="26"/>
        </w:rPr>
        <w:t xml:space="preserve">                     </w:t>
      </w:r>
    </w:p>
    <w:p w:rsidR="00143F10" w:rsidRDefault="00105FF1" w:rsidP="00C82E6C">
      <w:pPr>
        <w:autoSpaceDE w:val="0"/>
        <w:autoSpaceDN w:val="0"/>
        <w:adjustRightInd w:val="0"/>
        <w:spacing w:line="240" w:lineRule="auto"/>
        <w:ind w:left="1440" w:right="1440" w:firstLine="0"/>
        <w:rPr>
          <w:b/>
          <w:bCs/>
          <w:sz w:val="26"/>
          <w:szCs w:val="26"/>
        </w:rPr>
      </w:pPr>
      <w:r w:rsidRPr="00001309">
        <w:rPr>
          <w:b/>
          <w:bCs/>
          <w:sz w:val="26"/>
          <w:szCs w:val="26"/>
        </w:rPr>
        <w:t>PROPRIETARY</w:t>
      </w:r>
      <w:r>
        <w:rPr>
          <w:b/>
          <w:bCs/>
          <w:sz w:val="26"/>
          <w:szCs w:val="26"/>
        </w:rPr>
        <w:t xml:space="preserve"> </w:t>
      </w:r>
      <w:r w:rsidR="00144BB7" w:rsidRPr="00001309">
        <w:rPr>
          <w:sz w:val="26"/>
          <w:szCs w:val="26"/>
        </w:rPr>
        <w:t xml:space="preserve">more than their applicable PTC in January 2014, </w:t>
      </w:r>
      <w:r w:rsidRPr="00001309">
        <w:rPr>
          <w:b/>
          <w:bCs/>
          <w:sz w:val="26"/>
          <w:szCs w:val="26"/>
        </w:rPr>
        <w:t>BEGIN</w:t>
      </w:r>
      <w:r>
        <w:rPr>
          <w:b/>
          <w:bCs/>
          <w:sz w:val="26"/>
          <w:szCs w:val="26"/>
        </w:rPr>
        <w:t xml:space="preserve"> </w:t>
      </w:r>
      <w:r w:rsidRPr="00001309">
        <w:rPr>
          <w:b/>
          <w:bCs/>
          <w:sz w:val="26"/>
          <w:szCs w:val="26"/>
        </w:rPr>
        <w:t>PROPRIETARY</w:t>
      </w:r>
      <w:r>
        <w:rPr>
          <w:b/>
          <w:bCs/>
          <w:sz w:val="26"/>
          <w:szCs w:val="26"/>
        </w:rPr>
        <w:t xml:space="preserve">                </w:t>
      </w:r>
      <w:r w:rsidRPr="00001309">
        <w:rPr>
          <w:b/>
          <w:bCs/>
          <w:sz w:val="26"/>
          <w:szCs w:val="26"/>
        </w:rPr>
        <w:t>END</w:t>
      </w:r>
      <w:r>
        <w:rPr>
          <w:b/>
          <w:bCs/>
          <w:sz w:val="26"/>
          <w:szCs w:val="26"/>
        </w:rPr>
        <w:t xml:space="preserve">                          </w:t>
      </w:r>
    </w:p>
    <w:p w:rsidR="00143F10" w:rsidRDefault="00C06F88" w:rsidP="00C82E6C">
      <w:pPr>
        <w:autoSpaceDE w:val="0"/>
        <w:autoSpaceDN w:val="0"/>
        <w:adjustRightInd w:val="0"/>
        <w:spacing w:line="240" w:lineRule="auto"/>
        <w:ind w:left="1440" w:right="1440" w:firstLine="0"/>
        <w:rPr>
          <w:b/>
          <w:bCs/>
          <w:sz w:val="26"/>
          <w:szCs w:val="26"/>
        </w:rPr>
      </w:pPr>
      <w:r w:rsidRPr="00001309">
        <w:rPr>
          <w:b/>
          <w:bCs/>
          <w:sz w:val="26"/>
          <w:szCs w:val="26"/>
        </w:rPr>
        <w:t>PROPRIETARY</w:t>
      </w:r>
      <w:r>
        <w:rPr>
          <w:b/>
          <w:bCs/>
          <w:sz w:val="26"/>
          <w:szCs w:val="26"/>
        </w:rPr>
        <w:t xml:space="preserve"> </w:t>
      </w:r>
      <w:r w:rsidR="00144BB7" w:rsidRPr="00001309">
        <w:rPr>
          <w:sz w:val="26"/>
          <w:szCs w:val="26"/>
        </w:rPr>
        <w:t xml:space="preserve">more than their applicable PTC in February 2014, and </w:t>
      </w:r>
      <w:r w:rsidRPr="00001309">
        <w:rPr>
          <w:b/>
          <w:bCs/>
          <w:sz w:val="26"/>
          <w:szCs w:val="26"/>
        </w:rPr>
        <w:t>BEGIN</w:t>
      </w:r>
      <w:r>
        <w:rPr>
          <w:b/>
          <w:bCs/>
          <w:sz w:val="26"/>
          <w:szCs w:val="26"/>
        </w:rPr>
        <w:t xml:space="preserve"> </w:t>
      </w:r>
      <w:r w:rsidRPr="00001309">
        <w:rPr>
          <w:b/>
          <w:bCs/>
          <w:sz w:val="26"/>
          <w:szCs w:val="26"/>
        </w:rPr>
        <w:t>PROPRIETARY</w:t>
      </w:r>
      <w:r>
        <w:rPr>
          <w:b/>
          <w:bCs/>
          <w:sz w:val="26"/>
          <w:szCs w:val="26"/>
        </w:rPr>
        <w:t xml:space="preserve">                </w:t>
      </w:r>
      <w:r w:rsidRPr="00001309">
        <w:rPr>
          <w:b/>
          <w:bCs/>
          <w:sz w:val="26"/>
          <w:szCs w:val="26"/>
        </w:rPr>
        <w:t>END</w:t>
      </w:r>
      <w:r w:rsidR="00C82E6C">
        <w:rPr>
          <w:b/>
          <w:bCs/>
          <w:sz w:val="26"/>
          <w:szCs w:val="26"/>
        </w:rPr>
        <w:t xml:space="preserve">                   </w:t>
      </w:r>
    </w:p>
    <w:p w:rsidR="00144BB7" w:rsidRPr="00001309" w:rsidRDefault="00C06F88" w:rsidP="00C82E6C">
      <w:pPr>
        <w:autoSpaceDE w:val="0"/>
        <w:autoSpaceDN w:val="0"/>
        <w:adjustRightInd w:val="0"/>
        <w:spacing w:line="240" w:lineRule="auto"/>
        <w:ind w:left="1440" w:right="1440" w:firstLine="0"/>
        <w:rPr>
          <w:sz w:val="26"/>
          <w:szCs w:val="26"/>
        </w:rPr>
      </w:pPr>
      <w:r w:rsidRPr="00001309">
        <w:rPr>
          <w:b/>
          <w:bCs/>
          <w:sz w:val="26"/>
          <w:szCs w:val="26"/>
        </w:rPr>
        <w:t>PROPRIETARY</w:t>
      </w:r>
      <w:r>
        <w:rPr>
          <w:b/>
          <w:bCs/>
          <w:sz w:val="26"/>
          <w:szCs w:val="26"/>
        </w:rPr>
        <w:t xml:space="preserve"> </w:t>
      </w:r>
      <w:r w:rsidR="00144BB7" w:rsidRPr="00001309">
        <w:rPr>
          <w:sz w:val="26"/>
          <w:szCs w:val="26"/>
        </w:rPr>
        <w:t xml:space="preserve">more than their applicable PTC in March 2014 </w:t>
      </w:r>
      <w:proofErr w:type="gramStart"/>
      <w:r w:rsidR="00144BB7" w:rsidRPr="00001309">
        <w:rPr>
          <w:sz w:val="26"/>
          <w:szCs w:val="26"/>
        </w:rPr>
        <w:t>as a result of</w:t>
      </w:r>
      <w:proofErr w:type="gramEnd"/>
      <w:r w:rsidR="00144BB7" w:rsidRPr="00001309">
        <w:rPr>
          <w:sz w:val="26"/>
          <w:szCs w:val="26"/>
        </w:rPr>
        <w:t xml:space="preserve"> switching to Blue Pilot. OAG/OCA St. 3 at</w:t>
      </w:r>
      <w:r w:rsidR="0001023C" w:rsidRPr="00001309">
        <w:rPr>
          <w:sz w:val="26"/>
          <w:szCs w:val="26"/>
        </w:rPr>
        <w:t> </w:t>
      </w:r>
      <w:r w:rsidR="00144BB7" w:rsidRPr="00001309">
        <w:rPr>
          <w:sz w:val="26"/>
          <w:szCs w:val="26"/>
        </w:rPr>
        <w:t xml:space="preserve">8-11. </w:t>
      </w:r>
    </w:p>
    <w:p w:rsidR="00E53E31" w:rsidRPr="00001309" w:rsidRDefault="00E53E31" w:rsidP="00144BB7">
      <w:pPr>
        <w:autoSpaceDE w:val="0"/>
        <w:autoSpaceDN w:val="0"/>
        <w:adjustRightInd w:val="0"/>
        <w:spacing w:line="240" w:lineRule="auto"/>
        <w:ind w:left="1440" w:right="1440" w:firstLine="0"/>
        <w:rPr>
          <w:sz w:val="26"/>
          <w:szCs w:val="26"/>
        </w:rPr>
      </w:pPr>
    </w:p>
    <w:p w:rsidR="00144BB7" w:rsidRPr="00001309" w:rsidRDefault="00144BB7" w:rsidP="00E53E31">
      <w:pPr>
        <w:autoSpaceDE w:val="0"/>
        <w:autoSpaceDN w:val="0"/>
        <w:adjustRightInd w:val="0"/>
        <w:spacing w:line="240" w:lineRule="auto"/>
        <w:ind w:left="1440" w:right="1440" w:firstLine="720"/>
        <w:rPr>
          <w:sz w:val="26"/>
          <w:szCs w:val="26"/>
        </w:rPr>
      </w:pPr>
      <w:r w:rsidRPr="00001309">
        <w:rPr>
          <w:sz w:val="26"/>
          <w:szCs w:val="26"/>
        </w:rPr>
        <w:t xml:space="preserve">Ms. Everette further noted that, overall, Blue Pilot charged its customers more than the Price to Compare in November 2013, and Blue Pilot continued to charge prices of at least 24.9 cents per kWh through at least August 2014. Id. at 8, 22. </w:t>
      </w:r>
      <w:r w:rsidR="00E53E31" w:rsidRPr="00001309">
        <w:rPr>
          <w:sz w:val="26"/>
          <w:szCs w:val="26"/>
        </w:rPr>
        <w:t xml:space="preserve"> </w:t>
      </w:r>
      <w:r w:rsidRPr="00001309">
        <w:rPr>
          <w:sz w:val="26"/>
          <w:szCs w:val="26"/>
        </w:rPr>
        <w:t xml:space="preserve">Thus, overall, Blue Pilot’s customers, who Blue Pilot told would see “savings” and “lower bills,” paid more than the Price to Compare even before and after the period of extreme cold that began in early 2014. Ms. Everette’s testimony is consistent with the testimony of Tom Darlington, a pro se complainant in a separate case, who testified he was charged a variable rate of up to 25 cents per kWh during the months of June – </w:t>
      </w:r>
      <w:proofErr w:type="gramStart"/>
      <w:r w:rsidRPr="00001309">
        <w:rPr>
          <w:sz w:val="26"/>
          <w:szCs w:val="26"/>
        </w:rPr>
        <w:t>August,</w:t>
      </w:r>
      <w:proofErr w:type="gramEnd"/>
      <w:r w:rsidRPr="00001309">
        <w:rPr>
          <w:sz w:val="26"/>
          <w:szCs w:val="26"/>
        </w:rPr>
        <w:t xml:space="preserve"> 2014, over and above what he had been promised. Tom </w:t>
      </w:r>
      <w:r w:rsidRPr="00001309">
        <w:rPr>
          <w:sz w:val="26"/>
          <w:szCs w:val="26"/>
          <w:u w:val="single"/>
        </w:rPr>
        <w:t>Darlington v. Blue Pilot</w:t>
      </w:r>
      <w:r w:rsidRPr="00001309">
        <w:rPr>
          <w:sz w:val="26"/>
          <w:szCs w:val="26"/>
        </w:rPr>
        <w:t>, F-2015-2500535, (Opinion and Order entered June 30, 2016), (</w:t>
      </w:r>
      <w:r w:rsidRPr="00001309">
        <w:rPr>
          <w:sz w:val="26"/>
          <w:szCs w:val="26"/>
          <w:u w:val="single"/>
        </w:rPr>
        <w:t>Darlington</w:t>
      </w:r>
      <w:r w:rsidRPr="00001309">
        <w:rPr>
          <w:sz w:val="26"/>
          <w:szCs w:val="26"/>
        </w:rPr>
        <w:t>).</w:t>
      </w:r>
    </w:p>
    <w:p w:rsidR="0001023C" w:rsidRPr="00001309" w:rsidRDefault="0001023C" w:rsidP="00E53E31">
      <w:pPr>
        <w:autoSpaceDE w:val="0"/>
        <w:autoSpaceDN w:val="0"/>
        <w:adjustRightInd w:val="0"/>
        <w:spacing w:line="240" w:lineRule="auto"/>
        <w:ind w:left="1440" w:right="1440" w:firstLine="720"/>
        <w:rPr>
          <w:sz w:val="26"/>
          <w:szCs w:val="26"/>
        </w:rPr>
      </w:pPr>
    </w:p>
    <w:p w:rsidR="008F3340" w:rsidRPr="00001309" w:rsidRDefault="008F3340" w:rsidP="00E53E31">
      <w:pPr>
        <w:autoSpaceDE w:val="0"/>
        <w:autoSpaceDN w:val="0"/>
        <w:adjustRightInd w:val="0"/>
        <w:spacing w:line="240" w:lineRule="auto"/>
        <w:ind w:left="1440" w:right="1440" w:firstLine="720"/>
        <w:rPr>
          <w:sz w:val="26"/>
          <w:szCs w:val="26"/>
        </w:rPr>
      </w:pPr>
    </w:p>
    <w:p w:rsidR="00144BB7" w:rsidRPr="00001309" w:rsidRDefault="00144BB7" w:rsidP="00144BB7">
      <w:pPr>
        <w:autoSpaceDE w:val="0"/>
        <w:autoSpaceDN w:val="0"/>
        <w:ind w:firstLine="0"/>
        <w:rPr>
          <w:sz w:val="26"/>
          <w:szCs w:val="26"/>
        </w:rPr>
      </w:pPr>
      <w:r w:rsidRPr="00001309">
        <w:rPr>
          <w:sz w:val="26"/>
          <w:szCs w:val="26"/>
        </w:rPr>
        <w:t>I.D. at 90-91.</w:t>
      </w:r>
    </w:p>
    <w:p w:rsidR="00144BB7" w:rsidRPr="00001309" w:rsidRDefault="00144BB7" w:rsidP="00DA0824">
      <w:pPr>
        <w:autoSpaceDE w:val="0"/>
        <w:autoSpaceDN w:val="0"/>
        <w:rPr>
          <w:sz w:val="26"/>
          <w:szCs w:val="26"/>
        </w:rPr>
      </w:pPr>
    </w:p>
    <w:p w:rsidR="00144BB7" w:rsidRPr="00001309" w:rsidRDefault="00834E34" w:rsidP="00144BB7">
      <w:pPr>
        <w:autoSpaceDE w:val="0"/>
        <w:autoSpaceDN w:val="0"/>
        <w:rPr>
          <w:sz w:val="26"/>
          <w:szCs w:val="26"/>
        </w:rPr>
      </w:pPr>
      <w:r w:rsidRPr="00001309">
        <w:rPr>
          <w:sz w:val="26"/>
          <w:szCs w:val="26"/>
        </w:rPr>
        <w:t>Based on</w:t>
      </w:r>
      <w:r w:rsidR="00144BB7" w:rsidRPr="00001309">
        <w:rPr>
          <w:sz w:val="26"/>
          <w:szCs w:val="26"/>
        </w:rPr>
        <w:t xml:space="preserve"> the foregoing, </w:t>
      </w:r>
      <w:r w:rsidRPr="00001309">
        <w:rPr>
          <w:sz w:val="26"/>
          <w:szCs w:val="26"/>
        </w:rPr>
        <w:t xml:space="preserve">the ALJs concluded that </w:t>
      </w:r>
      <w:r w:rsidR="00F429DB">
        <w:rPr>
          <w:sz w:val="26"/>
          <w:szCs w:val="26"/>
        </w:rPr>
        <w:t xml:space="preserve">the </w:t>
      </w:r>
      <w:r w:rsidR="00144BB7" w:rsidRPr="00001309">
        <w:rPr>
          <w:sz w:val="26"/>
          <w:szCs w:val="26"/>
        </w:rPr>
        <w:t>Joint Complainants met their burden of proving that Blue Pilot marketed its electric generation plans with deceptive promises of savings to customers, which were not regularly delivered</w:t>
      </w:r>
      <w:r w:rsidRPr="00001309">
        <w:rPr>
          <w:sz w:val="26"/>
          <w:szCs w:val="26"/>
        </w:rPr>
        <w:t xml:space="preserve"> and that </w:t>
      </w:r>
      <w:r w:rsidR="00144BB7" w:rsidRPr="00001309">
        <w:rPr>
          <w:sz w:val="26"/>
          <w:szCs w:val="26"/>
        </w:rPr>
        <w:t xml:space="preserve">these </w:t>
      </w:r>
      <w:proofErr w:type="gramStart"/>
      <w:r w:rsidRPr="00001309">
        <w:rPr>
          <w:sz w:val="26"/>
          <w:szCs w:val="26"/>
        </w:rPr>
        <w:t>promises</w:t>
      </w:r>
      <w:proofErr w:type="gramEnd"/>
      <w:r w:rsidRPr="00001309">
        <w:rPr>
          <w:sz w:val="26"/>
          <w:szCs w:val="26"/>
        </w:rPr>
        <w:t xml:space="preserve"> and representations </w:t>
      </w:r>
      <w:r w:rsidR="00144BB7" w:rsidRPr="00001309">
        <w:rPr>
          <w:sz w:val="26"/>
          <w:szCs w:val="26"/>
        </w:rPr>
        <w:t xml:space="preserve">were misleading and deceptive in violation of the Commission’s </w:t>
      </w:r>
      <w:r w:rsidR="00747231" w:rsidRPr="00001309">
        <w:rPr>
          <w:sz w:val="26"/>
          <w:szCs w:val="26"/>
        </w:rPr>
        <w:t>R</w:t>
      </w:r>
      <w:r w:rsidR="00144BB7" w:rsidRPr="00001309">
        <w:rPr>
          <w:sz w:val="26"/>
          <w:szCs w:val="26"/>
        </w:rPr>
        <w:t>egulations at 52 Pa.</w:t>
      </w:r>
      <w:r w:rsidRPr="00001309">
        <w:rPr>
          <w:sz w:val="26"/>
          <w:szCs w:val="26"/>
        </w:rPr>
        <w:t xml:space="preserve"> </w:t>
      </w:r>
      <w:r w:rsidR="00144BB7" w:rsidRPr="00001309">
        <w:rPr>
          <w:sz w:val="26"/>
          <w:szCs w:val="26"/>
        </w:rPr>
        <w:t xml:space="preserve">Code §§ 54.43(f) and 111.12(d)(1), as there was no basis </w:t>
      </w:r>
      <w:r w:rsidR="00636C62" w:rsidRPr="00001309">
        <w:rPr>
          <w:sz w:val="26"/>
          <w:szCs w:val="26"/>
        </w:rPr>
        <w:t xml:space="preserve">in fact </w:t>
      </w:r>
      <w:r w:rsidR="00144BB7" w:rsidRPr="00001309">
        <w:rPr>
          <w:sz w:val="26"/>
          <w:szCs w:val="26"/>
        </w:rPr>
        <w:t>to support such promises of savings.</w:t>
      </w:r>
      <w:r w:rsidRPr="00001309">
        <w:rPr>
          <w:sz w:val="26"/>
          <w:szCs w:val="26"/>
        </w:rPr>
        <w:t xml:space="preserve">  I.D. at 91.</w:t>
      </w:r>
    </w:p>
    <w:p w:rsidR="00BC6B75" w:rsidRPr="00001309" w:rsidRDefault="00BC6B75" w:rsidP="00144BB7">
      <w:pPr>
        <w:autoSpaceDE w:val="0"/>
        <w:autoSpaceDN w:val="0"/>
        <w:rPr>
          <w:sz w:val="26"/>
          <w:szCs w:val="26"/>
        </w:rPr>
      </w:pPr>
    </w:p>
    <w:p w:rsidR="00765709" w:rsidRPr="00001309" w:rsidRDefault="00BC6B75" w:rsidP="00144BB7">
      <w:pPr>
        <w:autoSpaceDE w:val="0"/>
        <w:autoSpaceDN w:val="0"/>
        <w:rPr>
          <w:sz w:val="26"/>
          <w:szCs w:val="26"/>
        </w:rPr>
      </w:pPr>
      <w:r w:rsidRPr="00001309">
        <w:rPr>
          <w:sz w:val="26"/>
          <w:szCs w:val="26"/>
        </w:rPr>
        <w:t xml:space="preserve">In addition to adopting the position advocated by </w:t>
      </w:r>
      <w:r w:rsidR="00F429DB">
        <w:rPr>
          <w:sz w:val="26"/>
          <w:szCs w:val="26"/>
        </w:rPr>
        <w:t xml:space="preserve">the </w:t>
      </w:r>
      <w:r w:rsidRPr="00001309">
        <w:rPr>
          <w:sz w:val="26"/>
          <w:szCs w:val="26"/>
        </w:rPr>
        <w:t>Joint Complainants that Blue Pilot marketed it</w:t>
      </w:r>
      <w:r w:rsidR="00765709" w:rsidRPr="00001309">
        <w:rPr>
          <w:sz w:val="26"/>
          <w:szCs w:val="26"/>
        </w:rPr>
        <w:t>s services in a deceptive and misleading manner, the ALJs additionally found support for a recommendation of a billing adjustment</w:t>
      </w:r>
      <w:r w:rsidR="001A150E" w:rsidRPr="00001309">
        <w:rPr>
          <w:sz w:val="26"/>
          <w:szCs w:val="26"/>
        </w:rPr>
        <w:t xml:space="preserve"> based on such representations.  The ALJs recommended that a billing adjustment</w:t>
      </w:r>
      <w:r w:rsidR="00765709" w:rsidRPr="00001309">
        <w:rPr>
          <w:sz w:val="26"/>
          <w:szCs w:val="26"/>
        </w:rPr>
        <w:t xml:space="preserve">, to be applied across-the-board, </w:t>
      </w:r>
      <w:r w:rsidR="001A150E" w:rsidRPr="00001309">
        <w:rPr>
          <w:sz w:val="26"/>
          <w:szCs w:val="26"/>
        </w:rPr>
        <w:t xml:space="preserve">be provided </w:t>
      </w:r>
      <w:r w:rsidR="00765709" w:rsidRPr="00001309">
        <w:rPr>
          <w:sz w:val="26"/>
          <w:szCs w:val="26"/>
        </w:rPr>
        <w:t xml:space="preserve">to residential customers and </w:t>
      </w:r>
      <w:r w:rsidR="00AF3569" w:rsidRPr="00001309">
        <w:rPr>
          <w:sz w:val="26"/>
          <w:szCs w:val="26"/>
        </w:rPr>
        <w:t>small business</w:t>
      </w:r>
      <w:r w:rsidR="00765709" w:rsidRPr="00001309">
        <w:rPr>
          <w:sz w:val="26"/>
          <w:szCs w:val="26"/>
        </w:rPr>
        <w:t xml:space="preserve"> customers for the overbilling period at issue.  </w:t>
      </w:r>
      <w:r w:rsidR="008C3C07" w:rsidRPr="00001309">
        <w:rPr>
          <w:sz w:val="26"/>
          <w:szCs w:val="26"/>
        </w:rPr>
        <w:t>T</w:t>
      </w:r>
      <w:r w:rsidR="00765709" w:rsidRPr="00001309">
        <w:rPr>
          <w:sz w:val="26"/>
          <w:szCs w:val="26"/>
        </w:rPr>
        <w:t>he ALJs recommended, in pertinent part:</w:t>
      </w:r>
    </w:p>
    <w:p w:rsidR="00C64F7F" w:rsidRPr="00001309" w:rsidRDefault="00C64F7F" w:rsidP="00144BB7">
      <w:pPr>
        <w:autoSpaceDE w:val="0"/>
        <w:autoSpaceDN w:val="0"/>
        <w:rPr>
          <w:sz w:val="26"/>
          <w:szCs w:val="26"/>
        </w:rPr>
      </w:pPr>
    </w:p>
    <w:p w:rsidR="003D6EA1" w:rsidRPr="00001309" w:rsidRDefault="003D6EA1" w:rsidP="003D6EA1">
      <w:pPr>
        <w:shd w:val="clear" w:color="auto" w:fill="FFFFFF"/>
        <w:spacing w:line="240" w:lineRule="auto"/>
        <w:ind w:left="1440" w:right="1440" w:firstLine="720"/>
        <w:rPr>
          <w:sz w:val="26"/>
          <w:szCs w:val="26"/>
        </w:rPr>
      </w:pPr>
      <w:r w:rsidRPr="00001309">
        <w:rPr>
          <w:sz w:val="26"/>
          <w:szCs w:val="26"/>
        </w:rPr>
        <w:t xml:space="preserve">The refund requested of $2.4 million represents the amount charged by Blue Pilot over and above what the EDC </w:t>
      </w:r>
      <w:r w:rsidRPr="00001309">
        <w:rPr>
          <w:sz w:val="26"/>
          <w:szCs w:val="26"/>
        </w:rPr>
        <w:lastRenderedPageBreak/>
        <w:t xml:space="preserve">would have charged for the same usage during the same 4 months – Dec. 2013 –March 2014 regarding approximately 2,516 customers.  The amount was determined by Witness Everette when she analyzed Blue Pilot’s responses to discovery </w:t>
      </w:r>
      <w:proofErr w:type="gramStart"/>
      <w:r w:rsidRPr="00001309">
        <w:rPr>
          <w:sz w:val="26"/>
          <w:szCs w:val="26"/>
        </w:rPr>
        <w:t>requests, and</w:t>
      </w:r>
      <w:proofErr w:type="gramEnd"/>
      <w:r w:rsidRPr="00001309">
        <w:rPr>
          <w:sz w:val="26"/>
          <w:szCs w:val="26"/>
        </w:rPr>
        <w:t xml:space="preserve"> compared its variable rates and the usage of its customers to the PTC rates that the EDCs provided her with regarding small business and residential customers.  Blue Pilot waived cross examination of Ms. Everette’s direct testimony and it was unrefuted. </w:t>
      </w:r>
      <w:r w:rsidR="00374F60" w:rsidRPr="00001309">
        <w:rPr>
          <w:sz w:val="26"/>
          <w:szCs w:val="26"/>
        </w:rPr>
        <w:t xml:space="preserve"> </w:t>
      </w:r>
      <w:r w:rsidRPr="00001309">
        <w:rPr>
          <w:sz w:val="26"/>
          <w:szCs w:val="26"/>
        </w:rPr>
        <w:t xml:space="preserve">Blue Pilot put on no witnesses. </w:t>
      </w:r>
    </w:p>
    <w:p w:rsidR="003D6EA1" w:rsidRPr="00001309" w:rsidRDefault="003D6EA1" w:rsidP="003D6EA1">
      <w:pPr>
        <w:shd w:val="clear" w:color="auto" w:fill="FFFFFF"/>
        <w:spacing w:line="240" w:lineRule="auto"/>
        <w:ind w:left="1440" w:right="1440"/>
        <w:rPr>
          <w:sz w:val="26"/>
          <w:szCs w:val="26"/>
        </w:rPr>
      </w:pPr>
    </w:p>
    <w:p w:rsidR="003D6EA1" w:rsidRPr="00001309" w:rsidRDefault="003D6EA1" w:rsidP="00121E7A">
      <w:pPr>
        <w:shd w:val="clear" w:color="auto" w:fill="FFFFFF"/>
        <w:spacing w:line="240" w:lineRule="auto"/>
        <w:ind w:firstLine="0"/>
        <w:jc w:val="center"/>
        <w:rPr>
          <w:sz w:val="26"/>
          <w:szCs w:val="26"/>
        </w:rPr>
      </w:pPr>
      <w:r w:rsidRPr="00001309">
        <w:rPr>
          <w:sz w:val="26"/>
          <w:szCs w:val="26"/>
        </w:rPr>
        <w:t>*          *          *</w:t>
      </w:r>
    </w:p>
    <w:p w:rsidR="003D6EA1" w:rsidRPr="00001309" w:rsidRDefault="003D6EA1" w:rsidP="003D6EA1">
      <w:pPr>
        <w:shd w:val="clear" w:color="auto" w:fill="FFFFFF"/>
        <w:spacing w:line="240" w:lineRule="auto"/>
        <w:ind w:left="1440" w:right="1440"/>
        <w:rPr>
          <w:sz w:val="26"/>
          <w:szCs w:val="26"/>
        </w:rPr>
      </w:pPr>
    </w:p>
    <w:p w:rsidR="003D6EA1" w:rsidRPr="00001309" w:rsidRDefault="003D6EA1" w:rsidP="008F3340">
      <w:pPr>
        <w:shd w:val="clear" w:color="auto" w:fill="FFFFFF"/>
        <w:spacing w:line="240" w:lineRule="auto"/>
        <w:ind w:left="1440" w:right="1440" w:firstLine="0"/>
        <w:rPr>
          <w:sz w:val="26"/>
          <w:szCs w:val="26"/>
        </w:rPr>
      </w:pPr>
      <w:r w:rsidRPr="00001309">
        <w:rPr>
          <w:sz w:val="26"/>
          <w:szCs w:val="26"/>
        </w:rPr>
        <w:t xml:space="preserve">We find that based upon Blue Pilot’s offers of promised savings and deceptive omissions regarding material factors upon which variable rates would be charged, the variable rate customers in existence during December, 2013 – March, 2014 who were charged above their EDCs’ PTCs during those months were billed not in accordance with 52 </w:t>
      </w:r>
      <w:proofErr w:type="gramStart"/>
      <w:r w:rsidRPr="00001309">
        <w:rPr>
          <w:sz w:val="26"/>
          <w:szCs w:val="26"/>
        </w:rPr>
        <w:t>Pa.Code</w:t>
      </w:r>
      <w:proofErr w:type="gramEnd"/>
      <w:r w:rsidRPr="00001309">
        <w:rPr>
          <w:sz w:val="26"/>
          <w:szCs w:val="26"/>
        </w:rPr>
        <w:t xml:space="preserve"> §</w:t>
      </w:r>
      <w:r w:rsidR="00560EC3" w:rsidRPr="00001309">
        <w:rPr>
          <w:sz w:val="26"/>
          <w:szCs w:val="26"/>
        </w:rPr>
        <w:t> </w:t>
      </w:r>
      <w:r w:rsidRPr="00001309">
        <w:rPr>
          <w:sz w:val="26"/>
          <w:szCs w:val="26"/>
        </w:rPr>
        <w:t>54.4(a).  Thus, the 2,516 customers are entitled to refund relief, because in part we have found at least one violation of Section 54.4(a) concerning each customer’s account.</w:t>
      </w:r>
    </w:p>
    <w:p w:rsidR="003D6EA1" w:rsidRPr="00001309" w:rsidRDefault="003D6EA1" w:rsidP="003D6EA1">
      <w:pPr>
        <w:shd w:val="clear" w:color="auto" w:fill="FFFFFF"/>
        <w:spacing w:line="240" w:lineRule="auto"/>
        <w:ind w:left="1440" w:right="1440" w:firstLine="720"/>
        <w:rPr>
          <w:sz w:val="26"/>
          <w:szCs w:val="26"/>
        </w:rPr>
      </w:pPr>
    </w:p>
    <w:p w:rsidR="003D6EA1" w:rsidRPr="00001309" w:rsidRDefault="003D6EA1" w:rsidP="000459A6">
      <w:pPr>
        <w:shd w:val="clear" w:color="auto" w:fill="FFFFFF"/>
        <w:spacing w:line="240" w:lineRule="auto"/>
        <w:ind w:firstLine="0"/>
        <w:jc w:val="center"/>
        <w:rPr>
          <w:rFonts w:eastAsia="Times New Roman"/>
          <w:sz w:val="26"/>
          <w:szCs w:val="26"/>
        </w:rPr>
      </w:pPr>
      <w:r w:rsidRPr="00001309">
        <w:rPr>
          <w:rFonts w:eastAsia="Times New Roman"/>
          <w:sz w:val="26"/>
          <w:szCs w:val="26"/>
        </w:rPr>
        <w:t>*          *          *</w:t>
      </w:r>
    </w:p>
    <w:p w:rsidR="00121E7A" w:rsidRPr="00001309" w:rsidRDefault="00121E7A" w:rsidP="003D6EA1">
      <w:pPr>
        <w:shd w:val="clear" w:color="auto" w:fill="FFFFFF"/>
        <w:spacing w:line="240" w:lineRule="auto"/>
        <w:ind w:left="1440" w:right="1440" w:firstLine="0"/>
        <w:jc w:val="center"/>
        <w:rPr>
          <w:rFonts w:eastAsia="Times New Roman"/>
          <w:sz w:val="26"/>
          <w:szCs w:val="26"/>
        </w:rPr>
      </w:pPr>
    </w:p>
    <w:p w:rsidR="003D6EA1" w:rsidRPr="00001309" w:rsidRDefault="003D6EA1" w:rsidP="003D6EA1">
      <w:pPr>
        <w:pStyle w:val="Default"/>
        <w:spacing w:line="240" w:lineRule="auto"/>
        <w:ind w:left="1440" w:right="1440" w:firstLine="720"/>
        <w:rPr>
          <w:rFonts w:ascii="Times New Roman" w:hAnsi="Times New Roman" w:cs="Times New Roman"/>
          <w:color w:val="auto"/>
          <w:sz w:val="26"/>
          <w:szCs w:val="26"/>
        </w:rPr>
      </w:pPr>
      <w:r w:rsidRPr="00001309">
        <w:rPr>
          <w:rFonts w:ascii="Times New Roman" w:hAnsi="Times New Roman" w:cs="Times New Roman"/>
          <w:color w:val="auto"/>
          <w:sz w:val="26"/>
          <w:szCs w:val="26"/>
        </w:rPr>
        <w:t xml:space="preserve">We believe finding 7,196 violations of Section 54.4(a) not only supports a civil penalty of </w:t>
      </w:r>
      <w:bookmarkStart w:id="29" w:name="_Hlk511301947"/>
      <w:r w:rsidRPr="00001309">
        <w:rPr>
          <w:rFonts w:ascii="Times New Roman" w:hAnsi="Times New Roman" w:cs="Times New Roman"/>
          <w:color w:val="auto"/>
          <w:sz w:val="26"/>
          <w:szCs w:val="26"/>
        </w:rPr>
        <w:t>$2,554,000</w:t>
      </w:r>
      <w:bookmarkEnd w:id="29"/>
      <w:r w:rsidRPr="00001309">
        <w:rPr>
          <w:rFonts w:ascii="Times New Roman" w:hAnsi="Times New Roman" w:cs="Times New Roman"/>
          <w:color w:val="auto"/>
          <w:sz w:val="26"/>
          <w:szCs w:val="26"/>
        </w:rPr>
        <w:t xml:space="preserve">, but also supports the finding of a $2.4 million refund remedy as these instances of overbilling pertain to all customers on the variable rate plan during the </w:t>
      </w:r>
      <w:proofErr w:type="gramStart"/>
      <w:r w:rsidRPr="00001309">
        <w:rPr>
          <w:rFonts w:ascii="Times New Roman" w:hAnsi="Times New Roman" w:cs="Times New Roman"/>
          <w:color w:val="auto"/>
          <w:sz w:val="26"/>
          <w:szCs w:val="26"/>
        </w:rPr>
        <w:t>time period</w:t>
      </w:r>
      <w:proofErr w:type="gramEnd"/>
      <w:r w:rsidRPr="00001309">
        <w:rPr>
          <w:rFonts w:ascii="Times New Roman" w:hAnsi="Times New Roman" w:cs="Times New Roman"/>
          <w:color w:val="auto"/>
          <w:sz w:val="26"/>
          <w:szCs w:val="26"/>
        </w:rPr>
        <w:t xml:space="preserve"> in question (an average number of 2,516). </w:t>
      </w:r>
    </w:p>
    <w:p w:rsidR="003D6EA1" w:rsidRPr="00001309" w:rsidRDefault="003D6EA1" w:rsidP="003D6EA1">
      <w:pPr>
        <w:shd w:val="clear" w:color="auto" w:fill="FFFFFF"/>
        <w:spacing w:line="240" w:lineRule="auto"/>
        <w:ind w:left="1440" w:right="1440"/>
        <w:rPr>
          <w:sz w:val="26"/>
          <w:szCs w:val="26"/>
        </w:rPr>
      </w:pPr>
    </w:p>
    <w:p w:rsidR="003D6EA1" w:rsidRPr="00001309" w:rsidRDefault="003D6EA1" w:rsidP="003D6EA1">
      <w:pPr>
        <w:shd w:val="clear" w:color="auto" w:fill="FFFFFF"/>
        <w:spacing w:line="240" w:lineRule="auto"/>
        <w:ind w:left="1440" w:right="1440" w:firstLine="720"/>
        <w:rPr>
          <w:sz w:val="26"/>
          <w:szCs w:val="26"/>
        </w:rPr>
      </w:pPr>
      <w:r w:rsidRPr="00001309">
        <w:rPr>
          <w:sz w:val="26"/>
          <w:szCs w:val="26"/>
        </w:rPr>
        <w:t>The evidence in the instant case supports wider findings of overbillings pertaining to approximately 2,516 customers as opposed to just those overbillings pertaining to the 83 con</w:t>
      </w:r>
      <w:r w:rsidR="00750916" w:rsidRPr="00001309">
        <w:rPr>
          <w:sz w:val="26"/>
          <w:szCs w:val="26"/>
        </w:rPr>
        <w:t>-</w:t>
      </w:r>
      <w:proofErr w:type="spellStart"/>
      <w:r w:rsidRPr="00001309">
        <w:rPr>
          <w:sz w:val="26"/>
          <w:szCs w:val="26"/>
        </w:rPr>
        <w:t>sumers</w:t>
      </w:r>
      <w:proofErr w:type="spellEnd"/>
      <w:r w:rsidRPr="00001309">
        <w:rPr>
          <w:sz w:val="26"/>
          <w:szCs w:val="26"/>
        </w:rPr>
        <w:t xml:space="preserve"> testifying, due in large part to the expert witnesses’ testimonies.  </w:t>
      </w:r>
      <w:r w:rsidRPr="00001309">
        <w:rPr>
          <w:sz w:val="26"/>
          <w:szCs w:val="26"/>
          <w:u w:val="single"/>
        </w:rPr>
        <w:t>See</w:t>
      </w:r>
      <w:r w:rsidRPr="00001309">
        <w:rPr>
          <w:sz w:val="26"/>
          <w:szCs w:val="26"/>
        </w:rPr>
        <w:t xml:space="preserve"> </w:t>
      </w:r>
      <w:r w:rsidRPr="00001309">
        <w:rPr>
          <w:sz w:val="26"/>
          <w:szCs w:val="26"/>
          <w:u w:val="single"/>
        </w:rPr>
        <w:t>generally</w:t>
      </w:r>
      <w:r w:rsidRPr="00001309">
        <w:rPr>
          <w:sz w:val="26"/>
          <w:szCs w:val="26"/>
        </w:rPr>
        <w:t xml:space="preserve">, OAG/OCA St. 1. OAG/OCA St. 2. OAG/OCA St. 3 at 2-22.  The Commission has never directed an EGS to refund or rebill for having violated any Section other than Section 54.4(a), except for Sections 57.171-177, pertaining to unauthorized switches. </w:t>
      </w:r>
      <w:r w:rsidR="00374F60" w:rsidRPr="00001309">
        <w:rPr>
          <w:sz w:val="26"/>
          <w:szCs w:val="26"/>
        </w:rPr>
        <w:t xml:space="preserve"> </w:t>
      </w:r>
      <w:r w:rsidRPr="00001309">
        <w:rPr>
          <w:sz w:val="26"/>
          <w:szCs w:val="26"/>
        </w:rPr>
        <w:t xml:space="preserve">There are no slamming allegations in the instant complaint, so Chapter 57 does not apply to this case.  We recognize that in </w:t>
      </w:r>
      <w:r w:rsidRPr="00001309">
        <w:rPr>
          <w:sz w:val="26"/>
          <w:szCs w:val="26"/>
          <w:u w:val="single"/>
        </w:rPr>
        <w:t>Kiback</w:t>
      </w:r>
      <w:r w:rsidRPr="00001309">
        <w:rPr>
          <w:sz w:val="26"/>
          <w:szCs w:val="26"/>
        </w:rPr>
        <w:t xml:space="preserve">, the Commission declared it was not limiting its authority to issue refunds in only two carve-out </w:t>
      </w:r>
      <w:r w:rsidRPr="00001309">
        <w:rPr>
          <w:sz w:val="26"/>
          <w:szCs w:val="26"/>
        </w:rPr>
        <w:lastRenderedPageBreak/>
        <w:t xml:space="preserve">situations involving violations of Chapters 54 or 57.  Although the Commission has identified these two instances where it believes it has the authority to order an EGS to provide a refund, the Commission has specifically rejected the notion that its authority to issue refunds or credits is limited to those two situations.  </w:t>
      </w:r>
      <w:r w:rsidRPr="00001309">
        <w:rPr>
          <w:sz w:val="26"/>
          <w:szCs w:val="26"/>
          <w:u w:val="single"/>
        </w:rPr>
        <w:t>Mickie Schreiber v. Respond Power, LLC</w:t>
      </w:r>
      <w:r w:rsidRPr="00001309">
        <w:rPr>
          <w:sz w:val="26"/>
          <w:szCs w:val="26"/>
        </w:rPr>
        <w:t xml:space="preserve">, Docket Number C-2014-2446282 (Order entered February 11, 2016) at n.8 (noting that the Commission has the authority to order an EGS to issue a refund under “appropriate circumstances.”).  The Commission has consistently directed issuance of refunds when it found violations of Section 54.4(a) in </w:t>
      </w:r>
      <w:r w:rsidRPr="00001309">
        <w:rPr>
          <w:sz w:val="26"/>
          <w:szCs w:val="26"/>
          <w:u w:val="single"/>
        </w:rPr>
        <w:t>Herp</w:t>
      </w:r>
      <w:r w:rsidRPr="00001309">
        <w:rPr>
          <w:sz w:val="26"/>
          <w:szCs w:val="26"/>
        </w:rPr>
        <w:t xml:space="preserve">, </w:t>
      </w:r>
      <w:r w:rsidRPr="00001309">
        <w:rPr>
          <w:sz w:val="26"/>
          <w:szCs w:val="26"/>
          <w:u w:val="single"/>
        </w:rPr>
        <w:t>Kiback</w:t>
      </w:r>
      <w:r w:rsidRPr="00001309">
        <w:rPr>
          <w:sz w:val="26"/>
          <w:szCs w:val="26"/>
        </w:rPr>
        <w:t xml:space="preserve">, </w:t>
      </w:r>
      <w:r w:rsidRPr="00001309">
        <w:rPr>
          <w:sz w:val="26"/>
          <w:szCs w:val="26"/>
          <w:u w:val="single"/>
        </w:rPr>
        <w:t>Durante</w:t>
      </w:r>
      <w:r w:rsidRPr="00001309">
        <w:rPr>
          <w:sz w:val="26"/>
          <w:szCs w:val="26"/>
        </w:rPr>
        <w:t xml:space="preserve">, and </w:t>
      </w:r>
      <w:r w:rsidRPr="00001309">
        <w:rPr>
          <w:sz w:val="26"/>
          <w:szCs w:val="26"/>
          <w:u w:val="single"/>
        </w:rPr>
        <w:t>I&amp;E v. HIKO</w:t>
      </w:r>
      <w:r w:rsidRPr="00001309">
        <w:rPr>
          <w:sz w:val="26"/>
          <w:szCs w:val="26"/>
        </w:rPr>
        <w:t xml:space="preserve">, all fully litigated cases.  (In I&amp;E v. HIKO, the refund relief was </w:t>
      </w:r>
      <w:proofErr w:type="gramStart"/>
      <w:r w:rsidRPr="00001309">
        <w:rPr>
          <w:sz w:val="26"/>
          <w:szCs w:val="26"/>
        </w:rPr>
        <w:t>actually awarded</w:t>
      </w:r>
      <w:proofErr w:type="gramEnd"/>
      <w:r w:rsidRPr="00001309">
        <w:rPr>
          <w:sz w:val="26"/>
          <w:szCs w:val="26"/>
        </w:rPr>
        <w:t xml:space="preserve"> in the companion case of </w:t>
      </w:r>
      <w:r w:rsidRPr="00001309">
        <w:rPr>
          <w:sz w:val="26"/>
          <w:szCs w:val="26"/>
          <w:u w:val="single"/>
        </w:rPr>
        <w:t>OAG/OCA v. HIKO</w:t>
      </w:r>
      <w:r w:rsidRPr="00001309">
        <w:rPr>
          <w:sz w:val="26"/>
          <w:szCs w:val="26"/>
        </w:rPr>
        <w:t>, issued on the same date.)</w:t>
      </w:r>
    </w:p>
    <w:p w:rsidR="003D6EA1" w:rsidRPr="00001309" w:rsidRDefault="003D6EA1" w:rsidP="003D6EA1">
      <w:pPr>
        <w:pStyle w:val="Default"/>
        <w:ind w:left="1440" w:right="1440"/>
        <w:rPr>
          <w:color w:val="auto"/>
          <w:sz w:val="26"/>
          <w:szCs w:val="26"/>
        </w:rPr>
      </w:pPr>
    </w:p>
    <w:p w:rsidR="003D6EA1" w:rsidRPr="00001309" w:rsidRDefault="003D6EA1" w:rsidP="003D6EA1">
      <w:pPr>
        <w:pStyle w:val="Default"/>
        <w:spacing w:line="240" w:lineRule="auto"/>
        <w:ind w:left="1440" w:right="1440" w:firstLine="720"/>
        <w:rPr>
          <w:rFonts w:ascii="Times New Roman" w:hAnsi="Times New Roman" w:cs="Times New Roman"/>
          <w:color w:val="auto"/>
          <w:sz w:val="26"/>
          <w:szCs w:val="26"/>
        </w:rPr>
      </w:pPr>
      <w:r w:rsidRPr="00001309">
        <w:rPr>
          <w:rFonts w:ascii="Times New Roman" w:hAnsi="Times New Roman" w:cs="Times New Roman"/>
          <w:color w:val="auto"/>
          <w:sz w:val="26"/>
          <w:szCs w:val="26"/>
        </w:rPr>
        <w:t>Because there are 7,861 occurrences of overbilling in violation of 52 Pa.Code §54.4(a), similarly we find a refund is due for every overbilling to protect the public.</w:t>
      </w:r>
      <w:r w:rsidR="00750916" w:rsidRPr="00001309">
        <w:rPr>
          <w:rFonts w:ascii="Times New Roman" w:hAnsi="Times New Roman" w:cs="Times New Roman"/>
          <w:color w:val="auto"/>
          <w:sz w:val="26"/>
          <w:szCs w:val="26"/>
        </w:rPr>
        <w:t xml:space="preserve">  </w:t>
      </w:r>
      <w:r w:rsidRPr="00001309">
        <w:rPr>
          <w:rFonts w:ascii="Times New Roman" w:hAnsi="Times New Roman" w:cs="Times New Roman"/>
          <w:color w:val="auto"/>
          <w:sz w:val="26"/>
          <w:szCs w:val="26"/>
        </w:rPr>
        <w:t xml:space="preserve">Specifically, those customers in existence from December 2013 – </w:t>
      </w:r>
      <w:proofErr w:type="gramStart"/>
      <w:r w:rsidRPr="00001309">
        <w:rPr>
          <w:rFonts w:ascii="Times New Roman" w:hAnsi="Times New Roman" w:cs="Times New Roman"/>
          <w:color w:val="auto"/>
          <w:sz w:val="26"/>
          <w:szCs w:val="26"/>
        </w:rPr>
        <w:t>March,</w:t>
      </w:r>
      <w:proofErr w:type="gramEnd"/>
      <w:r w:rsidRPr="00001309">
        <w:rPr>
          <w:rFonts w:ascii="Times New Roman" w:hAnsi="Times New Roman" w:cs="Times New Roman"/>
          <w:color w:val="auto"/>
          <w:sz w:val="26"/>
          <w:szCs w:val="26"/>
        </w:rPr>
        <w:t xml:space="preserve"> 2014 shall receive a refund from a </w:t>
      </w:r>
      <w:r w:rsidR="00CA7BEA" w:rsidRPr="00001309">
        <w:rPr>
          <w:rFonts w:ascii="Times New Roman" w:hAnsi="Times New Roman" w:cs="Times New Roman"/>
          <w:color w:val="auto"/>
          <w:sz w:val="26"/>
          <w:szCs w:val="26"/>
        </w:rPr>
        <w:t>[Refund Pool]</w:t>
      </w:r>
      <w:r w:rsidRPr="00001309">
        <w:rPr>
          <w:rFonts w:ascii="Times New Roman" w:hAnsi="Times New Roman" w:cs="Times New Roman"/>
          <w:color w:val="auto"/>
          <w:sz w:val="26"/>
          <w:szCs w:val="26"/>
        </w:rPr>
        <w:t xml:space="preserve"> in the amount of the difference between the price charged by Blue Pilot and what they would have been charged had they been with their EDC during the same time period.</w:t>
      </w:r>
      <w:r w:rsidR="00750916" w:rsidRPr="00001309">
        <w:rPr>
          <w:rFonts w:ascii="Times New Roman" w:hAnsi="Times New Roman" w:cs="Times New Roman"/>
          <w:color w:val="auto"/>
          <w:sz w:val="26"/>
          <w:szCs w:val="26"/>
        </w:rPr>
        <w:t xml:space="preserve">  </w:t>
      </w:r>
      <w:r w:rsidRPr="00001309">
        <w:rPr>
          <w:rFonts w:ascii="Times New Roman" w:hAnsi="Times New Roman" w:cs="Times New Roman"/>
          <w:color w:val="auto"/>
          <w:sz w:val="26"/>
          <w:szCs w:val="26"/>
        </w:rPr>
        <w:t xml:space="preserve">Consistent with refund pools established in other similar cases, Blue Pilot shall additionally pay $100,000 towards the costs of administering the </w:t>
      </w:r>
      <w:r w:rsidR="00CA7BEA" w:rsidRPr="00001309">
        <w:rPr>
          <w:rFonts w:ascii="Times New Roman" w:hAnsi="Times New Roman" w:cs="Times New Roman"/>
          <w:color w:val="auto"/>
          <w:sz w:val="26"/>
          <w:szCs w:val="26"/>
        </w:rPr>
        <w:t>[Refund Pool]</w:t>
      </w:r>
      <w:r w:rsidRPr="00001309">
        <w:rPr>
          <w:rFonts w:ascii="Times New Roman" w:hAnsi="Times New Roman" w:cs="Times New Roman"/>
          <w:color w:val="auto"/>
          <w:sz w:val="26"/>
          <w:szCs w:val="26"/>
        </w:rPr>
        <w:t>.</w:t>
      </w:r>
      <w:r w:rsidR="00750916" w:rsidRPr="00001309">
        <w:rPr>
          <w:rFonts w:ascii="Times New Roman" w:hAnsi="Times New Roman" w:cs="Times New Roman"/>
          <w:color w:val="auto"/>
          <w:sz w:val="26"/>
          <w:szCs w:val="26"/>
        </w:rPr>
        <w:t xml:space="preserve">  </w:t>
      </w:r>
      <w:r w:rsidRPr="00001309">
        <w:rPr>
          <w:rFonts w:ascii="Times New Roman" w:hAnsi="Times New Roman" w:cs="Times New Roman"/>
          <w:color w:val="auto"/>
          <w:sz w:val="26"/>
          <w:szCs w:val="26"/>
        </w:rPr>
        <w:t xml:space="preserve">Any fees over and above $100,000 shall be taken from the </w:t>
      </w:r>
      <w:r w:rsidR="00CA7BEA" w:rsidRPr="00001309">
        <w:rPr>
          <w:rFonts w:ascii="Times New Roman" w:hAnsi="Times New Roman" w:cs="Times New Roman"/>
          <w:color w:val="auto"/>
          <w:sz w:val="26"/>
          <w:szCs w:val="26"/>
        </w:rPr>
        <w:t>[Refund Pool]</w:t>
      </w:r>
      <w:r w:rsidRPr="00001309">
        <w:rPr>
          <w:rFonts w:ascii="Times New Roman" w:hAnsi="Times New Roman" w:cs="Times New Roman"/>
          <w:color w:val="auto"/>
          <w:sz w:val="26"/>
          <w:szCs w:val="26"/>
        </w:rPr>
        <w:t>.</w:t>
      </w:r>
    </w:p>
    <w:p w:rsidR="003D6EA1" w:rsidRPr="00001309" w:rsidRDefault="003D6EA1" w:rsidP="003D6EA1">
      <w:pPr>
        <w:shd w:val="clear" w:color="auto" w:fill="FFFFFF"/>
        <w:spacing w:line="240" w:lineRule="auto"/>
        <w:ind w:left="1440" w:right="1440"/>
        <w:rPr>
          <w:sz w:val="26"/>
          <w:szCs w:val="26"/>
        </w:rPr>
      </w:pPr>
    </w:p>
    <w:p w:rsidR="00E721A7" w:rsidRPr="00001309" w:rsidRDefault="003D6EA1" w:rsidP="003D6EA1">
      <w:pPr>
        <w:shd w:val="clear" w:color="auto" w:fill="FFFFFF"/>
        <w:spacing w:line="240" w:lineRule="auto"/>
        <w:ind w:left="1440" w:right="1440" w:firstLine="720"/>
        <w:rPr>
          <w:sz w:val="26"/>
          <w:szCs w:val="26"/>
        </w:rPr>
      </w:pPr>
      <w:r w:rsidRPr="00001309">
        <w:rPr>
          <w:sz w:val="26"/>
          <w:szCs w:val="26"/>
        </w:rPr>
        <w:t xml:space="preserve">As such, Blue Pilot shall be directed to provide refunds to its customers for overcharges in </w:t>
      </w:r>
      <w:proofErr w:type="gramStart"/>
      <w:r w:rsidRPr="00001309">
        <w:rPr>
          <w:sz w:val="26"/>
          <w:szCs w:val="26"/>
        </w:rPr>
        <w:t>December,</w:t>
      </w:r>
      <w:proofErr w:type="gramEnd"/>
      <w:r w:rsidRPr="00001309">
        <w:rPr>
          <w:sz w:val="26"/>
          <w:szCs w:val="26"/>
        </w:rPr>
        <w:t xml:space="preserve"> 2013 through March 2014, through a third-party Administrator as retained by Joint Complainants.  The aggregate amount due to Blue Pilot’s customers for this period is approximately $2,459,517. However, as OAG/OCA request a lesser amount of $2,408,449 in their briefs, we are willing to direct the latter amount.  Blue Pilot is directed to provide a full accounting of refunds and bill credits provided to its Pennsylvania customers, including a detailed explanation of to which billing a refund or bill credit applies, so that an appropriate mitigation credit may be determined in this proceeding. </w:t>
      </w:r>
      <w:r w:rsidR="00BE5461" w:rsidRPr="00001309">
        <w:rPr>
          <w:sz w:val="26"/>
          <w:szCs w:val="26"/>
        </w:rPr>
        <w:t xml:space="preserve"> </w:t>
      </w:r>
      <w:r w:rsidRPr="00001309">
        <w:rPr>
          <w:sz w:val="26"/>
          <w:szCs w:val="26"/>
        </w:rPr>
        <w:t xml:space="preserve">Further, Blue Pilot should be directed to provide a full and complete accounting of the </w:t>
      </w:r>
    </w:p>
    <w:p w:rsidR="003D6EA1" w:rsidRPr="00001309" w:rsidRDefault="003D6EA1" w:rsidP="00E721A7">
      <w:pPr>
        <w:keepNext/>
        <w:keepLines/>
        <w:shd w:val="clear" w:color="auto" w:fill="FFFFFF"/>
        <w:spacing w:line="240" w:lineRule="auto"/>
        <w:ind w:left="1440" w:right="1440" w:firstLine="0"/>
        <w:rPr>
          <w:sz w:val="26"/>
          <w:szCs w:val="26"/>
        </w:rPr>
      </w:pPr>
      <w:r w:rsidRPr="00001309">
        <w:rPr>
          <w:sz w:val="26"/>
          <w:szCs w:val="26"/>
        </w:rPr>
        <w:lastRenderedPageBreak/>
        <w:t>amounts billed over the applicable PTCs and refunds due for its customers as part of a compliance filing.</w:t>
      </w:r>
    </w:p>
    <w:p w:rsidR="00DA0824" w:rsidRPr="00001309" w:rsidRDefault="00DA0824" w:rsidP="00E721A7">
      <w:pPr>
        <w:keepNext/>
        <w:keepLines/>
        <w:shd w:val="clear" w:color="auto" w:fill="FFFFFF"/>
        <w:spacing w:line="240" w:lineRule="auto"/>
        <w:ind w:left="1440" w:right="1440" w:firstLine="720"/>
        <w:rPr>
          <w:sz w:val="26"/>
          <w:szCs w:val="26"/>
        </w:rPr>
      </w:pPr>
    </w:p>
    <w:p w:rsidR="00DA0824" w:rsidRPr="00001309" w:rsidRDefault="00DA0824" w:rsidP="00E721A7">
      <w:pPr>
        <w:keepNext/>
        <w:keepLines/>
        <w:shd w:val="clear" w:color="auto" w:fill="FFFFFF"/>
        <w:spacing w:line="240" w:lineRule="auto"/>
        <w:ind w:left="1440" w:right="1440" w:firstLine="720"/>
        <w:rPr>
          <w:sz w:val="26"/>
          <w:szCs w:val="26"/>
        </w:rPr>
      </w:pPr>
    </w:p>
    <w:p w:rsidR="003D6EA1" w:rsidRPr="00001309" w:rsidRDefault="003D6EA1" w:rsidP="003D6EA1">
      <w:pPr>
        <w:shd w:val="clear" w:color="auto" w:fill="FFFFFF"/>
        <w:ind w:firstLine="0"/>
        <w:rPr>
          <w:sz w:val="26"/>
          <w:szCs w:val="26"/>
        </w:rPr>
      </w:pPr>
      <w:r w:rsidRPr="00001309">
        <w:rPr>
          <w:sz w:val="26"/>
          <w:szCs w:val="26"/>
        </w:rPr>
        <w:t>I.D. at 146-150; notes omitted.</w:t>
      </w:r>
      <w:r w:rsidR="004E4943" w:rsidRPr="00001309">
        <w:rPr>
          <w:rStyle w:val="FootnoteReference"/>
          <w:sz w:val="26"/>
          <w:szCs w:val="26"/>
        </w:rPr>
        <w:footnoteReference w:id="31"/>
      </w:r>
    </w:p>
    <w:p w:rsidR="00237609" w:rsidRPr="00001309" w:rsidRDefault="00237609" w:rsidP="003D6EA1">
      <w:pPr>
        <w:autoSpaceDE w:val="0"/>
        <w:autoSpaceDN w:val="0"/>
        <w:rPr>
          <w:sz w:val="26"/>
          <w:szCs w:val="26"/>
        </w:rPr>
      </w:pPr>
    </w:p>
    <w:p w:rsidR="00834CCA" w:rsidRPr="00001309" w:rsidRDefault="001A281E" w:rsidP="001A281E">
      <w:pPr>
        <w:keepNext/>
        <w:keepLines/>
        <w:autoSpaceDE w:val="0"/>
        <w:autoSpaceDN w:val="0"/>
        <w:spacing w:line="240" w:lineRule="auto"/>
        <w:ind w:firstLine="0"/>
        <w:rPr>
          <w:b/>
          <w:sz w:val="26"/>
          <w:szCs w:val="26"/>
        </w:rPr>
      </w:pPr>
      <w:r w:rsidRPr="00001309">
        <w:rPr>
          <w:b/>
          <w:sz w:val="26"/>
          <w:szCs w:val="26"/>
        </w:rPr>
        <w:tab/>
      </w:r>
      <w:r w:rsidR="00747231" w:rsidRPr="00001309">
        <w:rPr>
          <w:b/>
          <w:sz w:val="26"/>
          <w:szCs w:val="26"/>
        </w:rPr>
        <w:t>3</w:t>
      </w:r>
      <w:r w:rsidR="00DA0824" w:rsidRPr="00001309">
        <w:rPr>
          <w:b/>
          <w:sz w:val="26"/>
          <w:szCs w:val="26"/>
        </w:rPr>
        <w:t>.</w:t>
      </w:r>
      <w:r w:rsidR="00DA0824" w:rsidRPr="00001309">
        <w:rPr>
          <w:b/>
          <w:sz w:val="26"/>
          <w:szCs w:val="26"/>
        </w:rPr>
        <w:tab/>
      </w:r>
      <w:r w:rsidR="00834CCA" w:rsidRPr="00001309">
        <w:rPr>
          <w:b/>
          <w:sz w:val="26"/>
          <w:szCs w:val="26"/>
        </w:rPr>
        <w:t xml:space="preserve">Exceptions of Blue Pilot and Replies of </w:t>
      </w:r>
      <w:r w:rsidR="00F429DB">
        <w:rPr>
          <w:b/>
          <w:sz w:val="26"/>
          <w:szCs w:val="26"/>
        </w:rPr>
        <w:t xml:space="preserve">the </w:t>
      </w:r>
      <w:r w:rsidR="00834CCA" w:rsidRPr="00001309">
        <w:rPr>
          <w:b/>
          <w:sz w:val="26"/>
          <w:szCs w:val="26"/>
        </w:rPr>
        <w:t>Joint Complainants</w:t>
      </w:r>
    </w:p>
    <w:p w:rsidR="0049201A" w:rsidRPr="00001309" w:rsidRDefault="0049201A" w:rsidP="00CC2062">
      <w:pPr>
        <w:keepNext/>
        <w:keepLines/>
        <w:autoSpaceDE w:val="0"/>
        <w:autoSpaceDN w:val="0"/>
        <w:rPr>
          <w:sz w:val="26"/>
          <w:szCs w:val="26"/>
        </w:rPr>
      </w:pPr>
    </w:p>
    <w:p w:rsidR="003D6EA1" w:rsidRPr="00001309" w:rsidRDefault="00D6556A" w:rsidP="002F4D2A">
      <w:pPr>
        <w:autoSpaceDE w:val="0"/>
        <w:autoSpaceDN w:val="0"/>
        <w:adjustRightInd w:val="0"/>
        <w:rPr>
          <w:sz w:val="26"/>
          <w:szCs w:val="26"/>
        </w:rPr>
      </w:pPr>
      <w:r w:rsidRPr="00001309">
        <w:rPr>
          <w:sz w:val="26"/>
          <w:szCs w:val="26"/>
        </w:rPr>
        <w:t>Blue Pilot filed</w:t>
      </w:r>
      <w:r w:rsidR="00E351AB" w:rsidRPr="00001309">
        <w:rPr>
          <w:sz w:val="26"/>
          <w:szCs w:val="26"/>
        </w:rPr>
        <w:t xml:space="preserve"> Exceptions to the </w:t>
      </w:r>
      <w:r w:rsidR="00155D25" w:rsidRPr="00001309">
        <w:rPr>
          <w:sz w:val="26"/>
          <w:szCs w:val="26"/>
        </w:rPr>
        <w:t>Initial Decision</w:t>
      </w:r>
      <w:r w:rsidR="00E351AB" w:rsidRPr="00001309">
        <w:rPr>
          <w:sz w:val="26"/>
          <w:szCs w:val="26"/>
        </w:rPr>
        <w:t xml:space="preserve"> concerning th</w:t>
      </w:r>
      <w:r w:rsidR="00D57D64" w:rsidRPr="00001309">
        <w:rPr>
          <w:sz w:val="26"/>
          <w:szCs w:val="26"/>
        </w:rPr>
        <w:t>e finding</w:t>
      </w:r>
      <w:r w:rsidR="0049201A" w:rsidRPr="00001309">
        <w:rPr>
          <w:sz w:val="26"/>
          <w:szCs w:val="26"/>
        </w:rPr>
        <w:t>s</w:t>
      </w:r>
      <w:r w:rsidR="00D57D64" w:rsidRPr="00001309">
        <w:rPr>
          <w:sz w:val="26"/>
          <w:szCs w:val="26"/>
        </w:rPr>
        <w:t xml:space="preserve"> </w:t>
      </w:r>
      <w:r w:rsidR="003E6BA7" w:rsidRPr="00001309">
        <w:rPr>
          <w:sz w:val="26"/>
          <w:szCs w:val="26"/>
        </w:rPr>
        <w:t xml:space="preserve">and recommendations of the ALJs </w:t>
      </w:r>
      <w:r w:rsidR="00D57D64" w:rsidRPr="00001309">
        <w:rPr>
          <w:sz w:val="26"/>
          <w:szCs w:val="26"/>
        </w:rPr>
        <w:t>in this area.  Exc. at 15-23.</w:t>
      </w:r>
      <w:r w:rsidR="003D6EA1" w:rsidRPr="00001309">
        <w:rPr>
          <w:sz w:val="26"/>
          <w:szCs w:val="26"/>
        </w:rPr>
        <w:t xml:space="preserve">  Blue Pilot Exceptions “F” and “I” also </w:t>
      </w:r>
      <w:r w:rsidR="007862EA" w:rsidRPr="00001309">
        <w:rPr>
          <w:sz w:val="26"/>
          <w:szCs w:val="26"/>
        </w:rPr>
        <w:t xml:space="preserve">lodge objections to </w:t>
      </w:r>
      <w:r w:rsidR="003D6EA1" w:rsidRPr="00001309">
        <w:rPr>
          <w:sz w:val="26"/>
          <w:szCs w:val="26"/>
        </w:rPr>
        <w:t xml:space="preserve">the use of </w:t>
      </w:r>
      <w:r w:rsidR="007862EA" w:rsidRPr="00001309">
        <w:rPr>
          <w:sz w:val="26"/>
          <w:szCs w:val="26"/>
        </w:rPr>
        <w:t>the</w:t>
      </w:r>
      <w:r w:rsidR="003D6EA1" w:rsidRPr="00001309">
        <w:rPr>
          <w:sz w:val="26"/>
          <w:szCs w:val="26"/>
        </w:rPr>
        <w:t xml:space="preserve"> finding</w:t>
      </w:r>
      <w:r w:rsidR="007862EA" w:rsidRPr="00001309">
        <w:rPr>
          <w:sz w:val="26"/>
          <w:szCs w:val="26"/>
        </w:rPr>
        <w:t>s</w:t>
      </w:r>
      <w:r w:rsidR="003D6EA1" w:rsidRPr="00001309">
        <w:rPr>
          <w:sz w:val="26"/>
          <w:szCs w:val="26"/>
        </w:rPr>
        <w:t xml:space="preserve"> </w:t>
      </w:r>
      <w:r w:rsidR="003E6BA7" w:rsidRPr="00001309">
        <w:rPr>
          <w:sz w:val="26"/>
          <w:szCs w:val="26"/>
        </w:rPr>
        <w:t xml:space="preserve">and conclusions </w:t>
      </w:r>
      <w:r w:rsidR="003D6EA1" w:rsidRPr="00001309">
        <w:rPr>
          <w:sz w:val="26"/>
          <w:szCs w:val="26"/>
        </w:rPr>
        <w:t xml:space="preserve">to </w:t>
      </w:r>
      <w:r w:rsidR="003E6BA7" w:rsidRPr="00001309">
        <w:rPr>
          <w:sz w:val="26"/>
          <w:szCs w:val="26"/>
        </w:rPr>
        <w:t xml:space="preserve">further </w:t>
      </w:r>
      <w:r w:rsidR="003D6EA1" w:rsidRPr="00001309">
        <w:rPr>
          <w:sz w:val="26"/>
          <w:szCs w:val="26"/>
        </w:rPr>
        <w:t>support a recommendation for refund</w:t>
      </w:r>
      <w:r w:rsidR="003E6BA7" w:rsidRPr="00001309">
        <w:rPr>
          <w:sz w:val="26"/>
          <w:szCs w:val="26"/>
        </w:rPr>
        <w:t xml:space="preserve"> and/or billing credit to Blue Pilot customers</w:t>
      </w:r>
      <w:r w:rsidR="003D6EA1" w:rsidRPr="00001309">
        <w:rPr>
          <w:sz w:val="26"/>
          <w:szCs w:val="26"/>
        </w:rPr>
        <w:t xml:space="preserve">.  </w:t>
      </w:r>
      <w:r w:rsidR="003D6EA1" w:rsidRPr="00001309">
        <w:rPr>
          <w:i/>
          <w:sz w:val="26"/>
          <w:szCs w:val="26"/>
        </w:rPr>
        <w:t>See</w:t>
      </w:r>
      <w:r w:rsidR="003D6EA1" w:rsidRPr="00001309">
        <w:rPr>
          <w:sz w:val="26"/>
          <w:szCs w:val="26"/>
        </w:rPr>
        <w:t xml:space="preserve"> Exception F</w:t>
      </w:r>
      <w:r w:rsidR="003E6BA7" w:rsidRPr="00001309">
        <w:rPr>
          <w:sz w:val="26"/>
          <w:szCs w:val="26"/>
        </w:rPr>
        <w:t xml:space="preserve"> at 27-30</w:t>
      </w:r>
      <w:r w:rsidR="003D6EA1" w:rsidRPr="00001309">
        <w:rPr>
          <w:sz w:val="26"/>
          <w:szCs w:val="26"/>
        </w:rPr>
        <w:t xml:space="preserve"> </w:t>
      </w:r>
      <w:r w:rsidR="007862EA" w:rsidRPr="00001309">
        <w:rPr>
          <w:sz w:val="26"/>
          <w:szCs w:val="26"/>
        </w:rPr>
        <w:t>–</w:t>
      </w:r>
      <w:r w:rsidR="003D6EA1" w:rsidRPr="00001309">
        <w:rPr>
          <w:sz w:val="26"/>
          <w:szCs w:val="26"/>
        </w:rPr>
        <w:t xml:space="preserve"> </w:t>
      </w:r>
      <w:r w:rsidR="007862EA" w:rsidRPr="00001309">
        <w:rPr>
          <w:sz w:val="26"/>
          <w:szCs w:val="26"/>
        </w:rPr>
        <w:t xml:space="preserve">“The ID Errs by Treating this Proceeding as a Class Action Lawsuit,” </w:t>
      </w:r>
      <w:r w:rsidR="003D6EA1" w:rsidRPr="00001309">
        <w:rPr>
          <w:sz w:val="26"/>
          <w:szCs w:val="26"/>
        </w:rPr>
        <w:t>and Exception I</w:t>
      </w:r>
      <w:r w:rsidR="003E6BA7" w:rsidRPr="00001309">
        <w:rPr>
          <w:sz w:val="26"/>
          <w:szCs w:val="26"/>
        </w:rPr>
        <w:t>, at 38-39</w:t>
      </w:r>
      <w:r w:rsidR="003D6EA1" w:rsidRPr="00001309">
        <w:rPr>
          <w:sz w:val="26"/>
          <w:szCs w:val="26"/>
        </w:rPr>
        <w:t xml:space="preserve"> </w:t>
      </w:r>
      <w:r w:rsidR="007862EA" w:rsidRPr="00001309">
        <w:rPr>
          <w:sz w:val="26"/>
          <w:szCs w:val="26"/>
        </w:rPr>
        <w:t>– “</w:t>
      </w:r>
      <w:r w:rsidR="003D6EA1" w:rsidRPr="00001309">
        <w:rPr>
          <w:sz w:val="26"/>
          <w:szCs w:val="26"/>
        </w:rPr>
        <w:t>The ID Errs in Concluding that the Commission May Direct BPE to Issue</w:t>
      </w:r>
      <w:r w:rsidR="002F4D2A" w:rsidRPr="00001309">
        <w:rPr>
          <w:sz w:val="26"/>
          <w:szCs w:val="26"/>
        </w:rPr>
        <w:t xml:space="preserve"> </w:t>
      </w:r>
      <w:r w:rsidR="003D6EA1" w:rsidRPr="00001309">
        <w:rPr>
          <w:sz w:val="26"/>
          <w:szCs w:val="26"/>
        </w:rPr>
        <w:t>Refunds to All Customers</w:t>
      </w:r>
      <w:r w:rsidR="003E6BA7" w:rsidRPr="00001309">
        <w:rPr>
          <w:sz w:val="26"/>
          <w:szCs w:val="26"/>
        </w:rPr>
        <w:t>.</w:t>
      </w:r>
      <w:r w:rsidR="007862EA" w:rsidRPr="00001309">
        <w:rPr>
          <w:sz w:val="26"/>
          <w:szCs w:val="26"/>
        </w:rPr>
        <w:t>”</w:t>
      </w:r>
    </w:p>
    <w:p w:rsidR="003D6EA1" w:rsidRPr="00001309" w:rsidRDefault="003D6EA1" w:rsidP="00847065">
      <w:pPr>
        <w:autoSpaceDE w:val="0"/>
        <w:autoSpaceDN w:val="0"/>
        <w:rPr>
          <w:sz w:val="26"/>
          <w:szCs w:val="26"/>
        </w:rPr>
      </w:pPr>
    </w:p>
    <w:p w:rsidR="00834CCA" w:rsidRPr="00001309" w:rsidRDefault="0049201A" w:rsidP="00847065">
      <w:pPr>
        <w:autoSpaceDE w:val="0"/>
        <w:autoSpaceDN w:val="0"/>
        <w:rPr>
          <w:sz w:val="26"/>
          <w:szCs w:val="26"/>
        </w:rPr>
      </w:pPr>
      <w:r w:rsidRPr="00001309">
        <w:rPr>
          <w:sz w:val="26"/>
          <w:szCs w:val="26"/>
        </w:rPr>
        <w:t xml:space="preserve">Initially, Blue Pilot objects that the ALJs have improperly relied on extrinsic evidence, </w:t>
      </w:r>
      <w:r w:rsidRPr="00001309">
        <w:rPr>
          <w:i/>
          <w:sz w:val="26"/>
          <w:szCs w:val="26"/>
        </w:rPr>
        <w:t>i.e</w:t>
      </w:r>
      <w:r w:rsidRPr="00001309">
        <w:rPr>
          <w:sz w:val="26"/>
          <w:szCs w:val="26"/>
        </w:rPr>
        <w:t>. statements outside of the “four corners” of the applicable disclosure statement information</w:t>
      </w:r>
      <w:r w:rsidR="003D144C" w:rsidRPr="00001309">
        <w:rPr>
          <w:sz w:val="26"/>
          <w:szCs w:val="26"/>
        </w:rPr>
        <w:t xml:space="preserve"> and documents</w:t>
      </w:r>
      <w:r w:rsidR="009A5FFF" w:rsidRPr="00001309">
        <w:rPr>
          <w:sz w:val="26"/>
          <w:szCs w:val="26"/>
        </w:rPr>
        <w:t>,</w:t>
      </w:r>
      <w:r w:rsidRPr="00001309">
        <w:rPr>
          <w:sz w:val="26"/>
          <w:szCs w:val="26"/>
        </w:rPr>
        <w:t xml:space="preserve"> to arrive at their conclusions of a violation of the Code and Commission Regulations</w:t>
      </w:r>
      <w:r w:rsidR="002C1402" w:rsidRPr="00001309">
        <w:rPr>
          <w:sz w:val="26"/>
          <w:szCs w:val="26"/>
        </w:rPr>
        <w:t>.</w:t>
      </w:r>
      <w:r w:rsidRPr="00001309">
        <w:rPr>
          <w:sz w:val="26"/>
          <w:szCs w:val="26"/>
        </w:rPr>
        <w:t xml:space="preserve">  Exc. at</w:t>
      </w:r>
      <w:r w:rsidR="004C6E53" w:rsidRPr="00001309">
        <w:rPr>
          <w:sz w:val="26"/>
          <w:szCs w:val="26"/>
        </w:rPr>
        <w:t xml:space="preserve"> 16.  This is, argues Blue Pilot, a deviation from the </w:t>
      </w:r>
      <w:r w:rsidR="003D144C" w:rsidRPr="00001309">
        <w:rPr>
          <w:sz w:val="26"/>
          <w:szCs w:val="26"/>
        </w:rPr>
        <w:t xml:space="preserve">principles applicable to </w:t>
      </w:r>
      <w:r w:rsidR="004C6E53" w:rsidRPr="00001309">
        <w:rPr>
          <w:sz w:val="26"/>
          <w:szCs w:val="26"/>
        </w:rPr>
        <w:t>review</w:t>
      </w:r>
      <w:r w:rsidR="002C1402" w:rsidRPr="00001309">
        <w:rPr>
          <w:sz w:val="26"/>
          <w:szCs w:val="26"/>
        </w:rPr>
        <w:t>ing</w:t>
      </w:r>
      <w:r w:rsidR="004C6E53" w:rsidRPr="00001309">
        <w:rPr>
          <w:sz w:val="26"/>
          <w:szCs w:val="26"/>
        </w:rPr>
        <w:t xml:space="preserve"> a contract dispute.</w:t>
      </w:r>
      <w:r w:rsidR="009A5FFF" w:rsidRPr="00001309">
        <w:rPr>
          <w:sz w:val="26"/>
          <w:szCs w:val="26"/>
        </w:rPr>
        <w:t xml:space="preserve">  </w:t>
      </w:r>
      <w:r w:rsidR="009A5FFF" w:rsidRPr="00001309">
        <w:rPr>
          <w:i/>
          <w:sz w:val="26"/>
          <w:szCs w:val="26"/>
        </w:rPr>
        <w:t>Id</w:t>
      </w:r>
      <w:r w:rsidR="009A5FFF" w:rsidRPr="00001309">
        <w:rPr>
          <w:sz w:val="26"/>
          <w:szCs w:val="26"/>
        </w:rPr>
        <w:t>.</w:t>
      </w:r>
    </w:p>
    <w:p w:rsidR="00D6556A" w:rsidRPr="00001309" w:rsidRDefault="00D6556A" w:rsidP="00D6556A">
      <w:pPr>
        <w:autoSpaceDE w:val="0"/>
        <w:autoSpaceDN w:val="0"/>
        <w:rPr>
          <w:sz w:val="26"/>
          <w:szCs w:val="26"/>
        </w:rPr>
      </w:pPr>
    </w:p>
    <w:p w:rsidR="00D6556A" w:rsidRPr="00001309" w:rsidRDefault="00353A5A" w:rsidP="00D6556A">
      <w:pPr>
        <w:autoSpaceDE w:val="0"/>
        <w:autoSpaceDN w:val="0"/>
        <w:adjustRightInd w:val="0"/>
        <w:rPr>
          <w:sz w:val="26"/>
          <w:szCs w:val="26"/>
        </w:rPr>
      </w:pPr>
      <w:r w:rsidRPr="00001309">
        <w:rPr>
          <w:sz w:val="26"/>
          <w:szCs w:val="26"/>
        </w:rPr>
        <w:t>Blue Pilot goes on to object to the ALJs’ conclusions as infirm, as they are</w:t>
      </w:r>
      <w:r w:rsidR="00EB48E2" w:rsidRPr="00001309">
        <w:rPr>
          <w:sz w:val="26"/>
          <w:szCs w:val="26"/>
        </w:rPr>
        <w:t xml:space="preserve"> alleged to be</w:t>
      </w:r>
      <w:r w:rsidRPr="00001309">
        <w:rPr>
          <w:sz w:val="26"/>
          <w:szCs w:val="26"/>
        </w:rPr>
        <w:t xml:space="preserve"> based on “</w:t>
      </w:r>
      <w:r w:rsidR="00D6556A" w:rsidRPr="00001309">
        <w:rPr>
          <w:sz w:val="26"/>
          <w:szCs w:val="26"/>
        </w:rPr>
        <w:t>snippets</w:t>
      </w:r>
      <w:r w:rsidRPr="00001309">
        <w:rPr>
          <w:sz w:val="26"/>
          <w:szCs w:val="26"/>
        </w:rPr>
        <w:t>”</w:t>
      </w:r>
      <w:r w:rsidR="00D6556A" w:rsidRPr="00001309">
        <w:rPr>
          <w:sz w:val="26"/>
          <w:szCs w:val="26"/>
        </w:rPr>
        <w:t xml:space="preserve"> from the testimony of a small sampling </w:t>
      </w:r>
      <w:r w:rsidRPr="00001309">
        <w:rPr>
          <w:sz w:val="26"/>
          <w:szCs w:val="26"/>
        </w:rPr>
        <w:t xml:space="preserve">size </w:t>
      </w:r>
      <w:r w:rsidR="00D6556A" w:rsidRPr="00001309">
        <w:rPr>
          <w:sz w:val="26"/>
          <w:szCs w:val="26"/>
        </w:rPr>
        <w:t xml:space="preserve">of </w:t>
      </w:r>
      <w:r w:rsidRPr="00001309">
        <w:rPr>
          <w:sz w:val="26"/>
          <w:szCs w:val="26"/>
        </w:rPr>
        <w:t xml:space="preserve">its </w:t>
      </w:r>
      <w:r w:rsidR="00D6556A" w:rsidRPr="00001309">
        <w:rPr>
          <w:sz w:val="26"/>
          <w:szCs w:val="26"/>
        </w:rPr>
        <w:t>consumers</w:t>
      </w:r>
      <w:r w:rsidRPr="00001309">
        <w:rPr>
          <w:sz w:val="26"/>
          <w:szCs w:val="26"/>
        </w:rPr>
        <w:t>.  Blue Pilot argues that the ALJs</w:t>
      </w:r>
      <w:r w:rsidR="00747231" w:rsidRPr="00001309">
        <w:rPr>
          <w:sz w:val="26"/>
          <w:szCs w:val="26"/>
        </w:rPr>
        <w:t>’</w:t>
      </w:r>
      <w:r w:rsidRPr="00001309">
        <w:rPr>
          <w:sz w:val="26"/>
          <w:szCs w:val="26"/>
        </w:rPr>
        <w:t xml:space="preserve"> co</w:t>
      </w:r>
      <w:r w:rsidR="00D6556A" w:rsidRPr="00001309">
        <w:rPr>
          <w:sz w:val="26"/>
          <w:szCs w:val="26"/>
        </w:rPr>
        <w:t>n</w:t>
      </w:r>
      <w:r w:rsidRPr="00001309">
        <w:rPr>
          <w:sz w:val="26"/>
          <w:szCs w:val="26"/>
        </w:rPr>
        <w:t>clusions do not</w:t>
      </w:r>
      <w:r w:rsidR="00D6556A" w:rsidRPr="00001309">
        <w:rPr>
          <w:sz w:val="26"/>
          <w:szCs w:val="26"/>
        </w:rPr>
        <w:t xml:space="preserve"> address</w:t>
      </w:r>
      <w:r w:rsidRPr="00001309">
        <w:rPr>
          <w:sz w:val="26"/>
          <w:szCs w:val="26"/>
        </w:rPr>
        <w:t xml:space="preserve"> </w:t>
      </w:r>
      <w:r w:rsidR="00D6556A" w:rsidRPr="00001309">
        <w:rPr>
          <w:sz w:val="26"/>
          <w:szCs w:val="26"/>
        </w:rPr>
        <w:t xml:space="preserve">the situations in </w:t>
      </w:r>
      <w:r w:rsidR="00D6556A" w:rsidRPr="00001309">
        <w:rPr>
          <w:sz w:val="26"/>
          <w:szCs w:val="26"/>
        </w:rPr>
        <w:lastRenderedPageBreak/>
        <w:t xml:space="preserve">which </w:t>
      </w:r>
      <w:r w:rsidRPr="00001309">
        <w:rPr>
          <w:sz w:val="26"/>
          <w:szCs w:val="26"/>
        </w:rPr>
        <w:t>it</w:t>
      </w:r>
      <w:r w:rsidR="00D6556A" w:rsidRPr="00001309">
        <w:rPr>
          <w:sz w:val="26"/>
          <w:szCs w:val="26"/>
        </w:rPr>
        <w:t xml:space="preserve"> has shown th</w:t>
      </w:r>
      <w:r w:rsidR="002C1402" w:rsidRPr="00001309">
        <w:rPr>
          <w:sz w:val="26"/>
          <w:szCs w:val="26"/>
        </w:rPr>
        <w:t>e</w:t>
      </w:r>
      <w:r w:rsidR="00D6556A" w:rsidRPr="00001309">
        <w:rPr>
          <w:sz w:val="26"/>
          <w:szCs w:val="26"/>
        </w:rPr>
        <w:t xml:space="preserve"> </w:t>
      </w:r>
      <w:r w:rsidRPr="00001309">
        <w:rPr>
          <w:sz w:val="26"/>
          <w:szCs w:val="26"/>
        </w:rPr>
        <w:t xml:space="preserve">consumer </w:t>
      </w:r>
      <w:r w:rsidR="00D6556A" w:rsidRPr="00001309">
        <w:rPr>
          <w:sz w:val="26"/>
          <w:szCs w:val="26"/>
        </w:rPr>
        <w:t xml:space="preserve">testimony </w:t>
      </w:r>
      <w:r w:rsidR="002C1402" w:rsidRPr="00001309">
        <w:rPr>
          <w:sz w:val="26"/>
          <w:szCs w:val="26"/>
        </w:rPr>
        <w:t xml:space="preserve">sponsored by </w:t>
      </w:r>
      <w:r w:rsidR="008D34CA">
        <w:rPr>
          <w:sz w:val="26"/>
          <w:szCs w:val="26"/>
        </w:rPr>
        <w:t xml:space="preserve">the </w:t>
      </w:r>
      <w:r w:rsidR="002C1402" w:rsidRPr="00001309">
        <w:rPr>
          <w:sz w:val="26"/>
          <w:szCs w:val="26"/>
        </w:rPr>
        <w:t>Join</w:t>
      </w:r>
      <w:r w:rsidR="00D6556A" w:rsidRPr="00001309">
        <w:rPr>
          <w:sz w:val="26"/>
          <w:szCs w:val="26"/>
        </w:rPr>
        <w:t>t</w:t>
      </w:r>
      <w:r w:rsidR="002C1402" w:rsidRPr="00001309">
        <w:rPr>
          <w:sz w:val="26"/>
          <w:szCs w:val="26"/>
        </w:rPr>
        <w:t xml:space="preserve"> Complainants t</w:t>
      </w:r>
      <w:r w:rsidR="00D6556A" w:rsidRPr="00001309">
        <w:rPr>
          <w:sz w:val="26"/>
          <w:szCs w:val="26"/>
        </w:rPr>
        <w:t>o be unreliable or inconsistent.</w:t>
      </w:r>
      <w:r w:rsidRPr="00001309">
        <w:rPr>
          <w:sz w:val="26"/>
          <w:szCs w:val="26"/>
        </w:rPr>
        <w:t xml:space="preserve">  Exc. at </w:t>
      </w:r>
      <w:r w:rsidR="00E53E31" w:rsidRPr="00001309">
        <w:rPr>
          <w:sz w:val="26"/>
          <w:szCs w:val="26"/>
        </w:rPr>
        <w:t>17.</w:t>
      </w:r>
    </w:p>
    <w:p w:rsidR="008C04E6" w:rsidRPr="00001309" w:rsidRDefault="008C04E6" w:rsidP="00D6556A">
      <w:pPr>
        <w:autoSpaceDE w:val="0"/>
        <w:autoSpaceDN w:val="0"/>
        <w:adjustRightInd w:val="0"/>
        <w:rPr>
          <w:sz w:val="26"/>
          <w:szCs w:val="26"/>
        </w:rPr>
      </w:pPr>
    </w:p>
    <w:p w:rsidR="008C04E6" w:rsidRPr="00001309" w:rsidRDefault="008C04E6" w:rsidP="008C04E6">
      <w:pPr>
        <w:autoSpaceDE w:val="0"/>
        <w:autoSpaceDN w:val="0"/>
        <w:adjustRightInd w:val="0"/>
        <w:rPr>
          <w:sz w:val="26"/>
          <w:szCs w:val="26"/>
        </w:rPr>
      </w:pPr>
      <w:r w:rsidRPr="00001309">
        <w:rPr>
          <w:sz w:val="26"/>
          <w:szCs w:val="26"/>
        </w:rPr>
        <w:t xml:space="preserve">In general, Blue Pilot argues that, given the lack of reliance on promotional or marketing materials by the consumer witnesses to enroll with Blue Pilot, Finding of Fact Nos. 143, 144, 145 and 146 provide no basis for sustaining Count III.  The </w:t>
      </w:r>
      <w:r w:rsidR="00CF29B3" w:rsidRPr="00001309">
        <w:rPr>
          <w:sz w:val="26"/>
          <w:szCs w:val="26"/>
        </w:rPr>
        <w:t>marketing materials</w:t>
      </w:r>
      <w:r w:rsidRPr="00001309">
        <w:rPr>
          <w:sz w:val="26"/>
          <w:szCs w:val="26"/>
        </w:rPr>
        <w:t>, according to Blue Pilot, contained language emphasizing the possibility for savings without making any promises.  Exc. at 18.</w:t>
      </w:r>
    </w:p>
    <w:p w:rsidR="008C04E6" w:rsidRPr="00001309" w:rsidRDefault="008C04E6" w:rsidP="008C04E6">
      <w:pPr>
        <w:autoSpaceDE w:val="0"/>
        <w:autoSpaceDN w:val="0"/>
        <w:adjustRightInd w:val="0"/>
        <w:rPr>
          <w:sz w:val="26"/>
          <w:szCs w:val="26"/>
        </w:rPr>
      </w:pPr>
    </w:p>
    <w:p w:rsidR="002F4D2A" w:rsidRPr="00001309" w:rsidRDefault="002F4D2A" w:rsidP="00CC2062">
      <w:pPr>
        <w:autoSpaceDE w:val="0"/>
        <w:autoSpaceDN w:val="0"/>
        <w:adjustRightInd w:val="0"/>
        <w:rPr>
          <w:sz w:val="26"/>
          <w:szCs w:val="26"/>
        </w:rPr>
      </w:pPr>
      <w:r w:rsidRPr="00001309">
        <w:rPr>
          <w:sz w:val="26"/>
          <w:szCs w:val="26"/>
        </w:rPr>
        <w:t xml:space="preserve">Blue Pilot </w:t>
      </w:r>
      <w:r w:rsidR="00CF29B3" w:rsidRPr="00001309">
        <w:rPr>
          <w:sz w:val="26"/>
          <w:szCs w:val="26"/>
        </w:rPr>
        <w:t xml:space="preserve">further </w:t>
      </w:r>
      <w:r w:rsidRPr="00001309">
        <w:rPr>
          <w:sz w:val="26"/>
          <w:szCs w:val="26"/>
        </w:rPr>
        <w:t xml:space="preserve">presses its opposition to the findings and relief recommended by the ALJs, particularly relief </w:t>
      </w:r>
      <w:proofErr w:type="gramStart"/>
      <w:r w:rsidRPr="00001309">
        <w:rPr>
          <w:sz w:val="26"/>
          <w:szCs w:val="26"/>
        </w:rPr>
        <w:t xml:space="preserve">in the nature of </w:t>
      </w:r>
      <w:r w:rsidR="00CF29B3" w:rsidRPr="00001309">
        <w:rPr>
          <w:sz w:val="26"/>
          <w:szCs w:val="26"/>
        </w:rPr>
        <w:t>a</w:t>
      </w:r>
      <w:proofErr w:type="gramEnd"/>
      <w:r w:rsidR="00CF29B3" w:rsidRPr="00001309">
        <w:rPr>
          <w:sz w:val="26"/>
          <w:szCs w:val="26"/>
        </w:rPr>
        <w:t xml:space="preserve"> </w:t>
      </w:r>
      <w:r w:rsidRPr="00001309">
        <w:rPr>
          <w:sz w:val="26"/>
          <w:szCs w:val="26"/>
        </w:rPr>
        <w:t xml:space="preserve">refund and/or overbilling credits to its full customer base.  Blue Pilot takes the position that aggregate data of its customer bases </w:t>
      </w:r>
      <w:r w:rsidR="00CF29B3" w:rsidRPr="00001309">
        <w:rPr>
          <w:sz w:val="26"/>
          <w:szCs w:val="26"/>
        </w:rPr>
        <w:t xml:space="preserve">(residential and </w:t>
      </w:r>
      <w:r w:rsidR="00C37BA6" w:rsidRPr="00001309">
        <w:rPr>
          <w:sz w:val="26"/>
          <w:szCs w:val="26"/>
        </w:rPr>
        <w:t>small business/commercial</w:t>
      </w:r>
      <w:r w:rsidR="00CF29B3" w:rsidRPr="00001309">
        <w:rPr>
          <w:sz w:val="26"/>
          <w:szCs w:val="26"/>
        </w:rPr>
        <w:t xml:space="preserve">) </w:t>
      </w:r>
      <w:r w:rsidRPr="00001309">
        <w:rPr>
          <w:sz w:val="26"/>
          <w:szCs w:val="26"/>
        </w:rPr>
        <w:t>was used</w:t>
      </w:r>
      <w:r w:rsidR="00CF29B3" w:rsidRPr="00001309">
        <w:rPr>
          <w:sz w:val="26"/>
          <w:szCs w:val="26"/>
        </w:rPr>
        <w:t>.</w:t>
      </w:r>
      <w:r w:rsidRPr="00001309">
        <w:rPr>
          <w:sz w:val="26"/>
          <w:szCs w:val="26"/>
        </w:rPr>
        <w:t xml:space="preserve"> </w:t>
      </w:r>
      <w:r w:rsidR="00CF29B3" w:rsidRPr="00001309">
        <w:rPr>
          <w:sz w:val="26"/>
          <w:szCs w:val="26"/>
        </w:rPr>
        <w:t xml:space="preserve"> The Company</w:t>
      </w:r>
      <w:r w:rsidRPr="00001309">
        <w:rPr>
          <w:sz w:val="26"/>
          <w:szCs w:val="26"/>
        </w:rPr>
        <w:t xml:space="preserve"> complains that such consideration of aggregate data cannot support a conclusion of a violation of Commission Regulations involving individual customers.</w:t>
      </w:r>
      <w:r w:rsidR="00CF29B3" w:rsidRPr="00001309">
        <w:rPr>
          <w:sz w:val="26"/>
          <w:szCs w:val="26"/>
        </w:rPr>
        <w:t xml:space="preserve">  </w:t>
      </w:r>
      <w:r w:rsidR="00CF29B3" w:rsidRPr="00001309">
        <w:rPr>
          <w:i/>
          <w:sz w:val="26"/>
          <w:szCs w:val="26"/>
        </w:rPr>
        <w:t xml:space="preserve">E.g., </w:t>
      </w:r>
      <w:r w:rsidR="00CF29B3" w:rsidRPr="00001309">
        <w:rPr>
          <w:sz w:val="26"/>
          <w:szCs w:val="26"/>
        </w:rPr>
        <w:t xml:space="preserve">Exc., at </w:t>
      </w:r>
      <w:r w:rsidR="0015375D" w:rsidRPr="00001309">
        <w:rPr>
          <w:sz w:val="26"/>
          <w:szCs w:val="26"/>
        </w:rPr>
        <w:t>29-30, “The unique circumstances involved in each electric sales transaction render such treatment inappropriate, and no comprehensive statistical analysis has been presented here,</w:t>
      </w:r>
      <w:r w:rsidRPr="00001309">
        <w:rPr>
          <w:sz w:val="26"/>
          <w:szCs w:val="26"/>
        </w:rPr>
        <w:t xml:space="preserve"> </w:t>
      </w:r>
      <w:r w:rsidR="0015375D" w:rsidRPr="00001309">
        <w:rPr>
          <w:sz w:val="26"/>
          <w:szCs w:val="26"/>
        </w:rPr>
        <w:t>which is typically required before reaching conclusions regarding a pattern and practice of</w:t>
      </w:r>
      <w:r w:rsidR="00CC2062" w:rsidRPr="00001309">
        <w:rPr>
          <w:sz w:val="26"/>
          <w:szCs w:val="26"/>
        </w:rPr>
        <w:t xml:space="preserve"> </w:t>
      </w:r>
      <w:r w:rsidR="0015375D" w:rsidRPr="00001309">
        <w:rPr>
          <w:sz w:val="26"/>
          <w:szCs w:val="26"/>
        </w:rPr>
        <w:t>certain conduct.  Also, BPE [Blue Pilot] would be deprived of its due process rights to confront witnesses.”</w:t>
      </w:r>
    </w:p>
    <w:p w:rsidR="0015375D" w:rsidRPr="00001309" w:rsidRDefault="0015375D" w:rsidP="0015375D">
      <w:pPr>
        <w:autoSpaceDE w:val="0"/>
        <w:autoSpaceDN w:val="0"/>
        <w:adjustRightInd w:val="0"/>
        <w:ind w:firstLine="0"/>
        <w:rPr>
          <w:sz w:val="26"/>
          <w:szCs w:val="26"/>
        </w:rPr>
      </w:pPr>
    </w:p>
    <w:p w:rsidR="008C04E6" w:rsidRPr="00001309" w:rsidRDefault="00EB48E2" w:rsidP="008C04E6">
      <w:pPr>
        <w:autoSpaceDE w:val="0"/>
        <w:autoSpaceDN w:val="0"/>
        <w:adjustRightInd w:val="0"/>
        <w:rPr>
          <w:sz w:val="26"/>
          <w:szCs w:val="26"/>
        </w:rPr>
      </w:pPr>
      <w:r w:rsidRPr="00001309">
        <w:rPr>
          <w:sz w:val="26"/>
          <w:szCs w:val="26"/>
        </w:rPr>
        <w:t>S</w:t>
      </w:r>
      <w:r w:rsidR="008C04E6" w:rsidRPr="00001309">
        <w:rPr>
          <w:sz w:val="26"/>
          <w:szCs w:val="26"/>
        </w:rPr>
        <w:t xml:space="preserve">ignificantly, Blue Pilot </w:t>
      </w:r>
      <w:r w:rsidRPr="00001309">
        <w:rPr>
          <w:sz w:val="26"/>
          <w:szCs w:val="26"/>
        </w:rPr>
        <w:t xml:space="preserve">also </w:t>
      </w:r>
      <w:r w:rsidR="008C04E6" w:rsidRPr="00001309">
        <w:rPr>
          <w:sz w:val="26"/>
          <w:szCs w:val="26"/>
        </w:rPr>
        <w:t xml:space="preserve">complains that the recommendation concerning refunds or billing adjustments/credits, as applied to small business customers </w:t>
      </w:r>
      <w:r w:rsidR="00467263" w:rsidRPr="00001309">
        <w:rPr>
          <w:sz w:val="26"/>
          <w:szCs w:val="26"/>
        </w:rPr>
        <w:t>is unsupported by the record:</w:t>
      </w:r>
    </w:p>
    <w:p w:rsidR="00467263" w:rsidRPr="00001309" w:rsidRDefault="00467263" w:rsidP="008C04E6">
      <w:pPr>
        <w:autoSpaceDE w:val="0"/>
        <w:autoSpaceDN w:val="0"/>
        <w:adjustRightInd w:val="0"/>
        <w:rPr>
          <w:sz w:val="26"/>
          <w:szCs w:val="26"/>
        </w:rPr>
      </w:pPr>
    </w:p>
    <w:p w:rsidR="00467263" w:rsidRPr="00001309" w:rsidRDefault="00467263" w:rsidP="00467263">
      <w:pPr>
        <w:autoSpaceDE w:val="0"/>
        <w:autoSpaceDN w:val="0"/>
        <w:adjustRightInd w:val="0"/>
        <w:spacing w:line="240" w:lineRule="auto"/>
        <w:ind w:left="1440" w:right="1440" w:firstLine="720"/>
        <w:rPr>
          <w:sz w:val="26"/>
          <w:szCs w:val="26"/>
        </w:rPr>
      </w:pPr>
      <w:r w:rsidRPr="00001309">
        <w:rPr>
          <w:sz w:val="26"/>
          <w:szCs w:val="26"/>
        </w:rPr>
        <w:t xml:space="preserve">Further, the ID inappropriately concludes that </w:t>
      </w:r>
      <w:proofErr w:type="gramStart"/>
      <w:r w:rsidRPr="00001309">
        <w:rPr>
          <w:sz w:val="26"/>
          <w:szCs w:val="26"/>
        </w:rPr>
        <w:t>all of</w:t>
      </w:r>
      <w:proofErr w:type="gramEnd"/>
      <w:r w:rsidRPr="00001309">
        <w:rPr>
          <w:sz w:val="26"/>
          <w:szCs w:val="26"/>
        </w:rPr>
        <w:t xml:space="preserve"> BPE’s 1,073 commercial customers qualify for the protections under the Commission’s regulations that are extended only to small business customers.  Without any evidence in the record of whether these customers meet the definition of having a </w:t>
      </w:r>
      <w:r w:rsidRPr="00001309">
        <w:rPr>
          <w:sz w:val="26"/>
          <w:szCs w:val="26"/>
        </w:rPr>
        <w:lastRenderedPageBreak/>
        <w:t>“maximum registered peak load” of “less than 25 kW within the last 12 months,” the ID relies on average monthly consumption and the peak demand of one commercial customer to apply these protections to all 1,073 of BPE’s commercial customers.</w:t>
      </w:r>
    </w:p>
    <w:p w:rsidR="00467263" w:rsidRPr="00001309" w:rsidRDefault="00467263" w:rsidP="00467263">
      <w:pPr>
        <w:spacing w:line="240" w:lineRule="auto"/>
        <w:ind w:left="1440" w:right="1440" w:firstLine="0"/>
        <w:rPr>
          <w:sz w:val="26"/>
          <w:szCs w:val="26"/>
        </w:rPr>
      </w:pPr>
    </w:p>
    <w:p w:rsidR="00467263" w:rsidRPr="00001309" w:rsidRDefault="00467263" w:rsidP="00467263">
      <w:pPr>
        <w:autoSpaceDE w:val="0"/>
        <w:autoSpaceDN w:val="0"/>
        <w:adjustRightInd w:val="0"/>
        <w:spacing w:line="240" w:lineRule="auto"/>
        <w:ind w:left="1440" w:right="1440" w:firstLine="720"/>
        <w:rPr>
          <w:sz w:val="26"/>
          <w:szCs w:val="26"/>
        </w:rPr>
      </w:pPr>
      <w:r w:rsidRPr="00001309">
        <w:rPr>
          <w:sz w:val="26"/>
          <w:szCs w:val="26"/>
        </w:rPr>
        <w:t>Without evaluating the experience of each individual customer and determining whether savings were promised and not delivered and in the absence of billing data for each consumer, and without any support in the evidentiary record, the ID summarily finds that BPE “overbilled” residential and small business customers on a total of 7,861 occurrences. Again, without the necessary evaluation and analysis, the ID leaps to the unsubstantiated conclusion that BPE overcharged these customers from December 2013 through March 2014 in the amount of $2,459,517.  In computing this amount, the ID uses the price to compare offered by each EDC during that time.</w:t>
      </w:r>
    </w:p>
    <w:p w:rsidR="00467263" w:rsidRPr="00001309" w:rsidRDefault="00467263" w:rsidP="00467263">
      <w:pPr>
        <w:autoSpaceDE w:val="0"/>
        <w:autoSpaceDN w:val="0"/>
        <w:adjustRightInd w:val="0"/>
        <w:spacing w:line="240" w:lineRule="auto"/>
        <w:ind w:left="1440" w:right="1440" w:firstLine="0"/>
        <w:rPr>
          <w:sz w:val="26"/>
          <w:szCs w:val="26"/>
        </w:rPr>
      </w:pPr>
    </w:p>
    <w:p w:rsidR="00E754D5" w:rsidRDefault="00467263" w:rsidP="006801A8">
      <w:pPr>
        <w:autoSpaceDE w:val="0"/>
        <w:autoSpaceDN w:val="0"/>
        <w:adjustRightInd w:val="0"/>
        <w:spacing w:line="240" w:lineRule="auto"/>
        <w:ind w:left="1440" w:right="1440" w:firstLine="720"/>
        <w:rPr>
          <w:sz w:val="26"/>
          <w:szCs w:val="26"/>
        </w:rPr>
      </w:pPr>
      <w:r w:rsidRPr="00001309">
        <w:rPr>
          <w:sz w:val="26"/>
          <w:szCs w:val="26"/>
        </w:rPr>
        <w:t xml:space="preserve">Yet, as the Commission knows, EGSs and EDCs set their prices incompletely different ways, with EDCs charging quarterly prices that are later reconciled to reflect the actual costs incurred.  As the ID failed to engage in any analysis of the </w:t>
      </w:r>
    </w:p>
    <w:p w:rsidR="00467263" w:rsidRDefault="00467263" w:rsidP="00E754D5">
      <w:pPr>
        <w:keepNext/>
        <w:keepLines/>
        <w:autoSpaceDE w:val="0"/>
        <w:autoSpaceDN w:val="0"/>
        <w:adjustRightInd w:val="0"/>
        <w:spacing w:line="240" w:lineRule="auto"/>
        <w:ind w:left="1440" w:right="1440" w:firstLine="0"/>
        <w:rPr>
          <w:sz w:val="26"/>
          <w:szCs w:val="26"/>
        </w:rPr>
      </w:pPr>
      <w:r w:rsidRPr="00001309">
        <w:rPr>
          <w:sz w:val="26"/>
          <w:szCs w:val="26"/>
        </w:rPr>
        <w:t>evidence and ignored all contrary evidence, these findings must be rejected by the Commission.</w:t>
      </w:r>
    </w:p>
    <w:p w:rsidR="006801A8" w:rsidRDefault="006801A8" w:rsidP="00E754D5">
      <w:pPr>
        <w:keepNext/>
        <w:keepLines/>
        <w:autoSpaceDE w:val="0"/>
        <w:autoSpaceDN w:val="0"/>
        <w:adjustRightInd w:val="0"/>
        <w:spacing w:line="240" w:lineRule="auto"/>
        <w:ind w:left="1440" w:right="1440" w:firstLine="720"/>
        <w:rPr>
          <w:sz w:val="26"/>
          <w:szCs w:val="26"/>
        </w:rPr>
      </w:pPr>
    </w:p>
    <w:p w:rsidR="005A4F89" w:rsidRPr="00001309" w:rsidRDefault="005A4F89" w:rsidP="00E754D5">
      <w:pPr>
        <w:keepNext/>
        <w:keepLines/>
        <w:autoSpaceDE w:val="0"/>
        <w:autoSpaceDN w:val="0"/>
        <w:adjustRightInd w:val="0"/>
        <w:spacing w:line="240" w:lineRule="auto"/>
        <w:ind w:left="1440" w:right="1440" w:firstLine="720"/>
        <w:rPr>
          <w:sz w:val="26"/>
          <w:szCs w:val="26"/>
        </w:rPr>
      </w:pPr>
    </w:p>
    <w:p w:rsidR="006801A8" w:rsidRPr="00001309" w:rsidRDefault="006801A8" w:rsidP="00E754D5">
      <w:pPr>
        <w:keepNext/>
        <w:keepLines/>
        <w:autoSpaceDE w:val="0"/>
        <w:autoSpaceDN w:val="0"/>
        <w:adjustRightInd w:val="0"/>
        <w:ind w:firstLine="0"/>
        <w:rPr>
          <w:sz w:val="26"/>
          <w:szCs w:val="26"/>
        </w:rPr>
      </w:pPr>
      <w:r w:rsidRPr="00001309">
        <w:rPr>
          <w:sz w:val="26"/>
          <w:szCs w:val="26"/>
        </w:rPr>
        <w:t xml:space="preserve">Exc. at 19-20 (notes 61-65 omitted); </w:t>
      </w:r>
      <w:r w:rsidRPr="00001309">
        <w:rPr>
          <w:i/>
          <w:sz w:val="26"/>
          <w:szCs w:val="26"/>
        </w:rPr>
        <w:t>also</w:t>
      </w:r>
      <w:r w:rsidRPr="00001309">
        <w:rPr>
          <w:sz w:val="26"/>
          <w:szCs w:val="26"/>
        </w:rPr>
        <w:t>:</w:t>
      </w:r>
    </w:p>
    <w:p w:rsidR="00467263" w:rsidRPr="00001309" w:rsidRDefault="00467263" w:rsidP="00CC2062">
      <w:pPr>
        <w:keepNext/>
        <w:keepLines/>
        <w:autoSpaceDE w:val="0"/>
        <w:autoSpaceDN w:val="0"/>
        <w:adjustRightInd w:val="0"/>
        <w:ind w:firstLine="0"/>
        <w:rPr>
          <w:sz w:val="26"/>
          <w:szCs w:val="26"/>
        </w:rPr>
      </w:pPr>
    </w:p>
    <w:p w:rsidR="00B90253" w:rsidRPr="00001309" w:rsidRDefault="00B90253" w:rsidP="006F4FDD">
      <w:pPr>
        <w:autoSpaceDE w:val="0"/>
        <w:autoSpaceDN w:val="0"/>
        <w:adjustRightInd w:val="0"/>
        <w:spacing w:line="240" w:lineRule="auto"/>
        <w:ind w:left="1440" w:right="1440" w:firstLine="720"/>
        <w:rPr>
          <w:sz w:val="26"/>
          <w:szCs w:val="26"/>
        </w:rPr>
      </w:pPr>
      <w:r w:rsidRPr="00001309">
        <w:rPr>
          <w:sz w:val="26"/>
          <w:szCs w:val="26"/>
        </w:rPr>
        <w:t>In direct contravention of prior Commission rulings which concluded that the</w:t>
      </w:r>
      <w:r w:rsidR="006F4FDD" w:rsidRPr="00001309">
        <w:rPr>
          <w:sz w:val="26"/>
          <w:szCs w:val="26"/>
        </w:rPr>
        <w:t xml:space="preserve"> </w:t>
      </w:r>
      <w:r w:rsidRPr="00001309">
        <w:rPr>
          <w:sz w:val="26"/>
          <w:szCs w:val="26"/>
        </w:rPr>
        <w:t>Commission may not entertain class action lawsuits, the ID finds that BPE violated Commission</w:t>
      </w:r>
    </w:p>
    <w:p w:rsidR="00CC2062" w:rsidRPr="00001309" w:rsidRDefault="00B90253" w:rsidP="006F4FDD">
      <w:pPr>
        <w:autoSpaceDE w:val="0"/>
        <w:autoSpaceDN w:val="0"/>
        <w:adjustRightInd w:val="0"/>
        <w:spacing w:line="240" w:lineRule="auto"/>
        <w:ind w:left="1440" w:right="1440" w:firstLine="0"/>
        <w:rPr>
          <w:sz w:val="26"/>
          <w:szCs w:val="26"/>
        </w:rPr>
      </w:pPr>
      <w:r w:rsidRPr="00001309">
        <w:rPr>
          <w:sz w:val="26"/>
          <w:szCs w:val="26"/>
        </w:rPr>
        <w:t>regulations across its entire customer base and recommends granting relief to consumers who</w:t>
      </w:r>
      <w:r w:rsidR="006F4FDD" w:rsidRPr="00001309">
        <w:rPr>
          <w:sz w:val="26"/>
          <w:szCs w:val="26"/>
        </w:rPr>
        <w:t xml:space="preserve"> </w:t>
      </w:r>
      <w:r w:rsidRPr="00001309">
        <w:rPr>
          <w:sz w:val="26"/>
          <w:szCs w:val="26"/>
        </w:rPr>
        <w:t xml:space="preserve">were not parties to this proceeding, the </w:t>
      </w:r>
      <w:proofErr w:type="gramStart"/>
      <w:r w:rsidRPr="00001309">
        <w:rPr>
          <w:sz w:val="26"/>
          <w:szCs w:val="26"/>
        </w:rPr>
        <w:t>vast majority</w:t>
      </w:r>
      <w:proofErr w:type="gramEnd"/>
      <w:r w:rsidRPr="00001309">
        <w:rPr>
          <w:sz w:val="26"/>
          <w:szCs w:val="26"/>
        </w:rPr>
        <w:t xml:space="preserve"> of whom did not even participate in this</w:t>
      </w:r>
      <w:r w:rsidR="006F4FDD" w:rsidRPr="00001309">
        <w:rPr>
          <w:sz w:val="26"/>
          <w:szCs w:val="26"/>
        </w:rPr>
        <w:t xml:space="preserve"> </w:t>
      </w:r>
      <w:r w:rsidRPr="00001309">
        <w:rPr>
          <w:sz w:val="26"/>
          <w:szCs w:val="26"/>
        </w:rPr>
        <w:t xml:space="preserve">proceeding as witnesses. </w:t>
      </w:r>
      <w:r w:rsidR="00ED36EF" w:rsidRPr="00001309">
        <w:rPr>
          <w:sz w:val="26"/>
          <w:szCs w:val="26"/>
        </w:rPr>
        <w:t xml:space="preserve"> </w:t>
      </w:r>
      <w:r w:rsidRPr="00001309">
        <w:rPr>
          <w:sz w:val="26"/>
          <w:szCs w:val="26"/>
        </w:rPr>
        <w:t>Relying on select individual consumer witness hearsay testimony laden</w:t>
      </w:r>
      <w:r w:rsidR="006F4FDD" w:rsidRPr="00001309">
        <w:rPr>
          <w:sz w:val="26"/>
          <w:szCs w:val="26"/>
        </w:rPr>
        <w:t xml:space="preserve"> </w:t>
      </w:r>
      <w:r w:rsidRPr="00001309">
        <w:rPr>
          <w:sz w:val="26"/>
          <w:szCs w:val="26"/>
        </w:rPr>
        <w:t>with credibility issues, and the broad-sweeping unsubstantiated conclusions of the Joint</w:t>
      </w:r>
      <w:r w:rsidR="006F4FDD" w:rsidRPr="00001309">
        <w:rPr>
          <w:sz w:val="26"/>
          <w:szCs w:val="26"/>
        </w:rPr>
        <w:t xml:space="preserve"> </w:t>
      </w:r>
      <w:r w:rsidRPr="00001309">
        <w:rPr>
          <w:sz w:val="26"/>
          <w:szCs w:val="26"/>
        </w:rPr>
        <w:t>Complainants’ biased expert witnesses, the ID finds that BPE has violated various Commission</w:t>
      </w:r>
      <w:r w:rsidR="006F4FDD" w:rsidRPr="00001309">
        <w:rPr>
          <w:sz w:val="26"/>
          <w:szCs w:val="26"/>
        </w:rPr>
        <w:t xml:space="preserve"> </w:t>
      </w:r>
      <w:r w:rsidRPr="00001309">
        <w:rPr>
          <w:sz w:val="26"/>
          <w:szCs w:val="26"/>
        </w:rPr>
        <w:t>regulations in connection with serving each of its customers during the January 2014 through</w:t>
      </w:r>
      <w:r w:rsidR="006F4FDD" w:rsidRPr="00001309">
        <w:rPr>
          <w:sz w:val="26"/>
          <w:szCs w:val="26"/>
        </w:rPr>
        <w:t xml:space="preserve"> </w:t>
      </w:r>
      <w:r w:rsidRPr="00001309">
        <w:rPr>
          <w:sz w:val="26"/>
          <w:szCs w:val="26"/>
        </w:rPr>
        <w:t xml:space="preserve">March 2014 timeframe. </w:t>
      </w:r>
      <w:r w:rsidR="006F4FDD" w:rsidRPr="00001309">
        <w:rPr>
          <w:sz w:val="26"/>
          <w:szCs w:val="26"/>
        </w:rPr>
        <w:t xml:space="preserve"> </w:t>
      </w:r>
      <w:r w:rsidRPr="00001309">
        <w:rPr>
          <w:sz w:val="26"/>
          <w:szCs w:val="26"/>
        </w:rPr>
        <w:t xml:space="preserve">The specific </w:t>
      </w:r>
      <w:r w:rsidRPr="00001309">
        <w:rPr>
          <w:sz w:val="26"/>
          <w:szCs w:val="26"/>
        </w:rPr>
        <w:lastRenderedPageBreak/>
        <w:t>nature of the relief requested by the Joint Complainants</w:t>
      </w:r>
      <w:r w:rsidR="00CC2062" w:rsidRPr="00001309">
        <w:rPr>
          <w:sz w:val="26"/>
          <w:szCs w:val="26"/>
        </w:rPr>
        <w:t xml:space="preserve"> </w:t>
      </w:r>
      <w:r w:rsidRPr="00001309">
        <w:rPr>
          <w:sz w:val="26"/>
          <w:szCs w:val="26"/>
        </w:rPr>
        <w:t xml:space="preserve">and recommended by the ID </w:t>
      </w:r>
      <w:r w:rsidR="006F4FDD" w:rsidRPr="00001309">
        <w:rPr>
          <w:sz w:val="26"/>
          <w:szCs w:val="26"/>
        </w:rPr>
        <w:t xml:space="preserve">-- </w:t>
      </w:r>
      <w:r w:rsidRPr="00001309">
        <w:rPr>
          <w:sz w:val="26"/>
          <w:szCs w:val="26"/>
        </w:rPr>
        <w:t>refunds for all customers served by BPE based on the alleged</w:t>
      </w:r>
      <w:r w:rsidR="006F4FDD" w:rsidRPr="00001309">
        <w:rPr>
          <w:sz w:val="26"/>
          <w:szCs w:val="26"/>
        </w:rPr>
        <w:t xml:space="preserve"> </w:t>
      </w:r>
      <w:r w:rsidRPr="00001309">
        <w:rPr>
          <w:sz w:val="26"/>
          <w:szCs w:val="26"/>
        </w:rPr>
        <w:t>experiences of a very small</w:t>
      </w:r>
      <w:r w:rsidR="00CC2062" w:rsidRPr="00001309">
        <w:rPr>
          <w:sz w:val="26"/>
          <w:szCs w:val="26"/>
        </w:rPr>
        <w:t xml:space="preserve"> </w:t>
      </w:r>
    </w:p>
    <w:p w:rsidR="00493721" w:rsidRDefault="00B90253" w:rsidP="00CC2062">
      <w:pPr>
        <w:keepNext/>
        <w:keepLines/>
        <w:autoSpaceDE w:val="0"/>
        <w:autoSpaceDN w:val="0"/>
        <w:adjustRightInd w:val="0"/>
        <w:spacing w:line="240" w:lineRule="auto"/>
        <w:ind w:left="1440" w:right="1440" w:firstLine="0"/>
        <w:rPr>
          <w:sz w:val="26"/>
          <w:szCs w:val="26"/>
        </w:rPr>
      </w:pPr>
      <w:r w:rsidRPr="00001309">
        <w:rPr>
          <w:sz w:val="26"/>
          <w:szCs w:val="26"/>
        </w:rPr>
        <w:t xml:space="preserve">percentage of those customers </w:t>
      </w:r>
      <w:r w:rsidR="00493721">
        <w:rPr>
          <w:sz w:val="26"/>
          <w:szCs w:val="26"/>
        </w:rPr>
        <w:t>–</w:t>
      </w:r>
    </w:p>
    <w:p w:rsidR="00B90253" w:rsidRPr="00001309" w:rsidRDefault="00B90253" w:rsidP="00CC2062">
      <w:pPr>
        <w:keepNext/>
        <w:keepLines/>
        <w:autoSpaceDE w:val="0"/>
        <w:autoSpaceDN w:val="0"/>
        <w:adjustRightInd w:val="0"/>
        <w:spacing w:line="240" w:lineRule="auto"/>
        <w:ind w:left="1440" w:right="1440" w:firstLine="0"/>
        <w:rPr>
          <w:sz w:val="26"/>
          <w:szCs w:val="26"/>
        </w:rPr>
      </w:pPr>
      <w:r w:rsidRPr="00001309">
        <w:rPr>
          <w:sz w:val="26"/>
          <w:szCs w:val="26"/>
        </w:rPr>
        <w:t xml:space="preserve"> makes this proceeding a class action</w:t>
      </w:r>
      <w:r w:rsidR="006F4FDD" w:rsidRPr="00001309">
        <w:rPr>
          <w:sz w:val="26"/>
          <w:szCs w:val="26"/>
        </w:rPr>
        <w:t xml:space="preserve"> </w:t>
      </w:r>
      <w:r w:rsidRPr="00001309">
        <w:rPr>
          <w:sz w:val="26"/>
          <w:szCs w:val="26"/>
        </w:rPr>
        <w:t>lawsuit, which the Commission does not have the statutory authority to entertain.</w:t>
      </w:r>
    </w:p>
    <w:p w:rsidR="00CC2062" w:rsidRPr="00001309" w:rsidRDefault="00CC2062" w:rsidP="00CC2062">
      <w:pPr>
        <w:keepNext/>
        <w:keepLines/>
        <w:autoSpaceDE w:val="0"/>
        <w:autoSpaceDN w:val="0"/>
        <w:adjustRightInd w:val="0"/>
        <w:spacing w:line="240" w:lineRule="auto"/>
        <w:ind w:left="1440" w:right="1440" w:firstLine="0"/>
        <w:rPr>
          <w:sz w:val="26"/>
          <w:szCs w:val="26"/>
        </w:rPr>
      </w:pPr>
    </w:p>
    <w:p w:rsidR="00CC2062" w:rsidRPr="00001309" w:rsidRDefault="00CC2062" w:rsidP="00CC2062">
      <w:pPr>
        <w:keepNext/>
        <w:keepLines/>
        <w:autoSpaceDE w:val="0"/>
        <w:autoSpaceDN w:val="0"/>
        <w:adjustRightInd w:val="0"/>
        <w:spacing w:line="240" w:lineRule="auto"/>
        <w:ind w:left="1440" w:right="1440" w:firstLine="0"/>
        <w:rPr>
          <w:sz w:val="26"/>
          <w:szCs w:val="26"/>
        </w:rPr>
      </w:pPr>
    </w:p>
    <w:p w:rsidR="00B90253" w:rsidRPr="00001309" w:rsidRDefault="006F4FDD" w:rsidP="006F4FDD">
      <w:pPr>
        <w:autoSpaceDE w:val="0"/>
        <w:autoSpaceDN w:val="0"/>
        <w:adjustRightInd w:val="0"/>
        <w:ind w:firstLine="0"/>
        <w:rPr>
          <w:sz w:val="26"/>
          <w:szCs w:val="26"/>
        </w:rPr>
      </w:pPr>
      <w:r w:rsidRPr="00001309">
        <w:rPr>
          <w:sz w:val="26"/>
          <w:szCs w:val="26"/>
        </w:rPr>
        <w:t>Exc., at 27; and:</w:t>
      </w:r>
    </w:p>
    <w:p w:rsidR="00CC2062" w:rsidRPr="00001309" w:rsidRDefault="00CC2062" w:rsidP="006F4FDD">
      <w:pPr>
        <w:autoSpaceDE w:val="0"/>
        <w:autoSpaceDN w:val="0"/>
        <w:adjustRightInd w:val="0"/>
        <w:ind w:firstLine="0"/>
        <w:rPr>
          <w:sz w:val="26"/>
          <w:szCs w:val="26"/>
        </w:rPr>
      </w:pPr>
    </w:p>
    <w:p w:rsidR="00CF62B2" w:rsidRPr="00001309" w:rsidRDefault="00CF62B2" w:rsidP="00CF62B2">
      <w:pPr>
        <w:autoSpaceDE w:val="0"/>
        <w:autoSpaceDN w:val="0"/>
        <w:adjustRightInd w:val="0"/>
        <w:spacing w:line="240" w:lineRule="auto"/>
        <w:ind w:left="1440" w:right="1440" w:firstLine="720"/>
        <w:rPr>
          <w:sz w:val="26"/>
          <w:szCs w:val="26"/>
        </w:rPr>
      </w:pPr>
      <w:r w:rsidRPr="00001309">
        <w:rPr>
          <w:sz w:val="26"/>
          <w:szCs w:val="26"/>
        </w:rPr>
        <w:t>As no statutory authority, express or implied, exists under which the Commission may direct EGSs to issue refunds to customers, the Commission should reverse the ID’s findings.</w:t>
      </w:r>
    </w:p>
    <w:p w:rsidR="006F4FDD" w:rsidRPr="00001309" w:rsidRDefault="00CF62B2" w:rsidP="00CC2062">
      <w:pPr>
        <w:keepNext/>
        <w:keepLines/>
        <w:autoSpaceDE w:val="0"/>
        <w:autoSpaceDN w:val="0"/>
        <w:adjustRightInd w:val="0"/>
        <w:spacing w:line="240" w:lineRule="auto"/>
        <w:ind w:left="1440" w:right="1440" w:firstLine="0"/>
        <w:rPr>
          <w:sz w:val="26"/>
          <w:szCs w:val="26"/>
        </w:rPr>
      </w:pPr>
      <w:r w:rsidRPr="00001309">
        <w:rPr>
          <w:sz w:val="26"/>
          <w:szCs w:val="26"/>
        </w:rPr>
        <w:t>Further, the evidentiary record does not support any directives for across-the-board refunds.</w:t>
      </w:r>
    </w:p>
    <w:p w:rsidR="00CC2062" w:rsidRPr="00001309" w:rsidRDefault="00CC2062" w:rsidP="00CC2062">
      <w:pPr>
        <w:keepNext/>
        <w:keepLines/>
        <w:autoSpaceDE w:val="0"/>
        <w:autoSpaceDN w:val="0"/>
        <w:adjustRightInd w:val="0"/>
        <w:spacing w:line="240" w:lineRule="auto"/>
        <w:ind w:left="1440" w:right="1440" w:firstLine="0"/>
        <w:rPr>
          <w:sz w:val="26"/>
          <w:szCs w:val="26"/>
        </w:rPr>
      </w:pPr>
    </w:p>
    <w:p w:rsidR="00CC2062" w:rsidRPr="00001309" w:rsidRDefault="00CC2062" w:rsidP="00CC2062">
      <w:pPr>
        <w:keepNext/>
        <w:keepLines/>
        <w:autoSpaceDE w:val="0"/>
        <w:autoSpaceDN w:val="0"/>
        <w:adjustRightInd w:val="0"/>
        <w:spacing w:line="240" w:lineRule="auto"/>
        <w:ind w:left="1440" w:right="1440" w:firstLine="0"/>
        <w:rPr>
          <w:sz w:val="26"/>
          <w:szCs w:val="26"/>
        </w:rPr>
      </w:pPr>
    </w:p>
    <w:p w:rsidR="00CF62B2" w:rsidRPr="00001309" w:rsidRDefault="00CF62B2" w:rsidP="00CF62B2">
      <w:pPr>
        <w:autoSpaceDE w:val="0"/>
        <w:autoSpaceDN w:val="0"/>
        <w:adjustRightInd w:val="0"/>
        <w:ind w:firstLine="0"/>
        <w:rPr>
          <w:sz w:val="26"/>
          <w:szCs w:val="26"/>
        </w:rPr>
      </w:pPr>
      <w:r w:rsidRPr="00001309">
        <w:rPr>
          <w:sz w:val="26"/>
          <w:szCs w:val="26"/>
        </w:rPr>
        <w:t>Exc., at 39.</w:t>
      </w:r>
    </w:p>
    <w:p w:rsidR="00467263" w:rsidRPr="00001309" w:rsidRDefault="00467263" w:rsidP="0015375D">
      <w:pPr>
        <w:autoSpaceDE w:val="0"/>
        <w:autoSpaceDN w:val="0"/>
        <w:adjustRightInd w:val="0"/>
        <w:ind w:firstLine="0"/>
        <w:rPr>
          <w:sz w:val="26"/>
          <w:szCs w:val="26"/>
        </w:rPr>
      </w:pPr>
    </w:p>
    <w:p w:rsidR="00ED7783" w:rsidRPr="00001309" w:rsidRDefault="000037C1" w:rsidP="000037C1">
      <w:pPr>
        <w:autoSpaceDE w:val="0"/>
        <w:autoSpaceDN w:val="0"/>
        <w:adjustRightInd w:val="0"/>
        <w:rPr>
          <w:sz w:val="26"/>
          <w:szCs w:val="26"/>
        </w:rPr>
      </w:pPr>
      <w:r w:rsidRPr="00001309">
        <w:rPr>
          <w:sz w:val="26"/>
          <w:szCs w:val="26"/>
        </w:rPr>
        <w:t xml:space="preserve">Blue Pilot </w:t>
      </w:r>
      <w:r w:rsidR="00CF62B2" w:rsidRPr="00001309">
        <w:rPr>
          <w:sz w:val="26"/>
          <w:szCs w:val="26"/>
        </w:rPr>
        <w:t xml:space="preserve">buttresses its Exceptions </w:t>
      </w:r>
      <w:r w:rsidRPr="00001309">
        <w:rPr>
          <w:sz w:val="26"/>
          <w:szCs w:val="26"/>
        </w:rPr>
        <w:t>in this area by an extensive commentary on the quality of the testimony and the sufficiency of the inferences to be drawn from the testimony.  At most, argue</w:t>
      </w:r>
      <w:r w:rsidR="008F0BAD" w:rsidRPr="00001309">
        <w:rPr>
          <w:sz w:val="26"/>
          <w:szCs w:val="26"/>
        </w:rPr>
        <w:t>s</w:t>
      </w:r>
      <w:r w:rsidRPr="00001309">
        <w:rPr>
          <w:sz w:val="26"/>
          <w:szCs w:val="26"/>
        </w:rPr>
        <w:t xml:space="preserve"> Blue Pilot, if the Commission relies upon hearsay testimony and foregoes the need for specific billing, it may be able to conclude that some sales agents made promises of savings that were not realized by </w:t>
      </w:r>
      <w:proofErr w:type="gramStart"/>
      <w:r w:rsidRPr="00001309">
        <w:rPr>
          <w:sz w:val="26"/>
          <w:szCs w:val="26"/>
        </w:rPr>
        <w:t>particular individual</w:t>
      </w:r>
      <w:proofErr w:type="gramEnd"/>
      <w:r w:rsidRPr="00001309">
        <w:rPr>
          <w:sz w:val="26"/>
          <w:szCs w:val="26"/>
        </w:rPr>
        <w:t xml:space="preserve"> customers. </w:t>
      </w:r>
      <w:r w:rsidR="007C3E10" w:rsidRPr="00001309">
        <w:rPr>
          <w:sz w:val="26"/>
          <w:szCs w:val="26"/>
        </w:rPr>
        <w:t>However</w:t>
      </w:r>
      <w:r w:rsidRPr="00001309">
        <w:rPr>
          <w:sz w:val="26"/>
          <w:szCs w:val="26"/>
        </w:rPr>
        <w:t xml:space="preserve">, </w:t>
      </w:r>
      <w:r w:rsidR="007C3E10" w:rsidRPr="00001309">
        <w:rPr>
          <w:sz w:val="26"/>
          <w:szCs w:val="26"/>
        </w:rPr>
        <w:t>Blue Pilot</w:t>
      </w:r>
      <w:r w:rsidR="00272241" w:rsidRPr="00001309">
        <w:rPr>
          <w:sz w:val="26"/>
          <w:szCs w:val="26"/>
        </w:rPr>
        <w:t xml:space="preserve"> asserts that </w:t>
      </w:r>
      <w:r w:rsidRPr="00001309">
        <w:rPr>
          <w:sz w:val="26"/>
          <w:szCs w:val="26"/>
        </w:rPr>
        <w:t xml:space="preserve">the number of instances in which that may have occurred is minimal – not on the order of the numbers reached in the </w:t>
      </w:r>
      <w:r w:rsidR="00155D25" w:rsidRPr="00001309">
        <w:rPr>
          <w:sz w:val="26"/>
          <w:szCs w:val="26"/>
        </w:rPr>
        <w:t>Initial Decision</w:t>
      </w:r>
      <w:r w:rsidR="008F0BAD" w:rsidRPr="00001309">
        <w:rPr>
          <w:sz w:val="26"/>
          <w:szCs w:val="26"/>
        </w:rPr>
        <w:t>.</w:t>
      </w:r>
      <w:r w:rsidR="00ED36EF" w:rsidRPr="00001309">
        <w:rPr>
          <w:sz w:val="26"/>
          <w:szCs w:val="26"/>
        </w:rPr>
        <w:t xml:space="preserve"> </w:t>
      </w:r>
      <w:r w:rsidR="008F0BAD" w:rsidRPr="00001309">
        <w:rPr>
          <w:sz w:val="26"/>
          <w:szCs w:val="26"/>
        </w:rPr>
        <w:t xml:space="preserve"> </w:t>
      </w:r>
      <w:r w:rsidR="00ED36EF" w:rsidRPr="00001309">
        <w:rPr>
          <w:i/>
          <w:sz w:val="26"/>
          <w:szCs w:val="26"/>
        </w:rPr>
        <w:t xml:space="preserve">See </w:t>
      </w:r>
      <w:r w:rsidRPr="00001309">
        <w:rPr>
          <w:sz w:val="26"/>
          <w:szCs w:val="26"/>
        </w:rPr>
        <w:t>Exc. at 23.</w:t>
      </w:r>
    </w:p>
    <w:p w:rsidR="00ED7783" w:rsidRPr="00001309" w:rsidRDefault="00ED7783" w:rsidP="000037C1">
      <w:pPr>
        <w:autoSpaceDE w:val="0"/>
        <w:autoSpaceDN w:val="0"/>
        <w:adjustRightInd w:val="0"/>
        <w:rPr>
          <w:sz w:val="26"/>
          <w:szCs w:val="26"/>
        </w:rPr>
      </w:pPr>
    </w:p>
    <w:p w:rsidR="0015375D" w:rsidRPr="00001309" w:rsidRDefault="00ED7783" w:rsidP="00E00B5A">
      <w:pPr>
        <w:autoSpaceDE w:val="0"/>
        <w:autoSpaceDN w:val="0"/>
        <w:adjustRightInd w:val="0"/>
        <w:rPr>
          <w:sz w:val="26"/>
          <w:szCs w:val="26"/>
        </w:rPr>
      </w:pPr>
      <w:r w:rsidRPr="00001309">
        <w:rPr>
          <w:sz w:val="26"/>
          <w:szCs w:val="26"/>
        </w:rPr>
        <w:t xml:space="preserve">In its Replies, </w:t>
      </w:r>
      <w:r w:rsidR="008D34CA">
        <w:rPr>
          <w:sz w:val="26"/>
          <w:szCs w:val="26"/>
        </w:rPr>
        <w:t xml:space="preserve">the </w:t>
      </w:r>
      <w:r w:rsidRPr="00001309">
        <w:rPr>
          <w:sz w:val="26"/>
          <w:szCs w:val="26"/>
        </w:rPr>
        <w:t xml:space="preserve">Joint Complainants </w:t>
      </w:r>
      <w:r w:rsidR="0018397F">
        <w:rPr>
          <w:sz w:val="26"/>
          <w:szCs w:val="26"/>
        </w:rPr>
        <w:t>assert that in rendering their decision, the ALJs did not err in considering the oral representations of Blue Pilot sales agents.  R</w:t>
      </w:r>
      <w:r w:rsidR="00B72E7B">
        <w:rPr>
          <w:sz w:val="26"/>
          <w:szCs w:val="26"/>
        </w:rPr>
        <w:t> </w:t>
      </w:r>
      <w:r w:rsidR="0018397F">
        <w:rPr>
          <w:sz w:val="26"/>
          <w:szCs w:val="26"/>
        </w:rPr>
        <w:t xml:space="preserve"> Exc. at 7.  The Joint Complainants continue that the consumer testimonies are credible and support a finding that Blue Pilot routinely made deceptive promises.  R. Exc. at 8.  Also, </w:t>
      </w:r>
      <w:r w:rsidR="00B72E7B">
        <w:rPr>
          <w:sz w:val="26"/>
          <w:szCs w:val="26"/>
        </w:rPr>
        <w:t xml:space="preserve">the </w:t>
      </w:r>
      <w:r w:rsidR="0018397F">
        <w:rPr>
          <w:sz w:val="26"/>
          <w:szCs w:val="26"/>
        </w:rPr>
        <w:t xml:space="preserve">Joint Complainants </w:t>
      </w:r>
      <w:r w:rsidR="00610D6B" w:rsidRPr="00001309">
        <w:rPr>
          <w:sz w:val="26"/>
          <w:szCs w:val="26"/>
        </w:rPr>
        <w:t xml:space="preserve">rely on the testimony of its expert witnesses, particularly the testimony of </w:t>
      </w:r>
      <w:r w:rsidR="006C240C" w:rsidRPr="00001309">
        <w:rPr>
          <w:sz w:val="26"/>
          <w:szCs w:val="26"/>
        </w:rPr>
        <w:t xml:space="preserve">Ms. Everette, to </w:t>
      </w:r>
      <w:r w:rsidR="00ED36EF" w:rsidRPr="00001309">
        <w:rPr>
          <w:sz w:val="26"/>
          <w:szCs w:val="26"/>
        </w:rPr>
        <w:t xml:space="preserve">support their position that the </w:t>
      </w:r>
      <w:r w:rsidR="006C240C" w:rsidRPr="00001309">
        <w:rPr>
          <w:sz w:val="26"/>
          <w:szCs w:val="26"/>
        </w:rPr>
        <w:t xml:space="preserve">conclusions </w:t>
      </w:r>
      <w:r w:rsidR="00ED36EF" w:rsidRPr="00001309">
        <w:rPr>
          <w:sz w:val="26"/>
          <w:szCs w:val="26"/>
        </w:rPr>
        <w:t xml:space="preserve">reached by the ALJs </w:t>
      </w:r>
      <w:r w:rsidR="006C240C" w:rsidRPr="00001309">
        <w:rPr>
          <w:sz w:val="26"/>
          <w:szCs w:val="26"/>
        </w:rPr>
        <w:t xml:space="preserve">on both, the number of overbilling occurrences and the monetary amounts associated </w:t>
      </w:r>
      <w:r w:rsidR="006C240C" w:rsidRPr="00001309">
        <w:rPr>
          <w:sz w:val="26"/>
          <w:szCs w:val="26"/>
        </w:rPr>
        <w:lastRenderedPageBreak/>
        <w:t>with such occurrences, for both commercial and residential customers of Blue Pilot</w:t>
      </w:r>
      <w:r w:rsidR="00ED36EF" w:rsidRPr="00001309">
        <w:rPr>
          <w:sz w:val="26"/>
          <w:szCs w:val="26"/>
        </w:rPr>
        <w:t>, should be affirmed</w:t>
      </w:r>
      <w:r w:rsidR="006C240C" w:rsidRPr="00001309">
        <w:rPr>
          <w:sz w:val="26"/>
          <w:szCs w:val="26"/>
        </w:rPr>
        <w:t xml:space="preserve">.  </w:t>
      </w:r>
      <w:r w:rsidR="006C240C" w:rsidRPr="00001309">
        <w:rPr>
          <w:i/>
          <w:sz w:val="26"/>
          <w:szCs w:val="26"/>
        </w:rPr>
        <w:t xml:space="preserve">See </w:t>
      </w:r>
      <w:r w:rsidR="006C240C" w:rsidRPr="00001309">
        <w:rPr>
          <w:sz w:val="26"/>
          <w:szCs w:val="26"/>
        </w:rPr>
        <w:t>R.</w:t>
      </w:r>
      <w:r w:rsidR="00747231" w:rsidRPr="00001309">
        <w:rPr>
          <w:sz w:val="26"/>
          <w:szCs w:val="26"/>
        </w:rPr>
        <w:t xml:space="preserve"> </w:t>
      </w:r>
      <w:r w:rsidR="006C240C" w:rsidRPr="00001309">
        <w:rPr>
          <w:sz w:val="26"/>
          <w:szCs w:val="26"/>
        </w:rPr>
        <w:t>Exc., at 11.</w:t>
      </w:r>
    </w:p>
    <w:p w:rsidR="007C3E10" w:rsidRPr="00001309" w:rsidRDefault="007C3E10" w:rsidP="006C240C">
      <w:pPr>
        <w:autoSpaceDE w:val="0"/>
        <w:autoSpaceDN w:val="0"/>
        <w:ind w:firstLine="0"/>
        <w:rPr>
          <w:b/>
          <w:sz w:val="26"/>
          <w:szCs w:val="26"/>
        </w:rPr>
      </w:pPr>
    </w:p>
    <w:p w:rsidR="005752D6" w:rsidRPr="00A202E0" w:rsidRDefault="003864B0" w:rsidP="001812E2">
      <w:pPr>
        <w:keepNext/>
        <w:keepLines/>
        <w:autoSpaceDE w:val="0"/>
        <w:autoSpaceDN w:val="0"/>
        <w:ind w:firstLine="720"/>
        <w:rPr>
          <w:b/>
          <w:sz w:val="26"/>
          <w:szCs w:val="26"/>
        </w:rPr>
      </w:pPr>
      <w:bookmarkStart w:id="30" w:name="_Hlk512264223"/>
      <w:r w:rsidRPr="00A202E0">
        <w:rPr>
          <w:b/>
          <w:sz w:val="26"/>
          <w:szCs w:val="26"/>
        </w:rPr>
        <w:t>4</w:t>
      </w:r>
      <w:r w:rsidR="00CC2062" w:rsidRPr="00A202E0">
        <w:rPr>
          <w:b/>
          <w:sz w:val="26"/>
          <w:szCs w:val="26"/>
        </w:rPr>
        <w:t>.</w:t>
      </w:r>
      <w:r w:rsidR="00CC2062" w:rsidRPr="00A202E0">
        <w:rPr>
          <w:b/>
          <w:sz w:val="26"/>
          <w:szCs w:val="26"/>
        </w:rPr>
        <w:tab/>
      </w:r>
      <w:r w:rsidR="005752D6" w:rsidRPr="00A202E0">
        <w:rPr>
          <w:b/>
          <w:sz w:val="26"/>
          <w:szCs w:val="26"/>
        </w:rPr>
        <w:t>Disposition</w:t>
      </w:r>
    </w:p>
    <w:p w:rsidR="005752D6" w:rsidRPr="00A202E0" w:rsidRDefault="005752D6" w:rsidP="003F31B5">
      <w:pPr>
        <w:keepNext/>
        <w:keepLines/>
        <w:autoSpaceDE w:val="0"/>
        <w:autoSpaceDN w:val="0"/>
        <w:rPr>
          <w:sz w:val="26"/>
          <w:szCs w:val="26"/>
        </w:rPr>
      </w:pPr>
    </w:p>
    <w:p w:rsidR="00A202E0" w:rsidRPr="00A202E0" w:rsidRDefault="007D6346" w:rsidP="00CB08FD">
      <w:pPr>
        <w:autoSpaceDE w:val="0"/>
        <w:autoSpaceDN w:val="0"/>
        <w:rPr>
          <w:sz w:val="26"/>
          <w:szCs w:val="26"/>
        </w:rPr>
      </w:pPr>
      <w:r w:rsidRPr="00A202E0">
        <w:rPr>
          <w:sz w:val="26"/>
          <w:szCs w:val="26"/>
        </w:rPr>
        <w:t>On consideration of the positions of the Parties and review of the record, we shall</w:t>
      </w:r>
      <w:r w:rsidR="004E6256">
        <w:rPr>
          <w:sz w:val="26"/>
          <w:szCs w:val="26"/>
        </w:rPr>
        <w:t xml:space="preserve"> deny</w:t>
      </w:r>
      <w:r w:rsidRPr="00A202E0">
        <w:rPr>
          <w:sz w:val="26"/>
          <w:szCs w:val="26"/>
        </w:rPr>
        <w:t xml:space="preserve"> the Exceptions of Blue Pilot</w:t>
      </w:r>
      <w:r w:rsidR="004E6256">
        <w:rPr>
          <w:sz w:val="26"/>
          <w:szCs w:val="26"/>
        </w:rPr>
        <w:t xml:space="preserve"> concerning its objections to </w:t>
      </w:r>
      <w:r w:rsidR="007646BA">
        <w:rPr>
          <w:sz w:val="26"/>
          <w:szCs w:val="26"/>
        </w:rPr>
        <w:t xml:space="preserve">sustaining Count III </w:t>
      </w:r>
      <w:r w:rsidR="00474E36">
        <w:rPr>
          <w:sz w:val="26"/>
          <w:szCs w:val="26"/>
        </w:rPr>
        <w:t>(</w:t>
      </w:r>
      <w:r w:rsidR="00474E36" w:rsidRPr="00474E36">
        <w:rPr>
          <w:sz w:val="26"/>
          <w:szCs w:val="26"/>
        </w:rPr>
        <w:t>Misleading and Deceptive Promises of Savings</w:t>
      </w:r>
      <w:r w:rsidR="00474E36">
        <w:rPr>
          <w:sz w:val="26"/>
          <w:szCs w:val="26"/>
        </w:rPr>
        <w:t xml:space="preserve">) </w:t>
      </w:r>
      <w:r w:rsidR="007646BA">
        <w:rPr>
          <w:sz w:val="26"/>
          <w:szCs w:val="26"/>
        </w:rPr>
        <w:t>of the OAG/OCA Complaint,</w:t>
      </w:r>
      <w:r w:rsidR="001E6CA5" w:rsidRPr="00A202E0">
        <w:rPr>
          <w:sz w:val="26"/>
          <w:szCs w:val="26"/>
        </w:rPr>
        <w:t xml:space="preserve"> consistent with the discussion in this Opinion and Order.  We expressly affirm and adopt the recommendations in the Initial Decision for a rebilling credit to aggrieved customers.  We </w:t>
      </w:r>
      <w:r w:rsidR="00673A1A">
        <w:rPr>
          <w:sz w:val="26"/>
          <w:szCs w:val="26"/>
        </w:rPr>
        <w:t>also</w:t>
      </w:r>
      <w:r w:rsidR="001E6CA5" w:rsidRPr="00A202E0">
        <w:rPr>
          <w:sz w:val="26"/>
          <w:szCs w:val="26"/>
        </w:rPr>
        <w:t xml:space="preserve"> adopt</w:t>
      </w:r>
      <w:r w:rsidR="00A05F6A">
        <w:rPr>
          <w:sz w:val="26"/>
          <w:szCs w:val="26"/>
        </w:rPr>
        <w:t xml:space="preserve">, consistent with the discussion in this Opinion and Order, </w:t>
      </w:r>
      <w:r w:rsidR="001E6CA5" w:rsidRPr="00A202E0">
        <w:rPr>
          <w:sz w:val="26"/>
          <w:szCs w:val="26"/>
        </w:rPr>
        <w:t xml:space="preserve">the recommendation for a rebilling credit to customers in the aggregate amount </w:t>
      </w:r>
      <w:r w:rsidR="00A202E0" w:rsidRPr="00A202E0">
        <w:rPr>
          <w:sz w:val="26"/>
          <w:szCs w:val="26"/>
        </w:rPr>
        <w:t xml:space="preserve">of </w:t>
      </w:r>
      <w:r w:rsidR="004E5D6A">
        <w:rPr>
          <w:sz w:val="26"/>
          <w:szCs w:val="26"/>
        </w:rPr>
        <w:t>$</w:t>
      </w:r>
      <w:r w:rsidR="00A202E0" w:rsidRPr="00A202E0">
        <w:rPr>
          <w:sz w:val="26"/>
          <w:szCs w:val="26"/>
        </w:rPr>
        <w:t>2,</w:t>
      </w:r>
      <w:r w:rsidR="007646BA">
        <w:rPr>
          <w:sz w:val="26"/>
          <w:szCs w:val="26"/>
        </w:rPr>
        <w:t>5</w:t>
      </w:r>
      <w:r w:rsidR="00072044">
        <w:rPr>
          <w:sz w:val="26"/>
          <w:szCs w:val="26"/>
        </w:rPr>
        <w:t>08,449</w:t>
      </w:r>
      <w:r w:rsidR="001E6CA5" w:rsidRPr="00A202E0">
        <w:rPr>
          <w:sz w:val="26"/>
          <w:szCs w:val="26"/>
        </w:rPr>
        <w:t>.</w:t>
      </w:r>
      <w:r w:rsidR="00F025EB">
        <w:rPr>
          <w:rStyle w:val="FootnoteReference"/>
          <w:sz w:val="26"/>
          <w:szCs w:val="26"/>
        </w:rPr>
        <w:footnoteReference w:id="32"/>
      </w:r>
      <w:r w:rsidR="001E6CA5" w:rsidRPr="00A202E0">
        <w:rPr>
          <w:sz w:val="26"/>
          <w:szCs w:val="26"/>
        </w:rPr>
        <w:t xml:space="preserve">  </w:t>
      </w:r>
      <w:r w:rsidR="007646BA">
        <w:rPr>
          <w:sz w:val="26"/>
          <w:szCs w:val="26"/>
        </w:rPr>
        <w:t xml:space="preserve">This </w:t>
      </w:r>
      <w:r w:rsidR="004E5D6A">
        <w:rPr>
          <w:sz w:val="26"/>
          <w:szCs w:val="26"/>
        </w:rPr>
        <w:t>figure</w:t>
      </w:r>
      <w:r w:rsidR="007646BA">
        <w:rPr>
          <w:sz w:val="26"/>
          <w:szCs w:val="26"/>
        </w:rPr>
        <w:t xml:space="preserve"> </w:t>
      </w:r>
      <w:r w:rsidR="00A05F6A">
        <w:rPr>
          <w:sz w:val="26"/>
          <w:szCs w:val="26"/>
        </w:rPr>
        <w:t>includes t</w:t>
      </w:r>
      <w:r w:rsidR="001E6CA5" w:rsidRPr="00A202E0">
        <w:rPr>
          <w:sz w:val="26"/>
          <w:szCs w:val="26"/>
        </w:rPr>
        <w:t xml:space="preserve">he </w:t>
      </w:r>
      <w:r w:rsidR="00A05F6A">
        <w:rPr>
          <w:sz w:val="26"/>
          <w:szCs w:val="26"/>
        </w:rPr>
        <w:t xml:space="preserve">amount </w:t>
      </w:r>
      <w:r w:rsidR="001E6CA5" w:rsidRPr="00A202E0">
        <w:rPr>
          <w:sz w:val="26"/>
          <w:szCs w:val="26"/>
        </w:rPr>
        <w:t>recommend</w:t>
      </w:r>
      <w:r w:rsidR="00A05F6A">
        <w:rPr>
          <w:sz w:val="26"/>
          <w:szCs w:val="26"/>
        </w:rPr>
        <w:t>ed</w:t>
      </w:r>
      <w:r w:rsidR="001E6CA5" w:rsidRPr="00A202E0">
        <w:rPr>
          <w:sz w:val="26"/>
          <w:szCs w:val="26"/>
        </w:rPr>
        <w:t xml:space="preserve"> </w:t>
      </w:r>
      <w:r w:rsidR="00A05F6A">
        <w:rPr>
          <w:sz w:val="26"/>
          <w:szCs w:val="26"/>
        </w:rPr>
        <w:t xml:space="preserve">by </w:t>
      </w:r>
      <w:r w:rsidR="007646BA">
        <w:rPr>
          <w:sz w:val="26"/>
          <w:szCs w:val="26"/>
        </w:rPr>
        <w:t xml:space="preserve">the ALJs </w:t>
      </w:r>
      <w:r w:rsidR="004E5D6A">
        <w:rPr>
          <w:sz w:val="26"/>
          <w:szCs w:val="26"/>
        </w:rPr>
        <w:t>of</w:t>
      </w:r>
      <w:r w:rsidR="007646BA">
        <w:rPr>
          <w:sz w:val="26"/>
          <w:szCs w:val="26"/>
        </w:rPr>
        <w:t xml:space="preserve"> </w:t>
      </w:r>
      <w:r w:rsidR="00064ADA">
        <w:rPr>
          <w:sz w:val="26"/>
          <w:szCs w:val="26"/>
        </w:rPr>
        <w:t xml:space="preserve">$100,000, </w:t>
      </w:r>
      <w:r w:rsidR="007646BA">
        <w:rPr>
          <w:sz w:val="26"/>
          <w:szCs w:val="26"/>
        </w:rPr>
        <w:t xml:space="preserve">to </w:t>
      </w:r>
      <w:r w:rsidR="00A202E0" w:rsidRPr="00A202E0">
        <w:rPr>
          <w:sz w:val="26"/>
          <w:szCs w:val="26"/>
        </w:rPr>
        <w:t xml:space="preserve">be allocated for the services of a Refund Pool Administrator.  </w:t>
      </w:r>
      <w:r w:rsidR="00A202E0" w:rsidRPr="00A202E0">
        <w:rPr>
          <w:i/>
          <w:sz w:val="26"/>
          <w:szCs w:val="26"/>
        </w:rPr>
        <w:t xml:space="preserve">See </w:t>
      </w:r>
      <w:r w:rsidR="00A202E0" w:rsidRPr="00A202E0">
        <w:rPr>
          <w:sz w:val="26"/>
          <w:szCs w:val="26"/>
        </w:rPr>
        <w:t>I.D. at 150-151.</w:t>
      </w:r>
    </w:p>
    <w:p w:rsidR="00A202E0" w:rsidRPr="00A202E0" w:rsidRDefault="00A202E0" w:rsidP="00A202E0">
      <w:pPr>
        <w:autoSpaceDE w:val="0"/>
        <w:autoSpaceDN w:val="0"/>
        <w:rPr>
          <w:sz w:val="26"/>
          <w:szCs w:val="26"/>
        </w:rPr>
      </w:pPr>
    </w:p>
    <w:p w:rsidR="00CF62B2" w:rsidRPr="00A202E0" w:rsidRDefault="008D34CA" w:rsidP="00A202E0">
      <w:pPr>
        <w:autoSpaceDE w:val="0"/>
        <w:autoSpaceDN w:val="0"/>
        <w:rPr>
          <w:sz w:val="26"/>
          <w:szCs w:val="26"/>
        </w:rPr>
      </w:pPr>
      <w:r>
        <w:rPr>
          <w:sz w:val="26"/>
          <w:szCs w:val="26"/>
        </w:rPr>
        <w:t xml:space="preserve">The </w:t>
      </w:r>
      <w:r w:rsidR="00A202E0" w:rsidRPr="00A202E0">
        <w:rPr>
          <w:sz w:val="26"/>
          <w:szCs w:val="26"/>
        </w:rPr>
        <w:t>Joint Complainant</w:t>
      </w:r>
      <w:r w:rsidR="00776790">
        <w:rPr>
          <w:sz w:val="26"/>
          <w:szCs w:val="26"/>
        </w:rPr>
        <w:t>s</w:t>
      </w:r>
      <w:r w:rsidR="00A202E0" w:rsidRPr="00A202E0">
        <w:rPr>
          <w:sz w:val="26"/>
          <w:szCs w:val="26"/>
        </w:rPr>
        <w:t xml:space="preserve"> have advised that a</w:t>
      </w:r>
      <w:r w:rsidR="001E6CA5" w:rsidRPr="00A202E0">
        <w:rPr>
          <w:sz w:val="26"/>
          <w:szCs w:val="26"/>
        </w:rPr>
        <w:t xml:space="preserve"> current Administrator </w:t>
      </w:r>
      <w:r w:rsidR="00A202E0" w:rsidRPr="00A202E0">
        <w:rPr>
          <w:sz w:val="26"/>
          <w:szCs w:val="26"/>
        </w:rPr>
        <w:t xml:space="preserve">that has </w:t>
      </w:r>
      <w:r w:rsidR="001E6CA5" w:rsidRPr="00A202E0">
        <w:rPr>
          <w:sz w:val="26"/>
          <w:szCs w:val="26"/>
        </w:rPr>
        <w:t xml:space="preserve">already </w:t>
      </w:r>
      <w:r w:rsidR="00A202E0" w:rsidRPr="00A202E0">
        <w:rPr>
          <w:sz w:val="26"/>
          <w:szCs w:val="26"/>
        </w:rPr>
        <w:t xml:space="preserve">been </w:t>
      </w:r>
      <w:r w:rsidR="001E6CA5" w:rsidRPr="00A202E0">
        <w:rPr>
          <w:sz w:val="26"/>
          <w:szCs w:val="26"/>
        </w:rPr>
        <w:t>retained to disburse funds regarding settlements reached with</w:t>
      </w:r>
      <w:r w:rsidR="00A202E0" w:rsidRPr="00A202E0">
        <w:rPr>
          <w:sz w:val="26"/>
          <w:szCs w:val="26"/>
        </w:rPr>
        <w:t xml:space="preserve"> other EGS suppliers, </w:t>
      </w:r>
      <w:r w:rsidR="00A202E0" w:rsidRPr="00A202E0">
        <w:rPr>
          <w:i/>
          <w:sz w:val="26"/>
          <w:szCs w:val="26"/>
        </w:rPr>
        <w:t>i.e.</w:t>
      </w:r>
      <w:r w:rsidR="00A202E0" w:rsidRPr="00A202E0">
        <w:rPr>
          <w:sz w:val="26"/>
          <w:szCs w:val="26"/>
        </w:rPr>
        <w:t>,</w:t>
      </w:r>
      <w:r w:rsidR="001E6CA5" w:rsidRPr="00A202E0">
        <w:rPr>
          <w:sz w:val="26"/>
          <w:szCs w:val="26"/>
        </w:rPr>
        <w:t xml:space="preserve"> </w:t>
      </w:r>
      <w:r w:rsidR="001E6CA5" w:rsidRPr="00446AC6">
        <w:rPr>
          <w:sz w:val="26"/>
          <w:szCs w:val="26"/>
        </w:rPr>
        <w:t>Energy Services Providers, Inc. d/b/a Pennsylvania Gas &amp; Electric</w:t>
      </w:r>
      <w:r w:rsidR="001E6CA5" w:rsidRPr="00A202E0">
        <w:rPr>
          <w:sz w:val="26"/>
          <w:szCs w:val="26"/>
        </w:rPr>
        <w:t xml:space="preserve"> (C-2014-2427656); </w:t>
      </w:r>
      <w:r w:rsidR="001E6CA5" w:rsidRPr="00446AC6">
        <w:rPr>
          <w:sz w:val="26"/>
          <w:szCs w:val="26"/>
        </w:rPr>
        <w:t>IDT Energy, Inc.</w:t>
      </w:r>
      <w:r w:rsidR="001E6CA5" w:rsidRPr="00A202E0">
        <w:rPr>
          <w:sz w:val="26"/>
          <w:szCs w:val="26"/>
        </w:rPr>
        <w:t xml:space="preserve"> (</w:t>
      </w:r>
      <w:r w:rsidR="00A202E0" w:rsidRPr="00A202E0">
        <w:rPr>
          <w:sz w:val="26"/>
          <w:szCs w:val="26"/>
        </w:rPr>
        <w:t xml:space="preserve">Docket No. </w:t>
      </w:r>
      <w:r w:rsidR="001E6CA5" w:rsidRPr="00A202E0">
        <w:rPr>
          <w:sz w:val="26"/>
          <w:szCs w:val="26"/>
        </w:rPr>
        <w:t xml:space="preserve">C-2014-2427657); and </w:t>
      </w:r>
      <w:r w:rsidR="001E6CA5" w:rsidRPr="00446AC6">
        <w:rPr>
          <w:sz w:val="26"/>
          <w:szCs w:val="26"/>
        </w:rPr>
        <w:t>HIKO Energy, LLC</w:t>
      </w:r>
      <w:r w:rsidR="001E6CA5" w:rsidRPr="00A202E0">
        <w:rPr>
          <w:sz w:val="26"/>
          <w:szCs w:val="26"/>
        </w:rPr>
        <w:t xml:space="preserve"> </w:t>
      </w:r>
      <w:r w:rsidR="001E6CA5" w:rsidRPr="00A202E0">
        <w:rPr>
          <w:sz w:val="26"/>
          <w:szCs w:val="26"/>
        </w:rPr>
        <w:lastRenderedPageBreak/>
        <w:t>(</w:t>
      </w:r>
      <w:r w:rsidR="00A202E0" w:rsidRPr="00A202E0">
        <w:rPr>
          <w:sz w:val="26"/>
          <w:szCs w:val="26"/>
        </w:rPr>
        <w:t xml:space="preserve">Docket No. </w:t>
      </w:r>
      <w:r w:rsidR="001E6CA5" w:rsidRPr="00A202E0">
        <w:rPr>
          <w:sz w:val="26"/>
          <w:szCs w:val="26"/>
        </w:rPr>
        <w:t>C-2014-2427652)</w:t>
      </w:r>
      <w:r w:rsidR="00A202E0" w:rsidRPr="00A202E0">
        <w:rPr>
          <w:sz w:val="26"/>
          <w:szCs w:val="26"/>
        </w:rPr>
        <w:t>,</w:t>
      </w:r>
      <w:r w:rsidR="001E6CA5" w:rsidRPr="00A202E0">
        <w:rPr>
          <w:sz w:val="26"/>
          <w:szCs w:val="26"/>
        </w:rPr>
        <w:t xml:space="preserve"> </w:t>
      </w:r>
      <w:r w:rsidR="00A202E0" w:rsidRPr="00A202E0">
        <w:rPr>
          <w:sz w:val="26"/>
          <w:szCs w:val="26"/>
        </w:rPr>
        <w:t>is available to</w:t>
      </w:r>
      <w:r w:rsidR="001E6CA5" w:rsidRPr="00A202E0">
        <w:rPr>
          <w:sz w:val="26"/>
          <w:szCs w:val="26"/>
        </w:rPr>
        <w:t xml:space="preserve"> efficient</w:t>
      </w:r>
      <w:r w:rsidR="00A202E0" w:rsidRPr="00A202E0">
        <w:rPr>
          <w:sz w:val="26"/>
          <w:szCs w:val="26"/>
        </w:rPr>
        <w:t>ly</w:t>
      </w:r>
      <w:r w:rsidR="001E6CA5" w:rsidRPr="00A202E0">
        <w:rPr>
          <w:sz w:val="26"/>
          <w:szCs w:val="26"/>
        </w:rPr>
        <w:t xml:space="preserve"> administer </w:t>
      </w:r>
      <w:r w:rsidR="00A202E0" w:rsidRPr="00A202E0">
        <w:rPr>
          <w:sz w:val="26"/>
          <w:szCs w:val="26"/>
        </w:rPr>
        <w:t>any</w:t>
      </w:r>
      <w:r w:rsidR="001E6CA5" w:rsidRPr="00A202E0">
        <w:rPr>
          <w:sz w:val="26"/>
          <w:szCs w:val="26"/>
        </w:rPr>
        <w:t xml:space="preserve"> </w:t>
      </w:r>
      <w:r w:rsidR="00A202E0" w:rsidRPr="00A202E0">
        <w:rPr>
          <w:sz w:val="26"/>
          <w:szCs w:val="26"/>
        </w:rPr>
        <w:t xml:space="preserve">similar </w:t>
      </w:r>
      <w:r w:rsidR="001E6CA5" w:rsidRPr="00A202E0">
        <w:rPr>
          <w:sz w:val="26"/>
          <w:szCs w:val="26"/>
        </w:rPr>
        <w:t>refund</w:t>
      </w:r>
      <w:r w:rsidR="00A202E0" w:rsidRPr="00A202E0">
        <w:rPr>
          <w:sz w:val="26"/>
          <w:szCs w:val="26"/>
        </w:rPr>
        <w:t xml:space="preserve"> pool </w:t>
      </w:r>
      <w:r w:rsidR="00A05F6A">
        <w:rPr>
          <w:sz w:val="26"/>
          <w:szCs w:val="26"/>
        </w:rPr>
        <w:t xml:space="preserve">rebilling credits </w:t>
      </w:r>
      <w:r w:rsidR="00A202E0" w:rsidRPr="00A202E0">
        <w:rPr>
          <w:sz w:val="26"/>
          <w:szCs w:val="26"/>
        </w:rPr>
        <w:t xml:space="preserve">in this case.  </w:t>
      </w:r>
      <w:r w:rsidR="00A202E0" w:rsidRPr="00A202E0">
        <w:rPr>
          <w:i/>
          <w:sz w:val="26"/>
          <w:szCs w:val="26"/>
        </w:rPr>
        <w:t xml:space="preserve">See </w:t>
      </w:r>
      <w:r w:rsidR="00A202E0" w:rsidRPr="00A202E0">
        <w:rPr>
          <w:sz w:val="26"/>
          <w:szCs w:val="26"/>
        </w:rPr>
        <w:t>I.D. at 150-151.</w:t>
      </w:r>
    </w:p>
    <w:bookmarkEnd w:id="30"/>
    <w:p w:rsidR="001E6CA5" w:rsidRDefault="001E6CA5" w:rsidP="00847065">
      <w:pPr>
        <w:autoSpaceDE w:val="0"/>
        <w:autoSpaceDN w:val="0"/>
        <w:rPr>
          <w:sz w:val="26"/>
          <w:szCs w:val="26"/>
        </w:rPr>
      </w:pPr>
    </w:p>
    <w:p w:rsidR="0090110F" w:rsidRDefault="0090110F" w:rsidP="00E230AC">
      <w:pPr>
        <w:keepNext/>
        <w:keepLines/>
        <w:autoSpaceDE w:val="0"/>
        <w:autoSpaceDN w:val="0"/>
        <w:rPr>
          <w:sz w:val="26"/>
          <w:szCs w:val="26"/>
        </w:rPr>
      </w:pPr>
      <w:r w:rsidRPr="00332622">
        <w:rPr>
          <w:b/>
          <w:sz w:val="26"/>
          <w:szCs w:val="26"/>
        </w:rPr>
        <w:t>a.</w:t>
      </w:r>
      <w:r w:rsidR="001812E2">
        <w:rPr>
          <w:b/>
          <w:sz w:val="26"/>
          <w:szCs w:val="26"/>
        </w:rPr>
        <w:tab/>
      </w:r>
      <w:r w:rsidR="00064D14">
        <w:rPr>
          <w:b/>
          <w:sz w:val="26"/>
          <w:szCs w:val="26"/>
        </w:rPr>
        <w:t xml:space="preserve">Oral Representations by Blue Pilot Market Agents </w:t>
      </w:r>
    </w:p>
    <w:p w:rsidR="00467631" w:rsidRDefault="00467631" w:rsidP="00E230AC">
      <w:pPr>
        <w:keepNext/>
        <w:keepLines/>
        <w:kinsoku w:val="0"/>
        <w:overflowPunct w:val="0"/>
        <w:textAlignment w:val="baseline"/>
        <w:rPr>
          <w:sz w:val="26"/>
          <w:szCs w:val="26"/>
        </w:rPr>
      </w:pPr>
    </w:p>
    <w:p w:rsidR="004F4EBA" w:rsidRPr="00795361" w:rsidRDefault="004F4EBA" w:rsidP="004F4EBA">
      <w:pPr>
        <w:kinsoku w:val="0"/>
        <w:overflowPunct w:val="0"/>
        <w:textAlignment w:val="baseline"/>
        <w:rPr>
          <w:sz w:val="26"/>
          <w:szCs w:val="26"/>
        </w:rPr>
      </w:pPr>
      <w:r w:rsidRPr="00795361">
        <w:rPr>
          <w:sz w:val="26"/>
          <w:szCs w:val="26"/>
        </w:rPr>
        <w:t>According to Blue Pilot</w:t>
      </w:r>
      <w:r w:rsidR="000420BB">
        <w:rPr>
          <w:sz w:val="26"/>
          <w:szCs w:val="26"/>
        </w:rPr>
        <w:t>’</w:t>
      </w:r>
      <w:r w:rsidRPr="00795361">
        <w:rPr>
          <w:sz w:val="26"/>
          <w:szCs w:val="26"/>
        </w:rPr>
        <w:t>s Exceptions, the I</w:t>
      </w:r>
      <w:r w:rsidR="00CB08FD">
        <w:rPr>
          <w:sz w:val="26"/>
          <w:szCs w:val="26"/>
        </w:rPr>
        <w:t>nitial Decision</w:t>
      </w:r>
      <w:r w:rsidRPr="00795361">
        <w:rPr>
          <w:sz w:val="26"/>
          <w:szCs w:val="26"/>
        </w:rPr>
        <w:t xml:space="preserve"> errs in concluding that it made deceptive promises of savings. </w:t>
      </w:r>
      <w:r>
        <w:rPr>
          <w:sz w:val="26"/>
          <w:szCs w:val="26"/>
        </w:rPr>
        <w:t xml:space="preserve"> As noted, </w:t>
      </w:r>
      <w:r w:rsidRPr="00795361">
        <w:rPr>
          <w:sz w:val="26"/>
          <w:szCs w:val="26"/>
        </w:rPr>
        <w:t>Blue Pilot first argues that in reaching its conclusion, the I</w:t>
      </w:r>
      <w:r w:rsidR="00CB08FD">
        <w:rPr>
          <w:sz w:val="26"/>
          <w:szCs w:val="26"/>
        </w:rPr>
        <w:t>nitial Decision</w:t>
      </w:r>
      <w:r w:rsidRPr="00795361">
        <w:rPr>
          <w:sz w:val="26"/>
          <w:szCs w:val="26"/>
        </w:rPr>
        <w:t xml:space="preserve"> impermissibly goes beyond the </w:t>
      </w:r>
      <w:r>
        <w:rPr>
          <w:sz w:val="26"/>
          <w:szCs w:val="26"/>
        </w:rPr>
        <w:t>“</w:t>
      </w:r>
      <w:r w:rsidRPr="00795361">
        <w:rPr>
          <w:sz w:val="26"/>
          <w:szCs w:val="26"/>
        </w:rPr>
        <w:t>four corners</w:t>
      </w:r>
      <w:r>
        <w:rPr>
          <w:sz w:val="26"/>
          <w:szCs w:val="26"/>
        </w:rPr>
        <w:t>”</w:t>
      </w:r>
      <w:r w:rsidRPr="00795361">
        <w:rPr>
          <w:sz w:val="26"/>
          <w:szCs w:val="26"/>
        </w:rPr>
        <w:t xml:space="preserve"> of the supply contract and impermissibly relies on extrinsic evidence in the form of oral representations of Blue Pilot</w:t>
      </w:r>
      <w:r>
        <w:rPr>
          <w:sz w:val="26"/>
          <w:szCs w:val="26"/>
        </w:rPr>
        <w:t>’</w:t>
      </w:r>
      <w:r w:rsidRPr="00795361">
        <w:rPr>
          <w:sz w:val="26"/>
          <w:szCs w:val="26"/>
        </w:rPr>
        <w:t xml:space="preserve">s sales agents. </w:t>
      </w:r>
      <w:r>
        <w:rPr>
          <w:sz w:val="26"/>
          <w:szCs w:val="26"/>
        </w:rPr>
        <w:t xml:space="preserve"> </w:t>
      </w:r>
      <w:r w:rsidRPr="00795361">
        <w:rPr>
          <w:sz w:val="26"/>
          <w:szCs w:val="26"/>
        </w:rPr>
        <w:t xml:space="preserve">As noted by the Joint Complainants, however, the Commission is not using this evidence to </w:t>
      </w:r>
      <w:r>
        <w:rPr>
          <w:sz w:val="26"/>
          <w:szCs w:val="26"/>
        </w:rPr>
        <w:t xml:space="preserve">engage in an </w:t>
      </w:r>
      <w:r w:rsidRPr="00795361">
        <w:rPr>
          <w:sz w:val="26"/>
          <w:szCs w:val="26"/>
        </w:rPr>
        <w:t>interpret</w:t>
      </w:r>
      <w:r>
        <w:rPr>
          <w:sz w:val="26"/>
          <w:szCs w:val="26"/>
        </w:rPr>
        <w:t>ation of</w:t>
      </w:r>
      <w:r w:rsidRPr="00795361">
        <w:rPr>
          <w:sz w:val="26"/>
          <w:szCs w:val="26"/>
        </w:rPr>
        <w:t xml:space="preserve"> the supply contract between Blue Pilot and its customers here.</w:t>
      </w:r>
      <w:r>
        <w:rPr>
          <w:sz w:val="26"/>
          <w:szCs w:val="26"/>
        </w:rPr>
        <w:t xml:space="preserve"> </w:t>
      </w:r>
      <w:r w:rsidRPr="00795361">
        <w:rPr>
          <w:sz w:val="26"/>
          <w:szCs w:val="26"/>
        </w:rPr>
        <w:t xml:space="preserve"> Rather, the Commission is using this evidence, including the oral representations of </w:t>
      </w:r>
      <w:r>
        <w:rPr>
          <w:sz w:val="26"/>
          <w:szCs w:val="26"/>
        </w:rPr>
        <w:t xml:space="preserve">Blue Pilot’s </w:t>
      </w:r>
      <w:r w:rsidRPr="00795361">
        <w:rPr>
          <w:sz w:val="26"/>
          <w:szCs w:val="26"/>
        </w:rPr>
        <w:t>sales</w:t>
      </w:r>
      <w:r>
        <w:rPr>
          <w:sz w:val="26"/>
          <w:szCs w:val="26"/>
        </w:rPr>
        <w:t>/marketing</w:t>
      </w:r>
      <w:r w:rsidRPr="00795361">
        <w:rPr>
          <w:sz w:val="26"/>
          <w:szCs w:val="26"/>
        </w:rPr>
        <w:t xml:space="preserve"> agents, to determine whether Blue Pilot</w:t>
      </w:r>
      <w:r>
        <w:rPr>
          <w:sz w:val="26"/>
          <w:szCs w:val="26"/>
        </w:rPr>
        <w:t>’</w:t>
      </w:r>
      <w:r w:rsidRPr="00795361">
        <w:rPr>
          <w:sz w:val="26"/>
          <w:szCs w:val="26"/>
        </w:rPr>
        <w:t xml:space="preserve">s billed price matched the disclosed </w:t>
      </w:r>
      <w:r w:rsidRPr="00795361">
        <w:rPr>
          <w:i/>
          <w:iCs/>
          <w:sz w:val="26"/>
          <w:szCs w:val="26"/>
        </w:rPr>
        <w:t xml:space="preserve">and marketed price </w:t>
      </w:r>
      <w:r w:rsidRPr="00795361">
        <w:rPr>
          <w:sz w:val="26"/>
          <w:szCs w:val="26"/>
        </w:rPr>
        <w:t xml:space="preserve">as required by Sections 54.4(a), 54,5(a), and 54.7(a) of our </w:t>
      </w:r>
      <w:r>
        <w:rPr>
          <w:sz w:val="26"/>
          <w:szCs w:val="26"/>
        </w:rPr>
        <w:t>R</w:t>
      </w:r>
      <w:r w:rsidRPr="00795361">
        <w:rPr>
          <w:sz w:val="26"/>
          <w:szCs w:val="26"/>
        </w:rPr>
        <w:t>egulations.</w:t>
      </w:r>
      <w:r>
        <w:rPr>
          <w:sz w:val="26"/>
          <w:szCs w:val="26"/>
        </w:rPr>
        <w:t xml:space="preserve">  52 Pa. Code §§</w:t>
      </w:r>
      <w:r w:rsidR="00CB08FD">
        <w:rPr>
          <w:sz w:val="26"/>
          <w:szCs w:val="26"/>
        </w:rPr>
        <w:t> </w:t>
      </w:r>
      <w:r>
        <w:rPr>
          <w:sz w:val="26"/>
          <w:szCs w:val="26"/>
        </w:rPr>
        <w:t>54.4(a); 54.5(a) and 54.7(a).</w:t>
      </w:r>
    </w:p>
    <w:p w:rsidR="00064D14" w:rsidRDefault="00064D14" w:rsidP="000330F8">
      <w:pPr>
        <w:kinsoku w:val="0"/>
        <w:overflowPunct w:val="0"/>
        <w:textAlignment w:val="baseline"/>
        <w:rPr>
          <w:spacing w:val="-1"/>
          <w:sz w:val="26"/>
          <w:szCs w:val="26"/>
        </w:rPr>
      </w:pPr>
    </w:p>
    <w:p w:rsidR="000330F8" w:rsidRPr="00CF7A6E" w:rsidRDefault="000330F8" w:rsidP="000330F8">
      <w:pPr>
        <w:kinsoku w:val="0"/>
        <w:overflowPunct w:val="0"/>
        <w:textAlignment w:val="baseline"/>
        <w:rPr>
          <w:spacing w:val="-1"/>
          <w:sz w:val="26"/>
          <w:szCs w:val="26"/>
        </w:rPr>
      </w:pPr>
      <w:r w:rsidRPr="00CF7A6E">
        <w:rPr>
          <w:spacing w:val="-1"/>
          <w:sz w:val="26"/>
          <w:szCs w:val="26"/>
        </w:rPr>
        <w:t xml:space="preserve">Blue Pilot also argues that the </w:t>
      </w:r>
      <w:r w:rsidR="00661EE2">
        <w:rPr>
          <w:spacing w:val="-1"/>
          <w:sz w:val="26"/>
          <w:szCs w:val="26"/>
        </w:rPr>
        <w:t>Initial Decision</w:t>
      </w:r>
      <w:r w:rsidRPr="00CF7A6E">
        <w:rPr>
          <w:spacing w:val="-1"/>
          <w:sz w:val="26"/>
          <w:szCs w:val="26"/>
        </w:rPr>
        <w:t xml:space="preserve"> fails to acknowledge the testimony of many consumers that Blue Pilot did not guarantee savings.  However, the </w:t>
      </w:r>
      <w:r w:rsidR="00661EE2">
        <w:rPr>
          <w:spacing w:val="-1"/>
          <w:sz w:val="26"/>
          <w:szCs w:val="26"/>
        </w:rPr>
        <w:t>Initial Decision</w:t>
      </w:r>
      <w:r w:rsidRPr="00CF7A6E">
        <w:rPr>
          <w:spacing w:val="-1"/>
          <w:sz w:val="26"/>
          <w:szCs w:val="26"/>
        </w:rPr>
        <w:t xml:space="preserve"> contains a detailed explanation of the record evidence that supports the ALJs’ conclusion regarding deceptive promises of savings.  This evidence belies the objections of Blue Pilot and includes consumer testimony that Blue Pilot sales representatives misled them about savings.  </w:t>
      </w:r>
      <w:r w:rsidRPr="00CF7A6E">
        <w:rPr>
          <w:i/>
          <w:spacing w:val="-1"/>
          <w:sz w:val="26"/>
          <w:szCs w:val="26"/>
        </w:rPr>
        <w:t xml:space="preserve">See, e.g., </w:t>
      </w:r>
      <w:r w:rsidRPr="00CF7A6E">
        <w:rPr>
          <w:spacing w:val="-1"/>
          <w:sz w:val="26"/>
          <w:szCs w:val="26"/>
        </w:rPr>
        <w:t xml:space="preserve">I.D. at 88, </w:t>
      </w:r>
      <w:r w:rsidRPr="00CF7A6E">
        <w:rPr>
          <w:i/>
          <w:spacing w:val="-1"/>
          <w:sz w:val="26"/>
          <w:szCs w:val="26"/>
        </w:rPr>
        <w:t>et</w:t>
      </w:r>
      <w:r w:rsidRPr="00CF7A6E">
        <w:rPr>
          <w:spacing w:val="-1"/>
          <w:sz w:val="26"/>
          <w:szCs w:val="26"/>
        </w:rPr>
        <w:t xml:space="preserve"> </w:t>
      </w:r>
      <w:r w:rsidRPr="00CF7A6E">
        <w:rPr>
          <w:i/>
          <w:spacing w:val="-1"/>
          <w:sz w:val="26"/>
          <w:szCs w:val="26"/>
        </w:rPr>
        <w:t xml:space="preserve">al </w:t>
      </w:r>
      <w:r w:rsidRPr="00CF7A6E">
        <w:rPr>
          <w:spacing w:val="-1"/>
          <w:sz w:val="26"/>
          <w:szCs w:val="26"/>
        </w:rPr>
        <w:t xml:space="preserve">discussing </w:t>
      </w:r>
      <w:r w:rsidRPr="00CF7A6E">
        <w:rPr>
          <w:i/>
          <w:spacing w:val="-1"/>
          <w:sz w:val="26"/>
          <w:szCs w:val="26"/>
        </w:rPr>
        <w:t>Kiback</w:t>
      </w:r>
      <w:r w:rsidRPr="00CF7A6E">
        <w:rPr>
          <w:spacing w:val="-1"/>
          <w:sz w:val="26"/>
          <w:szCs w:val="26"/>
        </w:rPr>
        <w:t xml:space="preserve">; OAG/OCA St. 1 at 33.  This evidence also includes the credible expert witness testimony proffered by the Joint Complainants that Blue Pilot’s marketing materials were </w:t>
      </w:r>
      <w:r w:rsidR="000420BB">
        <w:rPr>
          <w:spacing w:val="-1"/>
          <w:sz w:val="26"/>
          <w:szCs w:val="26"/>
        </w:rPr>
        <w:t xml:space="preserve">(routinely) </w:t>
      </w:r>
      <w:r w:rsidRPr="00CF7A6E">
        <w:rPr>
          <w:spacing w:val="-1"/>
          <w:sz w:val="26"/>
          <w:szCs w:val="26"/>
        </w:rPr>
        <w:t>deceptive and misleading because they falsely suggested that selecting Blue Pilot would result in savings, lower bills, and a high level of customer service.  I.D. at 84-88.  Blue Pilot did not successfully rebut this expert witness and consumer evidence.</w:t>
      </w:r>
    </w:p>
    <w:p w:rsidR="00B62A85" w:rsidRDefault="00B62A85" w:rsidP="00847065">
      <w:pPr>
        <w:autoSpaceDE w:val="0"/>
        <w:autoSpaceDN w:val="0"/>
        <w:rPr>
          <w:sz w:val="26"/>
          <w:szCs w:val="26"/>
        </w:rPr>
      </w:pPr>
    </w:p>
    <w:p w:rsidR="00A67FD0" w:rsidRPr="00A67FD0" w:rsidRDefault="00A67FD0" w:rsidP="00A67FD0">
      <w:pPr>
        <w:kinsoku w:val="0"/>
        <w:overflowPunct w:val="0"/>
        <w:textAlignment w:val="baseline"/>
        <w:rPr>
          <w:sz w:val="26"/>
          <w:szCs w:val="26"/>
        </w:rPr>
      </w:pPr>
      <w:r w:rsidRPr="00795361">
        <w:rPr>
          <w:sz w:val="26"/>
          <w:szCs w:val="26"/>
        </w:rPr>
        <w:lastRenderedPageBreak/>
        <w:t>Despite the company</w:t>
      </w:r>
      <w:r>
        <w:rPr>
          <w:sz w:val="26"/>
          <w:szCs w:val="26"/>
        </w:rPr>
        <w:t>’</w:t>
      </w:r>
      <w:r w:rsidRPr="00795361">
        <w:rPr>
          <w:sz w:val="26"/>
          <w:szCs w:val="26"/>
        </w:rPr>
        <w:t xml:space="preserve">s representations regarding savings, the substantial, credible record evidence shows that Blue Pilot customers did not experience savings during the </w:t>
      </w:r>
      <w:r w:rsidR="00E37BB4" w:rsidRPr="00795361">
        <w:rPr>
          <w:sz w:val="26"/>
          <w:szCs w:val="26"/>
        </w:rPr>
        <w:t>period</w:t>
      </w:r>
      <w:r w:rsidRPr="00795361">
        <w:rPr>
          <w:sz w:val="26"/>
          <w:szCs w:val="26"/>
        </w:rPr>
        <w:t xml:space="preserve"> in question.</w:t>
      </w:r>
      <w:r>
        <w:rPr>
          <w:sz w:val="26"/>
          <w:szCs w:val="26"/>
        </w:rPr>
        <w:t xml:space="preserve">  </w:t>
      </w:r>
      <w:r>
        <w:rPr>
          <w:i/>
          <w:sz w:val="26"/>
          <w:szCs w:val="26"/>
        </w:rPr>
        <w:t xml:space="preserve">See </w:t>
      </w:r>
      <w:r>
        <w:rPr>
          <w:sz w:val="26"/>
          <w:szCs w:val="26"/>
        </w:rPr>
        <w:t>OAG/OCA St. 1 at 24; OAG/OCA St. 3.</w:t>
      </w:r>
      <w:r w:rsidRPr="00795361">
        <w:rPr>
          <w:sz w:val="26"/>
          <w:szCs w:val="26"/>
        </w:rPr>
        <w:t xml:space="preserve"> </w:t>
      </w:r>
      <w:r>
        <w:rPr>
          <w:sz w:val="26"/>
          <w:szCs w:val="26"/>
        </w:rPr>
        <w:t xml:space="preserve"> </w:t>
      </w:r>
      <w:r w:rsidRPr="00795361">
        <w:rPr>
          <w:sz w:val="26"/>
          <w:szCs w:val="26"/>
        </w:rPr>
        <w:t>Overall, Blue Pilot charged its customers more than the applicable Price to Compare (PTC) in effect for each EDC during the months December 2013 through March 2014</w:t>
      </w:r>
      <w:r>
        <w:rPr>
          <w:sz w:val="26"/>
          <w:szCs w:val="26"/>
        </w:rPr>
        <w:t xml:space="preserve">.  </w:t>
      </w:r>
      <w:r>
        <w:rPr>
          <w:i/>
          <w:sz w:val="26"/>
          <w:szCs w:val="26"/>
        </w:rPr>
        <w:t xml:space="preserve">See, generally </w:t>
      </w:r>
      <w:r>
        <w:rPr>
          <w:sz w:val="26"/>
          <w:szCs w:val="26"/>
        </w:rPr>
        <w:t xml:space="preserve">OAG/OCA St. 3. </w:t>
      </w:r>
      <w:r w:rsidRPr="00795361">
        <w:rPr>
          <w:sz w:val="26"/>
          <w:szCs w:val="26"/>
        </w:rPr>
        <w:t xml:space="preserve"> In fact, based on the analysis conducted by the Joint Complainants</w:t>
      </w:r>
      <w:r w:rsidR="000420BB">
        <w:rPr>
          <w:sz w:val="26"/>
          <w:szCs w:val="26"/>
        </w:rPr>
        <w:t>’</w:t>
      </w:r>
      <w:r w:rsidRPr="00795361">
        <w:rPr>
          <w:sz w:val="26"/>
          <w:szCs w:val="26"/>
        </w:rPr>
        <w:t xml:space="preserve"> expert witness, Blue Pilot</w:t>
      </w:r>
      <w:r>
        <w:rPr>
          <w:sz w:val="26"/>
          <w:szCs w:val="26"/>
        </w:rPr>
        <w:t>’</w:t>
      </w:r>
      <w:r w:rsidRPr="00795361">
        <w:rPr>
          <w:sz w:val="26"/>
          <w:szCs w:val="26"/>
        </w:rPr>
        <w:t xml:space="preserve">s customers who were told would see </w:t>
      </w:r>
      <w:r>
        <w:rPr>
          <w:sz w:val="26"/>
          <w:szCs w:val="26"/>
        </w:rPr>
        <w:t>“</w:t>
      </w:r>
      <w:r w:rsidRPr="00795361">
        <w:rPr>
          <w:sz w:val="26"/>
          <w:szCs w:val="26"/>
        </w:rPr>
        <w:t>savings</w:t>
      </w:r>
      <w:r>
        <w:rPr>
          <w:sz w:val="26"/>
          <w:szCs w:val="26"/>
        </w:rPr>
        <w:t>,”</w:t>
      </w:r>
      <w:r w:rsidRPr="00795361">
        <w:rPr>
          <w:sz w:val="26"/>
          <w:szCs w:val="26"/>
        </w:rPr>
        <w:t xml:space="preserve"> ended up paying </w:t>
      </w:r>
      <w:r>
        <w:rPr>
          <w:sz w:val="26"/>
          <w:szCs w:val="26"/>
        </w:rPr>
        <w:t>“</w:t>
      </w:r>
      <w:r w:rsidRPr="00795361">
        <w:rPr>
          <w:sz w:val="26"/>
          <w:szCs w:val="26"/>
        </w:rPr>
        <w:t>significantly more</w:t>
      </w:r>
      <w:r>
        <w:rPr>
          <w:sz w:val="26"/>
          <w:szCs w:val="26"/>
        </w:rPr>
        <w:t>”</w:t>
      </w:r>
      <w:r w:rsidRPr="00795361">
        <w:rPr>
          <w:sz w:val="26"/>
          <w:szCs w:val="26"/>
        </w:rPr>
        <w:t xml:space="preserve"> than the </w:t>
      </w:r>
      <w:r>
        <w:rPr>
          <w:sz w:val="26"/>
          <w:szCs w:val="26"/>
        </w:rPr>
        <w:t xml:space="preserve">applicable </w:t>
      </w:r>
      <w:r w:rsidRPr="00795361">
        <w:rPr>
          <w:sz w:val="26"/>
          <w:szCs w:val="26"/>
        </w:rPr>
        <w:t xml:space="preserve">PTC during this </w:t>
      </w:r>
      <w:r w:rsidR="00E37BB4" w:rsidRPr="00795361">
        <w:rPr>
          <w:sz w:val="26"/>
          <w:szCs w:val="26"/>
        </w:rPr>
        <w:t>period</w:t>
      </w:r>
      <w:r w:rsidRPr="00795361">
        <w:rPr>
          <w:sz w:val="26"/>
          <w:szCs w:val="26"/>
        </w:rPr>
        <w:t>.</w:t>
      </w:r>
      <w:r>
        <w:rPr>
          <w:sz w:val="26"/>
          <w:szCs w:val="26"/>
        </w:rPr>
        <w:t xml:space="preserve">  </w:t>
      </w:r>
      <w:r>
        <w:rPr>
          <w:i/>
          <w:sz w:val="26"/>
          <w:szCs w:val="26"/>
        </w:rPr>
        <w:t>Id</w:t>
      </w:r>
      <w:r>
        <w:rPr>
          <w:sz w:val="26"/>
          <w:szCs w:val="26"/>
        </w:rPr>
        <w:t>., at 4-7.</w:t>
      </w:r>
    </w:p>
    <w:p w:rsidR="00064D14" w:rsidRPr="00001309" w:rsidRDefault="00064D14" w:rsidP="00847065">
      <w:pPr>
        <w:autoSpaceDE w:val="0"/>
        <w:autoSpaceDN w:val="0"/>
        <w:rPr>
          <w:sz w:val="26"/>
          <w:szCs w:val="26"/>
        </w:rPr>
      </w:pPr>
    </w:p>
    <w:p w:rsidR="00E12E81" w:rsidRPr="00332622" w:rsidRDefault="00064D14" w:rsidP="008E01C5">
      <w:pPr>
        <w:keepNext/>
        <w:keepLines/>
        <w:autoSpaceDE w:val="0"/>
        <w:autoSpaceDN w:val="0"/>
        <w:ind w:left="1440" w:firstLine="0"/>
        <w:rPr>
          <w:b/>
          <w:sz w:val="26"/>
          <w:szCs w:val="26"/>
        </w:rPr>
      </w:pPr>
      <w:r>
        <w:rPr>
          <w:b/>
          <w:sz w:val="26"/>
          <w:szCs w:val="26"/>
        </w:rPr>
        <w:t>b</w:t>
      </w:r>
      <w:r w:rsidR="00B43B31" w:rsidRPr="00332622">
        <w:rPr>
          <w:b/>
          <w:sz w:val="26"/>
          <w:szCs w:val="26"/>
        </w:rPr>
        <w:t>.</w:t>
      </w:r>
      <w:r w:rsidR="00CB08FD">
        <w:rPr>
          <w:b/>
          <w:sz w:val="26"/>
          <w:szCs w:val="26"/>
        </w:rPr>
        <w:tab/>
      </w:r>
      <w:r w:rsidR="00E12E81" w:rsidRPr="00332622">
        <w:rPr>
          <w:b/>
          <w:sz w:val="26"/>
          <w:szCs w:val="26"/>
        </w:rPr>
        <w:t>Aggregate Billing and Usage Data</w:t>
      </w:r>
    </w:p>
    <w:p w:rsidR="00E12E81" w:rsidRPr="00964076" w:rsidRDefault="00E12E81" w:rsidP="00F60950">
      <w:pPr>
        <w:keepNext/>
        <w:keepLines/>
        <w:autoSpaceDE w:val="0"/>
        <w:autoSpaceDN w:val="0"/>
        <w:rPr>
          <w:sz w:val="26"/>
          <w:szCs w:val="26"/>
        </w:rPr>
      </w:pPr>
    </w:p>
    <w:p w:rsidR="00573666" w:rsidRDefault="00EA0A78" w:rsidP="00847065">
      <w:pPr>
        <w:autoSpaceDE w:val="0"/>
        <w:autoSpaceDN w:val="0"/>
        <w:rPr>
          <w:sz w:val="26"/>
          <w:szCs w:val="26"/>
        </w:rPr>
      </w:pPr>
      <w:r w:rsidRPr="00964076">
        <w:rPr>
          <w:sz w:val="26"/>
          <w:szCs w:val="26"/>
        </w:rPr>
        <w:t>We address the objection</w:t>
      </w:r>
      <w:r w:rsidR="00573666" w:rsidRPr="00964076">
        <w:rPr>
          <w:sz w:val="26"/>
          <w:szCs w:val="26"/>
        </w:rPr>
        <w:t>s</w:t>
      </w:r>
      <w:r w:rsidRPr="00964076">
        <w:rPr>
          <w:sz w:val="26"/>
          <w:szCs w:val="26"/>
        </w:rPr>
        <w:t xml:space="preserve"> of Blue Pilot to the </w:t>
      </w:r>
      <w:r w:rsidR="00573666" w:rsidRPr="00964076">
        <w:rPr>
          <w:sz w:val="26"/>
          <w:szCs w:val="26"/>
        </w:rPr>
        <w:t xml:space="preserve">ALJs’ </w:t>
      </w:r>
      <w:r w:rsidRPr="00964076">
        <w:rPr>
          <w:sz w:val="26"/>
          <w:szCs w:val="26"/>
        </w:rPr>
        <w:t xml:space="preserve">consideration and acceptance of aggregate </w:t>
      </w:r>
      <w:r w:rsidR="00C8192C">
        <w:rPr>
          <w:sz w:val="26"/>
          <w:szCs w:val="26"/>
        </w:rPr>
        <w:t xml:space="preserve">billing and usage </w:t>
      </w:r>
      <w:r w:rsidRPr="00964076">
        <w:rPr>
          <w:sz w:val="26"/>
          <w:szCs w:val="26"/>
        </w:rPr>
        <w:t>data</w:t>
      </w:r>
      <w:r w:rsidR="00573666" w:rsidRPr="00964076">
        <w:rPr>
          <w:sz w:val="26"/>
          <w:szCs w:val="26"/>
        </w:rPr>
        <w:t xml:space="preserve"> in this proceeding.  Aggregate customer </w:t>
      </w:r>
      <w:r w:rsidR="008117A8" w:rsidRPr="00964076">
        <w:rPr>
          <w:sz w:val="26"/>
          <w:szCs w:val="26"/>
        </w:rPr>
        <w:t xml:space="preserve">billing </w:t>
      </w:r>
      <w:r w:rsidR="00573666" w:rsidRPr="00964076">
        <w:rPr>
          <w:sz w:val="26"/>
          <w:szCs w:val="26"/>
        </w:rPr>
        <w:t xml:space="preserve">and </w:t>
      </w:r>
      <w:r w:rsidR="00E12E81" w:rsidRPr="00964076">
        <w:rPr>
          <w:sz w:val="26"/>
          <w:szCs w:val="26"/>
        </w:rPr>
        <w:t xml:space="preserve">customer </w:t>
      </w:r>
      <w:r w:rsidR="00573666" w:rsidRPr="00964076">
        <w:rPr>
          <w:sz w:val="26"/>
          <w:szCs w:val="26"/>
        </w:rPr>
        <w:t>usage data was</w:t>
      </w:r>
      <w:r w:rsidRPr="00964076">
        <w:rPr>
          <w:sz w:val="26"/>
          <w:szCs w:val="26"/>
        </w:rPr>
        <w:t xml:space="preserve"> relied upon, in </w:t>
      </w:r>
      <w:r w:rsidR="00573666" w:rsidRPr="00964076">
        <w:rPr>
          <w:sz w:val="26"/>
          <w:szCs w:val="26"/>
        </w:rPr>
        <w:t xml:space="preserve">substantial </w:t>
      </w:r>
      <w:r w:rsidRPr="00964076">
        <w:rPr>
          <w:sz w:val="26"/>
          <w:szCs w:val="26"/>
        </w:rPr>
        <w:t xml:space="preserve">part, by </w:t>
      </w:r>
      <w:r w:rsidR="008D34CA">
        <w:rPr>
          <w:sz w:val="26"/>
          <w:szCs w:val="26"/>
        </w:rPr>
        <w:t xml:space="preserve">the </w:t>
      </w:r>
      <w:r w:rsidRPr="00964076">
        <w:rPr>
          <w:sz w:val="26"/>
          <w:szCs w:val="26"/>
        </w:rPr>
        <w:t xml:space="preserve">Joint Complainants’ expert witnesses in support of their recommendations.  Particularly, </w:t>
      </w:r>
      <w:r w:rsidR="00E00B5A" w:rsidRPr="00964076">
        <w:rPr>
          <w:sz w:val="26"/>
          <w:szCs w:val="26"/>
        </w:rPr>
        <w:t xml:space="preserve">aggregate data was essential in contributing to the opinions of </w:t>
      </w:r>
      <w:r w:rsidR="008D34CA">
        <w:rPr>
          <w:sz w:val="26"/>
          <w:szCs w:val="26"/>
        </w:rPr>
        <w:t xml:space="preserve">the </w:t>
      </w:r>
      <w:r w:rsidR="00E00B5A" w:rsidRPr="00964076">
        <w:rPr>
          <w:sz w:val="26"/>
          <w:szCs w:val="26"/>
        </w:rPr>
        <w:t xml:space="preserve">Joint Complainants’ experts, </w:t>
      </w:r>
      <w:r w:rsidR="00573666" w:rsidRPr="00964076">
        <w:rPr>
          <w:sz w:val="26"/>
          <w:szCs w:val="26"/>
        </w:rPr>
        <w:t xml:space="preserve">that Blue Pilot engaged in a pattern and practice of marketing its variable rate sales products in ways that were deceptive </w:t>
      </w:r>
      <w:r w:rsidR="00E00B5A" w:rsidRPr="00964076">
        <w:rPr>
          <w:sz w:val="26"/>
          <w:szCs w:val="26"/>
        </w:rPr>
        <w:t xml:space="preserve">and misleading </w:t>
      </w:r>
      <w:r w:rsidR="00573666" w:rsidRPr="00964076">
        <w:rPr>
          <w:sz w:val="26"/>
          <w:szCs w:val="26"/>
        </w:rPr>
        <w:t xml:space="preserve">to the consumer. </w:t>
      </w:r>
      <w:r w:rsidRPr="00964076">
        <w:rPr>
          <w:sz w:val="26"/>
          <w:szCs w:val="26"/>
        </w:rPr>
        <w:t xml:space="preserve"> </w:t>
      </w:r>
      <w:r w:rsidR="00573666" w:rsidRPr="00964076">
        <w:rPr>
          <w:sz w:val="26"/>
          <w:szCs w:val="26"/>
        </w:rPr>
        <w:t xml:space="preserve">Also, the aggregate data was used to support </w:t>
      </w:r>
      <w:r w:rsidR="008D34CA">
        <w:rPr>
          <w:sz w:val="26"/>
          <w:szCs w:val="26"/>
        </w:rPr>
        <w:t xml:space="preserve">the </w:t>
      </w:r>
      <w:r w:rsidR="00573666" w:rsidRPr="00964076">
        <w:rPr>
          <w:sz w:val="26"/>
          <w:szCs w:val="26"/>
        </w:rPr>
        <w:t xml:space="preserve">Joint Complainants’ recommendations for imposition of a directive that the Company </w:t>
      </w:r>
      <w:r w:rsidR="00DB4EDD" w:rsidRPr="00964076">
        <w:rPr>
          <w:sz w:val="26"/>
          <w:szCs w:val="26"/>
        </w:rPr>
        <w:t xml:space="preserve">forfeit </w:t>
      </w:r>
      <w:r w:rsidR="00573666" w:rsidRPr="00964076">
        <w:rPr>
          <w:sz w:val="26"/>
          <w:szCs w:val="26"/>
        </w:rPr>
        <w:t>the amount of $2,459,517 million</w:t>
      </w:r>
      <w:r w:rsidR="00DB4EDD" w:rsidRPr="00964076">
        <w:rPr>
          <w:sz w:val="26"/>
          <w:szCs w:val="26"/>
        </w:rPr>
        <w:t xml:space="preserve">, </w:t>
      </w:r>
      <w:r w:rsidR="00573666" w:rsidRPr="00964076">
        <w:rPr>
          <w:sz w:val="26"/>
          <w:szCs w:val="26"/>
        </w:rPr>
        <w:t xml:space="preserve">to fund </w:t>
      </w:r>
      <w:r w:rsidRPr="00964076">
        <w:rPr>
          <w:sz w:val="26"/>
          <w:szCs w:val="26"/>
        </w:rPr>
        <w:t>billing credit relief</w:t>
      </w:r>
      <w:r w:rsidR="00DB4EDD" w:rsidRPr="00964076">
        <w:rPr>
          <w:sz w:val="26"/>
          <w:szCs w:val="26"/>
        </w:rPr>
        <w:t xml:space="preserve"> </w:t>
      </w:r>
      <w:r w:rsidR="00E12E81" w:rsidRPr="00964076">
        <w:rPr>
          <w:sz w:val="26"/>
          <w:szCs w:val="26"/>
        </w:rPr>
        <w:t xml:space="preserve">to </w:t>
      </w:r>
      <w:r w:rsidR="00DB4EDD" w:rsidRPr="00964076">
        <w:rPr>
          <w:sz w:val="26"/>
          <w:szCs w:val="26"/>
        </w:rPr>
        <w:t>Blue Pilot’s customers</w:t>
      </w:r>
      <w:r w:rsidR="00E00B5A" w:rsidRPr="00964076">
        <w:rPr>
          <w:sz w:val="26"/>
          <w:szCs w:val="26"/>
        </w:rPr>
        <w:t>.</w:t>
      </w:r>
    </w:p>
    <w:p w:rsidR="00C8192C" w:rsidRDefault="00C8192C" w:rsidP="00847065">
      <w:pPr>
        <w:autoSpaceDE w:val="0"/>
        <w:autoSpaceDN w:val="0"/>
        <w:rPr>
          <w:sz w:val="26"/>
          <w:szCs w:val="26"/>
        </w:rPr>
      </w:pPr>
    </w:p>
    <w:p w:rsidR="00C8192C" w:rsidRPr="00C671F2" w:rsidRDefault="00C8192C" w:rsidP="00C8192C">
      <w:pPr>
        <w:kinsoku w:val="0"/>
        <w:overflowPunct w:val="0"/>
        <w:textAlignment w:val="baseline"/>
        <w:rPr>
          <w:sz w:val="26"/>
          <w:szCs w:val="26"/>
        </w:rPr>
      </w:pPr>
      <w:r w:rsidRPr="00C671F2">
        <w:rPr>
          <w:sz w:val="26"/>
          <w:szCs w:val="26"/>
        </w:rPr>
        <w:t xml:space="preserve">Blue Pilot argues that the </w:t>
      </w:r>
      <w:r w:rsidR="00661EE2">
        <w:rPr>
          <w:sz w:val="26"/>
          <w:szCs w:val="26"/>
        </w:rPr>
        <w:t>Initial Decision</w:t>
      </w:r>
      <w:r w:rsidRPr="00C671F2">
        <w:rPr>
          <w:sz w:val="26"/>
          <w:szCs w:val="26"/>
        </w:rPr>
        <w:t xml:space="preserve"> failed to evaluate the experience and billing data of each individual customer prior to reaching </w:t>
      </w:r>
      <w:r>
        <w:rPr>
          <w:sz w:val="26"/>
          <w:szCs w:val="26"/>
        </w:rPr>
        <w:t>a</w:t>
      </w:r>
      <w:r w:rsidRPr="00C671F2">
        <w:rPr>
          <w:sz w:val="26"/>
          <w:szCs w:val="26"/>
        </w:rPr>
        <w:t xml:space="preserve"> determination on the promised savings issue.  </w:t>
      </w:r>
      <w:r>
        <w:rPr>
          <w:sz w:val="26"/>
          <w:szCs w:val="26"/>
        </w:rPr>
        <w:t xml:space="preserve">We </w:t>
      </w:r>
      <w:r w:rsidRPr="00C671F2">
        <w:rPr>
          <w:sz w:val="26"/>
          <w:szCs w:val="26"/>
        </w:rPr>
        <w:t xml:space="preserve">note that the allegations in the Joint Complaint are not specific to individual customers. </w:t>
      </w:r>
      <w:r>
        <w:rPr>
          <w:sz w:val="26"/>
          <w:szCs w:val="26"/>
        </w:rPr>
        <w:t xml:space="preserve"> </w:t>
      </w:r>
      <w:r w:rsidRPr="00C671F2">
        <w:rPr>
          <w:sz w:val="26"/>
          <w:szCs w:val="26"/>
        </w:rPr>
        <w:t xml:space="preserve">Rather, </w:t>
      </w:r>
      <w:r w:rsidR="008D34CA">
        <w:rPr>
          <w:sz w:val="26"/>
          <w:szCs w:val="26"/>
        </w:rPr>
        <w:t xml:space="preserve">the </w:t>
      </w:r>
      <w:r w:rsidRPr="00C671F2">
        <w:rPr>
          <w:sz w:val="26"/>
          <w:szCs w:val="26"/>
        </w:rPr>
        <w:t xml:space="preserve">Joint Complainants have alleged, among other things, that Blue Pilot engaged in a pattern or practice of behavior that was misleading and deceptive. </w:t>
      </w:r>
      <w:r>
        <w:rPr>
          <w:sz w:val="26"/>
          <w:szCs w:val="26"/>
        </w:rPr>
        <w:t xml:space="preserve"> </w:t>
      </w:r>
      <w:r w:rsidRPr="00C671F2">
        <w:rPr>
          <w:sz w:val="26"/>
          <w:szCs w:val="26"/>
        </w:rPr>
        <w:t xml:space="preserve">Therefore, based on the nature of the allegations </w:t>
      </w:r>
      <w:r>
        <w:rPr>
          <w:sz w:val="26"/>
          <w:szCs w:val="26"/>
        </w:rPr>
        <w:t>set forth in the Joint Complaint</w:t>
      </w:r>
      <w:r w:rsidRPr="00C671F2">
        <w:rPr>
          <w:sz w:val="26"/>
          <w:szCs w:val="26"/>
        </w:rPr>
        <w:t xml:space="preserve">, </w:t>
      </w:r>
      <w:r w:rsidRPr="00C671F2">
        <w:rPr>
          <w:sz w:val="26"/>
          <w:szCs w:val="26"/>
        </w:rPr>
        <w:lastRenderedPageBreak/>
        <w:t>individualized usage and billing statements are not required</w:t>
      </w:r>
      <w:r>
        <w:rPr>
          <w:sz w:val="26"/>
          <w:szCs w:val="26"/>
        </w:rPr>
        <w:t xml:space="preserve"> to meet the burden of proof concerning, </w:t>
      </w:r>
      <w:r>
        <w:rPr>
          <w:i/>
          <w:sz w:val="26"/>
          <w:szCs w:val="26"/>
        </w:rPr>
        <w:t>inter alia</w:t>
      </w:r>
      <w:r>
        <w:rPr>
          <w:sz w:val="26"/>
          <w:szCs w:val="26"/>
        </w:rPr>
        <w:t>, a violation of the Commission Regulations</w:t>
      </w:r>
      <w:r w:rsidRPr="00C671F2">
        <w:rPr>
          <w:sz w:val="26"/>
          <w:szCs w:val="26"/>
        </w:rPr>
        <w:t>.</w:t>
      </w:r>
    </w:p>
    <w:p w:rsidR="00573666" w:rsidRPr="00001309" w:rsidRDefault="00573666" w:rsidP="00C8192C">
      <w:pPr>
        <w:autoSpaceDE w:val="0"/>
        <w:autoSpaceDN w:val="0"/>
        <w:ind w:firstLine="0"/>
        <w:rPr>
          <w:sz w:val="26"/>
          <w:szCs w:val="26"/>
        </w:rPr>
      </w:pPr>
    </w:p>
    <w:p w:rsidR="00400ECD" w:rsidRPr="00001309" w:rsidRDefault="002E143D" w:rsidP="00847065">
      <w:pPr>
        <w:autoSpaceDE w:val="0"/>
        <w:autoSpaceDN w:val="0"/>
        <w:rPr>
          <w:sz w:val="26"/>
          <w:szCs w:val="26"/>
        </w:rPr>
      </w:pPr>
      <w:r w:rsidRPr="00001309">
        <w:rPr>
          <w:sz w:val="26"/>
          <w:szCs w:val="26"/>
        </w:rPr>
        <w:t xml:space="preserve">In this record, </w:t>
      </w:r>
      <w:r w:rsidR="00EA0A78" w:rsidRPr="00001309">
        <w:rPr>
          <w:sz w:val="26"/>
          <w:szCs w:val="26"/>
        </w:rPr>
        <w:t>Blue Pilot had</w:t>
      </w:r>
      <w:r w:rsidR="00362AFC" w:rsidRPr="00001309">
        <w:rPr>
          <w:sz w:val="26"/>
          <w:szCs w:val="26"/>
        </w:rPr>
        <w:t xml:space="preserve"> a</w:t>
      </w:r>
      <w:r w:rsidR="00EA0A78" w:rsidRPr="00001309">
        <w:rPr>
          <w:sz w:val="26"/>
          <w:szCs w:val="26"/>
        </w:rPr>
        <w:t xml:space="preserve"> total of,</w:t>
      </w:r>
      <w:r w:rsidR="00573666" w:rsidRPr="00001309">
        <w:rPr>
          <w:sz w:val="26"/>
          <w:szCs w:val="26"/>
        </w:rPr>
        <w:t xml:space="preserve"> 2,516 residential and small business customers who</w:t>
      </w:r>
      <w:r w:rsidR="00400ECD" w:rsidRPr="00001309">
        <w:rPr>
          <w:sz w:val="26"/>
          <w:szCs w:val="26"/>
        </w:rPr>
        <w:t xml:space="preserve"> were impacted by violation</w:t>
      </w:r>
      <w:r w:rsidR="00E12E81" w:rsidRPr="00001309">
        <w:rPr>
          <w:sz w:val="26"/>
          <w:szCs w:val="26"/>
        </w:rPr>
        <w:t>s</w:t>
      </w:r>
      <w:r w:rsidR="00400ECD" w:rsidRPr="00001309">
        <w:rPr>
          <w:sz w:val="26"/>
          <w:szCs w:val="26"/>
        </w:rPr>
        <w:t xml:space="preserve"> of the Commission’s Regulations during the applicable billing period.  </w:t>
      </w:r>
      <w:r w:rsidR="00400ECD" w:rsidRPr="00001309">
        <w:rPr>
          <w:i/>
          <w:sz w:val="26"/>
          <w:szCs w:val="26"/>
        </w:rPr>
        <w:t>See</w:t>
      </w:r>
      <w:r w:rsidR="00400ECD" w:rsidRPr="00001309">
        <w:rPr>
          <w:sz w:val="26"/>
          <w:szCs w:val="26"/>
        </w:rPr>
        <w:t xml:space="preserve"> Finding of Fact No. 119:</w:t>
      </w:r>
    </w:p>
    <w:p w:rsidR="00400ECD" w:rsidRPr="00001309" w:rsidRDefault="00400ECD" w:rsidP="00847065">
      <w:pPr>
        <w:autoSpaceDE w:val="0"/>
        <w:autoSpaceDN w:val="0"/>
        <w:rPr>
          <w:sz w:val="26"/>
          <w:szCs w:val="26"/>
        </w:rPr>
      </w:pPr>
    </w:p>
    <w:p w:rsidR="00AD251B" w:rsidRDefault="00400ECD" w:rsidP="00400ECD">
      <w:pPr>
        <w:pStyle w:val="Default"/>
        <w:spacing w:line="240" w:lineRule="auto"/>
        <w:ind w:left="1440" w:right="1440" w:firstLine="0"/>
        <w:rPr>
          <w:rFonts w:ascii="Times New Roman" w:hAnsi="Times New Roman" w:cs="Times New Roman"/>
          <w:b/>
          <w:bCs/>
          <w:color w:val="auto"/>
          <w:sz w:val="26"/>
          <w:szCs w:val="26"/>
        </w:rPr>
      </w:pPr>
      <w:r w:rsidRPr="00001309">
        <w:rPr>
          <w:rFonts w:ascii="Times New Roman" w:hAnsi="Times New Roman" w:cs="Times New Roman"/>
          <w:color w:val="auto"/>
          <w:sz w:val="26"/>
          <w:szCs w:val="26"/>
        </w:rPr>
        <w:t xml:space="preserve">119. </w:t>
      </w:r>
      <w:r w:rsidR="006055E5" w:rsidRPr="00001309">
        <w:rPr>
          <w:rFonts w:ascii="Times New Roman" w:hAnsi="Times New Roman" w:cs="Times New Roman"/>
          <w:color w:val="auto"/>
          <w:sz w:val="26"/>
          <w:szCs w:val="26"/>
        </w:rPr>
        <w:t xml:space="preserve"> </w:t>
      </w:r>
      <w:r w:rsidRPr="00001309">
        <w:rPr>
          <w:rFonts w:ascii="Times New Roman" w:hAnsi="Times New Roman" w:cs="Times New Roman"/>
          <w:color w:val="auto"/>
          <w:sz w:val="26"/>
          <w:szCs w:val="26"/>
        </w:rPr>
        <w:t xml:space="preserve">The average number of customers affected by the overbilling pursuant to variable rate plans during the months of </w:t>
      </w:r>
      <w:proofErr w:type="gramStart"/>
      <w:r w:rsidRPr="00001309">
        <w:rPr>
          <w:rFonts w:ascii="Times New Roman" w:hAnsi="Times New Roman" w:cs="Times New Roman"/>
          <w:color w:val="auto"/>
          <w:sz w:val="26"/>
          <w:szCs w:val="26"/>
        </w:rPr>
        <w:t>December,</w:t>
      </w:r>
      <w:proofErr w:type="gramEnd"/>
      <w:r w:rsidRPr="00001309">
        <w:rPr>
          <w:rFonts w:ascii="Times New Roman" w:hAnsi="Times New Roman" w:cs="Times New Roman"/>
          <w:color w:val="auto"/>
          <w:sz w:val="26"/>
          <w:szCs w:val="26"/>
        </w:rPr>
        <w:t xml:space="preserve"> 2013 through March, 2014 was</w:t>
      </w:r>
      <w:r w:rsidR="00C06F88">
        <w:rPr>
          <w:rFonts w:ascii="Times New Roman" w:hAnsi="Times New Roman" w:cs="Times New Roman"/>
          <w:color w:val="auto"/>
          <w:sz w:val="26"/>
          <w:szCs w:val="26"/>
        </w:rPr>
        <w:t xml:space="preserve"> </w:t>
      </w:r>
      <w:r w:rsidR="00C06F88" w:rsidRPr="00001309">
        <w:rPr>
          <w:rFonts w:ascii="Times New Roman" w:hAnsi="Times New Roman" w:cs="Times New Roman"/>
          <w:b/>
          <w:bCs/>
          <w:color w:val="auto"/>
          <w:sz w:val="26"/>
          <w:szCs w:val="26"/>
        </w:rPr>
        <w:t>BEGIN</w:t>
      </w:r>
    </w:p>
    <w:p w:rsidR="00AD251B" w:rsidRDefault="00C06F88" w:rsidP="00400ECD">
      <w:pPr>
        <w:pStyle w:val="Default"/>
        <w:spacing w:line="240" w:lineRule="auto"/>
        <w:ind w:left="1440" w:right="1440" w:firstLine="0"/>
        <w:rPr>
          <w:rFonts w:ascii="Times New Roman" w:hAnsi="Times New Roman" w:cs="Times New Roman"/>
          <w:b/>
          <w:bCs/>
          <w:color w:val="auto"/>
          <w:sz w:val="26"/>
          <w:szCs w:val="26"/>
        </w:rPr>
      </w:pPr>
      <w:r w:rsidRPr="00001309">
        <w:rPr>
          <w:rFonts w:ascii="Times New Roman" w:hAnsi="Times New Roman" w:cs="Times New Roman"/>
          <w:b/>
          <w:bCs/>
          <w:color w:val="auto"/>
          <w:sz w:val="26"/>
          <w:szCs w:val="26"/>
        </w:rPr>
        <w:t>PROPRIETARY</w:t>
      </w:r>
      <w:r w:rsidR="00AD251B">
        <w:rPr>
          <w:rFonts w:ascii="Times New Roman" w:hAnsi="Times New Roman" w:cs="Times New Roman"/>
          <w:b/>
          <w:bCs/>
          <w:color w:val="auto"/>
          <w:sz w:val="26"/>
          <w:szCs w:val="26"/>
        </w:rPr>
        <w:t xml:space="preserve">                                                               </w:t>
      </w:r>
    </w:p>
    <w:p w:rsidR="00400ECD" w:rsidRPr="00001309" w:rsidRDefault="00C06F88" w:rsidP="00400ECD">
      <w:pPr>
        <w:pStyle w:val="Default"/>
        <w:spacing w:line="240" w:lineRule="auto"/>
        <w:ind w:left="1440" w:right="1440" w:firstLine="0"/>
        <w:rPr>
          <w:rFonts w:ascii="Times New Roman" w:hAnsi="Times New Roman" w:cs="Times New Roman"/>
          <w:color w:val="auto"/>
          <w:sz w:val="26"/>
          <w:szCs w:val="26"/>
        </w:rPr>
      </w:pPr>
      <w:r>
        <w:rPr>
          <w:rFonts w:ascii="Times New Roman" w:hAnsi="Times New Roman" w:cs="Times New Roman"/>
          <w:b/>
          <w:bCs/>
          <w:color w:val="auto"/>
          <w:sz w:val="26"/>
          <w:szCs w:val="26"/>
        </w:rPr>
        <w:t xml:space="preserve">              </w:t>
      </w:r>
      <w:r w:rsidR="00AD251B">
        <w:rPr>
          <w:rFonts w:ascii="Times New Roman" w:hAnsi="Times New Roman" w:cs="Times New Roman"/>
          <w:b/>
          <w:bCs/>
          <w:color w:val="auto"/>
          <w:sz w:val="26"/>
          <w:szCs w:val="26"/>
        </w:rPr>
        <w:t xml:space="preserve">                             </w:t>
      </w:r>
      <w:r>
        <w:rPr>
          <w:rFonts w:ascii="Times New Roman" w:hAnsi="Times New Roman" w:cs="Times New Roman"/>
          <w:b/>
          <w:bCs/>
          <w:color w:val="auto"/>
          <w:sz w:val="26"/>
          <w:szCs w:val="26"/>
        </w:rPr>
        <w:t>END PROPRIETARY</w:t>
      </w:r>
      <w:r w:rsidR="00400ECD" w:rsidRPr="00001309">
        <w:rPr>
          <w:rFonts w:ascii="Times New Roman" w:hAnsi="Times New Roman" w:cs="Times New Roman"/>
          <w:b/>
          <w:bCs/>
          <w:color w:val="auto"/>
          <w:sz w:val="26"/>
          <w:szCs w:val="26"/>
        </w:rPr>
        <w:t xml:space="preserve"> </w:t>
      </w:r>
      <w:r w:rsidR="00400ECD" w:rsidRPr="00001309">
        <w:rPr>
          <w:rFonts w:ascii="Times New Roman" w:hAnsi="Times New Roman" w:cs="Times New Roman"/>
          <w:color w:val="auto"/>
          <w:sz w:val="26"/>
          <w:szCs w:val="26"/>
        </w:rPr>
        <w:t>which when added together, total an average number of residential and small business customers of 2,516. OAG/OCA St. 3 at</w:t>
      </w:r>
      <w:r w:rsidR="00A4635B" w:rsidRPr="00001309">
        <w:rPr>
          <w:rFonts w:ascii="Times New Roman" w:hAnsi="Times New Roman" w:cs="Times New Roman"/>
          <w:color w:val="auto"/>
          <w:sz w:val="26"/>
          <w:szCs w:val="26"/>
        </w:rPr>
        <w:t> </w:t>
      </w:r>
      <w:r w:rsidR="00400ECD" w:rsidRPr="00001309">
        <w:rPr>
          <w:rFonts w:ascii="Times New Roman" w:hAnsi="Times New Roman" w:cs="Times New Roman"/>
          <w:color w:val="auto"/>
          <w:sz w:val="26"/>
          <w:szCs w:val="26"/>
        </w:rPr>
        <w:t>2</w:t>
      </w:r>
      <w:r w:rsidR="00A4635B" w:rsidRPr="00001309">
        <w:rPr>
          <w:rFonts w:ascii="Times New Roman" w:hAnsi="Times New Roman" w:cs="Times New Roman"/>
          <w:color w:val="auto"/>
          <w:sz w:val="26"/>
          <w:szCs w:val="26"/>
        </w:rPr>
        <w:noBreakHyphen/>
      </w:r>
      <w:r w:rsidR="00400ECD" w:rsidRPr="00001309">
        <w:rPr>
          <w:rFonts w:ascii="Times New Roman" w:hAnsi="Times New Roman" w:cs="Times New Roman"/>
          <w:color w:val="auto"/>
          <w:sz w:val="26"/>
          <w:szCs w:val="26"/>
        </w:rPr>
        <w:t xml:space="preserve">3; Exh. VSC-1 (indicating the Village Service Center’s peak demand was 15.10 kW in </w:t>
      </w:r>
      <w:proofErr w:type="gramStart"/>
      <w:r w:rsidR="00400ECD" w:rsidRPr="00001309">
        <w:rPr>
          <w:rFonts w:ascii="Times New Roman" w:hAnsi="Times New Roman" w:cs="Times New Roman"/>
          <w:color w:val="auto"/>
          <w:sz w:val="26"/>
          <w:szCs w:val="26"/>
        </w:rPr>
        <w:t>January,</w:t>
      </w:r>
      <w:proofErr w:type="gramEnd"/>
      <w:r w:rsidR="00400ECD" w:rsidRPr="00001309">
        <w:rPr>
          <w:rFonts w:ascii="Times New Roman" w:hAnsi="Times New Roman" w:cs="Times New Roman"/>
          <w:color w:val="auto"/>
          <w:sz w:val="26"/>
          <w:szCs w:val="26"/>
        </w:rPr>
        <w:t xml:space="preserve"> 2014; 15.5 kW in February, 2014; and 11.90 kW in March, 2014); Exhibit AEE-1.</w:t>
      </w:r>
    </w:p>
    <w:p w:rsidR="00F10AFE" w:rsidRPr="00001309" w:rsidRDefault="00F10AFE" w:rsidP="00400ECD">
      <w:pPr>
        <w:pStyle w:val="Default"/>
        <w:spacing w:line="240" w:lineRule="auto"/>
        <w:ind w:left="1440" w:right="1440" w:firstLine="0"/>
        <w:rPr>
          <w:rFonts w:ascii="Times New Roman" w:hAnsi="Times New Roman" w:cs="Times New Roman"/>
          <w:color w:val="auto"/>
          <w:sz w:val="26"/>
          <w:szCs w:val="26"/>
        </w:rPr>
      </w:pPr>
    </w:p>
    <w:p w:rsidR="00F10AFE" w:rsidRPr="00001309" w:rsidRDefault="00F10AFE" w:rsidP="003E7EE4">
      <w:pPr>
        <w:pStyle w:val="Default"/>
        <w:rPr>
          <w:rFonts w:ascii="Times New Roman" w:hAnsi="Times New Roman" w:cs="Times New Roman"/>
          <w:color w:val="auto"/>
          <w:sz w:val="26"/>
          <w:szCs w:val="26"/>
        </w:rPr>
      </w:pPr>
    </w:p>
    <w:p w:rsidR="00F10AFE" w:rsidRPr="00001309" w:rsidRDefault="00F10AFE" w:rsidP="00F10AFE">
      <w:pPr>
        <w:pStyle w:val="Default"/>
        <w:rPr>
          <w:rFonts w:ascii="Times New Roman" w:hAnsi="Times New Roman" w:cs="Times New Roman"/>
          <w:color w:val="auto"/>
          <w:sz w:val="26"/>
          <w:szCs w:val="26"/>
        </w:rPr>
      </w:pPr>
      <w:r w:rsidRPr="00001309">
        <w:rPr>
          <w:rFonts w:ascii="Times New Roman" w:hAnsi="Times New Roman" w:cs="Times New Roman"/>
          <w:color w:val="auto"/>
          <w:sz w:val="26"/>
          <w:szCs w:val="26"/>
        </w:rPr>
        <w:t>Further, the ALJs noted the instances of residential and small business commercial overbillings, respectively, in Fact Nos. 120 and 121:</w:t>
      </w:r>
    </w:p>
    <w:p w:rsidR="006055E5" w:rsidRPr="00001309" w:rsidRDefault="006055E5" w:rsidP="00400ECD">
      <w:pPr>
        <w:pStyle w:val="Default"/>
        <w:spacing w:line="240" w:lineRule="auto"/>
        <w:ind w:left="1440" w:right="1440" w:firstLine="0"/>
        <w:rPr>
          <w:rFonts w:ascii="Times New Roman" w:hAnsi="Times New Roman" w:cs="Times New Roman"/>
          <w:color w:val="auto"/>
          <w:sz w:val="26"/>
          <w:szCs w:val="26"/>
        </w:rPr>
      </w:pPr>
    </w:p>
    <w:p w:rsidR="00F10AFE" w:rsidRPr="00001309" w:rsidRDefault="00F10AFE" w:rsidP="00F10AFE">
      <w:pPr>
        <w:autoSpaceDE w:val="0"/>
        <w:autoSpaceDN w:val="0"/>
        <w:adjustRightInd w:val="0"/>
        <w:spacing w:line="240" w:lineRule="auto"/>
        <w:ind w:firstLine="0"/>
      </w:pPr>
    </w:p>
    <w:p w:rsidR="00AD251B" w:rsidRDefault="00F10AFE" w:rsidP="00F10AFE">
      <w:pPr>
        <w:autoSpaceDE w:val="0"/>
        <w:autoSpaceDN w:val="0"/>
        <w:adjustRightInd w:val="0"/>
        <w:spacing w:line="240" w:lineRule="auto"/>
        <w:ind w:left="1440" w:right="1440" w:firstLine="0"/>
        <w:rPr>
          <w:sz w:val="26"/>
          <w:szCs w:val="26"/>
        </w:rPr>
      </w:pPr>
      <w:r w:rsidRPr="00001309">
        <w:rPr>
          <w:sz w:val="26"/>
          <w:szCs w:val="26"/>
        </w:rPr>
        <w:t xml:space="preserve">120. There were </w:t>
      </w:r>
      <w:r w:rsidR="00C06F88" w:rsidRPr="00C06F88">
        <w:rPr>
          <w:b/>
          <w:bCs/>
          <w:spacing w:val="0"/>
          <w:sz w:val="26"/>
          <w:szCs w:val="26"/>
        </w:rPr>
        <w:t>BEGIN PROPRIETARY           END</w:t>
      </w:r>
    </w:p>
    <w:p w:rsidR="00F10AFE" w:rsidRPr="00001309" w:rsidRDefault="00C06F88" w:rsidP="00F10AFE">
      <w:pPr>
        <w:autoSpaceDE w:val="0"/>
        <w:autoSpaceDN w:val="0"/>
        <w:adjustRightInd w:val="0"/>
        <w:spacing w:line="240" w:lineRule="auto"/>
        <w:ind w:left="1440" w:right="1440" w:firstLine="0"/>
        <w:rPr>
          <w:sz w:val="26"/>
          <w:szCs w:val="26"/>
        </w:rPr>
      </w:pPr>
      <w:proofErr w:type="gramStart"/>
      <w:r w:rsidRPr="00C06F88">
        <w:rPr>
          <w:b/>
          <w:bCs/>
          <w:spacing w:val="0"/>
          <w:sz w:val="26"/>
          <w:szCs w:val="26"/>
        </w:rPr>
        <w:t>PROPRIETARY</w:t>
      </w:r>
      <w:r w:rsidR="00AD251B">
        <w:rPr>
          <w:sz w:val="26"/>
          <w:szCs w:val="26"/>
        </w:rPr>
        <w:t xml:space="preserve">  </w:t>
      </w:r>
      <w:r w:rsidR="00F10AFE" w:rsidRPr="00001309">
        <w:rPr>
          <w:sz w:val="26"/>
          <w:szCs w:val="26"/>
        </w:rPr>
        <w:t>occurrences</w:t>
      </w:r>
      <w:proofErr w:type="gramEnd"/>
      <w:r w:rsidR="00F10AFE" w:rsidRPr="00001309">
        <w:rPr>
          <w:sz w:val="26"/>
          <w:szCs w:val="26"/>
        </w:rPr>
        <w:t xml:space="preserve"> of residential overbillings not in accordance with marketed prices over and above the customers’ respective EDCs’ price to compare (PTC) during the period of December, 2013 through March, 2014. OAG/OCA St. 3 at 4-7.</w:t>
      </w:r>
    </w:p>
    <w:p w:rsidR="00F10AFE" w:rsidRPr="00001309" w:rsidRDefault="00F10AFE" w:rsidP="00F10AFE">
      <w:pPr>
        <w:autoSpaceDE w:val="0"/>
        <w:autoSpaceDN w:val="0"/>
        <w:adjustRightInd w:val="0"/>
        <w:spacing w:line="240" w:lineRule="auto"/>
        <w:ind w:left="1440" w:right="1440" w:firstLine="0"/>
        <w:rPr>
          <w:sz w:val="26"/>
          <w:szCs w:val="26"/>
        </w:rPr>
      </w:pPr>
    </w:p>
    <w:p w:rsidR="00532C60" w:rsidRDefault="00F10AFE" w:rsidP="00F10AFE">
      <w:pPr>
        <w:autoSpaceDE w:val="0"/>
        <w:autoSpaceDN w:val="0"/>
        <w:adjustRightInd w:val="0"/>
        <w:spacing w:line="240" w:lineRule="auto"/>
        <w:ind w:left="1440" w:right="1440" w:firstLine="0"/>
        <w:rPr>
          <w:b/>
          <w:bCs/>
          <w:sz w:val="26"/>
          <w:szCs w:val="26"/>
        </w:rPr>
      </w:pPr>
      <w:r w:rsidRPr="00001309">
        <w:rPr>
          <w:sz w:val="26"/>
          <w:szCs w:val="26"/>
        </w:rPr>
        <w:t xml:space="preserve">121. There were </w:t>
      </w:r>
      <w:r w:rsidR="00C06F88" w:rsidRPr="00C06F88">
        <w:rPr>
          <w:b/>
          <w:bCs/>
          <w:spacing w:val="0"/>
          <w:sz w:val="26"/>
          <w:szCs w:val="26"/>
        </w:rPr>
        <w:t>BEGIN PROPRIETARY           END</w:t>
      </w:r>
      <w:r w:rsidR="00AD251B">
        <w:rPr>
          <w:b/>
          <w:bCs/>
          <w:sz w:val="26"/>
          <w:szCs w:val="26"/>
        </w:rPr>
        <w:t xml:space="preserve">      </w:t>
      </w:r>
    </w:p>
    <w:p w:rsidR="00F10AFE" w:rsidRPr="00001309" w:rsidRDefault="00C06F88" w:rsidP="00F10AFE">
      <w:pPr>
        <w:autoSpaceDE w:val="0"/>
        <w:autoSpaceDN w:val="0"/>
        <w:adjustRightInd w:val="0"/>
        <w:spacing w:line="240" w:lineRule="auto"/>
        <w:ind w:left="1440" w:right="1440" w:firstLine="0"/>
        <w:rPr>
          <w:sz w:val="26"/>
          <w:szCs w:val="26"/>
        </w:rPr>
      </w:pPr>
      <w:r>
        <w:rPr>
          <w:b/>
          <w:bCs/>
          <w:sz w:val="26"/>
          <w:szCs w:val="26"/>
        </w:rPr>
        <w:t xml:space="preserve">PROPRIETARY </w:t>
      </w:r>
      <w:r w:rsidR="00F10AFE" w:rsidRPr="00001309">
        <w:rPr>
          <w:sz w:val="26"/>
          <w:szCs w:val="26"/>
        </w:rPr>
        <w:t xml:space="preserve">occurrences of small business commercial overbillings over the PTCs not in accordance with promised marketed prices during the period of </w:t>
      </w:r>
      <w:proofErr w:type="gramStart"/>
      <w:r w:rsidR="00F10AFE" w:rsidRPr="00001309">
        <w:rPr>
          <w:sz w:val="26"/>
          <w:szCs w:val="26"/>
        </w:rPr>
        <w:t>December,</w:t>
      </w:r>
      <w:proofErr w:type="gramEnd"/>
      <w:r w:rsidR="00F10AFE" w:rsidRPr="00001309">
        <w:rPr>
          <w:sz w:val="26"/>
          <w:szCs w:val="26"/>
        </w:rPr>
        <w:t xml:space="preserve"> 2013 through March, 2014. OAG/OCA St. 3 at 8-12.</w:t>
      </w:r>
    </w:p>
    <w:p w:rsidR="00A4635B" w:rsidRPr="00001309" w:rsidRDefault="00A4635B" w:rsidP="00F10AFE">
      <w:pPr>
        <w:autoSpaceDE w:val="0"/>
        <w:autoSpaceDN w:val="0"/>
        <w:adjustRightInd w:val="0"/>
        <w:spacing w:line="240" w:lineRule="auto"/>
        <w:ind w:left="1440" w:right="1440" w:firstLine="0"/>
        <w:rPr>
          <w:sz w:val="26"/>
          <w:szCs w:val="26"/>
        </w:rPr>
      </w:pPr>
    </w:p>
    <w:p w:rsidR="006055E5" w:rsidRPr="00001309" w:rsidRDefault="006055E5" w:rsidP="00400ECD">
      <w:pPr>
        <w:pStyle w:val="Default"/>
        <w:spacing w:line="240" w:lineRule="auto"/>
        <w:ind w:left="1440" w:right="1440" w:firstLine="0"/>
        <w:rPr>
          <w:rFonts w:ascii="Times New Roman" w:hAnsi="Times New Roman" w:cs="Times New Roman"/>
          <w:color w:val="auto"/>
          <w:sz w:val="26"/>
          <w:szCs w:val="26"/>
        </w:rPr>
      </w:pPr>
    </w:p>
    <w:p w:rsidR="00DB4EDD" w:rsidRPr="00001309" w:rsidRDefault="00C8192C" w:rsidP="006055E5">
      <w:pPr>
        <w:autoSpaceDE w:val="0"/>
        <w:autoSpaceDN w:val="0"/>
        <w:rPr>
          <w:sz w:val="26"/>
          <w:szCs w:val="26"/>
        </w:rPr>
      </w:pPr>
      <w:r>
        <w:rPr>
          <w:sz w:val="26"/>
          <w:szCs w:val="26"/>
        </w:rPr>
        <w:lastRenderedPageBreak/>
        <w:t xml:space="preserve">As noted, </w:t>
      </w:r>
      <w:r w:rsidR="002544E6" w:rsidRPr="00001309">
        <w:rPr>
          <w:sz w:val="26"/>
          <w:szCs w:val="26"/>
        </w:rPr>
        <w:t>2,516 customers were found to have been impacted</w:t>
      </w:r>
      <w:r>
        <w:rPr>
          <w:sz w:val="26"/>
          <w:szCs w:val="26"/>
        </w:rPr>
        <w:t xml:space="preserve">. </w:t>
      </w:r>
      <w:r w:rsidR="006055E5" w:rsidRPr="00001309">
        <w:rPr>
          <w:sz w:val="26"/>
          <w:szCs w:val="26"/>
        </w:rPr>
        <w:t xml:space="preserve"> </w:t>
      </w:r>
      <w:r w:rsidR="008D34CA">
        <w:rPr>
          <w:sz w:val="26"/>
          <w:szCs w:val="26"/>
        </w:rPr>
        <w:t xml:space="preserve">The </w:t>
      </w:r>
      <w:r w:rsidR="00DB4EDD" w:rsidRPr="00001309">
        <w:rPr>
          <w:sz w:val="26"/>
          <w:szCs w:val="26"/>
        </w:rPr>
        <w:t>Joint Complainants presented the testimony and exhibits of</w:t>
      </w:r>
      <w:r>
        <w:rPr>
          <w:sz w:val="26"/>
          <w:szCs w:val="26"/>
        </w:rPr>
        <w:t>,</w:t>
      </w:r>
      <w:r w:rsidR="00DB4EDD" w:rsidRPr="00001309">
        <w:rPr>
          <w:sz w:val="26"/>
          <w:szCs w:val="26"/>
        </w:rPr>
        <w:t xml:space="preserve"> approximately</w:t>
      </w:r>
      <w:r>
        <w:rPr>
          <w:sz w:val="26"/>
          <w:szCs w:val="26"/>
        </w:rPr>
        <w:t>,</w:t>
      </w:r>
      <w:r w:rsidR="00DB4EDD" w:rsidRPr="00001309">
        <w:rPr>
          <w:sz w:val="26"/>
          <w:szCs w:val="26"/>
        </w:rPr>
        <w:t xml:space="preserve"> 97 consumer witnesses who introduced written testimony about their experiences with Blue</w:t>
      </w:r>
      <w:r w:rsidR="006055E5" w:rsidRPr="00001309">
        <w:rPr>
          <w:sz w:val="26"/>
          <w:szCs w:val="26"/>
        </w:rPr>
        <w:t xml:space="preserve"> </w:t>
      </w:r>
      <w:r w:rsidR="00DB4EDD" w:rsidRPr="00001309">
        <w:rPr>
          <w:sz w:val="26"/>
          <w:szCs w:val="26"/>
        </w:rPr>
        <w:t>Pilot.  Of these 97</w:t>
      </w:r>
      <w:r w:rsidR="002517D1" w:rsidRPr="00001309">
        <w:rPr>
          <w:sz w:val="26"/>
          <w:szCs w:val="26"/>
        </w:rPr>
        <w:t xml:space="preserve"> customers</w:t>
      </w:r>
      <w:r w:rsidR="00DB4EDD" w:rsidRPr="00001309">
        <w:rPr>
          <w:sz w:val="26"/>
          <w:szCs w:val="26"/>
        </w:rPr>
        <w:t>, 83 testimonies and exhibits were placed on the record.  Blue Pilot cross-examined 47 consumers and stipulated to 36 testimonies into the record.</w:t>
      </w:r>
      <w:r w:rsidR="00E12E81" w:rsidRPr="00001309">
        <w:rPr>
          <w:sz w:val="26"/>
          <w:szCs w:val="26"/>
        </w:rPr>
        <w:t xml:space="preserve">  </w:t>
      </w:r>
      <w:r w:rsidR="00E12E81" w:rsidRPr="00001309">
        <w:rPr>
          <w:i/>
          <w:sz w:val="26"/>
          <w:szCs w:val="26"/>
        </w:rPr>
        <w:t>See</w:t>
      </w:r>
      <w:r w:rsidR="00DB4EDD" w:rsidRPr="00001309">
        <w:rPr>
          <w:sz w:val="26"/>
          <w:szCs w:val="26"/>
        </w:rPr>
        <w:t xml:space="preserve"> Joint Complainants M.B. at 2.</w:t>
      </w:r>
    </w:p>
    <w:p w:rsidR="00C37BA6" w:rsidRPr="00001309" w:rsidRDefault="00C37BA6" w:rsidP="00DB6FED">
      <w:pPr>
        <w:autoSpaceDE w:val="0"/>
        <w:autoSpaceDN w:val="0"/>
        <w:ind w:firstLine="0"/>
        <w:rPr>
          <w:sz w:val="26"/>
          <w:szCs w:val="26"/>
        </w:rPr>
      </w:pPr>
    </w:p>
    <w:p w:rsidR="00BE4E1F" w:rsidRPr="00001309" w:rsidRDefault="003D30BF" w:rsidP="00C8192C">
      <w:pPr>
        <w:autoSpaceDE w:val="0"/>
        <w:autoSpaceDN w:val="0"/>
        <w:rPr>
          <w:bCs/>
          <w:sz w:val="26"/>
          <w:szCs w:val="26"/>
        </w:rPr>
      </w:pPr>
      <w:r w:rsidRPr="00001309">
        <w:rPr>
          <w:sz w:val="26"/>
          <w:szCs w:val="26"/>
        </w:rPr>
        <w:t xml:space="preserve">The arguments of Blue Pilot, that an individualized </w:t>
      </w:r>
      <w:r w:rsidR="002E143D" w:rsidRPr="00001309">
        <w:rPr>
          <w:sz w:val="26"/>
          <w:szCs w:val="26"/>
        </w:rPr>
        <w:t xml:space="preserve">usage and billing </w:t>
      </w:r>
      <w:r w:rsidRPr="00001309">
        <w:rPr>
          <w:sz w:val="26"/>
          <w:szCs w:val="26"/>
        </w:rPr>
        <w:t xml:space="preserve">statement of each of its customers was required </w:t>
      </w:r>
      <w:proofErr w:type="gramStart"/>
      <w:r w:rsidRPr="00001309">
        <w:rPr>
          <w:sz w:val="26"/>
          <w:szCs w:val="26"/>
        </w:rPr>
        <w:t>in order for</w:t>
      </w:r>
      <w:proofErr w:type="gramEnd"/>
      <w:r w:rsidRPr="00001309">
        <w:rPr>
          <w:sz w:val="26"/>
          <w:szCs w:val="26"/>
        </w:rPr>
        <w:t xml:space="preserve"> this Commission to arrive at a conclusion as to whether </w:t>
      </w:r>
      <w:r w:rsidR="00EC7C20" w:rsidRPr="00001309">
        <w:rPr>
          <w:sz w:val="26"/>
          <w:szCs w:val="26"/>
        </w:rPr>
        <w:t>Blue Pilot</w:t>
      </w:r>
      <w:r w:rsidRPr="00001309">
        <w:rPr>
          <w:sz w:val="26"/>
          <w:szCs w:val="26"/>
        </w:rPr>
        <w:t xml:space="preserve"> can be found to have engaged in a pattern or practice of misrepresentation and deception regarding the marketing and sale of its EGS service to customers is not consistent with the accepted use of aggregate data.  </w:t>
      </w:r>
      <w:r w:rsidR="00FB2ACE" w:rsidRPr="00001309">
        <w:rPr>
          <w:sz w:val="26"/>
          <w:szCs w:val="26"/>
        </w:rPr>
        <w:t xml:space="preserve">In </w:t>
      </w:r>
      <w:r w:rsidR="00FB2ACE" w:rsidRPr="00001309">
        <w:rPr>
          <w:bCs/>
          <w:i/>
          <w:sz w:val="26"/>
          <w:szCs w:val="26"/>
        </w:rPr>
        <w:t>Lyft, Inc. v. Pa. PUC</w:t>
      </w:r>
      <w:r w:rsidR="00FB2ACE" w:rsidRPr="00001309">
        <w:rPr>
          <w:bCs/>
          <w:sz w:val="26"/>
          <w:szCs w:val="26"/>
        </w:rPr>
        <w:t>, 145 A.3d 1235 </w:t>
      </w:r>
      <w:r w:rsidR="00BE4E1F" w:rsidRPr="00001309">
        <w:rPr>
          <w:bCs/>
          <w:sz w:val="26"/>
          <w:szCs w:val="26"/>
        </w:rPr>
        <w:t>(Pa. Cmwlth. 2016), aggregate data (trip data in a transportation industry</w:t>
      </w:r>
      <w:r w:rsidR="002E143D" w:rsidRPr="00001309">
        <w:rPr>
          <w:bCs/>
          <w:sz w:val="26"/>
          <w:szCs w:val="26"/>
        </w:rPr>
        <w:t xml:space="preserve"> dispute</w:t>
      </w:r>
      <w:r w:rsidR="00BE4E1F" w:rsidRPr="00001309">
        <w:rPr>
          <w:bCs/>
          <w:sz w:val="26"/>
          <w:szCs w:val="26"/>
        </w:rPr>
        <w:t xml:space="preserve">) was appropriately considered to support a finding that the Commission’s decision was supported by substantial evidence.  The use of aggregate data was found consistent with </w:t>
      </w:r>
      <w:r w:rsidR="00D514D2" w:rsidRPr="00001309">
        <w:rPr>
          <w:bCs/>
          <w:sz w:val="26"/>
          <w:szCs w:val="26"/>
        </w:rPr>
        <w:t>this Commission’s</w:t>
      </w:r>
      <w:r w:rsidR="00BE4E1F" w:rsidRPr="00001309">
        <w:rPr>
          <w:bCs/>
          <w:sz w:val="26"/>
          <w:szCs w:val="26"/>
        </w:rPr>
        <w:t xml:space="preserve"> </w:t>
      </w:r>
      <w:r w:rsidR="002E143D" w:rsidRPr="00001309">
        <w:rPr>
          <w:bCs/>
          <w:sz w:val="26"/>
          <w:szCs w:val="26"/>
        </w:rPr>
        <w:t xml:space="preserve">historic </w:t>
      </w:r>
      <w:r w:rsidR="00BE4E1F" w:rsidRPr="00001309">
        <w:rPr>
          <w:bCs/>
          <w:sz w:val="26"/>
          <w:szCs w:val="26"/>
        </w:rPr>
        <w:t xml:space="preserve">treatment of </w:t>
      </w:r>
      <w:r w:rsidR="002E143D" w:rsidRPr="00001309">
        <w:rPr>
          <w:bCs/>
          <w:sz w:val="26"/>
          <w:szCs w:val="26"/>
        </w:rPr>
        <w:t xml:space="preserve">confidential and proprietary </w:t>
      </w:r>
      <w:r w:rsidR="00D514D2" w:rsidRPr="00001309">
        <w:rPr>
          <w:bCs/>
          <w:sz w:val="26"/>
          <w:szCs w:val="26"/>
        </w:rPr>
        <w:t xml:space="preserve">information </w:t>
      </w:r>
      <w:r w:rsidR="00BE4E1F" w:rsidRPr="00001309">
        <w:rPr>
          <w:bCs/>
          <w:sz w:val="26"/>
          <w:szCs w:val="26"/>
        </w:rPr>
        <w:t>under our Regulations and the Code.</w:t>
      </w:r>
      <w:r w:rsidR="00D514D2" w:rsidRPr="00001309">
        <w:rPr>
          <w:bCs/>
          <w:sz w:val="26"/>
          <w:szCs w:val="26"/>
        </w:rPr>
        <w:t xml:space="preserve">  The aggregation of data is a recognized basis on which this Commission may engage in informed decision-making without violating individual proprietary</w:t>
      </w:r>
      <w:r w:rsidR="00573F32" w:rsidRPr="00001309">
        <w:rPr>
          <w:bCs/>
          <w:sz w:val="26"/>
          <w:szCs w:val="26"/>
        </w:rPr>
        <w:t xml:space="preserve"> disclosures.</w:t>
      </w:r>
      <w:r w:rsidR="00132E76" w:rsidRPr="00001309">
        <w:rPr>
          <w:rStyle w:val="FootnoteReference"/>
          <w:sz w:val="26"/>
          <w:szCs w:val="26"/>
        </w:rPr>
        <w:footnoteReference w:id="33"/>
      </w:r>
    </w:p>
    <w:p w:rsidR="00C679A6" w:rsidRPr="00001309" w:rsidRDefault="00C679A6" w:rsidP="00FB2ACE">
      <w:pPr>
        <w:autoSpaceDE w:val="0"/>
        <w:autoSpaceDN w:val="0"/>
        <w:rPr>
          <w:sz w:val="26"/>
          <w:szCs w:val="26"/>
        </w:rPr>
      </w:pPr>
    </w:p>
    <w:p w:rsidR="00BE4E1F" w:rsidRPr="00001309" w:rsidRDefault="00573F32" w:rsidP="00C679A6">
      <w:pPr>
        <w:autoSpaceDE w:val="0"/>
        <w:autoSpaceDN w:val="0"/>
        <w:rPr>
          <w:sz w:val="26"/>
          <w:szCs w:val="26"/>
        </w:rPr>
      </w:pPr>
      <w:r w:rsidRPr="00001309">
        <w:rPr>
          <w:sz w:val="26"/>
          <w:szCs w:val="26"/>
        </w:rPr>
        <w:t>Finally</w:t>
      </w:r>
      <w:r w:rsidR="00C679A6" w:rsidRPr="00001309">
        <w:rPr>
          <w:sz w:val="26"/>
          <w:szCs w:val="26"/>
        </w:rPr>
        <w:t xml:space="preserve">, </w:t>
      </w:r>
      <w:r w:rsidRPr="00001309">
        <w:rPr>
          <w:sz w:val="26"/>
          <w:szCs w:val="26"/>
        </w:rPr>
        <w:t xml:space="preserve">review and use of </w:t>
      </w:r>
      <w:r w:rsidR="00C679A6" w:rsidRPr="00001309">
        <w:rPr>
          <w:sz w:val="26"/>
          <w:szCs w:val="26"/>
        </w:rPr>
        <w:t xml:space="preserve">aggregate data is consistent with the role of the OAG and OCA as </w:t>
      </w:r>
      <w:r w:rsidR="00C679A6" w:rsidRPr="00001309">
        <w:rPr>
          <w:i/>
          <w:sz w:val="26"/>
          <w:szCs w:val="26"/>
        </w:rPr>
        <w:t>parens patri</w:t>
      </w:r>
      <w:r w:rsidRPr="00001309">
        <w:rPr>
          <w:i/>
          <w:sz w:val="26"/>
          <w:szCs w:val="26"/>
        </w:rPr>
        <w:t>a</w:t>
      </w:r>
      <w:r w:rsidR="00C679A6" w:rsidRPr="00001309">
        <w:rPr>
          <w:i/>
          <w:sz w:val="26"/>
          <w:szCs w:val="26"/>
        </w:rPr>
        <w:t>e</w:t>
      </w:r>
      <w:r w:rsidR="00C679A6" w:rsidRPr="00001309">
        <w:rPr>
          <w:sz w:val="26"/>
          <w:szCs w:val="26"/>
        </w:rPr>
        <w:t xml:space="preserve"> in this Complaint.  </w:t>
      </w:r>
      <w:r w:rsidR="008D34CA">
        <w:rPr>
          <w:sz w:val="26"/>
          <w:szCs w:val="26"/>
        </w:rPr>
        <w:t xml:space="preserve">The </w:t>
      </w:r>
      <w:r w:rsidR="00C679A6" w:rsidRPr="00001309">
        <w:rPr>
          <w:sz w:val="26"/>
          <w:szCs w:val="26"/>
        </w:rPr>
        <w:t xml:space="preserve">Joint Complainants </w:t>
      </w:r>
      <w:r w:rsidRPr="00001309">
        <w:rPr>
          <w:sz w:val="26"/>
          <w:szCs w:val="26"/>
        </w:rPr>
        <w:t>have emphasized that their proper statutory role is</w:t>
      </w:r>
      <w:r w:rsidR="00C679A6" w:rsidRPr="00001309">
        <w:rPr>
          <w:sz w:val="26"/>
          <w:szCs w:val="26"/>
        </w:rPr>
        <w:t xml:space="preserve"> not </w:t>
      </w:r>
      <w:r w:rsidRPr="00001309">
        <w:rPr>
          <w:sz w:val="26"/>
          <w:szCs w:val="26"/>
        </w:rPr>
        <w:t xml:space="preserve">to </w:t>
      </w:r>
      <w:r w:rsidR="00C679A6" w:rsidRPr="00001309">
        <w:rPr>
          <w:sz w:val="26"/>
          <w:szCs w:val="26"/>
        </w:rPr>
        <w:t>advocat</w:t>
      </w:r>
      <w:r w:rsidRPr="00001309">
        <w:rPr>
          <w:sz w:val="26"/>
          <w:szCs w:val="26"/>
        </w:rPr>
        <w:t>e</w:t>
      </w:r>
      <w:r w:rsidR="00C679A6" w:rsidRPr="00001309">
        <w:rPr>
          <w:sz w:val="26"/>
          <w:szCs w:val="26"/>
        </w:rPr>
        <w:t xml:space="preserve"> </w:t>
      </w:r>
      <w:r w:rsidRPr="00001309">
        <w:rPr>
          <w:sz w:val="26"/>
          <w:szCs w:val="26"/>
        </w:rPr>
        <w:t xml:space="preserve">for </w:t>
      </w:r>
      <w:r w:rsidR="00C679A6" w:rsidRPr="00001309">
        <w:rPr>
          <w:sz w:val="26"/>
          <w:szCs w:val="26"/>
        </w:rPr>
        <w:t>the vindicat</w:t>
      </w:r>
      <w:r w:rsidRPr="00001309">
        <w:rPr>
          <w:sz w:val="26"/>
          <w:szCs w:val="26"/>
        </w:rPr>
        <w:t>ion of</w:t>
      </w:r>
      <w:r w:rsidR="00C679A6" w:rsidRPr="00001309">
        <w:rPr>
          <w:sz w:val="26"/>
          <w:szCs w:val="26"/>
        </w:rPr>
        <w:t xml:space="preserve"> the interests of individual complainants.  Rather, </w:t>
      </w:r>
      <w:r w:rsidR="008D34CA">
        <w:rPr>
          <w:sz w:val="26"/>
          <w:szCs w:val="26"/>
        </w:rPr>
        <w:t xml:space="preserve">the </w:t>
      </w:r>
      <w:r w:rsidR="00C679A6" w:rsidRPr="00001309">
        <w:rPr>
          <w:sz w:val="26"/>
          <w:szCs w:val="26"/>
        </w:rPr>
        <w:t xml:space="preserve">Joint Complainants seek to vindicate the larger interests of the </w:t>
      </w:r>
      <w:r w:rsidRPr="00001309">
        <w:rPr>
          <w:sz w:val="26"/>
          <w:szCs w:val="26"/>
        </w:rPr>
        <w:t xml:space="preserve">citizens of the </w:t>
      </w:r>
      <w:r w:rsidR="00C679A6" w:rsidRPr="00001309">
        <w:rPr>
          <w:sz w:val="26"/>
          <w:szCs w:val="26"/>
        </w:rPr>
        <w:t>Commonwealth</w:t>
      </w:r>
      <w:r w:rsidRPr="00001309">
        <w:rPr>
          <w:sz w:val="26"/>
          <w:szCs w:val="26"/>
        </w:rPr>
        <w:t xml:space="preserve"> in this dispute</w:t>
      </w:r>
      <w:r w:rsidR="00C679A6" w:rsidRPr="00001309">
        <w:rPr>
          <w:sz w:val="26"/>
          <w:szCs w:val="26"/>
        </w:rPr>
        <w:t>.</w:t>
      </w:r>
    </w:p>
    <w:p w:rsidR="00C679A6" w:rsidRPr="00001309" w:rsidRDefault="00C679A6" w:rsidP="00C679A6">
      <w:pPr>
        <w:autoSpaceDE w:val="0"/>
        <w:autoSpaceDN w:val="0"/>
        <w:rPr>
          <w:sz w:val="26"/>
          <w:szCs w:val="26"/>
        </w:rPr>
      </w:pPr>
    </w:p>
    <w:p w:rsidR="004A451A" w:rsidRPr="00001309" w:rsidRDefault="002E143D" w:rsidP="00FB2ACE">
      <w:pPr>
        <w:autoSpaceDE w:val="0"/>
        <w:autoSpaceDN w:val="0"/>
        <w:rPr>
          <w:sz w:val="26"/>
          <w:szCs w:val="26"/>
        </w:rPr>
      </w:pPr>
      <w:r w:rsidRPr="00001309">
        <w:rPr>
          <w:sz w:val="26"/>
          <w:szCs w:val="26"/>
        </w:rPr>
        <w:lastRenderedPageBreak/>
        <w:t>T</w:t>
      </w:r>
      <w:r w:rsidR="00BE4E1F" w:rsidRPr="00001309">
        <w:rPr>
          <w:sz w:val="26"/>
          <w:szCs w:val="26"/>
        </w:rPr>
        <w:t>he testimony of the Joint Complainants</w:t>
      </w:r>
      <w:r w:rsidRPr="00001309">
        <w:rPr>
          <w:sz w:val="26"/>
          <w:szCs w:val="26"/>
        </w:rPr>
        <w:t xml:space="preserve"> was not rebutted by Blue Pilot.  </w:t>
      </w:r>
      <w:r w:rsidR="00573F32" w:rsidRPr="00001309">
        <w:rPr>
          <w:sz w:val="26"/>
          <w:szCs w:val="26"/>
        </w:rPr>
        <w:t>Based on the foregoing, and assessing the proba</w:t>
      </w:r>
      <w:r w:rsidRPr="00001309">
        <w:rPr>
          <w:sz w:val="26"/>
          <w:szCs w:val="26"/>
        </w:rPr>
        <w:t>tive value</w:t>
      </w:r>
      <w:r w:rsidR="00573F32" w:rsidRPr="00001309">
        <w:rPr>
          <w:sz w:val="26"/>
          <w:szCs w:val="26"/>
        </w:rPr>
        <w:t xml:space="preserve"> of said testimony</w:t>
      </w:r>
      <w:r w:rsidRPr="00001309">
        <w:rPr>
          <w:sz w:val="26"/>
          <w:szCs w:val="26"/>
        </w:rPr>
        <w:t>,</w:t>
      </w:r>
      <w:r w:rsidR="00BE4E1F" w:rsidRPr="00001309">
        <w:rPr>
          <w:sz w:val="26"/>
          <w:szCs w:val="26"/>
        </w:rPr>
        <w:t xml:space="preserve"> we have little difficulty in concluding that </w:t>
      </w:r>
      <w:r w:rsidR="008D34CA">
        <w:rPr>
          <w:sz w:val="26"/>
          <w:szCs w:val="26"/>
        </w:rPr>
        <w:t xml:space="preserve">the </w:t>
      </w:r>
      <w:r w:rsidR="00BE4E1F" w:rsidRPr="00001309">
        <w:rPr>
          <w:sz w:val="26"/>
          <w:szCs w:val="26"/>
        </w:rPr>
        <w:t>Joint Complainants have met their burden of proof regarding Count III</w:t>
      </w:r>
      <w:r w:rsidRPr="00001309">
        <w:rPr>
          <w:sz w:val="26"/>
          <w:szCs w:val="26"/>
        </w:rPr>
        <w:t xml:space="preserve"> and it was proper for the ALJs to sustain this Count</w:t>
      </w:r>
      <w:r w:rsidR="00BE4E1F" w:rsidRPr="00001309">
        <w:rPr>
          <w:sz w:val="26"/>
          <w:szCs w:val="26"/>
        </w:rPr>
        <w:t>.</w:t>
      </w:r>
      <w:r w:rsidR="00406555" w:rsidRPr="00001309">
        <w:rPr>
          <w:rStyle w:val="FootnoteReference"/>
          <w:sz w:val="26"/>
          <w:szCs w:val="26"/>
        </w:rPr>
        <w:footnoteReference w:id="34"/>
      </w:r>
    </w:p>
    <w:p w:rsidR="005F35BE" w:rsidRPr="00001309" w:rsidRDefault="005F35BE" w:rsidP="00FB2ACE">
      <w:pPr>
        <w:autoSpaceDE w:val="0"/>
        <w:autoSpaceDN w:val="0"/>
        <w:rPr>
          <w:sz w:val="26"/>
          <w:szCs w:val="26"/>
        </w:rPr>
      </w:pPr>
    </w:p>
    <w:p w:rsidR="0053046B" w:rsidRPr="00001309" w:rsidRDefault="000420BB" w:rsidP="00CB08FD">
      <w:pPr>
        <w:keepNext/>
        <w:keepLines/>
        <w:autoSpaceDE w:val="0"/>
        <w:autoSpaceDN w:val="0"/>
        <w:ind w:left="1440" w:firstLine="0"/>
        <w:rPr>
          <w:b/>
          <w:sz w:val="26"/>
          <w:szCs w:val="26"/>
          <w:u w:val="single"/>
        </w:rPr>
      </w:pPr>
      <w:r>
        <w:rPr>
          <w:b/>
          <w:sz w:val="26"/>
          <w:szCs w:val="26"/>
        </w:rPr>
        <w:t>c</w:t>
      </w:r>
      <w:r w:rsidR="00B43B31" w:rsidRPr="00001309">
        <w:rPr>
          <w:b/>
          <w:sz w:val="26"/>
          <w:szCs w:val="26"/>
        </w:rPr>
        <w:t>.</w:t>
      </w:r>
      <w:r w:rsidR="001812E2">
        <w:rPr>
          <w:b/>
          <w:sz w:val="26"/>
          <w:szCs w:val="26"/>
        </w:rPr>
        <w:tab/>
      </w:r>
      <w:r w:rsidR="00B01DF2" w:rsidRPr="00001309">
        <w:rPr>
          <w:b/>
          <w:sz w:val="26"/>
          <w:szCs w:val="26"/>
        </w:rPr>
        <w:t xml:space="preserve">Small Business </w:t>
      </w:r>
      <w:r>
        <w:rPr>
          <w:b/>
          <w:sz w:val="26"/>
          <w:szCs w:val="26"/>
        </w:rPr>
        <w:t xml:space="preserve">and Commercial </w:t>
      </w:r>
      <w:r w:rsidR="00B01DF2" w:rsidRPr="00001309">
        <w:rPr>
          <w:b/>
          <w:sz w:val="26"/>
          <w:szCs w:val="26"/>
        </w:rPr>
        <w:t>Customers</w:t>
      </w:r>
    </w:p>
    <w:p w:rsidR="00573F32" w:rsidRPr="00001309" w:rsidRDefault="00573F32" w:rsidP="00CB08FD">
      <w:pPr>
        <w:keepNext/>
        <w:keepLines/>
        <w:autoSpaceDE w:val="0"/>
        <w:autoSpaceDN w:val="0"/>
        <w:ind w:firstLine="0"/>
        <w:rPr>
          <w:sz w:val="26"/>
          <w:szCs w:val="26"/>
        </w:rPr>
      </w:pPr>
    </w:p>
    <w:p w:rsidR="00F35481" w:rsidRPr="00001309" w:rsidRDefault="00753AA4" w:rsidP="00573F32">
      <w:pPr>
        <w:autoSpaceDE w:val="0"/>
        <w:autoSpaceDN w:val="0"/>
        <w:rPr>
          <w:sz w:val="26"/>
          <w:szCs w:val="26"/>
        </w:rPr>
      </w:pPr>
      <w:r w:rsidRPr="00001309">
        <w:rPr>
          <w:sz w:val="26"/>
          <w:szCs w:val="26"/>
        </w:rPr>
        <w:t>S</w:t>
      </w:r>
      <w:r w:rsidR="00573F32" w:rsidRPr="00001309">
        <w:rPr>
          <w:sz w:val="26"/>
          <w:szCs w:val="26"/>
        </w:rPr>
        <w:t>mall business customer</w:t>
      </w:r>
      <w:r w:rsidRPr="00001309">
        <w:rPr>
          <w:sz w:val="26"/>
          <w:szCs w:val="26"/>
        </w:rPr>
        <w:t>s</w:t>
      </w:r>
      <w:r w:rsidR="00573F32" w:rsidRPr="00001309">
        <w:rPr>
          <w:sz w:val="26"/>
          <w:szCs w:val="26"/>
        </w:rPr>
        <w:t xml:space="preserve"> are defined in our Regulations as having a “maximum registered peak load” of “less than 25 kW within the last 12 months.”</w:t>
      </w:r>
      <w:r w:rsidR="00F35481" w:rsidRPr="00001309">
        <w:rPr>
          <w:sz w:val="26"/>
          <w:szCs w:val="26"/>
        </w:rPr>
        <w:t xml:space="preserve">  </w:t>
      </w:r>
      <w:r w:rsidR="00F35481" w:rsidRPr="00001309">
        <w:rPr>
          <w:i/>
          <w:sz w:val="26"/>
          <w:szCs w:val="26"/>
        </w:rPr>
        <w:t>See Gruelle</w:t>
      </w:r>
      <w:r w:rsidR="00F35481" w:rsidRPr="00001309">
        <w:rPr>
          <w:sz w:val="26"/>
          <w:szCs w:val="26"/>
        </w:rPr>
        <w:t xml:space="preserve">, 52 Pa. Code § 54.2 (relating to definitions). </w:t>
      </w:r>
      <w:r w:rsidR="00615703" w:rsidRPr="00001309">
        <w:rPr>
          <w:sz w:val="26"/>
          <w:szCs w:val="26"/>
        </w:rPr>
        <w:t xml:space="preserve"> </w:t>
      </w:r>
      <w:r w:rsidR="00573F32" w:rsidRPr="00001309">
        <w:rPr>
          <w:sz w:val="26"/>
          <w:szCs w:val="26"/>
        </w:rPr>
        <w:t xml:space="preserve">The </w:t>
      </w:r>
      <w:r w:rsidR="00155D25" w:rsidRPr="00001309">
        <w:rPr>
          <w:sz w:val="26"/>
          <w:szCs w:val="26"/>
        </w:rPr>
        <w:t>Initial Decision</w:t>
      </w:r>
      <w:r w:rsidR="00573F32" w:rsidRPr="00001309">
        <w:rPr>
          <w:sz w:val="26"/>
          <w:szCs w:val="26"/>
        </w:rPr>
        <w:t xml:space="preserve"> relied on aggregated data and used the average monthly consumption and the peak demand of one commercial customer to apply the </w:t>
      </w:r>
      <w:r w:rsidR="00CF34E5">
        <w:rPr>
          <w:sz w:val="26"/>
          <w:szCs w:val="26"/>
        </w:rPr>
        <w:t xml:space="preserve">proposed and recommended </w:t>
      </w:r>
      <w:r w:rsidR="00573F32" w:rsidRPr="00001309">
        <w:rPr>
          <w:sz w:val="26"/>
          <w:szCs w:val="26"/>
        </w:rPr>
        <w:t xml:space="preserve">rebilling credit </w:t>
      </w:r>
      <w:r w:rsidR="00CF34E5">
        <w:rPr>
          <w:sz w:val="26"/>
          <w:szCs w:val="26"/>
        </w:rPr>
        <w:t xml:space="preserve">be </w:t>
      </w:r>
      <w:r w:rsidR="00573F32" w:rsidRPr="00001309">
        <w:rPr>
          <w:sz w:val="26"/>
          <w:szCs w:val="26"/>
        </w:rPr>
        <w:t>eligible to all 1,073 of Blue Pilot’s commercial customers.</w:t>
      </w:r>
      <w:r w:rsidR="00765F07" w:rsidRPr="00001309">
        <w:rPr>
          <w:sz w:val="26"/>
          <w:szCs w:val="26"/>
        </w:rPr>
        <w:t xml:space="preserve">  </w:t>
      </w:r>
      <w:r w:rsidR="00765F07" w:rsidRPr="00001309">
        <w:rPr>
          <w:i/>
          <w:sz w:val="26"/>
          <w:szCs w:val="26"/>
        </w:rPr>
        <w:t>See</w:t>
      </w:r>
      <w:r w:rsidR="00573F32" w:rsidRPr="00001309">
        <w:rPr>
          <w:sz w:val="26"/>
          <w:szCs w:val="26"/>
        </w:rPr>
        <w:t xml:space="preserve"> I.D. at</w:t>
      </w:r>
      <w:r w:rsidR="00F35481" w:rsidRPr="00001309">
        <w:rPr>
          <w:sz w:val="26"/>
          <w:szCs w:val="26"/>
        </w:rPr>
        <w:t xml:space="preserve"> 124</w:t>
      </w:r>
      <w:r w:rsidR="00765F07" w:rsidRPr="00001309">
        <w:rPr>
          <w:sz w:val="26"/>
          <w:szCs w:val="26"/>
        </w:rPr>
        <w:t>, excerpt below</w:t>
      </w:r>
      <w:r w:rsidR="00F35481" w:rsidRPr="00001309">
        <w:rPr>
          <w:sz w:val="26"/>
          <w:szCs w:val="26"/>
        </w:rPr>
        <w:t>:</w:t>
      </w:r>
    </w:p>
    <w:p w:rsidR="00F35481" w:rsidRPr="00001309" w:rsidRDefault="00F35481" w:rsidP="00F35481">
      <w:pPr>
        <w:autoSpaceDE w:val="0"/>
        <w:autoSpaceDN w:val="0"/>
        <w:spacing w:line="240" w:lineRule="auto"/>
        <w:ind w:left="1440" w:right="1440" w:firstLine="0"/>
        <w:rPr>
          <w:sz w:val="26"/>
          <w:szCs w:val="26"/>
        </w:rPr>
      </w:pPr>
    </w:p>
    <w:p w:rsidR="00573F32" w:rsidRPr="00001309" w:rsidRDefault="00F35481" w:rsidP="001812E2">
      <w:pPr>
        <w:keepNext/>
        <w:keepLines/>
        <w:autoSpaceDE w:val="0"/>
        <w:autoSpaceDN w:val="0"/>
        <w:spacing w:line="240" w:lineRule="auto"/>
        <w:ind w:left="1440" w:right="1440" w:firstLine="720"/>
        <w:rPr>
          <w:sz w:val="26"/>
          <w:szCs w:val="26"/>
        </w:rPr>
      </w:pPr>
      <w:r w:rsidRPr="00001309">
        <w:rPr>
          <w:sz w:val="26"/>
          <w:szCs w:val="26"/>
        </w:rPr>
        <w:t>Although we did find one testifying customer’s bill indicating peak demand at 30.72 kW which is slightly over 25 kW - Merlin Barboza/RK Enterprise, Inc., Exh. RKE 6th-1, the fact that Blue Pilot did not break down its responses to discovery by commercial customer classification, leads us to find in favor of adopting Witness Everette’s methodology for calculating the number of small business customers affected by overbilling and deceptive marketing practices.</w:t>
      </w:r>
    </w:p>
    <w:p w:rsidR="00CF2C5A" w:rsidRDefault="00CF2C5A" w:rsidP="001812E2">
      <w:pPr>
        <w:keepNext/>
        <w:keepLines/>
        <w:autoSpaceDE w:val="0"/>
        <w:autoSpaceDN w:val="0"/>
        <w:spacing w:line="240" w:lineRule="auto"/>
        <w:ind w:left="1440" w:right="1440" w:firstLine="720"/>
        <w:rPr>
          <w:sz w:val="26"/>
          <w:szCs w:val="26"/>
        </w:rPr>
      </w:pPr>
    </w:p>
    <w:p w:rsidR="007550BD" w:rsidRDefault="007550BD" w:rsidP="001812E2">
      <w:pPr>
        <w:keepNext/>
        <w:keepLines/>
        <w:autoSpaceDE w:val="0"/>
        <w:autoSpaceDN w:val="0"/>
        <w:spacing w:line="240" w:lineRule="auto"/>
        <w:ind w:left="1440" w:right="1440" w:firstLine="720"/>
        <w:rPr>
          <w:sz w:val="26"/>
          <w:szCs w:val="26"/>
        </w:rPr>
      </w:pPr>
    </w:p>
    <w:p w:rsidR="001F1CF4" w:rsidRPr="001F1CF4" w:rsidRDefault="001F1CF4" w:rsidP="0061566B">
      <w:pPr>
        <w:autoSpaceDE w:val="0"/>
        <w:autoSpaceDN w:val="0"/>
        <w:ind w:firstLine="0"/>
        <w:rPr>
          <w:sz w:val="26"/>
          <w:szCs w:val="26"/>
        </w:rPr>
      </w:pPr>
      <w:r>
        <w:rPr>
          <w:sz w:val="26"/>
          <w:szCs w:val="26"/>
        </w:rPr>
        <w:t>I.D. at 124.</w:t>
      </w:r>
    </w:p>
    <w:p w:rsidR="00CF2C5A" w:rsidRPr="00001309" w:rsidRDefault="00CF2C5A" w:rsidP="0061566B">
      <w:pPr>
        <w:autoSpaceDE w:val="0"/>
        <w:autoSpaceDN w:val="0"/>
        <w:ind w:left="1440" w:right="1440" w:firstLine="720"/>
        <w:rPr>
          <w:sz w:val="26"/>
          <w:szCs w:val="26"/>
        </w:rPr>
      </w:pPr>
    </w:p>
    <w:p w:rsidR="00CF34E5" w:rsidRDefault="00CF34E5" w:rsidP="00CF34E5">
      <w:pPr>
        <w:kinsoku w:val="0"/>
        <w:overflowPunct w:val="0"/>
        <w:textAlignment w:val="baseline"/>
        <w:rPr>
          <w:sz w:val="26"/>
          <w:szCs w:val="26"/>
        </w:rPr>
      </w:pPr>
      <w:r w:rsidRPr="00C671F2">
        <w:rPr>
          <w:spacing w:val="-1"/>
          <w:sz w:val="26"/>
          <w:szCs w:val="26"/>
        </w:rPr>
        <w:t xml:space="preserve">Blue Pilot continues </w:t>
      </w:r>
      <w:r>
        <w:rPr>
          <w:spacing w:val="-1"/>
          <w:sz w:val="26"/>
          <w:szCs w:val="26"/>
        </w:rPr>
        <w:t xml:space="preserve">its objection to the </w:t>
      </w:r>
      <w:r w:rsidR="00661EE2">
        <w:rPr>
          <w:spacing w:val="-1"/>
          <w:sz w:val="26"/>
          <w:szCs w:val="26"/>
        </w:rPr>
        <w:t>Initial Decision</w:t>
      </w:r>
      <w:r>
        <w:rPr>
          <w:spacing w:val="-1"/>
          <w:sz w:val="26"/>
          <w:szCs w:val="26"/>
        </w:rPr>
        <w:t xml:space="preserve">, by asserting </w:t>
      </w:r>
      <w:r w:rsidRPr="00C671F2">
        <w:rPr>
          <w:spacing w:val="-1"/>
          <w:sz w:val="26"/>
          <w:szCs w:val="26"/>
        </w:rPr>
        <w:t>that</w:t>
      </w:r>
      <w:r>
        <w:rPr>
          <w:spacing w:val="-1"/>
          <w:sz w:val="26"/>
          <w:szCs w:val="26"/>
        </w:rPr>
        <w:t>,</w:t>
      </w:r>
      <w:r w:rsidRPr="00C671F2">
        <w:rPr>
          <w:spacing w:val="-1"/>
          <w:sz w:val="26"/>
          <w:szCs w:val="26"/>
        </w:rPr>
        <w:t xml:space="preserve"> in reaching </w:t>
      </w:r>
      <w:r>
        <w:rPr>
          <w:spacing w:val="-1"/>
          <w:sz w:val="26"/>
          <w:szCs w:val="26"/>
        </w:rPr>
        <w:t>a</w:t>
      </w:r>
      <w:r w:rsidRPr="00C671F2">
        <w:rPr>
          <w:spacing w:val="-1"/>
          <w:sz w:val="26"/>
          <w:szCs w:val="26"/>
        </w:rPr>
        <w:t xml:space="preserve"> conclusion regarding promised savings, the </w:t>
      </w:r>
      <w:r w:rsidR="00661EE2">
        <w:rPr>
          <w:spacing w:val="-1"/>
          <w:sz w:val="26"/>
          <w:szCs w:val="26"/>
        </w:rPr>
        <w:t>Initial Decision</w:t>
      </w:r>
      <w:r w:rsidRPr="00C671F2">
        <w:rPr>
          <w:spacing w:val="-1"/>
          <w:sz w:val="26"/>
          <w:szCs w:val="26"/>
        </w:rPr>
        <w:t xml:space="preserve"> inappropriately concludes that all its 1,073 commercial customers are small business customers, which qualifies them for certain consumer protections under the Commission</w:t>
      </w:r>
      <w:r>
        <w:rPr>
          <w:spacing w:val="-1"/>
          <w:sz w:val="26"/>
          <w:szCs w:val="26"/>
        </w:rPr>
        <w:t>’</w:t>
      </w:r>
      <w:r w:rsidRPr="00C671F2">
        <w:rPr>
          <w:spacing w:val="-1"/>
          <w:sz w:val="26"/>
          <w:szCs w:val="26"/>
        </w:rPr>
        <w:t xml:space="preserve">s </w:t>
      </w:r>
      <w:r>
        <w:rPr>
          <w:spacing w:val="-1"/>
          <w:sz w:val="26"/>
          <w:szCs w:val="26"/>
        </w:rPr>
        <w:t>R</w:t>
      </w:r>
      <w:r w:rsidRPr="00C671F2">
        <w:rPr>
          <w:spacing w:val="-1"/>
          <w:sz w:val="26"/>
          <w:szCs w:val="26"/>
        </w:rPr>
        <w:t>egulations.</w:t>
      </w:r>
      <w:r>
        <w:rPr>
          <w:spacing w:val="-1"/>
          <w:sz w:val="26"/>
          <w:szCs w:val="26"/>
        </w:rPr>
        <w:t xml:space="preserve"> </w:t>
      </w:r>
      <w:r w:rsidRPr="00C671F2">
        <w:rPr>
          <w:spacing w:val="-1"/>
          <w:sz w:val="26"/>
          <w:szCs w:val="26"/>
        </w:rPr>
        <w:t xml:space="preserve"> </w:t>
      </w:r>
      <w:r>
        <w:rPr>
          <w:spacing w:val="-1"/>
          <w:sz w:val="26"/>
          <w:szCs w:val="26"/>
        </w:rPr>
        <w:t xml:space="preserve">We shall reject this argument.  We conclude that </w:t>
      </w:r>
      <w:r w:rsidRPr="00C671F2">
        <w:rPr>
          <w:spacing w:val="-1"/>
          <w:sz w:val="26"/>
          <w:szCs w:val="26"/>
        </w:rPr>
        <w:t xml:space="preserve">the </w:t>
      </w:r>
      <w:r w:rsidR="00661EE2">
        <w:rPr>
          <w:spacing w:val="-1"/>
          <w:sz w:val="26"/>
          <w:szCs w:val="26"/>
        </w:rPr>
        <w:t>Initial Decision</w:t>
      </w:r>
      <w:r w:rsidRPr="00C671F2">
        <w:rPr>
          <w:spacing w:val="-1"/>
          <w:sz w:val="26"/>
          <w:szCs w:val="26"/>
        </w:rPr>
        <w:t xml:space="preserve"> reasonably relie</w:t>
      </w:r>
      <w:r>
        <w:rPr>
          <w:spacing w:val="-1"/>
          <w:sz w:val="26"/>
          <w:szCs w:val="26"/>
        </w:rPr>
        <w:t>d</w:t>
      </w:r>
      <w:r w:rsidRPr="00C671F2">
        <w:rPr>
          <w:spacing w:val="-1"/>
          <w:sz w:val="26"/>
          <w:szCs w:val="26"/>
        </w:rPr>
        <w:t xml:space="preserve"> on average monthly customer usage data provided by the Joint Complainant to conclude that the 1,073 commercial customers are small business customers. </w:t>
      </w:r>
      <w:r>
        <w:rPr>
          <w:spacing w:val="-1"/>
          <w:sz w:val="26"/>
          <w:szCs w:val="26"/>
        </w:rPr>
        <w:t xml:space="preserve"> </w:t>
      </w:r>
      <w:r w:rsidRPr="00C671F2">
        <w:rPr>
          <w:noProof/>
          <w:sz w:val="26"/>
          <w:szCs w:val="26"/>
        </w:rPr>
        <mc:AlternateContent>
          <mc:Choice Requires="wps">
            <w:drawing>
              <wp:anchor distT="0" distB="0" distL="0" distR="0" simplePos="0" relativeHeight="251663360" behindDoc="0" locked="0" layoutInCell="0" allowOverlap="1" wp14:anchorId="56BDB4A5" wp14:editId="46C802A5">
                <wp:simplePos x="0" y="0"/>
                <wp:positionH relativeFrom="page">
                  <wp:posOffset>3713480</wp:posOffset>
                </wp:positionH>
                <wp:positionV relativeFrom="page">
                  <wp:posOffset>9429750</wp:posOffset>
                </wp:positionV>
                <wp:extent cx="177800" cy="135255"/>
                <wp:effectExtent l="0" t="0" r="0" b="0"/>
                <wp:wrapSquare wrapText="bothSides"/>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352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6941" w:rsidRDefault="00446941" w:rsidP="00CF34E5">
                            <w:pPr>
                              <w:kinsoku w:val="0"/>
                              <w:overflowPunct w:val="0"/>
                              <w:spacing w:line="212" w:lineRule="exact"/>
                              <w:textAlignment w:val="baseline"/>
                              <w:rPr>
                                <w:sz w:val="19"/>
                                <w:szCs w:val="19"/>
                              </w:rPr>
                            </w:pPr>
                            <w:r>
                              <w:rPr>
                                <w:sz w:val="19"/>
                                <w:szCs w:val="19"/>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DB4A5" id="Text Box 9" o:spid="_x0000_s1028" type="#_x0000_t202" style="position:absolute;left:0;text-align:left;margin-left:292.4pt;margin-top:742.5pt;width:14pt;height:10.6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" o:allowincell="f" stroked="f">
                <v:fill opacity="0"/>
                <v:textbox inset="0,0,0,0">
                  <w:txbxContent>
                    <w:p w:rsidR="00446941" w:rsidRDefault="00446941" w:rsidP="00CF34E5">
                      <w:pPr>
                        <w:kinsoku w:val="0"/>
                        <w:overflowPunct w:val="0"/>
                        <w:spacing w:line="212" w:lineRule="exact"/>
                        <w:textAlignment w:val="baseline"/>
                        <w:rPr>
                          <w:sz w:val="19"/>
                          <w:szCs w:val="19"/>
                        </w:rPr>
                      </w:pPr>
                      <w:r>
                        <w:rPr>
                          <w:sz w:val="19"/>
                          <w:szCs w:val="19"/>
                        </w:rPr>
                        <w:t>5</w:t>
                      </w:r>
                    </w:p>
                  </w:txbxContent>
                </v:textbox>
                <w10:wrap type="square" anchorx="page" anchory="page"/>
              </v:shape>
            </w:pict>
          </mc:Fallback>
        </mc:AlternateContent>
      </w:r>
      <w:r>
        <w:rPr>
          <w:spacing w:val="-1"/>
          <w:sz w:val="26"/>
          <w:szCs w:val="26"/>
        </w:rPr>
        <w:t>While the</w:t>
      </w:r>
      <w:r w:rsidRPr="00C671F2">
        <w:rPr>
          <w:sz w:val="26"/>
          <w:szCs w:val="26"/>
        </w:rPr>
        <w:t xml:space="preserve"> record </w:t>
      </w:r>
      <w:r w:rsidR="00B42463">
        <w:rPr>
          <w:sz w:val="26"/>
          <w:szCs w:val="26"/>
        </w:rPr>
        <w:t>contains insufficient evidence</w:t>
      </w:r>
      <w:r w:rsidRPr="00C671F2">
        <w:rPr>
          <w:sz w:val="26"/>
          <w:szCs w:val="26"/>
        </w:rPr>
        <w:t xml:space="preserve"> regarding whether</w:t>
      </w:r>
      <w:r>
        <w:rPr>
          <w:sz w:val="26"/>
          <w:szCs w:val="26"/>
        </w:rPr>
        <w:t xml:space="preserve"> each individual</w:t>
      </w:r>
      <w:r w:rsidRPr="00C671F2">
        <w:rPr>
          <w:sz w:val="26"/>
          <w:szCs w:val="26"/>
        </w:rPr>
        <w:t xml:space="preserve"> customer meet</w:t>
      </w:r>
      <w:r>
        <w:rPr>
          <w:sz w:val="26"/>
          <w:szCs w:val="26"/>
        </w:rPr>
        <w:t>s</w:t>
      </w:r>
      <w:r w:rsidRPr="00C671F2">
        <w:rPr>
          <w:sz w:val="26"/>
          <w:szCs w:val="26"/>
        </w:rPr>
        <w:t xml:space="preserve"> the definition of </w:t>
      </w:r>
      <w:r>
        <w:rPr>
          <w:sz w:val="26"/>
          <w:szCs w:val="26"/>
        </w:rPr>
        <w:t>“</w:t>
      </w:r>
      <w:r w:rsidRPr="00C671F2">
        <w:rPr>
          <w:sz w:val="26"/>
          <w:szCs w:val="26"/>
        </w:rPr>
        <w:t>small business customer</w:t>
      </w:r>
      <w:r>
        <w:rPr>
          <w:sz w:val="26"/>
          <w:szCs w:val="26"/>
        </w:rPr>
        <w:t>”</w:t>
      </w:r>
      <w:r w:rsidRPr="00C671F2">
        <w:rPr>
          <w:sz w:val="26"/>
          <w:szCs w:val="26"/>
        </w:rPr>
        <w:t xml:space="preserve"> </w:t>
      </w:r>
      <w:r>
        <w:rPr>
          <w:sz w:val="26"/>
          <w:szCs w:val="26"/>
        </w:rPr>
        <w:t>according to</w:t>
      </w:r>
      <w:r w:rsidRPr="00C671F2">
        <w:rPr>
          <w:sz w:val="26"/>
          <w:szCs w:val="26"/>
        </w:rPr>
        <w:t xml:space="preserve"> the Commission</w:t>
      </w:r>
      <w:r>
        <w:rPr>
          <w:sz w:val="26"/>
          <w:szCs w:val="26"/>
        </w:rPr>
        <w:t>’</w:t>
      </w:r>
      <w:r w:rsidRPr="00C671F2">
        <w:rPr>
          <w:sz w:val="26"/>
          <w:szCs w:val="26"/>
        </w:rPr>
        <w:t xml:space="preserve">s </w:t>
      </w:r>
      <w:r>
        <w:rPr>
          <w:sz w:val="26"/>
          <w:szCs w:val="26"/>
        </w:rPr>
        <w:t>R</w:t>
      </w:r>
      <w:r w:rsidRPr="00C671F2">
        <w:rPr>
          <w:sz w:val="26"/>
          <w:szCs w:val="26"/>
        </w:rPr>
        <w:t>egulations</w:t>
      </w:r>
      <w:r>
        <w:rPr>
          <w:sz w:val="26"/>
          <w:szCs w:val="26"/>
        </w:rPr>
        <w:t>,</w:t>
      </w:r>
      <w:r w:rsidRPr="00C671F2">
        <w:rPr>
          <w:sz w:val="26"/>
          <w:szCs w:val="26"/>
        </w:rPr>
        <w:t xml:space="preserve"> the Joint Complainants made </w:t>
      </w:r>
      <w:proofErr w:type="gramStart"/>
      <w:r w:rsidRPr="00C671F2">
        <w:rPr>
          <w:sz w:val="26"/>
          <w:szCs w:val="26"/>
        </w:rPr>
        <w:t xml:space="preserve">a </w:t>
      </w:r>
      <w:r w:rsidRPr="00C671F2">
        <w:rPr>
          <w:i/>
          <w:iCs/>
          <w:sz w:val="26"/>
          <w:szCs w:val="26"/>
        </w:rPr>
        <w:t>prima facie</w:t>
      </w:r>
      <w:proofErr w:type="gramEnd"/>
      <w:r w:rsidRPr="00C671F2">
        <w:rPr>
          <w:i/>
          <w:iCs/>
          <w:sz w:val="26"/>
          <w:szCs w:val="26"/>
        </w:rPr>
        <w:t xml:space="preserve"> </w:t>
      </w:r>
      <w:r w:rsidRPr="00C671F2">
        <w:rPr>
          <w:sz w:val="26"/>
          <w:szCs w:val="26"/>
        </w:rPr>
        <w:t>showing that all 1,073 were small business customers.</w:t>
      </w:r>
      <w:r>
        <w:rPr>
          <w:sz w:val="26"/>
          <w:szCs w:val="26"/>
        </w:rPr>
        <w:t xml:space="preserve"> </w:t>
      </w:r>
      <w:r w:rsidRPr="00C671F2">
        <w:rPr>
          <w:sz w:val="26"/>
          <w:szCs w:val="26"/>
        </w:rPr>
        <w:t xml:space="preserve"> </w:t>
      </w:r>
      <w:r>
        <w:rPr>
          <w:sz w:val="26"/>
          <w:szCs w:val="26"/>
        </w:rPr>
        <w:t>We further observe that, d</w:t>
      </w:r>
      <w:r w:rsidRPr="00C671F2">
        <w:rPr>
          <w:sz w:val="26"/>
          <w:szCs w:val="26"/>
        </w:rPr>
        <w:t>espite having a meaningful opportunity to do so, Blue Pilot failed to produce any record evidence, including any evidence of commercial customer peak loads, to successfully rebut this showing.</w:t>
      </w:r>
    </w:p>
    <w:p w:rsidR="00CB08FD" w:rsidRDefault="00CB08FD" w:rsidP="00CF34E5">
      <w:pPr>
        <w:kinsoku w:val="0"/>
        <w:overflowPunct w:val="0"/>
        <w:textAlignment w:val="baseline"/>
        <w:rPr>
          <w:sz w:val="26"/>
          <w:szCs w:val="26"/>
        </w:rPr>
      </w:pPr>
    </w:p>
    <w:p w:rsidR="00CF34E5" w:rsidRDefault="00CF34E5" w:rsidP="00CF34E5">
      <w:pPr>
        <w:kinsoku w:val="0"/>
        <w:overflowPunct w:val="0"/>
        <w:textAlignment w:val="baseline"/>
        <w:rPr>
          <w:spacing w:val="-1"/>
          <w:sz w:val="26"/>
          <w:szCs w:val="26"/>
        </w:rPr>
      </w:pPr>
      <w:r>
        <w:rPr>
          <w:spacing w:val="-1"/>
          <w:sz w:val="26"/>
          <w:szCs w:val="26"/>
        </w:rPr>
        <w:t xml:space="preserve">Based on the foregoing, Blue Pilot’s Exceptions </w:t>
      </w:r>
      <w:r w:rsidR="00AC6CE7">
        <w:rPr>
          <w:sz w:val="26"/>
          <w:szCs w:val="26"/>
        </w:rPr>
        <w:t xml:space="preserve">to </w:t>
      </w:r>
      <w:r w:rsidR="00AC6CE7" w:rsidRPr="003B6549">
        <w:rPr>
          <w:sz w:val="26"/>
          <w:szCs w:val="26"/>
        </w:rPr>
        <w:t xml:space="preserve">the </w:t>
      </w:r>
      <w:r w:rsidR="00AC6CE7">
        <w:rPr>
          <w:sz w:val="26"/>
          <w:szCs w:val="26"/>
        </w:rPr>
        <w:t>Initial Decision</w:t>
      </w:r>
      <w:r w:rsidR="00AC6CE7" w:rsidRPr="003B6549">
        <w:rPr>
          <w:sz w:val="26"/>
          <w:szCs w:val="26"/>
        </w:rPr>
        <w:t xml:space="preserve"> regarding Count </w:t>
      </w:r>
      <w:r w:rsidR="00AC6CE7">
        <w:rPr>
          <w:sz w:val="26"/>
          <w:szCs w:val="26"/>
        </w:rPr>
        <w:t xml:space="preserve">III (Misleading and Deceptive Promises of Savings) </w:t>
      </w:r>
      <w:r>
        <w:rPr>
          <w:spacing w:val="-1"/>
          <w:sz w:val="26"/>
          <w:szCs w:val="26"/>
        </w:rPr>
        <w:t>are denied.</w:t>
      </w:r>
    </w:p>
    <w:p w:rsidR="00BC3DB3" w:rsidRPr="00001309" w:rsidRDefault="00BC3DB3" w:rsidP="00D94695">
      <w:pPr>
        <w:autoSpaceDE w:val="0"/>
        <w:autoSpaceDN w:val="0"/>
        <w:ind w:firstLine="0"/>
        <w:rPr>
          <w:sz w:val="26"/>
          <w:szCs w:val="26"/>
        </w:rPr>
      </w:pPr>
    </w:p>
    <w:p w:rsidR="000A6A38" w:rsidRPr="00001309" w:rsidRDefault="00BC3DB3" w:rsidP="00CF34E5">
      <w:pPr>
        <w:keepNext/>
        <w:keepLines/>
        <w:autoSpaceDE w:val="0"/>
        <w:autoSpaceDN w:val="0"/>
        <w:ind w:left="1440" w:firstLine="0"/>
        <w:rPr>
          <w:sz w:val="26"/>
          <w:szCs w:val="26"/>
        </w:rPr>
      </w:pPr>
      <w:r w:rsidRPr="00001309">
        <w:rPr>
          <w:b/>
          <w:sz w:val="26"/>
          <w:szCs w:val="26"/>
        </w:rPr>
        <w:tab/>
      </w:r>
    </w:p>
    <w:p w:rsidR="00683656" w:rsidRPr="003D4A9D" w:rsidRDefault="003F31B5" w:rsidP="001812E2">
      <w:pPr>
        <w:pStyle w:val="Heading2"/>
        <w:spacing w:before="0"/>
        <w:ind w:firstLine="0"/>
        <w:rPr>
          <w:rFonts w:ascii="Times New Roman" w:hAnsi="Times New Roman" w:cs="Times New Roman"/>
          <w:b/>
          <w:color w:val="auto"/>
        </w:rPr>
      </w:pPr>
      <w:bookmarkStart w:id="31" w:name="_Toc517831040"/>
      <w:r w:rsidRPr="003D4A9D">
        <w:rPr>
          <w:rFonts w:ascii="Times New Roman" w:hAnsi="Times New Roman" w:cs="Times New Roman"/>
          <w:b/>
          <w:color w:val="auto"/>
        </w:rPr>
        <w:t>I</w:t>
      </w:r>
      <w:r w:rsidR="00683656" w:rsidRPr="003D4A9D">
        <w:rPr>
          <w:rFonts w:ascii="Times New Roman" w:hAnsi="Times New Roman" w:cs="Times New Roman"/>
          <w:b/>
          <w:color w:val="auto"/>
        </w:rPr>
        <w:t xml:space="preserve">. </w:t>
      </w:r>
      <w:r w:rsidR="00834CCA" w:rsidRPr="003D4A9D">
        <w:rPr>
          <w:rFonts w:ascii="Times New Roman" w:hAnsi="Times New Roman" w:cs="Times New Roman"/>
          <w:b/>
          <w:color w:val="auto"/>
        </w:rPr>
        <w:tab/>
      </w:r>
      <w:r w:rsidR="00683656" w:rsidRPr="003D4A9D">
        <w:rPr>
          <w:rFonts w:ascii="Times New Roman" w:hAnsi="Times New Roman" w:cs="Times New Roman"/>
          <w:b/>
          <w:color w:val="auto"/>
        </w:rPr>
        <w:t xml:space="preserve">Count IV– Lack of Good Faith </w:t>
      </w:r>
      <w:r w:rsidR="00474E36">
        <w:rPr>
          <w:rFonts w:ascii="Times New Roman" w:hAnsi="Times New Roman" w:cs="Times New Roman"/>
          <w:b/>
          <w:color w:val="auto"/>
        </w:rPr>
        <w:t xml:space="preserve">in </w:t>
      </w:r>
      <w:r w:rsidR="00683656" w:rsidRPr="003D4A9D">
        <w:rPr>
          <w:rFonts w:ascii="Times New Roman" w:hAnsi="Times New Roman" w:cs="Times New Roman"/>
          <w:b/>
          <w:color w:val="auto"/>
        </w:rPr>
        <w:t>Handling of Complaints</w:t>
      </w:r>
      <w:bookmarkEnd w:id="31"/>
    </w:p>
    <w:p w:rsidR="003F31B5" w:rsidRPr="00001309" w:rsidRDefault="003F31B5" w:rsidP="003F31B5">
      <w:pPr>
        <w:keepNext/>
        <w:keepLines/>
        <w:autoSpaceDE w:val="0"/>
        <w:autoSpaceDN w:val="0"/>
        <w:ind w:firstLine="720"/>
        <w:rPr>
          <w:b/>
          <w:sz w:val="26"/>
          <w:szCs w:val="26"/>
        </w:rPr>
      </w:pPr>
    </w:p>
    <w:p w:rsidR="005752D6" w:rsidRPr="00001309" w:rsidRDefault="00874553" w:rsidP="001812E2">
      <w:pPr>
        <w:keepNext/>
        <w:keepLines/>
        <w:autoSpaceDE w:val="0"/>
        <w:autoSpaceDN w:val="0"/>
        <w:ind w:firstLine="720"/>
        <w:rPr>
          <w:b/>
          <w:sz w:val="26"/>
          <w:szCs w:val="26"/>
        </w:rPr>
      </w:pPr>
      <w:r w:rsidRPr="00001309">
        <w:rPr>
          <w:b/>
          <w:sz w:val="26"/>
          <w:szCs w:val="26"/>
        </w:rPr>
        <w:t>1.</w:t>
      </w:r>
      <w:r w:rsidRPr="00001309">
        <w:rPr>
          <w:b/>
          <w:sz w:val="26"/>
          <w:szCs w:val="26"/>
        </w:rPr>
        <w:tab/>
      </w:r>
      <w:r w:rsidR="005752D6" w:rsidRPr="00001309">
        <w:rPr>
          <w:b/>
          <w:sz w:val="26"/>
          <w:szCs w:val="26"/>
        </w:rPr>
        <w:t xml:space="preserve">Positions of the Parties </w:t>
      </w:r>
    </w:p>
    <w:p w:rsidR="00874553" w:rsidRPr="00001309" w:rsidRDefault="00874553" w:rsidP="003F31B5">
      <w:pPr>
        <w:keepNext/>
        <w:keepLines/>
        <w:autoSpaceDE w:val="0"/>
        <w:autoSpaceDN w:val="0"/>
        <w:rPr>
          <w:sz w:val="26"/>
          <w:szCs w:val="26"/>
        </w:rPr>
      </w:pPr>
    </w:p>
    <w:p w:rsidR="005752D6" w:rsidRPr="00001309" w:rsidRDefault="00874553" w:rsidP="003F31B5">
      <w:pPr>
        <w:keepNext/>
        <w:keepLines/>
        <w:autoSpaceDE w:val="0"/>
        <w:autoSpaceDN w:val="0"/>
        <w:rPr>
          <w:b/>
          <w:sz w:val="26"/>
          <w:szCs w:val="26"/>
        </w:rPr>
      </w:pPr>
      <w:r w:rsidRPr="00001309">
        <w:rPr>
          <w:b/>
          <w:sz w:val="26"/>
          <w:szCs w:val="26"/>
        </w:rPr>
        <w:t>a.</w:t>
      </w:r>
      <w:r w:rsidR="006B7DCC" w:rsidRPr="00001309">
        <w:rPr>
          <w:b/>
          <w:sz w:val="26"/>
          <w:szCs w:val="26"/>
        </w:rPr>
        <w:tab/>
      </w:r>
      <w:r w:rsidR="00834CCA" w:rsidRPr="00001309">
        <w:rPr>
          <w:b/>
          <w:sz w:val="26"/>
          <w:szCs w:val="26"/>
        </w:rPr>
        <w:t>Joint Complainants</w:t>
      </w:r>
    </w:p>
    <w:p w:rsidR="006B7DCC" w:rsidRPr="00001309" w:rsidRDefault="006B7DCC" w:rsidP="003F31B5">
      <w:pPr>
        <w:keepNext/>
        <w:keepLines/>
        <w:autoSpaceDE w:val="0"/>
        <w:autoSpaceDN w:val="0"/>
        <w:adjustRightInd w:val="0"/>
        <w:rPr>
          <w:sz w:val="26"/>
          <w:szCs w:val="26"/>
        </w:rPr>
      </w:pPr>
    </w:p>
    <w:p w:rsidR="007D6A44" w:rsidRPr="00001309" w:rsidRDefault="008D34CA" w:rsidP="007D6A44">
      <w:pPr>
        <w:autoSpaceDE w:val="0"/>
        <w:autoSpaceDN w:val="0"/>
        <w:adjustRightInd w:val="0"/>
        <w:rPr>
          <w:sz w:val="26"/>
          <w:szCs w:val="26"/>
        </w:rPr>
      </w:pPr>
      <w:r>
        <w:rPr>
          <w:sz w:val="26"/>
          <w:szCs w:val="26"/>
        </w:rPr>
        <w:t xml:space="preserve">The </w:t>
      </w:r>
      <w:r w:rsidR="007D6A44" w:rsidRPr="00001309">
        <w:rPr>
          <w:sz w:val="26"/>
          <w:szCs w:val="26"/>
        </w:rPr>
        <w:t xml:space="preserve">Joint Complainants averred that Blue Pilot failed to adequately staff its call center, failed to provide reasonable access to Company representatives for purposes of submitting complaints, failed to properly investigate customer disputes, failed to properly notify customers of the results of the Company’s investigation into a dispute when such </w:t>
      </w:r>
      <w:r w:rsidR="007D6A44" w:rsidRPr="00001309">
        <w:rPr>
          <w:sz w:val="26"/>
          <w:szCs w:val="26"/>
        </w:rPr>
        <w:lastRenderedPageBreak/>
        <w:t>investigation was conducted, and failed to utilize good faith, honesty and fair dealing in its dealings with customers</w:t>
      </w:r>
      <w:r w:rsidR="00595686" w:rsidRPr="00001309">
        <w:rPr>
          <w:sz w:val="26"/>
          <w:szCs w:val="26"/>
        </w:rPr>
        <w:t>.  These failures were</w:t>
      </w:r>
      <w:r w:rsidR="007D6A44" w:rsidRPr="00001309">
        <w:rPr>
          <w:sz w:val="26"/>
          <w:szCs w:val="26"/>
        </w:rPr>
        <w:t xml:space="preserve"> in violation of the Commission’s </w:t>
      </w:r>
      <w:r w:rsidR="00595686" w:rsidRPr="00001309">
        <w:rPr>
          <w:sz w:val="26"/>
          <w:szCs w:val="26"/>
        </w:rPr>
        <w:t>R</w:t>
      </w:r>
      <w:r w:rsidR="007D6A44" w:rsidRPr="00001309">
        <w:rPr>
          <w:sz w:val="26"/>
          <w:szCs w:val="26"/>
        </w:rPr>
        <w:t>egulations, 52</w:t>
      </w:r>
      <w:r w:rsidR="00586CDD" w:rsidRPr="00001309">
        <w:rPr>
          <w:sz w:val="26"/>
          <w:szCs w:val="26"/>
        </w:rPr>
        <w:t> </w:t>
      </w:r>
      <w:r w:rsidR="007D6A44" w:rsidRPr="00001309">
        <w:rPr>
          <w:sz w:val="26"/>
          <w:szCs w:val="26"/>
        </w:rPr>
        <w:t>Pa.</w:t>
      </w:r>
      <w:r w:rsidR="006B7DCC" w:rsidRPr="00001309">
        <w:rPr>
          <w:sz w:val="26"/>
          <w:szCs w:val="26"/>
        </w:rPr>
        <w:t xml:space="preserve"> </w:t>
      </w:r>
      <w:r w:rsidR="007D6A44" w:rsidRPr="00001309">
        <w:rPr>
          <w:sz w:val="26"/>
          <w:szCs w:val="26"/>
        </w:rPr>
        <w:t xml:space="preserve">Code §§ 56.1(a), 56.141(a), 56.151 and 56.152, and the Company’s </w:t>
      </w:r>
      <w:r w:rsidR="007D6A44" w:rsidRPr="00001309">
        <w:rPr>
          <w:i/>
          <w:sz w:val="26"/>
          <w:szCs w:val="26"/>
        </w:rPr>
        <w:t>Licensing Order</w:t>
      </w:r>
      <w:r w:rsidR="007D6A44" w:rsidRPr="00001309">
        <w:rPr>
          <w:sz w:val="26"/>
          <w:szCs w:val="26"/>
        </w:rPr>
        <w:t>.</w:t>
      </w:r>
    </w:p>
    <w:p w:rsidR="007D6A44" w:rsidRPr="00001309" w:rsidRDefault="007D6A44" w:rsidP="007D6A44">
      <w:pPr>
        <w:autoSpaceDE w:val="0"/>
        <w:autoSpaceDN w:val="0"/>
        <w:adjustRightInd w:val="0"/>
        <w:rPr>
          <w:sz w:val="26"/>
          <w:szCs w:val="26"/>
        </w:rPr>
      </w:pPr>
    </w:p>
    <w:p w:rsidR="007D6A44" w:rsidRPr="00001309" w:rsidRDefault="00874553" w:rsidP="00874553">
      <w:pPr>
        <w:keepNext/>
        <w:keepLines/>
        <w:autoSpaceDE w:val="0"/>
        <w:autoSpaceDN w:val="0"/>
        <w:adjustRightInd w:val="0"/>
        <w:rPr>
          <w:b/>
          <w:sz w:val="26"/>
          <w:szCs w:val="26"/>
        </w:rPr>
      </w:pPr>
      <w:r w:rsidRPr="00001309">
        <w:rPr>
          <w:b/>
          <w:sz w:val="26"/>
          <w:szCs w:val="26"/>
        </w:rPr>
        <w:t>b.</w:t>
      </w:r>
      <w:r w:rsidR="006B7DCC" w:rsidRPr="00001309">
        <w:rPr>
          <w:b/>
          <w:sz w:val="26"/>
          <w:szCs w:val="26"/>
        </w:rPr>
        <w:tab/>
      </w:r>
      <w:r w:rsidR="007D6A44" w:rsidRPr="00001309">
        <w:rPr>
          <w:b/>
          <w:sz w:val="26"/>
          <w:szCs w:val="26"/>
        </w:rPr>
        <w:t>Blue Pilot</w:t>
      </w:r>
    </w:p>
    <w:p w:rsidR="006B7DCC" w:rsidRPr="00001309" w:rsidRDefault="006B7DCC" w:rsidP="00874553">
      <w:pPr>
        <w:keepNext/>
        <w:keepLines/>
        <w:autoSpaceDE w:val="0"/>
        <w:autoSpaceDN w:val="0"/>
        <w:rPr>
          <w:sz w:val="26"/>
          <w:szCs w:val="26"/>
        </w:rPr>
      </w:pPr>
    </w:p>
    <w:p w:rsidR="00834CCA" w:rsidRPr="00001309" w:rsidRDefault="007D6A44" w:rsidP="007D6A44">
      <w:pPr>
        <w:autoSpaceDE w:val="0"/>
        <w:autoSpaceDN w:val="0"/>
        <w:rPr>
          <w:sz w:val="26"/>
          <w:szCs w:val="26"/>
        </w:rPr>
      </w:pPr>
      <w:r w:rsidRPr="00001309">
        <w:rPr>
          <w:sz w:val="26"/>
          <w:szCs w:val="26"/>
        </w:rPr>
        <w:t>Blue Pilot</w:t>
      </w:r>
      <w:r w:rsidR="00BE650B" w:rsidRPr="00001309">
        <w:rPr>
          <w:sz w:val="26"/>
          <w:szCs w:val="26"/>
        </w:rPr>
        <w:t>’s</w:t>
      </w:r>
      <w:r w:rsidRPr="00001309">
        <w:rPr>
          <w:sz w:val="26"/>
          <w:szCs w:val="26"/>
        </w:rPr>
        <w:t xml:space="preserve"> respon</w:t>
      </w:r>
      <w:r w:rsidR="00BF0AE2" w:rsidRPr="00001309">
        <w:rPr>
          <w:sz w:val="26"/>
          <w:szCs w:val="26"/>
        </w:rPr>
        <w:t>se</w:t>
      </w:r>
      <w:r w:rsidRPr="00001309">
        <w:rPr>
          <w:sz w:val="26"/>
          <w:szCs w:val="26"/>
        </w:rPr>
        <w:t xml:space="preserve"> </w:t>
      </w:r>
      <w:r w:rsidR="00BF0AE2" w:rsidRPr="00001309">
        <w:rPr>
          <w:sz w:val="26"/>
          <w:szCs w:val="26"/>
        </w:rPr>
        <w:t xml:space="preserve">to the allegations was, </w:t>
      </w:r>
      <w:r w:rsidR="00BF0AE2" w:rsidRPr="00001309">
        <w:rPr>
          <w:i/>
          <w:sz w:val="26"/>
          <w:szCs w:val="26"/>
        </w:rPr>
        <w:t>inter alia</w:t>
      </w:r>
      <w:r w:rsidR="00BF0AE2" w:rsidRPr="00001309">
        <w:rPr>
          <w:sz w:val="26"/>
          <w:szCs w:val="26"/>
        </w:rPr>
        <w:t xml:space="preserve">, </w:t>
      </w:r>
      <w:r w:rsidRPr="00001309">
        <w:rPr>
          <w:sz w:val="26"/>
          <w:szCs w:val="26"/>
        </w:rPr>
        <w:t xml:space="preserve">that there is no regulatory requirement to staff a call center to handle consumer complaints.  Blue Pilot argued that Chapter 56, 52 Pa. Code §§ 56.1, </w:t>
      </w:r>
      <w:r w:rsidRPr="00001309">
        <w:rPr>
          <w:i/>
          <w:sz w:val="26"/>
          <w:szCs w:val="26"/>
        </w:rPr>
        <w:t>et seq.</w:t>
      </w:r>
      <w:r w:rsidRPr="00001309">
        <w:rPr>
          <w:sz w:val="26"/>
          <w:szCs w:val="26"/>
        </w:rPr>
        <w:t>, does not establish specific standards that must be followed by EGSs.</w:t>
      </w:r>
    </w:p>
    <w:p w:rsidR="00834CCA" w:rsidRPr="00001309" w:rsidRDefault="00834CCA" w:rsidP="005752D6">
      <w:pPr>
        <w:autoSpaceDE w:val="0"/>
        <w:autoSpaceDN w:val="0"/>
        <w:rPr>
          <w:sz w:val="26"/>
          <w:szCs w:val="26"/>
        </w:rPr>
      </w:pPr>
    </w:p>
    <w:p w:rsidR="005752D6" w:rsidRPr="00001309" w:rsidRDefault="00423252" w:rsidP="001812E2">
      <w:pPr>
        <w:keepNext/>
        <w:keepLines/>
        <w:autoSpaceDE w:val="0"/>
        <w:autoSpaceDN w:val="0"/>
        <w:ind w:firstLine="720"/>
        <w:rPr>
          <w:b/>
          <w:sz w:val="26"/>
          <w:szCs w:val="26"/>
        </w:rPr>
      </w:pPr>
      <w:r w:rsidRPr="00001309">
        <w:rPr>
          <w:b/>
          <w:sz w:val="26"/>
          <w:szCs w:val="26"/>
        </w:rPr>
        <w:t>2</w:t>
      </w:r>
      <w:r w:rsidR="00874553" w:rsidRPr="00001309">
        <w:rPr>
          <w:b/>
          <w:sz w:val="26"/>
          <w:szCs w:val="26"/>
        </w:rPr>
        <w:t>.</w:t>
      </w:r>
      <w:r w:rsidR="00874553" w:rsidRPr="00001309">
        <w:rPr>
          <w:b/>
          <w:sz w:val="26"/>
          <w:szCs w:val="26"/>
        </w:rPr>
        <w:tab/>
      </w:r>
      <w:r w:rsidR="005752D6" w:rsidRPr="00001309">
        <w:rPr>
          <w:b/>
          <w:sz w:val="26"/>
          <w:szCs w:val="26"/>
        </w:rPr>
        <w:t>ALJs’ Recommendations</w:t>
      </w:r>
    </w:p>
    <w:p w:rsidR="0080458C" w:rsidRPr="00001309" w:rsidRDefault="0080458C" w:rsidP="00874553">
      <w:pPr>
        <w:keepNext/>
        <w:keepLines/>
        <w:autoSpaceDE w:val="0"/>
        <w:autoSpaceDN w:val="0"/>
        <w:rPr>
          <w:sz w:val="26"/>
          <w:szCs w:val="26"/>
        </w:rPr>
      </w:pPr>
    </w:p>
    <w:p w:rsidR="0011404E" w:rsidRPr="00001309" w:rsidRDefault="000C1FA0" w:rsidP="005752D6">
      <w:pPr>
        <w:autoSpaceDE w:val="0"/>
        <w:autoSpaceDN w:val="0"/>
        <w:rPr>
          <w:sz w:val="26"/>
          <w:szCs w:val="26"/>
        </w:rPr>
      </w:pPr>
      <w:r w:rsidRPr="00001309">
        <w:rPr>
          <w:sz w:val="26"/>
          <w:szCs w:val="26"/>
        </w:rPr>
        <w:t xml:space="preserve">On consideration of the positions of the Parties, the ALJs concluded, </w:t>
      </w:r>
      <w:r w:rsidRPr="00001309">
        <w:rPr>
          <w:i/>
          <w:sz w:val="26"/>
          <w:szCs w:val="26"/>
        </w:rPr>
        <w:t>inter alia</w:t>
      </w:r>
      <w:r w:rsidRPr="00001309">
        <w:rPr>
          <w:sz w:val="26"/>
          <w:szCs w:val="26"/>
        </w:rPr>
        <w:t xml:space="preserve">, that </w:t>
      </w:r>
      <w:r w:rsidR="0011404E" w:rsidRPr="00001309">
        <w:rPr>
          <w:sz w:val="26"/>
          <w:szCs w:val="26"/>
        </w:rPr>
        <w:t xml:space="preserve">under the terms and conditions of its </w:t>
      </w:r>
      <w:r w:rsidR="0011404E" w:rsidRPr="00001309">
        <w:rPr>
          <w:i/>
          <w:sz w:val="26"/>
          <w:szCs w:val="26"/>
        </w:rPr>
        <w:t>Licensing Order</w:t>
      </w:r>
      <w:r w:rsidR="0011404E" w:rsidRPr="00001309">
        <w:rPr>
          <w:sz w:val="26"/>
          <w:szCs w:val="26"/>
        </w:rPr>
        <w:t>, Blue Pilot was under an obligation to comply with certain provisions (applicable to residential customers) concerning good faith, honesty, and fair dealing with residential customers.  I.D. at 93, citing 52 Pa. Code § 56.1(a).</w:t>
      </w:r>
    </w:p>
    <w:p w:rsidR="0011404E" w:rsidRPr="00001309" w:rsidRDefault="0011404E" w:rsidP="005752D6">
      <w:pPr>
        <w:autoSpaceDE w:val="0"/>
        <w:autoSpaceDN w:val="0"/>
        <w:rPr>
          <w:sz w:val="26"/>
          <w:szCs w:val="26"/>
        </w:rPr>
      </w:pPr>
    </w:p>
    <w:p w:rsidR="006E6510" w:rsidRPr="00001309" w:rsidRDefault="0019351E" w:rsidP="00D94695">
      <w:pPr>
        <w:autoSpaceDE w:val="0"/>
        <w:autoSpaceDN w:val="0"/>
        <w:rPr>
          <w:sz w:val="26"/>
          <w:szCs w:val="26"/>
        </w:rPr>
      </w:pPr>
      <w:r w:rsidRPr="00001309">
        <w:rPr>
          <w:sz w:val="26"/>
          <w:szCs w:val="26"/>
        </w:rPr>
        <w:t xml:space="preserve">The ALJs cited to the </w:t>
      </w:r>
      <w:r w:rsidR="006E6510" w:rsidRPr="00001309">
        <w:rPr>
          <w:sz w:val="26"/>
          <w:szCs w:val="26"/>
        </w:rPr>
        <w:t xml:space="preserve">Commission Regulations at </w:t>
      </w:r>
      <w:r w:rsidR="00D94695" w:rsidRPr="00001309">
        <w:rPr>
          <w:sz w:val="26"/>
          <w:szCs w:val="26"/>
        </w:rPr>
        <w:t>52 Pa. Code § 111.13(a), (b)</w:t>
      </w:r>
      <w:r w:rsidRPr="00001309">
        <w:rPr>
          <w:sz w:val="26"/>
          <w:szCs w:val="26"/>
        </w:rPr>
        <w:t xml:space="preserve"> that </w:t>
      </w:r>
      <w:r w:rsidR="006E6510" w:rsidRPr="00001309">
        <w:rPr>
          <w:sz w:val="26"/>
          <w:szCs w:val="26"/>
        </w:rPr>
        <w:t>specifically pertain to EGS service:</w:t>
      </w:r>
    </w:p>
    <w:p w:rsidR="00874553" w:rsidRPr="00001309" w:rsidRDefault="00874553" w:rsidP="00D94695">
      <w:pPr>
        <w:autoSpaceDE w:val="0"/>
        <w:autoSpaceDN w:val="0"/>
        <w:rPr>
          <w:sz w:val="26"/>
          <w:szCs w:val="26"/>
        </w:rPr>
      </w:pPr>
    </w:p>
    <w:p w:rsidR="006E6510" w:rsidRPr="00001309" w:rsidRDefault="006E6510" w:rsidP="00070E2C">
      <w:pPr>
        <w:autoSpaceDE w:val="0"/>
        <w:autoSpaceDN w:val="0"/>
        <w:adjustRightInd w:val="0"/>
        <w:spacing w:line="240" w:lineRule="auto"/>
        <w:ind w:left="1440" w:right="1440" w:firstLine="720"/>
        <w:rPr>
          <w:sz w:val="26"/>
          <w:szCs w:val="26"/>
        </w:rPr>
      </w:pPr>
      <w:r w:rsidRPr="00001309">
        <w:rPr>
          <w:sz w:val="26"/>
          <w:szCs w:val="26"/>
        </w:rPr>
        <w:t xml:space="preserve">Additionally, the Commission promulgated similar requirements for suppliers in handling residential customer complaints. </w:t>
      </w:r>
      <w:r w:rsidR="0019351E" w:rsidRPr="00001309">
        <w:rPr>
          <w:sz w:val="26"/>
          <w:szCs w:val="26"/>
        </w:rPr>
        <w:t xml:space="preserve"> </w:t>
      </w:r>
      <w:r w:rsidRPr="00001309">
        <w:rPr>
          <w:sz w:val="26"/>
          <w:szCs w:val="26"/>
        </w:rPr>
        <w:t>52 Pa.</w:t>
      </w:r>
      <w:r w:rsidR="00044C1C" w:rsidRPr="00001309">
        <w:rPr>
          <w:sz w:val="26"/>
          <w:szCs w:val="26"/>
        </w:rPr>
        <w:t xml:space="preserve"> </w:t>
      </w:r>
      <w:r w:rsidRPr="00001309">
        <w:rPr>
          <w:sz w:val="26"/>
          <w:szCs w:val="26"/>
        </w:rPr>
        <w:t xml:space="preserve">Code § 111.13. </w:t>
      </w:r>
      <w:r w:rsidR="0019351E" w:rsidRPr="00001309">
        <w:rPr>
          <w:sz w:val="26"/>
          <w:szCs w:val="26"/>
        </w:rPr>
        <w:t xml:space="preserve"> </w:t>
      </w:r>
      <w:r w:rsidRPr="00001309">
        <w:rPr>
          <w:sz w:val="26"/>
          <w:szCs w:val="26"/>
        </w:rPr>
        <w:t>Specifically, Section 111.13 provides that:</w:t>
      </w:r>
    </w:p>
    <w:p w:rsidR="00070E2C" w:rsidRPr="00001309" w:rsidRDefault="00070E2C" w:rsidP="006E6510">
      <w:pPr>
        <w:autoSpaceDE w:val="0"/>
        <w:autoSpaceDN w:val="0"/>
        <w:adjustRightInd w:val="0"/>
        <w:spacing w:line="240" w:lineRule="auto"/>
        <w:ind w:left="1440" w:right="1440" w:firstLine="0"/>
        <w:rPr>
          <w:sz w:val="26"/>
          <w:szCs w:val="26"/>
        </w:rPr>
      </w:pPr>
    </w:p>
    <w:p w:rsidR="006E6510" w:rsidRPr="00001309" w:rsidRDefault="006E6510" w:rsidP="00070E2C">
      <w:pPr>
        <w:autoSpaceDE w:val="0"/>
        <w:autoSpaceDN w:val="0"/>
        <w:adjustRightInd w:val="0"/>
        <w:spacing w:line="240" w:lineRule="auto"/>
        <w:ind w:left="2160" w:right="1440" w:firstLine="720"/>
        <w:rPr>
          <w:sz w:val="26"/>
          <w:szCs w:val="26"/>
        </w:rPr>
      </w:pPr>
      <w:r w:rsidRPr="00001309">
        <w:rPr>
          <w:sz w:val="26"/>
          <w:szCs w:val="26"/>
        </w:rPr>
        <w:t xml:space="preserve">(a) A supplier shall investigate customer inquiries, disputes and complaints concerning marketing or sales practices. </w:t>
      </w:r>
      <w:r w:rsidR="0019351E" w:rsidRPr="00001309">
        <w:rPr>
          <w:sz w:val="26"/>
          <w:szCs w:val="26"/>
        </w:rPr>
        <w:t xml:space="preserve"> </w:t>
      </w:r>
      <w:r w:rsidRPr="00001309">
        <w:rPr>
          <w:sz w:val="26"/>
          <w:szCs w:val="26"/>
        </w:rPr>
        <w:t xml:space="preserve">The supplier shall cooperate with the Commission and other government agencies that are investigating complaints about marketing or sales </w:t>
      </w:r>
      <w:r w:rsidRPr="00001309">
        <w:rPr>
          <w:sz w:val="26"/>
          <w:szCs w:val="26"/>
        </w:rPr>
        <w:lastRenderedPageBreak/>
        <w:t>practices prohibited by State and Federal laws and with local law enforcement officials that are investigating complaints about violations of local municipal law.</w:t>
      </w:r>
    </w:p>
    <w:p w:rsidR="00070E2C" w:rsidRPr="00001309" w:rsidRDefault="00070E2C" w:rsidP="006E6510">
      <w:pPr>
        <w:autoSpaceDE w:val="0"/>
        <w:autoSpaceDN w:val="0"/>
        <w:adjustRightInd w:val="0"/>
        <w:spacing w:line="240" w:lineRule="auto"/>
        <w:ind w:left="1440" w:right="1440" w:firstLine="0"/>
        <w:rPr>
          <w:sz w:val="26"/>
          <w:szCs w:val="26"/>
        </w:rPr>
      </w:pPr>
    </w:p>
    <w:p w:rsidR="00D50798" w:rsidRPr="00001309" w:rsidRDefault="006E6510" w:rsidP="00070E2C">
      <w:pPr>
        <w:autoSpaceDE w:val="0"/>
        <w:autoSpaceDN w:val="0"/>
        <w:adjustRightInd w:val="0"/>
        <w:spacing w:line="240" w:lineRule="auto"/>
        <w:ind w:left="2160" w:right="1440" w:firstLine="720"/>
        <w:rPr>
          <w:sz w:val="26"/>
          <w:szCs w:val="26"/>
        </w:rPr>
      </w:pPr>
      <w:r w:rsidRPr="00001309">
        <w:rPr>
          <w:sz w:val="26"/>
          <w:szCs w:val="26"/>
        </w:rPr>
        <w:t xml:space="preserve">(b) A supplier shall implement an internal process for responding to and resolving customer inquiries, disputes and complaints. </w:t>
      </w:r>
      <w:r w:rsidR="0019351E" w:rsidRPr="00001309">
        <w:rPr>
          <w:sz w:val="26"/>
          <w:szCs w:val="26"/>
        </w:rPr>
        <w:t xml:space="preserve"> </w:t>
      </w:r>
      <w:r w:rsidRPr="00001309">
        <w:rPr>
          <w:sz w:val="26"/>
          <w:szCs w:val="26"/>
        </w:rPr>
        <w:t xml:space="preserve">The process shall document as a record the customer inquiry, dispute or complaint, subsequent communications between the supplier and the customer, and the resolution of the inquiry, dispute or complaint. </w:t>
      </w:r>
      <w:r w:rsidR="0019351E" w:rsidRPr="00001309">
        <w:rPr>
          <w:sz w:val="26"/>
          <w:szCs w:val="26"/>
        </w:rPr>
        <w:t xml:space="preserve"> </w:t>
      </w:r>
      <w:r w:rsidRPr="00001309">
        <w:rPr>
          <w:sz w:val="26"/>
          <w:szCs w:val="26"/>
        </w:rPr>
        <w:t xml:space="preserve">A supplier shall retain the record for </w:t>
      </w:r>
      <w:proofErr w:type="gramStart"/>
      <w:r w:rsidRPr="00001309">
        <w:rPr>
          <w:sz w:val="26"/>
          <w:szCs w:val="26"/>
        </w:rPr>
        <w:t>a time period</w:t>
      </w:r>
      <w:proofErr w:type="gramEnd"/>
      <w:r w:rsidRPr="00001309">
        <w:rPr>
          <w:sz w:val="26"/>
          <w:szCs w:val="26"/>
        </w:rPr>
        <w:t xml:space="preserve"> equivalent to six billing cycles in a system capable of retrieving that record by customer </w:t>
      </w:r>
    </w:p>
    <w:p w:rsidR="006E6510" w:rsidRDefault="006E6510" w:rsidP="00D50798">
      <w:pPr>
        <w:keepNext/>
        <w:keepLines/>
        <w:autoSpaceDE w:val="0"/>
        <w:autoSpaceDN w:val="0"/>
        <w:adjustRightInd w:val="0"/>
        <w:spacing w:line="240" w:lineRule="auto"/>
        <w:ind w:left="2160" w:right="1440" w:firstLine="0"/>
        <w:rPr>
          <w:sz w:val="26"/>
          <w:szCs w:val="26"/>
        </w:rPr>
      </w:pPr>
      <w:r w:rsidRPr="00001309">
        <w:rPr>
          <w:sz w:val="26"/>
          <w:szCs w:val="26"/>
        </w:rPr>
        <w:t>name and account number or by other effective means to obtain access to the information.</w:t>
      </w:r>
    </w:p>
    <w:p w:rsidR="00B72E7B" w:rsidRDefault="00B72E7B" w:rsidP="00D50798">
      <w:pPr>
        <w:keepNext/>
        <w:keepLines/>
        <w:autoSpaceDE w:val="0"/>
        <w:autoSpaceDN w:val="0"/>
        <w:adjustRightInd w:val="0"/>
        <w:spacing w:line="240" w:lineRule="auto"/>
        <w:ind w:left="2160" w:right="1440" w:firstLine="0"/>
        <w:rPr>
          <w:sz w:val="26"/>
          <w:szCs w:val="26"/>
        </w:rPr>
      </w:pPr>
    </w:p>
    <w:p w:rsidR="00B72E7B" w:rsidRPr="00001309" w:rsidRDefault="00B72E7B" w:rsidP="00D50798">
      <w:pPr>
        <w:keepNext/>
        <w:keepLines/>
        <w:autoSpaceDE w:val="0"/>
        <w:autoSpaceDN w:val="0"/>
        <w:adjustRightInd w:val="0"/>
        <w:spacing w:line="240" w:lineRule="auto"/>
        <w:ind w:left="2160" w:right="1440" w:firstLine="0"/>
        <w:rPr>
          <w:sz w:val="26"/>
          <w:szCs w:val="26"/>
        </w:rPr>
      </w:pPr>
    </w:p>
    <w:p w:rsidR="005752D6" w:rsidRPr="00001309" w:rsidRDefault="006E6510" w:rsidP="00D50798">
      <w:pPr>
        <w:keepNext/>
        <w:keepLines/>
        <w:autoSpaceDE w:val="0"/>
        <w:autoSpaceDN w:val="0"/>
        <w:spacing w:line="240" w:lineRule="auto"/>
        <w:ind w:firstLine="720"/>
        <w:rPr>
          <w:sz w:val="26"/>
          <w:szCs w:val="26"/>
        </w:rPr>
      </w:pPr>
      <w:r w:rsidRPr="00001309">
        <w:rPr>
          <w:sz w:val="26"/>
          <w:szCs w:val="26"/>
        </w:rPr>
        <w:t>52 Pa.</w:t>
      </w:r>
      <w:r w:rsidR="003D0A9D" w:rsidRPr="00001309">
        <w:rPr>
          <w:sz w:val="26"/>
          <w:szCs w:val="26"/>
        </w:rPr>
        <w:t xml:space="preserve"> </w:t>
      </w:r>
      <w:r w:rsidRPr="00001309">
        <w:rPr>
          <w:sz w:val="26"/>
          <w:szCs w:val="26"/>
        </w:rPr>
        <w:t>Code § 111.13(a), (b).</w:t>
      </w:r>
    </w:p>
    <w:p w:rsidR="00874553" w:rsidRPr="00001309" w:rsidRDefault="00874553" w:rsidP="00D50798">
      <w:pPr>
        <w:keepNext/>
        <w:keepLines/>
        <w:autoSpaceDE w:val="0"/>
        <w:autoSpaceDN w:val="0"/>
        <w:spacing w:line="240" w:lineRule="auto"/>
        <w:ind w:firstLine="720"/>
        <w:rPr>
          <w:sz w:val="26"/>
          <w:szCs w:val="26"/>
        </w:rPr>
      </w:pPr>
    </w:p>
    <w:p w:rsidR="00874553" w:rsidRPr="00001309" w:rsidRDefault="00874553" w:rsidP="00D50798">
      <w:pPr>
        <w:keepNext/>
        <w:keepLines/>
        <w:autoSpaceDE w:val="0"/>
        <w:autoSpaceDN w:val="0"/>
        <w:spacing w:line="240" w:lineRule="auto"/>
        <w:ind w:firstLine="720"/>
        <w:rPr>
          <w:sz w:val="26"/>
          <w:szCs w:val="26"/>
        </w:rPr>
      </w:pPr>
    </w:p>
    <w:p w:rsidR="000C1FA0" w:rsidRPr="00001309" w:rsidRDefault="00070E2C" w:rsidP="00070E2C">
      <w:pPr>
        <w:autoSpaceDE w:val="0"/>
        <w:autoSpaceDN w:val="0"/>
        <w:ind w:firstLine="0"/>
        <w:rPr>
          <w:sz w:val="26"/>
          <w:szCs w:val="26"/>
        </w:rPr>
      </w:pPr>
      <w:r w:rsidRPr="00001309">
        <w:rPr>
          <w:sz w:val="26"/>
          <w:szCs w:val="26"/>
        </w:rPr>
        <w:t>I.D. at 95.</w:t>
      </w:r>
    </w:p>
    <w:p w:rsidR="00874553" w:rsidRPr="00001309" w:rsidRDefault="00874553" w:rsidP="00070E2C">
      <w:pPr>
        <w:autoSpaceDE w:val="0"/>
        <w:autoSpaceDN w:val="0"/>
        <w:ind w:firstLine="0"/>
        <w:rPr>
          <w:sz w:val="26"/>
          <w:szCs w:val="26"/>
        </w:rPr>
      </w:pPr>
    </w:p>
    <w:p w:rsidR="00070E2C" w:rsidRPr="00001309" w:rsidRDefault="00070E2C" w:rsidP="00070E2C">
      <w:pPr>
        <w:autoSpaceDE w:val="0"/>
        <w:autoSpaceDN w:val="0"/>
        <w:adjustRightInd w:val="0"/>
        <w:spacing w:line="240" w:lineRule="auto"/>
        <w:rPr>
          <w:sz w:val="26"/>
          <w:szCs w:val="26"/>
        </w:rPr>
      </w:pPr>
      <w:r w:rsidRPr="00001309">
        <w:rPr>
          <w:sz w:val="26"/>
          <w:szCs w:val="26"/>
        </w:rPr>
        <w:t>Based on the foregoing, the ALJs concluded as follows:</w:t>
      </w:r>
    </w:p>
    <w:p w:rsidR="00070E2C" w:rsidRPr="00001309" w:rsidRDefault="00070E2C" w:rsidP="00070E2C">
      <w:pPr>
        <w:autoSpaceDE w:val="0"/>
        <w:autoSpaceDN w:val="0"/>
        <w:adjustRightInd w:val="0"/>
        <w:spacing w:line="240" w:lineRule="auto"/>
        <w:rPr>
          <w:sz w:val="26"/>
          <w:szCs w:val="26"/>
        </w:rPr>
      </w:pPr>
    </w:p>
    <w:p w:rsidR="000C1FA0" w:rsidRPr="00001309" w:rsidRDefault="000C1FA0" w:rsidP="000C1FA0">
      <w:pPr>
        <w:autoSpaceDE w:val="0"/>
        <w:autoSpaceDN w:val="0"/>
        <w:adjustRightInd w:val="0"/>
        <w:spacing w:line="240" w:lineRule="auto"/>
        <w:ind w:left="1440" w:right="1440" w:firstLine="720"/>
        <w:rPr>
          <w:sz w:val="26"/>
          <w:szCs w:val="26"/>
        </w:rPr>
      </w:pPr>
      <w:r w:rsidRPr="00001309">
        <w:rPr>
          <w:sz w:val="26"/>
          <w:szCs w:val="26"/>
        </w:rPr>
        <w:t>We are persuaded to find that during the time period from February 2014 through May 2014, Blue Pilot failed to adequately staff its call center, failed to provide reasonable access to Company representatives for purposes of submitting complaints, failed to properly investigate customer disputes, failed to properly notify customers of the results of the Company’s investigation into a dispute when such investigation was conducted, and failed to utilize good faith, honesty and fair dealing in its dealings with customers in violation of the Commission’s regulations, 52 Pa.Code §§ 56.1(a), 56.141(a), 56.151, 56.152, 111.13(a) and (b) and the Company’s Licensing Order.</w:t>
      </w:r>
    </w:p>
    <w:p w:rsidR="000C1FA0" w:rsidRPr="00001309" w:rsidRDefault="000C1FA0" w:rsidP="000C1FA0">
      <w:pPr>
        <w:autoSpaceDE w:val="0"/>
        <w:autoSpaceDN w:val="0"/>
        <w:spacing w:line="240" w:lineRule="auto"/>
        <w:ind w:left="1440" w:right="1440" w:firstLine="0"/>
        <w:rPr>
          <w:sz w:val="26"/>
          <w:szCs w:val="26"/>
        </w:rPr>
      </w:pPr>
    </w:p>
    <w:p w:rsidR="00D50798" w:rsidRPr="00001309" w:rsidRDefault="000C1FA0" w:rsidP="000C1FA0">
      <w:pPr>
        <w:autoSpaceDE w:val="0"/>
        <w:autoSpaceDN w:val="0"/>
        <w:spacing w:line="240" w:lineRule="auto"/>
        <w:ind w:left="1440" w:right="1440" w:firstLine="720"/>
        <w:rPr>
          <w:sz w:val="26"/>
          <w:szCs w:val="26"/>
        </w:rPr>
      </w:pPr>
      <w:r w:rsidRPr="00001309">
        <w:rPr>
          <w:sz w:val="26"/>
          <w:szCs w:val="26"/>
        </w:rPr>
        <w:t xml:space="preserve">A review of the exhibits attached to Ms. Alexander’s written testimony shows Blue Pilot’s sales scripts, marketing materials, and Welcome Letter emphasized Blue Pilot’s quality customer service. OAG/OCA St. 1 at 5, 28. Blue Pilot’s sales </w:t>
      </w:r>
      <w:r w:rsidRPr="00001309">
        <w:rPr>
          <w:sz w:val="26"/>
          <w:szCs w:val="26"/>
        </w:rPr>
        <w:lastRenderedPageBreak/>
        <w:t xml:space="preserve">agents emphasized that there was “no contract” involved in enrolling with Blue Pilot, which led customers to believe that </w:t>
      </w:r>
    </w:p>
    <w:p w:rsidR="000C1FA0" w:rsidRPr="00001309" w:rsidRDefault="000C1FA0" w:rsidP="00D50798">
      <w:pPr>
        <w:keepNext/>
        <w:keepLines/>
        <w:autoSpaceDE w:val="0"/>
        <w:autoSpaceDN w:val="0"/>
        <w:spacing w:line="240" w:lineRule="auto"/>
        <w:ind w:left="1440" w:right="1440" w:firstLine="0"/>
        <w:rPr>
          <w:sz w:val="26"/>
          <w:szCs w:val="26"/>
        </w:rPr>
      </w:pPr>
      <w:r w:rsidRPr="00001309">
        <w:rPr>
          <w:sz w:val="26"/>
          <w:szCs w:val="26"/>
        </w:rPr>
        <w:t>they could immediately leave Blue Pilot if they were not happy or if their price increased. See OAG/OCA St. 1 at 33-41.</w:t>
      </w:r>
    </w:p>
    <w:p w:rsidR="00D50798" w:rsidRPr="00001309" w:rsidRDefault="00D50798" w:rsidP="00D50798">
      <w:pPr>
        <w:keepNext/>
        <w:keepLines/>
        <w:autoSpaceDE w:val="0"/>
        <w:autoSpaceDN w:val="0"/>
        <w:spacing w:line="240" w:lineRule="auto"/>
        <w:ind w:left="1440" w:right="1440" w:firstLine="720"/>
        <w:rPr>
          <w:sz w:val="26"/>
          <w:szCs w:val="26"/>
        </w:rPr>
      </w:pPr>
    </w:p>
    <w:p w:rsidR="00D50798" w:rsidRPr="00001309" w:rsidRDefault="00D50798" w:rsidP="00D50798">
      <w:pPr>
        <w:keepNext/>
        <w:keepLines/>
        <w:autoSpaceDE w:val="0"/>
        <w:autoSpaceDN w:val="0"/>
        <w:spacing w:line="240" w:lineRule="auto"/>
        <w:ind w:left="1440" w:right="1440" w:firstLine="720"/>
        <w:rPr>
          <w:sz w:val="26"/>
          <w:szCs w:val="26"/>
        </w:rPr>
      </w:pPr>
    </w:p>
    <w:p w:rsidR="000C1FA0" w:rsidRPr="00001309" w:rsidRDefault="000C1FA0" w:rsidP="000C1FA0">
      <w:pPr>
        <w:autoSpaceDE w:val="0"/>
        <w:autoSpaceDN w:val="0"/>
        <w:ind w:firstLine="0"/>
        <w:rPr>
          <w:sz w:val="26"/>
          <w:szCs w:val="26"/>
        </w:rPr>
      </w:pPr>
      <w:r w:rsidRPr="00001309">
        <w:rPr>
          <w:sz w:val="26"/>
          <w:szCs w:val="26"/>
        </w:rPr>
        <w:t>I.D. at 96</w:t>
      </w:r>
      <w:r w:rsidR="00070E2C" w:rsidRPr="00001309">
        <w:rPr>
          <w:sz w:val="26"/>
          <w:szCs w:val="26"/>
        </w:rPr>
        <w:t xml:space="preserve">; </w:t>
      </w:r>
      <w:r w:rsidR="00070E2C" w:rsidRPr="00001309">
        <w:rPr>
          <w:i/>
          <w:sz w:val="26"/>
          <w:szCs w:val="26"/>
        </w:rPr>
        <w:t>also</w:t>
      </w:r>
      <w:r w:rsidR="00070E2C" w:rsidRPr="00001309">
        <w:rPr>
          <w:sz w:val="26"/>
          <w:szCs w:val="26"/>
        </w:rPr>
        <w:t>:</w:t>
      </w:r>
    </w:p>
    <w:p w:rsidR="00070E2C" w:rsidRPr="00001309" w:rsidRDefault="00070E2C" w:rsidP="000C1FA0">
      <w:pPr>
        <w:autoSpaceDE w:val="0"/>
        <w:autoSpaceDN w:val="0"/>
        <w:ind w:firstLine="0"/>
        <w:rPr>
          <w:sz w:val="26"/>
          <w:szCs w:val="26"/>
        </w:rPr>
      </w:pPr>
    </w:p>
    <w:p w:rsidR="00AD251B" w:rsidRDefault="00070E2C" w:rsidP="003E7EE4">
      <w:pPr>
        <w:autoSpaceDE w:val="0"/>
        <w:autoSpaceDN w:val="0"/>
        <w:spacing w:line="240" w:lineRule="auto"/>
        <w:ind w:left="1440" w:right="1440" w:firstLine="720"/>
        <w:rPr>
          <w:sz w:val="26"/>
          <w:szCs w:val="26"/>
        </w:rPr>
      </w:pPr>
      <w:r w:rsidRPr="00001309">
        <w:rPr>
          <w:sz w:val="26"/>
          <w:szCs w:val="26"/>
        </w:rPr>
        <w:t xml:space="preserve">Accordingly, we find Blue Pilot failed to adequately staff its call center, failed to provide reasonable access to Company representatives for purposes of submitting complaints, failed to properly investigate customer disputes, failed to properly notify customers of the results of the Company’s investigation into a dispute when such investigation was conducted, and failed to utilize good faith, honesty and fair dealing in its dealings with customers in violation of the Commission’s regulations, 52 Pa.Code §§ 56.1(a), 56.141(a), 56.151, 56.152, and 111.13(a), (b) and the Company’s </w:t>
      </w:r>
      <w:r w:rsidRPr="00001309">
        <w:rPr>
          <w:sz w:val="26"/>
          <w:u w:val="single"/>
        </w:rPr>
        <w:t>Licensing Order</w:t>
      </w:r>
      <w:r w:rsidRPr="00001309">
        <w:rPr>
          <w:sz w:val="26"/>
          <w:szCs w:val="26"/>
        </w:rPr>
        <w:t xml:space="preserve">. </w:t>
      </w:r>
      <w:r w:rsidR="0019351E" w:rsidRPr="00001309">
        <w:rPr>
          <w:sz w:val="26"/>
          <w:szCs w:val="26"/>
        </w:rPr>
        <w:t xml:space="preserve"> </w:t>
      </w:r>
      <w:r w:rsidRPr="00001309">
        <w:rPr>
          <w:sz w:val="26"/>
          <w:szCs w:val="26"/>
        </w:rPr>
        <w:t>The number of violations is not as many as the number of residential customers</w:t>
      </w:r>
      <w:r w:rsidR="00D50798" w:rsidRPr="00001309">
        <w:rPr>
          <w:sz w:val="26"/>
          <w:szCs w:val="26"/>
        </w:rPr>
        <w:t xml:space="preserve"> </w:t>
      </w:r>
      <w:r w:rsidRPr="00001309">
        <w:rPr>
          <w:sz w:val="26"/>
          <w:szCs w:val="26"/>
        </w:rPr>
        <w:t xml:space="preserve">in existence during the </w:t>
      </w:r>
      <w:proofErr w:type="gramStart"/>
      <w:r w:rsidRPr="00001309">
        <w:rPr>
          <w:sz w:val="26"/>
          <w:szCs w:val="26"/>
        </w:rPr>
        <w:t>time period</w:t>
      </w:r>
      <w:proofErr w:type="gramEnd"/>
      <w:r w:rsidRPr="00001309">
        <w:rPr>
          <w:sz w:val="26"/>
          <w:szCs w:val="26"/>
        </w:rPr>
        <w:t xml:space="preserve"> in question, </w:t>
      </w:r>
      <w:r w:rsidR="00C06F88" w:rsidRPr="00C06F88">
        <w:rPr>
          <w:b/>
          <w:sz w:val="26"/>
          <w:szCs w:val="26"/>
        </w:rPr>
        <w:t>BEGIN PROPRIETARY</w:t>
      </w:r>
    </w:p>
    <w:p w:rsidR="00874553" w:rsidRPr="00001309" w:rsidRDefault="00C06F88" w:rsidP="00C06F88">
      <w:pPr>
        <w:autoSpaceDE w:val="0"/>
        <w:autoSpaceDN w:val="0"/>
        <w:spacing w:line="240" w:lineRule="auto"/>
        <w:ind w:left="1440" w:right="1440" w:firstLine="0"/>
        <w:rPr>
          <w:sz w:val="26"/>
          <w:szCs w:val="26"/>
        </w:rPr>
      </w:pPr>
      <w:r w:rsidRPr="00C06F88">
        <w:rPr>
          <w:b/>
          <w:sz w:val="26"/>
          <w:szCs w:val="26"/>
        </w:rPr>
        <w:t>END PROPRIETARY</w:t>
      </w:r>
      <w:r>
        <w:rPr>
          <w:sz w:val="26"/>
          <w:szCs w:val="26"/>
        </w:rPr>
        <w:t xml:space="preserve"> </w:t>
      </w:r>
      <w:r w:rsidR="00070E2C" w:rsidRPr="00001309">
        <w:rPr>
          <w:sz w:val="26"/>
          <w:szCs w:val="26"/>
        </w:rPr>
        <w:t>for it is unknown if everyone in the group called to complain.</w:t>
      </w:r>
    </w:p>
    <w:p w:rsidR="009E2CA0" w:rsidRPr="00001309" w:rsidRDefault="009E2CA0" w:rsidP="003E7EE4">
      <w:pPr>
        <w:autoSpaceDE w:val="0"/>
        <w:autoSpaceDN w:val="0"/>
        <w:spacing w:line="240" w:lineRule="auto"/>
        <w:ind w:firstLine="0"/>
        <w:rPr>
          <w:sz w:val="26"/>
          <w:szCs w:val="26"/>
        </w:rPr>
      </w:pPr>
    </w:p>
    <w:p w:rsidR="009E2CA0" w:rsidRPr="00001309" w:rsidRDefault="009E2CA0" w:rsidP="003E7EE4">
      <w:pPr>
        <w:autoSpaceDE w:val="0"/>
        <w:autoSpaceDN w:val="0"/>
        <w:spacing w:line="240" w:lineRule="auto"/>
        <w:ind w:firstLine="0"/>
        <w:rPr>
          <w:sz w:val="26"/>
          <w:szCs w:val="26"/>
        </w:rPr>
      </w:pPr>
    </w:p>
    <w:p w:rsidR="00070E2C" w:rsidRPr="00001309" w:rsidRDefault="00070E2C" w:rsidP="00AF5129">
      <w:pPr>
        <w:autoSpaceDE w:val="0"/>
        <w:autoSpaceDN w:val="0"/>
        <w:ind w:firstLine="0"/>
        <w:rPr>
          <w:sz w:val="26"/>
          <w:szCs w:val="26"/>
        </w:rPr>
      </w:pPr>
      <w:r w:rsidRPr="00001309">
        <w:rPr>
          <w:sz w:val="26"/>
          <w:szCs w:val="26"/>
        </w:rPr>
        <w:t>I.D. at 106.</w:t>
      </w:r>
    </w:p>
    <w:p w:rsidR="00152B4F" w:rsidRPr="00001309" w:rsidRDefault="00152B4F" w:rsidP="00AF5129">
      <w:pPr>
        <w:autoSpaceDE w:val="0"/>
        <w:autoSpaceDN w:val="0"/>
        <w:ind w:left="1440" w:right="1440" w:firstLine="0"/>
        <w:rPr>
          <w:sz w:val="26"/>
          <w:szCs w:val="26"/>
        </w:rPr>
      </w:pPr>
    </w:p>
    <w:p w:rsidR="00070E2C" w:rsidRPr="00001309" w:rsidRDefault="00451B23" w:rsidP="00AF5129">
      <w:pPr>
        <w:keepNext/>
        <w:keepLines/>
        <w:autoSpaceDE w:val="0"/>
        <w:autoSpaceDN w:val="0"/>
        <w:ind w:firstLine="0"/>
        <w:rPr>
          <w:b/>
          <w:sz w:val="26"/>
          <w:szCs w:val="26"/>
        </w:rPr>
      </w:pPr>
      <w:r w:rsidRPr="00001309">
        <w:rPr>
          <w:b/>
          <w:sz w:val="26"/>
          <w:szCs w:val="26"/>
        </w:rPr>
        <w:tab/>
      </w:r>
      <w:r w:rsidR="00423252" w:rsidRPr="00001309">
        <w:rPr>
          <w:b/>
          <w:sz w:val="26"/>
          <w:szCs w:val="26"/>
        </w:rPr>
        <w:t>3</w:t>
      </w:r>
      <w:r w:rsidR="00874553" w:rsidRPr="00001309">
        <w:rPr>
          <w:b/>
          <w:sz w:val="26"/>
          <w:szCs w:val="26"/>
        </w:rPr>
        <w:t>.</w:t>
      </w:r>
      <w:r w:rsidR="00874553" w:rsidRPr="00001309">
        <w:rPr>
          <w:b/>
          <w:sz w:val="26"/>
          <w:szCs w:val="26"/>
        </w:rPr>
        <w:tab/>
      </w:r>
      <w:r w:rsidR="00070E2C" w:rsidRPr="00001309">
        <w:rPr>
          <w:b/>
          <w:sz w:val="26"/>
          <w:szCs w:val="26"/>
        </w:rPr>
        <w:t xml:space="preserve">Exceptions of Blue Pilot and Replies of </w:t>
      </w:r>
      <w:r w:rsidR="008D34CA">
        <w:rPr>
          <w:b/>
          <w:sz w:val="26"/>
          <w:szCs w:val="26"/>
        </w:rPr>
        <w:t xml:space="preserve">the </w:t>
      </w:r>
      <w:r w:rsidR="00070E2C" w:rsidRPr="00001309">
        <w:rPr>
          <w:b/>
          <w:sz w:val="26"/>
          <w:szCs w:val="26"/>
        </w:rPr>
        <w:t xml:space="preserve">Joint Complainants </w:t>
      </w:r>
    </w:p>
    <w:p w:rsidR="007753E4" w:rsidRPr="00001309" w:rsidRDefault="007753E4" w:rsidP="00AF5129">
      <w:pPr>
        <w:keepNext/>
        <w:keepLines/>
        <w:autoSpaceDE w:val="0"/>
        <w:autoSpaceDN w:val="0"/>
        <w:adjustRightInd w:val="0"/>
        <w:rPr>
          <w:sz w:val="26"/>
          <w:szCs w:val="26"/>
        </w:rPr>
      </w:pPr>
    </w:p>
    <w:p w:rsidR="00070E2C" w:rsidRPr="00001309" w:rsidRDefault="00BA79BE" w:rsidP="007753E4">
      <w:pPr>
        <w:autoSpaceDE w:val="0"/>
        <w:autoSpaceDN w:val="0"/>
        <w:adjustRightInd w:val="0"/>
        <w:rPr>
          <w:sz w:val="26"/>
          <w:szCs w:val="26"/>
        </w:rPr>
      </w:pPr>
      <w:r w:rsidRPr="003B6549">
        <w:rPr>
          <w:sz w:val="26"/>
          <w:szCs w:val="26"/>
        </w:rPr>
        <w:t>Blue Pilot</w:t>
      </w:r>
      <w:r>
        <w:rPr>
          <w:sz w:val="26"/>
          <w:szCs w:val="26"/>
        </w:rPr>
        <w:t>,</w:t>
      </w:r>
      <w:r w:rsidRPr="003B6549">
        <w:rPr>
          <w:sz w:val="26"/>
          <w:szCs w:val="26"/>
        </w:rPr>
        <w:t xml:space="preserve"> in its Exceptions, </w:t>
      </w:r>
      <w:r>
        <w:rPr>
          <w:sz w:val="26"/>
          <w:szCs w:val="26"/>
        </w:rPr>
        <w:t xml:space="preserve">argues </w:t>
      </w:r>
      <w:r w:rsidRPr="003B6549">
        <w:rPr>
          <w:sz w:val="26"/>
          <w:szCs w:val="26"/>
        </w:rPr>
        <w:t xml:space="preserve">the </w:t>
      </w:r>
      <w:r>
        <w:rPr>
          <w:sz w:val="26"/>
          <w:szCs w:val="26"/>
        </w:rPr>
        <w:t>Initial Decision</w:t>
      </w:r>
      <w:r w:rsidRPr="003B6549">
        <w:rPr>
          <w:sz w:val="26"/>
          <w:szCs w:val="26"/>
        </w:rPr>
        <w:t xml:space="preserve"> errs in concluding that </w:t>
      </w:r>
      <w:r>
        <w:rPr>
          <w:sz w:val="26"/>
          <w:szCs w:val="26"/>
        </w:rPr>
        <w:t>the Company</w:t>
      </w:r>
      <w:r w:rsidRPr="003B6549">
        <w:rPr>
          <w:sz w:val="26"/>
          <w:szCs w:val="26"/>
        </w:rPr>
        <w:t xml:space="preserve"> violated the Commission</w:t>
      </w:r>
      <w:r>
        <w:rPr>
          <w:sz w:val="26"/>
          <w:szCs w:val="26"/>
        </w:rPr>
        <w:t>’</w:t>
      </w:r>
      <w:r w:rsidRPr="003B6549">
        <w:rPr>
          <w:sz w:val="26"/>
          <w:szCs w:val="26"/>
        </w:rPr>
        <w:t xml:space="preserve">s </w:t>
      </w:r>
      <w:r>
        <w:rPr>
          <w:sz w:val="26"/>
          <w:szCs w:val="26"/>
        </w:rPr>
        <w:t>R</w:t>
      </w:r>
      <w:r w:rsidRPr="003B6549">
        <w:rPr>
          <w:sz w:val="26"/>
          <w:szCs w:val="26"/>
        </w:rPr>
        <w:t>egulations with its handling of consumer calls during the Polar Vortex</w:t>
      </w:r>
      <w:r>
        <w:rPr>
          <w:sz w:val="26"/>
          <w:szCs w:val="26"/>
        </w:rPr>
        <w:t xml:space="preserve">.  </w:t>
      </w:r>
      <w:r w:rsidR="007753E4" w:rsidRPr="00001309">
        <w:rPr>
          <w:sz w:val="26"/>
          <w:szCs w:val="26"/>
        </w:rPr>
        <w:t xml:space="preserve">In its Exceptions, Blue Pilot continues that </w:t>
      </w:r>
      <w:r w:rsidR="00880918" w:rsidRPr="003B6549">
        <w:rPr>
          <w:sz w:val="26"/>
          <w:szCs w:val="26"/>
        </w:rPr>
        <w:t>the Commission</w:t>
      </w:r>
      <w:r w:rsidR="00880918">
        <w:rPr>
          <w:sz w:val="26"/>
          <w:szCs w:val="26"/>
        </w:rPr>
        <w:t>’</w:t>
      </w:r>
      <w:r w:rsidR="00880918" w:rsidRPr="003B6549">
        <w:rPr>
          <w:sz w:val="26"/>
          <w:szCs w:val="26"/>
        </w:rPr>
        <w:t xml:space="preserve">s </w:t>
      </w:r>
      <w:r w:rsidR="00880918">
        <w:rPr>
          <w:sz w:val="26"/>
          <w:szCs w:val="26"/>
        </w:rPr>
        <w:t>R</w:t>
      </w:r>
      <w:r w:rsidR="00880918" w:rsidRPr="003B6549">
        <w:rPr>
          <w:sz w:val="26"/>
          <w:szCs w:val="26"/>
        </w:rPr>
        <w:t>egulations do not impose standards on EGSs for the staffing of its call centers or for handling calls from consumers</w:t>
      </w:r>
      <w:r w:rsidR="00880918" w:rsidRPr="00001309">
        <w:rPr>
          <w:sz w:val="26"/>
          <w:szCs w:val="26"/>
        </w:rPr>
        <w:t xml:space="preserve"> </w:t>
      </w:r>
      <w:r w:rsidR="00880918">
        <w:rPr>
          <w:sz w:val="26"/>
          <w:szCs w:val="26"/>
        </w:rPr>
        <w:t xml:space="preserve">and that </w:t>
      </w:r>
      <w:r w:rsidR="007753E4" w:rsidRPr="00001309">
        <w:rPr>
          <w:sz w:val="26"/>
          <w:szCs w:val="26"/>
        </w:rPr>
        <w:t xml:space="preserve">it adequately staffed its call centers and responded to customer inquiries.  Based on the foregoing, </w:t>
      </w:r>
      <w:r w:rsidR="00297F61" w:rsidRPr="00001309">
        <w:rPr>
          <w:sz w:val="26"/>
          <w:szCs w:val="26"/>
        </w:rPr>
        <w:t>Blue Pilot</w:t>
      </w:r>
      <w:r w:rsidR="007753E4" w:rsidRPr="00001309">
        <w:rPr>
          <w:sz w:val="26"/>
          <w:szCs w:val="26"/>
        </w:rPr>
        <w:t xml:space="preserve"> argued that t</w:t>
      </w:r>
      <w:r w:rsidR="00BE6B86" w:rsidRPr="00001309">
        <w:rPr>
          <w:sz w:val="26"/>
          <w:szCs w:val="26"/>
        </w:rPr>
        <w:t>he evidentiary record fails to establish that B</w:t>
      </w:r>
      <w:r w:rsidR="007753E4" w:rsidRPr="00001309">
        <w:rPr>
          <w:sz w:val="26"/>
          <w:szCs w:val="26"/>
        </w:rPr>
        <w:t xml:space="preserve">lue Pilot </w:t>
      </w:r>
      <w:r w:rsidR="00BE6B86" w:rsidRPr="00001309">
        <w:rPr>
          <w:sz w:val="26"/>
          <w:szCs w:val="26"/>
        </w:rPr>
        <w:t>violated any of the requirements</w:t>
      </w:r>
      <w:r w:rsidR="007753E4" w:rsidRPr="00001309">
        <w:rPr>
          <w:sz w:val="26"/>
          <w:szCs w:val="26"/>
        </w:rPr>
        <w:t xml:space="preserve"> </w:t>
      </w:r>
      <w:r w:rsidR="00BE6B86" w:rsidRPr="00001309">
        <w:rPr>
          <w:sz w:val="26"/>
          <w:szCs w:val="26"/>
        </w:rPr>
        <w:t xml:space="preserve">imposed by the provisions </w:t>
      </w:r>
      <w:r w:rsidR="00BE6B86" w:rsidRPr="00001309">
        <w:rPr>
          <w:sz w:val="26"/>
          <w:szCs w:val="26"/>
        </w:rPr>
        <w:lastRenderedPageBreak/>
        <w:t>of Chapter 56</w:t>
      </w:r>
      <w:r w:rsidR="007753E4" w:rsidRPr="00001309">
        <w:rPr>
          <w:sz w:val="26"/>
          <w:szCs w:val="26"/>
        </w:rPr>
        <w:t xml:space="preserve"> or other Commission Regulations</w:t>
      </w:r>
      <w:r w:rsidR="00BE6B86" w:rsidRPr="00001309">
        <w:rPr>
          <w:sz w:val="26"/>
          <w:szCs w:val="26"/>
        </w:rPr>
        <w:t>.</w:t>
      </w:r>
      <w:r w:rsidR="002A1971" w:rsidRPr="00001309">
        <w:rPr>
          <w:sz w:val="26"/>
          <w:szCs w:val="26"/>
        </w:rPr>
        <w:t xml:space="preserve">  </w:t>
      </w:r>
      <w:r w:rsidR="002A1971" w:rsidRPr="00001309">
        <w:rPr>
          <w:i/>
          <w:sz w:val="26"/>
          <w:szCs w:val="26"/>
        </w:rPr>
        <w:t xml:space="preserve">See </w:t>
      </w:r>
      <w:r w:rsidR="002A1971" w:rsidRPr="00001309">
        <w:rPr>
          <w:sz w:val="26"/>
          <w:szCs w:val="26"/>
        </w:rPr>
        <w:t xml:space="preserve">Exc. at 24.  Blue Pilot also attempts to associate the complaints regarding the adequacy of its call center responses to the Polar Vortex episode of 2014.  </w:t>
      </w:r>
      <w:r w:rsidR="002A1971" w:rsidRPr="00001309">
        <w:rPr>
          <w:i/>
          <w:sz w:val="26"/>
          <w:szCs w:val="26"/>
        </w:rPr>
        <w:t>Id</w:t>
      </w:r>
      <w:r w:rsidR="002A1971" w:rsidRPr="00001309">
        <w:rPr>
          <w:sz w:val="26"/>
          <w:szCs w:val="26"/>
        </w:rPr>
        <w:t xml:space="preserve">.  </w:t>
      </w:r>
    </w:p>
    <w:p w:rsidR="00615703" w:rsidRPr="00001309" w:rsidRDefault="00615703" w:rsidP="007753E4">
      <w:pPr>
        <w:autoSpaceDE w:val="0"/>
        <w:autoSpaceDN w:val="0"/>
        <w:adjustRightInd w:val="0"/>
        <w:rPr>
          <w:sz w:val="26"/>
          <w:szCs w:val="26"/>
        </w:rPr>
      </w:pPr>
    </w:p>
    <w:p w:rsidR="00615703" w:rsidRPr="00001309" w:rsidRDefault="00615703" w:rsidP="007753E4">
      <w:pPr>
        <w:autoSpaceDE w:val="0"/>
        <w:autoSpaceDN w:val="0"/>
        <w:adjustRightInd w:val="0"/>
        <w:rPr>
          <w:sz w:val="26"/>
          <w:szCs w:val="26"/>
        </w:rPr>
      </w:pPr>
      <w:r w:rsidRPr="00001309">
        <w:rPr>
          <w:sz w:val="26"/>
          <w:szCs w:val="26"/>
        </w:rPr>
        <w:t xml:space="preserve">In Replies, </w:t>
      </w:r>
      <w:r w:rsidR="008D34CA">
        <w:rPr>
          <w:sz w:val="26"/>
          <w:szCs w:val="26"/>
        </w:rPr>
        <w:t xml:space="preserve">the </w:t>
      </w:r>
      <w:r w:rsidRPr="00001309">
        <w:rPr>
          <w:sz w:val="26"/>
          <w:szCs w:val="26"/>
        </w:rPr>
        <w:t>Joint Complainants cite to the expert testimony and consumer testimony in this proceeding</w:t>
      </w:r>
      <w:r w:rsidR="00447076">
        <w:rPr>
          <w:sz w:val="26"/>
          <w:szCs w:val="26"/>
        </w:rPr>
        <w:t xml:space="preserve"> to support that Blue Pilot violated Commission regulations in its handling of consumer complaints</w:t>
      </w:r>
      <w:r w:rsidRPr="00001309">
        <w:rPr>
          <w:sz w:val="26"/>
          <w:szCs w:val="26"/>
        </w:rPr>
        <w:t>.</w:t>
      </w:r>
      <w:r w:rsidR="00447076">
        <w:rPr>
          <w:sz w:val="26"/>
          <w:szCs w:val="26"/>
        </w:rPr>
        <w:t xml:space="preserve">  R. Exc. at 12-14.</w:t>
      </w:r>
    </w:p>
    <w:p w:rsidR="000C1FA0" w:rsidRPr="00001309" w:rsidRDefault="000C1FA0" w:rsidP="000C1FA0">
      <w:pPr>
        <w:autoSpaceDE w:val="0"/>
        <w:autoSpaceDN w:val="0"/>
        <w:ind w:firstLine="0"/>
        <w:rPr>
          <w:sz w:val="26"/>
          <w:szCs w:val="26"/>
        </w:rPr>
      </w:pPr>
    </w:p>
    <w:p w:rsidR="005752D6" w:rsidRPr="00001309" w:rsidRDefault="00423252" w:rsidP="001812E2">
      <w:pPr>
        <w:keepNext/>
        <w:keepLines/>
        <w:autoSpaceDE w:val="0"/>
        <w:autoSpaceDN w:val="0"/>
        <w:ind w:firstLine="720"/>
        <w:rPr>
          <w:b/>
          <w:sz w:val="26"/>
          <w:szCs w:val="26"/>
        </w:rPr>
      </w:pPr>
      <w:r w:rsidRPr="00001309">
        <w:rPr>
          <w:b/>
          <w:sz w:val="26"/>
          <w:szCs w:val="26"/>
        </w:rPr>
        <w:t>4</w:t>
      </w:r>
      <w:r w:rsidR="00874553" w:rsidRPr="00001309">
        <w:rPr>
          <w:b/>
          <w:sz w:val="26"/>
          <w:szCs w:val="26"/>
        </w:rPr>
        <w:t>.</w:t>
      </w:r>
      <w:r w:rsidR="00874553" w:rsidRPr="00001309">
        <w:rPr>
          <w:b/>
          <w:sz w:val="26"/>
          <w:szCs w:val="26"/>
        </w:rPr>
        <w:tab/>
      </w:r>
      <w:r w:rsidR="005752D6" w:rsidRPr="00001309">
        <w:rPr>
          <w:b/>
          <w:sz w:val="26"/>
          <w:szCs w:val="26"/>
        </w:rPr>
        <w:t>Disposition</w:t>
      </w:r>
    </w:p>
    <w:p w:rsidR="00683656" w:rsidRPr="00001309" w:rsidRDefault="00683656" w:rsidP="00874553">
      <w:pPr>
        <w:keepNext/>
        <w:keepLines/>
        <w:autoSpaceDE w:val="0"/>
        <w:autoSpaceDN w:val="0"/>
        <w:rPr>
          <w:sz w:val="26"/>
          <w:szCs w:val="26"/>
        </w:rPr>
      </w:pPr>
    </w:p>
    <w:p w:rsidR="00501F23" w:rsidRPr="003B6549" w:rsidRDefault="00880918" w:rsidP="00880918">
      <w:pPr>
        <w:autoSpaceDE w:val="0"/>
        <w:autoSpaceDN w:val="0"/>
        <w:adjustRightInd w:val="0"/>
        <w:rPr>
          <w:sz w:val="26"/>
          <w:szCs w:val="26"/>
        </w:rPr>
      </w:pPr>
      <w:r w:rsidRPr="00001309">
        <w:rPr>
          <w:sz w:val="26"/>
          <w:szCs w:val="26"/>
        </w:rPr>
        <w:t>On consideration of the Exceptions of Blue Pilot, we shall deny the Exceptions consistent with the discussion in this Opinion and Order.</w:t>
      </w:r>
    </w:p>
    <w:p w:rsidR="00501F23" w:rsidRDefault="00501F23" w:rsidP="00501F23">
      <w:pPr>
        <w:kinsoku w:val="0"/>
        <w:overflowPunct w:val="0"/>
        <w:textAlignment w:val="baseline"/>
        <w:rPr>
          <w:sz w:val="26"/>
          <w:szCs w:val="26"/>
        </w:rPr>
      </w:pPr>
    </w:p>
    <w:p w:rsidR="00880918" w:rsidRDefault="00501F23" w:rsidP="00880918">
      <w:pPr>
        <w:kinsoku w:val="0"/>
        <w:overflowPunct w:val="0"/>
        <w:textAlignment w:val="baseline"/>
        <w:rPr>
          <w:sz w:val="26"/>
          <w:szCs w:val="26"/>
        </w:rPr>
      </w:pPr>
      <w:r w:rsidRPr="003B6549">
        <w:rPr>
          <w:sz w:val="26"/>
          <w:szCs w:val="26"/>
        </w:rPr>
        <w:t>The Commission</w:t>
      </w:r>
      <w:r>
        <w:rPr>
          <w:sz w:val="26"/>
          <w:szCs w:val="26"/>
        </w:rPr>
        <w:t>’</w:t>
      </w:r>
      <w:r w:rsidRPr="003B6549">
        <w:rPr>
          <w:sz w:val="26"/>
          <w:szCs w:val="26"/>
        </w:rPr>
        <w:t xml:space="preserve">s </w:t>
      </w:r>
      <w:r>
        <w:rPr>
          <w:sz w:val="26"/>
          <w:szCs w:val="26"/>
        </w:rPr>
        <w:t>R</w:t>
      </w:r>
      <w:r w:rsidRPr="003B6549">
        <w:rPr>
          <w:sz w:val="26"/>
          <w:szCs w:val="26"/>
        </w:rPr>
        <w:t>egulations impose specific requirements on EGSs regarding the handling of residential and small business customer disputes</w:t>
      </w:r>
      <w:r>
        <w:rPr>
          <w:sz w:val="26"/>
          <w:szCs w:val="26"/>
        </w:rPr>
        <w:t>.  These provisions</w:t>
      </w:r>
      <w:r w:rsidRPr="003B6549">
        <w:rPr>
          <w:sz w:val="26"/>
          <w:szCs w:val="26"/>
        </w:rPr>
        <w:t xml:space="preserve"> can be found in Sections 56.141, 56.151, and 56.152 of our </w:t>
      </w:r>
      <w:r>
        <w:rPr>
          <w:sz w:val="26"/>
          <w:szCs w:val="26"/>
        </w:rPr>
        <w:t>R</w:t>
      </w:r>
      <w:r w:rsidRPr="003B6549">
        <w:rPr>
          <w:sz w:val="26"/>
          <w:szCs w:val="26"/>
        </w:rPr>
        <w:t>egulations.</w:t>
      </w:r>
      <w:r>
        <w:rPr>
          <w:sz w:val="26"/>
          <w:szCs w:val="26"/>
        </w:rPr>
        <w:t xml:space="preserve">  </w:t>
      </w:r>
      <w:r>
        <w:rPr>
          <w:i/>
          <w:sz w:val="26"/>
          <w:szCs w:val="26"/>
        </w:rPr>
        <w:t xml:space="preserve">See </w:t>
      </w:r>
      <w:r>
        <w:rPr>
          <w:sz w:val="26"/>
          <w:szCs w:val="26"/>
        </w:rPr>
        <w:t xml:space="preserve">52 Pa. Code §§ </w:t>
      </w:r>
      <w:r w:rsidRPr="003B6549">
        <w:rPr>
          <w:sz w:val="26"/>
          <w:szCs w:val="26"/>
        </w:rPr>
        <w:t>56.141, 56.151, and 56.152</w:t>
      </w:r>
      <w:r>
        <w:rPr>
          <w:sz w:val="26"/>
          <w:szCs w:val="26"/>
        </w:rPr>
        <w:t>.</w:t>
      </w:r>
      <w:r w:rsidR="00880918">
        <w:rPr>
          <w:sz w:val="26"/>
          <w:szCs w:val="26"/>
        </w:rPr>
        <w:t xml:space="preserve">  </w:t>
      </w:r>
      <w:r w:rsidRPr="00CD740F">
        <w:rPr>
          <w:sz w:val="26"/>
          <w:szCs w:val="26"/>
        </w:rPr>
        <w:t xml:space="preserve">Of note, Blue Pilot’s EGS </w:t>
      </w:r>
      <w:r w:rsidRPr="00CD740F">
        <w:rPr>
          <w:i/>
          <w:sz w:val="26"/>
          <w:szCs w:val="26"/>
        </w:rPr>
        <w:t>Licensing Order</w:t>
      </w:r>
      <w:r w:rsidRPr="00CD740F">
        <w:rPr>
          <w:sz w:val="26"/>
          <w:szCs w:val="26"/>
        </w:rPr>
        <w:t xml:space="preserve"> contains an express directive that the company must comply with Chapter 56 of the Commission’s Regulations.  In addition, </w:t>
      </w:r>
      <w:r w:rsidR="00AF5129">
        <w:rPr>
          <w:sz w:val="26"/>
          <w:szCs w:val="26"/>
        </w:rPr>
        <w:t xml:space="preserve">we have </w:t>
      </w:r>
      <w:r w:rsidRPr="00CD740F">
        <w:rPr>
          <w:sz w:val="26"/>
          <w:szCs w:val="26"/>
        </w:rPr>
        <w:t>promulgated similar requirements in Section 111.13 of our Regulations specific to residential customer complaints against suppliers.</w:t>
      </w:r>
      <w:r>
        <w:rPr>
          <w:sz w:val="26"/>
          <w:szCs w:val="26"/>
        </w:rPr>
        <w:t xml:space="preserve">  </w:t>
      </w:r>
      <w:r>
        <w:rPr>
          <w:i/>
          <w:sz w:val="26"/>
          <w:szCs w:val="26"/>
        </w:rPr>
        <w:t xml:space="preserve">See </w:t>
      </w:r>
      <w:r>
        <w:rPr>
          <w:sz w:val="26"/>
          <w:szCs w:val="26"/>
        </w:rPr>
        <w:t>52 Pa. Code §§ 111.1-111.14.</w:t>
      </w:r>
      <w:r w:rsidRPr="00CD740F">
        <w:rPr>
          <w:sz w:val="26"/>
          <w:szCs w:val="26"/>
        </w:rPr>
        <w:t xml:space="preserve"> </w:t>
      </w:r>
      <w:r>
        <w:rPr>
          <w:sz w:val="26"/>
          <w:szCs w:val="26"/>
        </w:rPr>
        <w:t xml:space="preserve"> </w:t>
      </w:r>
    </w:p>
    <w:p w:rsidR="00880918" w:rsidRDefault="00880918" w:rsidP="00880918">
      <w:pPr>
        <w:kinsoku w:val="0"/>
        <w:overflowPunct w:val="0"/>
        <w:textAlignment w:val="baseline"/>
        <w:rPr>
          <w:sz w:val="26"/>
          <w:szCs w:val="26"/>
        </w:rPr>
      </w:pPr>
    </w:p>
    <w:p w:rsidR="00501F23" w:rsidRPr="00880918" w:rsidRDefault="00AF5129" w:rsidP="00880918">
      <w:pPr>
        <w:kinsoku w:val="0"/>
        <w:overflowPunct w:val="0"/>
        <w:textAlignment w:val="baseline"/>
        <w:rPr>
          <w:sz w:val="26"/>
          <w:szCs w:val="26"/>
        </w:rPr>
      </w:pPr>
      <w:r>
        <w:rPr>
          <w:sz w:val="26"/>
          <w:szCs w:val="26"/>
        </w:rPr>
        <w:t>Our</w:t>
      </w:r>
      <w:r w:rsidR="00501F23" w:rsidRPr="00CD740F">
        <w:rPr>
          <w:sz w:val="26"/>
          <w:szCs w:val="26"/>
        </w:rPr>
        <w:t xml:space="preserve"> Regulations also require EGSs to utilize good faith, honesty and fair dealing with residential and small business customers.  </w:t>
      </w:r>
      <w:r w:rsidR="00501F23" w:rsidRPr="00CD740F">
        <w:rPr>
          <w:i/>
          <w:iCs/>
          <w:spacing w:val="2"/>
          <w:sz w:val="26"/>
          <w:szCs w:val="26"/>
        </w:rPr>
        <w:t xml:space="preserve">See </w:t>
      </w:r>
      <w:r w:rsidR="00501F23" w:rsidRPr="00CD740F">
        <w:rPr>
          <w:spacing w:val="2"/>
          <w:sz w:val="26"/>
          <w:szCs w:val="26"/>
        </w:rPr>
        <w:t xml:space="preserve">52 Pa. Code § 56.1(a); </w:t>
      </w:r>
      <w:r w:rsidR="00501F23" w:rsidRPr="00CD740F">
        <w:rPr>
          <w:i/>
          <w:iCs/>
          <w:spacing w:val="2"/>
          <w:sz w:val="26"/>
          <w:szCs w:val="26"/>
        </w:rPr>
        <w:t xml:space="preserve">also </w:t>
      </w:r>
      <w:r w:rsidR="00501F23" w:rsidRPr="00CD740F">
        <w:rPr>
          <w:i/>
          <w:spacing w:val="2"/>
          <w:sz w:val="26"/>
          <w:szCs w:val="26"/>
        </w:rPr>
        <w:t>Licensing Order</w:t>
      </w:r>
      <w:r w:rsidR="00501F23" w:rsidRPr="00CD740F">
        <w:rPr>
          <w:spacing w:val="2"/>
          <w:sz w:val="26"/>
          <w:szCs w:val="26"/>
        </w:rPr>
        <w:t xml:space="preserve"> at 3</w:t>
      </w:r>
      <w:r w:rsidR="00F464DD">
        <w:rPr>
          <w:spacing w:val="2"/>
          <w:sz w:val="26"/>
          <w:szCs w:val="26"/>
        </w:rPr>
        <w:t>; also</w:t>
      </w:r>
      <w:r w:rsidR="00501F23">
        <w:rPr>
          <w:spacing w:val="2"/>
          <w:sz w:val="26"/>
          <w:szCs w:val="26"/>
        </w:rPr>
        <w:t>:</w:t>
      </w:r>
    </w:p>
    <w:p w:rsidR="00501F23" w:rsidRPr="00C367D4" w:rsidRDefault="00501F23" w:rsidP="00501F23">
      <w:pPr>
        <w:kinsoku w:val="0"/>
        <w:overflowPunct w:val="0"/>
        <w:textAlignment w:val="baseline"/>
        <w:rPr>
          <w:spacing w:val="2"/>
          <w:sz w:val="26"/>
          <w:szCs w:val="26"/>
        </w:rPr>
      </w:pPr>
    </w:p>
    <w:p w:rsidR="00501F23" w:rsidRPr="00C367D4" w:rsidRDefault="00501F23" w:rsidP="00501F23">
      <w:pPr>
        <w:kinsoku w:val="0"/>
        <w:overflowPunct w:val="0"/>
        <w:spacing w:line="240" w:lineRule="auto"/>
        <w:ind w:left="1440" w:right="1440" w:firstLine="0"/>
        <w:textAlignment w:val="baseline"/>
        <w:rPr>
          <w:spacing w:val="2"/>
          <w:sz w:val="26"/>
          <w:szCs w:val="26"/>
        </w:rPr>
      </w:pPr>
      <w:r w:rsidRPr="00C367D4">
        <w:rPr>
          <w:spacing w:val="2"/>
          <w:sz w:val="26"/>
          <w:szCs w:val="26"/>
        </w:rPr>
        <w:t xml:space="preserve">The purpose of this chapter is to establish standards and practices for marketing and sales activities for EGSs and NGSs and their agents to ensure the fairness and the integrity of the competitive residential energy market. EGSs </w:t>
      </w:r>
      <w:r w:rsidRPr="00C367D4">
        <w:rPr>
          <w:spacing w:val="2"/>
          <w:sz w:val="26"/>
          <w:szCs w:val="26"/>
        </w:rPr>
        <w:lastRenderedPageBreak/>
        <w:t>and NGSs and their agents shall comply with these standards and practices when engaged in sales and marketing activities involving residential customers. When these standards and practices do not address a specific situation or problem, the supplier shall exercise good judgment and use reasonable care in interacting with customers and members of the public</w:t>
      </w:r>
      <w:r w:rsidR="00792F80" w:rsidRPr="00C367D4">
        <w:rPr>
          <w:spacing w:val="2"/>
          <w:sz w:val="26"/>
          <w:szCs w:val="26"/>
        </w:rPr>
        <w:t>.</w:t>
      </w:r>
    </w:p>
    <w:p w:rsidR="00792F80" w:rsidRPr="00C367D4" w:rsidRDefault="00792F80" w:rsidP="00501F23">
      <w:pPr>
        <w:kinsoku w:val="0"/>
        <w:overflowPunct w:val="0"/>
        <w:spacing w:line="240" w:lineRule="auto"/>
        <w:ind w:left="1440" w:right="1440" w:firstLine="0"/>
        <w:textAlignment w:val="baseline"/>
        <w:rPr>
          <w:spacing w:val="2"/>
          <w:sz w:val="26"/>
          <w:szCs w:val="26"/>
        </w:rPr>
      </w:pPr>
    </w:p>
    <w:p w:rsidR="00792F80" w:rsidRPr="00C367D4" w:rsidRDefault="00792F80" w:rsidP="00501F23">
      <w:pPr>
        <w:kinsoku w:val="0"/>
        <w:overflowPunct w:val="0"/>
        <w:spacing w:line="240" w:lineRule="auto"/>
        <w:ind w:left="1440" w:right="1440" w:firstLine="0"/>
        <w:textAlignment w:val="baseline"/>
        <w:rPr>
          <w:spacing w:val="2"/>
          <w:sz w:val="26"/>
          <w:szCs w:val="26"/>
        </w:rPr>
      </w:pPr>
    </w:p>
    <w:p w:rsidR="00501F23" w:rsidRPr="00C367D4" w:rsidRDefault="00501F23" w:rsidP="00792F80">
      <w:pPr>
        <w:kinsoku w:val="0"/>
        <w:overflowPunct w:val="0"/>
        <w:ind w:firstLine="0"/>
        <w:textAlignment w:val="baseline"/>
        <w:rPr>
          <w:sz w:val="26"/>
          <w:szCs w:val="26"/>
        </w:rPr>
      </w:pPr>
      <w:r w:rsidRPr="00C367D4">
        <w:rPr>
          <w:sz w:val="26"/>
          <w:szCs w:val="26"/>
        </w:rPr>
        <w:t xml:space="preserve">52 Pa. Code § 111.1; </w:t>
      </w:r>
      <w:r w:rsidRPr="00C367D4">
        <w:rPr>
          <w:i/>
          <w:sz w:val="26"/>
          <w:szCs w:val="26"/>
        </w:rPr>
        <w:t>also</w:t>
      </w:r>
    </w:p>
    <w:p w:rsidR="00501F23" w:rsidRPr="00C367D4" w:rsidRDefault="00501F23" w:rsidP="00501F23">
      <w:pPr>
        <w:kinsoku w:val="0"/>
        <w:overflowPunct w:val="0"/>
        <w:ind w:left="1440" w:right="1440"/>
        <w:textAlignment w:val="baseline"/>
        <w:rPr>
          <w:sz w:val="26"/>
          <w:szCs w:val="26"/>
        </w:rPr>
      </w:pPr>
    </w:p>
    <w:p w:rsidR="00501F23" w:rsidRPr="00C367D4" w:rsidRDefault="00501F23" w:rsidP="00501F23">
      <w:pPr>
        <w:kinsoku w:val="0"/>
        <w:overflowPunct w:val="0"/>
        <w:spacing w:line="240" w:lineRule="auto"/>
        <w:ind w:left="1440" w:right="1440" w:firstLine="0"/>
        <w:textAlignment w:val="baseline"/>
        <w:rPr>
          <w:sz w:val="26"/>
          <w:szCs w:val="26"/>
        </w:rPr>
      </w:pPr>
      <w:r w:rsidRPr="00C367D4">
        <w:rPr>
          <w:sz w:val="26"/>
          <w:szCs w:val="26"/>
        </w:rPr>
        <w:t xml:space="preserve">. . . (b) A supplier shall implement an internal process for responding to and resolving customer inquiries, disputes and complaints. The process shall document as a record the customer inquiry, dispute or complaint, subsequent communications between the supplier and the customer, and the resolution of the inquiry, dispute or complaint. . . . </w:t>
      </w:r>
    </w:p>
    <w:p w:rsidR="00C367D4" w:rsidRPr="00C367D4" w:rsidRDefault="00C367D4" w:rsidP="00501F23">
      <w:pPr>
        <w:kinsoku w:val="0"/>
        <w:overflowPunct w:val="0"/>
        <w:spacing w:line="240" w:lineRule="auto"/>
        <w:ind w:left="1440" w:right="1440" w:firstLine="0"/>
        <w:textAlignment w:val="baseline"/>
        <w:rPr>
          <w:sz w:val="26"/>
          <w:szCs w:val="26"/>
        </w:rPr>
      </w:pPr>
    </w:p>
    <w:p w:rsidR="00C367D4" w:rsidRPr="004827A2" w:rsidRDefault="00C367D4" w:rsidP="00501F23">
      <w:pPr>
        <w:kinsoku w:val="0"/>
        <w:overflowPunct w:val="0"/>
        <w:spacing w:line="240" w:lineRule="auto"/>
        <w:ind w:left="1440" w:right="1440" w:firstLine="0"/>
        <w:textAlignment w:val="baseline"/>
        <w:rPr>
          <w:sz w:val="26"/>
          <w:szCs w:val="26"/>
        </w:rPr>
      </w:pPr>
    </w:p>
    <w:p w:rsidR="00DE4746" w:rsidRPr="004827A2" w:rsidRDefault="00DE4746" w:rsidP="004827A2">
      <w:pPr>
        <w:kinsoku w:val="0"/>
        <w:overflowPunct w:val="0"/>
        <w:ind w:firstLine="0"/>
        <w:textAlignment w:val="baseline"/>
        <w:rPr>
          <w:sz w:val="26"/>
          <w:szCs w:val="26"/>
        </w:rPr>
      </w:pPr>
      <w:r w:rsidRPr="004827A2">
        <w:rPr>
          <w:sz w:val="26"/>
          <w:szCs w:val="26"/>
        </w:rPr>
        <w:t xml:space="preserve">52 Pa. Code </w:t>
      </w:r>
      <w:r w:rsidR="004827A2" w:rsidRPr="004827A2">
        <w:rPr>
          <w:sz w:val="26"/>
          <w:szCs w:val="26"/>
        </w:rPr>
        <w:t>§ 111.13 (b).</w:t>
      </w:r>
    </w:p>
    <w:p w:rsidR="00DE4746" w:rsidRDefault="00DE4746" w:rsidP="004827A2">
      <w:pPr>
        <w:kinsoku w:val="0"/>
        <w:overflowPunct w:val="0"/>
        <w:textAlignment w:val="baseline"/>
        <w:rPr>
          <w:spacing w:val="-1"/>
          <w:sz w:val="26"/>
          <w:szCs w:val="26"/>
        </w:rPr>
      </w:pPr>
    </w:p>
    <w:p w:rsidR="00501F23" w:rsidRDefault="00501F23" w:rsidP="00501F23">
      <w:pPr>
        <w:kinsoku w:val="0"/>
        <w:overflowPunct w:val="0"/>
        <w:textAlignment w:val="baseline"/>
        <w:rPr>
          <w:spacing w:val="-1"/>
          <w:sz w:val="26"/>
          <w:szCs w:val="26"/>
        </w:rPr>
      </w:pPr>
      <w:r w:rsidRPr="003B6549">
        <w:rPr>
          <w:spacing w:val="-1"/>
          <w:sz w:val="26"/>
          <w:szCs w:val="26"/>
        </w:rPr>
        <w:t xml:space="preserve">The substantial, credible record evidence shows that Blue Pilot did not meet its regulatory obligations when handling customer complaints. </w:t>
      </w:r>
      <w:r w:rsidR="00AF5129">
        <w:rPr>
          <w:spacing w:val="-1"/>
          <w:sz w:val="26"/>
          <w:szCs w:val="26"/>
        </w:rPr>
        <w:t xml:space="preserve"> </w:t>
      </w:r>
      <w:r w:rsidRPr="003B6549">
        <w:rPr>
          <w:spacing w:val="-1"/>
          <w:sz w:val="26"/>
          <w:szCs w:val="26"/>
        </w:rPr>
        <w:t>There is ample record evidence reflected in the Findings of Fact that from February 2014 through May 2014, Blue Pilot violated our complaint-handling regulations and its Licensing Order by (1)</w:t>
      </w:r>
      <w:r w:rsidR="008D34CA">
        <w:rPr>
          <w:spacing w:val="-1"/>
          <w:sz w:val="26"/>
          <w:szCs w:val="26"/>
        </w:rPr>
        <w:t> </w:t>
      </w:r>
      <w:r w:rsidRPr="003B6549">
        <w:rPr>
          <w:spacing w:val="-1"/>
          <w:sz w:val="26"/>
          <w:szCs w:val="26"/>
        </w:rPr>
        <w:t>failing to adequately staff its call center; (2) failing to provide reasonable access to company representatives for purposes of submitting complaints; (3) failing to properly investigate customer disputes; and (4) failing to properly notify customers of the results of the company's investigation into a dispute.</w:t>
      </w:r>
    </w:p>
    <w:p w:rsidR="00E01CDE" w:rsidRDefault="00E01CDE" w:rsidP="00501F23">
      <w:pPr>
        <w:autoSpaceDE w:val="0"/>
        <w:autoSpaceDN w:val="0"/>
        <w:ind w:firstLine="0"/>
        <w:rPr>
          <w:sz w:val="26"/>
          <w:szCs w:val="26"/>
        </w:rPr>
      </w:pPr>
    </w:p>
    <w:p w:rsidR="00693723" w:rsidRPr="00001309" w:rsidRDefault="00AB09AA" w:rsidP="00847065">
      <w:pPr>
        <w:autoSpaceDE w:val="0"/>
        <w:autoSpaceDN w:val="0"/>
        <w:rPr>
          <w:sz w:val="26"/>
          <w:szCs w:val="26"/>
        </w:rPr>
      </w:pPr>
      <w:r w:rsidRPr="00001309">
        <w:rPr>
          <w:sz w:val="26"/>
          <w:szCs w:val="26"/>
        </w:rPr>
        <w:t>The following Findings of Fact are essential to our conclusion:</w:t>
      </w:r>
    </w:p>
    <w:p w:rsidR="00AB09AA" w:rsidRPr="00001309" w:rsidRDefault="00AB09AA" w:rsidP="00847065">
      <w:pPr>
        <w:autoSpaceDE w:val="0"/>
        <w:autoSpaceDN w:val="0"/>
        <w:rPr>
          <w:sz w:val="26"/>
          <w:szCs w:val="26"/>
        </w:rPr>
      </w:pPr>
    </w:p>
    <w:p w:rsidR="00AB09AA" w:rsidRPr="00001309" w:rsidRDefault="00AB09AA" w:rsidP="00AB09AA">
      <w:pPr>
        <w:pStyle w:val="Default"/>
        <w:spacing w:line="240" w:lineRule="auto"/>
        <w:ind w:left="1440" w:right="1440" w:firstLine="0"/>
        <w:rPr>
          <w:rFonts w:ascii="Times New Roman" w:hAnsi="Times New Roman" w:cs="Times New Roman"/>
          <w:color w:val="auto"/>
          <w:sz w:val="26"/>
          <w:szCs w:val="26"/>
        </w:rPr>
      </w:pPr>
      <w:r w:rsidRPr="00001309">
        <w:rPr>
          <w:rFonts w:ascii="Times New Roman" w:hAnsi="Times New Roman" w:cs="Times New Roman"/>
          <w:color w:val="auto"/>
          <w:sz w:val="26"/>
          <w:szCs w:val="26"/>
        </w:rPr>
        <w:t xml:space="preserve">109. </w:t>
      </w:r>
      <w:r w:rsidRPr="00001309">
        <w:rPr>
          <w:color w:val="auto"/>
          <w:sz w:val="26"/>
          <w:szCs w:val="26"/>
        </w:rPr>
        <w:tab/>
      </w:r>
      <w:r w:rsidRPr="00001309">
        <w:rPr>
          <w:rFonts w:ascii="Times New Roman" w:hAnsi="Times New Roman" w:cs="Times New Roman"/>
          <w:color w:val="auto"/>
          <w:sz w:val="26"/>
          <w:szCs w:val="26"/>
        </w:rPr>
        <w:t xml:space="preserve">When customers called Blue Pilot to dispute or complain about a price charged, Blue Pilot did not provide the customer with any information necessary for the customer to </w:t>
      </w:r>
      <w:r w:rsidRPr="00001309">
        <w:rPr>
          <w:rFonts w:ascii="Times New Roman" w:hAnsi="Times New Roman" w:cs="Times New Roman"/>
          <w:color w:val="auto"/>
          <w:sz w:val="26"/>
          <w:szCs w:val="26"/>
        </w:rPr>
        <w:lastRenderedPageBreak/>
        <w:t xml:space="preserve">examine the basis for the monthly price charged </w:t>
      </w:r>
      <w:proofErr w:type="gramStart"/>
      <w:r w:rsidRPr="00001309">
        <w:rPr>
          <w:rFonts w:ascii="Times New Roman" w:hAnsi="Times New Roman" w:cs="Times New Roman"/>
          <w:color w:val="auto"/>
          <w:sz w:val="26"/>
          <w:szCs w:val="26"/>
        </w:rPr>
        <w:t>in light of</w:t>
      </w:r>
      <w:proofErr w:type="gramEnd"/>
      <w:r w:rsidRPr="00001309">
        <w:rPr>
          <w:rFonts w:ascii="Times New Roman" w:hAnsi="Times New Roman" w:cs="Times New Roman"/>
          <w:color w:val="auto"/>
          <w:sz w:val="26"/>
          <w:szCs w:val="26"/>
        </w:rPr>
        <w:t xml:space="preserve"> the Company’s disclosure statement. OAG/OCA St. 1 at 29-30, 51-52.</w:t>
      </w:r>
    </w:p>
    <w:p w:rsidR="00AB09AA" w:rsidRPr="00001309" w:rsidRDefault="00AB09AA" w:rsidP="00AB09AA">
      <w:pPr>
        <w:pStyle w:val="Default"/>
        <w:spacing w:line="240" w:lineRule="auto"/>
        <w:ind w:left="1440" w:right="1440" w:firstLine="0"/>
        <w:rPr>
          <w:rFonts w:ascii="Times New Roman" w:hAnsi="Times New Roman" w:cs="Times New Roman"/>
          <w:color w:val="auto"/>
          <w:sz w:val="26"/>
          <w:szCs w:val="26"/>
        </w:rPr>
      </w:pPr>
    </w:p>
    <w:p w:rsidR="00AB09AA" w:rsidRPr="00001309" w:rsidRDefault="00AB09AA" w:rsidP="00AB09AA">
      <w:pPr>
        <w:pStyle w:val="Default"/>
        <w:spacing w:line="240" w:lineRule="auto"/>
        <w:ind w:left="1440" w:right="1440" w:firstLine="0"/>
        <w:rPr>
          <w:rFonts w:ascii="Times New Roman" w:hAnsi="Times New Roman" w:cs="Times New Roman"/>
          <w:color w:val="auto"/>
          <w:sz w:val="26"/>
          <w:szCs w:val="26"/>
        </w:rPr>
      </w:pPr>
      <w:r w:rsidRPr="00001309">
        <w:rPr>
          <w:rFonts w:ascii="Times New Roman" w:hAnsi="Times New Roman" w:cs="Times New Roman"/>
          <w:color w:val="auto"/>
          <w:sz w:val="26"/>
          <w:szCs w:val="26"/>
        </w:rPr>
        <w:t xml:space="preserve">110. </w:t>
      </w:r>
      <w:r w:rsidRPr="00001309">
        <w:rPr>
          <w:color w:val="auto"/>
          <w:sz w:val="26"/>
          <w:szCs w:val="26"/>
        </w:rPr>
        <w:tab/>
      </w:r>
      <w:r w:rsidRPr="00001309">
        <w:rPr>
          <w:rFonts w:ascii="Times New Roman" w:hAnsi="Times New Roman" w:cs="Times New Roman"/>
          <w:color w:val="auto"/>
          <w:sz w:val="26"/>
          <w:szCs w:val="26"/>
        </w:rPr>
        <w:t>In response to customer complaints that Blue Pilot received in early 2014, Blue Pilot routinely defended its conduct by relying on the written disclosures concerning variable and month-to-month prices and its ability to pass through high wholesale market prices and blamed the high prices on extreme weather. OAG/OCA St. 1 at 23, 42, 52.</w:t>
      </w:r>
    </w:p>
    <w:p w:rsidR="00AB09AA" w:rsidRPr="00001309" w:rsidRDefault="00AB09AA" w:rsidP="00AB09AA">
      <w:pPr>
        <w:pStyle w:val="Default"/>
        <w:spacing w:line="240" w:lineRule="auto"/>
        <w:ind w:left="1440" w:right="1440" w:firstLine="0"/>
        <w:rPr>
          <w:rFonts w:ascii="Times New Roman" w:hAnsi="Times New Roman" w:cs="Times New Roman"/>
          <w:color w:val="auto"/>
          <w:sz w:val="26"/>
          <w:szCs w:val="26"/>
        </w:rPr>
      </w:pPr>
    </w:p>
    <w:p w:rsidR="00AB09AA" w:rsidRPr="00001309" w:rsidRDefault="00AB09AA" w:rsidP="00AB09AA">
      <w:pPr>
        <w:pStyle w:val="Default"/>
        <w:spacing w:line="240" w:lineRule="auto"/>
        <w:ind w:left="1440" w:right="1440" w:firstLine="0"/>
        <w:rPr>
          <w:rFonts w:ascii="Times New Roman" w:hAnsi="Times New Roman" w:cs="Times New Roman"/>
          <w:color w:val="auto"/>
          <w:sz w:val="26"/>
          <w:szCs w:val="26"/>
        </w:rPr>
      </w:pPr>
      <w:r w:rsidRPr="00001309">
        <w:rPr>
          <w:rFonts w:ascii="Times New Roman" w:hAnsi="Times New Roman" w:cs="Times New Roman"/>
          <w:color w:val="auto"/>
          <w:sz w:val="26"/>
          <w:szCs w:val="26"/>
        </w:rPr>
        <w:t xml:space="preserve">111. </w:t>
      </w:r>
      <w:r w:rsidRPr="00001309">
        <w:rPr>
          <w:color w:val="auto"/>
          <w:sz w:val="26"/>
          <w:szCs w:val="26"/>
        </w:rPr>
        <w:tab/>
      </w:r>
      <w:r w:rsidRPr="00001309">
        <w:rPr>
          <w:rFonts w:ascii="Times New Roman" w:hAnsi="Times New Roman" w:cs="Times New Roman"/>
          <w:color w:val="auto"/>
          <w:sz w:val="26"/>
          <w:szCs w:val="26"/>
        </w:rPr>
        <w:t>In response to customer complaints that Blue Pilot received in early 2014, Blue Pilot issued a “Customer Care Script” that provided false information about retail costs and information that conflicted with its disclosure statement. OAG/OCA St. 1 at 51-52.</w:t>
      </w:r>
    </w:p>
    <w:p w:rsidR="00AB09AA" w:rsidRPr="00001309" w:rsidRDefault="00AB09AA" w:rsidP="00AB09AA">
      <w:pPr>
        <w:pStyle w:val="Default"/>
        <w:spacing w:line="240" w:lineRule="auto"/>
        <w:ind w:left="1440" w:right="1440" w:firstLine="0"/>
        <w:rPr>
          <w:rFonts w:ascii="Times New Roman" w:hAnsi="Times New Roman" w:cs="Times New Roman"/>
          <w:color w:val="auto"/>
          <w:sz w:val="26"/>
          <w:szCs w:val="26"/>
        </w:rPr>
      </w:pPr>
    </w:p>
    <w:p w:rsidR="00AB09AA" w:rsidRPr="00001309" w:rsidRDefault="00AB09AA" w:rsidP="00AB09AA">
      <w:pPr>
        <w:pStyle w:val="Default"/>
        <w:spacing w:line="240" w:lineRule="auto"/>
        <w:ind w:left="1440" w:right="1440" w:firstLine="0"/>
        <w:rPr>
          <w:rFonts w:ascii="Times New Roman" w:hAnsi="Times New Roman" w:cs="Times New Roman"/>
          <w:color w:val="auto"/>
          <w:sz w:val="26"/>
          <w:szCs w:val="26"/>
        </w:rPr>
      </w:pPr>
      <w:r w:rsidRPr="00001309">
        <w:rPr>
          <w:rFonts w:ascii="Times New Roman" w:hAnsi="Times New Roman" w:cs="Times New Roman"/>
          <w:color w:val="auto"/>
          <w:sz w:val="26"/>
          <w:szCs w:val="26"/>
        </w:rPr>
        <w:t xml:space="preserve">112. </w:t>
      </w:r>
      <w:r w:rsidRPr="00001309">
        <w:rPr>
          <w:color w:val="auto"/>
          <w:sz w:val="26"/>
          <w:szCs w:val="26"/>
        </w:rPr>
        <w:tab/>
      </w:r>
      <w:r w:rsidRPr="00001309">
        <w:rPr>
          <w:rFonts w:ascii="Times New Roman" w:hAnsi="Times New Roman" w:cs="Times New Roman"/>
          <w:color w:val="auto"/>
          <w:sz w:val="26"/>
          <w:szCs w:val="26"/>
        </w:rPr>
        <w:t>Blue Pilot’s Customer Care Script did not provide any information to customers about their right to cancel their service with Blue Pilot and return to default service or choose another supplier. OAG/OCA St. 1 at 53.</w:t>
      </w:r>
    </w:p>
    <w:p w:rsidR="00AB09AA" w:rsidRPr="00001309" w:rsidRDefault="00AB09AA" w:rsidP="00AB09AA">
      <w:pPr>
        <w:pStyle w:val="Default"/>
        <w:spacing w:line="240" w:lineRule="auto"/>
        <w:ind w:left="1440" w:right="1440" w:firstLine="0"/>
        <w:rPr>
          <w:rFonts w:ascii="Times New Roman" w:hAnsi="Times New Roman" w:cs="Times New Roman"/>
          <w:color w:val="auto"/>
          <w:sz w:val="26"/>
          <w:szCs w:val="26"/>
        </w:rPr>
      </w:pPr>
    </w:p>
    <w:p w:rsidR="00AB09AA" w:rsidRPr="00001309" w:rsidRDefault="00AB09AA" w:rsidP="00AB09AA">
      <w:pPr>
        <w:pStyle w:val="Default"/>
        <w:spacing w:line="240" w:lineRule="auto"/>
        <w:ind w:left="1440" w:right="1440" w:firstLine="0"/>
        <w:rPr>
          <w:rFonts w:ascii="Times New Roman" w:hAnsi="Times New Roman" w:cs="Times New Roman"/>
          <w:color w:val="auto"/>
          <w:sz w:val="26"/>
          <w:szCs w:val="26"/>
        </w:rPr>
      </w:pPr>
      <w:r w:rsidRPr="00001309">
        <w:rPr>
          <w:rFonts w:ascii="Times New Roman" w:hAnsi="Times New Roman" w:cs="Times New Roman"/>
          <w:color w:val="auto"/>
          <w:sz w:val="26"/>
          <w:szCs w:val="26"/>
        </w:rPr>
        <w:t xml:space="preserve">113. </w:t>
      </w:r>
      <w:r w:rsidRPr="00001309">
        <w:rPr>
          <w:color w:val="auto"/>
          <w:sz w:val="26"/>
          <w:szCs w:val="26"/>
        </w:rPr>
        <w:tab/>
      </w:r>
      <w:r w:rsidRPr="00001309">
        <w:rPr>
          <w:rFonts w:ascii="Times New Roman" w:hAnsi="Times New Roman" w:cs="Times New Roman"/>
          <w:color w:val="auto"/>
          <w:sz w:val="26"/>
          <w:szCs w:val="26"/>
        </w:rPr>
        <w:t>In early 2014, Blue Pilot’s customer service representatives routinely told customers who contacted the Company about their high variable prices that there was nothing that could be done. OAG/OCA St. 1 at 22.</w:t>
      </w:r>
    </w:p>
    <w:p w:rsidR="00AB09AA" w:rsidRPr="00001309" w:rsidRDefault="00AB09AA" w:rsidP="00AB09AA">
      <w:pPr>
        <w:pStyle w:val="Default"/>
        <w:spacing w:line="240" w:lineRule="auto"/>
        <w:ind w:left="1440" w:right="1440" w:firstLine="0"/>
        <w:rPr>
          <w:rFonts w:ascii="Times New Roman" w:hAnsi="Times New Roman" w:cs="Times New Roman"/>
          <w:color w:val="auto"/>
          <w:sz w:val="26"/>
          <w:szCs w:val="26"/>
        </w:rPr>
      </w:pPr>
    </w:p>
    <w:p w:rsidR="00AB09AA" w:rsidRPr="00001309" w:rsidRDefault="00AB09AA" w:rsidP="00AB09AA">
      <w:pPr>
        <w:pStyle w:val="Default"/>
        <w:spacing w:line="240" w:lineRule="auto"/>
        <w:ind w:left="1440" w:right="1440" w:firstLine="0"/>
        <w:rPr>
          <w:rFonts w:ascii="Times New Roman" w:hAnsi="Times New Roman" w:cs="Times New Roman"/>
          <w:color w:val="auto"/>
          <w:sz w:val="26"/>
          <w:szCs w:val="26"/>
        </w:rPr>
      </w:pPr>
      <w:r w:rsidRPr="00001309">
        <w:rPr>
          <w:rFonts w:ascii="Times New Roman" w:hAnsi="Times New Roman" w:cs="Times New Roman"/>
          <w:color w:val="auto"/>
          <w:sz w:val="26"/>
          <w:szCs w:val="26"/>
        </w:rPr>
        <w:t xml:space="preserve">114. </w:t>
      </w:r>
      <w:r w:rsidRPr="00001309">
        <w:rPr>
          <w:color w:val="auto"/>
          <w:sz w:val="26"/>
          <w:szCs w:val="26"/>
        </w:rPr>
        <w:tab/>
      </w:r>
      <w:r w:rsidRPr="00001309">
        <w:rPr>
          <w:rFonts w:ascii="Times New Roman" w:hAnsi="Times New Roman" w:cs="Times New Roman"/>
          <w:color w:val="auto"/>
          <w:sz w:val="26"/>
          <w:szCs w:val="26"/>
        </w:rPr>
        <w:t>Blue Pilot routinely refused any relief or refund to customers who called for an explanation of or to complain about the high variable rates charged by Blue Pilot in early 2014. OAG/OCA St. 1 at 23.</w:t>
      </w:r>
    </w:p>
    <w:p w:rsidR="00AB09AA" w:rsidRPr="00001309" w:rsidRDefault="00AB09AA" w:rsidP="00AB09AA">
      <w:pPr>
        <w:pStyle w:val="Default"/>
        <w:spacing w:line="240" w:lineRule="auto"/>
        <w:ind w:left="1440" w:right="1440" w:firstLine="0"/>
        <w:rPr>
          <w:rFonts w:ascii="Times New Roman" w:hAnsi="Times New Roman" w:cs="Times New Roman"/>
          <w:color w:val="auto"/>
          <w:sz w:val="26"/>
          <w:szCs w:val="26"/>
        </w:rPr>
      </w:pPr>
    </w:p>
    <w:p w:rsidR="00AB09AA" w:rsidRPr="00001309" w:rsidRDefault="00AB09AA" w:rsidP="00AB09AA">
      <w:pPr>
        <w:pStyle w:val="Default"/>
        <w:spacing w:line="240" w:lineRule="auto"/>
        <w:ind w:left="1440" w:right="1440" w:firstLine="0"/>
        <w:rPr>
          <w:rFonts w:ascii="Times New Roman" w:hAnsi="Times New Roman" w:cs="Times New Roman"/>
          <w:color w:val="auto"/>
          <w:sz w:val="26"/>
          <w:szCs w:val="26"/>
        </w:rPr>
      </w:pPr>
      <w:r w:rsidRPr="00001309">
        <w:rPr>
          <w:rFonts w:ascii="Times New Roman" w:hAnsi="Times New Roman" w:cs="Times New Roman"/>
          <w:color w:val="auto"/>
          <w:sz w:val="26"/>
          <w:szCs w:val="26"/>
        </w:rPr>
        <w:t xml:space="preserve">115. </w:t>
      </w:r>
      <w:r w:rsidRPr="00001309">
        <w:rPr>
          <w:color w:val="auto"/>
          <w:sz w:val="26"/>
          <w:szCs w:val="26"/>
        </w:rPr>
        <w:tab/>
      </w:r>
      <w:r w:rsidRPr="00001309">
        <w:rPr>
          <w:rFonts w:ascii="Times New Roman" w:hAnsi="Times New Roman" w:cs="Times New Roman"/>
          <w:color w:val="auto"/>
          <w:sz w:val="26"/>
          <w:szCs w:val="26"/>
        </w:rPr>
        <w:t>Only 21 Blue Pilot customers received a credit and 101 Blue Pilot customers received a refund from Blue Pilot between January 2014 and September 2014. OAG/OCA St. 1 at 55.</w:t>
      </w:r>
    </w:p>
    <w:p w:rsidR="00AB09AA" w:rsidRPr="00001309" w:rsidRDefault="00AB09AA" w:rsidP="00AB09AA">
      <w:pPr>
        <w:pStyle w:val="Default"/>
        <w:spacing w:line="240" w:lineRule="auto"/>
        <w:ind w:left="1440" w:right="1440" w:firstLine="0"/>
        <w:rPr>
          <w:rFonts w:ascii="Times New Roman" w:hAnsi="Times New Roman" w:cs="Times New Roman"/>
          <w:color w:val="auto"/>
          <w:sz w:val="26"/>
          <w:szCs w:val="26"/>
        </w:rPr>
      </w:pPr>
    </w:p>
    <w:p w:rsidR="00124ECD" w:rsidRDefault="00AB09AA" w:rsidP="00AB09AA">
      <w:pPr>
        <w:pStyle w:val="Default"/>
        <w:spacing w:line="240" w:lineRule="auto"/>
        <w:ind w:left="1440" w:right="1440" w:firstLine="0"/>
        <w:rPr>
          <w:rFonts w:ascii="Times New Roman" w:hAnsi="Times New Roman" w:cs="Times New Roman"/>
          <w:color w:val="auto"/>
          <w:sz w:val="26"/>
          <w:szCs w:val="26"/>
        </w:rPr>
      </w:pPr>
      <w:r w:rsidRPr="00001309">
        <w:rPr>
          <w:rFonts w:ascii="Times New Roman" w:hAnsi="Times New Roman" w:cs="Times New Roman"/>
          <w:color w:val="auto"/>
          <w:sz w:val="26"/>
          <w:szCs w:val="26"/>
        </w:rPr>
        <w:t xml:space="preserve">116. </w:t>
      </w:r>
      <w:r w:rsidRPr="00001309">
        <w:rPr>
          <w:color w:val="auto"/>
          <w:sz w:val="26"/>
          <w:szCs w:val="26"/>
        </w:rPr>
        <w:tab/>
      </w:r>
      <w:r w:rsidRPr="00001309">
        <w:rPr>
          <w:rFonts w:ascii="Times New Roman" w:hAnsi="Times New Roman" w:cs="Times New Roman"/>
          <w:color w:val="auto"/>
          <w:sz w:val="26"/>
          <w:szCs w:val="26"/>
        </w:rPr>
        <w:t xml:space="preserve">When Blue Pilot did offer credits or rebates to customers who called about the high variable rates charged by </w:t>
      </w:r>
    </w:p>
    <w:p w:rsidR="00AB09AA" w:rsidRPr="00001309" w:rsidRDefault="00AB09AA" w:rsidP="00124ECD">
      <w:pPr>
        <w:pStyle w:val="Default"/>
        <w:keepNext/>
        <w:keepLines/>
        <w:spacing w:line="240" w:lineRule="auto"/>
        <w:ind w:left="1440" w:right="1440" w:firstLine="0"/>
        <w:rPr>
          <w:rFonts w:ascii="Times New Roman" w:hAnsi="Times New Roman" w:cs="Times New Roman"/>
          <w:color w:val="auto"/>
          <w:sz w:val="26"/>
          <w:szCs w:val="26"/>
        </w:rPr>
      </w:pPr>
      <w:r w:rsidRPr="00001309">
        <w:rPr>
          <w:rFonts w:ascii="Times New Roman" w:hAnsi="Times New Roman" w:cs="Times New Roman"/>
          <w:color w:val="auto"/>
          <w:sz w:val="26"/>
          <w:szCs w:val="26"/>
        </w:rPr>
        <w:lastRenderedPageBreak/>
        <w:t>Blue Pilot in early 2014, Blue Pilot’s policy did not treat customers who were similarly situated fairly. OAG/OCA St. 1 at 54.</w:t>
      </w:r>
    </w:p>
    <w:p w:rsidR="009E2CA0" w:rsidRPr="00001309" w:rsidRDefault="009E2CA0" w:rsidP="00124ECD">
      <w:pPr>
        <w:pStyle w:val="Default"/>
        <w:keepNext/>
        <w:keepLines/>
        <w:spacing w:line="240" w:lineRule="auto"/>
        <w:ind w:left="1440" w:right="1440" w:firstLine="0"/>
        <w:rPr>
          <w:rFonts w:ascii="Times New Roman" w:hAnsi="Times New Roman" w:cs="Times New Roman"/>
          <w:color w:val="auto"/>
          <w:sz w:val="26"/>
          <w:szCs w:val="26"/>
        </w:rPr>
      </w:pPr>
    </w:p>
    <w:p w:rsidR="009E2CA0" w:rsidRPr="00001309" w:rsidRDefault="009E2CA0" w:rsidP="00124ECD">
      <w:pPr>
        <w:pStyle w:val="Default"/>
        <w:keepNext/>
        <w:keepLines/>
        <w:spacing w:line="240" w:lineRule="auto"/>
        <w:ind w:left="1440" w:right="1440" w:firstLine="0"/>
        <w:rPr>
          <w:rFonts w:ascii="Times New Roman" w:hAnsi="Times New Roman" w:cs="Times New Roman"/>
          <w:color w:val="auto"/>
          <w:sz w:val="26"/>
          <w:szCs w:val="26"/>
        </w:rPr>
      </w:pPr>
    </w:p>
    <w:p w:rsidR="00DE4C35" w:rsidRPr="00001309" w:rsidRDefault="00501F23" w:rsidP="00DE4C35">
      <w:pPr>
        <w:autoSpaceDE w:val="0"/>
        <w:autoSpaceDN w:val="0"/>
        <w:ind w:firstLine="0"/>
        <w:rPr>
          <w:sz w:val="26"/>
          <w:szCs w:val="26"/>
        </w:rPr>
      </w:pPr>
      <w:r>
        <w:rPr>
          <w:i/>
          <w:sz w:val="26"/>
          <w:szCs w:val="26"/>
        </w:rPr>
        <w:t xml:space="preserve">See </w:t>
      </w:r>
      <w:r w:rsidR="00DE4C35" w:rsidRPr="00001309">
        <w:rPr>
          <w:sz w:val="26"/>
          <w:szCs w:val="26"/>
        </w:rPr>
        <w:t>I.D. at 29-30.</w:t>
      </w:r>
    </w:p>
    <w:p w:rsidR="00693723" w:rsidRDefault="00693723" w:rsidP="00501F23">
      <w:pPr>
        <w:autoSpaceDE w:val="0"/>
        <w:autoSpaceDN w:val="0"/>
        <w:rPr>
          <w:sz w:val="26"/>
          <w:szCs w:val="26"/>
        </w:rPr>
      </w:pPr>
    </w:p>
    <w:p w:rsidR="00501F23" w:rsidRPr="003B6549" w:rsidRDefault="00501F23" w:rsidP="00501F23">
      <w:pPr>
        <w:kinsoku w:val="0"/>
        <w:overflowPunct w:val="0"/>
        <w:textAlignment w:val="baseline"/>
        <w:rPr>
          <w:sz w:val="26"/>
          <w:szCs w:val="26"/>
        </w:rPr>
      </w:pPr>
      <w:r>
        <w:rPr>
          <w:sz w:val="26"/>
          <w:szCs w:val="26"/>
        </w:rPr>
        <w:t>Based on the foregoing, t</w:t>
      </w:r>
      <w:r w:rsidRPr="003B6549">
        <w:rPr>
          <w:sz w:val="26"/>
          <w:szCs w:val="26"/>
        </w:rPr>
        <w:t>here also is ample record evidence reflected in the Findings of Fact that Blue Pilot did not act in good faith when handling customer complaints by</w:t>
      </w:r>
      <w:r>
        <w:rPr>
          <w:sz w:val="26"/>
          <w:szCs w:val="26"/>
        </w:rPr>
        <w:t>:</w:t>
      </w:r>
      <w:r w:rsidRPr="003B6549">
        <w:rPr>
          <w:sz w:val="26"/>
          <w:szCs w:val="26"/>
        </w:rPr>
        <w:t xml:space="preserve"> </w:t>
      </w:r>
      <w:r w:rsidR="00474E36">
        <w:rPr>
          <w:sz w:val="26"/>
          <w:szCs w:val="26"/>
        </w:rPr>
        <w:t>(</w:t>
      </w:r>
      <w:r w:rsidRPr="003B6549">
        <w:rPr>
          <w:sz w:val="26"/>
          <w:szCs w:val="26"/>
        </w:rPr>
        <w:t xml:space="preserve">1) failing to investigate consumer complaints; </w:t>
      </w:r>
      <w:r w:rsidR="00474E36">
        <w:rPr>
          <w:sz w:val="26"/>
          <w:szCs w:val="26"/>
        </w:rPr>
        <w:t>(</w:t>
      </w:r>
      <w:r w:rsidRPr="003B6549">
        <w:rPr>
          <w:sz w:val="26"/>
          <w:szCs w:val="26"/>
        </w:rPr>
        <w:t xml:space="preserve">2) utilizing a customer service script that guided Blue Pilot representatives to take no responsibility for the prices charged and provided false information about retail costs that conflicted with the company's disclosure statement; </w:t>
      </w:r>
      <w:r w:rsidR="00474E36">
        <w:rPr>
          <w:sz w:val="26"/>
          <w:szCs w:val="26"/>
        </w:rPr>
        <w:t>(</w:t>
      </w:r>
      <w:r w:rsidRPr="003B6549">
        <w:rPr>
          <w:sz w:val="26"/>
          <w:szCs w:val="26"/>
        </w:rPr>
        <w:t>3) utilizing a customer service script that failed to provide any information to customers about their right to cancel and return to default</w:t>
      </w:r>
      <w:r w:rsidRPr="003B6549">
        <w:rPr>
          <w:noProof/>
          <w:sz w:val="26"/>
          <w:szCs w:val="26"/>
        </w:rPr>
        <mc:AlternateContent>
          <mc:Choice Requires="wps">
            <w:drawing>
              <wp:anchor distT="0" distB="0" distL="0" distR="0" simplePos="0" relativeHeight="251665408" behindDoc="0" locked="0" layoutInCell="0" allowOverlap="1" wp14:anchorId="7A0177AE" wp14:editId="255957B5">
                <wp:simplePos x="0" y="0"/>
                <wp:positionH relativeFrom="page">
                  <wp:posOffset>3728720</wp:posOffset>
                </wp:positionH>
                <wp:positionV relativeFrom="page">
                  <wp:posOffset>9396730</wp:posOffset>
                </wp:positionV>
                <wp:extent cx="180975" cy="140970"/>
                <wp:effectExtent l="0" t="0" r="0" b="0"/>
                <wp:wrapSquare wrapText="bothSides"/>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40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6941" w:rsidRDefault="00446941" w:rsidP="00501F23">
                            <w:pPr>
                              <w:kinsoku w:val="0"/>
                              <w:overflowPunct w:val="0"/>
                              <w:spacing w:line="221" w:lineRule="exact"/>
                              <w:textAlignment w:val="baseline"/>
                            </w:pPr>
                            <w: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177AE" id="Text Box 11" o:spid="_x0000_s1029" type="#_x0000_t202" style="position:absolute;left:0;text-align:left;margin-left:293.6pt;margin-top:739.9pt;width:14.25pt;height:11.1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" o:allowincell="f" stroked="f">
                <v:fill opacity="0"/>
                <v:textbox inset="0,0,0,0">
                  <w:txbxContent>
                    <w:p w:rsidR="00446941" w:rsidRDefault="00446941" w:rsidP="00501F23">
                      <w:pPr>
                        <w:kinsoku w:val="0"/>
                        <w:overflowPunct w:val="0"/>
                        <w:spacing w:line="221" w:lineRule="exact"/>
                        <w:textAlignment w:val="baseline"/>
                      </w:pPr>
                      <w:r>
                        <w:t>6</w:t>
                      </w:r>
                    </w:p>
                  </w:txbxContent>
                </v:textbox>
                <w10:wrap type="square" anchorx="page" anchory="page"/>
              </v:shape>
            </w:pict>
          </mc:Fallback>
        </mc:AlternateContent>
      </w:r>
      <w:r>
        <w:rPr>
          <w:sz w:val="26"/>
          <w:szCs w:val="26"/>
        </w:rPr>
        <w:t xml:space="preserve"> </w:t>
      </w:r>
      <w:r w:rsidRPr="003B6549">
        <w:rPr>
          <w:sz w:val="26"/>
          <w:szCs w:val="26"/>
        </w:rPr>
        <w:t xml:space="preserve">service or choose another supplier; (4) failing to implement a fair and consistent policy for evaluating refunds; and </w:t>
      </w:r>
      <w:r w:rsidR="00474E36">
        <w:rPr>
          <w:sz w:val="26"/>
          <w:szCs w:val="26"/>
        </w:rPr>
        <w:t>(</w:t>
      </w:r>
      <w:r w:rsidRPr="003B6549">
        <w:rPr>
          <w:sz w:val="26"/>
          <w:szCs w:val="26"/>
        </w:rPr>
        <w:t>5) failing to issue adequate refunds.</w:t>
      </w:r>
    </w:p>
    <w:p w:rsidR="00501F23" w:rsidRDefault="00501F23" w:rsidP="00501F23">
      <w:pPr>
        <w:kinsoku w:val="0"/>
        <w:overflowPunct w:val="0"/>
        <w:textAlignment w:val="baseline"/>
        <w:rPr>
          <w:sz w:val="26"/>
          <w:szCs w:val="26"/>
        </w:rPr>
      </w:pPr>
    </w:p>
    <w:p w:rsidR="00501F23" w:rsidRPr="003B6549" w:rsidRDefault="00501F23" w:rsidP="00501F23">
      <w:pPr>
        <w:kinsoku w:val="0"/>
        <w:overflowPunct w:val="0"/>
        <w:textAlignment w:val="baseline"/>
        <w:rPr>
          <w:sz w:val="26"/>
          <w:szCs w:val="26"/>
        </w:rPr>
      </w:pPr>
      <w:r w:rsidRPr="003B6549">
        <w:rPr>
          <w:sz w:val="26"/>
          <w:szCs w:val="26"/>
        </w:rPr>
        <w:t xml:space="preserve">For these reasons, </w:t>
      </w:r>
      <w:bookmarkStart w:id="32" w:name="_Hlk517826982"/>
      <w:r>
        <w:rPr>
          <w:sz w:val="26"/>
          <w:szCs w:val="26"/>
        </w:rPr>
        <w:t>the</w:t>
      </w:r>
      <w:r w:rsidRPr="003B6549">
        <w:rPr>
          <w:sz w:val="26"/>
          <w:szCs w:val="26"/>
        </w:rPr>
        <w:t xml:space="preserve"> Exception</w:t>
      </w:r>
      <w:r>
        <w:rPr>
          <w:sz w:val="26"/>
          <w:szCs w:val="26"/>
        </w:rPr>
        <w:t>s</w:t>
      </w:r>
      <w:r w:rsidRPr="003B6549">
        <w:rPr>
          <w:sz w:val="26"/>
          <w:szCs w:val="26"/>
        </w:rPr>
        <w:t xml:space="preserve"> o</w:t>
      </w:r>
      <w:r>
        <w:rPr>
          <w:sz w:val="26"/>
          <w:szCs w:val="26"/>
        </w:rPr>
        <w:t>f</w:t>
      </w:r>
      <w:r w:rsidRPr="003B6549">
        <w:rPr>
          <w:sz w:val="26"/>
          <w:szCs w:val="26"/>
        </w:rPr>
        <w:t xml:space="preserve"> </w:t>
      </w:r>
      <w:r>
        <w:rPr>
          <w:sz w:val="26"/>
          <w:szCs w:val="26"/>
        </w:rPr>
        <w:t xml:space="preserve">Blue Pilot to </w:t>
      </w:r>
      <w:r w:rsidRPr="003B6549">
        <w:rPr>
          <w:sz w:val="26"/>
          <w:szCs w:val="26"/>
        </w:rPr>
        <w:t xml:space="preserve">the </w:t>
      </w:r>
      <w:r w:rsidR="00661EE2">
        <w:rPr>
          <w:sz w:val="26"/>
          <w:szCs w:val="26"/>
        </w:rPr>
        <w:t>Initial Decision</w:t>
      </w:r>
      <w:r w:rsidRPr="003B6549">
        <w:rPr>
          <w:sz w:val="26"/>
          <w:szCs w:val="26"/>
        </w:rPr>
        <w:t xml:space="preserve"> regarding Count </w:t>
      </w:r>
      <w:bookmarkEnd w:id="32"/>
      <w:r w:rsidRPr="003B6549">
        <w:rPr>
          <w:sz w:val="26"/>
          <w:szCs w:val="26"/>
        </w:rPr>
        <w:t xml:space="preserve">IV </w:t>
      </w:r>
      <w:r w:rsidR="00AC6CE7">
        <w:rPr>
          <w:sz w:val="26"/>
          <w:szCs w:val="26"/>
        </w:rPr>
        <w:t xml:space="preserve">(Lack of Good Faith </w:t>
      </w:r>
      <w:r w:rsidR="00474E36">
        <w:rPr>
          <w:sz w:val="26"/>
          <w:szCs w:val="26"/>
        </w:rPr>
        <w:t xml:space="preserve">in </w:t>
      </w:r>
      <w:r w:rsidR="00AC6CE7">
        <w:rPr>
          <w:sz w:val="26"/>
          <w:szCs w:val="26"/>
        </w:rPr>
        <w:t xml:space="preserve">Handling of </w:t>
      </w:r>
      <w:r w:rsidRPr="003B6549">
        <w:rPr>
          <w:sz w:val="26"/>
          <w:szCs w:val="26"/>
        </w:rPr>
        <w:t>Complaint</w:t>
      </w:r>
      <w:r w:rsidR="00AC6CE7">
        <w:rPr>
          <w:sz w:val="26"/>
          <w:szCs w:val="26"/>
        </w:rPr>
        <w:t>s)</w:t>
      </w:r>
      <w:r>
        <w:rPr>
          <w:sz w:val="26"/>
          <w:szCs w:val="26"/>
        </w:rPr>
        <w:t xml:space="preserve"> are denied</w:t>
      </w:r>
      <w:r w:rsidRPr="003B6549">
        <w:rPr>
          <w:sz w:val="26"/>
          <w:szCs w:val="26"/>
        </w:rPr>
        <w:t>.</w:t>
      </w:r>
    </w:p>
    <w:p w:rsidR="00501F23" w:rsidRPr="00001309" w:rsidRDefault="00501F23" w:rsidP="00693723">
      <w:pPr>
        <w:autoSpaceDE w:val="0"/>
        <w:autoSpaceDN w:val="0"/>
        <w:ind w:firstLine="0"/>
        <w:rPr>
          <w:sz w:val="26"/>
          <w:szCs w:val="26"/>
        </w:rPr>
      </w:pPr>
    </w:p>
    <w:p w:rsidR="00683656" w:rsidRPr="003D4A9D" w:rsidRDefault="000D2ECC" w:rsidP="008D34CA">
      <w:pPr>
        <w:pStyle w:val="Heading2"/>
        <w:spacing w:before="0"/>
        <w:ind w:firstLine="0"/>
        <w:rPr>
          <w:rFonts w:ascii="Times New Roman" w:hAnsi="Times New Roman" w:cs="Times New Roman"/>
          <w:b/>
          <w:color w:val="auto"/>
        </w:rPr>
      </w:pPr>
      <w:bookmarkStart w:id="33" w:name="_Toc517831041"/>
      <w:r w:rsidRPr="003D4A9D">
        <w:rPr>
          <w:rFonts w:ascii="Times New Roman" w:hAnsi="Times New Roman" w:cs="Times New Roman"/>
          <w:b/>
          <w:color w:val="auto"/>
        </w:rPr>
        <w:t>J</w:t>
      </w:r>
      <w:r w:rsidR="00683656" w:rsidRPr="003D4A9D">
        <w:rPr>
          <w:rFonts w:ascii="Times New Roman" w:hAnsi="Times New Roman" w:cs="Times New Roman"/>
          <w:b/>
          <w:color w:val="auto"/>
        </w:rPr>
        <w:t xml:space="preserve">. </w:t>
      </w:r>
      <w:r w:rsidRPr="003D4A9D">
        <w:rPr>
          <w:rFonts w:ascii="Times New Roman" w:hAnsi="Times New Roman" w:cs="Times New Roman"/>
          <w:b/>
          <w:color w:val="auto"/>
        </w:rPr>
        <w:tab/>
      </w:r>
      <w:r w:rsidR="00683656" w:rsidRPr="003D4A9D">
        <w:rPr>
          <w:rFonts w:ascii="Times New Roman" w:hAnsi="Times New Roman" w:cs="Times New Roman"/>
          <w:b/>
          <w:color w:val="auto"/>
        </w:rPr>
        <w:t xml:space="preserve">Count V </w:t>
      </w:r>
      <w:r w:rsidR="00746AA4" w:rsidRPr="003D4A9D">
        <w:rPr>
          <w:rFonts w:ascii="Times New Roman" w:hAnsi="Times New Roman" w:cs="Times New Roman"/>
          <w:b/>
          <w:color w:val="auto"/>
        </w:rPr>
        <w:t>–</w:t>
      </w:r>
      <w:r w:rsidR="00683656" w:rsidRPr="003D4A9D">
        <w:rPr>
          <w:rFonts w:ascii="Times New Roman" w:hAnsi="Times New Roman" w:cs="Times New Roman"/>
          <w:b/>
          <w:color w:val="auto"/>
        </w:rPr>
        <w:t xml:space="preserve"> Failure to Comply with the </w:t>
      </w:r>
      <w:r w:rsidR="00527405" w:rsidRPr="003D4A9D">
        <w:rPr>
          <w:rFonts w:ascii="Times New Roman" w:hAnsi="Times New Roman" w:cs="Times New Roman"/>
          <w:b/>
          <w:color w:val="auto"/>
        </w:rPr>
        <w:t>TRA</w:t>
      </w:r>
      <w:bookmarkEnd w:id="33"/>
    </w:p>
    <w:p w:rsidR="000D2ECC" w:rsidRPr="00001309" w:rsidRDefault="000D2ECC" w:rsidP="00746AA4">
      <w:pPr>
        <w:keepNext/>
        <w:keepLines/>
        <w:autoSpaceDE w:val="0"/>
        <w:autoSpaceDN w:val="0"/>
        <w:rPr>
          <w:b/>
          <w:sz w:val="26"/>
          <w:szCs w:val="26"/>
        </w:rPr>
      </w:pPr>
    </w:p>
    <w:p w:rsidR="005752D6" w:rsidRPr="00001309" w:rsidRDefault="00AB09AA" w:rsidP="008D34CA">
      <w:pPr>
        <w:keepNext/>
        <w:keepLines/>
        <w:autoSpaceDE w:val="0"/>
        <w:autoSpaceDN w:val="0"/>
        <w:ind w:firstLine="720"/>
        <w:rPr>
          <w:b/>
          <w:sz w:val="26"/>
          <w:szCs w:val="26"/>
        </w:rPr>
      </w:pPr>
      <w:r w:rsidRPr="00001309">
        <w:rPr>
          <w:b/>
          <w:sz w:val="26"/>
          <w:szCs w:val="26"/>
        </w:rPr>
        <w:t>1.</w:t>
      </w:r>
      <w:r w:rsidRPr="00001309">
        <w:rPr>
          <w:b/>
          <w:sz w:val="26"/>
          <w:szCs w:val="26"/>
        </w:rPr>
        <w:tab/>
      </w:r>
      <w:r w:rsidR="005752D6" w:rsidRPr="00001309">
        <w:rPr>
          <w:b/>
          <w:sz w:val="26"/>
          <w:szCs w:val="26"/>
        </w:rPr>
        <w:t xml:space="preserve">Positions of the Parties </w:t>
      </w:r>
    </w:p>
    <w:p w:rsidR="00746AA4" w:rsidRPr="00001309" w:rsidRDefault="00746AA4" w:rsidP="00746AA4">
      <w:pPr>
        <w:keepNext/>
        <w:keepLines/>
        <w:autoSpaceDE w:val="0"/>
        <w:autoSpaceDN w:val="0"/>
        <w:rPr>
          <w:sz w:val="26"/>
          <w:szCs w:val="26"/>
        </w:rPr>
      </w:pPr>
    </w:p>
    <w:p w:rsidR="00F42FBF" w:rsidRPr="00001309" w:rsidRDefault="00746AA4" w:rsidP="00746AA4">
      <w:pPr>
        <w:keepNext/>
        <w:keepLines/>
        <w:autoSpaceDE w:val="0"/>
        <w:autoSpaceDN w:val="0"/>
        <w:adjustRightInd w:val="0"/>
        <w:ind w:left="1440" w:firstLine="0"/>
        <w:rPr>
          <w:b/>
          <w:sz w:val="26"/>
          <w:szCs w:val="26"/>
        </w:rPr>
      </w:pPr>
      <w:r w:rsidRPr="00001309">
        <w:rPr>
          <w:b/>
          <w:sz w:val="26"/>
          <w:szCs w:val="26"/>
        </w:rPr>
        <w:t>a.</w:t>
      </w:r>
      <w:r w:rsidRPr="00001309">
        <w:rPr>
          <w:b/>
          <w:sz w:val="26"/>
          <w:szCs w:val="26"/>
        </w:rPr>
        <w:tab/>
      </w:r>
      <w:r w:rsidR="000663E3" w:rsidRPr="00001309">
        <w:rPr>
          <w:b/>
          <w:sz w:val="26"/>
          <w:szCs w:val="26"/>
        </w:rPr>
        <w:t>Joint Complainants</w:t>
      </w:r>
    </w:p>
    <w:p w:rsidR="00AB09AA" w:rsidRPr="00001309" w:rsidRDefault="00AB09AA" w:rsidP="00746AA4">
      <w:pPr>
        <w:keepNext/>
        <w:keepLines/>
        <w:autoSpaceDE w:val="0"/>
        <w:autoSpaceDN w:val="0"/>
        <w:adjustRightInd w:val="0"/>
        <w:rPr>
          <w:sz w:val="26"/>
          <w:szCs w:val="26"/>
        </w:rPr>
      </w:pPr>
    </w:p>
    <w:p w:rsidR="00F42FBF" w:rsidRPr="00001309" w:rsidRDefault="00F42FBF" w:rsidP="00F42FBF">
      <w:pPr>
        <w:autoSpaceDE w:val="0"/>
        <w:autoSpaceDN w:val="0"/>
        <w:adjustRightInd w:val="0"/>
        <w:rPr>
          <w:sz w:val="26"/>
          <w:szCs w:val="26"/>
        </w:rPr>
      </w:pPr>
      <w:r w:rsidRPr="00001309">
        <w:rPr>
          <w:sz w:val="26"/>
          <w:szCs w:val="26"/>
        </w:rPr>
        <w:t>Joint Complaint</w:t>
      </w:r>
      <w:r w:rsidR="00657902" w:rsidRPr="00001309">
        <w:rPr>
          <w:sz w:val="26"/>
          <w:szCs w:val="26"/>
        </w:rPr>
        <w:t>s</w:t>
      </w:r>
      <w:r w:rsidRPr="00001309">
        <w:rPr>
          <w:sz w:val="26"/>
          <w:szCs w:val="26"/>
        </w:rPr>
        <w:t xml:space="preserve"> averred that Blue Pilot violated the Commission’s </w:t>
      </w:r>
      <w:r w:rsidR="0010371D" w:rsidRPr="00001309">
        <w:rPr>
          <w:sz w:val="26"/>
          <w:szCs w:val="26"/>
        </w:rPr>
        <w:t>R</w:t>
      </w:r>
      <w:r w:rsidRPr="00001309">
        <w:rPr>
          <w:sz w:val="26"/>
          <w:szCs w:val="26"/>
        </w:rPr>
        <w:t xml:space="preserve">egulations requiring compliance with the TRA and the </w:t>
      </w:r>
      <w:r w:rsidR="001531E8" w:rsidRPr="00001309">
        <w:rPr>
          <w:sz w:val="26"/>
          <w:szCs w:val="26"/>
        </w:rPr>
        <w:t>CPL</w:t>
      </w:r>
      <w:r w:rsidR="00657902" w:rsidRPr="00001309">
        <w:rPr>
          <w:sz w:val="26"/>
          <w:szCs w:val="26"/>
        </w:rPr>
        <w:t xml:space="preserve">.  </w:t>
      </w:r>
      <w:r w:rsidR="007D1D5A" w:rsidRPr="00001309">
        <w:rPr>
          <w:sz w:val="26"/>
          <w:szCs w:val="26"/>
        </w:rPr>
        <w:t xml:space="preserve">According to </w:t>
      </w:r>
      <w:r w:rsidR="008D34CA">
        <w:rPr>
          <w:sz w:val="26"/>
          <w:szCs w:val="26"/>
        </w:rPr>
        <w:t xml:space="preserve">the </w:t>
      </w:r>
      <w:r w:rsidR="007D1D5A" w:rsidRPr="00001309">
        <w:rPr>
          <w:sz w:val="26"/>
          <w:szCs w:val="26"/>
        </w:rPr>
        <w:t>Joint Complainants, t</w:t>
      </w:r>
      <w:r w:rsidR="00657902" w:rsidRPr="00001309">
        <w:rPr>
          <w:sz w:val="26"/>
          <w:szCs w:val="26"/>
        </w:rPr>
        <w:t xml:space="preserve">he violations resulted </w:t>
      </w:r>
      <w:r w:rsidRPr="00001309">
        <w:rPr>
          <w:sz w:val="26"/>
          <w:szCs w:val="26"/>
        </w:rPr>
        <w:t xml:space="preserve">because when the </w:t>
      </w:r>
      <w:r w:rsidR="00657902" w:rsidRPr="00001309">
        <w:rPr>
          <w:sz w:val="26"/>
          <w:szCs w:val="26"/>
        </w:rPr>
        <w:t>Blue Pilot</w:t>
      </w:r>
      <w:r w:rsidRPr="00001309">
        <w:rPr>
          <w:sz w:val="26"/>
          <w:szCs w:val="26"/>
        </w:rPr>
        <w:t xml:space="preserve"> consummated sales of its generation supply plans</w:t>
      </w:r>
      <w:r w:rsidR="00657902" w:rsidRPr="00001309">
        <w:rPr>
          <w:sz w:val="26"/>
          <w:szCs w:val="26"/>
        </w:rPr>
        <w:t>/offering</w:t>
      </w:r>
      <w:r w:rsidR="0052641A" w:rsidRPr="00001309">
        <w:rPr>
          <w:sz w:val="26"/>
          <w:szCs w:val="26"/>
        </w:rPr>
        <w:t xml:space="preserve"> products</w:t>
      </w:r>
      <w:r w:rsidRPr="00001309">
        <w:rPr>
          <w:sz w:val="26"/>
          <w:szCs w:val="26"/>
        </w:rPr>
        <w:t xml:space="preserve"> through telemarketing calls to consumers, Blue </w:t>
      </w:r>
      <w:r w:rsidRPr="00001309">
        <w:rPr>
          <w:sz w:val="26"/>
          <w:szCs w:val="26"/>
        </w:rPr>
        <w:lastRenderedPageBreak/>
        <w:t xml:space="preserve">Pilot failed to reduce the sales to written contracts and failed to obtain the consumers’ signatures on the contracts.  I.D. at </w:t>
      </w:r>
      <w:r w:rsidR="007E0CDD" w:rsidRPr="00001309">
        <w:rPr>
          <w:sz w:val="26"/>
          <w:szCs w:val="26"/>
        </w:rPr>
        <w:t>106.</w:t>
      </w:r>
    </w:p>
    <w:p w:rsidR="00F42FBF" w:rsidRPr="00001309" w:rsidRDefault="00F42FBF" w:rsidP="00F42FBF">
      <w:pPr>
        <w:autoSpaceDE w:val="0"/>
        <w:autoSpaceDN w:val="0"/>
        <w:adjustRightInd w:val="0"/>
        <w:rPr>
          <w:sz w:val="26"/>
          <w:szCs w:val="26"/>
        </w:rPr>
      </w:pPr>
    </w:p>
    <w:p w:rsidR="00F42FBF" w:rsidRPr="00001309" w:rsidRDefault="00493721" w:rsidP="00F42FBF">
      <w:pPr>
        <w:autoSpaceDE w:val="0"/>
        <w:autoSpaceDN w:val="0"/>
        <w:adjustRightInd w:val="0"/>
        <w:rPr>
          <w:sz w:val="26"/>
          <w:szCs w:val="26"/>
        </w:rPr>
      </w:pPr>
      <w:r>
        <w:rPr>
          <w:sz w:val="26"/>
          <w:szCs w:val="26"/>
        </w:rPr>
        <w:t xml:space="preserve">The </w:t>
      </w:r>
      <w:r w:rsidR="00F42FBF" w:rsidRPr="00001309">
        <w:rPr>
          <w:sz w:val="26"/>
          <w:szCs w:val="26"/>
        </w:rPr>
        <w:t xml:space="preserve">Joint Complainants also alleged that Blue Pilot failed to provide to customers, </w:t>
      </w:r>
      <w:r w:rsidR="00657902" w:rsidRPr="00001309">
        <w:rPr>
          <w:sz w:val="26"/>
          <w:szCs w:val="26"/>
        </w:rPr>
        <w:t>obtained</w:t>
      </w:r>
      <w:r w:rsidR="00F42FBF" w:rsidRPr="00001309">
        <w:rPr>
          <w:sz w:val="26"/>
          <w:szCs w:val="26"/>
        </w:rPr>
        <w:t xml:space="preserve"> through telemarketing calls, contracts that contain the following: (1) a detailed description of the consumer goods and services purchased that matched the oral description given in the telemarketing solicitation; (2) any oral or written representations made during the telemarketing solicitation; and (3) a statement that reads: “You are not obligated to pay any money unless you sign this contract and return it to the seller.”  </w:t>
      </w:r>
      <w:r>
        <w:rPr>
          <w:sz w:val="26"/>
          <w:szCs w:val="26"/>
        </w:rPr>
        <w:t xml:space="preserve">The </w:t>
      </w:r>
      <w:r w:rsidR="00F42FBF" w:rsidRPr="00001309">
        <w:rPr>
          <w:sz w:val="26"/>
          <w:szCs w:val="26"/>
        </w:rPr>
        <w:t xml:space="preserve">Joint Complainants averred that these omissions violated the Commission’s </w:t>
      </w:r>
      <w:r w:rsidR="0010371D" w:rsidRPr="00001309">
        <w:rPr>
          <w:sz w:val="26"/>
          <w:szCs w:val="26"/>
        </w:rPr>
        <w:t>R</w:t>
      </w:r>
      <w:r w:rsidR="00F42FBF" w:rsidRPr="00001309">
        <w:rPr>
          <w:sz w:val="26"/>
          <w:szCs w:val="26"/>
        </w:rPr>
        <w:t>egulations at Sections 111.10(a) (requiring compliance with the TRA with the exception of the registration requirement in the Act); 54.43(f) (relating to EGS responsibility for the fraudulent, deceptive or other unlawful behavior of its employees, agents or representatives); and 111.12(d)(1) (prohibiting misleading or deceptive conduct as defined by State or Federal law or by Commission rule, regulation or order), 52 Pa. Code §§ 54.43(f), 111.10(a) and 111.12(d)(1).</w:t>
      </w:r>
      <w:r w:rsidR="007E0CDD" w:rsidRPr="00001309">
        <w:rPr>
          <w:sz w:val="26"/>
          <w:szCs w:val="26"/>
        </w:rPr>
        <w:t xml:space="preserve">  I.D. at 106-107.</w:t>
      </w:r>
    </w:p>
    <w:p w:rsidR="00F42FBF" w:rsidRPr="00001309" w:rsidRDefault="00F42FBF" w:rsidP="00F42FBF">
      <w:pPr>
        <w:autoSpaceDE w:val="0"/>
        <w:autoSpaceDN w:val="0"/>
        <w:adjustRightInd w:val="0"/>
        <w:rPr>
          <w:sz w:val="26"/>
          <w:szCs w:val="26"/>
        </w:rPr>
      </w:pPr>
    </w:p>
    <w:p w:rsidR="00F42FBF" w:rsidRPr="00001309" w:rsidRDefault="00746AA4" w:rsidP="00746AA4">
      <w:pPr>
        <w:keepNext/>
        <w:keepLines/>
        <w:autoSpaceDE w:val="0"/>
        <w:autoSpaceDN w:val="0"/>
        <w:adjustRightInd w:val="0"/>
        <w:rPr>
          <w:b/>
          <w:sz w:val="26"/>
          <w:szCs w:val="26"/>
        </w:rPr>
      </w:pPr>
      <w:r w:rsidRPr="00001309">
        <w:rPr>
          <w:b/>
          <w:sz w:val="26"/>
          <w:szCs w:val="26"/>
        </w:rPr>
        <w:t>b.</w:t>
      </w:r>
      <w:r w:rsidRPr="00001309">
        <w:rPr>
          <w:b/>
          <w:sz w:val="26"/>
          <w:szCs w:val="26"/>
        </w:rPr>
        <w:tab/>
      </w:r>
      <w:r w:rsidR="00F42FBF" w:rsidRPr="00001309">
        <w:rPr>
          <w:b/>
          <w:sz w:val="26"/>
          <w:szCs w:val="26"/>
        </w:rPr>
        <w:t xml:space="preserve">Blue Pilot </w:t>
      </w:r>
    </w:p>
    <w:p w:rsidR="007E0CDD" w:rsidRPr="00001309" w:rsidRDefault="007E0CDD" w:rsidP="00746AA4">
      <w:pPr>
        <w:keepNext/>
        <w:keepLines/>
        <w:autoSpaceDE w:val="0"/>
        <w:autoSpaceDN w:val="0"/>
        <w:adjustRightInd w:val="0"/>
        <w:rPr>
          <w:b/>
          <w:sz w:val="26"/>
          <w:szCs w:val="26"/>
        </w:rPr>
      </w:pPr>
    </w:p>
    <w:p w:rsidR="00F42FBF" w:rsidRPr="00001309" w:rsidRDefault="00F42FBF" w:rsidP="00F42FBF">
      <w:pPr>
        <w:autoSpaceDE w:val="0"/>
        <w:autoSpaceDN w:val="0"/>
        <w:adjustRightInd w:val="0"/>
        <w:rPr>
          <w:sz w:val="26"/>
          <w:szCs w:val="26"/>
        </w:rPr>
      </w:pPr>
      <w:r w:rsidRPr="00001309">
        <w:rPr>
          <w:sz w:val="26"/>
          <w:szCs w:val="26"/>
        </w:rPr>
        <w:t xml:space="preserve">Blue Pilot took the position that this count should be dismissed because the Commission has no authority to hear claims brought under the TRA.  </w:t>
      </w:r>
      <w:r w:rsidR="007E0CDD" w:rsidRPr="00001309">
        <w:rPr>
          <w:sz w:val="26"/>
          <w:szCs w:val="26"/>
        </w:rPr>
        <w:t xml:space="preserve">Blue Pilot argued that its position </w:t>
      </w:r>
      <w:r w:rsidRPr="00001309">
        <w:rPr>
          <w:sz w:val="26"/>
          <w:szCs w:val="26"/>
        </w:rPr>
        <w:t xml:space="preserve">is consistent with the </w:t>
      </w:r>
      <w:r w:rsidRPr="00001309">
        <w:rPr>
          <w:i/>
          <w:sz w:val="26"/>
          <w:szCs w:val="26"/>
        </w:rPr>
        <w:t>Blue Pilot Interlocutory Order</w:t>
      </w:r>
      <w:r w:rsidRPr="00001309">
        <w:rPr>
          <w:sz w:val="26"/>
          <w:szCs w:val="26"/>
        </w:rPr>
        <w:t>.</w:t>
      </w:r>
      <w:r w:rsidR="007E0CDD" w:rsidRPr="00001309">
        <w:rPr>
          <w:sz w:val="26"/>
          <w:szCs w:val="26"/>
        </w:rPr>
        <w:t xml:space="preserve">  I.D. at 107.</w:t>
      </w:r>
    </w:p>
    <w:p w:rsidR="00F42FBF" w:rsidRPr="00001309" w:rsidRDefault="00F42FBF" w:rsidP="00F42FBF">
      <w:pPr>
        <w:autoSpaceDE w:val="0"/>
        <w:autoSpaceDN w:val="0"/>
        <w:adjustRightInd w:val="0"/>
        <w:rPr>
          <w:sz w:val="26"/>
          <w:szCs w:val="26"/>
        </w:rPr>
      </w:pPr>
    </w:p>
    <w:p w:rsidR="00F42FBF" w:rsidRPr="00001309" w:rsidRDefault="00F42FBF" w:rsidP="00F42FBF">
      <w:pPr>
        <w:autoSpaceDE w:val="0"/>
        <w:autoSpaceDN w:val="0"/>
        <w:adjustRightInd w:val="0"/>
        <w:rPr>
          <w:sz w:val="26"/>
          <w:szCs w:val="26"/>
        </w:rPr>
      </w:pPr>
      <w:r w:rsidRPr="00001309">
        <w:rPr>
          <w:sz w:val="26"/>
          <w:szCs w:val="26"/>
        </w:rPr>
        <w:t xml:space="preserve">In the alternative, explained Blue Pilot, even if the Commission has jurisdiction to find violations of its </w:t>
      </w:r>
      <w:r w:rsidR="00661EE2">
        <w:rPr>
          <w:sz w:val="26"/>
          <w:szCs w:val="26"/>
        </w:rPr>
        <w:t>R</w:t>
      </w:r>
      <w:r w:rsidRPr="00001309">
        <w:rPr>
          <w:sz w:val="26"/>
          <w:szCs w:val="26"/>
        </w:rPr>
        <w:t xml:space="preserve">egulations which </w:t>
      </w:r>
      <w:r w:rsidR="007E0CDD" w:rsidRPr="00001309">
        <w:rPr>
          <w:sz w:val="26"/>
          <w:szCs w:val="26"/>
        </w:rPr>
        <w:t xml:space="preserve">it </w:t>
      </w:r>
      <w:r w:rsidRPr="00001309">
        <w:rPr>
          <w:sz w:val="26"/>
          <w:szCs w:val="26"/>
        </w:rPr>
        <w:t>consider</w:t>
      </w:r>
      <w:r w:rsidR="007E0CDD" w:rsidRPr="00001309">
        <w:rPr>
          <w:sz w:val="26"/>
          <w:szCs w:val="26"/>
        </w:rPr>
        <w:t>s</w:t>
      </w:r>
      <w:r w:rsidRPr="00001309">
        <w:rPr>
          <w:sz w:val="26"/>
          <w:szCs w:val="26"/>
        </w:rPr>
        <w:t xml:space="preserve"> </w:t>
      </w:r>
      <w:r w:rsidR="007E0CDD" w:rsidRPr="00001309">
        <w:rPr>
          <w:sz w:val="26"/>
          <w:szCs w:val="26"/>
        </w:rPr>
        <w:t xml:space="preserve">also to be </w:t>
      </w:r>
      <w:r w:rsidRPr="00001309">
        <w:rPr>
          <w:sz w:val="26"/>
          <w:szCs w:val="26"/>
        </w:rPr>
        <w:t>violations of the TRA, the evidence is insufficient to show Blue Pilot committed a violation of the Act and/or TRA.</w:t>
      </w:r>
      <w:r w:rsidR="007E0CDD" w:rsidRPr="00001309">
        <w:rPr>
          <w:sz w:val="26"/>
          <w:szCs w:val="26"/>
        </w:rPr>
        <w:t xml:space="preserve">  I.D. at 107.</w:t>
      </w:r>
      <w:r w:rsidRPr="00001309">
        <w:rPr>
          <w:sz w:val="26"/>
          <w:szCs w:val="26"/>
        </w:rPr>
        <w:t xml:space="preserve"> </w:t>
      </w:r>
      <w:r w:rsidR="009C7A36" w:rsidRPr="00001309">
        <w:rPr>
          <w:sz w:val="26"/>
          <w:szCs w:val="26"/>
        </w:rPr>
        <w:t xml:space="preserve"> </w:t>
      </w:r>
      <w:r w:rsidRPr="00001309">
        <w:rPr>
          <w:sz w:val="26"/>
          <w:szCs w:val="26"/>
        </w:rPr>
        <w:t xml:space="preserve">Blue Pilot contends that allowing the process of switching </w:t>
      </w:r>
      <w:r w:rsidR="009C7A36" w:rsidRPr="00001309">
        <w:rPr>
          <w:sz w:val="26"/>
          <w:szCs w:val="26"/>
        </w:rPr>
        <w:t xml:space="preserve">to an </w:t>
      </w:r>
      <w:r w:rsidR="00532267" w:rsidRPr="00001309">
        <w:rPr>
          <w:sz w:val="26"/>
          <w:szCs w:val="26"/>
        </w:rPr>
        <w:t>EGS</w:t>
      </w:r>
      <w:r w:rsidR="009C7A36" w:rsidRPr="00001309">
        <w:rPr>
          <w:sz w:val="26"/>
          <w:szCs w:val="26"/>
        </w:rPr>
        <w:t>, to</w:t>
      </w:r>
      <w:r w:rsidRPr="00001309">
        <w:rPr>
          <w:sz w:val="26"/>
          <w:szCs w:val="26"/>
        </w:rPr>
        <w:t xml:space="preserve"> be written, oral, or electronic, under Section 111.7, implies the Commission does not require a written contract and has not imposed any regulatory obligation upon the EGS </w:t>
      </w:r>
      <w:r w:rsidRPr="00001309">
        <w:rPr>
          <w:sz w:val="26"/>
          <w:szCs w:val="26"/>
        </w:rPr>
        <w:lastRenderedPageBreak/>
        <w:t xml:space="preserve">to reduce verbal commitments to written agreements, signed and executed by the customers. 52 Pa. Code § 111.7.  Thus, Blue Pilot </w:t>
      </w:r>
      <w:r w:rsidR="005A61D9" w:rsidRPr="00001309">
        <w:rPr>
          <w:sz w:val="26"/>
          <w:szCs w:val="26"/>
        </w:rPr>
        <w:t xml:space="preserve">claims it </w:t>
      </w:r>
      <w:r w:rsidRPr="00001309">
        <w:rPr>
          <w:sz w:val="26"/>
          <w:szCs w:val="26"/>
        </w:rPr>
        <w:t>violated no regulation by not reducing verbal agreements to written agreements.</w:t>
      </w:r>
      <w:r w:rsidR="007E0CDD" w:rsidRPr="00001309">
        <w:rPr>
          <w:sz w:val="26"/>
          <w:szCs w:val="26"/>
        </w:rPr>
        <w:t xml:space="preserve">  </w:t>
      </w:r>
      <w:r w:rsidR="007E0CDD" w:rsidRPr="00001309">
        <w:rPr>
          <w:i/>
          <w:sz w:val="26"/>
          <w:szCs w:val="26"/>
        </w:rPr>
        <w:t>Id</w:t>
      </w:r>
      <w:r w:rsidR="007E0CDD" w:rsidRPr="00001309">
        <w:rPr>
          <w:sz w:val="26"/>
          <w:szCs w:val="26"/>
        </w:rPr>
        <w:t>.</w:t>
      </w:r>
    </w:p>
    <w:p w:rsidR="00F42FBF" w:rsidRPr="00001309" w:rsidRDefault="00F42FBF" w:rsidP="00F42FBF">
      <w:pPr>
        <w:autoSpaceDE w:val="0"/>
        <w:autoSpaceDN w:val="0"/>
        <w:adjustRightInd w:val="0"/>
        <w:rPr>
          <w:b/>
          <w:sz w:val="26"/>
          <w:szCs w:val="26"/>
        </w:rPr>
      </w:pPr>
    </w:p>
    <w:p w:rsidR="00767BF5" w:rsidRPr="00001309" w:rsidRDefault="0010371D" w:rsidP="008D34CA">
      <w:pPr>
        <w:keepNext/>
        <w:keepLines/>
        <w:autoSpaceDE w:val="0"/>
        <w:autoSpaceDN w:val="0"/>
        <w:adjustRightInd w:val="0"/>
        <w:ind w:firstLine="720"/>
        <w:rPr>
          <w:b/>
          <w:sz w:val="26"/>
          <w:szCs w:val="26"/>
        </w:rPr>
      </w:pPr>
      <w:r w:rsidRPr="00001309">
        <w:rPr>
          <w:b/>
          <w:sz w:val="26"/>
          <w:szCs w:val="26"/>
        </w:rPr>
        <w:t>2</w:t>
      </w:r>
      <w:r w:rsidR="00746AA4" w:rsidRPr="00001309">
        <w:rPr>
          <w:b/>
          <w:sz w:val="26"/>
          <w:szCs w:val="26"/>
        </w:rPr>
        <w:t>.</w:t>
      </w:r>
      <w:r w:rsidR="00746AA4" w:rsidRPr="00001309">
        <w:rPr>
          <w:b/>
          <w:sz w:val="26"/>
          <w:szCs w:val="26"/>
        </w:rPr>
        <w:tab/>
      </w:r>
      <w:r w:rsidR="00767BF5" w:rsidRPr="00001309">
        <w:rPr>
          <w:b/>
          <w:sz w:val="26"/>
          <w:szCs w:val="26"/>
        </w:rPr>
        <w:t>ALJ</w:t>
      </w:r>
      <w:r w:rsidR="00B0568F" w:rsidRPr="00001309">
        <w:rPr>
          <w:b/>
          <w:sz w:val="26"/>
          <w:szCs w:val="26"/>
        </w:rPr>
        <w:t>s</w:t>
      </w:r>
      <w:r w:rsidR="00767BF5" w:rsidRPr="00001309">
        <w:rPr>
          <w:b/>
          <w:sz w:val="26"/>
          <w:szCs w:val="26"/>
        </w:rPr>
        <w:t>’ Recommendations</w:t>
      </w:r>
    </w:p>
    <w:p w:rsidR="00B0568F" w:rsidRPr="00001309" w:rsidRDefault="00B0568F" w:rsidP="00746AA4">
      <w:pPr>
        <w:keepNext/>
        <w:keepLines/>
        <w:autoSpaceDE w:val="0"/>
        <w:autoSpaceDN w:val="0"/>
        <w:adjustRightInd w:val="0"/>
        <w:rPr>
          <w:sz w:val="26"/>
          <w:szCs w:val="26"/>
        </w:rPr>
      </w:pPr>
    </w:p>
    <w:p w:rsidR="00B0568F" w:rsidRPr="00001309" w:rsidRDefault="00B0568F" w:rsidP="00193DEA">
      <w:pPr>
        <w:autoSpaceDE w:val="0"/>
        <w:autoSpaceDN w:val="0"/>
        <w:adjustRightInd w:val="0"/>
        <w:rPr>
          <w:sz w:val="26"/>
          <w:szCs w:val="26"/>
        </w:rPr>
      </w:pPr>
      <w:r w:rsidRPr="00001309">
        <w:rPr>
          <w:sz w:val="26"/>
          <w:szCs w:val="26"/>
        </w:rPr>
        <w:t>At pages 107-112, the ALJs engage in an extensive discussion and analysis of the requirements of the TRA as those requirements would apply to the telemarketing activities of EGS companies subject to the jurisdiction of this Commission.  In substantial reliance on an advisory opinion of the Office of Attorney General, the ALJs conclude that an EGS is a “telemarketer” for purposes of the TRA.  I.D. at 110, citing</w:t>
      </w:r>
      <w:r w:rsidR="00193DEA" w:rsidRPr="00001309">
        <w:rPr>
          <w:sz w:val="26"/>
          <w:szCs w:val="26"/>
        </w:rPr>
        <w:t xml:space="preserve"> </w:t>
      </w:r>
      <w:r w:rsidRPr="001573EB">
        <w:rPr>
          <w:i/>
          <w:sz w:val="26"/>
          <w:szCs w:val="26"/>
        </w:rPr>
        <w:t>Request for Opinion</w:t>
      </w:r>
      <w:r w:rsidRPr="00001309">
        <w:rPr>
          <w:sz w:val="26"/>
          <w:szCs w:val="26"/>
        </w:rPr>
        <w:t>, 2010 Pa. AG LEXIS 1 (Feb. 8, 2010).</w:t>
      </w:r>
    </w:p>
    <w:p w:rsidR="00B0568F" w:rsidRPr="00001309" w:rsidRDefault="00B0568F" w:rsidP="000D2ECC">
      <w:pPr>
        <w:autoSpaceDE w:val="0"/>
        <w:autoSpaceDN w:val="0"/>
        <w:adjustRightInd w:val="0"/>
        <w:rPr>
          <w:b/>
          <w:sz w:val="26"/>
          <w:szCs w:val="26"/>
        </w:rPr>
      </w:pPr>
    </w:p>
    <w:p w:rsidR="00193DEA" w:rsidRPr="00001309" w:rsidRDefault="00193DEA" w:rsidP="000D2ECC">
      <w:pPr>
        <w:autoSpaceDE w:val="0"/>
        <w:autoSpaceDN w:val="0"/>
        <w:adjustRightInd w:val="0"/>
        <w:rPr>
          <w:sz w:val="26"/>
          <w:szCs w:val="26"/>
        </w:rPr>
      </w:pPr>
      <w:r w:rsidRPr="00001309">
        <w:rPr>
          <w:sz w:val="26"/>
          <w:szCs w:val="26"/>
        </w:rPr>
        <w:t>Based on the analysis of the TRA, and on consideration of the expert witness testimony of Ms. Alexander, the ALJs concluded, in pertinent part:</w:t>
      </w:r>
    </w:p>
    <w:p w:rsidR="00193DEA" w:rsidRPr="00001309" w:rsidRDefault="00193DEA" w:rsidP="000D2ECC">
      <w:pPr>
        <w:autoSpaceDE w:val="0"/>
        <w:autoSpaceDN w:val="0"/>
        <w:adjustRightInd w:val="0"/>
        <w:rPr>
          <w:sz w:val="26"/>
          <w:szCs w:val="26"/>
        </w:rPr>
      </w:pPr>
    </w:p>
    <w:p w:rsidR="00263FC1" w:rsidRPr="00001309" w:rsidRDefault="00263FC1" w:rsidP="00263FC1">
      <w:pPr>
        <w:pStyle w:val="Default"/>
        <w:spacing w:line="240" w:lineRule="auto"/>
        <w:ind w:left="1440" w:right="1440" w:firstLine="720"/>
        <w:rPr>
          <w:rFonts w:ascii="Times New Roman" w:hAnsi="Times New Roman" w:cs="Times New Roman"/>
          <w:color w:val="auto"/>
          <w:sz w:val="26"/>
          <w:szCs w:val="26"/>
        </w:rPr>
      </w:pPr>
      <w:r w:rsidRPr="00001309">
        <w:rPr>
          <w:rFonts w:ascii="Times New Roman" w:hAnsi="Times New Roman" w:cs="Times New Roman"/>
          <w:color w:val="auto"/>
          <w:sz w:val="26"/>
          <w:szCs w:val="26"/>
        </w:rPr>
        <w:t xml:space="preserve">As described above regarding Counts I, II, and III, Blue Pilot promoted its product with repeated references to savings, emphasized in its initial price, without explaining the potential impact of variable prices and omitted material disclosures about its terms in sales scripts, oral presentations and verification scripts. This conduct misled consumers when accompanied by a written disclosure statement that does not reflect any of the oral statements used to sell the product. </w:t>
      </w:r>
    </w:p>
    <w:p w:rsidR="00263FC1" w:rsidRPr="00001309" w:rsidRDefault="00263FC1" w:rsidP="00263FC1">
      <w:pPr>
        <w:pStyle w:val="Default"/>
        <w:spacing w:line="240" w:lineRule="auto"/>
        <w:ind w:left="1440" w:right="1440" w:firstLine="0"/>
        <w:rPr>
          <w:rFonts w:ascii="Times New Roman" w:hAnsi="Times New Roman" w:cs="Times New Roman"/>
          <w:color w:val="auto"/>
          <w:sz w:val="26"/>
          <w:szCs w:val="26"/>
        </w:rPr>
      </w:pPr>
    </w:p>
    <w:p w:rsidR="00263FC1" w:rsidRPr="00001309" w:rsidRDefault="00263FC1" w:rsidP="00263FC1">
      <w:pPr>
        <w:pStyle w:val="Default"/>
        <w:spacing w:line="240" w:lineRule="auto"/>
        <w:ind w:left="1440" w:right="1440" w:firstLine="720"/>
        <w:rPr>
          <w:rFonts w:ascii="Times New Roman" w:hAnsi="Times New Roman" w:cs="Times New Roman"/>
          <w:color w:val="auto"/>
          <w:sz w:val="26"/>
          <w:szCs w:val="26"/>
        </w:rPr>
      </w:pPr>
      <w:r w:rsidRPr="00001309">
        <w:rPr>
          <w:rFonts w:ascii="Times New Roman" w:hAnsi="Times New Roman" w:cs="Times New Roman"/>
          <w:color w:val="auto"/>
          <w:sz w:val="26"/>
          <w:szCs w:val="26"/>
        </w:rPr>
        <w:t xml:space="preserve">Although several small business consumers did sign a fax, </w:t>
      </w:r>
      <w:proofErr w:type="gramStart"/>
      <w:r w:rsidRPr="00001309">
        <w:rPr>
          <w:rFonts w:ascii="Times New Roman" w:hAnsi="Times New Roman" w:cs="Times New Roman"/>
          <w:color w:val="auto"/>
          <w:sz w:val="26"/>
          <w:szCs w:val="26"/>
        </w:rPr>
        <w:t>the majority of</w:t>
      </w:r>
      <w:proofErr w:type="gramEnd"/>
      <w:r w:rsidRPr="00001309">
        <w:rPr>
          <w:rFonts w:ascii="Times New Roman" w:hAnsi="Times New Roman" w:cs="Times New Roman"/>
          <w:color w:val="auto"/>
          <w:sz w:val="26"/>
          <w:szCs w:val="26"/>
        </w:rPr>
        <w:t xml:space="preserve"> consumers overall did not sign anything. Finding of Fact No. 30.</w:t>
      </w:r>
    </w:p>
    <w:p w:rsidR="005A61D9" w:rsidRPr="00001309" w:rsidRDefault="005A61D9" w:rsidP="00263FC1">
      <w:pPr>
        <w:pStyle w:val="Default"/>
        <w:spacing w:line="240" w:lineRule="auto"/>
        <w:ind w:left="1440" w:right="1440" w:firstLine="720"/>
        <w:rPr>
          <w:rFonts w:ascii="Times New Roman" w:hAnsi="Times New Roman" w:cs="Times New Roman"/>
          <w:color w:val="auto"/>
          <w:sz w:val="26"/>
          <w:szCs w:val="26"/>
        </w:rPr>
      </w:pPr>
    </w:p>
    <w:p w:rsidR="005A61D9" w:rsidRPr="00001309" w:rsidRDefault="008B4C2B" w:rsidP="008B4C2B">
      <w:pPr>
        <w:pStyle w:val="Default"/>
        <w:spacing w:line="240" w:lineRule="auto"/>
        <w:ind w:left="1440" w:right="1440" w:firstLine="0"/>
        <w:jc w:val="center"/>
        <w:rPr>
          <w:rFonts w:ascii="Times New Roman" w:hAnsi="Times New Roman" w:cs="Times New Roman"/>
          <w:color w:val="auto"/>
          <w:sz w:val="26"/>
          <w:szCs w:val="26"/>
        </w:rPr>
      </w:pPr>
      <w:r w:rsidRPr="00001309">
        <w:rPr>
          <w:color w:val="auto"/>
          <w:sz w:val="26"/>
          <w:szCs w:val="26"/>
        </w:rPr>
        <w:t>*          *          *</w:t>
      </w:r>
    </w:p>
    <w:p w:rsidR="005A61D9" w:rsidRPr="00001309" w:rsidRDefault="005A61D9" w:rsidP="00263FC1">
      <w:pPr>
        <w:pStyle w:val="Default"/>
        <w:spacing w:line="240" w:lineRule="auto"/>
        <w:ind w:left="1440" w:right="1440" w:firstLine="720"/>
        <w:rPr>
          <w:rFonts w:ascii="Times New Roman" w:hAnsi="Times New Roman" w:cs="Times New Roman"/>
          <w:color w:val="auto"/>
          <w:sz w:val="26"/>
          <w:szCs w:val="26"/>
        </w:rPr>
      </w:pPr>
    </w:p>
    <w:p w:rsidR="00263FC1" w:rsidRPr="00001309" w:rsidRDefault="00263FC1" w:rsidP="00263FC1">
      <w:pPr>
        <w:pStyle w:val="Default"/>
        <w:spacing w:line="240" w:lineRule="auto"/>
        <w:ind w:left="1440" w:right="1440" w:firstLine="720"/>
        <w:rPr>
          <w:rFonts w:ascii="Times New Roman" w:hAnsi="Times New Roman" w:cs="Times New Roman"/>
          <w:color w:val="auto"/>
          <w:sz w:val="26"/>
          <w:szCs w:val="26"/>
        </w:rPr>
      </w:pPr>
      <w:r w:rsidRPr="00001309">
        <w:rPr>
          <w:rFonts w:ascii="Times New Roman" w:hAnsi="Times New Roman" w:cs="Times New Roman"/>
          <w:color w:val="auto"/>
          <w:sz w:val="26"/>
          <w:szCs w:val="26"/>
        </w:rPr>
        <w:t xml:space="preserve">Section 111.10(c) of the Commission’s regulations and Section 2245(a)(7) of the TRA require Blue Pilot to reduce any sale of goods or services made during a telemarketing call to a written contract and send that document to the </w:t>
      </w:r>
      <w:r w:rsidRPr="00001309">
        <w:rPr>
          <w:rFonts w:ascii="Times New Roman" w:hAnsi="Times New Roman" w:cs="Times New Roman"/>
          <w:color w:val="auto"/>
          <w:sz w:val="26"/>
          <w:szCs w:val="26"/>
        </w:rPr>
        <w:lastRenderedPageBreak/>
        <w:t>consumer and obtain his or her signature.  52 Pa.Code §</w:t>
      </w:r>
      <w:r w:rsidR="008B4C2B" w:rsidRPr="00001309">
        <w:rPr>
          <w:rFonts w:ascii="Times New Roman" w:hAnsi="Times New Roman" w:cs="Times New Roman"/>
          <w:color w:val="auto"/>
          <w:sz w:val="26"/>
          <w:szCs w:val="26"/>
        </w:rPr>
        <w:t> </w:t>
      </w:r>
      <w:r w:rsidRPr="00001309">
        <w:rPr>
          <w:rFonts w:ascii="Times New Roman" w:hAnsi="Times New Roman" w:cs="Times New Roman"/>
          <w:color w:val="auto"/>
          <w:sz w:val="26"/>
          <w:szCs w:val="26"/>
        </w:rPr>
        <w:t xml:space="preserve">111.10(c); 73 P.S. § 2245(a)(7).  Blue Pilot, during the telemarketing sales call or after, did not routinely obtain or seek the customer’s actual signature on any document to confirm enrollment for 34 consumers whose testimonies were admitted into the record in this proceeding.  Blue Pilot also failed to provide a disclosure statement to 17 consumers whose testimonies were admitted into the record in this proceeding.  Moreover, Blue Pilot provided a disclosure statement long after the telemarketing sales call and enrollment to 9 consumers whose testimonies were admitted into the record in this proceeding.  The record establishes that Blue Pilot can provide no evidence that it provided these documents to consumers who enrolled through a telemarketing call in a timely manner. This is a direct violation of Section 111.10(c) of the Commission’s regulations and Section 2245(a)(7) of the TRA. </w:t>
      </w:r>
    </w:p>
    <w:p w:rsidR="00263FC1" w:rsidRPr="00001309" w:rsidRDefault="00263FC1" w:rsidP="00263FC1">
      <w:pPr>
        <w:pStyle w:val="Default"/>
        <w:spacing w:line="240" w:lineRule="auto"/>
        <w:ind w:left="1440" w:right="1440" w:firstLine="0"/>
        <w:rPr>
          <w:rFonts w:ascii="Times New Roman" w:hAnsi="Times New Roman" w:cs="Times New Roman"/>
          <w:color w:val="auto"/>
          <w:sz w:val="26"/>
          <w:szCs w:val="26"/>
        </w:rPr>
      </w:pPr>
    </w:p>
    <w:p w:rsidR="00263FC1" w:rsidRPr="00001309" w:rsidRDefault="00263FC1" w:rsidP="001573EB">
      <w:pPr>
        <w:pStyle w:val="Default"/>
        <w:keepNext/>
        <w:keepLines/>
        <w:spacing w:line="240" w:lineRule="auto"/>
        <w:ind w:left="1440" w:right="1440" w:firstLine="720"/>
        <w:rPr>
          <w:rFonts w:ascii="Times New Roman" w:hAnsi="Times New Roman" w:cs="Times New Roman"/>
          <w:color w:val="auto"/>
          <w:sz w:val="26"/>
          <w:szCs w:val="26"/>
        </w:rPr>
      </w:pPr>
      <w:r w:rsidRPr="00001309">
        <w:rPr>
          <w:rFonts w:ascii="Times New Roman" w:hAnsi="Times New Roman" w:cs="Times New Roman"/>
          <w:color w:val="auto"/>
          <w:sz w:val="26"/>
          <w:szCs w:val="26"/>
        </w:rPr>
        <w:t>The Company’s business practices are not in accordance with the requirements of the TRA and thus, constitute violations of 52 Pa.Code § 111.10(a).</w:t>
      </w:r>
    </w:p>
    <w:p w:rsidR="00263FC1" w:rsidRPr="00001309" w:rsidRDefault="00263FC1" w:rsidP="001573EB">
      <w:pPr>
        <w:pStyle w:val="Default"/>
        <w:keepNext/>
        <w:keepLines/>
        <w:spacing w:line="240" w:lineRule="auto"/>
        <w:ind w:left="1440" w:right="1440" w:firstLine="0"/>
        <w:rPr>
          <w:rFonts w:ascii="Times New Roman" w:hAnsi="Times New Roman" w:cs="Times New Roman"/>
          <w:color w:val="auto"/>
          <w:sz w:val="26"/>
          <w:szCs w:val="26"/>
        </w:rPr>
      </w:pPr>
    </w:p>
    <w:p w:rsidR="008B4C2B" w:rsidRPr="00001309" w:rsidRDefault="008B4C2B" w:rsidP="001573EB">
      <w:pPr>
        <w:pStyle w:val="Default"/>
        <w:keepNext/>
        <w:keepLines/>
        <w:spacing w:line="240" w:lineRule="auto"/>
        <w:ind w:left="1440" w:right="1440" w:firstLine="0"/>
        <w:rPr>
          <w:rFonts w:ascii="Times New Roman" w:hAnsi="Times New Roman" w:cs="Times New Roman"/>
          <w:color w:val="auto"/>
          <w:sz w:val="26"/>
          <w:szCs w:val="26"/>
        </w:rPr>
      </w:pPr>
    </w:p>
    <w:p w:rsidR="00263FC1" w:rsidRPr="00001309" w:rsidRDefault="00263FC1" w:rsidP="00263FC1">
      <w:pPr>
        <w:pStyle w:val="Default"/>
        <w:ind w:firstLine="0"/>
        <w:rPr>
          <w:rFonts w:ascii="Times New Roman" w:hAnsi="Times New Roman" w:cs="Times New Roman"/>
          <w:color w:val="auto"/>
          <w:sz w:val="26"/>
          <w:szCs w:val="26"/>
        </w:rPr>
      </w:pPr>
      <w:r w:rsidRPr="00001309">
        <w:rPr>
          <w:rFonts w:ascii="Times New Roman" w:hAnsi="Times New Roman" w:cs="Times New Roman"/>
          <w:color w:val="auto"/>
          <w:sz w:val="26"/>
          <w:szCs w:val="26"/>
        </w:rPr>
        <w:t>I.D. at 111.</w:t>
      </w:r>
    </w:p>
    <w:p w:rsidR="00193DEA" w:rsidRPr="00001309" w:rsidRDefault="00193DEA" w:rsidP="00E26E2E">
      <w:pPr>
        <w:autoSpaceDE w:val="0"/>
        <w:autoSpaceDN w:val="0"/>
        <w:adjustRightInd w:val="0"/>
        <w:ind w:firstLine="0"/>
        <w:rPr>
          <w:sz w:val="26"/>
          <w:szCs w:val="26"/>
        </w:rPr>
      </w:pPr>
    </w:p>
    <w:p w:rsidR="00767BF5" w:rsidRPr="00001309" w:rsidRDefault="0010371D" w:rsidP="008D34CA">
      <w:pPr>
        <w:keepNext/>
        <w:keepLines/>
        <w:autoSpaceDE w:val="0"/>
        <w:autoSpaceDN w:val="0"/>
        <w:adjustRightInd w:val="0"/>
        <w:spacing w:line="240" w:lineRule="auto"/>
        <w:ind w:firstLine="720"/>
        <w:rPr>
          <w:b/>
          <w:sz w:val="26"/>
          <w:szCs w:val="26"/>
        </w:rPr>
      </w:pPr>
      <w:r w:rsidRPr="00001309">
        <w:rPr>
          <w:b/>
          <w:sz w:val="26"/>
          <w:szCs w:val="26"/>
        </w:rPr>
        <w:t>3</w:t>
      </w:r>
      <w:r w:rsidR="00746AA4" w:rsidRPr="00001309">
        <w:rPr>
          <w:b/>
          <w:sz w:val="26"/>
          <w:szCs w:val="26"/>
        </w:rPr>
        <w:t>.</w:t>
      </w:r>
      <w:r w:rsidR="00746AA4" w:rsidRPr="00001309">
        <w:rPr>
          <w:b/>
          <w:sz w:val="26"/>
          <w:szCs w:val="26"/>
        </w:rPr>
        <w:tab/>
      </w:r>
      <w:r w:rsidR="00767BF5" w:rsidRPr="00001309">
        <w:rPr>
          <w:b/>
          <w:sz w:val="26"/>
          <w:szCs w:val="26"/>
        </w:rPr>
        <w:t xml:space="preserve">Exceptions of Blue Pilot and Replies of </w:t>
      </w:r>
      <w:r w:rsidR="008D34CA">
        <w:rPr>
          <w:b/>
          <w:sz w:val="26"/>
          <w:szCs w:val="26"/>
        </w:rPr>
        <w:t xml:space="preserve">the </w:t>
      </w:r>
      <w:r w:rsidR="00767BF5" w:rsidRPr="00001309">
        <w:rPr>
          <w:b/>
          <w:sz w:val="26"/>
          <w:szCs w:val="26"/>
        </w:rPr>
        <w:t>Joint Complainants</w:t>
      </w:r>
    </w:p>
    <w:p w:rsidR="00306FF3" w:rsidRPr="00001309" w:rsidRDefault="00306FF3" w:rsidP="00746AA4">
      <w:pPr>
        <w:keepNext/>
        <w:keepLines/>
        <w:autoSpaceDE w:val="0"/>
        <w:autoSpaceDN w:val="0"/>
        <w:adjustRightInd w:val="0"/>
        <w:rPr>
          <w:sz w:val="26"/>
          <w:szCs w:val="26"/>
        </w:rPr>
      </w:pPr>
    </w:p>
    <w:p w:rsidR="00306FF3" w:rsidRPr="00001309" w:rsidRDefault="0052641A" w:rsidP="00306FF3">
      <w:pPr>
        <w:autoSpaceDE w:val="0"/>
        <w:autoSpaceDN w:val="0"/>
        <w:adjustRightInd w:val="0"/>
        <w:rPr>
          <w:sz w:val="26"/>
          <w:szCs w:val="26"/>
        </w:rPr>
      </w:pPr>
      <w:r w:rsidRPr="00001309">
        <w:rPr>
          <w:sz w:val="26"/>
          <w:szCs w:val="26"/>
        </w:rPr>
        <w:t xml:space="preserve">In Exceptions, </w:t>
      </w:r>
      <w:r w:rsidR="00306FF3" w:rsidRPr="00001309">
        <w:rPr>
          <w:sz w:val="26"/>
          <w:szCs w:val="26"/>
        </w:rPr>
        <w:t xml:space="preserve">Blue Pilot asserts that this Count should be dismissed in its entirety.  </w:t>
      </w:r>
      <w:r w:rsidR="00362C4A" w:rsidRPr="00001309">
        <w:rPr>
          <w:sz w:val="26"/>
          <w:szCs w:val="26"/>
        </w:rPr>
        <w:t>Blue Pilot’s</w:t>
      </w:r>
      <w:r w:rsidR="00306FF3" w:rsidRPr="00001309">
        <w:rPr>
          <w:sz w:val="26"/>
          <w:szCs w:val="26"/>
        </w:rPr>
        <w:t xml:space="preserve"> primary position is that the Commission does not have jurisdiction and authority to enforce the TRA.  Exc. at 25.  Additionally, </w:t>
      </w:r>
      <w:r w:rsidR="00667547" w:rsidRPr="00001309">
        <w:rPr>
          <w:sz w:val="26"/>
          <w:szCs w:val="26"/>
        </w:rPr>
        <w:t>Blue Pilot</w:t>
      </w:r>
      <w:r w:rsidR="00306FF3" w:rsidRPr="00001309">
        <w:rPr>
          <w:sz w:val="26"/>
          <w:szCs w:val="26"/>
        </w:rPr>
        <w:t xml:space="preserve"> relies on Section 2245(a)(7) of the TRA to argue that the rules of the TRA that require the terms of an agreement be reduced to writing do not apply to EGS companies as they are exempt.  </w:t>
      </w:r>
      <w:r w:rsidR="00306FF3" w:rsidRPr="00001309">
        <w:rPr>
          <w:i/>
          <w:sz w:val="26"/>
          <w:szCs w:val="26"/>
        </w:rPr>
        <w:t>Id</w:t>
      </w:r>
      <w:r w:rsidR="00306FF3" w:rsidRPr="00001309">
        <w:rPr>
          <w:sz w:val="26"/>
          <w:szCs w:val="26"/>
        </w:rPr>
        <w:t xml:space="preserve">.  The exemption </w:t>
      </w:r>
      <w:r w:rsidR="008D3134" w:rsidRPr="00001309">
        <w:rPr>
          <w:sz w:val="26"/>
          <w:szCs w:val="26"/>
        </w:rPr>
        <w:t xml:space="preserve">under the TRA </w:t>
      </w:r>
      <w:r w:rsidR="00306FF3" w:rsidRPr="00001309">
        <w:rPr>
          <w:sz w:val="26"/>
          <w:szCs w:val="26"/>
        </w:rPr>
        <w:t xml:space="preserve">is based on the regulation of EGS companies under the specific conditions and requirements </w:t>
      </w:r>
      <w:r w:rsidR="008D3134" w:rsidRPr="00001309">
        <w:rPr>
          <w:sz w:val="26"/>
          <w:szCs w:val="26"/>
        </w:rPr>
        <w:t xml:space="preserve">of the Code and Commission Regulations </w:t>
      </w:r>
      <w:r w:rsidR="00351795" w:rsidRPr="00001309">
        <w:rPr>
          <w:sz w:val="26"/>
          <w:szCs w:val="26"/>
        </w:rPr>
        <w:t xml:space="preserve">by the </w:t>
      </w:r>
      <w:r w:rsidR="00667547" w:rsidRPr="00001309">
        <w:rPr>
          <w:sz w:val="26"/>
          <w:szCs w:val="26"/>
        </w:rPr>
        <w:t>Commission pursuant to</w:t>
      </w:r>
      <w:r w:rsidR="00306FF3" w:rsidRPr="00001309">
        <w:rPr>
          <w:sz w:val="26"/>
          <w:szCs w:val="26"/>
        </w:rPr>
        <w:t xml:space="preserve"> the Act.  </w:t>
      </w:r>
      <w:r w:rsidR="00306FF3" w:rsidRPr="00001309">
        <w:rPr>
          <w:i/>
          <w:sz w:val="26"/>
          <w:szCs w:val="26"/>
        </w:rPr>
        <w:t>Id</w:t>
      </w:r>
      <w:r w:rsidR="00306FF3" w:rsidRPr="00001309">
        <w:rPr>
          <w:sz w:val="26"/>
          <w:szCs w:val="26"/>
        </w:rPr>
        <w:t>.</w:t>
      </w:r>
    </w:p>
    <w:p w:rsidR="00306FF3" w:rsidRPr="00001309" w:rsidRDefault="00306FF3" w:rsidP="00306FF3">
      <w:pPr>
        <w:autoSpaceDE w:val="0"/>
        <w:autoSpaceDN w:val="0"/>
        <w:adjustRightInd w:val="0"/>
        <w:rPr>
          <w:sz w:val="26"/>
          <w:szCs w:val="26"/>
        </w:rPr>
      </w:pPr>
    </w:p>
    <w:p w:rsidR="00306FF3" w:rsidRPr="00001309" w:rsidRDefault="00306FF3" w:rsidP="00306FF3">
      <w:pPr>
        <w:autoSpaceDE w:val="0"/>
        <w:autoSpaceDN w:val="0"/>
        <w:adjustRightInd w:val="0"/>
        <w:rPr>
          <w:sz w:val="26"/>
          <w:szCs w:val="26"/>
        </w:rPr>
      </w:pPr>
      <w:r w:rsidRPr="00001309">
        <w:rPr>
          <w:sz w:val="26"/>
          <w:szCs w:val="26"/>
        </w:rPr>
        <w:lastRenderedPageBreak/>
        <w:t>Blue Pilot explains that the Commission’s Regulations establish the requirements for the enrollment of customers, set forth the elements that must be contained in disclosure statements</w:t>
      </w:r>
      <w:r w:rsidR="00667547" w:rsidRPr="00001309">
        <w:rPr>
          <w:sz w:val="26"/>
          <w:szCs w:val="26"/>
        </w:rPr>
        <w:t xml:space="preserve">, </w:t>
      </w:r>
      <w:r w:rsidRPr="00001309">
        <w:rPr>
          <w:sz w:val="26"/>
          <w:szCs w:val="26"/>
        </w:rPr>
        <w:t>and specify the verification measures that must be taken.  Notably, states Blue Pilot, in adopting Chapter 111</w:t>
      </w:r>
      <w:r w:rsidR="00667547" w:rsidRPr="00001309">
        <w:rPr>
          <w:sz w:val="26"/>
          <w:szCs w:val="26"/>
        </w:rPr>
        <w:t xml:space="preserve"> of the applicable </w:t>
      </w:r>
      <w:r w:rsidR="00661EE2">
        <w:rPr>
          <w:sz w:val="26"/>
          <w:szCs w:val="26"/>
        </w:rPr>
        <w:t>R</w:t>
      </w:r>
      <w:r w:rsidR="00667547" w:rsidRPr="00001309">
        <w:rPr>
          <w:sz w:val="26"/>
          <w:szCs w:val="26"/>
        </w:rPr>
        <w:t>egulations</w:t>
      </w:r>
      <w:r w:rsidRPr="00001309">
        <w:rPr>
          <w:sz w:val="26"/>
          <w:szCs w:val="26"/>
        </w:rPr>
        <w:t xml:space="preserve">, the Commission clarified the rules governing enrollments by “simply requiring a supplier to establish a verbal, written or electronic transaction process for a customer to authorize the transfer of his or her account to the supplier.”  Exc. at 26, citing </w:t>
      </w:r>
      <w:r w:rsidRPr="00001309">
        <w:rPr>
          <w:i/>
          <w:iCs/>
          <w:sz w:val="26"/>
          <w:szCs w:val="26"/>
        </w:rPr>
        <w:t xml:space="preserve">Marketing Rulemaking Order </w:t>
      </w:r>
      <w:r w:rsidRPr="00001309">
        <w:rPr>
          <w:sz w:val="26"/>
          <w:szCs w:val="26"/>
        </w:rPr>
        <w:t>at 34.</w:t>
      </w:r>
      <w:r w:rsidR="0021060D">
        <w:rPr>
          <w:sz w:val="26"/>
          <w:szCs w:val="26"/>
        </w:rPr>
        <w:t xml:space="preserve">  Thus, a</w:t>
      </w:r>
      <w:r w:rsidR="0021060D" w:rsidRPr="005A46C1">
        <w:rPr>
          <w:sz w:val="26"/>
          <w:szCs w:val="26"/>
        </w:rPr>
        <w:t>ccording to Blue Pilot, the Commission does not require a written contract between a supplier and customer for a sale to be valid.</w:t>
      </w:r>
    </w:p>
    <w:p w:rsidR="00306FF3" w:rsidRPr="00001309" w:rsidRDefault="00306FF3" w:rsidP="000D2ECC">
      <w:pPr>
        <w:autoSpaceDE w:val="0"/>
        <w:autoSpaceDN w:val="0"/>
        <w:adjustRightInd w:val="0"/>
        <w:rPr>
          <w:b/>
          <w:sz w:val="26"/>
          <w:szCs w:val="26"/>
        </w:rPr>
      </w:pPr>
    </w:p>
    <w:p w:rsidR="00306FF3" w:rsidRPr="00001309" w:rsidRDefault="00306FF3" w:rsidP="000D2ECC">
      <w:pPr>
        <w:autoSpaceDE w:val="0"/>
        <w:autoSpaceDN w:val="0"/>
        <w:adjustRightInd w:val="0"/>
        <w:rPr>
          <w:sz w:val="26"/>
          <w:szCs w:val="26"/>
        </w:rPr>
      </w:pPr>
      <w:r w:rsidRPr="00001309">
        <w:rPr>
          <w:sz w:val="26"/>
          <w:szCs w:val="26"/>
        </w:rPr>
        <w:t xml:space="preserve">In its Replies, </w:t>
      </w:r>
      <w:r w:rsidR="00493721">
        <w:rPr>
          <w:sz w:val="26"/>
          <w:szCs w:val="26"/>
        </w:rPr>
        <w:t xml:space="preserve">the </w:t>
      </w:r>
      <w:r w:rsidRPr="00001309">
        <w:rPr>
          <w:sz w:val="26"/>
          <w:szCs w:val="26"/>
        </w:rPr>
        <w:t>Joint Complainants acknowledge the exemption from the</w:t>
      </w:r>
      <w:r w:rsidR="00667547" w:rsidRPr="00001309">
        <w:rPr>
          <w:sz w:val="26"/>
          <w:szCs w:val="26"/>
        </w:rPr>
        <w:t xml:space="preserve"> TRA requirement for a telemarketer company to obtain a</w:t>
      </w:r>
      <w:r w:rsidRPr="00001309">
        <w:rPr>
          <w:sz w:val="26"/>
          <w:szCs w:val="26"/>
        </w:rPr>
        <w:t xml:space="preserve"> written agreement of sales </w:t>
      </w:r>
      <w:r w:rsidR="00667547" w:rsidRPr="00001309">
        <w:rPr>
          <w:sz w:val="26"/>
          <w:szCs w:val="26"/>
        </w:rPr>
        <w:t>when such company is subject to other regulation</w:t>
      </w:r>
      <w:r w:rsidR="00A100DC">
        <w:rPr>
          <w:sz w:val="26"/>
          <w:szCs w:val="26"/>
        </w:rPr>
        <w:t>;</w:t>
      </w:r>
      <w:r w:rsidRPr="00001309">
        <w:rPr>
          <w:sz w:val="26"/>
          <w:szCs w:val="26"/>
        </w:rPr>
        <w:t xml:space="preserve"> but </w:t>
      </w:r>
      <w:r w:rsidR="00A100DC">
        <w:rPr>
          <w:sz w:val="26"/>
          <w:szCs w:val="26"/>
        </w:rPr>
        <w:t xml:space="preserve">they </w:t>
      </w:r>
      <w:r w:rsidRPr="00001309">
        <w:rPr>
          <w:sz w:val="26"/>
          <w:szCs w:val="26"/>
        </w:rPr>
        <w:t xml:space="preserve">argue that </w:t>
      </w:r>
      <w:r w:rsidR="00667547" w:rsidRPr="00001309">
        <w:rPr>
          <w:sz w:val="26"/>
          <w:szCs w:val="26"/>
        </w:rPr>
        <w:t>the exemption</w:t>
      </w:r>
      <w:r w:rsidRPr="00001309">
        <w:rPr>
          <w:sz w:val="26"/>
          <w:szCs w:val="26"/>
        </w:rPr>
        <w:t xml:space="preserve"> does not apply in this Complaint, and in general, to an EGS company.  R.Exc. at 14-17.  </w:t>
      </w:r>
      <w:r w:rsidR="00493721">
        <w:rPr>
          <w:sz w:val="26"/>
          <w:szCs w:val="26"/>
        </w:rPr>
        <w:t xml:space="preserve">The </w:t>
      </w:r>
      <w:r w:rsidRPr="00001309">
        <w:rPr>
          <w:sz w:val="26"/>
          <w:szCs w:val="26"/>
        </w:rPr>
        <w:t>Joint Complainants take the position that the exemption from the signature requirement in the TRA would apply if the vendor were subjected to “other law</w:t>
      </w:r>
      <w:r w:rsidR="007D6069" w:rsidRPr="00001309">
        <w:rPr>
          <w:sz w:val="26"/>
          <w:szCs w:val="26"/>
        </w:rPr>
        <w:t>s,” but the Commission’s Regulations do not address the process by which a consumer enters into a binding contract and thus, the TRA requirements should apply.  R.Exc. at 16.</w:t>
      </w:r>
    </w:p>
    <w:p w:rsidR="00306FF3" w:rsidRPr="00001309" w:rsidRDefault="00306FF3" w:rsidP="000D2ECC">
      <w:pPr>
        <w:autoSpaceDE w:val="0"/>
        <w:autoSpaceDN w:val="0"/>
        <w:adjustRightInd w:val="0"/>
        <w:rPr>
          <w:sz w:val="26"/>
          <w:szCs w:val="26"/>
        </w:rPr>
      </w:pPr>
    </w:p>
    <w:p w:rsidR="00767BF5" w:rsidRPr="00001309" w:rsidRDefault="0010371D" w:rsidP="008D34CA">
      <w:pPr>
        <w:keepNext/>
        <w:keepLines/>
        <w:autoSpaceDE w:val="0"/>
        <w:autoSpaceDN w:val="0"/>
        <w:adjustRightInd w:val="0"/>
        <w:ind w:firstLine="720"/>
        <w:rPr>
          <w:b/>
          <w:sz w:val="26"/>
          <w:szCs w:val="26"/>
        </w:rPr>
      </w:pPr>
      <w:r w:rsidRPr="00001309">
        <w:rPr>
          <w:b/>
          <w:sz w:val="26"/>
          <w:szCs w:val="26"/>
        </w:rPr>
        <w:lastRenderedPageBreak/>
        <w:t>4</w:t>
      </w:r>
      <w:r w:rsidR="0071607F" w:rsidRPr="00001309">
        <w:rPr>
          <w:b/>
          <w:sz w:val="26"/>
          <w:szCs w:val="26"/>
        </w:rPr>
        <w:t>.</w:t>
      </w:r>
      <w:r w:rsidR="0071607F" w:rsidRPr="00001309">
        <w:rPr>
          <w:b/>
          <w:sz w:val="26"/>
          <w:szCs w:val="26"/>
        </w:rPr>
        <w:tab/>
      </w:r>
      <w:r w:rsidR="00767BF5" w:rsidRPr="00001309">
        <w:rPr>
          <w:b/>
          <w:sz w:val="26"/>
          <w:szCs w:val="26"/>
        </w:rPr>
        <w:t>RESA Petition</w:t>
      </w:r>
      <w:r w:rsidRPr="00001309">
        <w:rPr>
          <w:b/>
          <w:sz w:val="26"/>
          <w:szCs w:val="26"/>
        </w:rPr>
        <w:t xml:space="preserve"> and Answer</w:t>
      </w:r>
    </w:p>
    <w:p w:rsidR="00BE1AB1" w:rsidRPr="00001309" w:rsidRDefault="00BE1AB1" w:rsidP="0071607F">
      <w:pPr>
        <w:keepNext/>
        <w:keepLines/>
        <w:autoSpaceDE w:val="0"/>
        <w:autoSpaceDN w:val="0"/>
        <w:adjustRightInd w:val="0"/>
        <w:rPr>
          <w:sz w:val="26"/>
          <w:szCs w:val="26"/>
        </w:rPr>
      </w:pPr>
    </w:p>
    <w:p w:rsidR="0061674D" w:rsidRPr="00001309" w:rsidRDefault="00767BF5" w:rsidP="000D2ECC">
      <w:pPr>
        <w:autoSpaceDE w:val="0"/>
        <w:autoSpaceDN w:val="0"/>
        <w:adjustRightInd w:val="0"/>
        <w:rPr>
          <w:sz w:val="26"/>
          <w:szCs w:val="26"/>
        </w:rPr>
      </w:pPr>
      <w:r w:rsidRPr="00001309">
        <w:rPr>
          <w:sz w:val="26"/>
          <w:szCs w:val="26"/>
        </w:rPr>
        <w:t xml:space="preserve">As noted, the RESA filed a Petition in which it requests intervenor status </w:t>
      </w:r>
      <w:r w:rsidR="008262F5" w:rsidRPr="00001309">
        <w:rPr>
          <w:sz w:val="26"/>
          <w:szCs w:val="26"/>
        </w:rPr>
        <w:t xml:space="preserve">in this proceeding </w:t>
      </w:r>
      <w:r w:rsidRPr="00001309">
        <w:rPr>
          <w:sz w:val="26"/>
          <w:szCs w:val="26"/>
        </w:rPr>
        <w:t xml:space="preserve">for the limited purpose of filing an Exception to the </w:t>
      </w:r>
      <w:r w:rsidR="00155D25" w:rsidRPr="00001309">
        <w:rPr>
          <w:sz w:val="26"/>
          <w:szCs w:val="26"/>
        </w:rPr>
        <w:t>Initial Decision</w:t>
      </w:r>
      <w:r w:rsidR="00667547" w:rsidRPr="00001309">
        <w:rPr>
          <w:sz w:val="26"/>
          <w:szCs w:val="26"/>
        </w:rPr>
        <w:t>.</w:t>
      </w:r>
      <w:r w:rsidR="00501F23">
        <w:rPr>
          <w:rStyle w:val="FootnoteReference"/>
          <w:sz w:val="26"/>
          <w:szCs w:val="26"/>
        </w:rPr>
        <w:footnoteReference w:id="35"/>
      </w:r>
      <w:r w:rsidR="0061674D" w:rsidRPr="00001309">
        <w:rPr>
          <w:sz w:val="26"/>
          <w:szCs w:val="26"/>
        </w:rPr>
        <w:t xml:space="preserve">  In the alternative, if intervention is not granted, </w:t>
      </w:r>
      <w:r w:rsidR="00B10AEA" w:rsidRPr="00001309">
        <w:rPr>
          <w:sz w:val="26"/>
          <w:szCs w:val="26"/>
        </w:rPr>
        <w:t xml:space="preserve">the </w:t>
      </w:r>
      <w:r w:rsidR="0061674D" w:rsidRPr="00001309">
        <w:rPr>
          <w:sz w:val="26"/>
          <w:szCs w:val="26"/>
        </w:rPr>
        <w:t>RESA requests that its Exception</w:t>
      </w:r>
      <w:r w:rsidR="008262F5" w:rsidRPr="00001309">
        <w:rPr>
          <w:sz w:val="26"/>
          <w:szCs w:val="26"/>
        </w:rPr>
        <w:t>,</w:t>
      </w:r>
      <w:r w:rsidR="0061674D" w:rsidRPr="00001309">
        <w:rPr>
          <w:sz w:val="26"/>
          <w:szCs w:val="26"/>
        </w:rPr>
        <w:t xml:space="preserve"> nonetheless</w:t>
      </w:r>
      <w:r w:rsidR="008262F5" w:rsidRPr="00001309">
        <w:rPr>
          <w:sz w:val="26"/>
          <w:szCs w:val="26"/>
        </w:rPr>
        <w:t>,</w:t>
      </w:r>
      <w:r w:rsidR="0061674D" w:rsidRPr="00001309">
        <w:rPr>
          <w:sz w:val="26"/>
          <w:szCs w:val="26"/>
        </w:rPr>
        <w:t xml:space="preserve"> be considered</w:t>
      </w:r>
      <w:r w:rsidR="008C793D" w:rsidRPr="00001309">
        <w:rPr>
          <w:sz w:val="26"/>
          <w:szCs w:val="26"/>
        </w:rPr>
        <w:t xml:space="preserve"> </w:t>
      </w:r>
      <w:r w:rsidR="00D2641A" w:rsidRPr="00001309">
        <w:rPr>
          <w:sz w:val="26"/>
          <w:szCs w:val="26"/>
        </w:rPr>
        <w:t xml:space="preserve">by the Commission </w:t>
      </w:r>
      <w:r w:rsidR="008C793D" w:rsidRPr="00001309">
        <w:rPr>
          <w:sz w:val="26"/>
          <w:szCs w:val="26"/>
        </w:rPr>
        <w:t>as a non-party</w:t>
      </w:r>
      <w:r w:rsidR="0061674D" w:rsidRPr="00001309">
        <w:rPr>
          <w:sz w:val="26"/>
          <w:szCs w:val="26"/>
        </w:rPr>
        <w:t>.</w:t>
      </w:r>
      <w:r w:rsidR="008C793D" w:rsidRPr="00001309">
        <w:rPr>
          <w:sz w:val="26"/>
          <w:szCs w:val="26"/>
        </w:rPr>
        <w:t xml:space="preserve">  Petition at ¶ 5.</w:t>
      </w:r>
    </w:p>
    <w:p w:rsidR="0061674D" w:rsidRPr="00001309" w:rsidRDefault="0061674D" w:rsidP="000D2ECC">
      <w:pPr>
        <w:autoSpaceDE w:val="0"/>
        <w:autoSpaceDN w:val="0"/>
        <w:adjustRightInd w:val="0"/>
        <w:rPr>
          <w:sz w:val="26"/>
          <w:szCs w:val="26"/>
        </w:rPr>
      </w:pPr>
    </w:p>
    <w:p w:rsidR="009159D9" w:rsidRPr="00001309" w:rsidRDefault="00767BF5" w:rsidP="000D2ECC">
      <w:pPr>
        <w:autoSpaceDE w:val="0"/>
        <w:autoSpaceDN w:val="0"/>
        <w:adjustRightInd w:val="0"/>
        <w:rPr>
          <w:sz w:val="26"/>
          <w:szCs w:val="26"/>
        </w:rPr>
      </w:pPr>
      <w:r w:rsidRPr="00001309">
        <w:rPr>
          <w:sz w:val="26"/>
          <w:szCs w:val="26"/>
        </w:rPr>
        <w:t xml:space="preserve">The RESA’s interest in this proceeding and its </w:t>
      </w:r>
      <w:r w:rsidR="0061674D" w:rsidRPr="00001309">
        <w:rPr>
          <w:sz w:val="26"/>
          <w:szCs w:val="26"/>
        </w:rPr>
        <w:t xml:space="preserve">proffered </w:t>
      </w:r>
      <w:r w:rsidRPr="00001309">
        <w:rPr>
          <w:sz w:val="26"/>
          <w:szCs w:val="26"/>
        </w:rPr>
        <w:t xml:space="preserve">Exception is limited to advocating that the Commission reject the ALJs’ recommendation </w:t>
      </w:r>
      <w:r w:rsidR="00B43D33" w:rsidRPr="00001309">
        <w:rPr>
          <w:sz w:val="26"/>
          <w:szCs w:val="26"/>
        </w:rPr>
        <w:t>th</w:t>
      </w:r>
      <w:r w:rsidRPr="00001309">
        <w:rPr>
          <w:sz w:val="26"/>
          <w:szCs w:val="26"/>
        </w:rPr>
        <w:t xml:space="preserve">at </w:t>
      </w:r>
      <w:r w:rsidR="0061674D" w:rsidRPr="00001309">
        <w:rPr>
          <w:sz w:val="26"/>
          <w:szCs w:val="26"/>
        </w:rPr>
        <w:t xml:space="preserve">would </w:t>
      </w:r>
      <w:r w:rsidR="009159D9" w:rsidRPr="00001309">
        <w:rPr>
          <w:sz w:val="26"/>
          <w:szCs w:val="26"/>
        </w:rPr>
        <w:t xml:space="preserve">interpret the TRA </w:t>
      </w:r>
      <w:r w:rsidR="00226047" w:rsidRPr="00001309">
        <w:rPr>
          <w:sz w:val="26"/>
          <w:szCs w:val="26"/>
        </w:rPr>
        <w:t>and the provisions of the TRA</w:t>
      </w:r>
      <w:r w:rsidR="009159D9" w:rsidRPr="00001309">
        <w:rPr>
          <w:sz w:val="26"/>
          <w:szCs w:val="26"/>
        </w:rPr>
        <w:t xml:space="preserve"> </w:t>
      </w:r>
      <w:r w:rsidR="0061674D" w:rsidRPr="00001309">
        <w:rPr>
          <w:sz w:val="26"/>
          <w:szCs w:val="26"/>
        </w:rPr>
        <w:t xml:space="preserve">that we </w:t>
      </w:r>
      <w:r w:rsidR="009159D9" w:rsidRPr="00001309">
        <w:rPr>
          <w:sz w:val="26"/>
          <w:szCs w:val="26"/>
        </w:rPr>
        <w:t>appl</w:t>
      </w:r>
      <w:r w:rsidR="0061674D" w:rsidRPr="00001309">
        <w:rPr>
          <w:sz w:val="26"/>
          <w:szCs w:val="26"/>
        </w:rPr>
        <w:t>y</w:t>
      </w:r>
      <w:r w:rsidR="009159D9" w:rsidRPr="00001309">
        <w:rPr>
          <w:sz w:val="26"/>
          <w:szCs w:val="26"/>
        </w:rPr>
        <w:t xml:space="preserve"> to EGS companies </w:t>
      </w:r>
      <w:r w:rsidR="00226047" w:rsidRPr="00001309">
        <w:rPr>
          <w:sz w:val="26"/>
          <w:szCs w:val="26"/>
        </w:rPr>
        <w:t xml:space="preserve">operating </w:t>
      </w:r>
      <w:r w:rsidR="009159D9" w:rsidRPr="00001309">
        <w:rPr>
          <w:sz w:val="26"/>
          <w:szCs w:val="26"/>
        </w:rPr>
        <w:t>under Commission Regulations</w:t>
      </w:r>
      <w:r w:rsidR="0061674D" w:rsidRPr="00001309">
        <w:rPr>
          <w:sz w:val="26"/>
          <w:szCs w:val="26"/>
        </w:rPr>
        <w:t>,</w:t>
      </w:r>
      <w:r w:rsidR="009159D9" w:rsidRPr="00001309">
        <w:rPr>
          <w:sz w:val="26"/>
          <w:szCs w:val="26"/>
        </w:rPr>
        <w:t xml:space="preserve"> </w:t>
      </w:r>
      <w:r w:rsidR="00B43D33" w:rsidRPr="00001309">
        <w:rPr>
          <w:sz w:val="26"/>
          <w:szCs w:val="26"/>
        </w:rPr>
        <w:t>to require that an EGS obtain</w:t>
      </w:r>
      <w:r w:rsidR="009159D9" w:rsidRPr="00001309">
        <w:rPr>
          <w:sz w:val="26"/>
          <w:szCs w:val="26"/>
        </w:rPr>
        <w:t xml:space="preserve"> a customer’s signature on a contract before the customer’s enrollment with the EGS is deemed valid.  RESA Petition at 1.</w:t>
      </w:r>
      <w:r w:rsidR="00B43D33" w:rsidRPr="00001309">
        <w:rPr>
          <w:sz w:val="26"/>
          <w:szCs w:val="26"/>
        </w:rPr>
        <w:t xml:space="preserve">  This is the distinction between a requirement for a, so-called, “wet signature,” versus an </w:t>
      </w:r>
      <w:r w:rsidR="00226047" w:rsidRPr="00001309">
        <w:rPr>
          <w:sz w:val="26"/>
          <w:szCs w:val="26"/>
        </w:rPr>
        <w:t>“</w:t>
      </w:r>
      <w:r w:rsidR="00B43D33" w:rsidRPr="00001309">
        <w:rPr>
          <w:sz w:val="26"/>
          <w:szCs w:val="26"/>
        </w:rPr>
        <w:t>electronic signature</w:t>
      </w:r>
      <w:r w:rsidR="00226047" w:rsidRPr="00001309">
        <w:rPr>
          <w:sz w:val="26"/>
          <w:szCs w:val="26"/>
        </w:rPr>
        <w:t>”</w:t>
      </w:r>
      <w:r w:rsidR="00B43D33" w:rsidRPr="00001309">
        <w:rPr>
          <w:sz w:val="26"/>
          <w:szCs w:val="26"/>
        </w:rPr>
        <w:t xml:space="preserve"> to consummate a switch/enrollment transaction.</w:t>
      </w:r>
    </w:p>
    <w:p w:rsidR="00506F59" w:rsidRPr="00001309" w:rsidRDefault="00506F59" w:rsidP="00501F23">
      <w:pPr>
        <w:autoSpaceDE w:val="0"/>
        <w:autoSpaceDN w:val="0"/>
        <w:adjustRightInd w:val="0"/>
        <w:ind w:firstLine="0"/>
        <w:rPr>
          <w:sz w:val="26"/>
          <w:szCs w:val="26"/>
        </w:rPr>
      </w:pPr>
    </w:p>
    <w:p w:rsidR="00584707" w:rsidRPr="00001309" w:rsidRDefault="005A44B3" w:rsidP="000D2ECC">
      <w:pPr>
        <w:autoSpaceDE w:val="0"/>
        <w:autoSpaceDN w:val="0"/>
        <w:adjustRightInd w:val="0"/>
        <w:rPr>
          <w:sz w:val="26"/>
          <w:szCs w:val="26"/>
        </w:rPr>
      </w:pPr>
      <w:r w:rsidRPr="00001309">
        <w:rPr>
          <w:sz w:val="26"/>
          <w:szCs w:val="26"/>
        </w:rPr>
        <w:t xml:space="preserve">The </w:t>
      </w:r>
      <w:r w:rsidR="00506F59" w:rsidRPr="00001309">
        <w:rPr>
          <w:sz w:val="26"/>
          <w:szCs w:val="26"/>
        </w:rPr>
        <w:t xml:space="preserve">RESA supports its </w:t>
      </w:r>
      <w:r w:rsidR="00AB0D7B" w:rsidRPr="00001309">
        <w:rPr>
          <w:sz w:val="26"/>
          <w:szCs w:val="26"/>
        </w:rPr>
        <w:t xml:space="preserve">interest </w:t>
      </w:r>
      <w:r w:rsidRPr="00001309">
        <w:rPr>
          <w:sz w:val="26"/>
          <w:szCs w:val="26"/>
        </w:rPr>
        <w:t xml:space="preserve">to intervene </w:t>
      </w:r>
      <w:r w:rsidR="00AB0D7B" w:rsidRPr="00001309">
        <w:rPr>
          <w:sz w:val="26"/>
          <w:szCs w:val="26"/>
        </w:rPr>
        <w:t>in this matter, described as “vital,”</w:t>
      </w:r>
      <w:r w:rsidR="00CD213F" w:rsidRPr="00001309">
        <w:rPr>
          <w:rStyle w:val="FootnoteReference"/>
          <w:sz w:val="26"/>
          <w:szCs w:val="26"/>
        </w:rPr>
        <w:t xml:space="preserve"> </w:t>
      </w:r>
      <w:r w:rsidR="00AB0D7B" w:rsidRPr="00001309">
        <w:rPr>
          <w:sz w:val="26"/>
          <w:szCs w:val="26"/>
        </w:rPr>
        <w:t xml:space="preserve">with the following points: </w:t>
      </w:r>
      <w:r w:rsidR="00AC7719" w:rsidRPr="00001309">
        <w:rPr>
          <w:sz w:val="26"/>
          <w:szCs w:val="26"/>
        </w:rPr>
        <w:t xml:space="preserve">(1) prior to the issuance of the </w:t>
      </w:r>
      <w:r w:rsidR="00155D25" w:rsidRPr="00001309">
        <w:rPr>
          <w:sz w:val="26"/>
          <w:szCs w:val="26"/>
        </w:rPr>
        <w:t>Initial Decision</w:t>
      </w:r>
      <w:r w:rsidR="00AC7719" w:rsidRPr="00001309">
        <w:rPr>
          <w:sz w:val="26"/>
          <w:szCs w:val="26"/>
        </w:rPr>
        <w:t xml:space="preserve">, </w:t>
      </w:r>
      <w:r w:rsidR="00802519" w:rsidRPr="00001309">
        <w:rPr>
          <w:sz w:val="26"/>
          <w:szCs w:val="26"/>
        </w:rPr>
        <w:t xml:space="preserve">the </w:t>
      </w:r>
      <w:r w:rsidR="00AC7719" w:rsidRPr="00001309">
        <w:rPr>
          <w:sz w:val="26"/>
          <w:szCs w:val="26"/>
        </w:rPr>
        <w:t>RESA did not have reason to anticipate that the recommendations of alleged violation</w:t>
      </w:r>
      <w:r w:rsidR="00802519" w:rsidRPr="00001309">
        <w:rPr>
          <w:sz w:val="26"/>
          <w:szCs w:val="26"/>
        </w:rPr>
        <w:t>s</w:t>
      </w:r>
      <w:r w:rsidR="00AC7719" w:rsidRPr="00001309">
        <w:rPr>
          <w:sz w:val="26"/>
          <w:szCs w:val="26"/>
        </w:rPr>
        <w:t xml:space="preserve"> of </w:t>
      </w:r>
      <w:r w:rsidR="00802519" w:rsidRPr="00001309">
        <w:rPr>
          <w:sz w:val="26"/>
          <w:szCs w:val="26"/>
        </w:rPr>
        <w:t xml:space="preserve">the Code and Commission Regulations by </w:t>
      </w:r>
      <w:r w:rsidR="00AC7719" w:rsidRPr="00001309">
        <w:rPr>
          <w:sz w:val="26"/>
          <w:szCs w:val="26"/>
        </w:rPr>
        <w:t xml:space="preserve">one EGS actor would result in a determination that would have ramifications outside of the </w:t>
      </w:r>
      <w:r w:rsidR="00802519" w:rsidRPr="00001309">
        <w:rPr>
          <w:sz w:val="26"/>
          <w:szCs w:val="26"/>
        </w:rPr>
        <w:t xml:space="preserve">Complaint </w:t>
      </w:r>
      <w:r w:rsidR="00AC7719" w:rsidRPr="00001309">
        <w:rPr>
          <w:sz w:val="26"/>
          <w:szCs w:val="26"/>
        </w:rPr>
        <w:t xml:space="preserve">proceeding and result in a </w:t>
      </w:r>
      <w:r w:rsidR="00802519" w:rsidRPr="00001309">
        <w:rPr>
          <w:sz w:val="26"/>
          <w:szCs w:val="26"/>
        </w:rPr>
        <w:t>“</w:t>
      </w:r>
      <w:r w:rsidR="00AC7719" w:rsidRPr="00001309">
        <w:rPr>
          <w:sz w:val="26"/>
          <w:szCs w:val="26"/>
        </w:rPr>
        <w:t>market-altering</w:t>
      </w:r>
      <w:r w:rsidR="008A7327" w:rsidRPr="00001309">
        <w:rPr>
          <w:sz w:val="26"/>
          <w:szCs w:val="26"/>
        </w:rPr>
        <w:t xml:space="preserve"> [</w:t>
      </w:r>
      <w:r w:rsidR="008A7327" w:rsidRPr="00001309">
        <w:rPr>
          <w:i/>
          <w:sz w:val="26"/>
          <w:szCs w:val="26"/>
        </w:rPr>
        <w:t>sic</w:t>
      </w:r>
      <w:r w:rsidR="008A7327" w:rsidRPr="00001309">
        <w:rPr>
          <w:sz w:val="26"/>
          <w:szCs w:val="26"/>
        </w:rPr>
        <w:t>]</w:t>
      </w:r>
      <w:r w:rsidR="00802519" w:rsidRPr="00001309">
        <w:rPr>
          <w:sz w:val="26"/>
          <w:szCs w:val="26"/>
        </w:rPr>
        <w:t>”</w:t>
      </w:r>
      <w:r w:rsidR="00AC7719" w:rsidRPr="00001309">
        <w:rPr>
          <w:sz w:val="26"/>
          <w:szCs w:val="26"/>
        </w:rPr>
        <w:t xml:space="preserve"> determination.  Petition at 2; (2) because Blue Pilot has voluntarily surrendered it</w:t>
      </w:r>
      <w:r w:rsidR="00802519" w:rsidRPr="00001309">
        <w:rPr>
          <w:sz w:val="26"/>
          <w:szCs w:val="26"/>
        </w:rPr>
        <w:t>s</w:t>
      </w:r>
      <w:r w:rsidR="00AC7719" w:rsidRPr="00001309">
        <w:rPr>
          <w:sz w:val="26"/>
          <w:szCs w:val="26"/>
        </w:rPr>
        <w:t xml:space="preserve"> </w:t>
      </w:r>
      <w:r w:rsidR="00AC7719" w:rsidRPr="00001309">
        <w:rPr>
          <w:sz w:val="26"/>
          <w:szCs w:val="26"/>
        </w:rPr>
        <w:lastRenderedPageBreak/>
        <w:t xml:space="preserve">EGS license and, at present, does not operate in </w:t>
      </w:r>
      <w:r w:rsidR="00802519" w:rsidRPr="00001309">
        <w:rPr>
          <w:sz w:val="26"/>
          <w:szCs w:val="26"/>
        </w:rPr>
        <w:t>Pennsylvania, Blue Pilot does not have any incentive to protect the interests of EGS companies who remain viable in the Pennsylvania retail</w:t>
      </w:r>
      <w:r w:rsidR="00CD213F" w:rsidRPr="00001309">
        <w:rPr>
          <w:sz w:val="26"/>
          <w:szCs w:val="26"/>
        </w:rPr>
        <w:t xml:space="preserve"> electric generation</w:t>
      </w:r>
      <w:r w:rsidR="00802519" w:rsidRPr="00001309">
        <w:rPr>
          <w:sz w:val="26"/>
          <w:szCs w:val="26"/>
        </w:rPr>
        <w:t xml:space="preserve"> market</w:t>
      </w:r>
      <w:r w:rsidR="00DA54B5" w:rsidRPr="00001309">
        <w:rPr>
          <w:sz w:val="26"/>
          <w:szCs w:val="26"/>
        </w:rPr>
        <w:t xml:space="preserve">; (3) the RESA would be bound, under administrative precedent, by the decision in this </w:t>
      </w:r>
      <w:r w:rsidR="00CD213F" w:rsidRPr="00001309">
        <w:rPr>
          <w:sz w:val="26"/>
          <w:szCs w:val="26"/>
        </w:rPr>
        <w:t>Complaint involving Blue Pilot</w:t>
      </w:r>
      <w:r w:rsidR="00DA54B5" w:rsidRPr="00001309">
        <w:rPr>
          <w:sz w:val="26"/>
          <w:szCs w:val="26"/>
        </w:rPr>
        <w:t xml:space="preserve"> as the decision would establish a standard of conduct regarding the verification requirements to which all EGS companies would be obligated to adhere.  Petition at ¶ 10.</w:t>
      </w:r>
    </w:p>
    <w:p w:rsidR="00584707" w:rsidRPr="00001309" w:rsidRDefault="00584707" w:rsidP="000D2ECC">
      <w:pPr>
        <w:autoSpaceDE w:val="0"/>
        <w:autoSpaceDN w:val="0"/>
        <w:adjustRightInd w:val="0"/>
        <w:rPr>
          <w:sz w:val="26"/>
          <w:szCs w:val="26"/>
        </w:rPr>
      </w:pPr>
    </w:p>
    <w:p w:rsidR="00B10AEA" w:rsidRPr="00001309" w:rsidRDefault="00A453E1" w:rsidP="000D2ECC">
      <w:pPr>
        <w:autoSpaceDE w:val="0"/>
        <w:autoSpaceDN w:val="0"/>
        <w:adjustRightInd w:val="0"/>
        <w:rPr>
          <w:sz w:val="26"/>
          <w:szCs w:val="26"/>
        </w:rPr>
      </w:pPr>
      <w:r w:rsidRPr="00001309">
        <w:rPr>
          <w:sz w:val="26"/>
          <w:szCs w:val="26"/>
        </w:rPr>
        <w:t>Based on the foregoing, the RESA</w:t>
      </w:r>
      <w:r w:rsidR="00CD213F" w:rsidRPr="00001309">
        <w:rPr>
          <w:sz w:val="26"/>
          <w:szCs w:val="26"/>
        </w:rPr>
        <w:t xml:space="preserve"> asserts that it</w:t>
      </w:r>
      <w:r w:rsidRPr="00001309">
        <w:rPr>
          <w:sz w:val="26"/>
          <w:szCs w:val="26"/>
        </w:rPr>
        <w:t xml:space="preserve">s interests in this matter are unique and not represented by any Party to the Complaint as it represents the interests of a diverse and broad group of </w:t>
      </w:r>
      <w:r w:rsidR="00CD213F" w:rsidRPr="00001309">
        <w:rPr>
          <w:sz w:val="26"/>
          <w:szCs w:val="26"/>
        </w:rPr>
        <w:t>EGSs</w:t>
      </w:r>
      <w:r w:rsidRPr="00001309">
        <w:rPr>
          <w:sz w:val="26"/>
          <w:szCs w:val="26"/>
        </w:rPr>
        <w:t xml:space="preserve"> in Pennsylvania and not the interests of one, individual, member.  Petition at ¶ 12</w:t>
      </w:r>
      <w:r w:rsidR="00501F23">
        <w:rPr>
          <w:sz w:val="26"/>
          <w:szCs w:val="26"/>
        </w:rPr>
        <w:t>;</w:t>
      </w:r>
      <w:r w:rsidR="00440CDF" w:rsidRPr="00001309">
        <w:rPr>
          <w:i/>
          <w:sz w:val="26"/>
          <w:szCs w:val="26"/>
        </w:rPr>
        <w:t xml:space="preserve"> </w:t>
      </w:r>
      <w:proofErr w:type="gramStart"/>
      <w:r w:rsidR="00440CDF" w:rsidRPr="00001309">
        <w:rPr>
          <w:i/>
          <w:sz w:val="26"/>
          <w:szCs w:val="26"/>
        </w:rPr>
        <w:t>generally</w:t>
      </w:r>
      <w:proofErr w:type="gramEnd"/>
      <w:r w:rsidR="00440CDF" w:rsidRPr="00001309">
        <w:rPr>
          <w:i/>
          <w:sz w:val="26"/>
          <w:szCs w:val="26"/>
        </w:rPr>
        <w:t xml:space="preserve"> </w:t>
      </w:r>
      <w:r w:rsidR="00440CDF" w:rsidRPr="00001309">
        <w:rPr>
          <w:sz w:val="26"/>
          <w:szCs w:val="26"/>
        </w:rPr>
        <w:t>Petition at</w:t>
      </w:r>
      <w:r w:rsidR="004F38F2" w:rsidRPr="00001309">
        <w:rPr>
          <w:sz w:val="26"/>
          <w:szCs w:val="26"/>
        </w:rPr>
        <w:t> </w:t>
      </w:r>
      <w:r w:rsidR="00440CDF" w:rsidRPr="00001309">
        <w:rPr>
          <w:sz w:val="26"/>
          <w:szCs w:val="26"/>
        </w:rPr>
        <w:t>¶</w:t>
      </w:r>
      <w:r w:rsidR="004F38F2" w:rsidRPr="00001309">
        <w:rPr>
          <w:sz w:val="26"/>
          <w:szCs w:val="26"/>
        </w:rPr>
        <w:t> </w:t>
      </w:r>
      <w:r w:rsidR="00440CDF" w:rsidRPr="00001309">
        <w:rPr>
          <w:sz w:val="26"/>
          <w:szCs w:val="26"/>
        </w:rPr>
        <w:t>13.</w:t>
      </w:r>
    </w:p>
    <w:p w:rsidR="009076A5" w:rsidRPr="00001309" w:rsidRDefault="009076A5" w:rsidP="0020693F">
      <w:pPr>
        <w:autoSpaceDE w:val="0"/>
        <w:autoSpaceDN w:val="0"/>
        <w:adjustRightInd w:val="0"/>
        <w:ind w:firstLine="0"/>
        <w:rPr>
          <w:sz w:val="26"/>
          <w:szCs w:val="26"/>
        </w:rPr>
      </w:pPr>
    </w:p>
    <w:p w:rsidR="00B97A77" w:rsidRPr="00001309" w:rsidRDefault="00493721" w:rsidP="000D2ECC">
      <w:pPr>
        <w:autoSpaceDE w:val="0"/>
        <w:autoSpaceDN w:val="0"/>
        <w:adjustRightInd w:val="0"/>
        <w:rPr>
          <w:sz w:val="26"/>
          <w:szCs w:val="26"/>
        </w:rPr>
      </w:pPr>
      <w:r>
        <w:rPr>
          <w:sz w:val="26"/>
          <w:szCs w:val="26"/>
        </w:rPr>
        <w:t xml:space="preserve">The </w:t>
      </w:r>
      <w:r w:rsidR="00424DA9" w:rsidRPr="00001309">
        <w:rPr>
          <w:sz w:val="26"/>
          <w:szCs w:val="26"/>
        </w:rPr>
        <w:t xml:space="preserve">Joint Complainants </w:t>
      </w:r>
      <w:r w:rsidR="008A7327" w:rsidRPr="00001309">
        <w:rPr>
          <w:sz w:val="26"/>
          <w:szCs w:val="26"/>
        </w:rPr>
        <w:t xml:space="preserve">filed an Answer </w:t>
      </w:r>
      <w:r w:rsidR="0020693F">
        <w:rPr>
          <w:sz w:val="26"/>
          <w:szCs w:val="26"/>
        </w:rPr>
        <w:t xml:space="preserve">in opposition </w:t>
      </w:r>
      <w:r w:rsidR="008A7327" w:rsidRPr="00001309">
        <w:rPr>
          <w:sz w:val="26"/>
          <w:szCs w:val="26"/>
        </w:rPr>
        <w:t xml:space="preserve">to the RESA Petition.  </w:t>
      </w:r>
      <w:r>
        <w:rPr>
          <w:sz w:val="26"/>
          <w:szCs w:val="26"/>
        </w:rPr>
        <w:t xml:space="preserve">The </w:t>
      </w:r>
      <w:r w:rsidR="008A7327" w:rsidRPr="00001309">
        <w:rPr>
          <w:sz w:val="26"/>
          <w:szCs w:val="26"/>
        </w:rPr>
        <w:t xml:space="preserve">Joint Complainants </w:t>
      </w:r>
      <w:r w:rsidR="0020693F">
        <w:rPr>
          <w:sz w:val="26"/>
          <w:szCs w:val="26"/>
        </w:rPr>
        <w:t>s</w:t>
      </w:r>
      <w:r w:rsidR="00917FD7" w:rsidRPr="00001309">
        <w:rPr>
          <w:sz w:val="26"/>
          <w:szCs w:val="26"/>
        </w:rPr>
        <w:t>ubmit that the organization is not bound by the determinations in this Complaint proceeding</w:t>
      </w:r>
      <w:r w:rsidR="003C344F" w:rsidRPr="00001309">
        <w:rPr>
          <w:sz w:val="26"/>
          <w:szCs w:val="26"/>
        </w:rPr>
        <w:t xml:space="preserve">.  Based on this position, </w:t>
      </w:r>
      <w:r>
        <w:rPr>
          <w:sz w:val="26"/>
          <w:szCs w:val="26"/>
        </w:rPr>
        <w:t xml:space="preserve">the </w:t>
      </w:r>
      <w:r w:rsidR="003C344F" w:rsidRPr="00001309">
        <w:rPr>
          <w:sz w:val="26"/>
          <w:szCs w:val="26"/>
        </w:rPr>
        <w:t>Joint Complainants</w:t>
      </w:r>
      <w:r w:rsidR="00917FD7" w:rsidRPr="00001309">
        <w:rPr>
          <w:sz w:val="26"/>
          <w:szCs w:val="26"/>
        </w:rPr>
        <w:t xml:space="preserve"> </w:t>
      </w:r>
      <w:r w:rsidR="003C344F" w:rsidRPr="00001309">
        <w:rPr>
          <w:sz w:val="26"/>
          <w:szCs w:val="26"/>
        </w:rPr>
        <w:t xml:space="preserve">argue that the RESA </w:t>
      </w:r>
      <w:r w:rsidR="00917FD7" w:rsidRPr="00001309">
        <w:rPr>
          <w:sz w:val="26"/>
          <w:szCs w:val="26"/>
        </w:rPr>
        <w:t>ha</w:t>
      </w:r>
      <w:r w:rsidR="008A7327" w:rsidRPr="00001309">
        <w:rPr>
          <w:sz w:val="26"/>
          <w:szCs w:val="26"/>
        </w:rPr>
        <w:t>s</w:t>
      </w:r>
      <w:r w:rsidR="00917FD7" w:rsidRPr="00001309">
        <w:rPr>
          <w:sz w:val="26"/>
          <w:szCs w:val="26"/>
        </w:rPr>
        <w:t xml:space="preserve"> no interest subject to protection through intervention.  </w:t>
      </w:r>
      <w:r>
        <w:rPr>
          <w:sz w:val="26"/>
          <w:szCs w:val="26"/>
        </w:rPr>
        <w:t xml:space="preserve">The </w:t>
      </w:r>
      <w:r w:rsidR="00917FD7" w:rsidRPr="00001309">
        <w:rPr>
          <w:sz w:val="26"/>
          <w:szCs w:val="26"/>
        </w:rPr>
        <w:t xml:space="preserve">Joint Complainants, </w:t>
      </w:r>
      <w:r w:rsidR="00917FD7" w:rsidRPr="00001309">
        <w:rPr>
          <w:i/>
          <w:sz w:val="26"/>
          <w:szCs w:val="26"/>
        </w:rPr>
        <w:t>inter alia</w:t>
      </w:r>
      <w:r w:rsidR="00917FD7" w:rsidRPr="00001309">
        <w:rPr>
          <w:sz w:val="26"/>
          <w:szCs w:val="26"/>
        </w:rPr>
        <w:t xml:space="preserve">, rely on </w:t>
      </w:r>
      <w:r w:rsidR="00917FD7" w:rsidRPr="00001309">
        <w:rPr>
          <w:i/>
          <w:sz w:val="26"/>
          <w:szCs w:val="26"/>
        </w:rPr>
        <w:t>Verizon Pa. v. Penn Telecom, Inc.</w:t>
      </w:r>
      <w:r w:rsidR="00917FD7" w:rsidRPr="00001309">
        <w:rPr>
          <w:sz w:val="26"/>
          <w:szCs w:val="26"/>
        </w:rPr>
        <w:t>, Docket No. C-20066</w:t>
      </w:r>
      <w:r w:rsidR="00B97A77" w:rsidRPr="00001309">
        <w:rPr>
          <w:sz w:val="26"/>
          <w:szCs w:val="26"/>
        </w:rPr>
        <w:t>987 (Opinion and Order entered August 29, 2008) (</w:t>
      </w:r>
      <w:r w:rsidR="00B97A77" w:rsidRPr="00001309">
        <w:rPr>
          <w:i/>
          <w:sz w:val="26"/>
          <w:szCs w:val="26"/>
        </w:rPr>
        <w:t>Verizon</w:t>
      </w:r>
      <w:r w:rsidR="00B97A77" w:rsidRPr="00001309">
        <w:rPr>
          <w:sz w:val="26"/>
          <w:szCs w:val="26"/>
        </w:rPr>
        <w:t>) to a</w:t>
      </w:r>
      <w:r w:rsidR="003C344F" w:rsidRPr="00001309">
        <w:rPr>
          <w:sz w:val="26"/>
          <w:szCs w:val="26"/>
        </w:rPr>
        <w:t>rgue</w:t>
      </w:r>
      <w:r w:rsidR="00B97A77" w:rsidRPr="00001309">
        <w:rPr>
          <w:sz w:val="26"/>
          <w:szCs w:val="26"/>
        </w:rPr>
        <w:t xml:space="preserve"> that an interest based on </w:t>
      </w:r>
      <w:r w:rsidR="008A7327" w:rsidRPr="00001309">
        <w:rPr>
          <w:sz w:val="26"/>
          <w:szCs w:val="26"/>
        </w:rPr>
        <w:t xml:space="preserve">any </w:t>
      </w:r>
      <w:r w:rsidR="00B97A77" w:rsidRPr="00001309">
        <w:rPr>
          <w:sz w:val="26"/>
          <w:szCs w:val="26"/>
        </w:rPr>
        <w:t>precedent that the Commission could establish in a matter is insufficient to meet the requirement that a party must be bound by the Commission’s action in that proceeding.  Joint Complainant’s Answer at</w:t>
      </w:r>
      <w:r w:rsidR="004F38F2" w:rsidRPr="00001309">
        <w:rPr>
          <w:sz w:val="26"/>
          <w:szCs w:val="26"/>
        </w:rPr>
        <w:t> </w:t>
      </w:r>
      <w:r w:rsidR="00B97A77" w:rsidRPr="00001309">
        <w:rPr>
          <w:sz w:val="26"/>
          <w:szCs w:val="26"/>
        </w:rPr>
        <w:t>5.</w:t>
      </w:r>
    </w:p>
    <w:p w:rsidR="00B97A77" w:rsidRPr="00001309" w:rsidRDefault="00B97A77" w:rsidP="000D2ECC">
      <w:pPr>
        <w:autoSpaceDE w:val="0"/>
        <w:autoSpaceDN w:val="0"/>
        <w:adjustRightInd w:val="0"/>
        <w:rPr>
          <w:sz w:val="26"/>
          <w:szCs w:val="26"/>
        </w:rPr>
      </w:pPr>
    </w:p>
    <w:p w:rsidR="00844C07" w:rsidRPr="00001309" w:rsidRDefault="00493721" w:rsidP="000D2ECC">
      <w:pPr>
        <w:autoSpaceDE w:val="0"/>
        <w:autoSpaceDN w:val="0"/>
        <w:adjustRightInd w:val="0"/>
        <w:rPr>
          <w:sz w:val="26"/>
          <w:szCs w:val="26"/>
        </w:rPr>
      </w:pPr>
      <w:r>
        <w:rPr>
          <w:sz w:val="26"/>
          <w:szCs w:val="26"/>
        </w:rPr>
        <w:t xml:space="preserve">The </w:t>
      </w:r>
      <w:r w:rsidR="00B97A77" w:rsidRPr="00001309">
        <w:rPr>
          <w:sz w:val="26"/>
          <w:szCs w:val="26"/>
        </w:rPr>
        <w:t xml:space="preserve">Joint Complainants also submit that Blue Pilot represents an interest </w:t>
      </w:r>
      <w:proofErr w:type="gramStart"/>
      <w:r w:rsidR="00B97A77" w:rsidRPr="00001309">
        <w:rPr>
          <w:sz w:val="26"/>
          <w:szCs w:val="26"/>
        </w:rPr>
        <w:t>similar to</w:t>
      </w:r>
      <w:proofErr w:type="gramEnd"/>
      <w:r w:rsidR="00B97A77" w:rsidRPr="00001309">
        <w:rPr>
          <w:sz w:val="26"/>
          <w:szCs w:val="26"/>
        </w:rPr>
        <w:t xml:space="preserve"> the RESA.  </w:t>
      </w:r>
      <w:r w:rsidR="00F91E03" w:rsidRPr="00001309">
        <w:rPr>
          <w:sz w:val="26"/>
          <w:szCs w:val="26"/>
        </w:rPr>
        <w:t xml:space="preserve">Additionally, </w:t>
      </w:r>
      <w:r>
        <w:rPr>
          <w:sz w:val="26"/>
          <w:szCs w:val="26"/>
        </w:rPr>
        <w:t xml:space="preserve">the </w:t>
      </w:r>
      <w:r w:rsidR="00B97A77" w:rsidRPr="00001309">
        <w:rPr>
          <w:sz w:val="26"/>
          <w:szCs w:val="26"/>
        </w:rPr>
        <w:t>Joint Complainants explain that the public interest does not support the RESA intervention</w:t>
      </w:r>
      <w:r w:rsidR="00F91E03" w:rsidRPr="00001309">
        <w:rPr>
          <w:sz w:val="26"/>
          <w:szCs w:val="26"/>
        </w:rPr>
        <w:t xml:space="preserve">.  They assert that </w:t>
      </w:r>
      <w:r w:rsidR="00B97A77" w:rsidRPr="00001309">
        <w:rPr>
          <w:sz w:val="26"/>
          <w:szCs w:val="26"/>
        </w:rPr>
        <w:t xml:space="preserve">the petition to intervene is not timely </w:t>
      </w:r>
      <w:r w:rsidR="008A7327" w:rsidRPr="00001309">
        <w:rPr>
          <w:sz w:val="26"/>
          <w:szCs w:val="26"/>
        </w:rPr>
        <w:t xml:space="preserve">and </w:t>
      </w:r>
      <w:r w:rsidR="00B97A77" w:rsidRPr="00001309">
        <w:rPr>
          <w:sz w:val="26"/>
          <w:szCs w:val="26"/>
        </w:rPr>
        <w:t xml:space="preserve">the preferred approach would have been to seek leave to file an </w:t>
      </w:r>
      <w:r w:rsidR="00B97A77" w:rsidRPr="00001309">
        <w:rPr>
          <w:i/>
          <w:sz w:val="26"/>
          <w:szCs w:val="26"/>
        </w:rPr>
        <w:t>amicus</w:t>
      </w:r>
      <w:r w:rsidR="00B97A77" w:rsidRPr="00001309">
        <w:rPr>
          <w:sz w:val="26"/>
          <w:szCs w:val="26"/>
        </w:rPr>
        <w:t xml:space="preserve"> brief in this matter</w:t>
      </w:r>
      <w:r w:rsidR="008A7327" w:rsidRPr="00001309">
        <w:rPr>
          <w:sz w:val="26"/>
          <w:szCs w:val="26"/>
        </w:rPr>
        <w:t xml:space="preserve">.  </w:t>
      </w:r>
      <w:r>
        <w:rPr>
          <w:sz w:val="26"/>
          <w:szCs w:val="26"/>
        </w:rPr>
        <w:t xml:space="preserve">The </w:t>
      </w:r>
      <w:r w:rsidR="008A7327" w:rsidRPr="00001309">
        <w:rPr>
          <w:sz w:val="26"/>
          <w:szCs w:val="26"/>
        </w:rPr>
        <w:t>Joint Complainants point out that</w:t>
      </w:r>
      <w:r w:rsidR="00B97A77" w:rsidRPr="00001309">
        <w:rPr>
          <w:sz w:val="26"/>
          <w:szCs w:val="26"/>
        </w:rPr>
        <w:t xml:space="preserve"> only a party is entitled to file an Exception to an Initial Decision.</w:t>
      </w:r>
    </w:p>
    <w:p w:rsidR="00844C07" w:rsidRPr="00001309" w:rsidRDefault="00844C07" w:rsidP="000D2ECC">
      <w:pPr>
        <w:autoSpaceDE w:val="0"/>
        <w:autoSpaceDN w:val="0"/>
        <w:adjustRightInd w:val="0"/>
        <w:rPr>
          <w:sz w:val="26"/>
          <w:szCs w:val="26"/>
        </w:rPr>
      </w:pPr>
    </w:p>
    <w:p w:rsidR="00226047" w:rsidRPr="00001309" w:rsidRDefault="00844C07" w:rsidP="000D2ECC">
      <w:pPr>
        <w:autoSpaceDE w:val="0"/>
        <w:autoSpaceDN w:val="0"/>
        <w:adjustRightInd w:val="0"/>
        <w:rPr>
          <w:sz w:val="26"/>
          <w:szCs w:val="26"/>
        </w:rPr>
      </w:pPr>
      <w:r w:rsidRPr="00001309">
        <w:rPr>
          <w:sz w:val="26"/>
          <w:szCs w:val="26"/>
        </w:rPr>
        <w:lastRenderedPageBreak/>
        <w:t xml:space="preserve">Additionally, </w:t>
      </w:r>
      <w:r w:rsidR="00493721">
        <w:rPr>
          <w:sz w:val="26"/>
          <w:szCs w:val="26"/>
        </w:rPr>
        <w:t xml:space="preserve">the </w:t>
      </w:r>
      <w:r w:rsidRPr="00001309">
        <w:rPr>
          <w:sz w:val="26"/>
          <w:szCs w:val="26"/>
        </w:rPr>
        <w:t>Joint Complainants are in substantive disagreement with the RESA as to whether the TRA requires a “wet-signature</w:t>
      </w:r>
      <w:r w:rsidR="008A7327" w:rsidRPr="00001309">
        <w:rPr>
          <w:sz w:val="26"/>
          <w:szCs w:val="26"/>
        </w:rPr>
        <w:t>.</w:t>
      </w:r>
      <w:r w:rsidRPr="00001309">
        <w:rPr>
          <w:sz w:val="26"/>
          <w:szCs w:val="26"/>
        </w:rPr>
        <w:t xml:space="preserve">” </w:t>
      </w:r>
      <w:r w:rsidR="008A7327" w:rsidRPr="00001309">
        <w:rPr>
          <w:sz w:val="26"/>
          <w:szCs w:val="26"/>
        </w:rPr>
        <w:t xml:space="preserve"> They also disagree</w:t>
      </w:r>
      <w:r w:rsidRPr="00001309">
        <w:rPr>
          <w:sz w:val="26"/>
          <w:szCs w:val="26"/>
        </w:rPr>
        <w:t xml:space="preserve"> </w:t>
      </w:r>
      <w:r w:rsidR="00F61F3B" w:rsidRPr="00001309">
        <w:rPr>
          <w:sz w:val="26"/>
          <w:szCs w:val="26"/>
        </w:rPr>
        <w:t>and</w:t>
      </w:r>
      <w:r w:rsidRPr="00001309">
        <w:rPr>
          <w:sz w:val="26"/>
          <w:szCs w:val="26"/>
        </w:rPr>
        <w:t xml:space="preserve"> incorporat</w:t>
      </w:r>
      <w:r w:rsidR="00F61F3B" w:rsidRPr="00001309">
        <w:rPr>
          <w:sz w:val="26"/>
          <w:szCs w:val="26"/>
        </w:rPr>
        <w:t>e</w:t>
      </w:r>
      <w:r w:rsidRPr="00001309">
        <w:rPr>
          <w:sz w:val="26"/>
          <w:szCs w:val="26"/>
        </w:rPr>
        <w:t xml:space="preserve"> by reference </w:t>
      </w:r>
      <w:r w:rsidR="00F61F3B" w:rsidRPr="00001309">
        <w:rPr>
          <w:sz w:val="26"/>
          <w:szCs w:val="26"/>
        </w:rPr>
        <w:t xml:space="preserve">their position that </w:t>
      </w:r>
      <w:r w:rsidRPr="00001309">
        <w:rPr>
          <w:sz w:val="26"/>
          <w:szCs w:val="26"/>
        </w:rPr>
        <w:t>EGS suppliers would be obligated under Commission Regulations</w:t>
      </w:r>
      <w:r w:rsidR="00F61F3B" w:rsidRPr="00001309">
        <w:rPr>
          <w:sz w:val="26"/>
          <w:szCs w:val="26"/>
        </w:rPr>
        <w:t xml:space="preserve"> to obtain wet signatures</w:t>
      </w:r>
      <w:r w:rsidRPr="00001309">
        <w:rPr>
          <w:sz w:val="26"/>
          <w:szCs w:val="26"/>
        </w:rPr>
        <w:t>.</w:t>
      </w:r>
      <w:r w:rsidR="00327830" w:rsidRPr="00001309">
        <w:rPr>
          <w:sz w:val="26"/>
          <w:szCs w:val="26"/>
        </w:rPr>
        <w:t xml:space="preserve">  </w:t>
      </w:r>
      <w:r w:rsidR="00723218" w:rsidRPr="00001309">
        <w:rPr>
          <w:sz w:val="26"/>
          <w:szCs w:val="26"/>
        </w:rPr>
        <w:t>Answer at 17-18.</w:t>
      </w:r>
    </w:p>
    <w:p w:rsidR="00226047" w:rsidRPr="00001309" w:rsidRDefault="00226047" w:rsidP="000D2ECC">
      <w:pPr>
        <w:autoSpaceDE w:val="0"/>
        <w:autoSpaceDN w:val="0"/>
        <w:adjustRightInd w:val="0"/>
        <w:rPr>
          <w:sz w:val="26"/>
          <w:szCs w:val="26"/>
        </w:rPr>
      </w:pPr>
    </w:p>
    <w:p w:rsidR="00B97A77" w:rsidRPr="00001309" w:rsidRDefault="0010371D" w:rsidP="00146A62">
      <w:pPr>
        <w:pStyle w:val="FootnoteText"/>
        <w:keepNext/>
        <w:keepLines/>
        <w:spacing w:line="360" w:lineRule="auto"/>
        <w:ind w:firstLine="720"/>
        <w:rPr>
          <w:b/>
          <w:sz w:val="26"/>
          <w:szCs w:val="26"/>
        </w:rPr>
      </w:pPr>
      <w:r w:rsidRPr="00001309">
        <w:rPr>
          <w:b/>
          <w:sz w:val="26"/>
          <w:szCs w:val="26"/>
        </w:rPr>
        <w:t>5</w:t>
      </w:r>
      <w:r w:rsidR="004F38F2" w:rsidRPr="00001309">
        <w:rPr>
          <w:b/>
          <w:sz w:val="26"/>
          <w:szCs w:val="26"/>
        </w:rPr>
        <w:t>.</w:t>
      </w:r>
      <w:r w:rsidR="004F38F2" w:rsidRPr="00001309">
        <w:rPr>
          <w:b/>
          <w:sz w:val="26"/>
          <w:szCs w:val="26"/>
        </w:rPr>
        <w:tab/>
      </w:r>
      <w:r w:rsidR="00B97A77" w:rsidRPr="00001309">
        <w:rPr>
          <w:b/>
          <w:sz w:val="26"/>
          <w:szCs w:val="26"/>
        </w:rPr>
        <w:t>Disposition</w:t>
      </w:r>
    </w:p>
    <w:p w:rsidR="00146A62" w:rsidRPr="00001309" w:rsidRDefault="00146A62" w:rsidP="00146A62">
      <w:pPr>
        <w:pStyle w:val="FootnoteText"/>
        <w:keepNext/>
        <w:keepLines/>
        <w:spacing w:line="360" w:lineRule="auto"/>
        <w:ind w:firstLine="720"/>
        <w:rPr>
          <w:sz w:val="26"/>
          <w:szCs w:val="26"/>
        </w:rPr>
      </w:pPr>
    </w:p>
    <w:p w:rsidR="00D77483" w:rsidRPr="00001309" w:rsidRDefault="0020693F" w:rsidP="00D77483">
      <w:pPr>
        <w:pStyle w:val="FootnoteText"/>
        <w:spacing w:line="360" w:lineRule="auto"/>
        <w:rPr>
          <w:sz w:val="26"/>
          <w:szCs w:val="26"/>
        </w:rPr>
      </w:pPr>
      <w:r>
        <w:rPr>
          <w:sz w:val="26"/>
          <w:szCs w:val="26"/>
        </w:rPr>
        <w:t xml:space="preserve">As a threshold consideration, we address the RESA Petition seeking intervention in this Joint Complaint.  </w:t>
      </w:r>
      <w:r w:rsidR="002F3009" w:rsidRPr="00001309">
        <w:rPr>
          <w:sz w:val="26"/>
          <w:szCs w:val="26"/>
        </w:rPr>
        <w:t xml:space="preserve">Our Regulations at 52 Pa. Code </w:t>
      </w:r>
      <w:r w:rsidR="002F3009" w:rsidRPr="00001309">
        <w:rPr>
          <w:rFonts w:cs="Helvetica"/>
          <w:sz w:val="26"/>
          <w:szCs w:val="26"/>
        </w:rPr>
        <w:t xml:space="preserve">§ 5.74., govern the filing of petitions to intervene.  </w:t>
      </w:r>
      <w:r w:rsidR="00B97A77" w:rsidRPr="00001309">
        <w:rPr>
          <w:sz w:val="26"/>
          <w:szCs w:val="26"/>
        </w:rPr>
        <w:t xml:space="preserve">As noted by </w:t>
      </w:r>
      <w:r w:rsidR="00493721">
        <w:rPr>
          <w:sz w:val="26"/>
          <w:szCs w:val="26"/>
        </w:rPr>
        <w:t xml:space="preserve">the </w:t>
      </w:r>
      <w:r w:rsidR="00B97A77" w:rsidRPr="00001309">
        <w:rPr>
          <w:sz w:val="26"/>
          <w:szCs w:val="26"/>
        </w:rPr>
        <w:t>Joint Complainants, the determination to permit intervention is within the</w:t>
      </w:r>
      <w:r w:rsidR="005A318E" w:rsidRPr="00001309">
        <w:rPr>
          <w:sz w:val="26"/>
          <w:szCs w:val="26"/>
        </w:rPr>
        <w:t xml:space="preserve"> sound discretion of this agency. </w:t>
      </w:r>
      <w:r w:rsidR="00723218" w:rsidRPr="00001309">
        <w:rPr>
          <w:sz w:val="26"/>
          <w:szCs w:val="26"/>
        </w:rPr>
        <w:t xml:space="preserve"> </w:t>
      </w:r>
      <w:r w:rsidR="00723218" w:rsidRPr="00001309">
        <w:rPr>
          <w:i/>
          <w:sz w:val="26"/>
          <w:szCs w:val="26"/>
        </w:rPr>
        <w:t xml:space="preserve">See </w:t>
      </w:r>
      <w:r w:rsidR="00723218" w:rsidRPr="00001309">
        <w:rPr>
          <w:sz w:val="26"/>
          <w:szCs w:val="26"/>
        </w:rPr>
        <w:t>Answer at 8 and citations.</w:t>
      </w:r>
      <w:r w:rsidR="00844C07" w:rsidRPr="00001309">
        <w:rPr>
          <w:sz w:val="26"/>
          <w:szCs w:val="26"/>
        </w:rPr>
        <w:t xml:space="preserve">  </w:t>
      </w:r>
      <w:r w:rsidR="00493721">
        <w:rPr>
          <w:sz w:val="26"/>
          <w:szCs w:val="26"/>
        </w:rPr>
        <w:t xml:space="preserve">The </w:t>
      </w:r>
      <w:r w:rsidR="00844C07" w:rsidRPr="00001309">
        <w:rPr>
          <w:sz w:val="26"/>
          <w:szCs w:val="26"/>
        </w:rPr>
        <w:t xml:space="preserve">Joint Complainants acknowledge that </w:t>
      </w:r>
      <w:r w:rsidR="00844C07" w:rsidRPr="00001309">
        <w:rPr>
          <w:i/>
          <w:sz w:val="26"/>
          <w:szCs w:val="26"/>
        </w:rPr>
        <w:t>Corinna Lynn Scheffer v. Columbia Gas of Pa.</w:t>
      </w:r>
      <w:r w:rsidR="00844C07" w:rsidRPr="00001309">
        <w:rPr>
          <w:sz w:val="26"/>
          <w:szCs w:val="26"/>
        </w:rPr>
        <w:t>, Docket No. C-2010-2153353 (Opinion and Order entered November 1, 2011) (</w:t>
      </w:r>
      <w:r w:rsidR="00844C07" w:rsidRPr="00001309">
        <w:rPr>
          <w:i/>
          <w:sz w:val="26"/>
          <w:szCs w:val="26"/>
        </w:rPr>
        <w:t>Corinna</w:t>
      </w:r>
      <w:r w:rsidR="00844C07" w:rsidRPr="00001309">
        <w:rPr>
          <w:sz w:val="26"/>
          <w:szCs w:val="26"/>
        </w:rPr>
        <w:t>)</w:t>
      </w:r>
      <w:r w:rsidR="00723218" w:rsidRPr="00001309">
        <w:rPr>
          <w:sz w:val="26"/>
          <w:szCs w:val="26"/>
        </w:rPr>
        <w:t>,</w:t>
      </w:r>
      <w:r w:rsidR="00844C07" w:rsidRPr="00001309">
        <w:rPr>
          <w:sz w:val="26"/>
          <w:szCs w:val="26"/>
        </w:rPr>
        <w:t xml:space="preserve"> is administrative precedent for permitting late-intervention</w:t>
      </w:r>
      <w:r w:rsidR="00050BE7" w:rsidRPr="00001309">
        <w:rPr>
          <w:sz w:val="26"/>
          <w:szCs w:val="26"/>
        </w:rPr>
        <w:t xml:space="preserve"> in a matter</w:t>
      </w:r>
      <w:r w:rsidR="00D77483" w:rsidRPr="00001309">
        <w:rPr>
          <w:sz w:val="26"/>
          <w:szCs w:val="26"/>
        </w:rPr>
        <w:t xml:space="preserve">.  </w:t>
      </w:r>
      <w:r w:rsidR="00493721">
        <w:rPr>
          <w:sz w:val="26"/>
          <w:szCs w:val="26"/>
        </w:rPr>
        <w:t xml:space="preserve">The </w:t>
      </w:r>
      <w:r w:rsidR="00D77483" w:rsidRPr="00001309">
        <w:rPr>
          <w:sz w:val="26"/>
          <w:szCs w:val="26"/>
        </w:rPr>
        <w:t>Joint Complainants</w:t>
      </w:r>
      <w:r w:rsidR="00F61F3B" w:rsidRPr="00001309">
        <w:rPr>
          <w:sz w:val="26"/>
          <w:szCs w:val="26"/>
        </w:rPr>
        <w:t>, however,</w:t>
      </w:r>
      <w:r w:rsidR="00844C07" w:rsidRPr="00001309">
        <w:rPr>
          <w:sz w:val="26"/>
          <w:szCs w:val="26"/>
        </w:rPr>
        <w:t xml:space="preserve"> attempt to distinguish </w:t>
      </w:r>
      <w:r w:rsidR="00844C07" w:rsidRPr="00001309">
        <w:rPr>
          <w:i/>
          <w:sz w:val="26"/>
          <w:szCs w:val="26"/>
        </w:rPr>
        <w:t>Corinna</w:t>
      </w:r>
      <w:r w:rsidR="00D77483" w:rsidRPr="00001309">
        <w:rPr>
          <w:i/>
          <w:sz w:val="26"/>
          <w:szCs w:val="26"/>
        </w:rPr>
        <w:t xml:space="preserve"> </w:t>
      </w:r>
      <w:r w:rsidR="00D77483" w:rsidRPr="00001309">
        <w:rPr>
          <w:sz w:val="26"/>
          <w:szCs w:val="26"/>
        </w:rPr>
        <w:t>from the circumstances in this matter</w:t>
      </w:r>
      <w:r w:rsidR="00844C07" w:rsidRPr="00001309">
        <w:rPr>
          <w:sz w:val="26"/>
          <w:szCs w:val="26"/>
        </w:rPr>
        <w:t>.  Answer at</w:t>
      </w:r>
      <w:r w:rsidR="00723218" w:rsidRPr="00001309">
        <w:rPr>
          <w:sz w:val="26"/>
          <w:szCs w:val="26"/>
        </w:rPr>
        <w:t> </w:t>
      </w:r>
      <w:r w:rsidR="00844C07" w:rsidRPr="00001309">
        <w:rPr>
          <w:sz w:val="26"/>
          <w:szCs w:val="26"/>
        </w:rPr>
        <w:t>8, n. 4.</w:t>
      </w:r>
    </w:p>
    <w:p w:rsidR="00482E19" w:rsidRPr="00001309" w:rsidRDefault="00482E19" w:rsidP="00D77483">
      <w:pPr>
        <w:pStyle w:val="FootnoteText"/>
        <w:spacing w:line="360" w:lineRule="auto"/>
        <w:rPr>
          <w:sz w:val="26"/>
          <w:szCs w:val="26"/>
        </w:rPr>
      </w:pPr>
    </w:p>
    <w:p w:rsidR="00FA1F8C" w:rsidRPr="0020693F" w:rsidRDefault="00FA1F8C" w:rsidP="0020693F">
      <w:pPr>
        <w:pStyle w:val="FootnoteText"/>
        <w:spacing w:line="360" w:lineRule="auto"/>
        <w:rPr>
          <w:sz w:val="26"/>
          <w:szCs w:val="26"/>
        </w:rPr>
      </w:pPr>
      <w:r w:rsidRPr="00001309">
        <w:rPr>
          <w:sz w:val="26"/>
          <w:szCs w:val="26"/>
        </w:rPr>
        <w:t xml:space="preserve">On consideration of the position of the RESA, </w:t>
      </w:r>
      <w:r w:rsidR="005A6301">
        <w:rPr>
          <w:sz w:val="26"/>
          <w:szCs w:val="26"/>
        </w:rPr>
        <w:t xml:space="preserve">its sole concern is the requirement under consideration in the </w:t>
      </w:r>
      <w:r w:rsidR="00661EE2">
        <w:rPr>
          <w:sz w:val="26"/>
          <w:szCs w:val="26"/>
        </w:rPr>
        <w:t>Initial Decision</w:t>
      </w:r>
      <w:r w:rsidR="005A6301">
        <w:rPr>
          <w:sz w:val="26"/>
          <w:szCs w:val="26"/>
        </w:rPr>
        <w:t xml:space="preserve"> for a “wet-signature.”  W</w:t>
      </w:r>
      <w:r w:rsidRPr="00001309">
        <w:rPr>
          <w:sz w:val="26"/>
          <w:szCs w:val="26"/>
        </w:rPr>
        <w:t xml:space="preserve">e </w:t>
      </w:r>
      <w:r w:rsidR="0020693F">
        <w:rPr>
          <w:sz w:val="26"/>
          <w:szCs w:val="26"/>
        </w:rPr>
        <w:t xml:space="preserve">shall deny intervention in this proceeding.  We find that the EGS interests in this Joint Complaint regarding the imposition of a written, or “wet signature” requirement </w:t>
      </w:r>
      <w:proofErr w:type="gramStart"/>
      <w:r w:rsidR="005A6301">
        <w:rPr>
          <w:sz w:val="26"/>
          <w:szCs w:val="26"/>
        </w:rPr>
        <w:t>are</w:t>
      </w:r>
      <w:proofErr w:type="gramEnd"/>
      <w:r w:rsidR="0020693F">
        <w:rPr>
          <w:sz w:val="26"/>
          <w:szCs w:val="26"/>
        </w:rPr>
        <w:t xml:space="preserve"> adequately represented by Blue Pilot.</w:t>
      </w:r>
    </w:p>
    <w:p w:rsidR="00DD02E0" w:rsidRPr="00001309" w:rsidRDefault="00DD02E0" w:rsidP="0020693F">
      <w:pPr>
        <w:pStyle w:val="FootnoteText"/>
        <w:spacing w:line="360" w:lineRule="auto"/>
        <w:ind w:firstLine="0"/>
        <w:rPr>
          <w:sz w:val="26"/>
          <w:szCs w:val="26"/>
        </w:rPr>
      </w:pPr>
    </w:p>
    <w:p w:rsidR="005A6301" w:rsidRDefault="00DD02E0" w:rsidP="00880918">
      <w:pPr>
        <w:pStyle w:val="FootnoteText"/>
        <w:spacing w:line="360" w:lineRule="auto"/>
        <w:rPr>
          <w:sz w:val="26"/>
          <w:szCs w:val="26"/>
        </w:rPr>
      </w:pPr>
      <w:r w:rsidRPr="00001309">
        <w:rPr>
          <w:sz w:val="26"/>
          <w:szCs w:val="26"/>
        </w:rPr>
        <w:t>On consideration of the merits of the positions of the Parties</w:t>
      </w:r>
      <w:r w:rsidR="00286874" w:rsidRPr="00001309">
        <w:rPr>
          <w:sz w:val="26"/>
          <w:szCs w:val="26"/>
        </w:rPr>
        <w:t xml:space="preserve"> on the </w:t>
      </w:r>
      <w:r w:rsidR="0020693F">
        <w:rPr>
          <w:sz w:val="26"/>
          <w:szCs w:val="26"/>
        </w:rPr>
        <w:t>ALJs’ recommendation</w:t>
      </w:r>
      <w:r w:rsidRPr="00001309">
        <w:rPr>
          <w:sz w:val="26"/>
          <w:szCs w:val="26"/>
        </w:rPr>
        <w:t xml:space="preserve">, we shall decline to adopt the recommendation </w:t>
      </w:r>
      <w:r w:rsidR="00175452" w:rsidRPr="00001309">
        <w:rPr>
          <w:sz w:val="26"/>
          <w:szCs w:val="26"/>
        </w:rPr>
        <w:t>concerning</w:t>
      </w:r>
      <w:r w:rsidRPr="00001309">
        <w:rPr>
          <w:sz w:val="26"/>
          <w:szCs w:val="26"/>
        </w:rPr>
        <w:t xml:space="preserve"> the requirement of a “wet signature” based on the record in this Complaint</w:t>
      </w:r>
      <w:r w:rsidR="0020693F">
        <w:rPr>
          <w:sz w:val="26"/>
          <w:szCs w:val="26"/>
        </w:rPr>
        <w:t xml:space="preserve">. </w:t>
      </w:r>
      <w:r w:rsidR="00880918">
        <w:rPr>
          <w:sz w:val="26"/>
          <w:szCs w:val="26"/>
        </w:rPr>
        <w:t xml:space="preserve"> </w:t>
      </w:r>
    </w:p>
    <w:p w:rsidR="00A100DC" w:rsidRDefault="00A100DC" w:rsidP="00880918">
      <w:pPr>
        <w:pStyle w:val="FootnoteText"/>
        <w:spacing w:line="360" w:lineRule="auto"/>
        <w:rPr>
          <w:sz w:val="26"/>
          <w:szCs w:val="26"/>
        </w:rPr>
      </w:pPr>
    </w:p>
    <w:p w:rsidR="005A6301" w:rsidRDefault="00880918" w:rsidP="00880918">
      <w:pPr>
        <w:pStyle w:val="FootnoteText"/>
        <w:spacing w:line="360" w:lineRule="auto"/>
        <w:rPr>
          <w:sz w:val="26"/>
          <w:szCs w:val="26"/>
        </w:rPr>
      </w:pPr>
      <w:r>
        <w:rPr>
          <w:sz w:val="26"/>
          <w:szCs w:val="26"/>
        </w:rPr>
        <w:t>W</w:t>
      </w:r>
      <w:r w:rsidR="005A6301">
        <w:rPr>
          <w:sz w:val="26"/>
          <w:szCs w:val="26"/>
        </w:rPr>
        <w:t>e</w:t>
      </w:r>
      <w:r w:rsidR="005A6301" w:rsidRPr="005A46C1">
        <w:rPr>
          <w:sz w:val="26"/>
          <w:szCs w:val="26"/>
        </w:rPr>
        <w:t xml:space="preserve"> agree </w:t>
      </w:r>
      <w:r w:rsidR="005A6301">
        <w:rPr>
          <w:sz w:val="26"/>
          <w:szCs w:val="26"/>
        </w:rPr>
        <w:t xml:space="preserve">with the argument of Blue Pilot that our Regulations do not, </w:t>
      </w:r>
      <w:proofErr w:type="gramStart"/>
      <w:r w:rsidR="005A6301">
        <w:rPr>
          <w:sz w:val="26"/>
          <w:szCs w:val="26"/>
        </w:rPr>
        <w:t>at this time</w:t>
      </w:r>
      <w:proofErr w:type="gramEnd"/>
      <w:r w:rsidR="005A6301">
        <w:rPr>
          <w:sz w:val="26"/>
          <w:szCs w:val="26"/>
        </w:rPr>
        <w:t xml:space="preserve">, require a “wet signature” to conclude all marketing and/sales transactions.  </w:t>
      </w:r>
      <w:r w:rsidR="005A6301">
        <w:rPr>
          <w:i/>
          <w:sz w:val="26"/>
          <w:szCs w:val="26"/>
        </w:rPr>
        <w:t xml:space="preserve">See </w:t>
      </w:r>
      <w:r w:rsidR="005A6301">
        <w:rPr>
          <w:sz w:val="26"/>
          <w:szCs w:val="26"/>
        </w:rPr>
        <w:t xml:space="preserve">52 Pa. </w:t>
      </w:r>
      <w:r w:rsidR="005A6301">
        <w:rPr>
          <w:sz w:val="26"/>
          <w:szCs w:val="26"/>
        </w:rPr>
        <w:lastRenderedPageBreak/>
        <w:t>Code § 111.7(a), “</w:t>
      </w:r>
      <w:r w:rsidR="005A6301" w:rsidRPr="0037676F">
        <w:rPr>
          <w:sz w:val="26"/>
          <w:szCs w:val="26"/>
        </w:rPr>
        <w:t>(a) A supplier shall establish a written, oral or electronic transaction process for a customer to authorize the transfer of the customer’s account to the supplier</w:t>
      </w:r>
      <w:r w:rsidR="006B5D0D">
        <w:rPr>
          <w:sz w:val="26"/>
          <w:szCs w:val="26"/>
        </w:rPr>
        <w:t> </w:t>
      </w:r>
      <w:r w:rsidR="005A6301">
        <w:rPr>
          <w:sz w:val="26"/>
          <w:szCs w:val="26"/>
        </w:rPr>
        <w:t>.</w:t>
      </w:r>
      <w:r w:rsidR="006B5D0D">
        <w:rPr>
          <w:sz w:val="26"/>
          <w:szCs w:val="26"/>
        </w:rPr>
        <w:t> </w:t>
      </w:r>
      <w:r w:rsidR="005A6301">
        <w:rPr>
          <w:sz w:val="26"/>
          <w:szCs w:val="26"/>
        </w:rPr>
        <w:t>.</w:t>
      </w:r>
      <w:r w:rsidR="006B5D0D">
        <w:rPr>
          <w:sz w:val="26"/>
          <w:szCs w:val="26"/>
        </w:rPr>
        <w:t> . </w:t>
      </w:r>
      <w:r w:rsidR="005A6301">
        <w:rPr>
          <w:sz w:val="26"/>
          <w:szCs w:val="26"/>
        </w:rPr>
        <w:t>.”</w:t>
      </w:r>
      <w:r>
        <w:rPr>
          <w:sz w:val="26"/>
          <w:szCs w:val="26"/>
        </w:rPr>
        <w:t xml:space="preserve">  </w:t>
      </w:r>
      <w:r w:rsidRPr="005A46C1">
        <w:rPr>
          <w:sz w:val="26"/>
          <w:szCs w:val="26"/>
        </w:rPr>
        <w:t>Rather, Section 111.7 of the Commission</w:t>
      </w:r>
      <w:r>
        <w:rPr>
          <w:sz w:val="26"/>
          <w:szCs w:val="26"/>
        </w:rPr>
        <w:t>’</w:t>
      </w:r>
      <w:r w:rsidRPr="005A46C1">
        <w:rPr>
          <w:sz w:val="26"/>
          <w:szCs w:val="26"/>
        </w:rPr>
        <w:t xml:space="preserve">s </w:t>
      </w:r>
      <w:r>
        <w:rPr>
          <w:sz w:val="26"/>
          <w:szCs w:val="26"/>
        </w:rPr>
        <w:t>R</w:t>
      </w:r>
      <w:r w:rsidRPr="005A46C1">
        <w:rPr>
          <w:sz w:val="26"/>
          <w:szCs w:val="26"/>
        </w:rPr>
        <w:t>egulations</w:t>
      </w:r>
      <w:r>
        <w:rPr>
          <w:sz w:val="26"/>
          <w:szCs w:val="26"/>
        </w:rPr>
        <w:t>, 52 Pa. Code § 111.7,</w:t>
      </w:r>
      <w:r w:rsidRPr="005A46C1">
        <w:rPr>
          <w:sz w:val="26"/>
          <w:szCs w:val="26"/>
        </w:rPr>
        <w:t xml:space="preserve"> allows a supplier to utilize a verbal, written or electronic transaction process to enroll customers.</w:t>
      </w:r>
    </w:p>
    <w:p w:rsidR="005A6301" w:rsidRDefault="005A6301" w:rsidP="005A6301">
      <w:pPr>
        <w:kinsoku w:val="0"/>
        <w:overflowPunct w:val="0"/>
        <w:textAlignment w:val="baseline"/>
        <w:rPr>
          <w:sz w:val="26"/>
          <w:szCs w:val="26"/>
        </w:rPr>
      </w:pPr>
    </w:p>
    <w:p w:rsidR="005A6301" w:rsidRPr="0037676F" w:rsidRDefault="005A6301" w:rsidP="005A6301">
      <w:pPr>
        <w:kinsoku w:val="0"/>
        <w:overflowPunct w:val="0"/>
        <w:textAlignment w:val="baseline"/>
        <w:rPr>
          <w:sz w:val="26"/>
          <w:szCs w:val="26"/>
        </w:rPr>
      </w:pPr>
      <w:r>
        <w:rPr>
          <w:sz w:val="26"/>
          <w:szCs w:val="26"/>
        </w:rPr>
        <w:t>Based on the foregoing, the Exception of Blue Pilot is granted, consistent with this Opinion and Order.</w:t>
      </w:r>
    </w:p>
    <w:p w:rsidR="005A6301" w:rsidRDefault="005A6301" w:rsidP="008D34CA">
      <w:pPr>
        <w:shd w:val="clear" w:color="auto" w:fill="FFFFFF"/>
        <w:rPr>
          <w:sz w:val="26"/>
          <w:szCs w:val="26"/>
        </w:rPr>
      </w:pPr>
    </w:p>
    <w:p w:rsidR="00AF2410" w:rsidRPr="00001309" w:rsidRDefault="005A6301" w:rsidP="006952CE">
      <w:pPr>
        <w:pStyle w:val="NormalWeb"/>
        <w:spacing w:before="0" w:line="360" w:lineRule="auto"/>
        <w:rPr>
          <w:sz w:val="26"/>
          <w:szCs w:val="26"/>
        </w:rPr>
      </w:pPr>
      <w:r>
        <w:rPr>
          <w:sz w:val="26"/>
          <w:szCs w:val="26"/>
        </w:rPr>
        <w:t xml:space="preserve">In resolving this Exception, we note further that the </w:t>
      </w:r>
      <w:r w:rsidR="00661EE2">
        <w:rPr>
          <w:sz w:val="26"/>
          <w:szCs w:val="26"/>
        </w:rPr>
        <w:t>Initial Decision</w:t>
      </w:r>
      <w:r>
        <w:rPr>
          <w:sz w:val="26"/>
          <w:szCs w:val="26"/>
        </w:rPr>
        <w:t>’s requirement that signatures be “wet” i</w:t>
      </w:r>
      <w:r w:rsidR="006952CE">
        <w:rPr>
          <w:sz w:val="26"/>
          <w:szCs w:val="26"/>
        </w:rPr>
        <w:t>s</w:t>
      </w:r>
      <w:r>
        <w:rPr>
          <w:sz w:val="26"/>
          <w:szCs w:val="26"/>
        </w:rPr>
        <w:t xml:space="preserve"> not supported by the TRA and other proceedings.  </w:t>
      </w:r>
      <w:r>
        <w:rPr>
          <w:i/>
          <w:sz w:val="26"/>
          <w:szCs w:val="26"/>
        </w:rPr>
        <w:t xml:space="preserve">See </w:t>
      </w:r>
      <w:r w:rsidR="00AF2410" w:rsidRPr="00001309">
        <w:rPr>
          <w:i/>
          <w:sz w:val="26"/>
          <w:szCs w:val="26"/>
        </w:rPr>
        <w:t>Final Rulemaking to Permit Electronic Filing</w:t>
      </w:r>
      <w:r w:rsidR="00AF2410" w:rsidRPr="00001309">
        <w:rPr>
          <w:sz w:val="26"/>
          <w:szCs w:val="26"/>
        </w:rPr>
        <w:t>, Docket No. L-00070187</w:t>
      </w:r>
      <w:r w:rsidR="00E4485A" w:rsidRPr="00001309">
        <w:rPr>
          <w:sz w:val="26"/>
          <w:szCs w:val="26"/>
        </w:rPr>
        <w:t xml:space="preserve"> 2008 Pa. PUC LEXIS 170</w:t>
      </w:r>
      <w:r w:rsidR="00AF2410" w:rsidRPr="00001309">
        <w:rPr>
          <w:sz w:val="26"/>
          <w:szCs w:val="26"/>
        </w:rPr>
        <w:t xml:space="preserve"> (Order entered March 23, 2008);</w:t>
      </w:r>
      <w:r w:rsidR="00AF2410" w:rsidRPr="00001309">
        <w:rPr>
          <w:i/>
          <w:sz w:val="26"/>
          <w:szCs w:val="26"/>
        </w:rPr>
        <w:t xml:space="preserve"> </w:t>
      </w:r>
      <w:hyperlink r:id="rId11" w:history="1">
        <w:r w:rsidR="00AF2410" w:rsidRPr="00001309">
          <w:rPr>
            <w:rStyle w:val="Hyperlink"/>
            <w:i/>
            <w:color w:val="auto"/>
            <w:sz w:val="26"/>
            <w:szCs w:val="26"/>
            <w:u w:val="none"/>
            <w:shd w:val="clear" w:color="auto" w:fill="FFFFFF"/>
          </w:rPr>
          <w:t>Petition of Budget Prepay, Inc. for Limited Designation as an Eligible Telecommunications Carrier for the Purpose of Federal Universal Service Low Income Support</w:t>
        </w:r>
      </w:hyperlink>
      <w:r w:rsidR="00AF2410" w:rsidRPr="00001309">
        <w:rPr>
          <w:sz w:val="26"/>
          <w:szCs w:val="26"/>
          <w:shd w:val="clear" w:color="auto" w:fill="FFFFFF"/>
        </w:rPr>
        <w:t>, Docket No. P-2011-2269524</w:t>
      </w:r>
      <w:r w:rsidR="0002576E" w:rsidRPr="00001309">
        <w:rPr>
          <w:sz w:val="26"/>
          <w:szCs w:val="26"/>
          <w:shd w:val="clear" w:color="auto" w:fill="FFFFFF"/>
        </w:rPr>
        <w:t xml:space="preserve"> 2012 Pa. PUC LEXIS 975</w:t>
      </w:r>
      <w:r w:rsidR="00AF2410" w:rsidRPr="00001309">
        <w:rPr>
          <w:sz w:val="26"/>
          <w:szCs w:val="26"/>
          <w:shd w:val="clear" w:color="auto" w:fill="FFFFFF"/>
        </w:rPr>
        <w:t xml:space="preserve"> (Order entered June 21, 2012); </w:t>
      </w:r>
      <w:hyperlink r:id="rId12" w:history="1">
        <w:r w:rsidR="00AF2410" w:rsidRPr="00001309">
          <w:rPr>
            <w:sz w:val="26"/>
            <w:szCs w:val="26"/>
          </w:rPr>
          <w:t xml:space="preserve"> </w:t>
        </w:r>
        <w:r w:rsidR="00AF2410" w:rsidRPr="00001309">
          <w:rPr>
            <w:i/>
            <w:sz w:val="26"/>
            <w:szCs w:val="26"/>
          </w:rPr>
          <w:t>Petition of T-Mobile LLC, T-Mobile Central LLC, and VoiceStream Pittsburgh LP for Limited Designation as an Eligible Telecommunications Carrier for Purposes of Low Income Support Only</w:t>
        </w:r>
      </w:hyperlink>
      <w:r w:rsidR="00AF2410" w:rsidRPr="00001309">
        <w:rPr>
          <w:sz w:val="26"/>
          <w:szCs w:val="26"/>
        </w:rPr>
        <w:t>, Docket No. P-2011-2275748 </w:t>
      </w:r>
      <w:r w:rsidR="0002576E" w:rsidRPr="00001309">
        <w:rPr>
          <w:sz w:val="26"/>
          <w:szCs w:val="26"/>
        </w:rPr>
        <w:t xml:space="preserve">2012 Pa. PUC LEXIS 1408. </w:t>
      </w:r>
      <w:r w:rsidR="00AF2410" w:rsidRPr="00001309">
        <w:rPr>
          <w:sz w:val="26"/>
          <w:szCs w:val="26"/>
        </w:rPr>
        <w:t>(Order entered August 30, 2012)</w:t>
      </w:r>
      <w:r>
        <w:rPr>
          <w:sz w:val="26"/>
          <w:szCs w:val="26"/>
        </w:rPr>
        <w:t xml:space="preserve">; </w:t>
      </w:r>
      <w:r w:rsidRPr="00001309">
        <w:rPr>
          <w:rStyle w:val="Hyperlink"/>
          <w:i/>
          <w:color w:val="auto"/>
          <w:sz w:val="26"/>
          <w:szCs w:val="26"/>
          <w:u w:val="none"/>
          <w:shd w:val="clear" w:color="auto" w:fill="FFFFFF"/>
        </w:rPr>
        <w:t>See</w:t>
      </w:r>
      <w:r>
        <w:rPr>
          <w:rStyle w:val="Hyperlink"/>
          <w:i/>
          <w:color w:val="auto"/>
          <w:sz w:val="26"/>
          <w:szCs w:val="26"/>
          <w:u w:val="none"/>
          <w:shd w:val="clear" w:color="auto" w:fill="FFFFFF"/>
        </w:rPr>
        <w:t>, also</w:t>
      </w:r>
      <w:r w:rsidRPr="00001309">
        <w:rPr>
          <w:rStyle w:val="Hyperlink"/>
          <w:i/>
          <w:color w:val="auto"/>
          <w:sz w:val="26"/>
          <w:szCs w:val="26"/>
          <w:u w:val="none"/>
          <w:shd w:val="clear" w:color="auto" w:fill="FFFFFF"/>
        </w:rPr>
        <w:t xml:space="preserve"> </w:t>
      </w:r>
      <w:r w:rsidRPr="006A3ABC">
        <w:rPr>
          <w:rStyle w:val="Hyperlink"/>
          <w:i/>
          <w:color w:val="auto"/>
          <w:sz w:val="26"/>
          <w:szCs w:val="26"/>
          <w:u w:val="none"/>
          <w:shd w:val="clear" w:color="auto" w:fill="FFFFFF"/>
        </w:rPr>
        <w:t>Springfield Twp. v. Mellon PSFS Bank</w:t>
      </w:r>
      <w:r w:rsidRPr="00001309">
        <w:rPr>
          <w:rStyle w:val="Hyperlink"/>
          <w:color w:val="auto"/>
          <w:sz w:val="26"/>
          <w:szCs w:val="26"/>
          <w:u w:val="none"/>
          <w:shd w:val="clear" w:color="auto" w:fill="FFFFFF"/>
        </w:rPr>
        <w:t>, 586 Pa. 1, 889 A.2d 1184 (2005), n</w:t>
      </w:r>
      <w:r>
        <w:rPr>
          <w:rStyle w:val="Hyperlink"/>
          <w:color w:val="auto"/>
          <w:sz w:val="26"/>
          <w:szCs w:val="26"/>
          <w:u w:val="none"/>
          <w:shd w:val="clear" w:color="auto" w:fill="FFFFFF"/>
        </w:rPr>
        <w:t>.</w:t>
      </w:r>
      <w:r w:rsidRPr="00001309">
        <w:rPr>
          <w:rStyle w:val="Hyperlink"/>
          <w:color w:val="auto"/>
          <w:sz w:val="26"/>
          <w:szCs w:val="26"/>
          <w:u w:val="none"/>
          <w:shd w:val="clear" w:color="auto" w:fill="FFFFFF"/>
        </w:rPr>
        <w:t>10</w:t>
      </w:r>
      <w:r>
        <w:rPr>
          <w:rStyle w:val="Hyperlink"/>
          <w:color w:val="auto"/>
          <w:sz w:val="26"/>
          <w:szCs w:val="26"/>
          <w:u w:val="none"/>
          <w:shd w:val="clear" w:color="auto" w:fill="FFFFFF"/>
        </w:rPr>
        <w:t>.</w:t>
      </w:r>
      <w:r w:rsidRPr="00001309">
        <w:rPr>
          <w:rStyle w:val="Hyperlink"/>
          <w:color w:val="auto"/>
          <w:sz w:val="26"/>
          <w:szCs w:val="26"/>
          <w:u w:val="none"/>
          <w:shd w:val="clear" w:color="auto" w:fill="FFFFFF"/>
        </w:rPr>
        <w:t> </w:t>
      </w:r>
      <w:r w:rsidRPr="00001309">
        <w:rPr>
          <w:sz w:val="26"/>
          <w:szCs w:val="26"/>
        </w:rPr>
        <w:t xml:space="preserve"> </w:t>
      </w:r>
    </w:p>
    <w:bookmarkEnd w:id="0"/>
    <w:p w:rsidR="00A107E1" w:rsidRPr="00001309" w:rsidRDefault="00A107E1" w:rsidP="00555D0F">
      <w:pPr>
        <w:autoSpaceDE w:val="0"/>
        <w:autoSpaceDN w:val="0"/>
        <w:rPr>
          <w:sz w:val="26"/>
          <w:szCs w:val="26"/>
        </w:rPr>
      </w:pPr>
    </w:p>
    <w:p w:rsidR="00A107E1" w:rsidRPr="00257FD5" w:rsidRDefault="00A107E1" w:rsidP="008D34CA">
      <w:pPr>
        <w:pStyle w:val="Heading2"/>
        <w:spacing w:before="0"/>
        <w:ind w:firstLine="0"/>
        <w:rPr>
          <w:rFonts w:ascii="Times New Roman" w:eastAsia="Calibri" w:hAnsi="Times New Roman" w:cs="Times New Roman"/>
          <w:b/>
          <w:color w:val="auto"/>
        </w:rPr>
      </w:pPr>
      <w:bookmarkStart w:id="34" w:name="_Toc517831042"/>
      <w:r w:rsidRPr="00257FD5">
        <w:rPr>
          <w:rFonts w:ascii="Times New Roman" w:eastAsia="Calibri" w:hAnsi="Times New Roman" w:cs="Times New Roman"/>
          <w:b/>
          <w:color w:val="auto"/>
        </w:rPr>
        <w:lastRenderedPageBreak/>
        <w:t>K.</w:t>
      </w:r>
      <w:r w:rsidRPr="00257FD5">
        <w:rPr>
          <w:rFonts w:ascii="Times New Roman" w:eastAsia="Calibri" w:hAnsi="Times New Roman" w:cs="Times New Roman"/>
          <w:b/>
          <w:color w:val="auto"/>
        </w:rPr>
        <w:tab/>
        <w:t>Civil Penalties</w:t>
      </w:r>
      <w:r w:rsidRPr="00257FD5">
        <w:rPr>
          <w:rFonts w:ascii="Times New Roman" w:eastAsia="Calibri" w:hAnsi="Times New Roman" w:cs="Times New Roman"/>
          <w:color w:val="auto"/>
          <w:vertAlign w:val="superscript"/>
        </w:rPr>
        <w:footnoteReference w:id="36"/>
      </w:r>
      <w:bookmarkEnd w:id="34"/>
    </w:p>
    <w:p w:rsidR="00A107E1" w:rsidRPr="00001309" w:rsidRDefault="00A107E1" w:rsidP="00A107E1">
      <w:pPr>
        <w:keepNext/>
        <w:keepLines/>
        <w:autoSpaceDE w:val="0"/>
        <w:autoSpaceDN w:val="0"/>
        <w:rPr>
          <w:rFonts w:eastAsia="Calibri"/>
          <w:sz w:val="26"/>
          <w:szCs w:val="26"/>
        </w:rPr>
      </w:pPr>
    </w:p>
    <w:p w:rsidR="00A107E1" w:rsidRPr="00001309" w:rsidRDefault="00A107E1" w:rsidP="008D34CA">
      <w:pPr>
        <w:keepNext/>
        <w:keepLines/>
        <w:autoSpaceDE w:val="0"/>
        <w:autoSpaceDN w:val="0"/>
        <w:ind w:firstLine="720"/>
        <w:rPr>
          <w:rFonts w:eastAsia="Calibri"/>
          <w:sz w:val="26"/>
          <w:szCs w:val="26"/>
        </w:rPr>
      </w:pPr>
      <w:r w:rsidRPr="00001309">
        <w:rPr>
          <w:rFonts w:eastAsia="Calibri"/>
          <w:b/>
          <w:sz w:val="26"/>
          <w:szCs w:val="26"/>
        </w:rPr>
        <w:t>1.</w:t>
      </w:r>
      <w:r w:rsidRPr="00001309">
        <w:rPr>
          <w:rFonts w:eastAsia="Calibri"/>
          <w:b/>
          <w:sz w:val="26"/>
          <w:szCs w:val="26"/>
        </w:rPr>
        <w:tab/>
        <w:t>ALJs’ Recommendations</w:t>
      </w:r>
    </w:p>
    <w:p w:rsidR="00A107E1" w:rsidRPr="00001309" w:rsidRDefault="00A107E1" w:rsidP="00A107E1">
      <w:pPr>
        <w:keepNext/>
        <w:keepLines/>
        <w:autoSpaceDE w:val="0"/>
        <w:autoSpaceDN w:val="0"/>
        <w:adjustRightInd w:val="0"/>
        <w:spacing w:line="240" w:lineRule="auto"/>
        <w:ind w:firstLine="0"/>
        <w:rPr>
          <w:rFonts w:eastAsia="Calibri"/>
          <w:spacing w:val="0"/>
          <w:sz w:val="26"/>
          <w:szCs w:val="26"/>
        </w:rPr>
      </w:pPr>
    </w:p>
    <w:p w:rsidR="00A107E1" w:rsidRPr="00001309" w:rsidRDefault="00A107E1" w:rsidP="00A107E1">
      <w:pPr>
        <w:autoSpaceDE w:val="0"/>
        <w:autoSpaceDN w:val="0"/>
        <w:adjustRightInd w:val="0"/>
        <w:rPr>
          <w:rFonts w:eastAsia="Calibri"/>
          <w:spacing w:val="0"/>
          <w:sz w:val="26"/>
          <w:szCs w:val="26"/>
        </w:rPr>
      </w:pPr>
      <w:r w:rsidRPr="00001309">
        <w:rPr>
          <w:rFonts w:eastAsia="Calibri"/>
          <w:spacing w:val="0"/>
          <w:sz w:val="26"/>
          <w:szCs w:val="26"/>
        </w:rPr>
        <w:t xml:space="preserve">The Commission’s Policy Statement at 52 Pa.Code § 69.1201, sets forth ten factors (derived from </w:t>
      </w:r>
      <w:r w:rsidRPr="00001309">
        <w:rPr>
          <w:rFonts w:eastAsia="Calibri"/>
          <w:i/>
          <w:spacing w:val="0"/>
          <w:sz w:val="26"/>
          <w:szCs w:val="26"/>
        </w:rPr>
        <w:t>Joseph A. Rosi v. Bell-Atlantic-Pennsylvania, Inc. and Sprint Communications Company, L.P.,</w:t>
      </w:r>
      <w:r w:rsidRPr="00001309">
        <w:rPr>
          <w:rFonts w:eastAsia="Calibri"/>
          <w:spacing w:val="0"/>
          <w:sz w:val="26"/>
          <w:szCs w:val="26"/>
        </w:rPr>
        <w:t xml:space="preserve"> Docket No. C-00992409 (Order entered March 16, 2000) (</w:t>
      </w:r>
      <w:r w:rsidRPr="00001309">
        <w:rPr>
          <w:rFonts w:eastAsia="Calibri"/>
          <w:i/>
          <w:spacing w:val="0"/>
          <w:sz w:val="26"/>
          <w:szCs w:val="26"/>
        </w:rPr>
        <w:t>Rosi</w:t>
      </w:r>
      <w:r w:rsidRPr="00001309">
        <w:rPr>
          <w:rFonts w:eastAsia="Calibri"/>
          <w:spacing w:val="0"/>
          <w:sz w:val="26"/>
          <w:szCs w:val="26"/>
        </w:rPr>
        <w:t xml:space="preserve"> factors) that the Commission will consider in evaluating, </w:t>
      </w:r>
      <w:r w:rsidRPr="00001309">
        <w:rPr>
          <w:rFonts w:eastAsia="Calibri"/>
          <w:i/>
          <w:iCs/>
          <w:spacing w:val="0"/>
          <w:sz w:val="26"/>
          <w:szCs w:val="26"/>
        </w:rPr>
        <w:t>inter alia</w:t>
      </w:r>
      <w:r w:rsidRPr="00001309">
        <w:rPr>
          <w:rFonts w:eastAsia="Calibri"/>
          <w:spacing w:val="0"/>
          <w:sz w:val="26"/>
          <w:szCs w:val="26"/>
        </w:rPr>
        <w:t>, litigated proceedings and determining whether a fine for violating a Commission order, regulation or statute is appropriate.  I.D. at 125-126.  The factors that will be considered by the Commission include the following:</w:t>
      </w:r>
    </w:p>
    <w:p w:rsidR="00A107E1" w:rsidRPr="00001309" w:rsidRDefault="00A107E1" w:rsidP="00A107E1">
      <w:pPr>
        <w:autoSpaceDE w:val="0"/>
        <w:autoSpaceDN w:val="0"/>
        <w:rPr>
          <w:rFonts w:eastAsia="Calibri"/>
          <w:sz w:val="26"/>
          <w:szCs w:val="26"/>
        </w:rPr>
      </w:pPr>
    </w:p>
    <w:p w:rsidR="00A107E1" w:rsidRPr="00001309" w:rsidRDefault="00A107E1" w:rsidP="001573EB">
      <w:pPr>
        <w:autoSpaceDE w:val="0"/>
        <w:autoSpaceDN w:val="0"/>
        <w:adjustRightInd w:val="0"/>
        <w:spacing w:line="240" w:lineRule="auto"/>
        <w:ind w:left="1440" w:right="1440" w:firstLine="0"/>
        <w:rPr>
          <w:rFonts w:eastAsia="Calibri"/>
          <w:spacing w:val="0"/>
          <w:sz w:val="26"/>
          <w:szCs w:val="26"/>
        </w:rPr>
      </w:pPr>
      <w:r w:rsidRPr="00001309">
        <w:rPr>
          <w:rFonts w:eastAsia="Calibri"/>
          <w:spacing w:val="0"/>
          <w:sz w:val="26"/>
          <w:szCs w:val="26"/>
        </w:rPr>
        <w:t>(1)</w:t>
      </w:r>
      <w:r w:rsidRPr="00001309">
        <w:rPr>
          <w:rFonts w:eastAsia="Calibri"/>
          <w:spacing w:val="0"/>
          <w:sz w:val="26"/>
          <w:szCs w:val="26"/>
        </w:rPr>
        <w:tab/>
        <w:t>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p>
    <w:p w:rsidR="00A107E1" w:rsidRPr="00001309" w:rsidRDefault="00A107E1" w:rsidP="001573EB">
      <w:pPr>
        <w:autoSpaceDE w:val="0"/>
        <w:autoSpaceDN w:val="0"/>
        <w:adjustRightInd w:val="0"/>
        <w:spacing w:line="240" w:lineRule="auto"/>
        <w:ind w:left="1440" w:right="1440" w:firstLine="0"/>
        <w:rPr>
          <w:rFonts w:eastAsia="Calibri"/>
          <w:spacing w:val="0"/>
          <w:sz w:val="26"/>
          <w:szCs w:val="26"/>
        </w:rPr>
      </w:pPr>
    </w:p>
    <w:p w:rsidR="00A107E1" w:rsidRPr="00001309" w:rsidRDefault="00A107E1" w:rsidP="001573EB">
      <w:pPr>
        <w:autoSpaceDE w:val="0"/>
        <w:autoSpaceDN w:val="0"/>
        <w:adjustRightInd w:val="0"/>
        <w:spacing w:line="240" w:lineRule="auto"/>
        <w:ind w:left="1440" w:right="1440" w:firstLine="0"/>
        <w:rPr>
          <w:rFonts w:eastAsia="Calibri"/>
          <w:spacing w:val="0"/>
          <w:sz w:val="26"/>
          <w:szCs w:val="26"/>
        </w:rPr>
      </w:pPr>
      <w:r w:rsidRPr="00001309">
        <w:rPr>
          <w:rFonts w:eastAsia="Calibri"/>
          <w:spacing w:val="0"/>
          <w:sz w:val="26"/>
          <w:szCs w:val="26"/>
        </w:rPr>
        <w:t>(2)</w:t>
      </w:r>
      <w:r w:rsidRPr="00001309">
        <w:rPr>
          <w:rFonts w:eastAsia="Calibri"/>
          <w:spacing w:val="0"/>
          <w:sz w:val="26"/>
          <w:szCs w:val="26"/>
        </w:rPr>
        <w:tab/>
        <w:t>Whether the resulting consequences of the conduct at issue were of a serious nature. When consequences of a serious nature are involved, such as personal injury or property damage, the consequences may warrant a higher penalty.</w:t>
      </w:r>
    </w:p>
    <w:p w:rsidR="00A107E1" w:rsidRPr="00001309" w:rsidRDefault="00A107E1" w:rsidP="001573EB">
      <w:pPr>
        <w:autoSpaceDE w:val="0"/>
        <w:autoSpaceDN w:val="0"/>
        <w:adjustRightInd w:val="0"/>
        <w:spacing w:line="240" w:lineRule="auto"/>
        <w:ind w:left="1440" w:right="1440" w:firstLine="0"/>
        <w:rPr>
          <w:rFonts w:eastAsia="Calibri"/>
          <w:spacing w:val="0"/>
          <w:sz w:val="26"/>
          <w:szCs w:val="26"/>
        </w:rPr>
      </w:pPr>
    </w:p>
    <w:p w:rsidR="00A107E1" w:rsidRPr="00001309" w:rsidRDefault="00A107E1" w:rsidP="001573EB">
      <w:pPr>
        <w:autoSpaceDE w:val="0"/>
        <w:autoSpaceDN w:val="0"/>
        <w:adjustRightInd w:val="0"/>
        <w:spacing w:line="240" w:lineRule="auto"/>
        <w:ind w:left="1440" w:right="1440" w:firstLine="0"/>
        <w:rPr>
          <w:rFonts w:eastAsia="Calibri"/>
          <w:spacing w:val="0"/>
          <w:sz w:val="26"/>
          <w:szCs w:val="26"/>
        </w:rPr>
      </w:pPr>
      <w:r w:rsidRPr="00001309">
        <w:rPr>
          <w:rFonts w:eastAsia="Calibri"/>
          <w:spacing w:val="0"/>
          <w:sz w:val="26"/>
          <w:szCs w:val="26"/>
        </w:rPr>
        <w:t>(3)</w:t>
      </w:r>
      <w:r w:rsidRPr="00001309">
        <w:rPr>
          <w:rFonts w:eastAsia="Calibri"/>
          <w:spacing w:val="0"/>
          <w:sz w:val="26"/>
          <w:szCs w:val="26"/>
        </w:rPr>
        <w:tab/>
        <w:t>Whether the conduct at issue was deemed intentional or negligent. This factor may only be considered in evaluating litigated cases. When conduct has been deemed intentional, the conduct may result in a higher penalty.</w:t>
      </w:r>
    </w:p>
    <w:p w:rsidR="00A107E1" w:rsidRPr="00001309" w:rsidRDefault="00A107E1" w:rsidP="001573EB">
      <w:pPr>
        <w:autoSpaceDE w:val="0"/>
        <w:autoSpaceDN w:val="0"/>
        <w:adjustRightInd w:val="0"/>
        <w:spacing w:line="240" w:lineRule="auto"/>
        <w:ind w:left="1440" w:right="1440" w:firstLine="0"/>
        <w:rPr>
          <w:rFonts w:eastAsia="Calibri"/>
          <w:spacing w:val="0"/>
          <w:sz w:val="26"/>
          <w:szCs w:val="26"/>
        </w:rPr>
      </w:pPr>
    </w:p>
    <w:p w:rsidR="00A107E1" w:rsidRPr="00001309" w:rsidRDefault="00A107E1" w:rsidP="001573EB">
      <w:pPr>
        <w:keepNext/>
        <w:keepLines/>
        <w:autoSpaceDE w:val="0"/>
        <w:autoSpaceDN w:val="0"/>
        <w:adjustRightInd w:val="0"/>
        <w:spacing w:line="240" w:lineRule="auto"/>
        <w:ind w:left="1440" w:right="1440" w:firstLine="0"/>
        <w:rPr>
          <w:rFonts w:eastAsia="Calibri"/>
          <w:spacing w:val="0"/>
          <w:sz w:val="26"/>
          <w:szCs w:val="26"/>
        </w:rPr>
      </w:pPr>
      <w:r w:rsidRPr="00001309">
        <w:rPr>
          <w:rFonts w:eastAsia="Calibri"/>
          <w:spacing w:val="0"/>
          <w:sz w:val="26"/>
          <w:szCs w:val="26"/>
        </w:rPr>
        <w:lastRenderedPageBreak/>
        <w:t>(4)</w:t>
      </w:r>
      <w:r w:rsidRPr="00001309">
        <w:rPr>
          <w:rFonts w:eastAsia="Calibri"/>
          <w:spacing w:val="0"/>
          <w:sz w:val="26"/>
          <w:szCs w:val="26"/>
        </w:rPr>
        <w:tab/>
        <w:t>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A107E1" w:rsidRPr="00001309" w:rsidRDefault="00A107E1" w:rsidP="001573EB">
      <w:pPr>
        <w:autoSpaceDE w:val="0"/>
        <w:autoSpaceDN w:val="0"/>
        <w:adjustRightInd w:val="0"/>
        <w:spacing w:line="240" w:lineRule="auto"/>
        <w:ind w:left="1440" w:right="1440" w:firstLine="0"/>
        <w:rPr>
          <w:rFonts w:eastAsia="Calibri"/>
          <w:spacing w:val="0"/>
          <w:sz w:val="26"/>
          <w:szCs w:val="26"/>
        </w:rPr>
      </w:pPr>
    </w:p>
    <w:p w:rsidR="00A107E1" w:rsidRPr="00001309" w:rsidRDefault="00A107E1" w:rsidP="001573EB">
      <w:pPr>
        <w:autoSpaceDE w:val="0"/>
        <w:autoSpaceDN w:val="0"/>
        <w:adjustRightInd w:val="0"/>
        <w:spacing w:line="240" w:lineRule="auto"/>
        <w:ind w:left="1440" w:right="1440" w:firstLine="0"/>
        <w:rPr>
          <w:rFonts w:eastAsia="Calibri"/>
          <w:spacing w:val="0"/>
          <w:sz w:val="26"/>
          <w:szCs w:val="26"/>
        </w:rPr>
      </w:pPr>
      <w:r w:rsidRPr="00001309">
        <w:rPr>
          <w:rFonts w:eastAsia="Calibri"/>
          <w:spacing w:val="0"/>
          <w:sz w:val="26"/>
          <w:szCs w:val="26"/>
        </w:rPr>
        <w:t>(5)</w:t>
      </w:r>
      <w:r w:rsidRPr="00001309">
        <w:rPr>
          <w:rFonts w:eastAsia="Calibri"/>
          <w:spacing w:val="0"/>
          <w:sz w:val="26"/>
          <w:szCs w:val="26"/>
        </w:rPr>
        <w:tab/>
        <w:t>The number of customers affected and the duration of the violation.</w:t>
      </w:r>
    </w:p>
    <w:p w:rsidR="00A107E1" w:rsidRPr="00001309" w:rsidRDefault="00A107E1" w:rsidP="001573EB">
      <w:pPr>
        <w:autoSpaceDE w:val="0"/>
        <w:autoSpaceDN w:val="0"/>
        <w:adjustRightInd w:val="0"/>
        <w:spacing w:line="240" w:lineRule="auto"/>
        <w:ind w:left="1440" w:right="1440" w:firstLine="0"/>
        <w:rPr>
          <w:rFonts w:eastAsia="Calibri"/>
          <w:spacing w:val="0"/>
          <w:sz w:val="26"/>
          <w:szCs w:val="26"/>
        </w:rPr>
      </w:pPr>
    </w:p>
    <w:p w:rsidR="00A107E1" w:rsidRPr="00001309" w:rsidRDefault="00A107E1" w:rsidP="001573EB">
      <w:pPr>
        <w:autoSpaceDE w:val="0"/>
        <w:autoSpaceDN w:val="0"/>
        <w:adjustRightInd w:val="0"/>
        <w:spacing w:line="240" w:lineRule="auto"/>
        <w:ind w:left="1440" w:right="1440" w:firstLine="0"/>
        <w:rPr>
          <w:rFonts w:eastAsia="Calibri"/>
          <w:spacing w:val="0"/>
          <w:sz w:val="26"/>
          <w:szCs w:val="26"/>
        </w:rPr>
      </w:pPr>
      <w:r w:rsidRPr="00001309">
        <w:rPr>
          <w:rFonts w:eastAsia="Calibri"/>
          <w:spacing w:val="0"/>
          <w:sz w:val="26"/>
          <w:szCs w:val="26"/>
        </w:rPr>
        <w:t>(6)</w:t>
      </w:r>
      <w:r w:rsidRPr="00001309">
        <w:rPr>
          <w:rFonts w:eastAsia="Calibri"/>
          <w:spacing w:val="0"/>
          <w:sz w:val="26"/>
          <w:szCs w:val="26"/>
        </w:rPr>
        <w:tab/>
        <w:t>The compliance history of the regulated entity which committed the violation. An isolated incident from an otherwise compliant utility may result in a lower penalty, whereas frequent, recurrent violations by a utility may result in a higher penalty.</w:t>
      </w:r>
    </w:p>
    <w:p w:rsidR="00A107E1" w:rsidRPr="00001309" w:rsidRDefault="00A107E1" w:rsidP="001573EB">
      <w:pPr>
        <w:autoSpaceDE w:val="0"/>
        <w:autoSpaceDN w:val="0"/>
        <w:adjustRightInd w:val="0"/>
        <w:spacing w:line="240" w:lineRule="auto"/>
        <w:ind w:left="1440" w:right="1440" w:firstLine="0"/>
        <w:rPr>
          <w:rFonts w:eastAsia="Calibri"/>
          <w:spacing w:val="0"/>
          <w:sz w:val="26"/>
          <w:szCs w:val="26"/>
        </w:rPr>
      </w:pPr>
    </w:p>
    <w:p w:rsidR="00A107E1" w:rsidRPr="00001309" w:rsidRDefault="00A107E1" w:rsidP="001573EB">
      <w:pPr>
        <w:autoSpaceDE w:val="0"/>
        <w:autoSpaceDN w:val="0"/>
        <w:adjustRightInd w:val="0"/>
        <w:spacing w:line="240" w:lineRule="auto"/>
        <w:ind w:left="1440" w:right="1440" w:firstLine="0"/>
        <w:rPr>
          <w:rFonts w:eastAsia="Calibri"/>
          <w:spacing w:val="0"/>
          <w:sz w:val="26"/>
          <w:szCs w:val="26"/>
        </w:rPr>
      </w:pPr>
      <w:r w:rsidRPr="00001309">
        <w:rPr>
          <w:rFonts w:eastAsia="Calibri"/>
          <w:spacing w:val="0"/>
          <w:sz w:val="26"/>
          <w:szCs w:val="26"/>
        </w:rPr>
        <w:t>(7)</w:t>
      </w:r>
      <w:r w:rsidRPr="00001309">
        <w:rPr>
          <w:rFonts w:eastAsia="Calibri"/>
          <w:spacing w:val="0"/>
          <w:sz w:val="26"/>
          <w:szCs w:val="26"/>
        </w:rPr>
        <w:tab/>
        <w:t>Whether the regulated entity cooperated with the Commission’s investigation. Facts establishing bad faith, active concealment of violations, or attempts to interfere with Commission investigations may result in a higher penalty.</w:t>
      </w:r>
    </w:p>
    <w:p w:rsidR="00A107E1" w:rsidRPr="00001309" w:rsidRDefault="00A107E1" w:rsidP="001573EB">
      <w:pPr>
        <w:autoSpaceDE w:val="0"/>
        <w:autoSpaceDN w:val="0"/>
        <w:adjustRightInd w:val="0"/>
        <w:spacing w:line="240" w:lineRule="auto"/>
        <w:ind w:left="1440" w:right="1440" w:firstLine="0"/>
        <w:rPr>
          <w:rFonts w:eastAsia="Calibri"/>
          <w:spacing w:val="0"/>
          <w:sz w:val="26"/>
          <w:szCs w:val="26"/>
        </w:rPr>
      </w:pPr>
    </w:p>
    <w:p w:rsidR="00A107E1" w:rsidRPr="00001309" w:rsidRDefault="00A107E1" w:rsidP="001573EB">
      <w:pPr>
        <w:autoSpaceDE w:val="0"/>
        <w:autoSpaceDN w:val="0"/>
        <w:adjustRightInd w:val="0"/>
        <w:spacing w:line="240" w:lineRule="auto"/>
        <w:ind w:left="1440" w:right="1440" w:firstLine="0"/>
        <w:rPr>
          <w:rFonts w:eastAsia="Calibri"/>
          <w:spacing w:val="0"/>
          <w:sz w:val="26"/>
          <w:szCs w:val="26"/>
        </w:rPr>
      </w:pPr>
      <w:r w:rsidRPr="00001309">
        <w:rPr>
          <w:rFonts w:eastAsia="Calibri"/>
          <w:spacing w:val="0"/>
          <w:sz w:val="26"/>
          <w:szCs w:val="26"/>
        </w:rPr>
        <w:t>(8)</w:t>
      </w:r>
      <w:r w:rsidRPr="00001309">
        <w:rPr>
          <w:rFonts w:eastAsia="Calibri"/>
          <w:spacing w:val="0"/>
          <w:sz w:val="26"/>
          <w:szCs w:val="26"/>
        </w:rPr>
        <w:tab/>
        <w:t>The amount of the civil penalty or fine necessary to deter future violations.  The size of the utility may be considered to determine an appropriate penalty amount.</w:t>
      </w:r>
    </w:p>
    <w:p w:rsidR="00A107E1" w:rsidRPr="00001309" w:rsidRDefault="00A107E1" w:rsidP="001573EB">
      <w:pPr>
        <w:autoSpaceDE w:val="0"/>
        <w:autoSpaceDN w:val="0"/>
        <w:adjustRightInd w:val="0"/>
        <w:spacing w:line="240" w:lineRule="auto"/>
        <w:ind w:left="1440" w:right="1440" w:firstLine="0"/>
        <w:rPr>
          <w:rFonts w:eastAsia="Calibri"/>
          <w:spacing w:val="0"/>
          <w:sz w:val="26"/>
          <w:szCs w:val="26"/>
        </w:rPr>
      </w:pPr>
    </w:p>
    <w:p w:rsidR="00A107E1" w:rsidRPr="00001309" w:rsidRDefault="00A107E1" w:rsidP="001573EB">
      <w:pPr>
        <w:keepNext/>
        <w:keepLines/>
        <w:autoSpaceDE w:val="0"/>
        <w:autoSpaceDN w:val="0"/>
        <w:adjustRightInd w:val="0"/>
        <w:spacing w:line="240" w:lineRule="auto"/>
        <w:ind w:left="1440" w:right="1440" w:firstLine="0"/>
        <w:rPr>
          <w:rFonts w:eastAsia="Calibri"/>
          <w:spacing w:val="0"/>
          <w:sz w:val="26"/>
          <w:szCs w:val="26"/>
        </w:rPr>
      </w:pPr>
      <w:r w:rsidRPr="00001309">
        <w:rPr>
          <w:rFonts w:eastAsia="Calibri"/>
          <w:spacing w:val="0"/>
          <w:sz w:val="26"/>
          <w:szCs w:val="26"/>
        </w:rPr>
        <w:t>(9)</w:t>
      </w:r>
      <w:r w:rsidRPr="00001309">
        <w:rPr>
          <w:rFonts w:eastAsia="Calibri"/>
          <w:spacing w:val="0"/>
          <w:sz w:val="26"/>
          <w:szCs w:val="26"/>
        </w:rPr>
        <w:tab/>
        <w:t>Past Commission decisions in similar situations.</w:t>
      </w:r>
    </w:p>
    <w:p w:rsidR="00A107E1" w:rsidRPr="00001309" w:rsidRDefault="00A107E1" w:rsidP="001573EB">
      <w:pPr>
        <w:keepNext/>
        <w:keepLines/>
        <w:autoSpaceDE w:val="0"/>
        <w:autoSpaceDN w:val="0"/>
        <w:adjustRightInd w:val="0"/>
        <w:spacing w:line="240" w:lineRule="auto"/>
        <w:ind w:left="1440" w:right="1440" w:firstLine="0"/>
        <w:rPr>
          <w:rFonts w:eastAsia="Calibri"/>
          <w:spacing w:val="0"/>
          <w:sz w:val="26"/>
          <w:szCs w:val="26"/>
        </w:rPr>
      </w:pPr>
    </w:p>
    <w:p w:rsidR="00A107E1" w:rsidRPr="00001309" w:rsidRDefault="00A107E1" w:rsidP="001573EB">
      <w:pPr>
        <w:keepNext/>
        <w:keepLines/>
        <w:autoSpaceDE w:val="0"/>
        <w:autoSpaceDN w:val="0"/>
        <w:adjustRightInd w:val="0"/>
        <w:spacing w:line="240" w:lineRule="auto"/>
        <w:ind w:left="1440" w:right="1440" w:firstLine="0"/>
        <w:rPr>
          <w:rFonts w:eastAsia="Calibri"/>
          <w:spacing w:val="0"/>
          <w:sz w:val="26"/>
          <w:szCs w:val="26"/>
        </w:rPr>
      </w:pPr>
      <w:r w:rsidRPr="00001309">
        <w:rPr>
          <w:rFonts w:eastAsia="Calibri"/>
          <w:spacing w:val="0"/>
          <w:sz w:val="26"/>
          <w:szCs w:val="26"/>
        </w:rPr>
        <w:t>(10)</w:t>
      </w:r>
      <w:r w:rsidRPr="00001309">
        <w:rPr>
          <w:rFonts w:eastAsia="Calibri"/>
          <w:spacing w:val="0"/>
          <w:sz w:val="26"/>
          <w:szCs w:val="26"/>
        </w:rPr>
        <w:tab/>
        <w:t>Other relevant factors.</w:t>
      </w:r>
    </w:p>
    <w:p w:rsidR="00A107E1" w:rsidRPr="00001309" w:rsidRDefault="00A107E1" w:rsidP="001573EB">
      <w:pPr>
        <w:keepNext/>
        <w:keepLines/>
        <w:autoSpaceDE w:val="0"/>
        <w:autoSpaceDN w:val="0"/>
        <w:adjustRightInd w:val="0"/>
        <w:spacing w:line="240" w:lineRule="auto"/>
        <w:ind w:left="1440" w:right="1440" w:firstLine="720"/>
        <w:rPr>
          <w:rFonts w:eastAsia="Calibri"/>
          <w:spacing w:val="0"/>
          <w:sz w:val="26"/>
          <w:szCs w:val="26"/>
        </w:rPr>
      </w:pPr>
    </w:p>
    <w:p w:rsidR="00A107E1" w:rsidRPr="00001309" w:rsidRDefault="00A107E1" w:rsidP="001573EB">
      <w:pPr>
        <w:keepNext/>
        <w:keepLines/>
        <w:autoSpaceDE w:val="0"/>
        <w:autoSpaceDN w:val="0"/>
        <w:adjustRightInd w:val="0"/>
        <w:spacing w:line="240" w:lineRule="auto"/>
        <w:ind w:left="1440" w:right="1440" w:firstLine="720"/>
        <w:rPr>
          <w:rFonts w:eastAsia="Calibri"/>
          <w:spacing w:val="0"/>
          <w:sz w:val="26"/>
          <w:szCs w:val="26"/>
        </w:rPr>
      </w:pPr>
    </w:p>
    <w:p w:rsidR="00A107E1" w:rsidRPr="00001309" w:rsidRDefault="00A107E1" w:rsidP="00A107E1">
      <w:pPr>
        <w:autoSpaceDE w:val="0"/>
        <w:autoSpaceDN w:val="0"/>
        <w:ind w:firstLine="0"/>
        <w:rPr>
          <w:rFonts w:eastAsia="Calibri"/>
          <w:sz w:val="26"/>
          <w:szCs w:val="26"/>
        </w:rPr>
      </w:pPr>
      <w:r w:rsidRPr="00001309">
        <w:rPr>
          <w:rFonts w:eastAsia="Calibri"/>
          <w:sz w:val="26"/>
          <w:szCs w:val="26"/>
        </w:rPr>
        <w:t>See 52 Pa. Code § 69.1201(b)</w:t>
      </w:r>
    </w:p>
    <w:p w:rsidR="00A107E1" w:rsidRPr="00001309" w:rsidRDefault="00A107E1" w:rsidP="00A107E1">
      <w:pPr>
        <w:autoSpaceDE w:val="0"/>
        <w:autoSpaceDN w:val="0"/>
        <w:rPr>
          <w:rFonts w:eastAsia="Calibri"/>
          <w:sz w:val="26"/>
          <w:szCs w:val="26"/>
        </w:rPr>
      </w:pPr>
    </w:p>
    <w:p w:rsidR="00A107E1" w:rsidRPr="00001309" w:rsidRDefault="00A107E1" w:rsidP="00A107E1">
      <w:pPr>
        <w:autoSpaceDE w:val="0"/>
        <w:autoSpaceDN w:val="0"/>
        <w:rPr>
          <w:rFonts w:eastAsia="Calibri"/>
          <w:sz w:val="26"/>
          <w:szCs w:val="26"/>
        </w:rPr>
      </w:pPr>
      <w:r w:rsidRPr="00001309">
        <w:rPr>
          <w:rFonts w:eastAsia="Calibri"/>
          <w:sz w:val="26"/>
          <w:szCs w:val="26"/>
        </w:rPr>
        <w:t xml:space="preserve">On consideration of the </w:t>
      </w:r>
      <w:r w:rsidRPr="00001309">
        <w:rPr>
          <w:rFonts w:eastAsia="Calibri"/>
          <w:i/>
          <w:sz w:val="26"/>
          <w:szCs w:val="26"/>
        </w:rPr>
        <w:t xml:space="preserve">Rosi </w:t>
      </w:r>
      <w:r w:rsidRPr="00001309">
        <w:rPr>
          <w:rFonts w:eastAsia="Calibri"/>
          <w:sz w:val="26"/>
          <w:szCs w:val="26"/>
        </w:rPr>
        <w:t xml:space="preserve">factors in this proceeding, the ALJs found the facts and circumstances concerning an appropriate civil penalty in the present case to be analogous to the conclusions and civil penalty we addressed in </w:t>
      </w:r>
      <w:r w:rsidRPr="00001309">
        <w:rPr>
          <w:rFonts w:eastAsia="Calibri"/>
          <w:i/>
          <w:sz w:val="26"/>
          <w:szCs w:val="26"/>
        </w:rPr>
        <w:t>I&amp;E v. HIKO</w:t>
      </w:r>
      <w:r w:rsidRPr="00001309">
        <w:rPr>
          <w:rFonts w:eastAsia="Calibri"/>
          <w:sz w:val="26"/>
          <w:szCs w:val="26"/>
        </w:rPr>
        <w:t>:</w:t>
      </w:r>
    </w:p>
    <w:p w:rsidR="00A107E1" w:rsidRPr="00001309" w:rsidRDefault="00A107E1" w:rsidP="00A107E1">
      <w:pPr>
        <w:autoSpaceDE w:val="0"/>
        <w:autoSpaceDN w:val="0"/>
        <w:rPr>
          <w:rFonts w:eastAsia="Calibri"/>
          <w:sz w:val="26"/>
          <w:szCs w:val="26"/>
        </w:rPr>
      </w:pPr>
    </w:p>
    <w:p w:rsidR="00A107E1" w:rsidRPr="00001309" w:rsidRDefault="00A107E1" w:rsidP="00A107E1">
      <w:pPr>
        <w:autoSpaceDE w:val="0"/>
        <w:autoSpaceDN w:val="0"/>
        <w:adjustRightInd w:val="0"/>
        <w:spacing w:line="240" w:lineRule="auto"/>
        <w:ind w:left="1440" w:right="1440" w:firstLine="720"/>
        <w:rPr>
          <w:rFonts w:eastAsia="Calibri"/>
          <w:spacing w:val="0"/>
          <w:sz w:val="26"/>
          <w:szCs w:val="26"/>
        </w:rPr>
      </w:pPr>
      <w:r w:rsidRPr="00001309">
        <w:rPr>
          <w:rFonts w:eastAsia="Calibri"/>
          <w:spacing w:val="0"/>
          <w:sz w:val="26"/>
          <w:szCs w:val="26"/>
        </w:rPr>
        <w:t xml:space="preserve">We compare the instant case to the </w:t>
      </w:r>
      <w:r w:rsidRPr="00001309">
        <w:rPr>
          <w:rFonts w:eastAsia="Calibri"/>
          <w:i/>
          <w:spacing w:val="0"/>
          <w:sz w:val="26"/>
          <w:szCs w:val="26"/>
        </w:rPr>
        <w:t>I&amp;E v. HIKO</w:t>
      </w:r>
      <w:r w:rsidRPr="00001309">
        <w:rPr>
          <w:rFonts w:eastAsia="Calibri"/>
          <w:spacing w:val="0"/>
          <w:sz w:val="26"/>
          <w:szCs w:val="26"/>
        </w:rPr>
        <w:t xml:space="preserve"> case.  In </w:t>
      </w:r>
      <w:r w:rsidRPr="00001309">
        <w:rPr>
          <w:rFonts w:eastAsia="Calibri"/>
          <w:i/>
          <w:spacing w:val="0"/>
          <w:sz w:val="26"/>
          <w:szCs w:val="26"/>
        </w:rPr>
        <w:t>I&amp;E v. HIKO</w:t>
      </w:r>
      <w:r w:rsidRPr="00001309">
        <w:rPr>
          <w:rFonts w:eastAsia="Calibri"/>
          <w:spacing w:val="0"/>
          <w:sz w:val="26"/>
          <w:szCs w:val="26"/>
        </w:rPr>
        <w:t xml:space="preserve">, the Commission issued an order directing </w:t>
      </w:r>
      <w:r w:rsidRPr="00001309">
        <w:rPr>
          <w:rFonts w:eastAsia="Calibri"/>
          <w:spacing w:val="0"/>
          <w:sz w:val="26"/>
          <w:szCs w:val="26"/>
        </w:rPr>
        <w:lastRenderedPageBreak/>
        <w:t xml:space="preserve">HIKO [to] pay a $125 civil penalty per occurrence of overbilling regarding a group of residential customers (5,700) who were overbilled during the first quarter of 2014, while they were on HIKO’s “guaranteed savings plan.” </w:t>
      </w:r>
      <w:r w:rsidR="00024A63" w:rsidRPr="00001309">
        <w:rPr>
          <w:rFonts w:eastAsia="Calibri"/>
          <w:spacing w:val="0"/>
          <w:sz w:val="26"/>
          <w:szCs w:val="26"/>
        </w:rPr>
        <w:t xml:space="preserve"> </w:t>
      </w:r>
      <w:r w:rsidRPr="00001309">
        <w:rPr>
          <w:rFonts w:eastAsia="Calibri"/>
          <w:spacing w:val="0"/>
          <w:sz w:val="26"/>
          <w:szCs w:val="26"/>
        </w:rPr>
        <w:t xml:space="preserve">Because the number of occurrences of overbilling was so high, 14,689, the total civil penalty was $1.8 million ($125 x 14,689 = $1.8 million) . . . The Commission found that HIKO’s misconduct was intentional and involved false and deceptive marketing and sales activities. </w:t>
      </w:r>
      <w:r w:rsidRPr="00001309">
        <w:rPr>
          <w:rFonts w:eastAsia="Calibri"/>
          <w:i/>
          <w:spacing w:val="0"/>
          <w:sz w:val="26"/>
          <w:szCs w:val="26"/>
        </w:rPr>
        <w:t>Id</w:t>
      </w:r>
      <w:r w:rsidRPr="00001309">
        <w:rPr>
          <w:rFonts w:eastAsia="Calibri"/>
          <w:spacing w:val="0"/>
          <w:sz w:val="26"/>
          <w:szCs w:val="26"/>
        </w:rPr>
        <w:t>. at 44.</w:t>
      </w:r>
    </w:p>
    <w:p w:rsidR="00A107E1" w:rsidRPr="00001309" w:rsidRDefault="00A107E1" w:rsidP="00A107E1">
      <w:pPr>
        <w:autoSpaceDE w:val="0"/>
        <w:autoSpaceDN w:val="0"/>
        <w:adjustRightInd w:val="0"/>
        <w:spacing w:line="240" w:lineRule="auto"/>
        <w:ind w:firstLine="0"/>
        <w:rPr>
          <w:rFonts w:eastAsia="Calibri"/>
          <w:spacing w:val="0"/>
          <w:sz w:val="26"/>
          <w:szCs w:val="26"/>
        </w:rPr>
      </w:pPr>
    </w:p>
    <w:p w:rsidR="00A107E1" w:rsidRPr="00001309" w:rsidRDefault="00A107E1" w:rsidP="00A107E1">
      <w:pPr>
        <w:autoSpaceDE w:val="0"/>
        <w:autoSpaceDN w:val="0"/>
        <w:adjustRightInd w:val="0"/>
        <w:spacing w:line="240" w:lineRule="auto"/>
        <w:ind w:left="1440" w:right="1440" w:firstLine="720"/>
        <w:rPr>
          <w:rFonts w:eastAsia="Calibri"/>
          <w:spacing w:val="0"/>
          <w:sz w:val="26"/>
          <w:szCs w:val="26"/>
        </w:rPr>
      </w:pPr>
      <w:r w:rsidRPr="00001309">
        <w:rPr>
          <w:rFonts w:eastAsia="Calibri"/>
          <w:spacing w:val="0"/>
          <w:sz w:val="26"/>
          <w:szCs w:val="26"/>
        </w:rPr>
        <w:t>In comparing the two cases, HIKO’s mitigating factors were that it: 1) agreed to injunctive relief and change of business practices in a companion complaint case; 2) agreed to $2 million in refunds; 3) some overbillings were less than $1; 4) there was less evidence regarding customer financial hardship; 5) no slamming violations; and 6) HIKO already provided $159,320 in refunds voluntarily.  Factors increasing HIKO’s civil penalties included: 1) serious misconduct; 2) duration of overbilling over four months; and 3) the top management decisions were intentional.</w:t>
      </w:r>
    </w:p>
    <w:p w:rsidR="00A107E1" w:rsidRPr="00001309" w:rsidRDefault="00A107E1" w:rsidP="00A107E1">
      <w:pPr>
        <w:autoSpaceDE w:val="0"/>
        <w:autoSpaceDN w:val="0"/>
        <w:adjustRightInd w:val="0"/>
        <w:spacing w:line="240" w:lineRule="auto"/>
        <w:ind w:left="1440" w:right="1440" w:firstLine="0"/>
        <w:rPr>
          <w:rFonts w:eastAsia="Calibri"/>
          <w:spacing w:val="0"/>
          <w:sz w:val="26"/>
          <w:szCs w:val="26"/>
        </w:rPr>
      </w:pPr>
    </w:p>
    <w:p w:rsidR="008D34CA" w:rsidRDefault="00A107E1" w:rsidP="00A107E1">
      <w:pPr>
        <w:autoSpaceDE w:val="0"/>
        <w:autoSpaceDN w:val="0"/>
        <w:adjustRightInd w:val="0"/>
        <w:spacing w:line="240" w:lineRule="auto"/>
        <w:ind w:left="1440" w:right="1440" w:firstLine="720"/>
        <w:rPr>
          <w:rFonts w:eastAsia="Calibri"/>
          <w:spacing w:val="0"/>
          <w:sz w:val="26"/>
          <w:szCs w:val="26"/>
        </w:rPr>
      </w:pPr>
      <w:r w:rsidRPr="00001309">
        <w:rPr>
          <w:rFonts w:eastAsia="Calibri"/>
          <w:spacing w:val="0"/>
          <w:sz w:val="26"/>
          <w:szCs w:val="26"/>
        </w:rPr>
        <w:t xml:space="preserve">In comparison, Blue Pilot’s mitigating factors are that it paid $173,744 in refunds voluntarily, and it may have paid its gross receipts taxes and PJM charges prior to voluntarily surrendering its license.  Factors increasing Blue Pilot’s penalty include: 1) serious misconduct; 2) over 500% increase in price compared to PTC during March, 2014; 3) duration of violations of overbilling over 4 consecutive months; 4) widespread deceptive marketing activities; 5) disclosure statement terms for pricing not disclosed; 6) customers testified to financial hardship; 7) Bond expired August 27, 2015, with no proof of replacement security at the Commission; and 8) an attempt to leave Pennsylvania market without refunding customers the overbilled amount.  Unlike Blue Pilot, HIKO intended to continue its operations in Pennsylvania and agreed to pay a $2 million refund, and </w:t>
      </w:r>
    </w:p>
    <w:p w:rsidR="00A107E1" w:rsidRPr="00001309" w:rsidRDefault="00A107E1" w:rsidP="008D34CA">
      <w:pPr>
        <w:keepNext/>
        <w:keepLines/>
        <w:autoSpaceDE w:val="0"/>
        <w:autoSpaceDN w:val="0"/>
        <w:adjustRightInd w:val="0"/>
        <w:spacing w:line="240" w:lineRule="auto"/>
        <w:ind w:left="1440" w:right="1440" w:firstLine="0"/>
        <w:rPr>
          <w:rFonts w:eastAsia="Calibri"/>
          <w:spacing w:val="0"/>
          <w:sz w:val="26"/>
          <w:szCs w:val="26"/>
        </w:rPr>
      </w:pPr>
      <w:r w:rsidRPr="00001309">
        <w:rPr>
          <w:rFonts w:eastAsia="Calibri"/>
          <w:spacing w:val="0"/>
          <w:sz w:val="26"/>
          <w:szCs w:val="26"/>
        </w:rPr>
        <w:t xml:space="preserve">correct its business practices.  Both cases involved egregious overbilling of thousands of customers over a 4-month period in the same </w:t>
      </w:r>
      <w:proofErr w:type="gramStart"/>
      <w:r w:rsidRPr="00001309">
        <w:rPr>
          <w:rFonts w:eastAsia="Calibri"/>
          <w:spacing w:val="0"/>
          <w:sz w:val="26"/>
          <w:szCs w:val="26"/>
        </w:rPr>
        <w:t>time period</w:t>
      </w:r>
      <w:proofErr w:type="gramEnd"/>
      <w:r w:rsidRPr="00001309">
        <w:rPr>
          <w:rFonts w:eastAsia="Calibri"/>
          <w:spacing w:val="0"/>
          <w:sz w:val="26"/>
          <w:szCs w:val="26"/>
        </w:rPr>
        <w:t>.</w:t>
      </w:r>
    </w:p>
    <w:p w:rsidR="00A107E1" w:rsidRPr="00001309" w:rsidRDefault="00A107E1" w:rsidP="008D34CA">
      <w:pPr>
        <w:keepNext/>
        <w:keepLines/>
        <w:autoSpaceDE w:val="0"/>
        <w:autoSpaceDN w:val="0"/>
        <w:spacing w:line="240" w:lineRule="auto"/>
        <w:ind w:left="1440" w:right="1440" w:firstLine="0"/>
        <w:rPr>
          <w:rFonts w:eastAsia="Calibri"/>
          <w:sz w:val="26"/>
          <w:szCs w:val="26"/>
        </w:rPr>
      </w:pPr>
    </w:p>
    <w:p w:rsidR="00A107E1" w:rsidRPr="00001309" w:rsidRDefault="00A107E1" w:rsidP="008D34CA">
      <w:pPr>
        <w:keepNext/>
        <w:keepLines/>
        <w:autoSpaceDE w:val="0"/>
        <w:autoSpaceDN w:val="0"/>
        <w:spacing w:line="240" w:lineRule="auto"/>
        <w:ind w:left="1440" w:right="1440" w:firstLine="0"/>
        <w:rPr>
          <w:rFonts w:eastAsia="Calibri"/>
          <w:sz w:val="26"/>
          <w:szCs w:val="26"/>
        </w:rPr>
      </w:pPr>
    </w:p>
    <w:p w:rsidR="00A107E1" w:rsidRPr="00001309" w:rsidRDefault="00A107E1" w:rsidP="00A107E1">
      <w:pPr>
        <w:autoSpaceDE w:val="0"/>
        <w:autoSpaceDN w:val="0"/>
        <w:ind w:firstLine="0"/>
        <w:rPr>
          <w:rFonts w:eastAsia="Calibri"/>
          <w:sz w:val="26"/>
        </w:rPr>
      </w:pPr>
      <w:r w:rsidRPr="00001309">
        <w:rPr>
          <w:rFonts w:eastAsia="Calibri"/>
          <w:sz w:val="26"/>
        </w:rPr>
        <w:t>I.D. at 138-139.</w:t>
      </w:r>
    </w:p>
    <w:p w:rsidR="00A107E1" w:rsidRPr="00001309" w:rsidRDefault="00A107E1" w:rsidP="00A107E1">
      <w:pPr>
        <w:autoSpaceDE w:val="0"/>
        <w:autoSpaceDN w:val="0"/>
        <w:ind w:firstLine="0"/>
        <w:rPr>
          <w:rFonts w:eastAsia="Calibri"/>
          <w:sz w:val="26"/>
        </w:rPr>
      </w:pPr>
    </w:p>
    <w:p w:rsidR="00A107E1" w:rsidRPr="00001309" w:rsidRDefault="00A107E1" w:rsidP="00A107E1">
      <w:pPr>
        <w:autoSpaceDE w:val="0"/>
        <w:autoSpaceDN w:val="0"/>
        <w:rPr>
          <w:rFonts w:eastAsia="Calibri"/>
          <w:sz w:val="26"/>
        </w:rPr>
      </w:pPr>
      <w:r w:rsidRPr="00001309">
        <w:rPr>
          <w:rFonts w:eastAsia="Calibri"/>
          <w:sz w:val="26"/>
        </w:rPr>
        <w:t xml:space="preserve">However, the ALJs noted several procedural distinctions between the instant proceeding and </w:t>
      </w:r>
      <w:r w:rsidRPr="00001309">
        <w:rPr>
          <w:rFonts w:eastAsia="Calibri"/>
          <w:i/>
          <w:sz w:val="26"/>
        </w:rPr>
        <w:t>I&amp;E v. HIKO</w:t>
      </w:r>
      <w:r w:rsidRPr="00001309">
        <w:rPr>
          <w:rFonts w:eastAsia="Calibri"/>
          <w:sz w:val="26"/>
        </w:rPr>
        <w:t>:</w:t>
      </w:r>
    </w:p>
    <w:p w:rsidR="00A107E1" w:rsidRPr="00001309" w:rsidRDefault="00A107E1" w:rsidP="00A107E1">
      <w:pPr>
        <w:spacing w:line="240" w:lineRule="auto"/>
        <w:ind w:left="1440" w:right="1440" w:firstLine="0"/>
        <w:rPr>
          <w:rFonts w:eastAsia="Calibri"/>
          <w:sz w:val="26"/>
          <w:szCs w:val="26"/>
        </w:rPr>
      </w:pPr>
    </w:p>
    <w:p w:rsidR="008D34CA" w:rsidRDefault="00A107E1" w:rsidP="00A107E1">
      <w:pPr>
        <w:spacing w:line="240" w:lineRule="auto"/>
        <w:ind w:left="1440" w:right="1440" w:firstLine="720"/>
        <w:rPr>
          <w:rFonts w:eastAsia="Calibri"/>
          <w:sz w:val="26"/>
          <w:szCs w:val="26"/>
        </w:rPr>
      </w:pPr>
      <w:r w:rsidRPr="00001309">
        <w:rPr>
          <w:rFonts w:eastAsia="Calibri"/>
          <w:sz w:val="26"/>
          <w:szCs w:val="26"/>
        </w:rPr>
        <w:t xml:space="preserve">The Commission determined there had been 14,689 violations of Section 54.4(a) based upon the testimony of I&amp;E witness Daniel Mumford, HIKO’s witnesses Harvey Klein and Charles J. Cicchetti, as well as circumstantial evidence of numerous data entries showing prices billed versus the EDCs’ PTC in different EDC territories.  The Commission only denied refund relief as moot in the </w:t>
      </w:r>
      <w:r w:rsidRPr="00001309">
        <w:rPr>
          <w:rFonts w:eastAsia="Calibri"/>
          <w:i/>
          <w:sz w:val="26"/>
          <w:szCs w:val="26"/>
        </w:rPr>
        <w:t>I&amp;E v. HIKO</w:t>
      </w:r>
      <w:r w:rsidRPr="00001309">
        <w:rPr>
          <w:rFonts w:eastAsia="Calibri"/>
          <w:sz w:val="26"/>
          <w:szCs w:val="26"/>
        </w:rPr>
        <w:t xml:space="preserve"> decision because in a separate but concurrent decision issued the same date, it approved by Final Order a settlement between OAG/OCA and HIKO which provided for refunds of 3.5% savings for the same customer group of approximately 5,700.  </w:t>
      </w:r>
      <w:r w:rsidRPr="00001309">
        <w:rPr>
          <w:rFonts w:eastAsia="Calibri"/>
          <w:i/>
          <w:sz w:val="26"/>
          <w:szCs w:val="26"/>
        </w:rPr>
        <w:t>OAG/OCA v. HIKO Energy, LLC</w:t>
      </w:r>
      <w:r w:rsidRPr="00001309">
        <w:rPr>
          <w:rFonts w:eastAsia="Calibri"/>
          <w:sz w:val="26"/>
          <w:szCs w:val="26"/>
        </w:rPr>
        <w:t xml:space="preserve">, C-2014-2427652, (Commission Order entered December 3, 2015).  The Commission made concurrent but separate rulings because the two cases had not been formally consolidated for hearing; however, the group of consumers affected were present in both cases, and the </w:t>
      </w:r>
      <w:proofErr w:type="gramStart"/>
      <w:r w:rsidRPr="00001309">
        <w:rPr>
          <w:rFonts w:eastAsia="Calibri"/>
          <w:sz w:val="26"/>
          <w:szCs w:val="26"/>
        </w:rPr>
        <w:t>time period</w:t>
      </w:r>
      <w:proofErr w:type="gramEnd"/>
      <w:r w:rsidRPr="00001309">
        <w:rPr>
          <w:rFonts w:eastAsia="Calibri"/>
          <w:sz w:val="26"/>
          <w:szCs w:val="26"/>
        </w:rPr>
        <w:t xml:space="preserve"> of when violations occurred overlapped between the cases.  Thus, while there was no civil penalty issued in the </w:t>
      </w:r>
      <w:r w:rsidRPr="00001309">
        <w:rPr>
          <w:rFonts w:eastAsia="Calibri"/>
          <w:i/>
          <w:sz w:val="26"/>
          <w:szCs w:val="26"/>
        </w:rPr>
        <w:t>OAG/OCA v. HIKO</w:t>
      </w:r>
      <w:r w:rsidRPr="00001309">
        <w:rPr>
          <w:rFonts w:eastAsia="Calibri"/>
          <w:sz w:val="26"/>
          <w:szCs w:val="26"/>
        </w:rPr>
        <w:t xml:space="preserve"> case, there was a $2 million refund pool established to give the same group of customers in </w:t>
      </w:r>
      <w:r w:rsidRPr="00001309">
        <w:rPr>
          <w:rFonts w:eastAsia="Calibri"/>
          <w:i/>
          <w:sz w:val="26"/>
          <w:szCs w:val="26"/>
        </w:rPr>
        <w:t>I&amp;E v. HIKO</w:t>
      </w:r>
      <w:r w:rsidRPr="00001309">
        <w:rPr>
          <w:rFonts w:eastAsia="Calibri"/>
          <w:sz w:val="26"/>
          <w:szCs w:val="26"/>
        </w:rPr>
        <w:t xml:space="preserve"> refund relief. Conversely, while there was no refund relief in the </w:t>
      </w:r>
      <w:r w:rsidRPr="00001309">
        <w:rPr>
          <w:rFonts w:eastAsia="Calibri"/>
          <w:i/>
          <w:sz w:val="26"/>
          <w:szCs w:val="26"/>
        </w:rPr>
        <w:t>I&amp;E v. HIKO</w:t>
      </w:r>
      <w:r w:rsidRPr="00001309">
        <w:rPr>
          <w:rFonts w:eastAsia="Calibri"/>
          <w:sz w:val="26"/>
          <w:szCs w:val="26"/>
        </w:rPr>
        <w:t xml:space="preserve"> case, there was a $1.8 million civil penalty for overbilling 14,689 times in violation of Section 54.4(a), 52 Pa. Code § 54.4(a).  Thus, neither decision was made in a vacuum; rather, the Commission considered the facts and legal arguments as presented in both cases in rendering compatible decisions.  </w:t>
      </w:r>
      <w:proofErr w:type="gramStart"/>
      <w:r w:rsidRPr="00001309">
        <w:rPr>
          <w:rFonts w:eastAsia="Calibri"/>
          <w:sz w:val="26"/>
          <w:szCs w:val="26"/>
        </w:rPr>
        <w:t>The end result</w:t>
      </w:r>
      <w:proofErr w:type="gramEnd"/>
      <w:r w:rsidRPr="00001309">
        <w:rPr>
          <w:rFonts w:eastAsia="Calibri"/>
          <w:sz w:val="26"/>
          <w:szCs w:val="26"/>
        </w:rPr>
        <w:t xml:space="preserve"> was that HIKO could keep its license on the condition that: 1) it placed a moratorium on offering </w:t>
      </w:r>
    </w:p>
    <w:p w:rsidR="00A107E1" w:rsidRPr="00001309" w:rsidRDefault="00A107E1" w:rsidP="008D34CA">
      <w:pPr>
        <w:keepNext/>
        <w:keepLines/>
        <w:spacing w:line="240" w:lineRule="auto"/>
        <w:ind w:left="1440" w:right="1440" w:firstLine="0"/>
        <w:rPr>
          <w:rFonts w:eastAsia="Calibri"/>
          <w:sz w:val="26"/>
          <w:szCs w:val="26"/>
        </w:rPr>
      </w:pPr>
      <w:r w:rsidRPr="00001309">
        <w:rPr>
          <w:rFonts w:eastAsia="Calibri"/>
          <w:sz w:val="26"/>
          <w:szCs w:val="26"/>
        </w:rPr>
        <w:t>variable rate plans while correcting its business practices; 2)</w:t>
      </w:r>
      <w:r w:rsidR="008D34CA">
        <w:rPr>
          <w:rFonts w:eastAsia="Calibri"/>
          <w:sz w:val="26"/>
          <w:szCs w:val="26"/>
        </w:rPr>
        <w:t> </w:t>
      </w:r>
      <w:r w:rsidRPr="00001309">
        <w:rPr>
          <w:rFonts w:eastAsia="Calibri"/>
          <w:sz w:val="26"/>
          <w:szCs w:val="26"/>
        </w:rPr>
        <w:t>paid a $1.8 million civil penalty; and 3) paid approximately $2 million into a refund pool.</w:t>
      </w:r>
    </w:p>
    <w:p w:rsidR="00A107E1" w:rsidRPr="00001309" w:rsidRDefault="00A107E1" w:rsidP="008D34CA">
      <w:pPr>
        <w:keepNext/>
        <w:keepLines/>
        <w:autoSpaceDE w:val="0"/>
        <w:autoSpaceDN w:val="0"/>
        <w:spacing w:line="240" w:lineRule="auto"/>
        <w:ind w:firstLine="0"/>
        <w:rPr>
          <w:rFonts w:eastAsia="Calibri"/>
          <w:sz w:val="26"/>
        </w:rPr>
      </w:pPr>
    </w:p>
    <w:p w:rsidR="00A107E1" w:rsidRPr="00001309" w:rsidRDefault="00A107E1" w:rsidP="008D34CA">
      <w:pPr>
        <w:keepNext/>
        <w:keepLines/>
        <w:autoSpaceDE w:val="0"/>
        <w:autoSpaceDN w:val="0"/>
        <w:spacing w:line="240" w:lineRule="auto"/>
        <w:ind w:firstLine="0"/>
        <w:rPr>
          <w:rFonts w:eastAsia="Calibri"/>
          <w:sz w:val="26"/>
        </w:rPr>
      </w:pPr>
    </w:p>
    <w:p w:rsidR="00A107E1" w:rsidRPr="00001309" w:rsidRDefault="00A107E1" w:rsidP="008D34CA">
      <w:pPr>
        <w:autoSpaceDE w:val="0"/>
        <w:autoSpaceDN w:val="0"/>
        <w:ind w:firstLine="0"/>
        <w:rPr>
          <w:rFonts w:eastAsia="Calibri"/>
          <w:sz w:val="26"/>
        </w:rPr>
      </w:pPr>
      <w:r w:rsidRPr="00001309">
        <w:rPr>
          <w:rFonts w:eastAsia="Calibri"/>
          <w:sz w:val="26"/>
        </w:rPr>
        <w:t>I.D. at 139-140.</w:t>
      </w:r>
    </w:p>
    <w:p w:rsidR="00A107E1" w:rsidRPr="00001309" w:rsidRDefault="00A107E1" w:rsidP="008D34CA">
      <w:pPr>
        <w:autoSpaceDE w:val="0"/>
        <w:autoSpaceDN w:val="0"/>
        <w:rPr>
          <w:rFonts w:eastAsia="Calibri"/>
          <w:sz w:val="26"/>
        </w:rPr>
      </w:pPr>
    </w:p>
    <w:p w:rsidR="00A107E1" w:rsidRPr="00001309" w:rsidRDefault="00A107E1" w:rsidP="00A107E1">
      <w:pPr>
        <w:autoSpaceDE w:val="0"/>
        <w:autoSpaceDN w:val="0"/>
        <w:rPr>
          <w:rFonts w:eastAsia="Calibri"/>
          <w:sz w:val="26"/>
        </w:rPr>
      </w:pPr>
      <w:r w:rsidRPr="00001309">
        <w:rPr>
          <w:rFonts w:eastAsia="Calibri"/>
          <w:sz w:val="26"/>
        </w:rPr>
        <w:lastRenderedPageBreak/>
        <w:t xml:space="preserve">Upon consideration of the appropriate factors, the ALJs recommended the imposition of a civil penalty of </w:t>
      </w:r>
      <w:r w:rsidR="001573EB">
        <w:rPr>
          <w:rFonts w:eastAsia="Calibri"/>
          <w:sz w:val="26"/>
        </w:rPr>
        <w:t>$</w:t>
      </w:r>
      <w:r w:rsidR="00242145" w:rsidRPr="00001309">
        <w:rPr>
          <w:rFonts w:eastAsia="Calibri"/>
          <w:spacing w:val="0"/>
          <w:sz w:val="26"/>
          <w:szCs w:val="26"/>
        </w:rPr>
        <w:t>2,554,000</w:t>
      </w:r>
      <w:r w:rsidRPr="00001309">
        <w:rPr>
          <w:rFonts w:eastAsia="Calibri"/>
          <w:sz w:val="26"/>
        </w:rPr>
        <w:t>.</w:t>
      </w:r>
    </w:p>
    <w:p w:rsidR="00A107E1" w:rsidRPr="00001309" w:rsidRDefault="00A107E1" w:rsidP="00A107E1">
      <w:pPr>
        <w:autoSpaceDE w:val="0"/>
        <w:autoSpaceDN w:val="0"/>
        <w:rPr>
          <w:rFonts w:eastAsia="Calibri"/>
          <w:sz w:val="26"/>
        </w:rPr>
      </w:pPr>
    </w:p>
    <w:p w:rsidR="00574CEA" w:rsidRDefault="00A107E1" w:rsidP="00A107E1">
      <w:pPr>
        <w:autoSpaceDE w:val="0"/>
        <w:autoSpaceDN w:val="0"/>
        <w:adjustRightInd w:val="0"/>
        <w:spacing w:line="240" w:lineRule="auto"/>
        <w:ind w:left="1440" w:right="1440" w:firstLine="720"/>
        <w:rPr>
          <w:rFonts w:eastAsia="Calibri"/>
          <w:spacing w:val="0"/>
          <w:sz w:val="26"/>
          <w:szCs w:val="26"/>
        </w:rPr>
      </w:pPr>
      <w:r w:rsidRPr="00001309">
        <w:rPr>
          <w:rFonts w:eastAsia="Calibri"/>
          <w:spacing w:val="0"/>
          <w:sz w:val="26"/>
          <w:szCs w:val="26"/>
        </w:rPr>
        <w:t xml:space="preserve">Applying the same process of developing a civil penalty as the Commission did in </w:t>
      </w:r>
      <w:r w:rsidRPr="00001309">
        <w:rPr>
          <w:rFonts w:eastAsia="Calibri"/>
          <w:i/>
          <w:spacing w:val="0"/>
          <w:sz w:val="26"/>
          <w:szCs w:val="26"/>
        </w:rPr>
        <w:t>I&amp;E v. HIKO</w:t>
      </w:r>
      <w:r w:rsidRPr="00001309">
        <w:rPr>
          <w:rFonts w:eastAsia="Calibri"/>
          <w:spacing w:val="0"/>
          <w:sz w:val="26"/>
          <w:szCs w:val="26"/>
        </w:rPr>
        <w:t xml:space="preserve"> based on the occurrence of overbilling establishes a civil penalty in this case of a </w:t>
      </w:r>
      <w:r w:rsidR="00C06F88" w:rsidRPr="00C06F88">
        <w:rPr>
          <w:rFonts w:eastAsia="Calibri"/>
          <w:b/>
          <w:spacing w:val="0"/>
          <w:sz w:val="26"/>
          <w:szCs w:val="26"/>
        </w:rPr>
        <w:t>BEGIN PROPRIETARY</w:t>
      </w:r>
    </w:p>
    <w:p w:rsidR="00574CEA" w:rsidRDefault="00574CEA" w:rsidP="00A107E1">
      <w:pPr>
        <w:autoSpaceDE w:val="0"/>
        <w:autoSpaceDN w:val="0"/>
        <w:adjustRightInd w:val="0"/>
        <w:spacing w:line="240" w:lineRule="auto"/>
        <w:ind w:left="1440" w:right="1440" w:firstLine="720"/>
        <w:rPr>
          <w:rFonts w:eastAsia="Calibri"/>
          <w:bCs/>
          <w:spacing w:val="0"/>
          <w:sz w:val="26"/>
          <w:szCs w:val="26"/>
        </w:rPr>
      </w:pPr>
    </w:p>
    <w:p w:rsidR="00574CEA" w:rsidRDefault="00574CEA" w:rsidP="00A107E1">
      <w:pPr>
        <w:autoSpaceDE w:val="0"/>
        <w:autoSpaceDN w:val="0"/>
        <w:adjustRightInd w:val="0"/>
        <w:spacing w:line="240" w:lineRule="auto"/>
        <w:ind w:left="1440" w:right="1440" w:firstLine="720"/>
        <w:rPr>
          <w:rFonts w:eastAsia="Calibri"/>
          <w:bCs/>
          <w:spacing w:val="0"/>
          <w:sz w:val="26"/>
          <w:szCs w:val="26"/>
        </w:rPr>
      </w:pPr>
    </w:p>
    <w:p w:rsidR="00574CEA" w:rsidRDefault="00574CEA" w:rsidP="00A107E1">
      <w:pPr>
        <w:autoSpaceDE w:val="0"/>
        <w:autoSpaceDN w:val="0"/>
        <w:adjustRightInd w:val="0"/>
        <w:spacing w:line="240" w:lineRule="auto"/>
        <w:ind w:left="1440" w:right="1440" w:firstLine="720"/>
        <w:rPr>
          <w:rFonts w:eastAsia="Calibri"/>
          <w:bCs/>
          <w:spacing w:val="0"/>
          <w:sz w:val="26"/>
          <w:szCs w:val="26"/>
        </w:rPr>
      </w:pPr>
    </w:p>
    <w:p w:rsidR="00574CEA" w:rsidRDefault="00574CEA" w:rsidP="000B56D5">
      <w:pPr>
        <w:keepNext/>
        <w:keepLines/>
        <w:autoSpaceDE w:val="0"/>
        <w:autoSpaceDN w:val="0"/>
        <w:adjustRightInd w:val="0"/>
        <w:spacing w:line="240" w:lineRule="auto"/>
        <w:ind w:left="1440" w:right="1440" w:firstLine="0"/>
        <w:rPr>
          <w:rFonts w:eastAsia="Calibri"/>
          <w:bCs/>
          <w:spacing w:val="0"/>
          <w:sz w:val="26"/>
          <w:szCs w:val="26"/>
        </w:rPr>
      </w:pPr>
    </w:p>
    <w:p w:rsidR="00574CEA" w:rsidRDefault="00574CEA" w:rsidP="000B56D5">
      <w:pPr>
        <w:keepNext/>
        <w:keepLines/>
        <w:autoSpaceDE w:val="0"/>
        <w:autoSpaceDN w:val="0"/>
        <w:adjustRightInd w:val="0"/>
        <w:spacing w:line="240" w:lineRule="auto"/>
        <w:ind w:left="1440" w:right="1440" w:firstLine="0"/>
        <w:rPr>
          <w:rFonts w:eastAsia="Calibri"/>
          <w:bCs/>
          <w:spacing w:val="0"/>
          <w:sz w:val="26"/>
          <w:szCs w:val="26"/>
        </w:rPr>
      </w:pPr>
    </w:p>
    <w:p w:rsidR="00A107E1" w:rsidRPr="00001309" w:rsidRDefault="00C06F88" w:rsidP="000B56D5">
      <w:pPr>
        <w:keepNext/>
        <w:keepLines/>
        <w:autoSpaceDE w:val="0"/>
        <w:autoSpaceDN w:val="0"/>
        <w:adjustRightInd w:val="0"/>
        <w:spacing w:line="240" w:lineRule="auto"/>
        <w:ind w:left="1440" w:right="1440" w:firstLine="0"/>
        <w:rPr>
          <w:rFonts w:eastAsia="Calibri"/>
          <w:spacing w:val="0"/>
          <w:sz w:val="26"/>
          <w:szCs w:val="26"/>
        </w:rPr>
      </w:pPr>
      <w:r w:rsidRPr="00C06F88">
        <w:rPr>
          <w:rFonts w:eastAsia="Calibri"/>
          <w:b/>
          <w:spacing w:val="0"/>
          <w:sz w:val="26"/>
          <w:szCs w:val="26"/>
        </w:rPr>
        <w:t>END PROPRIETARY</w:t>
      </w:r>
      <w:r w:rsidR="00574CEA">
        <w:rPr>
          <w:rFonts w:eastAsia="Calibri"/>
          <w:spacing w:val="0"/>
          <w:sz w:val="26"/>
          <w:szCs w:val="26"/>
        </w:rPr>
        <w:t xml:space="preserve"> </w:t>
      </w:r>
      <w:r w:rsidR="00A107E1" w:rsidRPr="00001309">
        <w:rPr>
          <w:rFonts w:eastAsia="Calibri"/>
          <w:spacing w:val="0"/>
          <w:sz w:val="26"/>
          <w:szCs w:val="26"/>
        </w:rPr>
        <w:t>for a total civil penalty of approximately $</w:t>
      </w:r>
      <w:bookmarkStart w:id="35" w:name="_Hlk511302781"/>
      <w:r w:rsidR="00A107E1" w:rsidRPr="00001309">
        <w:rPr>
          <w:rFonts w:eastAsia="Calibri"/>
          <w:spacing w:val="0"/>
          <w:sz w:val="26"/>
          <w:szCs w:val="26"/>
        </w:rPr>
        <w:t>2,554,000</w:t>
      </w:r>
      <w:bookmarkEnd w:id="35"/>
      <w:r w:rsidR="00A107E1" w:rsidRPr="00001309">
        <w:rPr>
          <w:rFonts w:eastAsia="Calibri"/>
          <w:spacing w:val="0"/>
          <w:sz w:val="26"/>
          <w:szCs w:val="26"/>
        </w:rPr>
        <w:t>.</w:t>
      </w:r>
    </w:p>
    <w:p w:rsidR="00A107E1" w:rsidRPr="00001309" w:rsidRDefault="00A107E1" w:rsidP="000B56D5">
      <w:pPr>
        <w:keepNext/>
        <w:keepLines/>
        <w:autoSpaceDE w:val="0"/>
        <w:autoSpaceDN w:val="0"/>
        <w:spacing w:line="240" w:lineRule="auto"/>
        <w:ind w:left="1440" w:right="1440" w:firstLine="0"/>
        <w:rPr>
          <w:rFonts w:eastAsia="Calibri"/>
          <w:sz w:val="26"/>
          <w:szCs w:val="26"/>
        </w:rPr>
      </w:pPr>
    </w:p>
    <w:p w:rsidR="00A107E1" w:rsidRPr="00001309" w:rsidRDefault="00A107E1" w:rsidP="000B56D5">
      <w:pPr>
        <w:keepNext/>
        <w:keepLines/>
        <w:autoSpaceDE w:val="0"/>
        <w:autoSpaceDN w:val="0"/>
        <w:spacing w:line="240" w:lineRule="auto"/>
        <w:ind w:left="1440" w:right="1440" w:firstLine="0"/>
        <w:rPr>
          <w:rFonts w:eastAsia="Calibri"/>
          <w:sz w:val="26"/>
          <w:szCs w:val="26"/>
        </w:rPr>
      </w:pPr>
    </w:p>
    <w:p w:rsidR="00A107E1" w:rsidRPr="00001309" w:rsidRDefault="00A107E1" w:rsidP="00A107E1">
      <w:pPr>
        <w:autoSpaceDE w:val="0"/>
        <w:autoSpaceDN w:val="0"/>
        <w:ind w:firstLine="0"/>
        <w:rPr>
          <w:rFonts w:eastAsia="Calibri"/>
          <w:sz w:val="26"/>
          <w:szCs w:val="26"/>
        </w:rPr>
      </w:pPr>
      <w:r w:rsidRPr="00001309">
        <w:rPr>
          <w:rFonts w:eastAsia="Calibri"/>
          <w:sz w:val="26"/>
          <w:szCs w:val="26"/>
        </w:rPr>
        <w:t>I.D. at 123.</w:t>
      </w:r>
    </w:p>
    <w:p w:rsidR="00A107E1" w:rsidRPr="00001309" w:rsidRDefault="00A107E1" w:rsidP="00A107E1">
      <w:pPr>
        <w:autoSpaceDE w:val="0"/>
        <w:autoSpaceDN w:val="0"/>
        <w:rPr>
          <w:rFonts w:eastAsia="Calibri"/>
          <w:sz w:val="26"/>
        </w:rPr>
      </w:pPr>
    </w:p>
    <w:p w:rsidR="00A107E1" w:rsidRPr="00001309" w:rsidRDefault="00A107E1" w:rsidP="008D34CA">
      <w:pPr>
        <w:keepNext/>
        <w:keepLines/>
        <w:autoSpaceDE w:val="0"/>
        <w:autoSpaceDN w:val="0"/>
        <w:ind w:firstLine="720"/>
        <w:rPr>
          <w:rFonts w:eastAsia="Calibri"/>
          <w:b/>
          <w:sz w:val="26"/>
        </w:rPr>
      </w:pPr>
      <w:r w:rsidRPr="00001309">
        <w:rPr>
          <w:rFonts w:eastAsia="Calibri"/>
          <w:b/>
          <w:sz w:val="26"/>
        </w:rPr>
        <w:t>2.</w:t>
      </w:r>
      <w:r w:rsidRPr="00001309">
        <w:rPr>
          <w:rFonts w:eastAsia="Calibri"/>
          <w:b/>
          <w:sz w:val="26"/>
        </w:rPr>
        <w:tab/>
        <w:t>Blue Pilot Exceptions</w:t>
      </w:r>
    </w:p>
    <w:p w:rsidR="00A107E1" w:rsidRPr="00001309" w:rsidRDefault="00A107E1" w:rsidP="00A107E1">
      <w:pPr>
        <w:keepNext/>
        <w:keepLines/>
        <w:autoSpaceDE w:val="0"/>
        <w:autoSpaceDN w:val="0"/>
        <w:rPr>
          <w:rFonts w:eastAsia="Calibri"/>
          <w:sz w:val="26"/>
        </w:rPr>
      </w:pPr>
    </w:p>
    <w:p w:rsidR="00A107E1" w:rsidRPr="00001309" w:rsidRDefault="00A107E1" w:rsidP="00A107E1">
      <w:pPr>
        <w:autoSpaceDE w:val="0"/>
        <w:autoSpaceDN w:val="0"/>
        <w:rPr>
          <w:rFonts w:eastAsia="Calibri"/>
          <w:sz w:val="26"/>
        </w:rPr>
      </w:pPr>
      <w:r w:rsidRPr="00001309">
        <w:rPr>
          <w:rFonts w:eastAsia="Calibri"/>
          <w:sz w:val="26"/>
        </w:rPr>
        <w:t>Blue Pilot Excepts to the Initial Decision’s recommendations concerning the appropriate civil penalty.  Blu</w:t>
      </w:r>
      <w:r w:rsidR="00BD7BF0" w:rsidRPr="00001309">
        <w:rPr>
          <w:rFonts w:eastAsia="Calibri"/>
          <w:sz w:val="26"/>
        </w:rPr>
        <w:t>e</w:t>
      </w:r>
      <w:r w:rsidRPr="00001309">
        <w:rPr>
          <w:rFonts w:eastAsia="Calibri"/>
          <w:sz w:val="26"/>
        </w:rPr>
        <w:t xml:space="preserve"> Pilot argues, </w:t>
      </w:r>
      <w:r w:rsidRPr="00001309">
        <w:rPr>
          <w:rFonts w:eastAsia="Calibri"/>
          <w:i/>
          <w:sz w:val="26"/>
        </w:rPr>
        <w:t>inter alia</w:t>
      </w:r>
      <w:r w:rsidRPr="00001309">
        <w:rPr>
          <w:rFonts w:eastAsia="Calibri"/>
          <w:sz w:val="26"/>
        </w:rPr>
        <w:t xml:space="preserve">, that the fines are excessive in violation of Article I, Section 13 of the Pennsylvania Constitution, the Eighth Amendment of the United States Constitution, and exceed the statutory scope of civil penalties as set forth in the Code.  Exc. at 31-38.  Blue Pilot further complains that the amount of the civil penalty would violate its fundamental due process rights.  Exc. at 34.  Due process concerns are raised by Blue Pilot based on its view that the methodology by which a civil penalty would be computed was not made known until the time of filing Main Briefs, after which it did not have opportunity to present testimony concerning the issue.  </w:t>
      </w:r>
      <w:r w:rsidRPr="00001309">
        <w:rPr>
          <w:rFonts w:eastAsia="Calibri"/>
          <w:i/>
          <w:sz w:val="26"/>
        </w:rPr>
        <w:t>Id</w:t>
      </w:r>
      <w:r w:rsidRPr="00001309">
        <w:rPr>
          <w:rFonts w:eastAsia="Calibri"/>
          <w:sz w:val="26"/>
        </w:rPr>
        <w:t>.</w:t>
      </w:r>
    </w:p>
    <w:p w:rsidR="00A107E1" w:rsidRPr="00001309" w:rsidRDefault="00A107E1" w:rsidP="00A107E1">
      <w:pPr>
        <w:autoSpaceDE w:val="0"/>
        <w:autoSpaceDN w:val="0"/>
        <w:rPr>
          <w:rFonts w:eastAsia="Calibri"/>
          <w:sz w:val="26"/>
        </w:rPr>
      </w:pPr>
    </w:p>
    <w:p w:rsidR="00A107E1" w:rsidRPr="00001309" w:rsidRDefault="00A107E1" w:rsidP="006703D0">
      <w:pPr>
        <w:keepNext/>
        <w:keepLines/>
        <w:autoSpaceDE w:val="0"/>
        <w:autoSpaceDN w:val="0"/>
        <w:rPr>
          <w:rFonts w:eastAsia="Calibri"/>
          <w:sz w:val="26"/>
        </w:rPr>
      </w:pPr>
      <w:r w:rsidRPr="00001309">
        <w:rPr>
          <w:rFonts w:eastAsia="Calibri"/>
          <w:sz w:val="26"/>
        </w:rPr>
        <w:lastRenderedPageBreak/>
        <w:t>Blue Pilot further explains its position in terms of “proportionality.”</w:t>
      </w:r>
      <w:r w:rsidRPr="00001309">
        <w:rPr>
          <w:rFonts w:eastAsia="Calibri"/>
          <w:sz w:val="26"/>
          <w:vertAlign w:val="superscript"/>
        </w:rPr>
        <w:footnoteReference w:id="37"/>
      </w:r>
    </w:p>
    <w:p w:rsidR="00A107E1" w:rsidRPr="00001309" w:rsidRDefault="00A107E1" w:rsidP="00A107E1">
      <w:pPr>
        <w:autoSpaceDE w:val="0"/>
        <w:autoSpaceDN w:val="0"/>
        <w:rPr>
          <w:rFonts w:eastAsia="Calibri"/>
          <w:sz w:val="26"/>
        </w:rPr>
      </w:pPr>
    </w:p>
    <w:p w:rsidR="001C5B78" w:rsidRPr="00001309" w:rsidRDefault="00A107E1" w:rsidP="00A107E1">
      <w:pPr>
        <w:autoSpaceDE w:val="0"/>
        <w:autoSpaceDN w:val="0"/>
        <w:adjustRightInd w:val="0"/>
        <w:spacing w:line="240" w:lineRule="auto"/>
        <w:ind w:left="1440" w:right="1440" w:firstLine="0"/>
        <w:rPr>
          <w:rFonts w:eastAsia="Calibri"/>
          <w:spacing w:val="0"/>
          <w:sz w:val="26"/>
          <w:szCs w:val="26"/>
        </w:rPr>
      </w:pPr>
      <w:r w:rsidRPr="00001309">
        <w:rPr>
          <w:rFonts w:eastAsia="Calibri"/>
          <w:spacing w:val="0"/>
          <w:sz w:val="26"/>
          <w:szCs w:val="26"/>
        </w:rPr>
        <w:t xml:space="preserve">Several factors demonstrate that the $2.55 million civil penalty is grossly disproportionate to the severity or gravity of the offense and fails any proportionality test.  The highest civil penalty imposed upon an EGS is $1.8 million in </w:t>
      </w:r>
      <w:r w:rsidRPr="00001309">
        <w:rPr>
          <w:rFonts w:eastAsia="Calibri"/>
          <w:i/>
          <w:iCs/>
          <w:spacing w:val="0"/>
          <w:sz w:val="26"/>
          <w:szCs w:val="26"/>
        </w:rPr>
        <w:t xml:space="preserve">Pa. PUC </w:t>
      </w:r>
      <w:r w:rsidRPr="00001309">
        <w:rPr>
          <w:rFonts w:eastAsia="Calibri"/>
          <w:spacing w:val="0"/>
          <w:sz w:val="26"/>
          <w:szCs w:val="26"/>
        </w:rPr>
        <w:t xml:space="preserve">v. </w:t>
      </w:r>
      <w:r w:rsidRPr="00001309">
        <w:rPr>
          <w:rFonts w:eastAsia="Calibri"/>
          <w:i/>
          <w:iCs/>
          <w:spacing w:val="0"/>
          <w:sz w:val="26"/>
          <w:szCs w:val="26"/>
        </w:rPr>
        <w:t xml:space="preserve">HIKO Energy, LLC, </w:t>
      </w:r>
      <w:r w:rsidRPr="00001309">
        <w:rPr>
          <w:rFonts w:eastAsia="Calibri"/>
          <w:spacing w:val="0"/>
          <w:sz w:val="26"/>
          <w:szCs w:val="26"/>
        </w:rPr>
        <w:t>Docket No. C-2014-2431410 (Initial Decision served August 21, 2015; Order entered December</w:t>
      </w:r>
      <w:r w:rsidRPr="00001309">
        <w:rPr>
          <w:rFonts w:eastAsia="Calibri"/>
          <w:i/>
          <w:iCs/>
          <w:spacing w:val="0"/>
          <w:sz w:val="26"/>
          <w:szCs w:val="26"/>
        </w:rPr>
        <w:t xml:space="preserve"> </w:t>
      </w:r>
      <w:r w:rsidRPr="00001309">
        <w:rPr>
          <w:rFonts w:eastAsia="Calibri"/>
          <w:spacing w:val="0"/>
          <w:sz w:val="26"/>
          <w:szCs w:val="26"/>
        </w:rPr>
        <w:t>3, 2015).  There, the Commission found that EGS had committed egregious violations of the law</w:t>
      </w:r>
      <w:r w:rsidRPr="00001309">
        <w:rPr>
          <w:rFonts w:eastAsia="Calibri"/>
          <w:i/>
          <w:iCs/>
          <w:spacing w:val="0"/>
          <w:sz w:val="26"/>
          <w:szCs w:val="26"/>
        </w:rPr>
        <w:t xml:space="preserve"> </w:t>
      </w:r>
      <w:r w:rsidRPr="00001309">
        <w:rPr>
          <w:rFonts w:eastAsia="Calibri"/>
          <w:spacing w:val="0"/>
          <w:sz w:val="26"/>
          <w:szCs w:val="26"/>
        </w:rPr>
        <w:t>when it made an executive level decision to not honor a written savings guarantee and to</w:t>
      </w:r>
      <w:r w:rsidRPr="00001309">
        <w:rPr>
          <w:rFonts w:eastAsia="Calibri"/>
          <w:i/>
          <w:iCs/>
          <w:spacing w:val="0"/>
          <w:sz w:val="26"/>
          <w:szCs w:val="26"/>
        </w:rPr>
        <w:t xml:space="preserve"> </w:t>
      </w:r>
      <w:r w:rsidRPr="00001309">
        <w:rPr>
          <w:rFonts w:eastAsia="Calibri"/>
          <w:spacing w:val="0"/>
          <w:sz w:val="26"/>
          <w:szCs w:val="26"/>
        </w:rPr>
        <w:t xml:space="preserve">intentionally overcharge 5,708 customers for a total of 14,689 instances.  By contrast, the allegations here revolve around the expectations and understandings of a </w:t>
      </w:r>
    </w:p>
    <w:p w:rsidR="00A107E1" w:rsidRPr="00001309" w:rsidRDefault="00A107E1" w:rsidP="001C5B78">
      <w:pPr>
        <w:keepNext/>
        <w:keepLines/>
        <w:autoSpaceDE w:val="0"/>
        <w:autoSpaceDN w:val="0"/>
        <w:adjustRightInd w:val="0"/>
        <w:spacing w:line="240" w:lineRule="auto"/>
        <w:ind w:left="1440" w:right="1440" w:firstLine="0"/>
        <w:rPr>
          <w:rFonts w:eastAsia="Calibri"/>
          <w:sz w:val="26"/>
          <w:szCs w:val="26"/>
        </w:rPr>
      </w:pPr>
      <w:r w:rsidRPr="00001309">
        <w:rPr>
          <w:rFonts w:eastAsia="Calibri"/>
          <w:spacing w:val="0"/>
          <w:sz w:val="26"/>
          <w:szCs w:val="26"/>
        </w:rPr>
        <w:t>small percentage of</w:t>
      </w:r>
      <w:r w:rsidRPr="00001309">
        <w:rPr>
          <w:rFonts w:eastAsia="Calibri"/>
          <w:i/>
          <w:iCs/>
          <w:spacing w:val="0"/>
          <w:sz w:val="26"/>
          <w:szCs w:val="26"/>
        </w:rPr>
        <w:t xml:space="preserve"> </w:t>
      </w:r>
      <w:r w:rsidRPr="00001309">
        <w:rPr>
          <w:rFonts w:eastAsia="Calibri"/>
          <w:spacing w:val="0"/>
          <w:sz w:val="26"/>
          <w:szCs w:val="26"/>
        </w:rPr>
        <w:t>BPE’s 2,516 customers as to the extent to which their variable prices would increase, based on</w:t>
      </w:r>
      <w:r w:rsidRPr="00001309">
        <w:rPr>
          <w:rFonts w:eastAsia="Calibri"/>
          <w:sz w:val="26"/>
          <w:szCs w:val="26"/>
        </w:rPr>
        <w:t xml:space="preserve"> alleged conversations with sales agents.</w:t>
      </w:r>
    </w:p>
    <w:p w:rsidR="00A107E1" w:rsidRPr="00001309" w:rsidRDefault="00A107E1" w:rsidP="001C5B78">
      <w:pPr>
        <w:keepNext/>
        <w:keepLines/>
        <w:autoSpaceDE w:val="0"/>
        <w:autoSpaceDN w:val="0"/>
        <w:adjustRightInd w:val="0"/>
        <w:spacing w:line="240" w:lineRule="auto"/>
        <w:ind w:left="1440" w:right="1440" w:firstLine="0"/>
        <w:rPr>
          <w:rFonts w:eastAsia="Calibri"/>
          <w:sz w:val="26"/>
          <w:szCs w:val="26"/>
        </w:rPr>
      </w:pPr>
    </w:p>
    <w:p w:rsidR="00A107E1" w:rsidRPr="00001309" w:rsidRDefault="00A107E1" w:rsidP="001C5B78">
      <w:pPr>
        <w:keepNext/>
        <w:keepLines/>
        <w:autoSpaceDE w:val="0"/>
        <w:autoSpaceDN w:val="0"/>
        <w:adjustRightInd w:val="0"/>
        <w:spacing w:line="240" w:lineRule="auto"/>
        <w:ind w:left="1440" w:right="1440" w:firstLine="0"/>
        <w:rPr>
          <w:rFonts w:eastAsia="Calibri"/>
          <w:sz w:val="26"/>
          <w:szCs w:val="26"/>
        </w:rPr>
      </w:pPr>
    </w:p>
    <w:p w:rsidR="00A107E1" w:rsidRPr="00001309" w:rsidRDefault="00A107E1" w:rsidP="00A107E1">
      <w:pPr>
        <w:autoSpaceDE w:val="0"/>
        <w:autoSpaceDN w:val="0"/>
        <w:adjustRightInd w:val="0"/>
        <w:ind w:firstLine="0"/>
        <w:rPr>
          <w:rFonts w:eastAsia="Calibri"/>
          <w:sz w:val="26"/>
          <w:szCs w:val="26"/>
        </w:rPr>
      </w:pPr>
      <w:r w:rsidRPr="00001309">
        <w:rPr>
          <w:rFonts w:eastAsia="Calibri"/>
          <w:sz w:val="26"/>
          <w:szCs w:val="26"/>
        </w:rPr>
        <w:t>Exc. at 32.</w:t>
      </w:r>
    </w:p>
    <w:p w:rsidR="00A107E1" w:rsidRPr="00001309" w:rsidRDefault="00A107E1" w:rsidP="00A107E1">
      <w:pPr>
        <w:autoSpaceDE w:val="0"/>
        <w:autoSpaceDN w:val="0"/>
        <w:adjustRightInd w:val="0"/>
        <w:ind w:firstLine="0"/>
        <w:rPr>
          <w:rFonts w:eastAsia="Calibri"/>
          <w:sz w:val="26"/>
          <w:szCs w:val="26"/>
        </w:rPr>
      </w:pPr>
    </w:p>
    <w:p w:rsidR="00A107E1" w:rsidRPr="00001309" w:rsidRDefault="00A107E1" w:rsidP="00A107E1">
      <w:pPr>
        <w:autoSpaceDE w:val="0"/>
        <w:autoSpaceDN w:val="0"/>
        <w:adjustRightInd w:val="0"/>
        <w:rPr>
          <w:rFonts w:eastAsia="Calibri"/>
          <w:sz w:val="26"/>
          <w:szCs w:val="26"/>
        </w:rPr>
      </w:pPr>
      <w:r w:rsidRPr="00001309">
        <w:rPr>
          <w:rFonts w:eastAsia="Calibri"/>
          <w:sz w:val="26"/>
          <w:szCs w:val="26"/>
        </w:rPr>
        <w:t>Blue Pilot continues its proportionality argument by noting that Section 3301(c) of the Code places a $200,000 “cap” on civil penalties in the context of gas pipeline safety violations; and, in violations of safety regulations involving certain natural gas and electric utility companies which violations resulted in fatalities, the total civil penalties were, approximately, $1.3 million.  Exc. at 33.</w:t>
      </w:r>
    </w:p>
    <w:p w:rsidR="00A107E1" w:rsidRPr="00001309" w:rsidRDefault="00A107E1" w:rsidP="00A107E1">
      <w:pPr>
        <w:autoSpaceDE w:val="0"/>
        <w:autoSpaceDN w:val="0"/>
        <w:adjustRightInd w:val="0"/>
        <w:rPr>
          <w:rFonts w:eastAsia="Calibri"/>
          <w:sz w:val="26"/>
          <w:szCs w:val="26"/>
        </w:rPr>
      </w:pPr>
    </w:p>
    <w:p w:rsidR="00A107E1" w:rsidRPr="00001309" w:rsidRDefault="00A107E1" w:rsidP="00A107E1">
      <w:pPr>
        <w:autoSpaceDE w:val="0"/>
        <w:autoSpaceDN w:val="0"/>
        <w:adjustRightInd w:val="0"/>
        <w:rPr>
          <w:rFonts w:eastAsia="Calibri"/>
          <w:sz w:val="26"/>
          <w:szCs w:val="26"/>
        </w:rPr>
      </w:pPr>
      <w:r w:rsidRPr="00001309">
        <w:rPr>
          <w:rFonts w:eastAsia="Calibri"/>
          <w:sz w:val="26"/>
          <w:szCs w:val="26"/>
        </w:rPr>
        <w:t>The Company further points out that, were the civil penalties computed at the rate of $1,000 per day of violation (</w:t>
      </w:r>
      <w:r w:rsidRPr="00001309">
        <w:rPr>
          <w:rFonts w:eastAsia="Calibri"/>
          <w:spacing w:val="0"/>
          <w:sz w:val="26"/>
          <w:szCs w:val="26"/>
        </w:rPr>
        <w:t>December 2013 through March 2014)</w:t>
      </w:r>
      <w:r w:rsidRPr="00001309">
        <w:rPr>
          <w:rFonts w:eastAsia="Calibri"/>
          <w:sz w:val="26"/>
          <w:szCs w:val="26"/>
        </w:rPr>
        <w:t>, the penalties would not exceed $120,000.  Exc. at 35.</w:t>
      </w:r>
    </w:p>
    <w:p w:rsidR="00A107E1" w:rsidRPr="00001309" w:rsidRDefault="00A107E1" w:rsidP="00A107E1">
      <w:pPr>
        <w:autoSpaceDE w:val="0"/>
        <w:autoSpaceDN w:val="0"/>
        <w:adjustRightInd w:val="0"/>
        <w:rPr>
          <w:rFonts w:eastAsia="Calibri"/>
          <w:iCs/>
          <w:spacing w:val="0"/>
          <w:sz w:val="26"/>
          <w:szCs w:val="26"/>
        </w:rPr>
      </w:pPr>
    </w:p>
    <w:p w:rsidR="00A107E1" w:rsidRPr="00001309" w:rsidRDefault="00A107E1" w:rsidP="00A107E1">
      <w:pPr>
        <w:autoSpaceDE w:val="0"/>
        <w:autoSpaceDN w:val="0"/>
        <w:adjustRightInd w:val="0"/>
        <w:rPr>
          <w:rFonts w:eastAsia="Calibri"/>
          <w:iCs/>
          <w:spacing w:val="0"/>
          <w:sz w:val="26"/>
          <w:szCs w:val="26"/>
        </w:rPr>
      </w:pPr>
      <w:r w:rsidRPr="00001309">
        <w:rPr>
          <w:rFonts w:eastAsia="Calibri"/>
          <w:iCs/>
          <w:spacing w:val="0"/>
          <w:sz w:val="26"/>
          <w:szCs w:val="26"/>
        </w:rPr>
        <w:lastRenderedPageBreak/>
        <w:t xml:space="preserve">Finally, on consideration of the analogy between Blue Pilot and </w:t>
      </w:r>
      <w:r w:rsidR="00E22E62" w:rsidRPr="00E22E62">
        <w:rPr>
          <w:rFonts w:eastAsia="Calibri"/>
          <w:i/>
          <w:iCs/>
          <w:spacing w:val="0"/>
          <w:sz w:val="26"/>
          <w:szCs w:val="26"/>
        </w:rPr>
        <w:t>HIKO</w:t>
      </w:r>
      <w:r w:rsidRPr="00001309">
        <w:rPr>
          <w:rFonts w:eastAsia="Calibri"/>
          <w:iCs/>
          <w:spacing w:val="0"/>
          <w:sz w:val="26"/>
          <w:szCs w:val="26"/>
        </w:rPr>
        <w:t xml:space="preserve">, Blue Pilot observes that the number of affected customers in </w:t>
      </w:r>
      <w:r w:rsidR="00E22E62" w:rsidRPr="00E22E62">
        <w:rPr>
          <w:rFonts w:eastAsia="Calibri"/>
          <w:i/>
          <w:iCs/>
          <w:spacing w:val="0"/>
          <w:sz w:val="26"/>
          <w:szCs w:val="26"/>
        </w:rPr>
        <w:t>HIKO</w:t>
      </w:r>
      <w:r w:rsidRPr="00001309">
        <w:rPr>
          <w:rFonts w:eastAsia="Calibri"/>
          <w:iCs/>
          <w:spacing w:val="0"/>
          <w:sz w:val="26"/>
          <w:szCs w:val="26"/>
        </w:rPr>
        <w:t>, over 5,000 customers and a resulting $1.8 million civil penalty, is approximately twice its size and affected customers.  Exc. at 37.</w:t>
      </w:r>
      <w:r w:rsidR="00005F39" w:rsidRPr="00001309">
        <w:rPr>
          <w:rFonts w:eastAsia="Calibri"/>
          <w:iCs/>
          <w:spacing w:val="0"/>
          <w:sz w:val="26"/>
          <w:szCs w:val="26"/>
        </w:rPr>
        <w:t xml:space="preserve">  Blue Pilot also finds objectionable the ALJs’ directive that it be precluded or barred from any future consideration for Commission authority.</w:t>
      </w:r>
    </w:p>
    <w:p w:rsidR="00A107E1" w:rsidRPr="00001309" w:rsidRDefault="00A107E1" w:rsidP="00A107E1">
      <w:pPr>
        <w:autoSpaceDE w:val="0"/>
        <w:autoSpaceDN w:val="0"/>
        <w:adjustRightInd w:val="0"/>
        <w:rPr>
          <w:rFonts w:eastAsia="Calibri"/>
          <w:iCs/>
          <w:spacing w:val="0"/>
          <w:sz w:val="26"/>
          <w:szCs w:val="26"/>
        </w:rPr>
      </w:pPr>
    </w:p>
    <w:p w:rsidR="00A107E1" w:rsidRPr="00001309" w:rsidRDefault="00A107E1" w:rsidP="008D34CA">
      <w:pPr>
        <w:keepNext/>
        <w:keepLines/>
        <w:autoSpaceDE w:val="0"/>
        <w:autoSpaceDN w:val="0"/>
        <w:adjustRightInd w:val="0"/>
        <w:ind w:firstLine="720"/>
        <w:rPr>
          <w:rFonts w:eastAsia="Calibri"/>
          <w:iCs/>
          <w:spacing w:val="0"/>
          <w:sz w:val="26"/>
          <w:szCs w:val="26"/>
        </w:rPr>
      </w:pPr>
      <w:r w:rsidRPr="00001309">
        <w:rPr>
          <w:rFonts w:eastAsia="Calibri"/>
          <w:b/>
          <w:iCs/>
          <w:spacing w:val="0"/>
          <w:sz w:val="26"/>
          <w:szCs w:val="26"/>
        </w:rPr>
        <w:t>3.</w:t>
      </w:r>
      <w:r w:rsidRPr="00001309">
        <w:rPr>
          <w:rFonts w:eastAsia="Calibri"/>
          <w:b/>
          <w:iCs/>
          <w:spacing w:val="0"/>
          <w:sz w:val="26"/>
          <w:szCs w:val="26"/>
        </w:rPr>
        <w:tab/>
        <w:t>OAG/OCA Replies</w:t>
      </w:r>
    </w:p>
    <w:p w:rsidR="00A107E1" w:rsidRPr="00001309" w:rsidRDefault="00A107E1" w:rsidP="001C5B78">
      <w:pPr>
        <w:keepNext/>
        <w:keepLines/>
        <w:autoSpaceDE w:val="0"/>
        <w:autoSpaceDN w:val="0"/>
        <w:adjustRightInd w:val="0"/>
        <w:rPr>
          <w:rFonts w:eastAsia="Calibri"/>
          <w:iCs/>
          <w:spacing w:val="0"/>
          <w:sz w:val="26"/>
          <w:szCs w:val="26"/>
        </w:rPr>
      </w:pPr>
    </w:p>
    <w:p w:rsidR="00A107E1" w:rsidRPr="00001309" w:rsidRDefault="00A107E1" w:rsidP="00A107E1">
      <w:pPr>
        <w:autoSpaceDE w:val="0"/>
        <w:autoSpaceDN w:val="0"/>
        <w:adjustRightInd w:val="0"/>
        <w:rPr>
          <w:rFonts w:eastAsia="Calibri"/>
          <w:iCs/>
          <w:spacing w:val="0"/>
          <w:sz w:val="26"/>
          <w:szCs w:val="26"/>
        </w:rPr>
      </w:pPr>
      <w:r w:rsidRPr="00001309">
        <w:rPr>
          <w:rFonts w:eastAsia="Calibri"/>
          <w:iCs/>
          <w:spacing w:val="0"/>
          <w:sz w:val="26"/>
          <w:szCs w:val="26"/>
        </w:rPr>
        <w:t>In their Replies, OAG/OCA initially argue that the comparison by Blue Pilot with other civil penalties in other cases are not relevant based on the egregious nature of Blue Pilot’s actions in the present case.  R.Exc. at 21.</w:t>
      </w:r>
    </w:p>
    <w:p w:rsidR="00A107E1" w:rsidRPr="00001309" w:rsidRDefault="00A107E1" w:rsidP="00A107E1">
      <w:pPr>
        <w:autoSpaceDE w:val="0"/>
        <w:autoSpaceDN w:val="0"/>
        <w:adjustRightInd w:val="0"/>
        <w:rPr>
          <w:rFonts w:eastAsia="Calibri"/>
          <w:iCs/>
          <w:spacing w:val="0"/>
          <w:sz w:val="26"/>
          <w:szCs w:val="26"/>
        </w:rPr>
      </w:pPr>
    </w:p>
    <w:p w:rsidR="00A107E1" w:rsidRPr="00001309" w:rsidRDefault="00A107E1" w:rsidP="00A107E1">
      <w:pPr>
        <w:autoSpaceDE w:val="0"/>
        <w:autoSpaceDN w:val="0"/>
        <w:adjustRightInd w:val="0"/>
        <w:rPr>
          <w:rFonts w:eastAsia="Calibri"/>
          <w:iCs/>
          <w:spacing w:val="0"/>
          <w:sz w:val="26"/>
          <w:szCs w:val="26"/>
        </w:rPr>
      </w:pPr>
      <w:r w:rsidRPr="00001309">
        <w:rPr>
          <w:rFonts w:eastAsia="Calibri"/>
          <w:iCs/>
          <w:spacing w:val="0"/>
          <w:sz w:val="26"/>
          <w:szCs w:val="26"/>
        </w:rPr>
        <w:t xml:space="preserve">In specific reply to the proportionality and computation methodology arguments of Blue Pilot, concerning the Commission’s actions in </w:t>
      </w:r>
      <w:r w:rsidRPr="00001309">
        <w:rPr>
          <w:rFonts w:eastAsia="Calibri"/>
          <w:i/>
          <w:iCs/>
          <w:spacing w:val="0"/>
          <w:sz w:val="26"/>
          <w:szCs w:val="26"/>
        </w:rPr>
        <w:t>HIKO</w:t>
      </w:r>
      <w:r w:rsidRPr="00001309">
        <w:rPr>
          <w:rFonts w:eastAsia="Calibri"/>
          <w:iCs/>
          <w:spacing w:val="0"/>
          <w:sz w:val="26"/>
          <w:szCs w:val="26"/>
        </w:rPr>
        <w:t xml:space="preserve">, the OAG/OCA assert that the methodology used in the present case is substantially the same as used in </w:t>
      </w:r>
      <w:r w:rsidRPr="00001309">
        <w:rPr>
          <w:rFonts w:eastAsia="Calibri"/>
          <w:i/>
          <w:iCs/>
          <w:spacing w:val="0"/>
          <w:sz w:val="26"/>
          <w:szCs w:val="26"/>
        </w:rPr>
        <w:t>HIKO</w:t>
      </w:r>
      <w:r w:rsidRPr="00001309">
        <w:rPr>
          <w:rFonts w:eastAsia="Calibri"/>
          <w:iCs/>
          <w:spacing w:val="0"/>
          <w:sz w:val="26"/>
          <w:szCs w:val="26"/>
        </w:rPr>
        <w:t>.  The OAG/OCA notes that a flat civil penalty was applied to the number of overbillings that were determined per residential and small business classes of customers.  R.Exc. at 21-22.</w:t>
      </w:r>
    </w:p>
    <w:p w:rsidR="00A107E1" w:rsidRPr="00001309" w:rsidRDefault="00A107E1" w:rsidP="00A107E1">
      <w:pPr>
        <w:autoSpaceDE w:val="0"/>
        <w:autoSpaceDN w:val="0"/>
        <w:adjustRightInd w:val="0"/>
        <w:rPr>
          <w:rFonts w:eastAsia="Calibri"/>
          <w:iCs/>
          <w:spacing w:val="0"/>
          <w:sz w:val="26"/>
          <w:szCs w:val="26"/>
        </w:rPr>
      </w:pPr>
    </w:p>
    <w:p w:rsidR="00A107E1" w:rsidRPr="00001309" w:rsidRDefault="00A107E1" w:rsidP="00A107E1">
      <w:pPr>
        <w:autoSpaceDE w:val="0"/>
        <w:autoSpaceDN w:val="0"/>
        <w:adjustRightInd w:val="0"/>
        <w:rPr>
          <w:rFonts w:eastAsia="Calibri"/>
          <w:iCs/>
          <w:spacing w:val="0"/>
          <w:sz w:val="26"/>
          <w:szCs w:val="26"/>
        </w:rPr>
      </w:pPr>
      <w:r w:rsidRPr="00001309">
        <w:rPr>
          <w:rFonts w:eastAsia="Calibri"/>
          <w:iCs/>
          <w:spacing w:val="0"/>
          <w:sz w:val="26"/>
          <w:szCs w:val="26"/>
        </w:rPr>
        <w:t xml:space="preserve">In conclusion, the Complainants assert that the ALJs’ application of the </w:t>
      </w:r>
      <w:r w:rsidRPr="00001309">
        <w:rPr>
          <w:rFonts w:eastAsia="Calibri"/>
          <w:i/>
          <w:iCs/>
          <w:spacing w:val="0"/>
          <w:sz w:val="26"/>
          <w:szCs w:val="26"/>
        </w:rPr>
        <w:t xml:space="preserve">Rosi </w:t>
      </w:r>
      <w:r w:rsidRPr="00001309">
        <w:rPr>
          <w:rFonts w:eastAsia="Calibri"/>
          <w:iCs/>
          <w:spacing w:val="0"/>
          <w:sz w:val="26"/>
          <w:szCs w:val="26"/>
        </w:rPr>
        <w:t xml:space="preserve">factors was fair and supports the recommended </w:t>
      </w:r>
      <w:r w:rsidRPr="00001309">
        <w:rPr>
          <w:rFonts w:eastAsia="Calibri"/>
          <w:sz w:val="26"/>
          <w:szCs w:val="26"/>
        </w:rPr>
        <w:t xml:space="preserve">$2,554,000 </w:t>
      </w:r>
      <w:r w:rsidRPr="00001309">
        <w:rPr>
          <w:rFonts w:eastAsia="Calibri"/>
          <w:iCs/>
          <w:spacing w:val="0"/>
          <w:sz w:val="26"/>
          <w:szCs w:val="26"/>
        </w:rPr>
        <w:t>civil penalty.</w:t>
      </w:r>
    </w:p>
    <w:p w:rsidR="00A107E1" w:rsidRPr="00001309" w:rsidRDefault="00A107E1" w:rsidP="00A107E1">
      <w:pPr>
        <w:autoSpaceDE w:val="0"/>
        <w:autoSpaceDN w:val="0"/>
        <w:rPr>
          <w:rFonts w:eastAsia="Calibri"/>
          <w:sz w:val="26"/>
        </w:rPr>
      </w:pPr>
    </w:p>
    <w:p w:rsidR="00A107E1" w:rsidRPr="00001309" w:rsidRDefault="00A107E1" w:rsidP="006B5D0D">
      <w:pPr>
        <w:keepNext/>
        <w:keepLines/>
        <w:autoSpaceDE w:val="0"/>
        <w:autoSpaceDN w:val="0"/>
        <w:ind w:firstLine="720"/>
        <w:rPr>
          <w:rFonts w:eastAsia="Calibri"/>
          <w:b/>
          <w:sz w:val="26"/>
        </w:rPr>
      </w:pPr>
      <w:r w:rsidRPr="00001309">
        <w:rPr>
          <w:rFonts w:eastAsia="Calibri"/>
          <w:b/>
          <w:sz w:val="26"/>
        </w:rPr>
        <w:t>4.</w:t>
      </w:r>
      <w:r w:rsidRPr="00001309">
        <w:rPr>
          <w:rFonts w:eastAsia="Calibri"/>
          <w:b/>
          <w:sz w:val="26"/>
        </w:rPr>
        <w:tab/>
        <w:t xml:space="preserve">Disposition </w:t>
      </w:r>
    </w:p>
    <w:p w:rsidR="00A107E1" w:rsidRPr="00001309" w:rsidRDefault="00A107E1" w:rsidP="006B5D0D">
      <w:pPr>
        <w:keepNext/>
        <w:keepLines/>
        <w:autoSpaceDE w:val="0"/>
        <w:autoSpaceDN w:val="0"/>
        <w:rPr>
          <w:rFonts w:eastAsia="Calibri"/>
          <w:sz w:val="26"/>
        </w:rPr>
      </w:pPr>
    </w:p>
    <w:p w:rsidR="00A107E1" w:rsidRDefault="00A107E1" w:rsidP="00A107E1">
      <w:pPr>
        <w:autoSpaceDE w:val="0"/>
        <w:autoSpaceDN w:val="0"/>
        <w:rPr>
          <w:rFonts w:eastAsia="Calibri"/>
          <w:sz w:val="26"/>
        </w:rPr>
      </w:pPr>
      <w:r w:rsidRPr="00001309">
        <w:rPr>
          <w:rFonts w:eastAsia="Calibri"/>
          <w:sz w:val="26"/>
        </w:rPr>
        <w:t xml:space="preserve">On consideration of the Exceptions of Blue Pilot, we shall </w:t>
      </w:r>
      <w:r w:rsidR="00367A7C" w:rsidRPr="00001309">
        <w:rPr>
          <w:rFonts w:eastAsia="Calibri"/>
          <w:sz w:val="26"/>
        </w:rPr>
        <w:t xml:space="preserve">grant </w:t>
      </w:r>
      <w:r w:rsidRPr="00001309">
        <w:rPr>
          <w:rFonts w:eastAsia="Calibri"/>
          <w:sz w:val="26"/>
        </w:rPr>
        <w:t xml:space="preserve">the Exceptions </w:t>
      </w:r>
      <w:r w:rsidR="00067722">
        <w:rPr>
          <w:rFonts w:eastAsia="Calibri"/>
          <w:sz w:val="26"/>
        </w:rPr>
        <w:t xml:space="preserve">of Blue Pilot </w:t>
      </w:r>
      <w:r w:rsidRPr="00001309">
        <w:rPr>
          <w:rFonts w:eastAsia="Calibri"/>
          <w:sz w:val="26"/>
        </w:rPr>
        <w:t xml:space="preserve">consistent with our discussion herein.  </w:t>
      </w:r>
    </w:p>
    <w:p w:rsidR="00067722" w:rsidRDefault="00067722" w:rsidP="00A107E1">
      <w:pPr>
        <w:autoSpaceDE w:val="0"/>
        <w:autoSpaceDN w:val="0"/>
        <w:rPr>
          <w:rFonts w:eastAsia="Calibri"/>
          <w:sz w:val="26"/>
        </w:rPr>
      </w:pPr>
    </w:p>
    <w:p w:rsidR="00067722" w:rsidRDefault="00067722" w:rsidP="00067722">
      <w:pPr>
        <w:kinsoku w:val="0"/>
        <w:overflowPunct w:val="0"/>
        <w:textAlignment w:val="baseline"/>
        <w:rPr>
          <w:spacing w:val="-2"/>
          <w:sz w:val="26"/>
          <w:szCs w:val="26"/>
        </w:rPr>
      </w:pPr>
      <w:r>
        <w:rPr>
          <w:spacing w:val="-2"/>
          <w:sz w:val="26"/>
          <w:szCs w:val="26"/>
        </w:rPr>
        <w:t>On consideration of the position of Blue Pilot, we</w:t>
      </w:r>
      <w:r w:rsidRPr="00B41204">
        <w:rPr>
          <w:spacing w:val="-2"/>
          <w:sz w:val="26"/>
          <w:szCs w:val="26"/>
        </w:rPr>
        <w:t xml:space="preserve"> </w:t>
      </w:r>
      <w:r>
        <w:rPr>
          <w:spacing w:val="-2"/>
          <w:sz w:val="26"/>
          <w:szCs w:val="26"/>
        </w:rPr>
        <w:t>find that</w:t>
      </w:r>
      <w:r w:rsidRPr="00B41204">
        <w:rPr>
          <w:spacing w:val="-2"/>
          <w:sz w:val="26"/>
          <w:szCs w:val="26"/>
        </w:rPr>
        <w:t xml:space="preserve"> th</w:t>
      </w:r>
      <w:r>
        <w:rPr>
          <w:spacing w:val="-2"/>
          <w:sz w:val="26"/>
          <w:szCs w:val="26"/>
        </w:rPr>
        <w:t>e</w:t>
      </w:r>
      <w:r w:rsidRPr="00B41204">
        <w:rPr>
          <w:spacing w:val="-2"/>
          <w:sz w:val="26"/>
          <w:szCs w:val="26"/>
        </w:rPr>
        <w:t xml:space="preserve"> </w:t>
      </w:r>
      <w:r>
        <w:rPr>
          <w:spacing w:val="-2"/>
          <w:sz w:val="26"/>
          <w:szCs w:val="26"/>
        </w:rPr>
        <w:t xml:space="preserve">recommended civil </w:t>
      </w:r>
      <w:r w:rsidRPr="00B41204">
        <w:rPr>
          <w:spacing w:val="-2"/>
          <w:sz w:val="26"/>
          <w:szCs w:val="26"/>
        </w:rPr>
        <w:t xml:space="preserve">penalty </w:t>
      </w:r>
      <w:r>
        <w:rPr>
          <w:spacing w:val="-2"/>
          <w:sz w:val="26"/>
          <w:szCs w:val="26"/>
        </w:rPr>
        <w:t>in this Joint Compl</w:t>
      </w:r>
      <w:r w:rsidRPr="00B41204">
        <w:rPr>
          <w:spacing w:val="-2"/>
          <w:sz w:val="26"/>
          <w:szCs w:val="26"/>
        </w:rPr>
        <w:t>a</w:t>
      </w:r>
      <w:r>
        <w:rPr>
          <w:spacing w:val="-2"/>
          <w:sz w:val="26"/>
          <w:szCs w:val="26"/>
        </w:rPr>
        <w:t xml:space="preserve">int </w:t>
      </w:r>
      <w:r w:rsidRPr="00B41204">
        <w:rPr>
          <w:spacing w:val="-2"/>
          <w:sz w:val="26"/>
          <w:szCs w:val="26"/>
        </w:rPr>
        <w:t xml:space="preserve">is </w:t>
      </w:r>
      <w:r>
        <w:rPr>
          <w:spacing w:val="-2"/>
          <w:sz w:val="26"/>
          <w:szCs w:val="26"/>
        </w:rPr>
        <w:t xml:space="preserve">unduly </w:t>
      </w:r>
      <w:r w:rsidRPr="00B41204">
        <w:rPr>
          <w:spacing w:val="-2"/>
          <w:sz w:val="26"/>
          <w:szCs w:val="26"/>
        </w:rPr>
        <w:t xml:space="preserve">disproportionate to the civil penalty </w:t>
      </w:r>
      <w:r>
        <w:rPr>
          <w:spacing w:val="-2"/>
          <w:sz w:val="26"/>
          <w:szCs w:val="26"/>
        </w:rPr>
        <w:t xml:space="preserve">imposed </w:t>
      </w:r>
      <w:r w:rsidRPr="00B41204">
        <w:rPr>
          <w:spacing w:val="-2"/>
          <w:sz w:val="26"/>
          <w:szCs w:val="26"/>
        </w:rPr>
        <w:lastRenderedPageBreak/>
        <w:t xml:space="preserve">in </w:t>
      </w:r>
      <w:r w:rsidR="00E22E62" w:rsidRPr="00E22E62">
        <w:rPr>
          <w:i/>
          <w:iCs/>
          <w:spacing w:val="-2"/>
          <w:sz w:val="26"/>
          <w:szCs w:val="26"/>
        </w:rPr>
        <w:t>HIKO</w:t>
      </w:r>
      <w:r w:rsidRPr="00B41204">
        <w:rPr>
          <w:i/>
          <w:iCs/>
          <w:spacing w:val="-2"/>
          <w:sz w:val="26"/>
          <w:szCs w:val="26"/>
        </w:rPr>
        <w:t xml:space="preserve">, </w:t>
      </w:r>
      <w:r w:rsidRPr="00B41204">
        <w:rPr>
          <w:spacing w:val="-2"/>
          <w:sz w:val="26"/>
          <w:szCs w:val="26"/>
        </w:rPr>
        <w:t>which is the only other Polar Vortex-related complaint filed by either the OAG/OCA or the Commission</w:t>
      </w:r>
      <w:r>
        <w:rPr>
          <w:spacing w:val="-2"/>
          <w:sz w:val="26"/>
          <w:szCs w:val="26"/>
        </w:rPr>
        <w:t>’</w:t>
      </w:r>
      <w:r w:rsidRPr="00B41204">
        <w:rPr>
          <w:spacing w:val="-2"/>
          <w:sz w:val="26"/>
          <w:szCs w:val="26"/>
        </w:rPr>
        <w:t xml:space="preserve">s Bureau of Investigation &amp; Enforcement that was a litigated outcome. </w:t>
      </w:r>
      <w:r>
        <w:rPr>
          <w:spacing w:val="-2"/>
          <w:sz w:val="26"/>
          <w:szCs w:val="26"/>
        </w:rPr>
        <w:t xml:space="preserve"> </w:t>
      </w:r>
      <w:r w:rsidRPr="00B41204">
        <w:rPr>
          <w:spacing w:val="-2"/>
          <w:sz w:val="26"/>
          <w:szCs w:val="26"/>
        </w:rPr>
        <w:t xml:space="preserve">In </w:t>
      </w:r>
      <w:r w:rsidR="00E22E62" w:rsidRPr="00E22E62">
        <w:rPr>
          <w:i/>
          <w:iCs/>
          <w:spacing w:val="-2"/>
          <w:sz w:val="26"/>
          <w:szCs w:val="26"/>
        </w:rPr>
        <w:t>HIKO</w:t>
      </w:r>
      <w:r w:rsidRPr="00B41204">
        <w:rPr>
          <w:i/>
          <w:iCs/>
          <w:spacing w:val="-2"/>
          <w:sz w:val="26"/>
          <w:szCs w:val="26"/>
        </w:rPr>
        <w:t xml:space="preserve">, </w:t>
      </w:r>
      <w:r w:rsidRPr="00B41204">
        <w:rPr>
          <w:spacing w:val="-2"/>
          <w:sz w:val="26"/>
          <w:szCs w:val="26"/>
        </w:rPr>
        <w:t>th</w:t>
      </w:r>
      <w:r>
        <w:rPr>
          <w:spacing w:val="-2"/>
          <w:sz w:val="26"/>
          <w:szCs w:val="26"/>
        </w:rPr>
        <w:t>is</w:t>
      </w:r>
      <w:r w:rsidRPr="00B41204">
        <w:rPr>
          <w:spacing w:val="-2"/>
          <w:sz w:val="26"/>
          <w:szCs w:val="26"/>
        </w:rPr>
        <w:t xml:space="preserve"> Commission imposed a $125 per-violation civil penalty </w:t>
      </w:r>
      <w:r>
        <w:rPr>
          <w:spacing w:val="-2"/>
          <w:sz w:val="26"/>
          <w:szCs w:val="26"/>
        </w:rPr>
        <w:t xml:space="preserve">against the EGS </w:t>
      </w:r>
      <w:r w:rsidRPr="00B41204">
        <w:rPr>
          <w:spacing w:val="-2"/>
          <w:sz w:val="26"/>
          <w:szCs w:val="26"/>
        </w:rPr>
        <w:t>for over 14,500 occurrences of overbilling</w:t>
      </w:r>
      <w:r>
        <w:rPr>
          <w:spacing w:val="-2"/>
          <w:sz w:val="26"/>
          <w:szCs w:val="26"/>
        </w:rPr>
        <w:t>,</w:t>
      </w:r>
      <w:r w:rsidRPr="00B41204">
        <w:rPr>
          <w:spacing w:val="-2"/>
          <w:sz w:val="26"/>
          <w:szCs w:val="26"/>
        </w:rPr>
        <w:t xml:space="preserve"> based on what the Commission found was intentional misconduct.</w:t>
      </w:r>
    </w:p>
    <w:p w:rsidR="00067722" w:rsidRDefault="00067722" w:rsidP="00067722">
      <w:pPr>
        <w:kinsoku w:val="0"/>
        <w:overflowPunct w:val="0"/>
        <w:textAlignment w:val="baseline"/>
        <w:rPr>
          <w:spacing w:val="-2"/>
          <w:sz w:val="26"/>
          <w:szCs w:val="26"/>
        </w:rPr>
      </w:pPr>
    </w:p>
    <w:p w:rsidR="00067722" w:rsidRDefault="00067722" w:rsidP="00067722">
      <w:pPr>
        <w:kinsoku w:val="0"/>
        <w:overflowPunct w:val="0"/>
        <w:textAlignment w:val="baseline"/>
        <w:rPr>
          <w:spacing w:val="-1"/>
          <w:sz w:val="26"/>
          <w:szCs w:val="26"/>
        </w:rPr>
      </w:pPr>
      <w:r>
        <w:rPr>
          <w:spacing w:val="-2"/>
          <w:sz w:val="26"/>
          <w:szCs w:val="26"/>
        </w:rPr>
        <w:t xml:space="preserve">In this Joint Complaint, </w:t>
      </w:r>
      <w:r w:rsidRPr="00B41204">
        <w:rPr>
          <w:spacing w:val="-2"/>
          <w:sz w:val="26"/>
          <w:szCs w:val="26"/>
        </w:rPr>
        <w:t xml:space="preserve">the </w:t>
      </w:r>
      <w:r>
        <w:rPr>
          <w:spacing w:val="-2"/>
          <w:sz w:val="26"/>
          <w:szCs w:val="26"/>
        </w:rPr>
        <w:t xml:space="preserve">civil </w:t>
      </w:r>
      <w:r w:rsidRPr="00B41204">
        <w:rPr>
          <w:spacing w:val="-2"/>
          <w:sz w:val="26"/>
          <w:szCs w:val="26"/>
        </w:rPr>
        <w:t xml:space="preserve">penalty </w:t>
      </w:r>
      <w:r>
        <w:rPr>
          <w:spacing w:val="-2"/>
          <w:sz w:val="26"/>
          <w:szCs w:val="26"/>
        </w:rPr>
        <w:t>recommended</w:t>
      </w:r>
      <w:r w:rsidRPr="00B41204">
        <w:rPr>
          <w:spacing w:val="-2"/>
          <w:sz w:val="26"/>
          <w:szCs w:val="26"/>
        </w:rPr>
        <w:t xml:space="preserve"> under the </w:t>
      </w:r>
      <w:r w:rsidR="00661EE2">
        <w:rPr>
          <w:spacing w:val="-2"/>
          <w:sz w:val="26"/>
          <w:szCs w:val="26"/>
        </w:rPr>
        <w:t>Initial Decision</w:t>
      </w:r>
      <w:r w:rsidRPr="00B41204">
        <w:rPr>
          <w:spacing w:val="-2"/>
          <w:sz w:val="26"/>
          <w:szCs w:val="26"/>
        </w:rPr>
        <w:t xml:space="preserve"> is $195 per-violation</w:t>
      </w:r>
      <w:r>
        <w:rPr>
          <w:spacing w:val="-2"/>
          <w:sz w:val="26"/>
          <w:szCs w:val="26"/>
        </w:rPr>
        <w:t xml:space="preserve"> </w:t>
      </w:r>
      <w:r w:rsidRPr="005E17DF">
        <w:rPr>
          <w:spacing w:val="-2"/>
          <w:sz w:val="26"/>
          <w:szCs w:val="26"/>
        </w:rPr>
        <w:t xml:space="preserve">for the 4,490 occurrences of residential overbilling and $498 per-violation for the 3,371 occurrences of overbilling of small business customers. </w:t>
      </w:r>
      <w:r>
        <w:rPr>
          <w:spacing w:val="-2"/>
          <w:sz w:val="26"/>
          <w:szCs w:val="26"/>
        </w:rPr>
        <w:t xml:space="preserve"> </w:t>
      </w:r>
      <w:r w:rsidRPr="005E17DF">
        <w:rPr>
          <w:spacing w:val="-2"/>
          <w:sz w:val="26"/>
          <w:szCs w:val="26"/>
        </w:rPr>
        <w:t>Consistent with</w:t>
      </w:r>
      <w:r>
        <w:rPr>
          <w:spacing w:val="-2"/>
          <w:sz w:val="26"/>
          <w:szCs w:val="26"/>
        </w:rPr>
        <w:t xml:space="preserve"> </w:t>
      </w:r>
      <w:r w:rsidR="008778D3">
        <w:rPr>
          <w:spacing w:val="-2"/>
          <w:sz w:val="26"/>
          <w:szCs w:val="26"/>
        </w:rPr>
        <w:t xml:space="preserve">our </w:t>
      </w:r>
      <w:r>
        <w:rPr>
          <w:spacing w:val="-2"/>
          <w:sz w:val="26"/>
          <w:szCs w:val="26"/>
        </w:rPr>
        <w:t>decision in</w:t>
      </w:r>
      <w:r w:rsidRPr="005E17DF">
        <w:rPr>
          <w:spacing w:val="-2"/>
          <w:sz w:val="26"/>
          <w:szCs w:val="26"/>
        </w:rPr>
        <w:t xml:space="preserve"> </w:t>
      </w:r>
      <w:r w:rsidR="00E22E62" w:rsidRPr="00E22E62">
        <w:rPr>
          <w:i/>
          <w:iCs/>
          <w:spacing w:val="-2"/>
          <w:sz w:val="26"/>
          <w:szCs w:val="26"/>
        </w:rPr>
        <w:t>HIKO</w:t>
      </w:r>
      <w:r w:rsidRPr="005E17DF">
        <w:rPr>
          <w:i/>
          <w:iCs/>
          <w:spacing w:val="-2"/>
          <w:sz w:val="26"/>
          <w:szCs w:val="26"/>
        </w:rPr>
        <w:t xml:space="preserve">, </w:t>
      </w:r>
      <w:r>
        <w:rPr>
          <w:iCs/>
          <w:spacing w:val="-2"/>
          <w:sz w:val="26"/>
          <w:szCs w:val="26"/>
        </w:rPr>
        <w:t>we shall modify the recommendation and</w:t>
      </w:r>
      <w:r w:rsidRPr="005E17DF">
        <w:rPr>
          <w:spacing w:val="-2"/>
          <w:sz w:val="26"/>
          <w:szCs w:val="26"/>
        </w:rPr>
        <w:t xml:space="preserve"> assess a civil penalty of $1,066,900 for Blue Pilot</w:t>
      </w:r>
      <w:r>
        <w:rPr>
          <w:spacing w:val="-2"/>
          <w:sz w:val="26"/>
          <w:szCs w:val="26"/>
        </w:rPr>
        <w:t>’</w:t>
      </w:r>
      <w:r w:rsidRPr="005E17DF">
        <w:rPr>
          <w:spacing w:val="-2"/>
          <w:sz w:val="26"/>
          <w:szCs w:val="26"/>
        </w:rPr>
        <w:t xml:space="preserve">s </w:t>
      </w:r>
      <w:r>
        <w:rPr>
          <w:spacing w:val="-2"/>
          <w:sz w:val="26"/>
          <w:szCs w:val="26"/>
        </w:rPr>
        <w:t xml:space="preserve">intentional </w:t>
      </w:r>
      <w:r w:rsidRPr="005E17DF">
        <w:rPr>
          <w:spacing w:val="-2"/>
          <w:sz w:val="26"/>
          <w:szCs w:val="26"/>
        </w:rPr>
        <w:t>overbilling of customers f</w:t>
      </w:r>
      <w:r w:rsidR="008778D3">
        <w:rPr>
          <w:spacing w:val="-2"/>
          <w:sz w:val="26"/>
          <w:szCs w:val="26"/>
        </w:rPr>
        <w:t xml:space="preserve">or the </w:t>
      </w:r>
      <w:r>
        <w:rPr>
          <w:spacing w:val="-2"/>
          <w:sz w:val="26"/>
          <w:szCs w:val="26"/>
        </w:rPr>
        <w:t xml:space="preserve">period </w:t>
      </w:r>
      <w:r w:rsidR="008778D3">
        <w:rPr>
          <w:spacing w:val="-2"/>
          <w:sz w:val="26"/>
          <w:szCs w:val="26"/>
        </w:rPr>
        <w:t xml:space="preserve">from </w:t>
      </w:r>
      <w:r w:rsidRPr="005E17DF">
        <w:rPr>
          <w:spacing w:val="-2"/>
          <w:sz w:val="26"/>
          <w:szCs w:val="26"/>
        </w:rPr>
        <w:t>December 2013 through March 2014</w:t>
      </w:r>
      <w:r>
        <w:rPr>
          <w:spacing w:val="-2"/>
          <w:sz w:val="26"/>
          <w:szCs w:val="26"/>
        </w:rPr>
        <w:t>,</w:t>
      </w:r>
      <w:r w:rsidRPr="005E17DF">
        <w:rPr>
          <w:spacing w:val="-2"/>
          <w:sz w:val="26"/>
          <w:szCs w:val="26"/>
        </w:rPr>
        <w:t xml:space="preserve"> in violation of Section 54.4(a) of </w:t>
      </w:r>
      <w:r w:rsidR="008778D3">
        <w:rPr>
          <w:spacing w:val="-2"/>
          <w:sz w:val="26"/>
          <w:szCs w:val="26"/>
        </w:rPr>
        <w:t>our</w:t>
      </w:r>
      <w:r w:rsidRPr="005E17DF">
        <w:rPr>
          <w:spacing w:val="-2"/>
          <w:sz w:val="26"/>
          <w:szCs w:val="26"/>
        </w:rPr>
        <w:t xml:space="preserve"> </w:t>
      </w:r>
      <w:r>
        <w:rPr>
          <w:spacing w:val="-2"/>
          <w:sz w:val="26"/>
          <w:szCs w:val="26"/>
        </w:rPr>
        <w:t>R</w:t>
      </w:r>
      <w:r w:rsidRPr="005E17DF">
        <w:rPr>
          <w:spacing w:val="-2"/>
          <w:sz w:val="26"/>
          <w:szCs w:val="26"/>
        </w:rPr>
        <w:t xml:space="preserve">egulations. </w:t>
      </w:r>
      <w:r>
        <w:rPr>
          <w:spacing w:val="-2"/>
          <w:sz w:val="26"/>
          <w:szCs w:val="26"/>
        </w:rPr>
        <w:t xml:space="preserve"> </w:t>
      </w:r>
      <w:r w:rsidRPr="005E17DF">
        <w:rPr>
          <w:spacing w:val="-2"/>
          <w:sz w:val="26"/>
          <w:szCs w:val="26"/>
        </w:rPr>
        <w:t xml:space="preserve">This </w:t>
      </w:r>
      <w:r>
        <w:rPr>
          <w:spacing w:val="-2"/>
          <w:sz w:val="26"/>
          <w:szCs w:val="26"/>
        </w:rPr>
        <w:t xml:space="preserve">civil </w:t>
      </w:r>
      <w:r w:rsidRPr="005E17DF">
        <w:rPr>
          <w:spacing w:val="-2"/>
          <w:sz w:val="26"/>
          <w:szCs w:val="26"/>
        </w:rPr>
        <w:t>penalty amount constitutes $125 per-violation for 4,490 occurrences of</w:t>
      </w:r>
      <w:r>
        <w:rPr>
          <w:spacing w:val="-2"/>
          <w:sz w:val="26"/>
          <w:szCs w:val="26"/>
        </w:rPr>
        <w:t xml:space="preserve"> </w:t>
      </w:r>
      <w:r w:rsidRPr="00B41204">
        <w:rPr>
          <w:noProof/>
          <w:sz w:val="26"/>
          <w:szCs w:val="26"/>
        </w:rPr>
        <mc:AlternateContent>
          <mc:Choice Requires="wps">
            <w:drawing>
              <wp:anchor distT="0" distB="0" distL="0" distR="0" simplePos="0" relativeHeight="251667456" behindDoc="0" locked="0" layoutInCell="0" allowOverlap="1" wp14:anchorId="06956888" wp14:editId="2CD7E979">
                <wp:simplePos x="0" y="0"/>
                <wp:positionH relativeFrom="page">
                  <wp:posOffset>3740785</wp:posOffset>
                </wp:positionH>
                <wp:positionV relativeFrom="page">
                  <wp:posOffset>9414510</wp:posOffset>
                </wp:positionV>
                <wp:extent cx="180975" cy="138430"/>
                <wp:effectExtent l="0" t="0" r="0" b="0"/>
                <wp:wrapSquare wrapText="bothSides"/>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384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6941" w:rsidRDefault="00446941" w:rsidP="00067722">
                            <w:pPr>
                              <w:kinsoku w:val="0"/>
                              <w:overflowPunct w:val="0"/>
                              <w:spacing w:line="207" w:lineRule="exact"/>
                              <w:textAlignment w:val="baseline"/>
                              <w:rPr>
                                <w:sz w:val="19"/>
                                <w:szCs w:val="19"/>
                              </w:rPr>
                            </w:pPr>
                            <w:r>
                              <w:rPr>
                                <w:sz w:val="19"/>
                                <w:szCs w:val="19"/>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56888" id="Text Box 14" o:spid="_x0000_s1030" type="#_x0000_t202" style="position:absolute;left:0;text-align:left;margin-left:294.55pt;margin-top:741.3pt;width:14.25pt;height:10.9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" o:allowincell="f" stroked="f">
                <v:fill opacity="0"/>
                <v:textbox inset="0,0,0,0">
                  <w:txbxContent>
                    <w:p w:rsidR="00446941" w:rsidRDefault="00446941" w:rsidP="00067722">
                      <w:pPr>
                        <w:kinsoku w:val="0"/>
                        <w:overflowPunct w:val="0"/>
                        <w:spacing w:line="207" w:lineRule="exact"/>
                        <w:textAlignment w:val="baseline"/>
                        <w:rPr>
                          <w:sz w:val="19"/>
                          <w:szCs w:val="19"/>
                        </w:rPr>
                      </w:pPr>
                      <w:r>
                        <w:rPr>
                          <w:sz w:val="19"/>
                          <w:szCs w:val="19"/>
                        </w:rPr>
                        <w:t>7</w:t>
                      </w:r>
                    </w:p>
                  </w:txbxContent>
                </v:textbox>
                <w10:wrap type="square" anchorx="page" anchory="page"/>
              </v:shape>
            </w:pict>
          </mc:Fallback>
        </mc:AlternateContent>
      </w:r>
      <w:r>
        <w:rPr>
          <w:spacing w:val="-2"/>
          <w:sz w:val="26"/>
          <w:szCs w:val="26"/>
        </w:rPr>
        <w:t>o</w:t>
      </w:r>
      <w:r w:rsidRPr="00B41204">
        <w:rPr>
          <w:spacing w:val="-1"/>
          <w:sz w:val="26"/>
          <w:szCs w:val="26"/>
        </w:rPr>
        <w:t>verbilling of residential customers ($561,25</w:t>
      </w:r>
      <w:r w:rsidR="008778D3">
        <w:rPr>
          <w:spacing w:val="-1"/>
          <w:sz w:val="26"/>
          <w:szCs w:val="26"/>
        </w:rPr>
        <w:t>0</w:t>
      </w:r>
      <w:r w:rsidRPr="00B41204">
        <w:rPr>
          <w:spacing w:val="-1"/>
          <w:sz w:val="26"/>
          <w:szCs w:val="26"/>
        </w:rPr>
        <w:t>) and $150 per-violation for the 3,371 occurrences of overbilling of small business customers ($505,650) during the time-period in question.</w:t>
      </w:r>
    </w:p>
    <w:p w:rsidR="00067722" w:rsidRPr="005E17DF" w:rsidRDefault="00067722" w:rsidP="00067722">
      <w:pPr>
        <w:kinsoku w:val="0"/>
        <w:overflowPunct w:val="0"/>
        <w:textAlignment w:val="baseline"/>
        <w:rPr>
          <w:spacing w:val="-2"/>
          <w:sz w:val="26"/>
          <w:szCs w:val="26"/>
        </w:rPr>
      </w:pPr>
    </w:p>
    <w:p w:rsidR="003E5C69" w:rsidRDefault="003E5C69" w:rsidP="0021060D">
      <w:pPr>
        <w:kinsoku w:val="0"/>
        <w:overflowPunct w:val="0"/>
        <w:textAlignment w:val="baseline"/>
        <w:rPr>
          <w:spacing w:val="-1"/>
          <w:sz w:val="26"/>
          <w:szCs w:val="26"/>
        </w:rPr>
      </w:pPr>
      <w:r>
        <w:rPr>
          <w:sz w:val="26"/>
          <w:szCs w:val="26"/>
        </w:rPr>
        <w:t xml:space="preserve">On consideration of the </w:t>
      </w:r>
      <w:r>
        <w:rPr>
          <w:i/>
          <w:sz w:val="26"/>
          <w:szCs w:val="26"/>
        </w:rPr>
        <w:t xml:space="preserve">Rosi </w:t>
      </w:r>
      <w:r>
        <w:rPr>
          <w:sz w:val="26"/>
          <w:szCs w:val="26"/>
        </w:rPr>
        <w:t>factors, as applied to the conduct of H</w:t>
      </w:r>
      <w:r w:rsidR="00E22E62">
        <w:rPr>
          <w:sz w:val="26"/>
          <w:szCs w:val="26"/>
        </w:rPr>
        <w:t>IKO</w:t>
      </w:r>
      <w:r>
        <w:rPr>
          <w:sz w:val="26"/>
          <w:szCs w:val="26"/>
        </w:rPr>
        <w:t xml:space="preserve"> and Blue Pilot, we</w:t>
      </w:r>
      <w:r w:rsidRPr="005E17DF">
        <w:rPr>
          <w:spacing w:val="-1"/>
          <w:sz w:val="26"/>
          <w:szCs w:val="26"/>
        </w:rPr>
        <w:t xml:space="preserve"> acknowledge that H</w:t>
      </w:r>
      <w:r w:rsidR="00E22E62">
        <w:rPr>
          <w:spacing w:val="-1"/>
          <w:sz w:val="26"/>
          <w:szCs w:val="26"/>
        </w:rPr>
        <w:t>IKO</w:t>
      </w:r>
      <w:r w:rsidRPr="005E17DF">
        <w:rPr>
          <w:spacing w:val="-1"/>
          <w:sz w:val="26"/>
          <w:szCs w:val="26"/>
        </w:rPr>
        <w:t xml:space="preserve"> committed twice as many overbilling violations as Blue Pilot.</w:t>
      </w:r>
      <w:r>
        <w:rPr>
          <w:spacing w:val="-1"/>
          <w:sz w:val="26"/>
          <w:szCs w:val="26"/>
        </w:rPr>
        <w:t xml:space="preserve"> </w:t>
      </w:r>
      <w:r w:rsidRPr="005E17DF">
        <w:rPr>
          <w:spacing w:val="-1"/>
          <w:sz w:val="26"/>
          <w:szCs w:val="26"/>
        </w:rPr>
        <w:t xml:space="preserve"> </w:t>
      </w:r>
      <w:r>
        <w:rPr>
          <w:spacing w:val="-1"/>
          <w:sz w:val="26"/>
          <w:szCs w:val="26"/>
        </w:rPr>
        <w:t>We</w:t>
      </w:r>
      <w:r w:rsidRPr="005E17DF">
        <w:rPr>
          <w:spacing w:val="-1"/>
          <w:sz w:val="26"/>
          <w:szCs w:val="26"/>
        </w:rPr>
        <w:t xml:space="preserve"> also acknowledge that H</w:t>
      </w:r>
      <w:r w:rsidR="00E22E62">
        <w:rPr>
          <w:spacing w:val="-1"/>
          <w:sz w:val="26"/>
          <w:szCs w:val="26"/>
        </w:rPr>
        <w:t>IKO’s</w:t>
      </w:r>
      <w:r w:rsidRPr="005E17DF">
        <w:rPr>
          <w:spacing w:val="-1"/>
          <w:sz w:val="26"/>
          <w:szCs w:val="26"/>
        </w:rPr>
        <w:t xml:space="preserve"> top management decisions regarding misconduct were found to be intentional, while no such intent </w:t>
      </w:r>
      <w:r>
        <w:rPr>
          <w:spacing w:val="-1"/>
          <w:sz w:val="26"/>
          <w:szCs w:val="26"/>
        </w:rPr>
        <w:t>h</w:t>
      </w:r>
      <w:r w:rsidRPr="005E17DF">
        <w:rPr>
          <w:spacing w:val="-1"/>
          <w:sz w:val="26"/>
          <w:szCs w:val="26"/>
        </w:rPr>
        <w:t xml:space="preserve">as </w:t>
      </w:r>
      <w:r>
        <w:rPr>
          <w:spacing w:val="-1"/>
          <w:sz w:val="26"/>
          <w:szCs w:val="26"/>
        </w:rPr>
        <w:t xml:space="preserve">been </w:t>
      </w:r>
      <w:r w:rsidRPr="005E17DF">
        <w:rPr>
          <w:spacing w:val="-1"/>
          <w:sz w:val="26"/>
          <w:szCs w:val="26"/>
        </w:rPr>
        <w:t xml:space="preserve">found with Blue Pilot. </w:t>
      </w:r>
      <w:r>
        <w:rPr>
          <w:spacing w:val="-1"/>
          <w:sz w:val="26"/>
          <w:szCs w:val="26"/>
        </w:rPr>
        <w:t xml:space="preserve"> </w:t>
      </w:r>
      <w:r w:rsidRPr="005E17DF">
        <w:rPr>
          <w:spacing w:val="-1"/>
          <w:sz w:val="26"/>
          <w:szCs w:val="26"/>
        </w:rPr>
        <w:t xml:space="preserve">However, </w:t>
      </w:r>
      <w:r>
        <w:rPr>
          <w:spacing w:val="-1"/>
          <w:sz w:val="26"/>
          <w:szCs w:val="26"/>
        </w:rPr>
        <w:t>we</w:t>
      </w:r>
      <w:r w:rsidRPr="005E17DF">
        <w:rPr>
          <w:spacing w:val="-1"/>
          <w:sz w:val="26"/>
          <w:szCs w:val="26"/>
        </w:rPr>
        <w:t xml:space="preserve"> </w:t>
      </w:r>
      <w:r>
        <w:rPr>
          <w:spacing w:val="-1"/>
          <w:sz w:val="26"/>
          <w:szCs w:val="26"/>
        </w:rPr>
        <w:t>find that</w:t>
      </w:r>
      <w:r w:rsidRPr="005E17DF">
        <w:rPr>
          <w:spacing w:val="-1"/>
          <w:sz w:val="26"/>
          <w:szCs w:val="26"/>
        </w:rPr>
        <w:t xml:space="preserve"> there are aggravating factors in Blue Pilot</w:t>
      </w:r>
      <w:r>
        <w:rPr>
          <w:spacing w:val="-1"/>
          <w:sz w:val="26"/>
          <w:szCs w:val="26"/>
        </w:rPr>
        <w:t>’</w:t>
      </w:r>
      <w:r w:rsidRPr="005E17DF">
        <w:rPr>
          <w:spacing w:val="-1"/>
          <w:sz w:val="26"/>
          <w:szCs w:val="26"/>
        </w:rPr>
        <w:t xml:space="preserve">s case that support the </w:t>
      </w:r>
      <w:r>
        <w:rPr>
          <w:spacing w:val="-1"/>
          <w:sz w:val="26"/>
          <w:szCs w:val="26"/>
        </w:rPr>
        <w:t xml:space="preserve">civil </w:t>
      </w:r>
      <w:r w:rsidRPr="005E17DF">
        <w:rPr>
          <w:spacing w:val="-1"/>
          <w:sz w:val="26"/>
          <w:szCs w:val="26"/>
        </w:rPr>
        <w:t xml:space="preserve">penalty amount </w:t>
      </w:r>
      <w:r>
        <w:rPr>
          <w:spacing w:val="-1"/>
          <w:sz w:val="26"/>
          <w:szCs w:val="26"/>
        </w:rPr>
        <w:t xml:space="preserve">determined </w:t>
      </w:r>
      <w:r w:rsidRPr="005E17DF">
        <w:rPr>
          <w:spacing w:val="-1"/>
          <w:sz w:val="26"/>
          <w:szCs w:val="26"/>
        </w:rPr>
        <w:t>here.</w:t>
      </w:r>
      <w:r>
        <w:rPr>
          <w:spacing w:val="-1"/>
          <w:sz w:val="26"/>
          <w:szCs w:val="26"/>
        </w:rPr>
        <w:t xml:space="preserve"> </w:t>
      </w:r>
      <w:r w:rsidRPr="005E17DF">
        <w:rPr>
          <w:spacing w:val="-1"/>
          <w:sz w:val="26"/>
          <w:szCs w:val="26"/>
        </w:rPr>
        <w:t xml:space="preserve"> These factors include</w:t>
      </w:r>
      <w:r>
        <w:rPr>
          <w:spacing w:val="-1"/>
          <w:sz w:val="26"/>
          <w:szCs w:val="26"/>
        </w:rPr>
        <w:t xml:space="preserve">, </w:t>
      </w:r>
      <w:r>
        <w:rPr>
          <w:i/>
          <w:spacing w:val="-1"/>
          <w:sz w:val="26"/>
          <w:szCs w:val="26"/>
        </w:rPr>
        <w:t>inter alia</w:t>
      </w:r>
      <w:r>
        <w:rPr>
          <w:spacing w:val="-1"/>
          <w:sz w:val="26"/>
          <w:szCs w:val="26"/>
        </w:rPr>
        <w:t>,</w:t>
      </w:r>
      <w:r w:rsidRPr="005E17DF">
        <w:rPr>
          <w:spacing w:val="-1"/>
          <w:sz w:val="26"/>
          <w:szCs w:val="26"/>
        </w:rPr>
        <w:t xml:space="preserve"> Blue Pilot instituting over a 500% increase in price </w:t>
      </w:r>
      <w:r>
        <w:rPr>
          <w:spacing w:val="-1"/>
          <w:sz w:val="26"/>
          <w:szCs w:val="26"/>
        </w:rPr>
        <w:t xml:space="preserve">as </w:t>
      </w:r>
      <w:r w:rsidRPr="005E17DF">
        <w:rPr>
          <w:spacing w:val="-1"/>
          <w:sz w:val="26"/>
          <w:szCs w:val="26"/>
        </w:rPr>
        <w:t xml:space="preserve">compared to the PTC during March 2014 and Blue Pilot attempting to leave the Pennsylvania market without providing sufficient refunds </w:t>
      </w:r>
      <w:r>
        <w:rPr>
          <w:spacing w:val="-1"/>
          <w:sz w:val="26"/>
          <w:szCs w:val="26"/>
        </w:rPr>
        <w:t xml:space="preserve">or financial security in compliance with our Regulations so as protect </w:t>
      </w:r>
      <w:r w:rsidRPr="005E17DF">
        <w:rPr>
          <w:spacing w:val="-1"/>
          <w:sz w:val="26"/>
          <w:szCs w:val="26"/>
        </w:rPr>
        <w:t>its customers for improper overbillings.</w:t>
      </w:r>
      <w:r w:rsidR="0021060D">
        <w:rPr>
          <w:spacing w:val="-1"/>
          <w:sz w:val="26"/>
          <w:szCs w:val="26"/>
        </w:rPr>
        <w:t xml:space="preserve">  </w:t>
      </w:r>
      <w:r w:rsidRPr="005E17DF">
        <w:rPr>
          <w:spacing w:val="-1"/>
          <w:sz w:val="26"/>
          <w:szCs w:val="26"/>
        </w:rPr>
        <w:t>In comparison, H</w:t>
      </w:r>
      <w:r w:rsidR="00E22E62">
        <w:rPr>
          <w:spacing w:val="-1"/>
          <w:sz w:val="26"/>
          <w:szCs w:val="26"/>
        </w:rPr>
        <w:t>IKO</w:t>
      </w:r>
      <w:r w:rsidRPr="005E17DF">
        <w:rPr>
          <w:spacing w:val="-1"/>
          <w:sz w:val="26"/>
          <w:szCs w:val="26"/>
        </w:rPr>
        <w:t xml:space="preserve"> agreed to issue </w:t>
      </w:r>
      <w:r>
        <w:rPr>
          <w:spacing w:val="-1"/>
          <w:sz w:val="26"/>
          <w:szCs w:val="26"/>
        </w:rPr>
        <w:t>approximately</w:t>
      </w:r>
      <w:r w:rsidRPr="005E17DF">
        <w:rPr>
          <w:spacing w:val="-1"/>
          <w:sz w:val="26"/>
          <w:szCs w:val="26"/>
        </w:rPr>
        <w:t xml:space="preserve"> $2 million in refunds to affected customers. </w:t>
      </w:r>
      <w:r>
        <w:rPr>
          <w:spacing w:val="-1"/>
          <w:sz w:val="26"/>
          <w:szCs w:val="26"/>
        </w:rPr>
        <w:t xml:space="preserve"> We</w:t>
      </w:r>
      <w:r w:rsidRPr="005E17DF">
        <w:rPr>
          <w:spacing w:val="-1"/>
          <w:sz w:val="26"/>
          <w:szCs w:val="26"/>
        </w:rPr>
        <w:t xml:space="preserve"> also note that </w:t>
      </w:r>
      <w:r>
        <w:rPr>
          <w:spacing w:val="-1"/>
          <w:sz w:val="26"/>
          <w:szCs w:val="26"/>
        </w:rPr>
        <w:t xml:space="preserve">the Joint Complaint with </w:t>
      </w:r>
      <w:r w:rsidRPr="005E17DF">
        <w:rPr>
          <w:spacing w:val="-1"/>
          <w:sz w:val="26"/>
          <w:szCs w:val="26"/>
        </w:rPr>
        <w:t>Blue Pilot involves 3,371 occurrences of commercial overbillings that</w:t>
      </w:r>
      <w:r>
        <w:rPr>
          <w:spacing w:val="-1"/>
          <w:sz w:val="26"/>
          <w:szCs w:val="26"/>
        </w:rPr>
        <w:t>,</w:t>
      </w:r>
      <w:r w:rsidRPr="005E17DF">
        <w:rPr>
          <w:spacing w:val="-1"/>
          <w:sz w:val="26"/>
          <w:szCs w:val="26"/>
        </w:rPr>
        <w:t xml:space="preserve"> typically</w:t>
      </w:r>
      <w:r>
        <w:rPr>
          <w:spacing w:val="-1"/>
          <w:sz w:val="26"/>
          <w:szCs w:val="26"/>
        </w:rPr>
        <w:t>,</w:t>
      </w:r>
      <w:r w:rsidRPr="005E17DF">
        <w:rPr>
          <w:spacing w:val="-1"/>
          <w:sz w:val="26"/>
          <w:szCs w:val="26"/>
        </w:rPr>
        <w:t xml:space="preserve"> involve </w:t>
      </w:r>
      <w:r w:rsidRPr="005E17DF">
        <w:rPr>
          <w:spacing w:val="-1"/>
          <w:sz w:val="26"/>
          <w:szCs w:val="26"/>
        </w:rPr>
        <w:lastRenderedPageBreak/>
        <w:t>larger overbilling amounts than with residential customers, while H</w:t>
      </w:r>
      <w:r w:rsidR="00E22E62">
        <w:rPr>
          <w:spacing w:val="-1"/>
          <w:sz w:val="26"/>
          <w:szCs w:val="26"/>
        </w:rPr>
        <w:t>IKO’s</w:t>
      </w:r>
      <w:r w:rsidRPr="005E17DF">
        <w:rPr>
          <w:spacing w:val="-1"/>
          <w:sz w:val="26"/>
          <w:szCs w:val="26"/>
        </w:rPr>
        <w:t xml:space="preserve"> overbillings were limited to residential customers only.</w:t>
      </w:r>
    </w:p>
    <w:p w:rsidR="003E5C69" w:rsidRPr="005E17DF" w:rsidRDefault="003E5C69" w:rsidP="003E5C69">
      <w:pPr>
        <w:kinsoku w:val="0"/>
        <w:overflowPunct w:val="0"/>
        <w:textAlignment w:val="baseline"/>
        <w:rPr>
          <w:spacing w:val="-1"/>
          <w:sz w:val="26"/>
          <w:szCs w:val="26"/>
        </w:rPr>
      </w:pPr>
    </w:p>
    <w:p w:rsidR="00FC5FA7" w:rsidRDefault="003E5C69" w:rsidP="003E5C69">
      <w:pPr>
        <w:rPr>
          <w:sz w:val="26"/>
          <w:szCs w:val="26"/>
        </w:rPr>
      </w:pPr>
      <w:r>
        <w:rPr>
          <w:sz w:val="26"/>
          <w:szCs w:val="26"/>
        </w:rPr>
        <w:t>Based on the foregoing, we shall g</w:t>
      </w:r>
      <w:r w:rsidRPr="005E17DF">
        <w:rPr>
          <w:sz w:val="26"/>
          <w:szCs w:val="26"/>
        </w:rPr>
        <w:t>rant Blue Pilot</w:t>
      </w:r>
      <w:r>
        <w:rPr>
          <w:sz w:val="26"/>
          <w:szCs w:val="26"/>
        </w:rPr>
        <w:t>’</w:t>
      </w:r>
      <w:r w:rsidRPr="005E17DF">
        <w:rPr>
          <w:sz w:val="26"/>
          <w:szCs w:val="26"/>
        </w:rPr>
        <w:t>s Exception, in part, on this</w:t>
      </w:r>
      <w:r>
        <w:rPr>
          <w:sz w:val="26"/>
          <w:szCs w:val="26"/>
        </w:rPr>
        <w:t xml:space="preserve"> issue, </w:t>
      </w:r>
      <w:r w:rsidR="00C27A7E">
        <w:rPr>
          <w:sz w:val="26"/>
          <w:szCs w:val="26"/>
        </w:rPr>
        <w:t xml:space="preserve">and modify the ALJs’ Initial Decision, </w:t>
      </w:r>
      <w:r>
        <w:rPr>
          <w:sz w:val="26"/>
          <w:szCs w:val="26"/>
        </w:rPr>
        <w:t>consistent with our discussion.</w:t>
      </w:r>
    </w:p>
    <w:p w:rsidR="00C27A7E" w:rsidRPr="003E5C69" w:rsidRDefault="00C27A7E" w:rsidP="003E5C69">
      <w:pPr>
        <w:rPr>
          <w:sz w:val="26"/>
          <w:szCs w:val="26"/>
        </w:rPr>
      </w:pPr>
    </w:p>
    <w:p w:rsidR="003E5C69" w:rsidRPr="003E5C69" w:rsidRDefault="003E5C69" w:rsidP="00E230AC">
      <w:pPr>
        <w:keepNext/>
        <w:keepLines/>
        <w:autoSpaceDE w:val="0"/>
        <w:autoSpaceDN w:val="0"/>
        <w:ind w:firstLine="720"/>
        <w:rPr>
          <w:rFonts w:eastAsia="Calibri"/>
          <w:b/>
          <w:sz w:val="26"/>
        </w:rPr>
      </w:pPr>
      <w:r>
        <w:rPr>
          <w:rFonts w:eastAsia="Calibri"/>
          <w:b/>
          <w:sz w:val="26"/>
        </w:rPr>
        <w:t>5.</w:t>
      </w:r>
      <w:r>
        <w:rPr>
          <w:rFonts w:eastAsia="Calibri"/>
          <w:b/>
          <w:sz w:val="26"/>
        </w:rPr>
        <w:tab/>
        <w:t>License Revocation Recommendation</w:t>
      </w:r>
    </w:p>
    <w:p w:rsidR="003E5C69" w:rsidRDefault="003E5C69" w:rsidP="00E230AC">
      <w:pPr>
        <w:keepNext/>
        <w:keepLines/>
        <w:autoSpaceDE w:val="0"/>
        <w:autoSpaceDN w:val="0"/>
        <w:rPr>
          <w:rFonts w:eastAsia="Calibri"/>
          <w:sz w:val="26"/>
        </w:rPr>
      </w:pPr>
    </w:p>
    <w:p w:rsidR="00817A01" w:rsidRPr="00CB0558" w:rsidRDefault="00367A7C" w:rsidP="00817A01">
      <w:pPr>
        <w:kinsoku w:val="0"/>
        <w:overflowPunct w:val="0"/>
        <w:textAlignment w:val="baseline"/>
        <w:rPr>
          <w:sz w:val="26"/>
          <w:szCs w:val="26"/>
        </w:rPr>
      </w:pPr>
      <w:r w:rsidRPr="00001309">
        <w:rPr>
          <w:rFonts w:eastAsia="Calibri"/>
          <w:sz w:val="26"/>
        </w:rPr>
        <w:t>Concerning the ALJs’ recommendation to bar Blue Pilot’s ownership from ever applying for an EGS license</w:t>
      </w:r>
      <w:r w:rsidR="009C5F54" w:rsidRPr="00001309">
        <w:rPr>
          <w:rFonts w:eastAsia="Calibri"/>
          <w:sz w:val="26"/>
        </w:rPr>
        <w:t xml:space="preserve"> within the Commonwealth of Pennsylvania in the future, </w:t>
      </w:r>
      <w:r w:rsidR="00817A01">
        <w:rPr>
          <w:sz w:val="26"/>
          <w:szCs w:val="26"/>
        </w:rPr>
        <w:t xml:space="preserve">Blue Pilot </w:t>
      </w:r>
      <w:r w:rsidR="00817A01" w:rsidRPr="00CB0558">
        <w:rPr>
          <w:sz w:val="26"/>
          <w:szCs w:val="26"/>
        </w:rPr>
        <w:t xml:space="preserve">excepts to the </w:t>
      </w:r>
      <w:r w:rsidR="00661EE2">
        <w:rPr>
          <w:sz w:val="26"/>
          <w:szCs w:val="26"/>
        </w:rPr>
        <w:t>Initial Decision</w:t>
      </w:r>
      <w:r w:rsidR="00817A01" w:rsidRPr="00CB0558">
        <w:rPr>
          <w:sz w:val="26"/>
          <w:szCs w:val="26"/>
        </w:rPr>
        <w:t xml:space="preserve"> </w:t>
      </w:r>
      <w:r w:rsidR="00817A01">
        <w:rPr>
          <w:sz w:val="26"/>
          <w:szCs w:val="26"/>
        </w:rPr>
        <w:t xml:space="preserve">recommendation that we </w:t>
      </w:r>
      <w:r w:rsidR="00817A01" w:rsidRPr="00CB0558">
        <w:rPr>
          <w:sz w:val="26"/>
          <w:szCs w:val="26"/>
        </w:rPr>
        <w:t>direct that Blue Pilot</w:t>
      </w:r>
      <w:r w:rsidR="00817A01">
        <w:rPr>
          <w:sz w:val="26"/>
          <w:szCs w:val="26"/>
        </w:rPr>
        <w:t>’</w:t>
      </w:r>
      <w:r w:rsidR="00817A01" w:rsidRPr="00CB0558">
        <w:rPr>
          <w:sz w:val="26"/>
          <w:szCs w:val="26"/>
        </w:rPr>
        <w:t>s owners, managers, and in-house counsel</w:t>
      </w:r>
      <w:r w:rsidR="00817A01">
        <w:rPr>
          <w:sz w:val="26"/>
          <w:szCs w:val="26"/>
        </w:rPr>
        <w:t>,</w:t>
      </w:r>
      <w:r w:rsidR="00817A01" w:rsidRPr="00CB0558">
        <w:rPr>
          <w:sz w:val="26"/>
          <w:szCs w:val="26"/>
        </w:rPr>
        <w:t xml:space="preserve"> be barred from ever applying for an EGS license in the future.</w:t>
      </w:r>
      <w:r w:rsidR="00817A01">
        <w:rPr>
          <w:sz w:val="26"/>
          <w:szCs w:val="26"/>
        </w:rPr>
        <w:t xml:space="preserve"> </w:t>
      </w:r>
      <w:r w:rsidR="00817A01" w:rsidRPr="00CB0558">
        <w:rPr>
          <w:sz w:val="26"/>
          <w:szCs w:val="26"/>
        </w:rPr>
        <w:t xml:space="preserve"> </w:t>
      </w:r>
      <w:r w:rsidR="00817A01">
        <w:rPr>
          <w:sz w:val="26"/>
          <w:szCs w:val="26"/>
        </w:rPr>
        <w:t>We</w:t>
      </w:r>
      <w:r w:rsidR="00817A01" w:rsidRPr="00CB0558">
        <w:rPr>
          <w:sz w:val="26"/>
          <w:szCs w:val="26"/>
        </w:rPr>
        <w:t xml:space="preserve"> agree </w:t>
      </w:r>
      <w:r w:rsidR="00817A01">
        <w:rPr>
          <w:sz w:val="26"/>
          <w:szCs w:val="26"/>
        </w:rPr>
        <w:t>with the arguments of Blue Pilot</w:t>
      </w:r>
      <w:r w:rsidR="00C27A7E">
        <w:rPr>
          <w:sz w:val="26"/>
          <w:szCs w:val="26"/>
        </w:rPr>
        <w:t xml:space="preserve">.  Accordingly, we </w:t>
      </w:r>
      <w:r w:rsidR="00817A01">
        <w:rPr>
          <w:sz w:val="26"/>
          <w:szCs w:val="26"/>
        </w:rPr>
        <w:t xml:space="preserve">shall </w:t>
      </w:r>
      <w:r w:rsidR="00817A01" w:rsidRPr="00CB0558">
        <w:rPr>
          <w:sz w:val="26"/>
          <w:szCs w:val="26"/>
        </w:rPr>
        <w:t xml:space="preserve">grant </w:t>
      </w:r>
      <w:r w:rsidR="00817A01">
        <w:rPr>
          <w:sz w:val="26"/>
          <w:szCs w:val="26"/>
        </w:rPr>
        <w:t>the company’s</w:t>
      </w:r>
      <w:r w:rsidR="00817A01" w:rsidRPr="00CB0558">
        <w:rPr>
          <w:sz w:val="26"/>
          <w:szCs w:val="26"/>
        </w:rPr>
        <w:t xml:space="preserve"> </w:t>
      </w:r>
      <w:r w:rsidR="00817A01">
        <w:rPr>
          <w:sz w:val="26"/>
          <w:szCs w:val="26"/>
        </w:rPr>
        <w:t>E</w:t>
      </w:r>
      <w:r w:rsidR="00817A01" w:rsidRPr="00CB0558">
        <w:rPr>
          <w:sz w:val="26"/>
          <w:szCs w:val="26"/>
        </w:rPr>
        <w:t>xception</w:t>
      </w:r>
      <w:r w:rsidR="00C27A7E">
        <w:rPr>
          <w:sz w:val="26"/>
          <w:szCs w:val="26"/>
        </w:rPr>
        <w:t xml:space="preserve"> and reverse the ALJs’ Initial Decision on this issue</w:t>
      </w:r>
      <w:r w:rsidR="00817A01">
        <w:rPr>
          <w:sz w:val="26"/>
          <w:szCs w:val="26"/>
        </w:rPr>
        <w:t>, consistent with our discussion herein</w:t>
      </w:r>
      <w:r w:rsidR="00817A01" w:rsidRPr="00CB0558">
        <w:rPr>
          <w:sz w:val="26"/>
          <w:szCs w:val="26"/>
        </w:rPr>
        <w:t>.</w:t>
      </w:r>
    </w:p>
    <w:p w:rsidR="00817A01" w:rsidRDefault="00817A01" w:rsidP="00817A01">
      <w:pPr>
        <w:kinsoku w:val="0"/>
        <w:overflowPunct w:val="0"/>
        <w:textAlignment w:val="baseline"/>
        <w:rPr>
          <w:sz w:val="26"/>
          <w:szCs w:val="26"/>
        </w:rPr>
      </w:pPr>
    </w:p>
    <w:p w:rsidR="00817A01" w:rsidRDefault="00817A01" w:rsidP="006B5D0D">
      <w:pPr>
        <w:keepNext/>
        <w:keepLines/>
        <w:kinsoku w:val="0"/>
        <w:overflowPunct w:val="0"/>
        <w:textAlignment w:val="baseline"/>
        <w:rPr>
          <w:sz w:val="26"/>
          <w:szCs w:val="26"/>
        </w:rPr>
      </w:pPr>
      <w:r>
        <w:rPr>
          <w:sz w:val="26"/>
          <w:szCs w:val="26"/>
        </w:rPr>
        <w:t>We are doubtful that, under the facts of this Joint Complaint, we</w:t>
      </w:r>
      <w:r w:rsidRPr="00CB0558">
        <w:rPr>
          <w:sz w:val="26"/>
          <w:szCs w:val="26"/>
        </w:rPr>
        <w:t xml:space="preserve"> have the authority to permanently bar Blue Pilot owners, managers, and officers from participating in Pennsylvania</w:t>
      </w:r>
      <w:r>
        <w:rPr>
          <w:sz w:val="26"/>
          <w:szCs w:val="26"/>
        </w:rPr>
        <w:t>’</w:t>
      </w:r>
      <w:r w:rsidRPr="00CB0558">
        <w:rPr>
          <w:sz w:val="26"/>
          <w:szCs w:val="26"/>
        </w:rPr>
        <w:t>s competitive energy market.</w:t>
      </w:r>
      <w:r>
        <w:rPr>
          <w:sz w:val="26"/>
          <w:szCs w:val="26"/>
        </w:rPr>
        <w:t xml:space="preserve"> </w:t>
      </w:r>
      <w:r w:rsidRPr="00CB0558">
        <w:rPr>
          <w:sz w:val="26"/>
          <w:szCs w:val="26"/>
        </w:rPr>
        <w:t xml:space="preserve"> Moreover, taking such action against these individuals would not be consistent with </w:t>
      </w:r>
      <w:r>
        <w:rPr>
          <w:sz w:val="26"/>
          <w:szCs w:val="26"/>
        </w:rPr>
        <w:t xml:space="preserve">principles of </w:t>
      </w:r>
      <w:r w:rsidRPr="00CB0558">
        <w:rPr>
          <w:sz w:val="26"/>
          <w:szCs w:val="26"/>
        </w:rPr>
        <w:t>due process.</w:t>
      </w:r>
      <w:r>
        <w:rPr>
          <w:sz w:val="26"/>
          <w:szCs w:val="26"/>
        </w:rPr>
        <w:t xml:space="preserve"> </w:t>
      </w:r>
      <w:r w:rsidRPr="00CB0558">
        <w:rPr>
          <w:sz w:val="26"/>
          <w:szCs w:val="26"/>
        </w:rPr>
        <w:t xml:space="preserve"> </w:t>
      </w:r>
      <w:r>
        <w:rPr>
          <w:sz w:val="26"/>
          <w:szCs w:val="26"/>
        </w:rPr>
        <w:t>We</w:t>
      </w:r>
      <w:r w:rsidRPr="00CB0558">
        <w:rPr>
          <w:sz w:val="26"/>
          <w:szCs w:val="26"/>
        </w:rPr>
        <w:t xml:space="preserve"> note that </w:t>
      </w:r>
      <w:r>
        <w:rPr>
          <w:sz w:val="26"/>
          <w:szCs w:val="26"/>
        </w:rPr>
        <w:t xml:space="preserve">the </w:t>
      </w:r>
      <w:r w:rsidRPr="00CB0558">
        <w:rPr>
          <w:sz w:val="26"/>
          <w:szCs w:val="26"/>
        </w:rPr>
        <w:t xml:space="preserve">individual officers of Blue Pilot, </w:t>
      </w:r>
      <w:r>
        <w:rPr>
          <w:sz w:val="26"/>
          <w:szCs w:val="26"/>
        </w:rPr>
        <w:t xml:space="preserve">its managers, owners, </w:t>
      </w:r>
      <w:r w:rsidRPr="00CB0558">
        <w:rPr>
          <w:sz w:val="26"/>
          <w:szCs w:val="26"/>
        </w:rPr>
        <w:t>etc.</w:t>
      </w:r>
      <w:r>
        <w:rPr>
          <w:sz w:val="26"/>
          <w:szCs w:val="26"/>
        </w:rPr>
        <w:t>,</w:t>
      </w:r>
      <w:r w:rsidRPr="00CB0558">
        <w:rPr>
          <w:sz w:val="26"/>
          <w:szCs w:val="26"/>
        </w:rPr>
        <w:t xml:space="preserve"> have not been named or </w:t>
      </w:r>
      <w:r w:rsidRPr="00967552">
        <w:rPr>
          <w:sz w:val="26"/>
          <w:szCs w:val="26"/>
        </w:rPr>
        <w:t>otherwise involved in their individual capacities in this proceeding.</w:t>
      </w:r>
      <w:r w:rsidR="00967552" w:rsidRPr="00967552">
        <w:rPr>
          <w:sz w:val="26"/>
          <w:szCs w:val="26"/>
        </w:rPr>
        <w:t xml:space="preserve">  Therefore, the </w:t>
      </w:r>
      <w:proofErr w:type="gramStart"/>
      <w:r w:rsidR="00935028">
        <w:rPr>
          <w:sz w:val="26"/>
          <w:szCs w:val="26"/>
        </w:rPr>
        <w:t>particular facts</w:t>
      </w:r>
      <w:proofErr w:type="gramEnd"/>
      <w:r w:rsidR="00935028">
        <w:rPr>
          <w:sz w:val="26"/>
          <w:szCs w:val="26"/>
        </w:rPr>
        <w:t xml:space="preserve"> in this case</w:t>
      </w:r>
      <w:r w:rsidR="00967552" w:rsidRPr="00967552">
        <w:rPr>
          <w:sz w:val="26"/>
          <w:szCs w:val="26"/>
        </w:rPr>
        <w:t xml:space="preserve"> </w:t>
      </w:r>
      <w:r w:rsidR="004762D4">
        <w:rPr>
          <w:sz w:val="26"/>
          <w:szCs w:val="26"/>
        </w:rPr>
        <w:t xml:space="preserve">do </w:t>
      </w:r>
      <w:r w:rsidR="00967552" w:rsidRPr="00967552">
        <w:rPr>
          <w:sz w:val="26"/>
          <w:szCs w:val="26"/>
        </w:rPr>
        <w:t>not support permanently barring Blue Pilot owners, managers, and officers from participating in Pennsylvania’s competitive energy market</w:t>
      </w:r>
      <w:r w:rsidR="00967552">
        <w:rPr>
          <w:sz w:val="26"/>
          <w:szCs w:val="26"/>
        </w:rPr>
        <w:t>.</w:t>
      </w:r>
    </w:p>
    <w:p w:rsidR="00817A01" w:rsidRPr="00CB0558" w:rsidRDefault="00817A01" w:rsidP="006B5D0D">
      <w:pPr>
        <w:keepNext/>
        <w:keepLines/>
        <w:kinsoku w:val="0"/>
        <w:overflowPunct w:val="0"/>
        <w:textAlignment w:val="baseline"/>
        <w:rPr>
          <w:sz w:val="26"/>
          <w:szCs w:val="26"/>
        </w:rPr>
      </w:pPr>
    </w:p>
    <w:p w:rsidR="00817A01" w:rsidRDefault="00817A01" w:rsidP="00817A01">
      <w:pPr>
        <w:kinsoku w:val="0"/>
        <w:overflowPunct w:val="0"/>
        <w:textAlignment w:val="baseline"/>
        <w:rPr>
          <w:sz w:val="26"/>
          <w:szCs w:val="26"/>
        </w:rPr>
      </w:pPr>
      <w:r>
        <w:rPr>
          <w:sz w:val="26"/>
          <w:szCs w:val="26"/>
        </w:rPr>
        <w:t>We emphasize</w:t>
      </w:r>
      <w:r w:rsidRPr="00CB0558">
        <w:rPr>
          <w:sz w:val="26"/>
          <w:szCs w:val="26"/>
        </w:rPr>
        <w:t>, however, that with any future EGS application filed at the Commission by or associated with the owners, officers, directors, or managers of Blue Pilot, the applicant</w:t>
      </w:r>
      <w:r>
        <w:rPr>
          <w:sz w:val="26"/>
          <w:szCs w:val="26"/>
        </w:rPr>
        <w:t>(s)</w:t>
      </w:r>
      <w:r w:rsidRPr="00CB0558">
        <w:rPr>
          <w:sz w:val="26"/>
          <w:szCs w:val="26"/>
        </w:rPr>
        <w:t xml:space="preserve"> will be required to demonstrate </w:t>
      </w:r>
      <w:r>
        <w:rPr>
          <w:sz w:val="26"/>
          <w:szCs w:val="26"/>
        </w:rPr>
        <w:t>that they</w:t>
      </w:r>
      <w:r w:rsidRPr="00CB0558">
        <w:rPr>
          <w:sz w:val="26"/>
          <w:szCs w:val="26"/>
        </w:rPr>
        <w:t xml:space="preserve"> </w:t>
      </w:r>
      <w:r>
        <w:rPr>
          <w:sz w:val="26"/>
          <w:szCs w:val="26"/>
        </w:rPr>
        <w:t xml:space="preserve">are </w:t>
      </w:r>
      <w:r w:rsidRPr="00CB0558">
        <w:rPr>
          <w:sz w:val="26"/>
          <w:szCs w:val="26"/>
        </w:rPr>
        <w:t>technically, financially, and legally fit to operate.</w:t>
      </w:r>
      <w:r>
        <w:rPr>
          <w:sz w:val="26"/>
          <w:szCs w:val="26"/>
        </w:rPr>
        <w:t xml:space="preserve">  </w:t>
      </w:r>
      <w:r>
        <w:rPr>
          <w:i/>
          <w:sz w:val="26"/>
          <w:szCs w:val="26"/>
        </w:rPr>
        <w:t xml:space="preserve">See </w:t>
      </w:r>
      <w:r w:rsidRPr="006A67E4">
        <w:rPr>
          <w:sz w:val="26"/>
          <w:szCs w:val="26"/>
        </w:rPr>
        <w:t>52 Pa. Code §</w:t>
      </w:r>
      <w:r>
        <w:rPr>
          <w:sz w:val="26"/>
          <w:szCs w:val="26"/>
        </w:rPr>
        <w:t>§</w:t>
      </w:r>
      <w:r w:rsidRPr="006A67E4">
        <w:rPr>
          <w:sz w:val="26"/>
          <w:szCs w:val="26"/>
        </w:rPr>
        <w:t xml:space="preserve"> 54.33(a)(</w:t>
      </w:r>
      <w:r>
        <w:rPr>
          <w:sz w:val="26"/>
          <w:szCs w:val="26"/>
        </w:rPr>
        <w:t>6</w:t>
      </w:r>
      <w:r w:rsidRPr="006A67E4">
        <w:rPr>
          <w:sz w:val="26"/>
          <w:szCs w:val="26"/>
        </w:rPr>
        <w:t>)</w:t>
      </w:r>
      <w:r>
        <w:rPr>
          <w:sz w:val="26"/>
          <w:szCs w:val="26"/>
        </w:rPr>
        <w:t>-(8)</w:t>
      </w:r>
      <w:r w:rsidRPr="006A67E4">
        <w:rPr>
          <w:sz w:val="26"/>
          <w:szCs w:val="26"/>
        </w:rPr>
        <w:t xml:space="preserve">.  </w:t>
      </w:r>
      <w:r>
        <w:rPr>
          <w:sz w:val="26"/>
          <w:szCs w:val="26"/>
        </w:rPr>
        <w:t>We</w:t>
      </w:r>
      <w:r w:rsidRPr="00CB0558">
        <w:rPr>
          <w:sz w:val="26"/>
          <w:szCs w:val="26"/>
        </w:rPr>
        <w:t xml:space="preserve"> further note that the </w:t>
      </w:r>
      <w:r w:rsidRPr="00CB0558">
        <w:rPr>
          <w:sz w:val="26"/>
          <w:szCs w:val="26"/>
        </w:rPr>
        <w:lastRenderedPageBreak/>
        <w:t>Commission is free to scrutinize the involvement of Blue Pilot</w:t>
      </w:r>
      <w:r>
        <w:rPr>
          <w:sz w:val="26"/>
          <w:szCs w:val="26"/>
        </w:rPr>
        <w:t>’</w:t>
      </w:r>
      <w:r w:rsidRPr="00CB0558">
        <w:rPr>
          <w:sz w:val="26"/>
          <w:szCs w:val="26"/>
        </w:rPr>
        <w:t>s owners, officers, directors, or managers when adjudicating any future application, and has the discretion to either deny, approve, or conditionally approve such an application.</w:t>
      </w:r>
    </w:p>
    <w:p w:rsidR="00817A01" w:rsidRPr="00CB0558" w:rsidRDefault="00817A01" w:rsidP="00817A01">
      <w:pPr>
        <w:kinsoku w:val="0"/>
        <w:overflowPunct w:val="0"/>
        <w:textAlignment w:val="baseline"/>
        <w:rPr>
          <w:sz w:val="26"/>
          <w:szCs w:val="26"/>
        </w:rPr>
      </w:pPr>
    </w:p>
    <w:p w:rsidR="002C0B53" w:rsidRPr="00817A01" w:rsidRDefault="004D488A" w:rsidP="00817A01">
      <w:pPr>
        <w:kinsoku w:val="0"/>
        <w:overflowPunct w:val="0"/>
        <w:textAlignment w:val="baseline"/>
        <w:rPr>
          <w:sz w:val="26"/>
          <w:szCs w:val="26"/>
        </w:rPr>
      </w:pPr>
      <w:proofErr w:type="gramStart"/>
      <w:r>
        <w:rPr>
          <w:sz w:val="26"/>
          <w:szCs w:val="26"/>
        </w:rPr>
        <w:t>With regard to</w:t>
      </w:r>
      <w:proofErr w:type="gramEnd"/>
      <w:r>
        <w:rPr>
          <w:sz w:val="26"/>
          <w:szCs w:val="26"/>
        </w:rPr>
        <w:t xml:space="preserve"> the recommended revocation of Blue Pilot’s EGS License by the ALJs, we</w:t>
      </w:r>
      <w:r w:rsidR="00817A01" w:rsidRPr="00CB0558">
        <w:rPr>
          <w:sz w:val="26"/>
          <w:szCs w:val="26"/>
        </w:rPr>
        <w:t xml:space="preserve"> agree</w:t>
      </w:r>
      <w:r>
        <w:rPr>
          <w:sz w:val="26"/>
          <w:szCs w:val="26"/>
        </w:rPr>
        <w:t xml:space="preserve"> with the ALJ that Blue Pilot’s license should be revoked; however, w</w:t>
      </w:r>
      <w:r w:rsidR="00817A01">
        <w:rPr>
          <w:sz w:val="26"/>
          <w:szCs w:val="26"/>
        </w:rPr>
        <w:t>e do not agree</w:t>
      </w:r>
      <w:r>
        <w:rPr>
          <w:sz w:val="26"/>
          <w:szCs w:val="26"/>
        </w:rPr>
        <w:t xml:space="preserve"> that the license should be </w:t>
      </w:r>
      <w:r w:rsidR="00817A01">
        <w:rPr>
          <w:sz w:val="26"/>
          <w:szCs w:val="26"/>
        </w:rPr>
        <w:t>“</w:t>
      </w:r>
      <w:r w:rsidR="00817A01" w:rsidRPr="00CB0558">
        <w:rPr>
          <w:sz w:val="26"/>
          <w:szCs w:val="26"/>
        </w:rPr>
        <w:t>permanently</w:t>
      </w:r>
      <w:r w:rsidR="00817A01">
        <w:rPr>
          <w:sz w:val="26"/>
          <w:szCs w:val="26"/>
        </w:rPr>
        <w:t>”</w:t>
      </w:r>
      <w:r w:rsidR="00817A01" w:rsidRPr="00CB0558">
        <w:rPr>
          <w:sz w:val="26"/>
          <w:szCs w:val="26"/>
        </w:rPr>
        <w:t xml:space="preserve"> revok</w:t>
      </w:r>
      <w:r>
        <w:rPr>
          <w:sz w:val="26"/>
          <w:szCs w:val="26"/>
        </w:rPr>
        <w:t xml:space="preserve">ed because </w:t>
      </w:r>
      <w:r w:rsidR="00817A01" w:rsidRPr="00CB0558">
        <w:rPr>
          <w:sz w:val="26"/>
          <w:szCs w:val="26"/>
        </w:rPr>
        <w:t xml:space="preserve">our licensing </w:t>
      </w:r>
      <w:r w:rsidR="00661EE2">
        <w:rPr>
          <w:sz w:val="26"/>
          <w:szCs w:val="26"/>
        </w:rPr>
        <w:t>r</w:t>
      </w:r>
      <w:r w:rsidR="00817A01" w:rsidRPr="00CB0558">
        <w:rPr>
          <w:sz w:val="26"/>
          <w:szCs w:val="26"/>
        </w:rPr>
        <w:t xml:space="preserve">egulations do not provide for a permanent revocation of an EGS license. </w:t>
      </w:r>
      <w:r w:rsidR="00817A01">
        <w:rPr>
          <w:sz w:val="26"/>
          <w:szCs w:val="26"/>
        </w:rPr>
        <w:t xml:space="preserve"> </w:t>
      </w:r>
      <w:r w:rsidR="00817A01" w:rsidRPr="00CB0558">
        <w:rPr>
          <w:sz w:val="26"/>
          <w:szCs w:val="26"/>
        </w:rPr>
        <w:t xml:space="preserve">Nevertheless, part of the license application process includes </w:t>
      </w:r>
      <w:r w:rsidR="00817A01">
        <w:rPr>
          <w:sz w:val="26"/>
          <w:szCs w:val="26"/>
        </w:rPr>
        <w:t>consideration of “</w:t>
      </w:r>
      <w:r w:rsidR="00817A01" w:rsidRPr="00CB0558">
        <w:rPr>
          <w:sz w:val="26"/>
          <w:szCs w:val="26"/>
        </w:rPr>
        <w:t>evidence of information demonstrating the applicant</w:t>
      </w:r>
      <w:r w:rsidR="00817A01">
        <w:rPr>
          <w:sz w:val="26"/>
          <w:szCs w:val="26"/>
        </w:rPr>
        <w:t>’</w:t>
      </w:r>
      <w:r w:rsidR="00817A01" w:rsidRPr="00CB0558">
        <w:rPr>
          <w:sz w:val="26"/>
          <w:szCs w:val="26"/>
        </w:rPr>
        <w:t>s ability to comply with Commission</w:t>
      </w:r>
      <w:r w:rsidR="00C97630">
        <w:rPr>
          <w:sz w:val="26"/>
          <w:szCs w:val="26"/>
        </w:rPr>
        <w:t>’</w:t>
      </w:r>
      <w:r w:rsidR="00817A01" w:rsidRPr="00CB0558">
        <w:rPr>
          <w:sz w:val="26"/>
          <w:szCs w:val="26"/>
        </w:rPr>
        <w:t>s applicable requirements concerning customer billing, . .</w:t>
      </w:r>
      <w:r w:rsidR="00C97630">
        <w:rPr>
          <w:sz w:val="26"/>
          <w:szCs w:val="26"/>
        </w:rPr>
        <w:t xml:space="preserve"> .</w:t>
      </w:r>
      <w:r w:rsidR="00817A01" w:rsidRPr="00CB0558">
        <w:rPr>
          <w:sz w:val="26"/>
          <w:szCs w:val="26"/>
        </w:rPr>
        <w:t xml:space="preserve"> and terms of service . . . .</w:t>
      </w:r>
      <w:r w:rsidR="00817A01">
        <w:rPr>
          <w:sz w:val="26"/>
          <w:szCs w:val="26"/>
        </w:rPr>
        <w:t xml:space="preserve">”  </w:t>
      </w:r>
      <w:r w:rsidR="00817A01" w:rsidRPr="006A67E4">
        <w:rPr>
          <w:sz w:val="26"/>
          <w:szCs w:val="26"/>
        </w:rPr>
        <w:t>52 Pa. Code §</w:t>
      </w:r>
      <w:r w:rsidR="00C97630">
        <w:rPr>
          <w:sz w:val="26"/>
          <w:szCs w:val="26"/>
        </w:rPr>
        <w:t> </w:t>
      </w:r>
      <w:r w:rsidR="00817A01" w:rsidRPr="006A67E4">
        <w:rPr>
          <w:sz w:val="26"/>
          <w:szCs w:val="26"/>
        </w:rPr>
        <w:t>54.33(a)</w:t>
      </w:r>
      <w:r w:rsidR="00817A01">
        <w:rPr>
          <w:sz w:val="26"/>
          <w:szCs w:val="26"/>
        </w:rPr>
        <w:t>(8)</w:t>
      </w:r>
      <w:r w:rsidR="00817A01" w:rsidRPr="006A67E4">
        <w:rPr>
          <w:sz w:val="26"/>
          <w:szCs w:val="26"/>
        </w:rPr>
        <w:t xml:space="preserve">.  </w:t>
      </w:r>
      <w:r w:rsidR="00C97630">
        <w:rPr>
          <w:sz w:val="26"/>
          <w:szCs w:val="26"/>
        </w:rPr>
        <w:t xml:space="preserve">Should </w:t>
      </w:r>
      <w:r w:rsidR="00817A01" w:rsidRPr="00CB0558">
        <w:rPr>
          <w:sz w:val="26"/>
          <w:szCs w:val="26"/>
        </w:rPr>
        <w:t xml:space="preserve">Blue Pilot apply for an EGS license </w:t>
      </w:r>
      <w:r w:rsidR="00817A01">
        <w:rPr>
          <w:sz w:val="26"/>
          <w:szCs w:val="26"/>
        </w:rPr>
        <w:t>in the future,</w:t>
      </w:r>
      <w:r w:rsidR="00817A01" w:rsidRPr="00CB0558">
        <w:rPr>
          <w:sz w:val="26"/>
          <w:szCs w:val="26"/>
        </w:rPr>
        <w:t xml:space="preserve"> th</w:t>
      </w:r>
      <w:r w:rsidR="00C97630">
        <w:rPr>
          <w:sz w:val="26"/>
          <w:szCs w:val="26"/>
        </w:rPr>
        <w:t xml:space="preserve">is </w:t>
      </w:r>
      <w:r w:rsidR="00817A01" w:rsidRPr="00CB0558">
        <w:rPr>
          <w:sz w:val="26"/>
          <w:szCs w:val="26"/>
        </w:rPr>
        <w:t xml:space="preserve">Commission </w:t>
      </w:r>
      <w:r w:rsidR="0041258E">
        <w:rPr>
          <w:sz w:val="26"/>
          <w:szCs w:val="26"/>
        </w:rPr>
        <w:t xml:space="preserve">will be able to </w:t>
      </w:r>
      <w:r w:rsidR="00817A01" w:rsidRPr="00CB0558">
        <w:rPr>
          <w:sz w:val="26"/>
          <w:szCs w:val="26"/>
        </w:rPr>
        <w:t xml:space="preserve">consider </w:t>
      </w:r>
      <w:r w:rsidR="0041258E">
        <w:rPr>
          <w:sz w:val="26"/>
          <w:szCs w:val="26"/>
        </w:rPr>
        <w:t xml:space="preserve">Blue Pilots </w:t>
      </w:r>
      <w:r w:rsidR="00817A01" w:rsidRPr="00CB0558">
        <w:rPr>
          <w:sz w:val="26"/>
          <w:szCs w:val="26"/>
        </w:rPr>
        <w:t>past billing violations when determining whether to deny, approve, or conditionally approve any application.</w:t>
      </w:r>
    </w:p>
    <w:p w:rsidR="00367A7C" w:rsidRPr="00001309" w:rsidRDefault="00367A7C" w:rsidP="00A107E1">
      <w:pPr>
        <w:autoSpaceDE w:val="0"/>
        <w:autoSpaceDN w:val="0"/>
        <w:rPr>
          <w:rFonts w:eastAsia="Calibri"/>
          <w:sz w:val="26"/>
        </w:rPr>
      </w:pPr>
    </w:p>
    <w:p w:rsidR="00F72DC5" w:rsidRPr="00437FA1" w:rsidRDefault="00F72DC5" w:rsidP="008D34CA">
      <w:pPr>
        <w:pStyle w:val="Heading2"/>
        <w:spacing w:before="0"/>
        <w:ind w:firstLine="0"/>
        <w:rPr>
          <w:rFonts w:ascii="Times New Roman" w:eastAsia="Calibri" w:hAnsi="Times New Roman" w:cs="Times New Roman"/>
          <w:b/>
          <w:color w:val="auto"/>
        </w:rPr>
      </w:pPr>
      <w:bookmarkStart w:id="36" w:name="_Toc517831043"/>
      <w:r w:rsidRPr="00437FA1">
        <w:rPr>
          <w:rFonts w:ascii="Times New Roman" w:eastAsia="Calibri" w:hAnsi="Times New Roman" w:cs="Times New Roman"/>
          <w:b/>
          <w:color w:val="auto"/>
        </w:rPr>
        <w:t>L.</w:t>
      </w:r>
      <w:r w:rsidRPr="00437FA1">
        <w:rPr>
          <w:rFonts w:ascii="Times New Roman" w:eastAsia="Calibri" w:hAnsi="Times New Roman" w:cs="Times New Roman"/>
          <w:b/>
          <w:color w:val="auto"/>
        </w:rPr>
        <w:tab/>
        <w:t>Mandatory Contribution to Hardship Fund</w:t>
      </w:r>
      <w:bookmarkEnd w:id="36"/>
    </w:p>
    <w:p w:rsidR="00F72DC5" w:rsidRPr="00001309" w:rsidRDefault="00F72DC5" w:rsidP="00F72DC5">
      <w:pPr>
        <w:keepNext/>
        <w:keepLines/>
        <w:autoSpaceDE w:val="0"/>
        <w:autoSpaceDN w:val="0"/>
        <w:rPr>
          <w:rFonts w:eastAsia="Calibri"/>
          <w:sz w:val="26"/>
        </w:rPr>
      </w:pPr>
    </w:p>
    <w:p w:rsidR="00F72DC5" w:rsidRDefault="00F72DC5" w:rsidP="00F72DC5">
      <w:pPr>
        <w:autoSpaceDE w:val="0"/>
        <w:autoSpaceDN w:val="0"/>
        <w:rPr>
          <w:rFonts w:eastAsia="Calibri"/>
          <w:sz w:val="26"/>
        </w:rPr>
      </w:pPr>
      <w:r w:rsidRPr="00001309">
        <w:rPr>
          <w:rFonts w:eastAsia="Calibri"/>
          <w:sz w:val="26"/>
        </w:rPr>
        <w:t>No Exceptions were filed concerning this matter</w:t>
      </w:r>
      <w:r w:rsidR="00817A01">
        <w:rPr>
          <w:rFonts w:eastAsia="Calibri"/>
          <w:sz w:val="26"/>
        </w:rPr>
        <w:t xml:space="preserve"> and</w:t>
      </w:r>
      <w:r w:rsidRPr="00001309">
        <w:rPr>
          <w:rFonts w:eastAsia="Calibri"/>
          <w:sz w:val="26"/>
        </w:rPr>
        <w:t xml:space="preserve"> we shall adopt the ALJs’ rejection of a mandatory contribution to the EDC Hardship Fund.</w:t>
      </w:r>
    </w:p>
    <w:p w:rsidR="00817A01" w:rsidRPr="00001309" w:rsidRDefault="00817A01" w:rsidP="00F72DC5">
      <w:pPr>
        <w:autoSpaceDE w:val="0"/>
        <w:autoSpaceDN w:val="0"/>
        <w:rPr>
          <w:rFonts w:eastAsia="Calibri"/>
          <w:sz w:val="26"/>
        </w:rPr>
      </w:pPr>
    </w:p>
    <w:p w:rsidR="00F72DC5" w:rsidRPr="00437FA1" w:rsidRDefault="00F72DC5" w:rsidP="008D34CA">
      <w:pPr>
        <w:pStyle w:val="Heading2"/>
        <w:spacing w:before="0"/>
        <w:ind w:firstLine="0"/>
        <w:rPr>
          <w:rFonts w:ascii="Times New Roman" w:eastAsia="Calibri" w:hAnsi="Times New Roman" w:cs="Times New Roman"/>
          <w:b/>
          <w:color w:val="auto"/>
        </w:rPr>
      </w:pPr>
      <w:bookmarkStart w:id="37" w:name="_Toc517831044"/>
      <w:r w:rsidRPr="00437FA1">
        <w:rPr>
          <w:rFonts w:ascii="Times New Roman" w:eastAsia="Calibri" w:hAnsi="Times New Roman" w:cs="Times New Roman"/>
          <w:b/>
          <w:color w:val="auto"/>
        </w:rPr>
        <w:t>M.</w:t>
      </w:r>
      <w:r w:rsidRPr="00437FA1">
        <w:rPr>
          <w:rFonts w:ascii="Times New Roman" w:eastAsia="Calibri" w:hAnsi="Times New Roman" w:cs="Times New Roman"/>
          <w:b/>
          <w:color w:val="auto"/>
        </w:rPr>
        <w:tab/>
        <w:t>Re</w:t>
      </w:r>
      <w:r w:rsidR="00D32456">
        <w:rPr>
          <w:rFonts w:ascii="Times New Roman" w:eastAsia="Calibri" w:hAnsi="Times New Roman" w:cs="Times New Roman"/>
          <w:b/>
          <w:color w:val="auto"/>
        </w:rPr>
        <w:t>funds</w:t>
      </w:r>
      <w:bookmarkEnd w:id="37"/>
    </w:p>
    <w:p w:rsidR="00F72DC5" w:rsidRPr="00001309" w:rsidRDefault="00F72DC5" w:rsidP="00F72DC5">
      <w:pPr>
        <w:keepNext/>
        <w:keepLines/>
        <w:autoSpaceDE w:val="0"/>
        <w:autoSpaceDN w:val="0"/>
        <w:rPr>
          <w:rFonts w:eastAsia="Calibri"/>
          <w:sz w:val="26"/>
          <w:szCs w:val="26"/>
        </w:rPr>
      </w:pPr>
    </w:p>
    <w:p w:rsidR="00F72DC5" w:rsidRPr="00001309" w:rsidRDefault="00F72DC5" w:rsidP="008D34CA">
      <w:pPr>
        <w:keepNext/>
        <w:keepLines/>
        <w:autoSpaceDE w:val="0"/>
        <w:autoSpaceDN w:val="0"/>
        <w:ind w:firstLine="720"/>
        <w:rPr>
          <w:rFonts w:eastAsia="Calibri"/>
          <w:b/>
          <w:sz w:val="26"/>
          <w:szCs w:val="26"/>
        </w:rPr>
      </w:pPr>
      <w:r w:rsidRPr="00001309">
        <w:rPr>
          <w:rFonts w:eastAsia="Calibri"/>
          <w:b/>
          <w:sz w:val="26"/>
          <w:szCs w:val="26"/>
        </w:rPr>
        <w:t>1.</w:t>
      </w:r>
      <w:r w:rsidRPr="00001309">
        <w:rPr>
          <w:rFonts w:eastAsia="Calibri"/>
          <w:b/>
          <w:sz w:val="26"/>
          <w:szCs w:val="26"/>
        </w:rPr>
        <w:tab/>
        <w:t xml:space="preserve">ALJs’ Recommendations </w:t>
      </w:r>
    </w:p>
    <w:p w:rsidR="00F72DC5" w:rsidRPr="00001309" w:rsidRDefault="00F72DC5" w:rsidP="00F72DC5">
      <w:pPr>
        <w:keepNext/>
        <w:keepLines/>
        <w:autoSpaceDE w:val="0"/>
        <w:autoSpaceDN w:val="0"/>
        <w:rPr>
          <w:rFonts w:eastAsia="Calibri"/>
          <w:sz w:val="26"/>
          <w:szCs w:val="26"/>
        </w:rPr>
      </w:pPr>
    </w:p>
    <w:p w:rsidR="00F72DC5" w:rsidRPr="00001309" w:rsidRDefault="00F72DC5" w:rsidP="00F72DC5">
      <w:pPr>
        <w:autoSpaceDE w:val="0"/>
        <w:autoSpaceDN w:val="0"/>
        <w:rPr>
          <w:rFonts w:eastAsia="Calibri"/>
          <w:sz w:val="26"/>
          <w:szCs w:val="26"/>
        </w:rPr>
      </w:pPr>
      <w:r w:rsidRPr="00001309">
        <w:rPr>
          <w:rFonts w:eastAsia="Calibri"/>
          <w:sz w:val="26"/>
          <w:szCs w:val="26"/>
        </w:rPr>
        <w:t xml:space="preserve">At page 122 of the Initial Decision, in discussing the </w:t>
      </w:r>
      <w:r w:rsidRPr="00001309">
        <w:rPr>
          <w:rFonts w:eastAsia="Calibri"/>
          <w:i/>
          <w:sz w:val="26"/>
          <w:szCs w:val="26"/>
        </w:rPr>
        <w:t xml:space="preserve">Rosi </w:t>
      </w:r>
      <w:r w:rsidRPr="00001309">
        <w:rPr>
          <w:rFonts w:eastAsia="Calibri"/>
          <w:sz w:val="26"/>
          <w:szCs w:val="26"/>
        </w:rPr>
        <w:t>factors, the derivation of the recommended rebilling amount is set forth as follows:</w:t>
      </w:r>
    </w:p>
    <w:p w:rsidR="00F72DC5" w:rsidRPr="00001309" w:rsidRDefault="00F72DC5" w:rsidP="00F72DC5">
      <w:pPr>
        <w:autoSpaceDE w:val="0"/>
        <w:autoSpaceDN w:val="0"/>
        <w:rPr>
          <w:rFonts w:eastAsia="Calibri"/>
          <w:sz w:val="26"/>
          <w:szCs w:val="26"/>
        </w:rPr>
      </w:pPr>
    </w:p>
    <w:p w:rsidR="00F72DC5" w:rsidRPr="00001309" w:rsidRDefault="00F72DC5" w:rsidP="00F72DC5">
      <w:pPr>
        <w:autoSpaceDE w:val="0"/>
        <w:autoSpaceDN w:val="0"/>
        <w:adjustRightInd w:val="0"/>
        <w:spacing w:line="240" w:lineRule="auto"/>
        <w:ind w:left="1440" w:right="1440" w:firstLine="720"/>
        <w:rPr>
          <w:rFonts w:eastAsia="Calibri"/>
          <w:spacing w:val="0"/>
          <w:sz w:val="26"/>
          <w:szCs w:val="26"/>
        </w:rPr>
      </w:pPr>
      <w:r w:rsidRPr="00001309">
        <w:rPr>
          <w:rFonts w:eastAsia="Calibri"/>
          <w:spacing w:val="0"/>
          <w:sz w:val="26"/>
          <w:szCs w:val="26"/>
        </w:rPr>
        <w:t xml:space="preserve">Rather than relying on the number of customers billed in January 2014 of 2,607, since that figure includes bills </w:t>
      </w:r>
      <w:r w:rsidRPr="00001309">
        <w:rPr>
          <w:rFonts w:eastAsia="Calibri"/>
          <w:spacing w:val="0"/>
          <w:sz w:val="26"/>
          <w:szCs w:val="26"/>
        </w:rPr>
        <w:lastRenderedPageBreak/>
        <w:t xml:space="preserve">reflecting Blue Pilot rates below the PTC and some above, it is more accurate to base a finding of violations of Section 54.4(a) upon the number of overbilled customers or the number of occurrences of when the customer was billed a rate in excess of the PTC (overbilling during the period of </w:t>
      </w:r>
      <w:proofErr w:type="gramStart"/>
      <w:r w:rsidRPr="00001309">
        <w:rPr>
          <w:rFonts w:eastAsia="Calibri"/>
          <w:spacing w:val="0"/>
          <w:sz w:val="26"/>
          <w:szCs w:val="26"/>
        </w:rPr>
        <w:t>December,</w:t>
      </w:r>
      <w:proofErr w:type="gramEnd"/>
      <w:r w:rsidRPr="00001309">
        <w:rPr>
          <w:rFonts w:eastAsia="Calibri"/>
          <w:spacing w:val="0"/>
          <w:sz w:val="26"/>
          <w:szCs w:val="26"/>
        </w:rPr>
        <w:t xml:space="preserve"> 2013 – March, 2014).  Based upon Ms. Everette’s testimony, Blue Pilot had an average number of residential and small business customers of approximately 2,516 during the time period of </w:t>
      </w:r>
      <w:proofErr w:type="gramStart"/>
      <w:r w:rsidR="00985BC3" w:rsidRPr="00001309">
        <w:rPr>
          <w:rFonts w:eastAsia="Calibri"/>
          <w:spacing w:val="0"/>
          <w:sz w:val="26"/>
          <w:szCs w:val="26"/>
        </w:rPr>
        <w:t>December,</w:t>
      </w:r>
      <w:proofErr w:type="gramEnd"/>
      <w:r w:rsidRPr="00001309">
        <w:rPr>
          <w:rFonts w:eastAsia="Calibri"/>
          <w:spacing w:val="0"/>
          <w:sz w:val="26"/>
          <w:szCs w:val="26"/>
        </w:rPr>
        <w:t xml:space="preserve"> 2013 – March, 2014. OAG/OCA St. 3 at 2-3. Exh.  VSC-1 (indicating the Village Service Center’s peak demand was 15.10 kW in </w:t>
      </w:r>
      <w:proofErr w:type="gramStart"/>
      <w:r w:rsidRPr="00001309">
        <w:rPr>
          <w:rFonts w:eastAsia="Calibri"/>
          <w:spacing w:val="0"/>
          <w:sz w:val="26"/>
          <w:szCs w:val="26"/>
        </w:rPr>
        <w:t>January,</w:t>
      </w:r>
      <w:proofErr w:type="gramEnd"/>
      <w:r w:rsidRPr="00001309">
        <w:rPr>
          <w:rFonts w:eastAsia="Calibri"/>
          <w:spacing w:val="0"/>
          <w:sz w:val="26"/>
          <w:szCs w:val="26"/>
        </w:rPr>
        <w:t xml:space="preserve"> 2014; 15.5 kW in February, 2014; and 11.90 kW in March, 2014). Exhibit AEE-1. </w:t>
      </w:r>
    </w:p>
    <w:p w:rsidR="00F72DC5" w:rsidRPr="00001309" w:rsidRDefault="00F72DC5" w:rsidP="00F72DC5">
      <w:pPr>
        <w:autoSpaceDE w:val="0"/>
        <w:autoSpaceDN w:val="0"/>
        <w:adjustRightInd w:val="0"/>
        <w:spacing w:line="240" w:lineRule="auto"/>
        <w:ind w:left="1440" w:right="1440" w:firstLine="0"/>
        <w:rPr>
          <w:rFonts w:eastAsia="Calibri"/>
          <w:spacing w:val="0"/>
          <w:sz w:val="26"/>
          <w:szCs w:val="26"/>
        </w:rPr>
      </w:pPr>
    </w:p>
    <w:p w:rsidR="00574CEA" w:rsidRDefault="00F72DC5" w:rsidP="00F72DC5">
      <w:pPr>
        <w:autoSpaceDE w:val="0"/>
        <w:autoSpaceDN w:val="0"/>
        <w:adjustRightInd w:val="0"/>
        <w:spacing w:line="240" w:lineRule="auto"/>
        <w:ind w:left="1440" w:right="1440" w:firstLine="720"/>
        <w:rPr>
          <w:rFonts w:eastAsia="Calibri"/>
          <w:spacing w:val="0"/>
          <w:sz w:val="26"/>
          <w:szCs w:val="26"/>
        </w:rPr>
      </w:pPr>
      <w:r w:rsidRPr="00001309">
        <w:rPr>
          <w:rFonts w:eastAsia="Calibri"/>
          <w:spacing w:val="0"/>
          <w:sz w:val="26"/>
          <w:szCs w:val="26"/>
        </w:rPr>
        <w:t xml:space="preserve">Further, there were a total number of occurrences of overbilling higher than the PTCs of EDCs during this </w:t>
      </w:r>
      <w:proofErr w:type="gramStart"/>
      <w:r w:rsidRPr="00001309">
        <w:rPr>
          <w:rFonts w:eastAsia="Calibri"/>
          <w:spacing w:val="0"/>
          <w:sz w:val="26"/>
          <w:szCs w:val="26"/>
        </w:rPr>
        <w:t>time period</w:t>
      </w:r>
      <w:proofErr w:type="gramEnd"/>
      <w:r w:rsidRPr="00001309">
        <w:rPr>
          <w:rFonts w:eastAsia="Calibri"/>
          <w:spacing w:val="0"/>
          <w:sz w:val="26"/>
          <w:szCs w:val="26"/>
        </w:rPr>
        <w:t xml:space="preserve"> of 7,861,</w:t>
      </w:r>
      <w:r w:rsidR="00C06F88">
        <w:rPr>
          <w:rFonts w:eastAsia="Calibri"/>
          <w:spacing w:val="0"/>
          <w:sz w:val="26"/>
          <w:szCs w:val="26"/>
        </w:rPr>
        <w:t xml:space="preserve"> </w:t>
      </w:r>
      <w:r w:rsidR="00C06F88" w:rsidRPr="00C06F88">
        <w:rPr>
          <w:rFonts w:eastAsia="Calibri"/>
          <w:b/>
          <w:spacing w:val="0"/>
          <w:sz w:val="26"/>
          <w:szCs w:val="26"/>
        </w:rPr>
        <w:t>BEGIN PROPRIETARY</w:t>
      </w:r>
      <w:r w:rsidRPr="00001309">
        <w:rPr>
          <w:rFonts w:eastAsia="Calibri"/>
          <w:spacing w:val="0"/>
          <w:sz w:val="26"/>
          <w:szCs w:val="26"/>
        </w:rPr>
        <w:t xml:space="preserve"> </w:t>
      </w:r>
    </w:p>
    <w:p w:rsidR="00574CEA" w:rsidRDefault="00574CEA" w:rsidP="00F72DC5">
      <w:pPr>
        <w:autoSpaceDE w:val="0"/>
        <w:autoSpaceDN w:val="0"/>
        <w:adjustRightInd w:val="0"/>
        <w:spacing w:line="240" w:lineRule="auto"/>
        <w:ind w:left="1440" w:right="1440" w:firstLine="720"/>
        <w:rPr>
          <w:rFonts w:eastAsia="Calibri"/>
          <w:bCs/>
          <w:spacing w:val="0"/>
          <w:sz w:val="26"/>
          <w:szCs w:val="26"/>
        </w:rPr>
      </w:pPr>
    </w:p>
    <w:p w:rsidR="00F72DC5" w:rsidRPr="00001309" w:rsidRDefault="00574CEA" w:rsidP="00F72DC5">
      <w:pPr>
        <w:autoSpaceDE w:val="0"/>
        <w:autoSpaceDN w:val="0"/>
        <w:adjustRightInd w:val="0"/>
        <w:spacing w:line="240" w:lineRule="auto"/>
        <w:ind w:left="1440" w:right="1440" w:firstLine="720"/>
        <w:rPr>
          <w:rFonts w:eastAsia="Calibri"/>
          <w:spacing w:val="0"/>
          <w:sz w:val="26"/>
          <w:szCs w:val="26"/>
        </w:rPr>
      </w:pPr>
      <w:r>
        <w:rPr>
          <w:rFonts w:eastAsia="Calibri"/>
          <w:spacing w:val="0"/>
          <w:sz w:val="26"/>
          <w:szCs w:val="26"/>
        </w:rPr>
        <w:t xml:space="preserve">              </w:t>
      </w:r>
      <w:r w:rsidR="00C06F88" w:rsidRPr="00C06F88">
        <w:rPr>
          <w:rFonts w:eastAsia="Calibri"/>
          <w:b/>
          <w:spacing w:val="0"/>
          <w:sz w:val="26"/>
          <w:szCs w:val="26"/>
        </w:rPr>
        <w:t>END PROPRIETARY</w:t>
      </w:r>
      <w:r w:rsidR="00C06F88">
        <w:rPr>
          <w:rFonts w:eastAsia="Calibri"/>
          <w:spacing w:val="0"/>
          <w:sz w:val="26"/>
          <w:szCs w:val="26"/>
        </w:rPr>
        <w:t xml:space="preserve">. </w:t>
      </w:r>
      <w:r w:rsidR="00E81986">
        <w:rPr>
          <w:rFonts w:eastAsia="Calibri"/>
          <w:spacing w:val="0"/>
          <w:sz w:val="26"/>
          <w:szCs w:val="26"/>
        </w:rPr>
        <w:t xml:space="preserve"> </w:t>
      </w:r>
      <w:r w:rsidR="00F72DC5" w:rsidRPr="00001309">
        <w:rPr>
          <w:rFonts w:eastAsia="Calibri"/>
          <w:spacing w:val="0"/>
          <w:sz w:val="26"/>
          <w:szCs w:val="26"/>
        </w:rPr>
        <w:t xml:space="preserve">This figure of 7,861 more accurately depicts the overbillings than 7,582, (which is the number of bills that went out in January – </w:t>
      </w:r>
      <w:proofErr w:type="gramStart"/>
      <w:r w:rsidR="00F72DC5" w:rsidRPr="00001309">
        <w:rPr>
          <w:rFonts w:eastAsia="Calibri"/>
          <w:spacing w:val="0"/>
          <w:sz w:val="26"/>
          <w:szCs w:val="26"/>
        </w:rPr>
        <w:t>March,</w:t>
      </w:r>
      <w:proofErr w:type="gramEnd"/>
      <w:r w:rsidR="00F72DC5" w:rsidRPr="00001309">
        <w:rPr>
          <w:rFonts w:eastAsia="Calibri"/>
          <w:spacing w:val="0"/>
          <w:sz w:val="26"/>
          <w:szCs w:val="26"/>
        </w:rPr>
        <w:t xml:space="preserve"> 2014). OAG/OCA St. 3 at 2-3. Exhibit AEE-1. </w:t>
      </w:r>
    </w:p>
    <w:p w:rsidR="00F72DC5" w:rsidRPr="00001309" w:rsidRDefault="00F72DC5" w:rsidP="00F72DC5">
      <w:pPr>
        <w:autoSpaceDE w:val="0"/>
        <w:autoSpaceDN w:val="0"/>
        <w:adjustRightInd w:val="0"/>
        <w:spacing w:line="240" w:lineRule="auto"/>
        <w:ind w:left="1440" w:right="1440" w:firstLine="0"/>
        <w:rPr>
          <w:rFonts w:eastAsia="Calibri"/>
          <w:spacing w:val="0"/>
          <w:sz w:val="26"/>
          <w:szCs w:val="26"/>
        </w:rPr>
      </w:pPr>
    </w:p>
    <w:p w:rsidR="00574CEA" w:rsidRDefault="00F72DC5" w:rsidP="00F72DC5">
      <w:pPr>
        <w:autoSpaceDE w:val="0"/>
        <w:autoSpaceDN w:val="0"/>
        <w:adjustRightInd w:val="0"/>
        <w:spacing w:line="240" w:lineRule="auto"/>
        <w:ind w:left="1440" w:right="1440" w:firstLine="720"/>
        <w:rPr>
          <w:rFonts w:eastAsia="Calibri"/>
          <w:spacing w:val="0"/>
          <w:sz w:val="26"/>
          <w:szCs w:val="26"/>
        </w:rPr>
      </w:pPr>
      <w:r w:rsidRPr="00001309">
        <w:rPr>
          <w:rFonts w:eastAsia="Calibri"/>
          <w:spacing w:val="0"/>
          <w:sz w:val="26"/>
          <w:szCs w:val="26"/>
        </w:rPr>
        <w:t xml:space="preserve">Thus, it more accurately supports the violations of Section 54.4(a).  The total overcharge to residential and small business customers combined is $2,459,517.   This figure takes into consideration Blue Pilot’s re-bill in April and May 2014 to those customers that complained and includes total credits of $49,710 and refunds of $173,744.  The average overcharge per occurrence </w:t>
      </w:r>
      <w:r w:rsidR="00C06F88">
        <w:rPr>
          <w:rFonts w:eastAsia="Calibri"/>
          <w:spacing w:val="0"/>
          <w:sz w:val="26"/>
          <w:szCs w:val="26"/>
        </w:rPr>
        <w:t xml:space="preserve">is </w:t>
      </w:r>
      <w:r w:rsidR="00C06F88" w:rsidRPr="00C06F88">
        <w:rPr>
          <w:rFonts w:eastAsia="Calibri"/>
          <w:b/>
          <w:spacing w:val="0"/>
          <w:sz w:val="26"/>
          <w:szCs w:val="26"/>
        </w:rPr>
        <w:t>BEGIN PROPRIETARY</w:t>
      </w:r>
    </w:p>
    <w:p w:rsidR="00574CEA" w:rsidRPr="00C06F88" w:rsidRDefault="00C06F88" w:rsidP="00F72DC5">
      <w:pPr>
        <w:autoSpaceDE w:val="0"/>
        <w:autoSpaceDN w:val="0"/>
        <w:adjustRightInd w:val="0"/>
        <w:spacing w:line="240" w:lineRule="auto"/>
        <w:ind w:left="1440" w:right="1440" w:firstLine="720"/>
        <w:rPr>
          <w:rFonts w:eastAsia="Calibri"/>
          <w:b/>
          <w:bCs/>
          <w:spacing w:val="0"/>
          <w:sz w:val="26"/>
          <w:szCs w:val="26"/>
        </w:rPr>
      </w:pPr>
      <w:r>
        <w:rPr>
          <w:rFonts w:eastAsia="Calibri"/>
          <w:bCs/>
          <w:spacing w:val="0"/>
          <w:sz w:val="26"/>
          <w:szCs w:val="26"/>
        </w:rPr>
        <w:tab/>
      </w:r>
      <w:r>
        <w:rPr>
          <w:rFonts w:eastAsia="Calibri"/>
          <w:bCs/>
          <w:spacing w:val="0"/>
          <w:sz w:val="26"/>
          <w:szCs w:val="26"/>
        </w:rPr>
        <w:tab/>
      </w:r>
      <w:r>
        <w:rPr>
          <w:rFonts w:eastAsia="Calibri"/>
          <w:bCs/>
          <w:spacing w:val="0"/>
          <w:sz w:val="26"/>
          <w:szCs w:val="26"/>
        </w:rPr>
        <w:tab/>
      </w:r>
      <w:r>
        <w:rPr>
          <w:rFonts w:eastAsia="Calibri"/>
          <w:bCs/>
          <w:spacing w:val="0"/>
          <w:sz w:val="26"/>
          <w:szCs w:val="26"/>
        </w:rPr>
        <w:tab/>
      </w:r>
      <w:r>
        <w:rPr>
          <w:rFonts w:eastAsia="Calibri"/>
          <w:bCs/>
          <w:spacing w:val="0"/>
          <w:sz w:val="26"/>
          <w:szCs w:val="26"/>
        </w:rPr>
        <w:tab/>
        <w:t xml:space="preserve">    </w:t>
      </w:r>
      <w:r w:rsidRPr="00C06F88">
        <w:rPr>
          <w:rFonts w:eastAsia="Calibri"/>
          <w:b/>
          <w:bCs/>
          <w:spacing w:val="0"/>
          <w:sz w:val="26"/>
          <w:szCs w:val="26"/>
        </w:rPr>
        <w:t>END</w:t>
      </w:r>
    </w:p>
    <w:p w:rsidR="00F72DC5" w:rsidRPr="00001309" w:rsidRDefault="00C06F88" w:rsidP="00C06F88">
      <w:pPr>
        <w:autoSpaceDE w:val="0"/>
        <w:autoSpaceDN w:val="0"/>
        <w:adjustRightInd w:val="0"/>
        <w:spacing w:line="240" w:lineRule="auto"/>
        <w:ind w:left="1440" w:right="1440" w:firstLine="0"/>
        <w:rPr>
          <w:rFonts w:eastAsia="Calibri"/>
          <w:spacing w:val="0"/>
          <w:sz w:val="26"/>
          <w:szCs w:val="26"/>
        </w:rPr>
      </w:pPr>
      <w:r>
        <w:rPr>
          <w:rFonts w:eastAsia="Calibri"/>
          <w:b/>
          <w:bCs/>
          <w:spacing w:val="0"/>
          <w:sz w:val="26"/>
          <w:szCs w:val="26"/>
        </w:rPr>
        <w:t xml:space="preserve">PROPRIETARY </w:t>
      </w:r>
      <w:r w:rsidR="00F72DC5" w:rsidRPr="00001309">
        <w:rPr>
          <w:rFonts w:eastAsia="Calibri"/>
          <w:spacing w:val="0"/>
          <w:sz w:val="26"/>
          <w:szCs w:val="26"/>
        </w:rPr>
        <w:t>Accordingly, there were 7,861 occurrences of overbilling in violation of 54.4(a) and these above facts further support our prior finding of 2,516 occurrences of violations of 54.5(a) under Count I of the Joint Complaint.</w:t>
      </w:r>
    </w:p>
    <w:p w:rsidR="00F72DC5" w:rsidRPr="00001309" w:rsidRDefault="00F72DC5" w:rsidP="00F72DC5">
      <w:pPr>
        <w:autoSpaceDE w:val="0"/>
        <w:autoSpaceDN w:val="0"/>
        <w:adjustRightInd w:val="0"/>
        <w:spacing w:line="240" w:lineRule="auto"/>
        <w:ind w:left="1440" w:right="1440" w:firstLine="0"/>
        <w:rPr>
          <w:rFonts w:eastAsia="Calibri"/>
          <w:spacing w:val="0"/>
          <w:sz w:val="26"/>
          <w:szCs w:val="26"/>
        </w:rPr>
      </w:pPr>
    </w:p>
    <w:p w:rsidR="00F72DC5" w:rsidRPr="00001309" w:rsidRDefault="00F72DC5" w:rsidP="00F72DC5">
      <w:pPr>
        <w:autoSpaceDE w:val="0"/>
        <w:autoSpaceDN w:val="0"/>
        <w:adjustRightInd w:val="0"/>
        <w:spacing w:line="240" w:lineRule="auto"/>
        <w:ind w:left="1440" w:right="1440" w:firstLine="0"/>
        <w:rPr>
          <w:rFonts w:eastAsia="Calibri"/>
          <w:spacing w:val="0"/>
          <w:sz w:val="26"/>
          <w:szCs w:val="26"/>
        </w:rPr>
      </w:pPr>
    </w:p>
    <w:p w:rsidR="00F72DC5" w:rsidRPr="00001309" w:rsidRDefault="00F72DC5" w:rsidP="00F72DC5">
      <w:pPr>
        <w:autoSpaceDE w:val="0"/>
        <w:autoSpaceDN w:val="0"/>
        <w:adjustRightInd w:val="0"/>
        <w:ind w:firstLine="0"/>
        <w:rPr>
          <w:rFonts w:eastAsia="Calibri"/>
          <w:spacing w:val="0"/>
          <w:sz w:val="26"/>
          <w:szCs w:val="26"/>
        </w:rPr>
      </w:pPr>
      <w:r w:rsidRPr="00001309">
        <w:rPr>
          <w:rFonts w:eastAsia="Calibri"/>
          <w:spacing w:val="0"/>
          <w:sz w:val="26"/>
          <w:szCs w:val="26"/>
        </w:rPr>
        <w:t>I.D. at 122.  Based on the foregoing, the ALJs recommended:</w:t>
      </w:r>
    </w:p>
    <w:p w:rsidR="00F72DC5" w:rsidRPr="00001309" w:rsidRDefault="00F72DC5" w:rsidP="00F72DC5">
      <w:pPr>
        <w:autoSpaceDE w:val="0"/>
        <w:autoSpaceDN w:val="0"/>
        <w:adjustRightInd w:val="0"/>
        <w:spacing w:line="240" w:lineRule="auto"/>
        <w:ind w:left="1440" w:right="1440" w:firstLine="0"/>
        <w:rPr>
          <w:rFonts w:eastAsia="Calibri"/>
          <w:spacing w:val="0"/>
          <w:sz w:val="26"/>
          <w:szCs w:val="26"/>
        </w:rPr>
      </w:pPr>
    </w:p>
    <w:p w:rsidR="00493721" w:rsidRDefault="00F72DC5" w:rsidP="00F72DC5">
      <w:pPr>
        <w:autoSpaceDE w:val="0"/>
        <w:autoSpaceDN w:val="0"/>
        <w:adjustRightInd w:val="0"/>
        <w:spacing w:line="240" w:lineRule="auto"/>
        <w:ind w:left="1440" w:right="1440" w:firstLine="720"/>
        <w:rPr>
          <w:rFonts w:eastAsia="Calibri"/>
          <w:spacing w:val="0"/>
          <w:sz w:val="26"/>
          <w:szCs w:val="26"/>
        </w:rPr>
      </w:pPr>
      <w:r w:rsidRPr="00001309">
        <w:rPr>
          <w:rFonts w:eastAsia="Calibri"/>
          <w:spacing w:val="0"/>
          <w:sz w:val="26"/>
          <w:szCs w:val="26"/>
        </w:rPr>
        <w:t xml:space="preserve">As such, Blue Pilot shall be directed to provide refunds to its customers for overcharges in </w:t>
      </w:r>
      <w:proofErr w:type="gramStart"/>
      <w:r w:rsidRPr="00001309">
        <w:rPr>
          <w:rFonts w:eastAsia="Calibri"/>
          <w:spacing w:val="0"/>
          <w:sz w:val="26"/>
          <w:szCs w:val="26"/>
        </w:rPr>
        <w:t>December,</w:t>
      </w:r>
      <w:proofErr w:type="gramEnd"/>
      <w:r w:rsidRPr="00001309">
        <w:rPr>
          <w:rFonts w:eastAsia="Calibri"/>
          <w:spacing w:val="0"/>
          <w:sz w:val="26"/>
          <w:szCs w:val="26"/>
        </w:rPr>
        <w:t xml:space="preserve"> 2013 through March 2014, through a third-party Administrator as retained </w:t>
      </w:r>
      <w:r w:rsidRPr="00001309">
        <w:rPr>
          <w:rFonts w:eastAsia="Calibri"/>
          <w:spacing w:val="0"/>
          <w:sz w:val="26"/>
          <w:szCs w:val="26"/>
        </w:rPr>
        <w:lastRenderedPageBreak/>
        <w:t>by Joint Complainants.  The aggregate amount due to Blue Pilot’s customers for this period is approximately $2,459,517.</w:t>
      </w:r>
      <w:r w:rsidRPr="00001309">
        <w:rPr>
          <w:rFonts w:eastAsia="Calibri"/>
          <w:spacing w:val="0"/>
          <w:sz w:val="26"/>
          <w:szCs w:val="26"/>
          <w:vertAlign w:val="superscript"/>
        </w:rPr>
        <w:t>32</w:t>
      </w:r>
      <w:r w:rsidRPr="00001309">
        <w:rPr>
          <w:rFonts w:eastAsia="Calibri"/>
          <w:spacing w:val="0"/>
          <w:sz w:val="26"/>
          <w:szCs w:val="26"/>
        </w:rPr>
        <w:t xml:space="preserve">  However, as OAG/OCA request a lesser amount of $2,408,449 in their briefs, we are willing to direct the latter amount.  Blue Pilot is directed to provide a full accounting of refunds and bill credits provided to its Pennsylvania customers, including a detailed explanation of to which billing a refund or bill credit applies, so that an appropriate mitigation credit may be determined in this proceeding. Further, Blue Pilot should be directed to provide </w:t>
      </w:r>
    </w:p>
    <w:p w:rsidR="00F72DC5" w:rsidRPr="00001309" w:rsidRDefault="00F72DC5" w:rsidP="00493721">
      <w:pPr>
        <w:keepNext/>
        <w:keepLines/>
        <w:autoSpaceDE w:val="0"/>
        <w:autoSpaceDN w:val="0"/>
        <w:adjustRightInd w:val="0"/>
        <w:spacing w:line="240" w:lineRule="auto"/>
        <w:ind w:left="1440" w:right="1440" w:firstLine="0"/>
        <w:rPr>
          <w:rFonts w:eastAsia="Calibri"/>
          <w:spacing w:val="0"/>
          <w:sz w:val="26"/>
          <w:szCs w:val="26"/>
        </w:rPr>
      </w:pPr>
      <w:r w:rsidRPr="00001309">
        <w:rPr>
          <w:rFonts w:eastAsia="Calibri"/>
          <w:spacing w:val="0"/>
          <w:sz w:val="26"/>
          <w:szCs w:val="26"/>
        </w:rPr>
        <w:t>a full and complete accounting of the amounts billed over the applicable PTCs and refunds due for its customers as part of a compliance filing.</w:t>
      </w:r>
    </w:p>
    <w:p w:rsidR="00F72DC5" w:rsidRPr="00001309" w:rsidRDefault="00F72DC5" w:rsidP="00493721">
      <w:pPr>
        <w:keepNext/>
        <w:keepLines/>
        <w:autoSpaceDE w:val="0"/>
        <w:autoSpaceDN w:val="0"/>
        <w:adjustRightInd w:val="0"/>
        <w:spacing w:line="240" w:lineRule="auto"/>
        <w:ind w:left="1440" w:right="1440" w:firstLine="0"/>
        <w:rPr>
          <w:rFonts w:eastAsia="Calibri"/>
          <w:spacing w:val="0"/>
          <w:sz w:val="26"/>
          <w:szCs w:val="26"/>
        </w:rPr>
      </w:pPr>
      <w:r w:rsidRPr="00001309">
        <w:rPr>
          <w:rFonts w:eastAsia="Calibri"/>
          <w:spacing w:val="0"/>
          <w:sz w:val="26"/>
          <w:szCs w:val="26"/>
        </w:rPr>
        <w:t>____________________</w:t>
      </w:r>
    </w:p>
    <w:p w:rsidR="00574CEA" w:rsidRPr="00446941" w:rsidRDefault="00F72DC5" w:rsidP="00F72DC5">
      <w:pPr>
        <w:autoSpaceDE w:val="0"/>
        <w:autoSpaceDN w:val="0"/>
        <w:adjustRightInd w:val="0"/>
        <w:spacing w:line="240" w:lineRule="auto"/>
        <w:ind w:left="1440" w:right="1440" w:firstLine="720"/>
        <w:rPr>
          <w:rFonts w:eastAsia="Calibri"/>
          <w:b/>
          <w:spacing w:val="0"/>
          <w:sz w:val="26"/>
          <w:szCs w:val="26"/>
        </w:rPr>
      </w:pPr>
      <w:r w:rsidRPr="00001309">
        <w:rPr>
          <w:rFonts w:eastAsia="Calibri"/>
          <w:spacing w:val="0"/>
          <w:sz w:val="26"/>
          <w:szCs w:val="26"/>
          <w:vertAlign w:val="superscript"/>
        </w:rPr>
        <w:t>32</w:t>
      </w:r>
      <w:r w:rsidRPr="00001309">
        <w:rPr>
          <w:rFonts w:eastAsia="Calibri"/>
          <w:spacing w:val="0"/>
          <w:sz w:val="26"/>
          <w:szCs w:val="26"/>
          <w:vertAlign w:val="superscript"/>
        </w:rPr>
        <w:tab/>
      </w:r>
      <w:r w:rsidRPr="00001309">
        <w:rPr>
          <w:rFonts w:eastAsia="Calibri"/>
          <w:spacing w:val="0"/>
          <w:sz w:val="26"/>
          <w:szCs w:val="26"/>
        </w:rPr>
        <w:t>By our calculations, the refund should be $2,459,517 disaggregated as follows:</w:t>
      </w:r>
      <w:r w:rsidR="0069507A">
        <w:rPr>
          <w:rFonts w:eastAsia="Calibri"/>
          <w:spacing w:val="0"/>
          <w:sz w:val="26"/>
          <w:szCs w:val="26"/>
        </w:rPr>
        <w:t xml:space="preserve"> </w:t>
      </w:r>
      <w:r w:rsidRPr="00001309">
        <w:rPr>
          <w:rFonts w:eastAsia="Calibri"/>
          <w:spacing w:val="0"/>
          <w:sz w:val="26"/>
          <w:szCs w:val="26"/>
        </w:rPr>
        <w:t xml:space="preserve"> </w:t>
      </w:r>
      <w:r w:rsidR="00446941" w:rsidRPr="00001309">
        <w:rPr>
          <w:b/>
          <w:bCs/>
          <w:sz w:val="26"/>
          <w:szCs w:val="26"/>
        </w:rPr>
        <w:t>BEGIN PROPRIE</w:t>
      </w:r>
      <w:r w:rsidR="0069507A">
        <w:rPr>
          <w:b/>
          <w:bCs/>
          <w:sz w:val="26"/>
          <w:szCs w:val="26"/>
        </w:rPr>
        <w:t>-</w:t>
      </w:r>
      <w:r w:rsidR="00446941" w:rsidRPr="00001309">
        <w:rPr>
          <w:b/>
          <w:bCs/>
          <w:sz w:val="26"/>
          <w:szCs w:val="26"/>
        </w:rPr>
        <w:t xml:space="preserve">TARY </w:t>
      </w:r>
    </w:p>
    <w:p w:rsidR="00574CEA" w:rsidRDefault="00574CEA" w:rsidP="00F72DC5">
      <w:pPr>
        <w:autoSpaceDE w:val="0"/>
        <w:autoSpaceDN w:val="0"/>
        <w:adjustRightInd w:val="0"/>
        <w:spacing w:line="240" w:lineRule="auto"/>
        <w:ind w:left="1440" w:right="1440" w:firstLine="720"/>
        <w:rPr>
          <w:rFonts w:eastAsia="Calibri"/>
          <w:bCs/>
          <w:spacing w:val="0"/>
          <w:sz w:val="26"/>
          <w:szCs w:val="26"/>
        </w:rPr>
      </w:pPr>
    </w:p>
    <w:p w:rsidR="00574CEA" w:rsidRDefault="00574CEA" w:rsidP="00F72DC5">
      <w:pPr>
        <w:autoSpaceDE w:val="0"/>
        <w:autoSpaceDN w:val="0"/>
        <w:adjustRightInd w:val="0"/>
        <w:spacing w:line="240" w:lineRule="auto"/>
        <w:ind w:left="1440" w:right="1440" w:firstLine="720"/>
        <w:rPr>
          <w:rFonts w:eastAsia="Calibri"/>
          <w:bCs/>
          <w:spacing w:val="0"/>
          <w:sz w:val="26"/>
          <w:szCs w:val="26"/>
        </w:rPr>
      </w:pPr>
    </w:p>
    <w:p w:rsidR="00574CEA" w:rsidRDefault="00574CEA" w:rsidP="00F72DC5">
      <w:pPr>
        <w:autoSpaceDE w:val="0"/>
        <w:autoSpaceDN w:val="0"/>
        <w:adjustRightInd w:val="0"/>
        <w:spacing w:line="240" w:lineRule="auto"/>
        <w:ind w:left="1440" w:right="1440" w:firstLine="720"/>
        <w:rPr>
          <w:rFonts w:eastAsia="Calibri"/>
          <w:bCs/>
          <w:spacing w:val="0"/>
          <w:sz w:val="26"/>
          <w:szCs w:val="26"/>
        </w:rPr>
      </w:pPr>
    </w:p>
    <w:p w:rsidR="0069507A" w:rsidRDefault="0069507A" w:rsidP="0069507A">
      <w:pPr>
        <w:autoSpaceDE w:val="0"/>
        <w:autoSpaceDN w:val="0"/>
        <w:adjustRightInd w:val="0"/>
        <w:spacing w:line="240" w:lineRule="auto"/>
        <w:ind w:left="1440" w:firstLine="0"/>
        <w:rPr>
          <w:b/>
          <w:bCs/>
          <w:sz w:val="26"/>
          <w:szCs w:val="26"/>
        </w:rPr>
      </w:pPr>
      <w:r>
        <w:rPr>
          <w:b/>
          <w:bCs/>
          <w:sz w:val="26"/>
          <w:szCs w:val="26"/>
        </w:rPr>
        <w:t xml:space="preserve">                                                                              </w:t>
      </w:r>
      <w:r w:rsidRPr="00001309">
        <w:rPr>
          <w:b/>
          <w:bCs/>
          <w:sz w:val="26"/>
          <w:szCs w:val="26"/>
        </w:rPr>
        <w:t>END</w:t>
      </w:r>
      <w:r>
        <w:rPr>
          <w:sz w:val="26"/>
          <w:szCs w:val="26"/>
        </w:rPr>
        <w:t xml:space="preserve"> </w:t>
      </w:r>
      <w:r w:rsidRPr="00001309">
        <w:rPr>
          <w:b/>
          <w:bCs/>
          <w:sz w:val="26"/>
          <w:szCs w:val="26"/>
        </w:rPr>
        <w:t>PRO</w:t>
      </w:r>
      <w:r>
        <w:rPr>
          <w:b/>
          <w:bCs/>
          <w:sz w:val="26"/>
          <w:szCs w:val="26"/>
        </w:rPr>
        <w:t>-</w:t>
      </w:r>
    </w:p>
    <w:p w:rsidR="00F72DC5" w:rsidRDefault="0069507A" w:rsidP="0069507A">
      <w:pPr>
        <w:autoSpaceDE w:val="0"/>
        <w:autoSpaceDN w:val="0"/>
        <w:adjustRightInd w:val="0"/>
        <w:spacing w:line="240" w:lineRule="auto"/>
        <w:ind w:left="1440" w:firstLine="0"/>
        <w:rPr>
          <w:rFonts w:eastAsia="Calibri"/>
          <w:spacing w:val="0"/>
          <w:sz w:val="26"/>
          <w:szCs w:val="26"/>
        </w:rPr>
      </w:pPr>
      <w:r w:rsidRPr="00001309">
        <w:rPr>
          <w:b/>
          <w:bCs/>
          <w:sz w:val="26"/>
          <w:szCs w:val="26"/>
        </w:rPr>
        <w:t>PRIETARY</w:t>
      </w:r>
    </w:p>
    <w:p w:rsidR="00574CEA" w:rsidRPr="00001309" w:rsidRDefault="00574CEA" w:rsidP="00F72DC5">
      <w:pPr>
        <w:autoSpaceDE w:val="0"/>
        <w:autoSpaceDN w:val="0"/>
        <w:adjustRightInd w:val="0"/>
        <w:spacing w:line="240" w:lineRule="auto"/>
        <w:ind w:left="1440" w:firstLine="720"/>
        <w:rPr>
          <w:rFonts w:eastAsia="Calibri"/>
          <w:spacing w:val="0"/>
          <w:sz w:val="26"/>
          <w:szCs w:val="26"/>
        </w:rPr>
      </w:pPr>
    </w:p>
    <w:p w:rsidR="00F72DC5" w:rsidRDefault="00F72DC5" w:rsidP="00F72DC5">
      <w:pPr>
        <w:autoSpaceDE w:val="0"/>
        <w:autoSpaceDN w:val="0"/>
        <w:adjustRightInd w:val="0"/>
        <w:spacing w:line="240" w:lineRule="auto"/>
        <w:ind w:left="1440" w:firstLine="720"/>
        <w:rPr>
          <w:rFonts w:eastAsia="Calibri"/>
          <w:spacing w:val="0"/>
          <w:sz w:val="26"/>
          <w:szCs w:val="26"/>
        </w:rPr>
      </w:pPr>
    </w:p>
    <w:p w:rsidR="00BB13D5" w:rsidRDefault="00BB13D5" w:rsidP="00BB13D5">
      <w:pPr>
        <w:autoSpaceDE w:val="0"/>
        <w:autoSpaceDN w:val="0"/>
        <w:adjustRightInd w:val="0"/>
        <w:ind w:firstLine="0"/>
        <w:rPr>
          <w:rFonts w:eastAsia="Calibri"/>
          <w:spacing w:val="0"/>
          <w:sz w:val="26"/>
          <w:szCs w:val="26"/>
        </w:rPr>
      </w:pPr>
      <w:r>
        <w:rPr>
          <w:rFonts w:eastAsia="Calibri"/>
          <w:spacing w:val="0"/>
          <w:sz w:val="26"/>
          <w:szCs w:val="26"/>
        </w:rPr>
        <w:t>I.D. at 150.</w:t>
      </w:r>
    </w:p>
    <w:p w:rsidR="00BB13D5" w:rsidRPr="00001309" w:rsidRDefault="00BB13D5" w:rsidP="00BB13D5">
      <w:pPr>
        <w:autoSpaceDE w:val="0"/>
        <w:autoSpaceDN w:val="0"/>
        <w:adjustRightInd w:val="0"/>
        <w:ind w:firstLine="0"/>
        <w:rPr>
          <w:rFonts w:eastAsia="Calibri"/>
          <w:spacing w:val="0"/>
          <w:sz w:val="26"/>
          <w:szCs w:val="26"/>
        </w:rPr>
      </w:pPr>
    </w:p>
    <w:p w:rsidR="00F72DC5" w:rsidRPr="00001309" w:rsidRDefault="00F72DC5" w:rsidP="008D34CA">
      <w:pPr>
        <w:keepNext/>
        <w:keepLines/>
        <w:autoSpaceDE w:val="0"/>
        <w:autoSpaceDN w:val="0"/>
        <w:ind w:firstLine="720"/>
        <w:rPr>
          <w:rFonts w:eastAsia="Calibri"/>
          <w:b/>
          <w:sz w:val="26"/>
          <w:szCs w:val="26"/>
        </w:rPr>
      </w:pPr>
      <w:r w:rsidRPr="00001309">
        <w:rPr>
          <w:rFonts w:eastAsia="Calibri"/>
          <w:b/>
          <w:sz w:val="26"/>
          <w:szCs w:val="26"/>
        </w:rPr>
        <w:t>2.</w:t>
      </w:r>
      <w:r w:rsidRPr="00001309">
        <w:rPr>
          <w:rFonts w:eastAsia="Calibri"/>
          <w:b/>
          <w:sz w:val="26"/>
          <w:szCs w:val="26"/>
        </w:rPr>
        <w:tab/>
        <w:t>Blue Pilot Exceptions</w:t>
      </w:r>
    </w:p>
    <w:p w:rsidR="00F72DC5" w:rsidRPr="00001309" w:rsidRDefault="00F72DC5" w:rsidP="00F72DC5">
      <w:pPr>
        <w:keepNext/>
        <w:keepLines/>
        <w:autoSpaceDE w:val="0"/>
        <w:autoSpaceDN w:val="0"/>
        <w:rPr>
          <w:rFonts w:eastAsia="Calibri"/>
          <w:sz w:val="26"/>
          <w:szCs w:val="26"/>
        </w:rPr>
      </w:pPr>
    </w:p>
    <w:p w:rsidR="00F72DC5" w:rsidRPr="00001309" w:rsidRDefault="00F72DC5" w:rsidP="00F72DC5">
      <w:pPr>
        <w:autoSpaceDE w:val="0"/>
        <w:autoSpaceDN w:val="0"/>
        <w:adjustRightInd w:val="0"/>
        <w:rPr>
          <w:rFonts w:eastAsia="Calibri"/>
          <w:spacing w:val="0"/>
          <w:sz w:val="26"/>
          <w:szCs w:val="26"/>
        </w:rPr>
      </w:pPr>
      <w:r w:rsidRPr="00001309">
        <w:rPr>
          <w:rFonts w:eastAsia="Calibri"/>
          <w:sz w:val="26"/>
          <w:szCs w:val="26"/>
        </w:rPr>
        <w:t>In its Exceptions, Blue Pilot argues that the Commission lacks the requisite</w:t>
      </w:r>
      <w:r w:rsidRPr="00001309">
        <w:rPr>
          <w:rFonts w:eastAsia="Calibri"/>
          <w:spacing w:val="0"/>
          <w:sz w:val="26"/>
          <w:szCs w:val="26"/>
        </w:rPr>
        <w:t xml:space="preserve"> statutory authority, either express or implied, to direct EGSs to issue refunds to customers.  Exc. at 39.  Thus, states Blue Pilot, the Commission should reverse the Initial Decision’s findings.  </w:t>
      </w:r>
      <w:r w:rsidRPr="00001309">
        <w:rPr>
          <w:rFonts w:eastAsia="Calibri"/>
          <w:i/>
          <w:spacing w:val="0"/>
          <w:sz w:val="26"/>
          <w:szCs w:val="26"/>
        </w:rPr>
        <w:t>Id</w:t>
      </w:r>
      <w:r w:rsidRPr="00001309">
        <w:rPr>
          <w:rFonts w:eastAsia="Calibri"/>
          <w:spacing w:val="0"/>
          <w:sz w:val="26"/>
          <w:szCs w:val="26"/>
        </w:rPr>
        <w:t>.</w:t>
      </w:r>
    </w:p>
    <w:p w:rsidR="00F72DC5" w:rsidRPr="00001309" w:rsidRDefault="00F72DC5" w:rsidP="00F72DC5">
      <w:pPr>
        <w:autoSpaceDE w:val="0"/>
        <w:autoSpaceDN w:val="0"/>
        <w:rPr>
          <w:rFonts w:eastAsia="Calibri"/>
          <w:spacing w:val="0"/>
          <w:sz w:val="26"/>
          <w:szCs w:val="26"/>
        </w:rPr>
      </w:pPr>
    </w:p>
    <w:p w:rsidR="00F72DC5" w:rsidRPr="00001309" w:rsidRDefault="00F72DC5" w:rsidP="00F72DC5">
      <w:pPr>
        <w:autoSpaceDE w:val="0"/>
        <w:autoSpaceDN w:val="0"/>
        <w:rPr>
          <w:rFonts w:eastAsia="Calibri"/>
          <w:spacing w:val="0"/>
          <w:sz w:val="26"/>
          <w:szCs w:val="26"/>
        </w:rPr>
      </w:pPr>
      <w:r w:rsidRPr="00001309">
        <w:rPr>
          <w:rFonts w:eastAsia="Calibri"/>
          <w:spacing w:val="0"/>
          <w:sz w:val="26"/>
          <w:szCs w:val="26"/>
        </w:rPr>
        <w:t xml:space="preserve">Also, Blue Pilot, similar to the contentions raised in its briefs, asserts that the evidentiary record does not support any directives for across-the-board </w:t>
      </w:r>
      <w:proofErr w:type="gramStart"/>
      <w:r w:rsidRPr="00001309">
        <w:rPr>
          <w:rFonts w:eastAsia="Calibri"/>
          <w:spacing w:val="0"/>
          <w:sz w:val="26"/>
          <w:szCs w:val="26"/>
        </w:rPr>
        <w:t>refunds.</w:t>
      </w:r>
      <w:r w:rsidR="00D047F3">
        <w:rPr>
          <w:rFonts w:eastAsia="Calibri"/>
          <w:spacing w:val="0"/>
          <w:sz w:val="26"/>
          <w:szCs w:val="26"/>
        </w:rPr>
        <w:t>(</w:t>
      </w:r>
      <w:proofErr w:type="gramEnd"/>
      <w:r w:rsidRPr="00001309">
        <w:rPr>
          <w:rFonts w:eastAsia="Calibri"/>
          <w:spacing w:val="0"/>
          <w:sz w:val="26"/>
          <w:szCs w:val="26"/>
        </w:rPr>
        <w:t>Exc. at 39</w:t>
      </w:r>
      <w:r w:rsidR="00D047F3">
        <w:rPr>
          <w:rFonts w:eastAsia="Calibri"/>
          <w:spacing w:val="0"/>
          <w:sz w:val="26"/>
          <w:szCs w:val="26"/>
        </w:rPr>
        <w:t>), and asserts that the ID errs by treating this proceeding as a class action lawsuit</w:t>
      </w:r>
      <w:r w:rsidRPr="00001309">
        <w:rPr>
          <w:rFonts w:eastAsia="Calibri"/>
          <w:spacing w:val="0"/>
          <w:sz w:val="26"/>
          <w:szCs w:val="26"/>
        </w:rPr>
        <w:t>.</w:t>
      </w:r>
      <w:r w:rsidR="00D047F3">
        <w:rPr>
          <w:rFonts w:eastAsia="Calibri"/>
          <w:spacing w:val="0"/>
          <w:sz w:val="26"/>
          <w:szCs w:val="26"/>
        </w:rPr>
        <w:t xml:space="preserve">  Exc. at 27).</w:t>
      </w:r>
    </w:p>
    <w:p w:rsidR="00F72DC5" w:rsidRPr="00001309" w:rsidRDefault="00F72DC5" w:rsidP="00F72DC5">
      <w:pPr>
        <w:autoSpaceDE w:val="0"/>
        <w:autoSpaceDN w:val="0"/>
        <w:rPr>
          <w:rFonts w:eastAsia="Calibri"/>
          <w:sz w:val="26"/>
          <w:szCs w:val="26"/>
        </w:rPr>
      </w:pPr>
    </w:p>
    <w:p w:rsidR="00F72DC5" w:rsidRPr="00001309" w:rsidRDefault="00F72DC5" w:rsidP="008D34CA">
      <w:pPr>
        <w:keepNext/>
        <w:keepLines/>
        <w:autoSpaceDE w:val="0"/>
        <w:autoSpaceDN w:val="0"/>
        <w:ind w:firstLine="720"/>
        <w:rPr>
          <w:rFonts w:eastAsia="Calibri"/>
          <w:sz w:val="26"/>
          <w:szCs w:val="26"/>
        </w:rPr>
      </w:pPr>
      <w:r w:rsidRPr="00001309">
        <w:rPr>
          <w:rFonts w:eastAsia="Calibri"/>
          <w:b/>
          <w:sz w:val="26"/>
          <w:szCs w:val="26"/>
        </w:rPr>
        <w:t>3.</w:t>
      </w:r>
      <w:r w:rsidRPr="00001309">
        <w:rPr>
          <w:rFonts w:eastAsia="Calibri"/>
          <w:b/>
          <w:sz w:val="26"/>
          <w:szCs w:val="26"/>
        </w:rPr>
        <w:tab/>
        <w:t xml:space="preserve">OAG/OCA Replies </w:t>
      </w:r>
    </w:p>
    <w:p w:rsidR="00F72DC5" w:rsidRPr="00001309" w:rsidRDefault="00F72DC5" w:rsidP="00F72DC5">
      <w:pPr>
        <w:keepNext/>
        <w:keepLines/>
        <w:autoSpaceDE w:val="0"/>
        <w:autoSpaceDN w:val="0"/>
        <w:rPr>
          <w:rFonts w:eastAsia="Calibri"/>
          <w:sz w:val="26"/>
          <w:szCs w:val="26"/>
        </w:rPr>
      </w:pPr>
    </w:p>
    <w:p w:rsidR="00F72DC5" w:rsidRPr="00D047F3" w:rsidRDefault="00F72DC5" w:rsidP="00F72DC5">
      <w:pPr>
        <w:autoSpaceDE w:val="0"/>
        <w:autoSpaceDN w:val="0"/>
        <w:rPr>
          <w:rFonts w:eastAsia="Calibri"/>
          <w:sz w:val="26"/>
          <w:szCs w:val="26"/>
        </w:rPr>
      </w:pPr>
      <w:r w:rsidRPr="00001309">
        <w:rPr>
          <w:rFonts w:eastAsia="Calibri"/>
          <w:sz w:val="26"/>
          <w:szCs w:val="26"/>
        </w:rPr>
        <w:t xml:space="preserve">The Complainants, relying on </w:t>
      </w:r>
      <w:r w:rsidRPr="00001309">
        <w:rPr>
          <w:rFonts w:eastAsia="Calibri"/>
          <w:i/>
          <w:sz w:val="26"/>
          <w:szCs w:val="26"/>
        </w:rPr>
        <w:t>IDT</w:t>
      </w:r>
      <w:r w:rsidRPr="00001309">
        <w:rPr>
          <w:rFonts w:eastAsia="Calibri"/>
          <w:sz w:val="26"/>
          <w:szCs w:val="26"/>
        </w:rPr>
        <w:t>, reply that the Commission has previously resolved this question</w:t>
      </w:r>
      <w:r w:rsidR="005D4E02">
        <w:rPr>
          <w:rFonts w:eastAsia="Calibri"/>
          <w:sz w:val="26"/>
          <w:szCs w:val="26"/>
        </w:rPr>
        <w:t xml:space="preserve"> of whether the Commission has authority to direct EGSs to issue refunds to customers</w:t>
      </w:r>
      <w:r w:rsidRPr="00001309">
        <w:rPr>
          <w:rFonts w:eastAsia="Calibri"/>
          <w:sz w:val="26"/>
          <w:szCs w:val="26"/>
        </w:rPr>
        <w:t xml:space="preserve">.  </w:t>
      </w:r>
      <w:r w:rsidRPr="00001309">
        <w:rPr>
          <w:rFonts w:eastAsia="Calibri"/>
          <w:i/>
          <w:sz w:val="26"/>
          <w:szCs w:val="26"/>
        </w:rPr>
        <w:t xml:space="preserve">See </w:t>
      </w:r>
      <w:r w:rsidRPr="00001309">
        <w:rPr>
          <w:rFonts w:eastAsia="Calibri"/>
          <w:sz w:val="26"/>
          <w:szCs w:val="26"/>
        </w:rPr>
        <w:t xml:space="preserve">R.Exc. at 23; </w:t>
      </w:r>
      <w:proofErr w:type="gramStart"/>
      <w:r w:rsidRPr="00001309">
        <w:rPr>
          <w:rFonts w:eastAsia="Calibri"/>
          <w:i/>
          <w:sz w:val="26"/>
          <w:szCs w:val="26"/>
        </w:rPr>
        <w:t>also</w:t>
      </w:r>
      <w:proofErr w:type="gramEnd"/>
      <w:r w:rsidRPr="00001309">
        <w:rPr>
          <w:rFonts w:eastAsia="Calibri"/>
          <w:i/>
          <w:sz w:val="26"/>
          <w:szCs w:val="26"/>
        </w:rPr>
        <w:t xml:space="preserve"> Werle v. Respond Power, LLC</w:t>
      </w:r>
      <w:r w:rsidRPr="00001309">
        <w:rPr>
          <w:rFonts w:eastAsia="Calibri"/>
          <w:sz w:val="26"/>
          <w:szCs w:val="26"/>
        </w:rPr>
        <w:t xml:space="preserve">, </w:t>
      </w:r>
      <w:r w:rsidRPr="00001309">
        <w:rPr>
          <w:rFonts w:eastAsia="Calibri"/>
          <w:i/>
          <w:sz w:val="26"/>
          <w:szCs w:val="26"/>
        </w:rPr>
        <w:t xml:space="preserve">supra </w:t>
      </w:r>
      <w:r w:rsidRPr="00001309">
        <w:rPr>
          <w:rFonts w:eastAsia="Calibri"/>
          <w:sz w:val="26"/>
          <w:szCs w:val="26"/>
        </w:rPr>
        <w:t xml:space="preserve">and </w:t>
      </w:r>
      <w:r w:rsidRPr="00001309">
        <w:rPr>
          <w:rFonts w:eastAsia="Calibri"/>
          <w:i/>
          <w:sz w:val="26"/>
          <w:szCs w:val="26"/>
        </w:rPr>
        <w:t>Nadav v. Respond Power, LLC</w:t>
      </w:r>
      <w:r w:rsidRPr="00001309">
        <w:rPr>
          <w:rFonts w:eastAsia="Calibri"/>
          <w:sz w:val="26"/>
          <w:szCs w:val="26"/>
        </w:rPr>
        <w:t xml:space="preserve">, </w:t>
      </w:r>
      <w:r w:rsidRPr="00001309">
        <w:rPr>
          <w:rFonts w:eastAsia="Calibri"/>
          <w:i/>
          <w:sz w:val="26"/>
          <w:szCs w:val="26"/>
        </w:rPr>
        <w:t>supra</w:t>
      </w:r>
      <w:r w:rsidRPr="00001309">
        <w:rPr>
          <w:rFonts w:eastAsia="Calibri"/>
          <w:sz w:val="26"/>
          <w:szCs w:val="26"/>
        </w:rPr>
        <w:t xml:space="preserve">, </w:t>
      </w:r>
      <w:r w:rsidRPr="00001309">
        <w:rPr>
          <w:rFonts w:eastAsia="Calibri"/>
          <w:i/>
          <w:sz w:val="26"/>
          <w:szCs w:val="26"/>
        </w:rPr>
        <w:t xml:space="preserve">Durante v. Blue Pilot, LLC, </w:t>
      </w:r>
      <w:r w:rsidRPr="00001309">
        <w:rPr>
          <w:rFonts w:eastAsia="Calibri"/>
          <w:sz w:val="26"/>
          <w:szCs w:val="26"/>
        </w:rPr>
        <w:t>Docket No. F-2015-2487082 (Order entered March 14, 2016)</w:t>
      </w:r>
      <w:r w:rsidRPr="00001309">
        <w:rPr>
          <w:rFonts w:eastAsia="Calibri"/>
          <w:i/>
          <w:sz w:val="26"/>
          <w:szCs w:val="26"/>
        </w:rPr>
        <w:t>.</w:t>
      </w:r>
      <w:r w:rsidR="00D047F3">
        <w:rPr>
          <w:rFonts w:eastAsia="Calibri"/>
          <w:i/>
          <w:sz w:val="26"/>
          <w:szCs w:val="26"/>
        </w:rPr>
        <w:t xml:space="preserve">  </w:t>
      </w:r>
      <w:r w:rsidR="00D047F3">
        <w:rPr>
          <w:rFonts w:eastAsia="Calibri"/>
          <w:sz w:val="26"/>
          <w:szCs w:val="26"/>
        </w:rPr>
        <w:t xml:space="preserve">The Complainants also </w:t>
      </w:r>
      <w:r w:rsidR="005D4E02">
        <w:rPr>
          <w:rFonts w:eastAsia="Calibri"/>
          <w:sz w:val="26"/>
          <w:szCs w:val="26"/>
        </w:rPr>
        <w:t>dispute that this proceeding is a class action lawsuit.  R.Exc. at 17-18.</w:t>
      </w:r>
      <w:r w:rsidR="00D047F3">
        <w:rPr>
          <w:rFonts w:eastAsia="Calibri"/>
          <w:sz w:val="26"/>
          <w:szCs w:val="26"/>
        </w:rPr>
        <w:t xml:space="preserve"> </w:t>
      </w:r>
    </w:p>
    <w:p w:rsidR="00F72DC5" w:rsidRPr="00001309" w:rsidRDefault="00F72DC5" w:rsidP="00F72DC5">
      <w:pPr>
        <w:autoSpaceDE w:val="0"/>
        <w:autoSpaceDN w:val="0"/>
        <w:rPr>
          <w:rFonts w:eastAsia="Calibri"/>
          <w:sz w:val="26"/>
        </w:rPr>
      </w:pPr>
    </w:p>
    <w:p w:rsidR="00F72DC5" w:rsidRPr="00001309" w:rsidRDefault="00F72DC5" w:rsidP="008D34CA">
      <w:pPr>
        <w:keepNext/>
        <w:keepLines/>
        <w:autoSpaceDE w:val="0"/>
        <w:autoSpaceDN w:val="0"/>
        <w:ind w:firstLine="720"/>
        <w:rPr>
          <w:rFonts w:eastAsia="Calibri"/>
          <w:b/>
          <w:sz w:val="26"/>
        </w:rPr>
      </w:pPr>
      <w:r w:rsidRPr="00001309">
        <w:rPr>
          <w:rFonts w:eastAsia="Calibri"/>
          <w:b/>
          <w:sz w:val="26"/>
        </w:rPr>
        <w:t>4.</w:t>
      </w:r>
      <w:r w:rsidRPr="00001309">
        <w:rPr>
          <w:rFonts w:eastAsia="Calibri"/>
          <w:b/>
          <w:sz w:val="26"/>
        </w:rPr>
        <w:tab/>
        <w:t xml:space="preserve">Disposition </w:t>
      </w:r>
    </w:p>
    <w:p w:rsidR="00F72DC5" w:rsidRPr="00001309" w:rsidRDefault="00F72DC5" w:rsidP="00F72DC5">
      <w:pPr>
        <w:keepNext/>
        <w:keepLines/>
        <w:autoSpaceDE w:val="0"/>
        <w:autoSpaceDN w:val="0"/>
        <w:rPr>
          <w:rFonts w:eastAsia="Calibri"/>
          <w:sz w:val="26"/>
        </w:rPr>
      </w:pPr>
    </w:p>
    <w:p w:rsidR="00B8634E" w:rsidRDefault="00B8634E" w:rsidP="00F72DC5">
      <w:pPr>
        <w:autoSpaceDE w:val="0"/>
        <w:autoSpaceDN w:val="0"/>
        <w:rPr>
          <w:sz w:val="26"/>
          <w:szCs w:val="26"/>
        </w:rPr>
      </w:pPr>
      <w:r>
        <w:rPr>
          <w:sz w:val="26"/>
          <w:szCs w:val="26"/>
        </w:rPr>
        <w:t xml:space="preserve">Blue Pilot has asserted various objections and defenses to the recommendations of the presiding ALJs concerning the rebilling of customers who were aggrieved by its failure to bill in accordance with its disclosure information.  Essentially, </w:t>
      </w:r>
      <w:r w:rsidRPr="00166434">
        <w:rPr>
          <w:sz w:val="26"/>
          <w:szCs w:val="26"/>
        </w:rPr>
        <w:t xml:space="preserve">Blue Pilot argues that the </w:t>
      </w:r>
      <w:r w:rsidR="00661EE2">
        <w:rPr>
          <w:sz w:val="26"/>
          <w:szCs w:val="26"/>
        </w:rPr>
        <w:t>Initial Decision</w:t>
      </w:r>
      <w:r w:rsidRPr="00166434">
        <w:rPr>
          <w:sz w:val="26"/>
          <w:szCs w:val="26"/>
        </w:rPr>
        <w:t xml:space="preserve"> erred by treating this proceeding as a </w:t>
      </w:r>
      <w:r>
        <w:rPr>
          <w:sz w:val="26"/>
          <w:szCs w:val="26"/>
        </w:rPr>
        <w:t>“</w:t>
      </w:r>
      <w:r w:rsidRPr="00166434">
        <w:rPr>
          <w:sz w:val="26"/>
          <w:szCs w:val="26"/>
        </w:rPr>
        <w:t>class-action</w:t>
      </w:r>
      <w:r>
        <w:rPr>
          <w:sz w:val="26"/>
          <w:szCs w:val="26"/>
        </w:rPr>
        <w:t>”</w:t>
      </w:r>
      <w:r w:rsidRPr="00166434">
        <w:rPr>
          <w:sz w:val="26"/>
          <w:szCs w:val="26"/>
        </w:rPr>
        <w:t xml:space="preserve"> lawsuit and that the Commission does not have authority to direct refunds to all customers.</w:t>
      </w:r>
    </w:p>
    <w:p w:rsidR="00B8634E" w:rsidRDefault="00B8634E" w:rsidP="00F72DC5">
      <w:pPr>
        <w:autoSpaceDE w:val="0"/>
        <w:autoSpaceDN w:val="0"/>
        <w:rPr>
          <w:sz w:val="26"/>
          <w:szCs w:val="26"/>
        </w:rPr>
      </w:pPr>
    </w:p>
    <w:p w:rsidR="00F72DC5" w:rsidRPr="00001309" w:rsidRDefault="00B8634E" w:rsidP="00F72DC5">
      <w:pPr>
        <w:autoSpaceDE w:val="0"/>
        <w:autoSpaceDN w:val="0"/>
        <w:rPr>
          <w:rFonts w:eastAsia="Calibri"/>
          <w:sz w:val="26"/>
        </w:rPr>
      </w:pPr>
      <w:r>
        <w:rPr>
          <w:sz w:val="26"/>
          <w:szCs w:val="26"/>
        </w:rPr>
        <w:t xml:space="preserve">We have carefully considered the arguments of Blue Pilot and </w:t>
      </w:r>
      <w:r w:rsidRPr="00166434">
        <w:rPr>
          <w:sz w:val="26"/>
          <w:szCs w:val="26"/>
        </w:rPr>
        <w:t>disagree</w:t>
      </w:r>
      <w:r>
        <w:rPr>
          <w:sz w:val="26"/>
          <w:szCs w:val="26"/>
        </w:rPr>
        <w:t xml:space="preserve">. </w:t>
      </w:r>
      <w:r w:rsidRPr="00166434">
        <w:rPr>
          <w:sz w:val="26"/>
          <w:szCs w:val="26"/>
        </w:rPr>
        <w:t xml:space="preserve"> </w:t>
      </w:r>
      <w:r>
        <w:rPr>
          <w:sz w:val="26"/>
          <w:szCs w:val="26"/>
        </w:rPr>
        <w:t xml:space="preserve">We shall, therefore, </w:t>
      </w:r>
      <w:r w:rsidRPr="00166434">
        <w:rPr>
          <w:sz w:val="26"/>
          <w:szCs w:val="26"/>
        </w:rPr>
        <w:t>deny Blue Pilot</w:t>
      </w:r>
      <w:r>
        <w:rPr>
          <w:sz w:val="26"/>
          <w:szCs w:val="26"/>
        </w:rPr>
        <w:t>’</w:t>
      </w:r>
      <w:r w:rsidRPr="00166434">
        <w:rPr>
          <w:sz w:val="26"/>
          <w:szCs w:val="26"/>
        </w:rPr>
        <w:t xml:space="preserve">s </w:t>
      </w:r>
      <w:r>
        <w:rPr>
          <w:sz w:val="26"/>
          <w:szCs w:val="26"/>
        </w:rPr>
        <w:t>E</w:t>
      </w:r>
      <w:r w:rsidRPr="00166434">
        <w:rPr>
          <w:sz w:val="26"/>
          <w:szCs w:val="26"/>
        </w:rPr>
        <w:t>xceptions on these</w:t>
      </w:r>
      <w:r>
        <w:rPr>
          <w:sz w:val="26"/>
          <w:szCs w:val="26"/>
        </w:rPr>
        <w:t xml:space="preserve"> issues. </w:t>
      </w:r>
      <w:r w:rsidRPr="00166434">
        <w:rPr>
          <w:sz w:val="26"/>
          <w:szCs w:val="26"/>
        </w:rPr>
        <w:t xml:space="preserve"> </w:t>
      </w:r>
      <w:r w:rsidR="00F72DC5" w:rsidRPr="00001309">
        <w:rPr>
          <w:rFonts w:eastAsia="Calibri"/>
          <w:sz w:val="26"/>
        </w:rPr>
        <w:t xml:space="preserve">We find that </w:t>
      </w:r>
      <w:r>
        <w:rPr>
          <w:rFonts w:eastAsia="Calibri"/>
          <w:sz w:val="26"/>
        </w:rPr>
        <w:t xml:space="preserve">our decision in </w:t>
      </w:r>
      <w:r w:rsidR="00F72DC5" w:rsidRPr="00001309">
        <w:rPr>
          <w:rFonts w:eastAsia="Calibri"/>
          <w:i/>
          <w:sz w:val="26"/>
        </w:rPr>
        <w:t>IDT</w:t>
      </w:r>
      <w:r w:rsidR="00F72DC5" w:rsidRPr="00001309">
        <w:rPr>
          <w:rFonts w:eastAsia="Calibri"/>
          <w:sz w:val="26"/>
        </w:rPr>
        <w:t xml:space="preserve"> substantially forecloses any attack on our authority to direct an EGS rebilling under the facts and circumstances involving, </w:t>
      </w:r>
      <w:r w:rsidR="00F72DC5" w:rsidRPr="00001309">
        <w:rPr>
          <w:rFonts w:eastAsia="Calibri"/>
          <w:i/>
          <w:sz w:val="26"/>
        </w:rPr>
        <w:t>inter alia</w:t>
      </w:r>
      <w:r w:rsidR="00F72DC5" w:rsidRPr="00001309">
        <w:rPr>
          <w:rFonts w:eastAsia="Calibri"/>
          <w:sz w:val="26"/>
        </w:rPr>
        <w:t xml:space="preserve">, the failure of the EGS to bill a customer in accordance with its disclosure statements and other information required by Commission Regulation, </w:t>
      </w:r>
      <w:proofErr w:type="gramStart"/>
      <w:r>
        <w:rPr>
          <w:rFonts w:eastAsia="Calibri"/>
          <w:sz w:val="26"/>
        </w:rPr>
        <w:t xml:space="preserve">so as </w:t>
      </w:r>
      <w:r w:rsidR="00F72DC5" w:rsidRPr="00001309">
        <w:rPr>
          <w:rFonts w:eastAsia="Calibri"/>
          <w:sz w:val="26"/>
        </w:rPr>
        <w:t>to</w:t>
      </w:r>
      <w:proofErr w:type="gramEnd"/>
      <w:r w:rsidR="00F72DC5" w:rsidRPr="00001309">
        <w:rPr>
          <w:rFonts w:eastAsia="Calibri"/>
          <w:sz w:val="26"/>
        </w:rPr>
        <w:t xml:space="preserve"> enable the customer to make an informed choice.</w:t>
      </w:r>
    </w:p>
    <w:p w:rsidR="00F72DC5" w:rsidRPr="00001309" w:rsidRDefault="00F72DC5" w:rsidP="00F72DC5">
      <w:pPr>
        <w:autoSpaceDE w:val="0"/>
        <w:autoSpaceDN w:val="0"/>
        <w:rPr>
          <w:rFonts w:eastAsia="Calibri"/>
          <w:sz w:val="26"/>
        </w:rPr>
      </w:pPr>
    </w:p>
    <w:p w:rsidR="00B8634E" w:rsidRDefault="00D047F3" w:rsidP="00B8634E">
      <w:pPr>
        <w:kinsoku w:val="0"/>
        <w:overflowPunct w:val="0"/>
        <w:ind w:right="-288"/>
        <w:textAlignment w:val="baseline"/>
        <w:rPr>
          <w:spacing w:val="-2"/>
          <w:sz w:val="26"/>
          <w:szCs w:val="26"/>
        </w:rPr>
      </w:pPr>
      <w:bookmarkStart w:id="38" w:name="_Hlk512265348"/>
      <w:r>
        <w:rPr>
          <w:spacing w:val="-2"/>
          <w:sz w:val="26"/>
          <w:szCs w:val="26"/>
        </w:rPr>
        <w:t>Moreover, t</w:t>
      </w:r>
      <w:r w:rsidR="00B8634E" w:rsidRPr="00166434">
        <w:rPr>
          <w:spacing w:val="-2"/>
          <w:sz w:val="26"/>
          <w:szCs w:val="26"/>
        </w:rPr>
        <w:t xml:space="preserve">he </w:t>
      </w:r>
      <w:r w:rsidR="00661EE2">
        <w:rPr>
          <w:spacing w:val="-2"/>
          <w:sz w:val="26"/>
          <w:szCs w:val="26"/>
        </w:rPr>
        <w:t>Initial Decision</w:t>
      </w:r>
      <w:r w:rsidR="00B8634E" w:rsidRPr="00166434">
        <w:rPr>
          <w:spacing w:val="-2"/>
          <w:sz w:val="26"/>
          <w:szCs w:val="26"/>
        </w:rPr>
        <w:t xml:space="preserve"> at page 54 is clear that this proceeding is not a class action lawsuit under the rules of civil procedure. </w:t>
      </w:r>
      <w:r w:rsidR="00B8634E">
        <w:rPr>
          <w:spacing w:val="-2"/>
          <w:sz w:val="26"/>
          <w:szCs w:val="26"/>
        </w:rPr>
        <w:t xml:space="preserve"> </w:t>
      </w:r>
      <w:r>
        <w:rPr>
          <w:spacing w:val="-2"/>
          <w:sz w:val="26"/>
          <w:szCs w:val="26"/>
        </w:rPr>
        <w:t>T</w:t>
      </w:r>
      <w:r w:rsidR="00B8634E" w:rsidRPr="00166434">
        <w:rPr>
          <w:spacing w:val="-2"/>
          <w:sz w:val="26"/>
          <w:szCs w:val="26"/>
        </w:rPr>
        <w:t xml:space="preserve">he cases that Blue Pilot relies on to support its position that a complaint may not be brought on behalf of other similarly-situated </w:t>
      </w:r>
      <w:r w:rsidR="00B8634E" w:rsidRPr="00166434">
        <w:rPr>
          <w:spacing w:val="-2"/>
          <w:sz w:val="26"/>
          <w:szCs w:val="26"/>
        </w:rPr>
        <w:lastRenderedPageBreak/>
        <w:t>customers are not applicable here.</w:t>
      </w:r>
      <w:r w:rsidR="00C9521E">
        <w:rPr>
          <w:rStyle w:val="FootnoteReference"/>
          <w:spacing w:val="-2"/>
          <w:sz w:val="26"/>
          <w:szCs w:val="26"/>
        </w:rPr>
        <w:footnoteReference w:id="38"/>
      </w:r>
      <w:r w:rsidR="00B8634E" w:rsidRPr="00166434">
        <w:rPr>
          <w:spacing w:val="-2"/>
          <w:sz w:val="26"/>
          <w:szCs w:val="26"/>
        </w:rPr>
        <w:t xml:space="preserve"> </w:t>
      </w:r>
      <w:r w:rsidR="00B8634E">
        <w:rPr>
          <w:spacing w:val="-2"/>
          <w:sz w:val="26"/>
          <w:szCs w:val="26"/>
        </w:rPr>
        <w:t xml:space="preserve"> </w:t>
      </w:r>
      <w:r w:rsidR="00B8634E" w:rsidRPr="00166434">
        <w:rPr>
          <w:spacing w:val="-2"/>
          <w:sz w:val="26"/>
          <w:szCs w:val="26"/>
        </w:rPr>
        <w:t>The cases cited by Blue Pilot involve</w:t>
      </w:r>
      <w:r w:rsidR="00B8634E">
        <w:rPr>
          <w:spacing w:val="-2"/>
          <w:sz w:val="26"/>
          <w:szCs w:val="26"/>
        </w:rPr>
        <w:t>d</w:t>
      </w:r>
      <w:r w:rsidR="00B8634E" w:rsidRPr="00166434">
        <w:rPr>
          <w:spacing w:val="-2"/>
          <w:sz w:val="26"/>
          <w:szCs w:val="26"/>
        </w:rPr>
        <w:t xml:space="preserve"> individual complainants who do not have standing to represent the interests of other </w:t>
      </w:r>
      <w:r w:rsidR="00B8634E">
        <w:rPr>
          <w:spacing w:val="-2"/>
          <w:sz w:val="26"/>
          <w:szCs w:val="26"/>
        </w:rPr>
        <w:t>“</w:t>
      </w:r>
      <w:r w:rsidR="00B8634E" w:rsidRPr="00166434">
        <w:rPr>
          <w:spacing w:val="-2"/>
          <w:sz w:val="26"/>
          <w:szCs w:val="26"/>
        </w:rPr>
        <w:t>similarly situated</w:t>
      </w:r>
      <w:r w:rsidR="00B8634E">
        <w:rPr>
          <w:spacing w:val="-2"/>
          <w:sz w:val="26"/>
          <w:szCs w:val="26"/>
        </w:rPr>
        <w:t>”</w:t>
      </w:r>
      <w:r w:rsidR="00B8634E" w:rsidRPr="00166434">
        <w:rPr>
          <w:spacing w:val="-2"/>
          <w:sz w:val="26"/>
          <w:szCs w:val="26"/>
        </w:rPr>
        <w:t xml:space="preserve"> customers before the Commission. </w:t>
      </w:r>
      <w:r w:rsidR="00CE02A3">
        <w:rPr>
          <w:spacing w:val="-2"/>
          <w:sz w:val="26"/>
          <w:szCs w:val="26"/>
        </w:rPr>
        <w:t xml:space="preserve"> </w:t>
      </w:r>
      <w:r w:rsidR="00B8634E" w:rsidRPr="00166434">
        <w:rPr>
          <w:spacing w:val="-2"/>
          <w:sz w:val="26"/>
          <w:szCs w:val="26"/>
        </w:rPr>
        <w:t xml:space="preserve">This is not the situation here. </w:t>
      </w:r>
      <w:r w:rsidR="00B8634E">
        <w:rPr>
          <w:spacing w:val="-2"/>
          <w:sz w:val="26"/>
          <w:szCs w:val="26"/>
        </w:rPr>
        <w:t xml:space="preserve"> </w:t>
      </w:r>
      <w:r w:rsidR="00B8634E" w:rsidRPr="00166434">
        <w:rPr>
          <w:spacing w:val="-2"/>
          <w:sz w:val="26"/>
          <w:szCs w:val="26"/>
        </w:rPr>
        <w:t xml:space="preserve">Rather, </w:t>
      </w:r>
      <w:r w:rsidR="00493721">
        <w:rPr>
          <w:spacing w:val="-2"/>
          <w:sz w:val="26"/>
          <w:szCs w:val="26"/>
        </w:rPr>
        <w:t xml:space="preserve">the </w:t>
      </w:r>
      <w:r w:rsidR="00B8634E" w:rsidRPr="00166434">
        <w:rPr>
          <w:spacing w:val="-2"/>
          <w:sz w:val="26"/>
          <w:szCs w:val="26"/>
        </w:rPr>
        <w:t xml:space="preserve">Joint Complainants brought this </w:t>
      </w:r>
      <w:r w:rsidR="00C23E97">
        <w:rPr>
          <w:spacing w:val="-2"/>
          <w:sz w:val="26"/>
          <w:szCs w:val="26"/>
        </w:rPr>
        <w:t>c</w:t>
      </w:r>
      <w:r w:rsidR="00B8634E" w:rsidRPr="00166434">
        <w:rPr>
          <w:spacing w:val="-2"/>
          <w:sz w:val="26"/>
          <w:szCs w:val="26"/>
        </w:rPr>
        <w:t xml:space="preserve">ase pursuant to their statutory authority and in </w:t>
      </w:r>
      <w:r w:rsidR="00C23E97">
        <w:rPr>
          <w:spacing w:val="-2"/>
          <w:sz w:val="26"/>
          <w:szCs w:val="26"/>
        </w:rPr>
        <w:t xml:space="preserve">prosecuted the matter in </w:t>
      </w:r>
      <w:r w:rsidR="00B8634E" w:rsidRPr="00166434">
        <w:rPr>
          <w:spacing w:val="-2"/>
          <w:sz w:val="26"/>
          <w:szCs w:val="26"/>
        </w:rPr>
        <w:t>their representative capacities on behalf of consumers and the public interest.</w:t>
      </w:r>
    </w:p>
    <w:p w:rsidR="00C23E97" w:rsidRPr="00166434" w:rsidRDefault="00C23E97" w:rsidP="00B8634E">
      <w:pPr>
        <w:kinsoku w:val="0"/>
        <w:overflowPunct w:val="0"/>
        <w:ind w:right="-288"/>
        <w:textAlignment w:val="baseline"/>
        <w:rPr>
          <w:spacing w:val="-2"/>
          <w:sz w:val="26"/>
          <w:szCs w:val="26"/>
        </w:rPr>
      </w:pPr>
    </w:p>
    <w:p w:rsidR="00C23E97" w:rsidRPr="00166434" w:rsidRDefault="00C23E97" w:rsidP="00C23E97">
      <w:pPr>
        <w:kinsoku w:val="0"/>
        <w:overflowPunct w:val="0"/>
        <w:ind w:right="-288"/>
        <w:textAlignment w:val="baseline"/>
        <w:rPr>
          <w:spacing w:val="-2"/>
          <w:sz w:val="26"/>
          <w:szCs w:val="26"/>
        </w:rPr>
      </w:pPr>
      <w:r w:rsidRPr="00166434">
        <w:rPr>
          <w:spacing w:val="-2"/>
          <w:sz w:val="26"/>
          <w:szCs w:val="26"/>
        </w:rPr>
        <w:t xml:space="preserve">The </w:t>
      </w:r>
      <w:r w:rsidR="00661EE2">
        <w:rPr>
          <w:spacing w:val="-2"/>
          <w:sz w:val="26"/>
          <w:szCs w:val="26"/>
        </w:rPr>
        <w:t>Initial Decision</w:t>
      </w:r>
      <w:r w:rsidRPr="00166434">
        <w:rPr>
          <w:spacing w:val="-2"/>
          <w:sz w:val="26"/>
          <w:szCs w:val="26"/>
        </w:rPr>
        <w:t xml:space="preserve"> directs Blue Pilot to issue refunds to affected customers for overbilling in violation of Section 54.4(a) of our </w:t>
      </w:r>
      <w:r>
        <w:rPr>
          <w:spacing w:val="-2"/>
          <w:sz w:val="26"/>
          <w:szCs w:val="26"/>
        </w:rPr>
        <w:t>R</w:t>
      </w:r>
      <w:r w:rsidRPr="00166434">
        <w:rPr>
          <w:spacing w:val="-2"/>
          <w:sz w:val="26"/>
          <w:szCs w:val="26"/>
        </w:rPr>
        <w:t xml:space="preserve">egulations. </w:t>
      </w:r>
      <w:r>
        <w:rPr>
          <w:spacing w:val="-2"/>
          <w:sz w:val="26"/>
          <w:szCs w:val="26"/>
        </w:rPr>
        <w:t xml:space="preserve"> </w:t>
      </w:r>
      <w:r w:rsidRPr="00166434">
        <w:rPr>
          <w:spacing w:val="-2"/>
          <w:sz w:val="26"/>
          <w:szCs w:val="26"/>
        </w:rPr>
        <w:t xml:space="preserve">As noted in the </w:t>
      </w:r>
      <w:r w:rsidR="00661EE2">
        <w:rPr>
          <w:spacing w:val="-2"/>
          <w:sz w:val="26"/>
          <w:szCs w:val="26"/>
        </w:rPr>
        <w:t>Initial Decision</w:t>
      </w:r>
      <w:r w:rsidRPr="00166434">
        <w:rPr>
          <w:spacing w:val="-2"/>
          <w:sz w:val="26"/>
          <w:szCs w:val="26"/>
        </w:rPr>
        <w:t>, the record evidence is that there was at least one violation of Section 54.4(a) concerning each affected customer</w:t>
      </w:r>
      <w:r>
        <w:rPr>
          <w:spacing w:val="-2"/>
          <w:sz w:val="26"/>
          <w:szCs w:val="26"/>
        </w:rPr>
        <w:t>’</w:t>
      </w:r>
      <w:r w:rsidRPr="00166434">
        <w:rPr>
          <w:spacing w:val="-2"/>
          <w:sz w:val="26"/>
          <w:szCs w:val="26"/>
        </w:rPr>
        <w:t>s account.</w:t>
      </w:r>
    </w:p>
    <w:p w:rsidR="00C23E97" w:rsidRDefault="00C23E97" w:rsidP="00C23E97">
      <w:pPr>
        <w:kinsoku w:val="0"/>
        <w:overflowPunct w:val="0"/>
        <w:ind w:right="-288"/>
        <w:textAlignment w:val="baseline"/>
        <w:rPr>
          <w:spacing w:val="-2"/>
          <w:sz w:val="26"/>
          <w:szCs w:val="26"/>
        </w:rPr>
      </w:pPr>
    </w:p>
    <w:p w:rsidR="00C23E97" w:rsidRPr="00166434" w:rsidRDefault="00C23E97" w:rsidP="00C23E97">
      <w:pPr>
        <w:kinsoku w:val="0"/>
        <w:overflowPunct w:val="0"/>
        <w:textAlignment w:val="baseline"/>
        <w:rPr>
          <w:spacing w:val="-2"/>
          <w:sz w:val="26"/>
          <w:szCs w:val="26"/>
        </w:rPr>
      </w:pPr>
      <w:r w:rsidRPr="00166434">
        <w:rPr>
          <w:spacing w:val="-2"/>
          <w:sz w:val="26"/>
          <w:szCs w:val="26"/>
        </w:rPr>
        <w:t xml:space="preserve">Upon review, </w:t>
      </w:r>
      <w:r>
        <w:rPr>
          <w:spacing w:val="-2"/>
          <w:sz w:val="26"/>
          <w:szCs w:val="26"/>
        </w:rPr>
        <w:t>we</w:t>
      </w:r>
      <w:r w:rsidRPr="00166434">
        <w:rPr>
          <w:spacing w:val="-2"/>
          <w:sz w:val="26"/>
          <w:szCs w:val="26"/>
        </w:rPr>
        <w:t xml:space="preserve"> </w:t>
      </w:r>
      <w:r>
        <w:rPr>
          <w:spacing w:val="-2"/>
          <w:sz w:val="26"/>
          <w:szCs w:val="26"/>
        </w:rPr>
        <w:t>conclude that</w:t>
      </w:r>
      <w:r w:rsidRPr="00166434">
        <w:rPr>
          <w:spacing w:val="-2"/>
          <w:sz w:val="26"/>
          <w:szCs w:val="26"/>
        </w:rPr>
        <w:t xml:space="preserve"> </w:t>
      </w:r>
      <w:r>
        <w:rPr>
          <w:spacing w:val="-2"/>
          <w:sz w:val="26"/>
          <w:szCs w:val="26"/>
        </w:rPr>
        <w:t>we</w:t>
      </w:r>
      <w:r w:rsidRPr="00166434">
        <w:rPr>
          <w:spacing w:val="-2"/>
          <w:sz w:val="26"/>
          <w:szCs w:val="26"/>
        </w:rPr>
        <w:t xml:space="preserve"> ha</w:t>
      </w:r>
      <w:r>
        <w:rPr>
          <w:spacing w:val="-2"/>
          <w:sz w:val="26"/>
          <w:szCs w:val="26"/>
        </w:rPr>
        <w:t>ve</w:t>
      </w:r>
      <w:r w:rsidRPr="00166434">
        <w:rPr>
          <w:spacing w:val="-2"/>
          <w:sz w:val="26"/>
          <w:szCs w:val="26"/>
        </w:rPr>
        <w:t xml:space="preserve"> the authority to order across-the-board relief to all </w:t>
      </w:r>
      <w:r>
        <w:rPr>
          <w:spacing w:val="-2"/>
          <w:sz w:val="26"/>
          <w:szCs w:val="26"/>
        </w:rPr>
        <w:t>a</w:t>
      </w:r>
      <w:r w:rsidRPr="00166434">
        <w:rPr>
          <w:spacing w:val="-2"/>
          <w:sz w:val="26"/>
          <w:szCs w:val="26"/>
        </w:rPr>
        <w:t xml:space="preserve">ffected customers pursuant to </w:t>
      </w:r>
      <w:r>
        <w:rPr>
          <w:spacing w:val="-2"/>
          <w:sz w:val="26"/>
          <w:szCs w:val="26"/>
        </w:rPr>
        <w:t>our</w:t>
      </w:r>
      <w:r w:rsidRPr="00166434">
        <w:rPr>
          <w:spacing w:val="-2"/>
          <w:sz w:val="26"/>
          <w:szCs w:val="26"/>
        </w:rPr>
        <w:t xml:space="preserve"> plenary authority under Section 501 of the </w:t>
      </w:r>
      <w:r>
        <w:rPr>
          <w:spacing w:val="-2"/>
          <w:sz w:val="26"/>
          <w:szCs w:val="26"/>
        </w:rPr>
        <w:t>C</w:t>
      </w:r>
      <w:r w:rsidRPr="00166434">
        <w:rPr>
          <w:spacing w:val="-2"/>
          <w:sz w:val="26"/>
          <w:szCs w:val="26"/>
        </w:rPr>
        <w:t>ode</w:t>
      </w:r>
      <w:r>
        <w:rPr>
          <w:spacing w:val="-2"/>
          <w:sz w:val="26"/>
          <w:szCs w:val="26"/>
        </w:rPr>
        <w:t>, 66 Pa. C.S</w:t>
      </w:r>
      <w:r w:rsidRPr="00166434">
        <w:rPr>
          <w:spacing w:val="-2"/>
          <w:sz w:val="26"/>
          <w:szCs w:val="26"/>
        </w:rPr>
        <w:t>.</w:t>
      </w:r>
      <w:r>
        <w:rPr>
          <w:spacing w:val="-2"/>
          <w:sz w:val="26"/>
          <w:szCs w:val="26"/>
        </w:rPr>
        <w:t xml:space="preserve"> § 501.</w:t>
      </w:r>
      <w:r w:rsidRPr="00166434">
        <w:rPr>
          <w:spacing w:val="-2"/>
          <w:sz w:val="26"/>
          <w:szCs w:val="26"/>
        </w:rPr>
        <w:t xml:space="preserve"> </w:t>
      </w:r>
      <w:r>
        <w:rPr>
          <w:spacing w:val="-2"/>
          <w:sz w:val="26"/>
          <w:szCs w:val="26"/>
        </w:rPr>
        <w:t xml:space="preserve"> </w:t>
      </w:r>
      <w:r w:rsidRPr="00166434">
        <w:rPr>
          <w:spacing w:val="-2"/>
          <w:sz w:val="26"/>
          <w:szCs w:val="26"/>
        </w:rPr>
        <w:t>Th</w:t>
      </w:r>
      <w:r>
        <w:rPr>
          <w:spacing w:val="-2"/>
          <w:sz w:val="26"/>
          <w:szCs w:val="26"/>
        </w:rPr>
        <w:t>is</w:t>
      </w:r>
      <w:r w:rsidRPr="00166434">
        <w:rPr>
          <w:spacing w:val="-2"/>
          <w:sz w:val="26"/>
          <w:szCs w:val="26"/>
        </w:rPr>
        <w:t xml:space="preserve"> Commission </w:t>
      </w:r>
      <w:r>
        <w:rPr>
          <w:spacing w:val="-2"/>
          <w:sz w:val="26"/>
          <w:szCs w:val="26"/>
        </w:rPr>
        <w:t xml:space="preserve">has, </w:t>
      </w:r>
      <w:r w:rsidRPr="00166434">
        <w:rPr>
          <w:spacing w:val="-2"/>
          <w:sz w:val="26"/>
          <w:szCs w:val="26"/>
        </w:rPr>
        <w:t>on numerous occasions</w:t>
      </w:r>
      <w:r>
        <w:rPr>
          <w:spacing w:val="-2"/>
          <w:sz w:val="26"/>
          <w:szCs w:val="26"/>
        </w:rPr>
        <w:t>,</w:t>
      </w:r>
      <w:r w:rsidRPr="00166434">
        <w:rPr>
          <w:spacing w:val="-2"/>
          <w:sz w:val="26"/>
          <w:szCs w:val="26"/>
        </w:rPr>
        <w:t xml:space="preserve"> stated that it may require EGSs to provide refunds to retail customers in appropriate circumstances.</w:t>
      </w:r>
      <w:r>
        <w:rPr>
          <w:spacing w:val="-2"/>
          <w:sz w:val="26"/>
          <w:szCs w:val="26"/>
        </w:rPr>
        <w:t xml:space="preserve">  </w:t>
      </w:r>
      <w:r w:rsidRPr="00166434">
        <w:rPr>
          <w:i/>
          <w:iCs/>
          <w:sz w:val="26"/>
          <w:szCs w:val="26"/>
        </w:rPr>
        <w:t xml:space="preserve">See, e.g., Joseph Nadav v. Respond Power, LLC, </w:t>
      </w:r>
      <w:r w:rsidRPr="00166434">
        <w:rPr>
          <w:sz w:val="26"/>
          <w:szCs w:val="26"/>
        </w:rPr>
        <w:t>C-2014-2429159 (Opinion and Order entered December 19, 2014).</w:t>
      </w:r>
      <w:r w:rsidRPr="00166434">
        <w:rPr>
          <w:spacing w:val="-2"/>
          <w:sz w:val="26"/>
          <w:szCs w:val="26"/>
        </w:rPr>
        <w:t xml:space="preserve"> </w:t>
      </w:r>
      <w:r>
        <w:rPr>
          <w:spacing w:val="-2"/>
          <w:sz w:val="26"/>
          <w:szCs w:val="26"/>
        </w:rPr>
        <w:t xml:space="preserve"> </w:t>
      </w:r>
      <w:r w:rsidRPr="00166434">
        <w:rPr>
          <w:spacing w:val="-2"/>
          <w:sz w:val="26"/>
          <w:szCs w:val="26"/>
        </w:rPr>
        <w:t>These circumstances include</w:t>
      </w:r>
      <w:r>
        <w:rPr>
          <w:spacing w:val="-2"/>
          <w:sz w:val="26"/>
          <w:szCs w:val="26"/>
        </w:rPr>
        <w:t xml:space="preserve">, </w:t>
      </w:r>
      <w:r>
        <w:rPr>
          <w:i/>
          <w:spacing w:val="-2"/>
          <w:sz w:val="26"/>
          <w:szCs w:val="26"/>
        </w:rPr>
        <w:t>inter alia</w:t>
      </w:r>
      <w:r>
        <w:rPr>
          <w:spacing w:val="-2"/>
          <w:sz w:val="26"/>
          <w:szCs w:val="26"/>
        </w:rPr>
        <w:t>,</w:t>
      </w:r>
      <w:r w:rsidRPr="00166434">
        <w:rPr>
          <w:spacing w:val="-2"/>
          <w:sz w:val="26"/>
          <w:szCs w:val="26"/>
        </w:rPr>
        <w:t xml:space="preserve"> when an EGS has billed customers in violation of the Commission</w:t>
      </w:r>
      <w:r>
        <w:rPr>
          <w:spacing w:val="-2"/>
          <w:sz w:val="26"/>
          <w:szCs w:val="26"/>
        </w:rPr>
        <w:t>’</w:t>
      </w:r>
      <w:r w:rsidRPr="00166434">
        <w:rPr>
          <w:spacing w:val="-2"/>
          <w:sz w:val="26"/>
          <w:szCs w:val="26"/>
        </w:rPr>
        <w:t xml:space="preserve">s Chapter 54 marketing and billing </w:t>
      </w:r>
      <w:r>
        <w:rPr>
          <w:spacing w:val="-2"/>
          <w:sz w:val="26"/>
          <w:szCs w:val="26"/>
        </w:rPr>
        <w:t>R</w:t>
      </w:r>
      <w:r w:rsidRPr="00166434">
        <w:rPr>
          <w:spacing w:val="-2"/>
          <w:sz w:val="26"/>
          <w:szCs w:val="26"/>
        </w:rPr>
        <w:t xml:space="preserve">egulations. </w:t>
      </w:r>
      <w:r>
        <w:rPr>
          <w:spacing w:val="-2"/>
          <w:sz w:val="26"/>
          <w:szCs w:val="26"/>
        </w:rPr>
        <w:t xml:space="preserve"> </w:t>
      </w:r>
      <w:r w:rsidRPr="00166434">
        <w:rPr>
          <w:spacing w:val="-2"/>
          <w:sz w:val="26"/>
          <w:szCs w:val="26"/>
        </w:rPr>
        <w:t xml:space="preserve">Specifically, the Commission in the </w:t>
      </w:r>
      <w:r w:rsidRPr="00166434">
        <w:rPr>
          <w:i/>
          <w:spacing w:val="-2"/>
          <w:sz w:val="26"/>
          <w:szCs w:val="26"/>
        </w:rPr>
        <w:t>IDT</w:t>
      </w:r>
      <w:r w:rsidRPr="00166434">
        <w:rPr>
          <w:spacing w:val="-2"/>
          <w:sz w:val="26"/>
          <w:szCs w:val="26"/>
        </w:rPr>
        <w:t xml:space="preserve"> Order determined that it has plenary authority under Section 501 of the Code to enforce the consumer protection provisions of the Electric Competition Act and direct an EGS to issue a credit or refund for an overbill that violates our Chapter 54 </w:t>
      </w:r>
      <w:r w:rsidR="00661EE2">
        <w:rPr>
          <w:spacing w:val="-2"/>
          <w:sz w:val="26"/>
          <w:szCs w:val="26"/>
        </w:rPr>
        <w:t>R</w:t>
      </w:r>
      <w:r w:rsidRPr="00166434">
        <w:rPr>
          <w:spacing w:val="-2"/>
          <w:sz w:val="26"/>
          <w:szCs w:val="26"/>
        </w:rPr>
        <w:t>egulations.</w:t>
      </w:r>
    </w:p>
    <w:p w:rsidR="00C23E97" w:rsidRDefault="00C23E97" w:rsidP="00C23E97">
      <w:pPr>
        <w:kinsoku w:val="0"/>
        <w:overflowPunct w:val="0"/>
        <w:ind w:right="-288"/>
        <w:textAlignment w:val="baseline"/>
        <w:rPr>
          <w:sz w:val="26"/>
          <w:szCs w:val="26"/>
        </w:rPr>
      </w:pPr>
    </w:p>
    <w:p w:rsidR="00C23E97" w:rsidRPr="00166434" w:rsidRDefault="00C23E97" w:rsidP="00C23E97">
      <w:pPr>
        <w:kinsoku w:val="0"/>
        <w:overflowPunct w:val="0"/>
        <w:ind w:right="-288"/>
        <w:textAlignment w:val="baseline"/>
        <w:rPr>
          <w:sz w:val="26"/>
          <w:szCs w:val="26"/>
        </w:rPr>
      </w:pPr>
      <w:r>
        <w:rPr>
          <w:sz w:val="26"/>
          <w:szCs w:val="26"/>
        </w:rPr>
        <w:lastRenderedPageBreak/>
        <w:t>Based on the foregoing, we shall d</w:t>
      </w:r>
      <w:r w:rsidRPr="00166434">
        <w:rPr>
          <w:sz w:val="26"/>
          <w:szCs w:val="26"/>
        </w:rPr>
        <w:t xml:space="preserve">irect Blue Pilot to remit $2,508,449 into a Refund Pool to provide billing adjustments to the </w:t>
      </w:r>
      <w:r>
        <w:rPr>
          <w:sz w:val="26"/>
          <w:szCs w:val="26"/>
        </w:rPr>
        <w:t>eligible</w:t>
      </w:r>
      <w:r w:rsidRPr="00166434">
        <w:rPr>
          <w:sz w:val="26"/>
          <w:szCs w:val="26"/>
        </w:rPr>
        <w:t xml:space="preserve"> variable rate customers who were overcharged from December 2013 through March 2014 in violation of the Commission's </w:t>
      </w:r>
      <w:r>
        <w:rPr>
          <w:sz w:val="26"/>
          <w:szCs w:val="26"/>
        </w:rPr>
        <w:t>R</w:t>
      </w:r>
      <w:r w:rsidRPr="00166434">
        <w:rPr>
          <w:sz w:val="26"/>
          <w:szCs w:val="26"/>
        </w:rPr>
        <w:t xml:space="preserve">egulations. </w:t>
      </w:r>
      <w:r>
        <w:rPr>
          <w:sz w:val="26"/>
          <w:szCs w:val="26"/>
        </w:rPr>
        <w:t xml:space="preserve"> </w:t>
      </w:r>
      <w:r w:rsidRPr="00166434">
        <w:rPr>
          <w:sz w:val="26"/>
          <w:szCs w:val="26"/>
        </w:rPr>
        <w:t>This re</w:t>
      </w:r>
      <w:r>
        <w:rPr>
          <w:sz w:val="26"/>
          <w:szCs w:val="26"/>
        </w:rPr>
        <w:t>billed</w:t>
      </w:r>
      <w:r w:rsidRPr="00166434">
        <w:rPr>
          <w:sz w:val="26"/>
          <w:szCs w:val="26"/>
        </w:rPr>
        <w:t xml:space="preserve"> amount is based on the price differential between what Blue Pilot charged versus the relevant EDC</w:t>
      </w:r>
      <w:r>
        <w:rPr>
          <w:sz w:val="26"/>
          <w:szCs w:val="26"/>
        </w:rPr>
        <w:t>’</w:t>
      </w:r>
      <w:r w:rsidRPr="00166434">
        <w:rPr>
          <w:sz w:val="26"/>
          <w:szCs w:val="26"/>
        </w:rPr>
        <w:t xml:space="preserve">s price to compare during the overbilling period and includes $100,000 in administrative fees. </w:t>
      </w:r>
      <w:r>
        <w:rPr>
          <w:sz w:val="26"/>
          <w:szCs w:val="26"/>
        </w:rPr>
        <w:t xml:space="preserve"> We will further direct t</w:t>
      </w:r>
      <w:r w:rsidRPr="00166434">
        <w:rPr>
          <w:sz w:val="26"/>
          <w:szCs w:val="26"/>
        </w:rPr>
        <w:t>hat Blue Pilot prioritize the payment of this refund amount over the payment of the civil penalty amount referenced herein.</w:t>
      </w:r>
    </w:p>
    <w:bookmarkEnd w:id="38"/>
    <w:p w:rsidR="00F72DC5" w:rsidRPr="00001309" w:rsidRDefault="00F72DC5" w:rsidP="00F72DC5">
      <w:pPr>
        <w:autoSpaceDE w:val="0"/>
        <w:autoSpaceDN w:val="0"/>
        <w:rPr>
          <w:rFonts w:eastAsia="Calibri"/>
          <w:sz w:val="26"/>
        </w:rPr>
      </w:pPr>
    </w:p>
    <w:p w:rsidR="00F72DC5" w:rsidRPr="00DA689B" w:rsidRDefault="00F72DC5" w:rsidP="00992AA2">
      <w:pPr>
        <w:pStyle w:val="Heading1"/>
        <w:ind w:firstLine="0"/>
        <w:jc w:val="center"/>
        <w:rPr>
          <w:rFonts w:ascii="Times New Roman" w:eastAsia="Calibri" w:hAnsi="Times New Roman" w:cs="Times New Roman"/>
          <w:color w:val="auto"/>
          <w:sz w:val="26"/>
        </w:rPr>
      </w:pPr>
      <w:bookmarkStart w:id="39" w:name="_Toc517831045"/>
      <w:r w:rsidRPr="00DA689B">
        <w:rPr>
          <w:rFonts w:ascii="Times New Roman" w:eastAsia="Times New Roman" w:hAnsi="Times New Roman" w:cs="Times New Roman"/>
          <w:b/>
          <w:color w:val="auto"/>
          <w:sz w:val="26"/>
          <w:szCs w:val="26"/>
        </w:rPr>
        <w:t>V.</w:t>
      </w:r>
      <w:r w:rsidRPr="00DA689B">
        <w:rPr>
          <w:rFonts w:ascii="Times New Roman" w:eastAsia="Times New Roman" w:hAnsi="Times New Roman" w:cs="Times New Roman"/>
          <w:b/>
          <w:color w:val="auto"/>
          <w:sz w:val="26"/>
          <w:szCs w:val="26"/>
        </w:rPr>
        <w:tab/>
        <w:t>CONCLUSION</w:t>
      </w:r>
      <w:bookmarkEnd w:id="39"/>
    </w:p>
    <w:p w:rsidR="00F72DC5" w:rsidRPr="00001309" w:rsidRDefault="00F72DC5" w:rsidP="00F72DC5">
      <w:pPr>
        <w:keepNext/>
        <w:keepLines/>
        <w:autoSpaceDE w:val="0"/>
        <w:autoSpaceDN w:val="0"/>
        <w:rPr>
          <w:rFonts w:eastAsia="Times New Roman"/>
          <w:sz w:val="26"/>
          <w:szCs w:val="26"/>
        </w:rPr>
      </w:pPr>
    </w:p>
    <w:p w:rsidR="00F72DC5" w:rsidRPr="00001309" w:rsidRDefault="00F72DC5" w:rsidP="00AD02B2">
      <w:pPr>
        <w:autoSpaceDE w:val="0"/>
        <w:autoSpaceDN w:val="0"/>
        <w:rPr>
          <w:rFonts w:eastAsia="Calibri"/>
          <w:spacing w:val="0"/>
          <w:sz w:val="26"/>
        </w:rPr>
      </w:pPr>
      <w:r w:rsidRPr="00001309">
        <w:rPr>
          <w:rFonts w:eastAsia="Times New Roman"/>
          <w:sz w:val="26"/>
          <w:szCs w:val="26"/>
        </w:rPr>
        <w:t xml:space="preserve">On consideration of the record, the Initial Decision, the Exceptions, and the Replies to the Exceptions, we shall grant Blue Pilot’s Exceptions, in limited part, and deny them, in major part, </w:t>
      </w:r>
      <w:r w:rsidR="00C23E97">
        <w:rPr>
          <w:rFonts w:eastAsia="Times New Roman"/>
          <w:sz w:val="26"/>
          <w:szCs w:val="26"/>
        </w:rPr>
        <w:t>deny</w:t>
      </w:r>
      <w:r w:rsidRPr="00001309">
        <w:rPr>
          <w:rFonts w:eastAsia="Times New Roman"/>
          <w:sz w:val="26"/>
          <w:szCs w:val="26"/>
        </w:rPr>
        <w:t xml:space="preserve"> the RESA Petition, </w:t>
      </w:r>
      <w:r w:rsidR="00AD02B2">
        <w:rPr>
          <w:rFonts w:eastAsia="Times New Roman"/>
          <w:sz w:val="26"/>
          <w:szCs w:val="26"/>
        </w:rPr>
        <w:t xml:space="preserve">and modify the ALJs’ Initial Decision </w:t>
      </w:r>
      <w:r w:rsidRPr="00001309">
        <w:rPr>
          <w:rFonts w:eastAsia="Times New Roman"/>
          <w:sz w:val="26"/>
          <w:szCs w:val="26"/>
        </w:rPr>
        <w:t>consistent with the discussion in this Opinion and Order</w:t>
      </w:r>
      <w:r w:rsidR="00AD02B2">
        <w:rPr>
          <w:rFonts w:eastAsia="Times New Roman"/>
          <w:sz w:val="26"/>
          <w:szCs w:val="26"/>
        </w:rPr>
        <w:t>;</w:t>
      </w:r>
      <w:r w:rsidR="004D2148">
        <w:rPr>
          <w:rFonts w:eastAsia="Times New Roman"/>
          <w:sz w:val="26"/>
          <w:szCs w:val="26"/>
        </w:rPr>
        <w:t xml:space="preserve">  </w:t>
      </w:r>
      <w:r w:rsidRPr="00001309">
        <w:rPr>
          <w:rFonts w:eastAsia="Times New Roman"/>
          <w:b/>
          <w:sz w:val="26"/>
          <w:szCs w:val="26"/>
        </w:rPr>
        <w:t>THEREFORE</w:t>
      </w:r>
      <w:r w:rsidRPr="00001309">
        <w:rPr>
          <w:rFonts w:eastAsia="Times New Roman"/>
          <w:sz w:val="26"/>
          <w:szCs w:val="26"/>
        </w:rPr>
        <w:t>,</w:t>
      </w:r>
    </w:p>
    <w:p w:rsidR="00F72DC5" w:rsidRPr="00001309" w:rsidRDefault="00F72DC5" w:rsidP="00F72DC5">
      <w:pPr>
        <w:tabs>
          <w:tab w:val="left" w:pos="-1440"/>
          <w:tab w:val="left" w:pos="-720"/>
          <w:tab w:val="left" w:pos="0"/>
          <w:tab w:val="left" w:pos="720"/>
          <w:tab w:val="left" w:pos="1440"/>
        </w:tabs>
        <w:ind w:firstLine="0"/>
        <w:rPr>
          <w:rFonts w:eastAsia="Times New Roman"/>
          <w:sz w:val="26"/>
          <w:szCs w:val="26"/>
        </w:rPr>
      </w:pPr>
    </w:p>
    <w:p w:rsidR="00F72DC5" w:rsidRPr="00001309" w:rsidRDefault="00F72DC5" w:rsidP="00D17BF5">
      <w:pPr>
        <w:keepNext/>
        <w:keepLines/>
        <w:tabs>
          <w:tab w:val="left" w:pos="-1440"/>
          <w:tab w:val="left" w:pos="-720"/>
          <w:tab w:val="left" w:pos="0"/>
          <w:tab w:val="left" w:pos="720"/>
          <w:tab w:val="left" w:pos="1440"/>
        </w:tabs>
        <w:ind w:firstLine="0"/>
        <w:rPr>
          <w:rFonts w:eastAsia="Times New Roman"/>
          <w:sz w:val="26"/>
          <w:szCs w:val="26"/>
        </w:rPr>
      </w:pPr>
      <w:r w:rsidRPr="00001309">
        <w:rPr>
          <w:rFonts w:eastAsia="Times New Roman"/>
          <w:sz w:val="26"/>
          <w:szCs w:val="26"/>
        </w:rPr>
        <w:tab/>
      </w:r>
      <w:r w:rsidRPr="00001309">
        <w:rPr>
          <w:rFonts w:eastAsia="Times New Roman"/>
          <w:sz w:val="26"/>
          <w:szCs w:val="26"/>
        </w:rPr>
        <w:tab/>
      </w:r>
      <w:r w:rsidRPr="00001309">
        <w:rPr>
          <w:rFonts w:eastAsia="Times New Roman"/>
          <w:b/>
          <w:sz w:val="26"/>
          <w:szCs w:val="26"/>
        </w:rPr>
        <w:t>IT IS ORDERED</w:t>
      </w:r>
      <w:r w:rsidRPr="00001309">
        <w:rPr>
          <w:rFonts w:eastAsia="Times New Roman"/>
          <w:sz w:val="26"/>
          <w:szCs w:val="26"/>
        </w:rPr>
        <w:t>:</w:t>
      </w:r>
    </w:p>
    <w:p w:rsidR="00F72DC5" w:rsidRPr="00001309" w:rsidRDefault="00F72DC5" w:rsidP="00D17BF5">
      <w:pPr>
        <w:keepNext/>
        <w:keepLines/>
        <w:autoSpaceDE w:val="0"/>
        <w:autoSpaceDN w:val="0"/>
        <w:adjustRightInd w:val="0"/>
        <w:rPr>
          <w:rFonts w:eastAsia="Calibri"/>
          <w:spacing w:val="0"/>
          <w:sz w:val="26"/>
          <w:szCs w:val="26"/>
        </w:rPr>
      </w:pPr>
    </w:p>
    <w:p w:rsidR="00D14FA3" w:rsidRPr="00001309" w:rsidRDefault="00F72DC5" w:rsidP="00D14FA3">
      <w:pPr>
        <w:autoSpaceDE w:val="0"/>
        <w:autoSpaceDN w:val="0"/>
        <w:rPr>
          <w:rFonts w:eastAsia="Times New Roman"/>
          <w:sz w:val="26"/>
          <w:szCs w:val="26"/>
        </w:rPr>
      </w:pPr>
      <w:r w:rsidRPr="00001309">
        <w:rPr>
          <w:rFonts w:eastAsia="Calibri"/>
          <w:spacing w:val="0"/>
          <w:sz w:val="26"/>
          <w:szCs w:val="26"/>
        </w:rPr>
        <w:t>1.</w:t>
      </w:r>
      <w:r w:rsidRPr="00001309">
        <w:rPr>
          <w:rFonts w:eastAsia="Calibri"/>
          <w:spacing w:val="0"/>
          <w:sz w:val="26"/>
          <w:szCs w:val="26"/>
        </w:rPr>
        <w:tab/>
      </w:r>
      <w:r w:rsidR="007561F4" w:rsidRPr="00001309">
        <w:rPr>
          <w:rFonts w:eastAsia="Calibri"/>
          <w:spacing w:val="0"/>
          <w:sz w:val="26"/>
          <w:szCs w:val="26"/>
        </w:rPr>
        <w:t>That the Exceptions</w:t>
      </w:r>
      <w:r w:rsidR="00AE436F" w:rsidRPr="00001309">
        <w:rPr>
          <w:rFonts w:eastAsia="Calibri"/>
          <w:spacing w:val="0"/>
          <w:sz w:val="26"/>
          <w:szCs w:val="26"/>
        </w:rPr>
        <w:t>,</w:t>
      </w:r>
      <w:r w:rsidR="007561F4" w:rsidRPr="00001309">
        <w:rPr>
          <w:rFonts w:eastAsia="Calibri"/>
          <w:spacing w:val="0"/>
          <w:sz w:val="26"/>
          <w:szCs w:val="26"/>
        </w:rPr>
        <w:t xml:space="preserve"> </w:t>
      </w:r>
      <w:r w:rsidR="00AE436F" w:rsidRPr="00001309">
        <w:rPr>
          <w:rFonts w:eastAsia="Times New Roman"/>
          <w:sz w:val="26"/>
          <w:szCs w:val="26"/>
        </w:rPr>
        <w:t xml:space="preserve">filed by Blue Pilot on July 27, 2016, </w:t>
      </w:r>
      <w:r w:rsidR="00D14FA3" w:rsidRPr="00001309">
        <w:rPr>
          <w:rFonts w:eastAsia="Times New Roman"/>
          <w:sz w:val="26"/>
          <w:szCs w:val="26"/>
        </w:rPr>
        <w:t xml:space="preserve">to the Initial Decision </w:t>
      </w:r>
      <w:r w:rsidR="00AE436F" w:rsidRPr="00001309">
        <w:rPr>
          <w:rFonts w:eastAsia="Times New Roman"/>
          <w:sz w:val="26"/>
          <w:szCs w:val="26"/>
        </w:rPr>
        <w:t>of Administrative Law Judge Elizabeth H. Barnes and Joel H. Cheskis</w:t>
      </w:r>
      <w:r w:rsidR="00B62BB5" w:rsidRPr="00001309">
        <w:rPr>
          <w:rFonts w:eastAsia="Times New Roman"/>
          <w:sz w:val="26"/>
          <w:szCs w:val="26"/>
        </w:rPr>
        <w:t xml:space="preserve">, which was issued on July 7, 2016, </w:t>
      </w:r>
      <w:r w:rsidR="00B538B1" w:rsidRPr="00001309">
        <w:rPr>
          <w:rFonts w:eastAsia="Times New Roman"/>
          <w:sz w:val="26"/>
          <w:szCs w:val="26"/>
        </w:rPr>
        <w:t>are granted, in limited part, and denied, in major part, consistent with this Opinion and Order.</w:t>
      </w:r>
    </w:p>
    <w:p w:rsidR="00B538B1" w:rsidRPr="00001309" w:rsidRDefault="00B538B1" w:rsidP="00D14FA3">
      <w:pPr>
        <w:autoSpaceDE w:val="0"/>
        <w:autoSpaceDN w:val="0"/>
        <w:rPr>
          <w:sz w:val="26"/>
          <w:szCs w:val="26"/>
        </w:rPr>
      </w:pPr>
    </w:p>
    <w:p w:rsidR="00B538B1" w:rsidRPr="00001309" w:rsidRDefault="00B538B1" w:rsidP="00D14FA3">
      <w:pPr>
        <w:autoSpaceDE w:val="0"/>
        <w:autoSpaceDN w:val="0"/>
        <w:rPr>
          <w:sz w:val="26"/>
          <w:szCs w:val="26"/>
        </w:rPr>
      </w:pPr>
      <w:r w:rsidRPr="00001309">
        <w:rPr>
          <w:sz w:val="26"/>
          <w:szCs w:val="26"/>
        </w:rPr>
        <w:t>2.</w:t>
      </w:r>
      <w:r w:rsidRPr="00001309">
        <w:rPr>
          <w:sz w:val="26"/>
          <w:szCs w:val="26"/>
        </w:rPr>
        <w:tab/>
        <w:t xml:space="preserve">That the </w:t>
      </w:r>
      <w:r w:rsidR="00C4339A" w:rsidRPr="00001309">
        <w:rPr>
          <w:sz w:val="26"/>
          <w:szCs w:val="26"/>
        </w:rPr>
        <w:t xml:space="preserve">Petition to Intervene or, in in the Alternative, Motion for Leave to Accept Exception, that was filed by the Retail Energy Supply Association on July 27, 2016, </w:t>
      </w:r>
      <w:r w:rsidR="00E0645D" w:rsidRPr="00001309">
        <w:rPr>
          <w:sz w:val="26"/>
          <w:szCs w:val="26"/>
        </w:rPr>
        <w:t xml:space="preserve">is </w:t>
      </w:r>
      <w:r w:rsidR="00E0645D" w:rsidRPr="00001309">
        <w:rPr>
          <w:rFonts w:eastAsia="Times New Roman"/>
          <w:sz w:val="26"/>
          <w:szCs w:val="26"/>
        </w:rPr>
        <w:t>d</w:t>
      </w:r>
      <w:r w:rsidR="00C23E97">
        <w:rPr>
          <w:rFonts w:eastAsia="Times New Roman"/>
          <w:sz w:val="26"/>
          <w:szCs w:val="26"/>
        </w:rPr>
        <w:t>enied</w:t>
      </w:r>
      <w:r w:rsidR="00E0645D" w:rsidRPr="00001309">
        <w:rPr>
          <w:rFonts w:eastAsia="Times New Roman"/>
          <w:sz w:val="26"/>
          <w:szCs w:val="26"/>
        </w:rPr>
        <w:t>, consistent with this Opinion and Order.</w:t>
      </w:r>
    </w:p>
    <w:p w:rsidR="00D14FA3" w:rsidRPr="00001309" w:rsidRDefault="00D14FA3" w:rsidP="00D14FA3">
      <w:pPr>
        <w:autoSpaceDE w:val="0"/>
        <w:autoSpaceDN w:val="0"/>
        <w:rPr>
          <w:sz w:val="26"/>
          <w:szCs w:val="26"/>
        </w:rPr>
      </w:pPr>
    </w:p>
    <w:p w:rsidR="007561F4" w:rsidRPr="00001309" w:rsidRDefault="00E0645D" w:rsidP="00F72DC5">
      <w:pPr>
        <w:autoSpaceDE w:val="0"/>
        <w:autoSpaceDN w:val="0"/>
        <w:adjustRightInd w:val="0"/>
        <w:rPr>
          <w:rFonts w:eastAsia="Calibri"/>
          <w:spacing w:val="0"/>
          <w:sz w:val="26"/>
          <w:szCs w:val="26"/>
        </w:rPr>
      </w:pPr>
      <w:r w:rsidRPr="00001309">
        <w:rPr>
          <w:rFonts w:eastAsia="Calibri"/>
          <w:spacing w:val="0"/>
          <w:sz w:val="26"/>
          <w:szCs w:val="26"/>
        </w:rPr>
        <w:lastRenderedPageBreak/>
        <w:t>3.</w:t>
      </w:r>
      <w:r w:rsidRPr="00001309">
        <w:rPr>
          <w:rFonts w:eastAsia="Calibri"/>
          <w:spacing w:val="0"/>
          <w:sz w:val="26"/>
          <w:szCs w:val="26"/>
        </w:rPr>
        <w:tab/>
        <w:t xml:space="preserve">That the </w:t>
      </w:r>
      <w:r w:rsidRPr="00001309">
        <w:rPr>
          <w:rFonts w:eastAsia="Times New Roman"/>
          <w:sz w:val="26"/>
          <w:szCs w:val="26"/>
        </w:rPr>
        <w:t xml:space="preserve">Initial Decision of Administrative Law Judge Elizabeth H. Barnes and Joel H. Cheskis, which was issued on July 7, 2016, is </w:t>
      </w:r>
      <w:r w:rsidR="003C327E">
        <w:rPr>
          <w:rFonts w:eastAsia="Times New Roman"/>
          <w:sz w:val="26"/>
          <w:szCs w:val="26"/>
        </w:rPr>
        <w:t xml:space="preserve">reversed, in part, </w:t>
      </w:r>
      <w:r w:rsidRPr="00001309">
        <w:rPr>
          <w:rFonts w:eastAsia="Times New Roman"/>
          <w:sz w:val="26"/>
          <w:szCs w:val="26"/>
        </w:rPr>
        <w:t xml:space="preserve">consistent with this </w:t>
      </w:r>
      <w:r w:rsidR="007046AB" w:rsidRPr="00001309">
        <w:rPr>
          <w:rFonts w:eastAsia="Times New Roman"/>
          <w:sz w:val="26"/>
          <w:szCs w:val="26"/>
        </w:rPr>
        <w:t>Opinion and Order.</w:t>
      </w:r>
    </w:p>
    <w:p w:rsidR="00E0645D" w:rsidRPr="00001309" w:rsidRDefault="00E0645D" w:rsidP="00F72DC5">
      <w:pPr>
        <w:autoSpaceDE w:val="0"/>
        <w:autoSpaceDN w:val="0"/>
        <w:adjustRightInd w:val="0"/>
        <w:rPr>
          <w:rFonts w:eastAsia="Calibri"/>
          <w:spacing w:val="0"/>
          <w:sz w:val="26"/>
          <w:szCs w:val="26"/>
        </w:rPr>
      </w:pPr>
    </w:p>
    <w:p w:rsidR="00F72DC5" w:rsidRPr="00001309" w:rsidRDefault="007046AB" w:rsidP="00F72DC5">
      <w:pPr>
        <w:autoSpaceDE w:val="0"/>
        <w:autoSpaceDN w:val="0"/>
        <w:adjustRightInd w:val="0"/>
        <w:rPr>
          <w:rFonts w:eastAsia="Calibri"/>
          <w:spacing w:val="0"/>
          <w:sz w:val="26"/>
          <w:szCs w:val="26"/>
        </w:rPr>
      </w:pPr>
      <w:r w:rsidRPr="00001309">
        <w:rPr>
          <w:rFonts w:eastAsia="Calibri"/>
          <w:spacing w:val="0"/>
          <w:sz w:val="26"/>
          <w:szCs w:val="26"/>
        </w:rPr>
        <w:t>4.</w:t>
      </w:r>
      <w:r w:rsidRPr="00001309">
        <w:rPr>
          <w:rFonts w:eastAsia="Calibri"/>
          <w:spacing w:val="0"/>
          <w:sz w:val="26"/>
          <w:szCs w:val="26"/>
        </w:rPr>
        <w:tab/>
      </w:r>
      <w:r w:rsidR="00F72DC5" w:rsidRPr="00001309">
        <w:rPr>
          <w:rFonts w:eastAsia="Calibri"/>
          <w:spacing w:val="0"/>
          <w:sz w:val="26"/>
          <w:szCs w:val="26"/>
        </w:rPr>
        <w:t xml:space="preserve">That the </w:t>
      </w:r>
      <w:r w:rsidRPr="00001309">
        <w:rPr>
          <w:rFonts w:eastAsia="Calibri"/>
          <w:spacing w:val="0"/>
          <w:sz w:val="26"/>
          <w:szCs w:val="26"/>
        </w:rPr>
        <w:t xml:space="preserve">Formal </w:t>
      </w:r>
      <w:r w:rsidR="00F72DC5" w:rsidRPr="00001309">
        <w:rPr>
          <w:rFonts w:eastAsia="Calibri"/>
          <w:spacing w:val="0"/>
          <w:sz w:val="26"/>
          <w:szCs w:val="26"/>
        </w:rPr>
        <w:t>Complaint filed</w:t>
      </w:r>
      <w:r w:rsidR="003C3CE7" w:rsidRPr="00001309">
        <w:rPr>
          <w:rFonts w:eastAsia="Times New Roman"/>
          <w:sz w:val="26"/>
          <w:szCs w:val="26"/>
        </w:rPr>
        <w:t xml:space="preserve"> on June 20, 2014, </w:t>
      </w:r>
      <w:r w:rsidR="00F72DC5" w:rsidRPr="00001309">
        <w:rPr>
          <w:rFonts w:eastAsia="Calibri"/>
          <w:spacing w:val="0"/>
          <w:sz w:val="26"/>
          <w:szCs w:val="26"/>
        </w:rPr>
        <w:t xml:space="preserve">by </w:t>
      </w:r>
      <w:r w:rsidRPr="00001309">
        <w:rPr>
          <w:rFonts w:eastAsia="Calibri"/>
          <w:spacing w:val="0"/>
          <w:sz w:val="26"/>
          <w:szCs w:val="26"/>
        </w:rPr>
        <w:t xml:space="preserve">the </w:t>
      </w:r>
      <w:r w:rsidRPr="00001309">
        <w:rPr>
          <w:rFonts w:eastAsia="Times New Roman"/>
          <w:sz w:val="26"/>
          <w:szCs w:val="26"/>
        </w:rPr>
        <w:t>Commonwealth of Pennsylvania, by Attorney General Kathleen G. Kane and Tanya</w:t>
      </w:r>
      <w:r w:rsidR="003C3CE7" w:rsidRPr="00001309">
        <w:rPr>
          <w:rFonts w:eastAsia="Times New Roman"/>
          <w:sz w:val="26"/>
          <w:szCs w:val="26"/>
        </w:rPr>
        <w:t> </w:t>
      </w:r>
      <w:r w:rsidRPr="00001309">
        <w:rPr>
          <w:rFonts w:eastAsia="Times New Roman"/>
          <w:sz w:val="26"/>
          <w:szCs w:val="26"/>
        </w:rPr>
        <w:t>J.</w:t>
      </w:r>
      <w:r w:rsidR="003C3CE7" w:rsidRPr="00001309">
        <w:rPr>
          <w:rFonts w:eastAsia="Times New Roman"/>
          <w:sz w:val="26"/>
          <w:szCs w:val="26"/>
        </w:rPr>
        <w:t> </w:t>
      </w:r>
      <w:r w:rsidRPr="00001309">
        <w:rPr>
          <w:rFonts w:eastAsia="Times New Roman"/>
          <w:sz w:val="26"/>
          <w:szCs w:val="26"/>
        </w:rPr>
        <w:t xml:space="preserve">McCloskey, Acting Consumer Advocate, </w:t>
      </w:r>
      <w:r w:rsidR="00F72DC5" w:rsidRPr="00001309">
        <w:rPr>
          <w:rFonts w:eastAsia="Calibri"/>
          <w:spacing w:val="0"/>
          <w:sz w:val="26"/>
          <w:szCs w:val="26"/>
        </w:rPr>
        <w:t>against Blue Pilot Energy, LLC</w:t>
      </w:r>
      <w:r w:rsidRPr="00001309">
        <w:rPr>
          <w:rFonts w:eastAsia="Calibri"/>
          <w:spacing w:val="0"/>
          <w:sz w:val="26"/>
          <w:szCs w:val="26"/>
        </w:rPr>
        <w:t>,</w:t>
      </w:r>
      <w:r w:rsidR="00F72DC5" w:rsidRPr="00001309">
        <w:rPr>
          <w:rFonts w:eastAsia="Calibri"/>
          <w:spacing w:val="0"/>
          <w:sz w:val="26"/>
          <w:szCs w:val="26"/>
        </w:rPr>
        <w:t xml:space="preserve"> at Docket No. C-2014-2427655</w:t>
      </w:r>
      <w:r w:rsidR="003C3CE7" w:rsidRPr="00001309">
        <w:rPr>
          <w:rFonts w:eastAsia="Calibri"/>
          <w:spacing w:val="0"/>
          <w:sz w:val="26"/>
          <w:szCs w:val="26"/>
        </w:rPr>
        <w:t>,</w:t>
      </w:r>
      <w:r w:rsidR="00F72DC5" w:rsidRPr="00001309">
        <w:rPr>
          <w:rFonts w:eastAsia="Calibri"/>
          <w:spacing w:val="0"/>
          <w:sz w:val="26"/>
          <w:szCs w:val="26"/>
        </w:rPr>
        <w:t xml:space="preserve"> is hereby sustained, in part, and dismissed, in part, consistent with the directives in this Opinion and Order.</w:t>
      </w:r>
    </w:p>
    <w:p w:rsidR="00F72DC5" w:rsidRPr="00001309" w:rsidRDefault="00F72DC5" w:rsidP="00F72DC5">
      <w:pPr>
        <w:autoSpaceDE w:val="0"/>
        <w:autoSpaceDN w:val="0"/>
        <w:adjustRightInd w:val="0"/>
        <w:rPr>
          <w:rFonts w:eastAsia="Calibri"/>
          <w:spacing w:val="0"/>
          <w:sz w:val="26"/>
          <w:szCs w:val="26"/>
        </w:rPr>
      </w:pPr>
    </w:p>
    <w:p w:rsidR="00F72DC5" w:rsidRPr="00D561DD" w:rsidRDefault="009F6779" w:rsidP="00F72DC5">
      <w:pPr>
        <w:autoSpaceDE w:val="0"/>
        <w:autoSpaceDN w:val="0"/>
        <w:adjustRightInd w:val="0"/>
        <w:rPr>
          <w:rFonts w:eastAsia="Calibri"/>
          <w:spacing w:val="0"/>
          <w:sz w:val="26"/>
          <w:szCs w:val="26"/>
        </w:rPr>
      </w:pPr>
      <w:r w:rsidRPr="00001309">
        <w:rPr>
          <w:rFonts w:eastAsia="Calibri"/>
          <w:spacing w:val="0"/>
          <w:sz w:val="26"/>
          <w:szCs w:val="26"/>
        </w:rPr>
        <w:t>5</w:t>
      </w:r>
      <w:r w:rsidR="00F72DC5" w:rsidRPr="00001309">
        <w:rPr>
          <w:rFonts w:eastAsia="Calibri"/>
          <w:spacing w:val="0"/>
          <w:sz w:val="26"/>
          <w:szCs w:val="26"/>
        </w:rPr>
        <w:t>.</w:t>
      </w:r>
      <w:r w:rsidR="00F72DC5" w:rsidRPr="00001309">
        <w:rPr>
          <w:rFonts w:eastAsia="Calibri"/>
          <w:spacing w:val="0"/>
          <w:sz w:val="26"/>
          <w:szCs w:val="26"/>
        </w:rPr>
        <w:tab/>
        <w:t xml:space="preserve">That the civil penalty of </w:t>
      </w:r>
      <w:r w:rsidR="00F72DC5" w:rsidRPr="00001309">
        <w:rPr>
          <w:rFonts w:eastAsia="Calibri"/>
          <w:sz w:val="26"/>
          <w:szCs w:val="26"/>
        </w:rPr>
        <w:t xml:space="preserve">$2,554,000, which was recommended by the ALJs in </w:t>
      </w:r>
      <w:r w:rsidR="00F72DC5" w:rsidRPr="00001309">
        <w:rPr>
          <w:rFonts w:eastAsia="Calibri"/>
          <w:spacing w:val="0"/>
          <w:sz w:val="26"/>
          <w:szCs w:val="26"/>
        </w:rPr>
        <w:t>the Initial Decision, is, hereby</w:t>
      </w:r>
      <w:r w:rsidR="006100C7">
        <w:rPr>
          <w:rFonts w:eastAsia="Calibri"/>
          <w:spacing w:val="0"/>
          <w:sz w:val="26"/>
          <w:szCs w:val="26"/>
        </w:rPr>
        <w:t xml:space="preserve"> </w:t>
      </w:r>
      <w:r w:rsidR="00CB2F91">
        <w:rPr>
          <w:rFonts w:eastAsia="Calibri"/>
          <w:spacing w:val="0"/>
          <w:sz w:val="26"/>
          <w:szCs w:val="26"/>
        </w:rPr>
        <w:t>modified</w:t>
      </w:r>
      <w:r w:rsidR="0021060D">
        <w:rPr>
          <w:rFonts w:eastAsia="Calibri"/>
          <w:spacing w:val="0"/>
          <w:sz w:val="26"/>
          <w:szCs w:val="26"/>
        </w:rPr>
        <w:t xml:space="preserve"> to $1,066,900, consistent with this Opinion and Order</w:t>
      </w:r>
      <w:r w:rsidR="00F72DC5" w:rsidRPr="00D561DD">
        <w:rPr>
          <w:rFonts w:eastAsia="Calibri"/>
          <w:spacing w:val="0"/>
          <w:sz w:val="26"/>
          <w:szCs w:val="26"/>
        </w:rPr>
        <w:t>.</w:t>
      </w:r>
    </w:p>
    <w:p w:rsidR="00F72DC5" w:rsidRPr="00001309" w:rsidRDefault="00F72DC5" w:rsidP="00F72DC5">
      <w:pPr>
        <w:autoSpaceDE w:val="0"/>
        <w:autoSpaceDN w:val="0"/>
        <w:adjustRightInd w:val="0"/>
        <w:rPr>
          <w:rFonts w:eastAsia="Calibri"/>
          <w:spacing w:val="0"/>
          <w:sz w:val="26"/>
          <w:szCs w:val="26"/>
        </w:rPr>
      </w:pPr>
    </w:p>
    <w:p w:rsidR="00A314F1" w:rsidRPr="00001309" w:rsidRDefault="009F6779" w:rsidP="003C3CE7">
      <w:pPr>
        <w:tabs>
          <w:tab w:val="left" w:pos="1440"/>
        </w:tabs>
        <w:rPr>
          <w:rFonts w:eastAsia="Calibri"/>
          <w:spacing w:val="0"/>
          <w:sz w:val="26"/>
          <w:szCs w:val="26"/>
        </w:rPr>
      </w:pPr>
      <w:r w:rsidRPr="00001309">
        <w:rPr>
          <w:sz w:val="26"/>
          <w:szCs w:val="26"/>
        </w:rPr>
        <w:t>6</w:t>
      </w:r>
      <w:r w:rsidR="00E029F8" w:rsidRPr="00001309">
        <w:rPr>
          <w:rFonts w:eastAsia="Calibri"/>
          <w:spacing w:val="0"/>
          <w:sz w:val="26"/>
          <w:szCs w:val="26"/>
        </w:rPr>
        <w:t>.</w:t>
      </w:r>
      <w:r w:rsidR="00E029F8" w:rsidRPr="00001309">
        <w:rPr>
          <w:rFonts w:eastAsia="Calibri"/>
          <w:spacing w:val="0"/>
          <w:sz w:val="26"/>
          <w:szCs w:val="26"/>
        </w:rPr>
        <w:tab/>
      </w:r>
      <w:r w:rsidR="00A314F1" w:rsidRPr="00001309">
        <w:rPr>
          <w:rFonts w:eastAsia="Calibri"/>
          <w:spacing w:val="0"/>
          <w:sz w:val="26"/>
          <w:szCs w:val="26"/>
        </w:rPr>
        <w:t>That, in accordance with Section 3301 of the Public Utility Code, 66</w:t>
      </w:r>
      <w:r w:rsidR="003F4D70" w:rsidRPr="00001309">
        <w:rPr>
          <w:rFonts w:eastAsia="Calibri"/>
          <w:spacing w:val="0"/>
          <w:sz w:val="26"/>
          <w:szCs w:val="26"/>
        </w:rPr>
        <w:t> </w:t>
      </w:r>
      <w:r w:rsidR="00A35069">
        <w:rPr>
          <w:rFonts w:eastAsia="Calibri"/>
          <w:spacing w:val="0"/>
          <w:sz w:val="26"/>
          <w:szCs w:val="26"/>
        </w:rPr>
        <w:t xml:space="preserve">Pa.C.S. </w:t>
      </w:r>
      <w:r w:rsidR="00A314F1" w:rsidRPr="00001309">
        <w:rPr>
          <w:rFonts w:eastAsia="Calibri"/>
          <w:spacing w:val="0"/>
          <w:sz w:val="26"/>
          <w:szCs w:val="26"/>
        </w:rPr>
        <w:t xml:space="preserve"> § 3301, within thirty (30) days </w:t>
      </w:r>
      <w:r w:rsidR="00133ED6" w:rsidRPr="00001309">
        <w:rPr>
          <w:rFonts w:eastAsia="Calibri"/>
          <w:spacing w:val="0"/>
          <w:sz w:val="26"/>
          <w:szCs w:val="26"/>
        </w:rPr>
        <w:t xml:space="preserve">of the date </w:t>
      </w:r>
      <w:r w:rsidR="00A314F1" w:rsidRPr="00001309">
        <w:rPr>
          <w:rFonts w:eastAsia="Calibri"/>
          <w:spacing w:val="0"/>
          <w:sz w:val="26"/>
          <w:szCs w:val="26"/>
        </w:rPr>
        <w:t>of entry of this Opinion and Order</w:t>
      </w:r>
      <w:r w:rsidR="00133ED6" w:rsidRPr="00001309">
        <w:rPr>
          <w:rFonts w:eastAsia="Calibri"/>
          <w:spacing w:val="0"/>
          <w:sz w:val="26"/>
          <w:szCs w:val="26"/>
        </w:rPr>
        <w:t>,</w:t>
      </w:r>
      <w:r w:rsidR="00A314F1" w:rsidRPr="00001309">
        <w:rPr>
          <w:rFonts w:eastAsia="Calibri"/>
          <w:spacing w:val="0"/>
          <w:sz w:val="26"/>
          <w:szCs w:val="26"/>
        </w:rPr>
        <w:t xml:space="preserve"> </w:t>
      </w:r>
      <w:r w:rsidR="00133ED6" w:rsidRPr="00001309">
        <w:rPr>
          <w:rFonts w:eastAsia="Calibri"/>
          <w:spacing w:val="0"/>
          <w:sz w:val="26"/>
          <w:szCs w:val="26"/>
        </w:rPr>
        <w:t xml:space="preserve">Blue Pilot Energy, LLC, </w:t>
      </w:r>
      <w:r w:rsidR="00A314F1" w:rsidRPr="00001309">
        <w:rPr>
          <w:rFonts w:eastAsia="Calibri"/>
          <w:spacing w:val="0"/>
          <w:sz w:val="26"/>
          <w:szCs w:val="26"/>
        </w:rPr>
        <w:t xml:space="preserve">shall pay a civil penalty in the amount of </w:t>
      </w:r>
      <w:r w:rsidR="00C23E97">
        <w:rPr>
          <w:rFonts w:eastAsia="Calibri"/>
          <w:spacing w:val="0"/>
          <w:sz w:val="26"/>
          <w:szCs w:val="26"/>
        </w:rPr>
        <w:t>One</w:t>
      </w:r>
      <w:r w:rsidR="00133ED6" w:rsidRPr="00001309">
        <w:rPr>
          <w:rFonts w:eastAsia="Calibri"/>
          <w:spacing w:val="0"/>
          <w:sz w:val="26"/>
          <w:szCs w:val="26"/>
        </w:rPr>
        <w:t xml:space="preserve"> million </w:t>
      </w:r>
      <w:r w:rsidR="00C23E97">
        <w:rPr>
          <w:rFonts w:eastAsia="Calibri"/>
          <w:spacing w:val="0"/>
          <w:sz w:val="26"/>
          <w:szCs w:val="26"/>
        </w:rPr>
        <w:t>sixty-six</w:t>
      </w:r>
      <w:r w:rsidR="00F90104" w:rsidRPr="00001309">
        <w:rPr>
          <w:rFonts w:eastAsia="Calibri"/>
          <w:spacing w:val="0"/>
          <w:sz w:val="26"/>
          <w:szCs w:val="26"/>
        </w:rPr>
        <w:t xml:space="preserve"> thousand dollars</w:t>
      </w:r>
      <w:r w:rsidR="00C23E97">
        <w:rPr>
          <w:rFonts w:eastAsia="Calibri"/>
          <w:spacing w:val="0"/>
          <w:sz w:val="26"/>
          <w:szCs w:val="26"/>
        </w:rPr>
        <w:t xml:space="preserve"> nine-hundred dollars</w:t>
      </w:r>
      <w:r w:rsidR="00F90104" w:rsidRPr="00001309">
        <w:rPr>
          <w:rFonts w:eastAsia="Calibri"/>
          <w:spacing w:val="0"/>
          <w:sz w:val="26"/>
          <w:szCs w:val="26"/>
        </w:rPr>
        <w:t xml:space="preserve"> ($</w:t>
      </w:r>
      <w:r w:rsidR="00C23E97">
        <w:rPr>
          <w:rFonts w:eastAsia="Calibri"/>
          <w:spacing w:val="0"/>
          <w:sz w:val="26"/>
          <w:szCs w:val="26"/>
        </w:rPr>
        <w:t>1</w:t>
      </w:r>
      <w:r w:rsidR="00F90104" w:rsidRPr="00001309">
        <w:rPr>
          <w:rFonts w:eastAsia="Calibri"/>
          <w:spacing w:val="0"/>
          <w:sz w:val="26"/>
          <w:szCs w:val="26"/>
        </w:rPr>
        <w:t>,</w:t>
      </w:r>
      <w:r w:rsidR="00C23E97">
        <w:rPr>
          <w:rFonts w:eastAsia="Calibri"/>
          <w:spacing w:val="0"/>
          <w:sz w:val="26"/>
          <w:szCs w:val="26"/>
        </w:rPr>
        <w:t>066</w:t>
      </w:r>
      <w:r w:rsidR="00F90104" w:rsidRPr="00001309">
        <w:rPr>
          <w:rFonts w:eastAsia="Calibri"/>
          <w:spacing w:val="0"/>
          <w:sz w:val="26"/>
          <w:szCs w:val="26"/>
        </w:rPr>
        <w:t>,</w:t>
      </w:r>
      <w:r w:rsidR="00C23E97">
        <w:rPr>
          <w:rFonts w:eastAsia="Calibri"/>
          <w:spacing w:val="0"/>
          <w:sz w:val="26"/>
          <w:szCs w:val="26"/>
        </w:rPr>
        <w:t>9</w:t>
      </w:r>
      <w:r w:rsidR="00F90104" w:rsidRPr="00001309">
        <w:rPr>
          <w:rFonts w:eastAsia="Calibri"/>
          <w:spacing w:val="0"/>
          <w:sz w:val="26"/>
          <w:szCs w:val="26"/>
        </w:rPr>
        <w:t>00)</w:t>
      </w:r>
      <w:r w:rsidR="000D6AA6" w:rsidRPr="00001309">
        <w:rPr>
          <w:rFonts w:eastAsia="Calibri"/>
          <w:spacing w:val="0"/>
          <w:sz w:val="26"/>
          <w:szCs w:val="26"/>
        </w:rPr>
        <w:t xml:space="preserve"> by c</w:t>
      </w:r>
      <w:r w:rsidR="00A314F1" w:rsidRPr="00001309">
        <w:rPr>
          <w:rFonts w:eastAsia="Calibri"/>
          <w:spacing w:val="0"/>
          <w:sz w:val="26"/>
          <w:szCs w:val="26"/>
        </w:rPr>
        <w:t>ertified check or money order made payable to “Commonwealth of Pennsylvania” and sent addressed as follows:</w:t>
      </w:r>
    </w:p>
    <w:p w:rsidR="00A314F1" w:rsidRPr="00001309" w:rsidRDefault="00A314F1" w:rsidP="00A314F1">
      <w:pPr>
        <w:pStyle w:val="PlainText"/>
        <w:tabs>
          <w:tab w:val="left" w:pos="1440"/>
        </w:tabs>
        <w:spacing w:line="360" w:lineRule="auto"/>
        <w:ind w:firstLine="720"/>
        <w:rPr>
          <w:rFonts w:ascii="Times New Roman" w:hAnsi="Times New Roman" w:cs="Times New Roman"/>
          <w:sz w:val="26"/>
          <w:szCs w:val="26"/>
        </w:rPr>
      </w:pPr>
    </w:p>
    <w:p w:rsidR="003F4D70" w:rsidRPr="00001309" w:rsidRDefault="003F4D70" w:rsidP="003F4D70">
      <w:pPr>
        <w:keepNext/>
        <w:keepLines/>
        <w:spacing w:line="240" w:lineRule="auto"/>
        <w:ind w:firstLine="2160"/>
        <w:rPr>
          <w:rFonts w:eastAsia="Times New Roman"/>
          <w:spacing w:val="0"/>
          <w:sz w:val="26"/>
        </w:rPr>
      </w:pPr>
      <w:r w:rsidRPr="00001309">
        <w:rPr>
          <w:rFonts w:eastAsia="Times New Roman"/>
          <w:spacing w:val="0"/>
          <w:sz w:val="26"/>
        </w:rPr>
        <w:t>Rosemary Chiavetta, Secretary</w:t>
      </w:r>
    </w:p>
    <w:p w:rsidR="003F4D70" w:rsidRPr="00001309" w:rsidRDefault="003F4D70" w:rsidP="003F4D70">
      <w:pPr>
        <w:keepNext/>
        <w:keepLines/>
        <w:spacing w:line="240" w:lineRule="auto"/>
        <w:ind w:firstLine="2160"/>
        <w:rPr>
          <w:rFonts w:eastAsia="Times New Roman"/>
          <w:spacing w:val="0"/>
          <w:sz w:val="26"/>
        </w:rPr>
      </w:pPr>
      <w:r w:rsidRPr="00001309">
        <w:rPr>
          <w:rFonts w:eastAsia="Times New Roman"/>
          <w:spacing w:val="0"/>
          <w:sz w:val="26"/>
        </w:rPr>
        <w:t>Pennsylvania Public Utility Commission</w:t>
      </w:r>
    </w:p>
    <w:p w:rsidR="003F4D70" w:rsidRPr="00001309" w:rsidRDefault="003F4D70" w:rsidP="003F4D70">
      <w:pPr>
        <w:keepNext/>
        <w:keepLines/>
        <w:spacing w:line="240" w:lineRule="auto"/>
        <w:ind w:firstLine="2160"/>
        <w:rPr>
          <w:rFonts w:eastAsia="Times New Roman"/>
          <w:spacing w:val="0"/>
          <w:sz w:val="26"/>
        </w:rPr>
      </w:pPr>
      <w:r w:rsidRPr="00001309">
        <w:rPr>
          <w:rFonts w:eastAsia="Times New Roman"/>
          <w:spacing w:val="0"/>
          <w:sz w:val="26"/>
        </w:rPr>
        <w:t>Commonwealth Keystone Building</w:t>
      </w:r>
    </w:p>
    <w:p w:rsidR="003F4D70" w:rsidRPr="00001309" w:rsidRDefault="003F4D70" w:rsidP="003F4D70">
      <w:pPr>
        <w:keepNext/>
        <w:keepLines/>
        <w:spacing w:line="240" w:lineRule="auto"/>
        <w:ind w:firstLine="2160"/>
        <w:rPr>
          <w:rFonts w:eastAsia="Times New Roman"/>
          <w:spacing w:val="0"/>
          <w:sz w:val="26"/>
        </w:rPr>
      </w:pPr>
      <w:r w:rsidRPr="00001309">
        <w:rPr>
          <w:rFonts w:eastAsia="Times New Roman"/>
          <w:spacing w:val="0"/>
          <w:sz w:val="26"/>
        </w:rPr>
        <w:t>400 North Street, 2</w:t>
      </w:r>
      <w:r w:rsidRPr="00001309">
        <w:rPr>
          <w:rFonts w:eastAsia="Times New Roman"/>
          <w:spacing w:val="0"/>
          <w:sz w:val="26"/>
          <w:vertAlign w:val="superscript"/>
        </w:rPr>
        <w:t>nd</w:t>
      </w:r>
      <w:r w:rsidRPr="00001309">
        <w:rPr>
          <w:rFonts w:eastAsia="Times New Roman"/>
          <w:spacing w:val="0"/>
          <w:sz w:val="26"/>
        </w:rPr>
        <w:t xml:space="preserve"> Floor</w:t>
      </w:r>
    </w:p>
    <w:p w:rsidR="00A314F1" w:rsidRPr="00001309" w:rsidRDefault="003F4D70" w:rsidP="003F4D70">
      <w:pPr>
        <w:suppressAutoHyphens/>
        <w:spacing w:line="240" w:lineRule="auto"/>
        <w:rPr>
          <w:rFonts w:eastAsia="Times New Roman"/>
          <w:spacing w:val="0"/>
          <w:sz w:val="26"/>
        </w:rPr>
      </w:pPr>
      <w:r w:rsidRPr="00001309">
        <w:rPr>
          <w:rFonts w:eastAsia="Times New Roman"/>
          <w:spacing w:val="0"/>
          <w:sz w:val="26"/>
        </w:rPr>
        <w:tab/>
        <w:t>Harrisburg, PA, 17120</w:t>
      </w:r>
    </w:p>
    <w:p w:rsidR="009F6779" w:rsidRPr="00001309" w:rsidRDefault="009F6779" w:rsidP="009F6779">
      <w:pPr>
        <w:suppressAutoHyphens/>
        <w:spacing w:line="240" w:lineRule="auto"/>
        <w:ind w:firstLine="0"/>
        <w:rPr>
          <w:sz w:val="26"/>
          <w:szCs w:val="26"/>
        </w:rPr>
      </w:pPr>
    </w:p>
    <w:p w:rsidR="00A314F1" w:rsidRPr="00001309" w:rsidRDefault="00A314F1" w:rsidP="00A314F1">
      <w:pPr>
        <w:pStyle w:val="PlainText"/>
        <w:spacing w:line="360" w:lineRule="auto"/>
        <w:rPr>
          <w:rFonts w:ascii="Times New Roman" w:hAnsi="Times New Roman" w:cs="Times New Roman"/>
          <w:sz w:val="26"/>
          <w:szCs w:val="26"/>
        </w:rPr>
      </w:pPr>
    </w:p>
    <w:p w:rsidR="00E37B1F" w:rsidRPr="00001309" w:rsidRDefault="009F6779" w:rsidP="00C23E97">
      <w:pPr>
        <w:autoSpaceDE w:val="0"/>
        <w:autoSpaceDN w:val="0"/>
        <w:adjustRightInd w:val="0"/>
        <w:rPr>
          <w:rFonts w:eastAsia="Calibri"/>
          <w:spacing w:val="0"/>
          <w:sz w:val="26"/>
          <w:szCs w:val="26"/>
        </w:rPr>
      </w:pPr>
      <w:r w:rsidRPr="00001309">
        <w:rPr>
          <w:rFonts w:eastAsia="Calibri"/>
          <w:spacing w:val="0"/>
          <w:sz w:val="26"/>
          <w:szCs w:val="26"/>
        </w:rPr>
        <w:t>7</w:t>
      </w:r>
      <w:r w:rsidR="00F72DC5" w:rsidRPr="00001309">
        <w:rPr>
          <w:rFonts w:eastAsia="Calibri"/>
          <w:spacing w:val="0"/>
          <w:sz w:val="26"/>
          <w:szCs w:val="26"/>
        </w:rPr>
        <w:t>.</w:t>
      </w:r>
      <w:r w:rsidR="00F72DC5" w:rsidRPr="00001309">
        <w:rPr>
          <w:rFonts w:eastAsia="Calibri"/>
          <w:spacing w:val="0"/>
          <w:sz w:val="26"/>
          <w:szCs w:val="26"/>
        </w:rPr>
        <w:tab/>
      </w:r>
      <w:r w:rsidR="00E37B1F" w:rsidRPr="00001309">
        <w:rPr>
          <w:rFonts w:eastAsia="Calibri"/>
          <w:spacing w:val="0"/>
          <w:sz w:val="26"/>
          <w:szCs w:val="26"/>
        </w:rPr>
        <w:t xml:space="preserve">That the request by the </w:t>
      </w:r>
      <w:r w:rsidR="00E37B1F" w:rsidRPr="00001309">
        <w:rPr>
          <w:rFonts w:eastAsia="Times New Roman"/>
          <w:sz w:val="26"/>
          <w:szCs w:val="26"/>
        </w:rPr>
        <w:t>Commonwealth of Pennsylvania, by Attorney General Kathleen G. Kane and Tanya J. McCloskey, Acting Consumer Advocate,</w:t>
      </w:r>
      <w:r w:rsidR="00E37B1F" w:rsidRPr="00001309">
        <w:rPr>
          <w:rFonts w:eastAsia="Calibri"/>
          <w:spacing w:val="0"/>
          <w:sz w:val="26"/>
          <w:szCs w:val="26"/>
        </w:rPr>
        <w:t xml:space="preserve"> for restitution of cancellation fees, termination fees, and other financial fees, which were </w:t>
      </w:r>
      <w:r w:rsidR="00E37B1F" w:rsidRPr="00001309">
        <w:rPr>
          <w:rFonts w:eastAsia="Calibri"/>
          <w:spacing w:val="0"/>
          <w:sz w:val="26"/>
          <w:szCs w:val="26"/>
        </w:rPr>
        <w:lastRenderedPageBreak/>
        <w:t>charged to customers due to overbilling by Blue Pilot or switching from Blue Pilot, are denied.</w:t>
      </w:r>
    </w:p>
    <w:p w:rsidR="00E37B1F" w:rsidRPr="00001309" w:rsidRDefault="00E37B1F" w:rsidP="00064CCD">
      <w:pPr>
        <w:autoSpaceDE w:val="0"/>
        <w:autoSpaceDN w:val="0"/>
        <w:adjustRightInd w:val="0"/>
        <w:rPr>
          <w:rFonts w:eastAsia="Calibri"/>
          <w:spacing w:val="0"/>
          <w:sz w:val="26"/>
          <w:szCs w:val="26"/>
        </w:rPr>
      </w:pPr>
    </w:p>
    <w:p w:rsidR="00F72DC5" w:rsidRPr="00001309" w:rsidRDefault="00C23E97" w:rsidP="00F72DC5">
      <w:pPr>
        <w:autoSpaceDE w:val="0"/>
        <w:autoSpaceDN w:val="0"/>
        <w:adjustRightInd w:val="0"/>
        <w:rPr>
          <w:rFonts w:eastAsia="Calibri"/>
          <w:spacing w:val="0"/>
          <w:sz w:val="26"/>
          <w:szCs w:val="26"/>
        </w:rPr>
      </w:pPr>
      <w:r>
        <w:rPr>
          <w:rFonts w:eastAsia="Calibri"/>
          <w:spacing w:val="0"/>
          <w:sz w:val="26"/>
          <w:szCs w:val="26"/>
        </w:rPr>
        <w:t>8</w:t>
      </w:r>
      <w:r w:rsidR="00064CCD" w:rsidRPr="00001309">
        <w:rPr>
          <w:rFonts w:eastAsia="Calibri"/>
          <w:spacing w:val="0"/>
          <w:sz w:val="26"/>
          <w:szCs w:val="26"/>
        </w:rPr>
        <w:t>.</w:t>
      </w:r>
      <w:r w:rsidR="00064CCD" w:rsidRPr="00001309">
        <w:rPr>
          <w:rFonts w:eastAsia="Calibri"/>
          <w:spacing w:val="0"/>
          <w:sz w:val="26"/>
          <w:szCs w:val="26"/>
        </w:rPr>
        <w:tab/>
      </w:r>
      <w:r w:rsidR="00F72DC5" w:rsidRPr="00001309">
        <w:rPr>
          <w:rFonts w:eastAsia="Calibri"/>
          <w:spacing w:val="0"/>
          <w:sz w:val="26"/>
          <w:szCs w:val="26"/>
        </w:rPr>
        <w:t>That Blue Pilot Energy, LLC is directed to pay the sum of $2,</w:t>
      </w:r>
      <w:r>
        <w:rPr>
          <w:rFonts w:eastAsia="Calibri"/>
          <w:spacing w:val="0"/>
          <w:sz w:val="26"/>
          <w:szCs w:val="26"/>
        </w:rPr>
        <w:t>5</w:t>
      </w:r>
      <w:r w:rsidR="00F72DC5" w:rsidRPr="00001309">
        <w:rPr>
          <w:rFonts w:eastAsia="Calibri"/>
          <w:spacing w:val="0"/>
          <w:sz w:val="26"/>
          <w:szCs w:val="26"/>
        </w:rPr>
        <w:t xml:space="preserve">08,449, less the amounts previously refunded to its customers, into </w:t>
      </w:r>
      <w:r w:rsidR="002028B1">
        <w:rPr>
          <w:rFonts w:eastAsia="Calibri"/>
          <w:spacing w:val="0"/>
          <w:sz w:val="26"/>
          <w:szCs w:val="26"/>
        </w:rPr>
        <w:t>a</w:t>
      </w:r>
      <w:r w:rsidR="000D20FB" w:rsidRPr="00001309">
        <w:rPr>
          <w:rFonts w:eastAsia="Calibri"/>
          <w:spacing w:val="0"/>
          <w:sz w:val="26"/>
          <w:szCs w:val="26"/>
        </w:rPr>
        <w:t xml:space="preserve"> </w:t>
      </w:r>
      <w:r w:rsidR="00CA7BEA" w:rsidRPr="00001309">
        <w:rPr>
          <w:rFonts w:eastAsia="Calibri"/>
          <w:spacing w:val="0"/>
          <w:sz w:val="26"/>
          <w:szCs w:val="26"/>
        </w:rPr>
        <w:t>Refund</w:t>
      </w:r>
      <w:r w:rsidR="002028B1">
        <w:rPr>
          <w:rFonts w:eastAsia="Calibri"/>
          <w:spacing w:val="0"/>
          <w:sz w:val="26"/>
          <w:szCs w:val="26"/>
        </w:rPr>
        <w:t>/Rebilling</w:t>
      </w:r>
      <w:r w:rsidR="00CA7BEA" w:rsidRPr="00001309">
        <w:rPr>
          <w:rFonts w:eastAsia="Calibri"/>
          <w:spacing w:val="0"/>
          <w:sz w:val="26"/>
          <w:szCs w:val="26"/>
        </w:rPr>
        <w:t xml:space="preserve"> Pool</w:t>
      </w:r>
      <w:r w:rsidR="001B71DB" w:rsidRPr="00001309">
        <w:rPr>
          <w:rFonts w:eastAsia="Calibri"/>
          <w:spacing w:val="0"/>
          <w:sz w:val="26"/>
          <w:szCs w:val="26"/>
        </w:rPr>
        <w:t>,</w:t>
      </w:r>
      <w:r w:rsidR="00F72DC5" w:rsidRPr="00001309">
        <w:rPr>
          <w:rFonts w:eastAsia="Calibri"/>
          <w:spacing w:val="0"/>
          <w:sz w:val="26"/>
          <w:szCs w:val="26"/>
        </w:rPr>
        <w:t xml:space="preserve"> </w:t>
      </w:r>
      <w:proofErr w:type="gramStart"/>
      <w:r w:rsidR="005E3023" w:rsidRPr="00001309">
        <w:rPr>
          <w:rFonts w:eastAsia="Calibri"/>
          <w:spacing w:val="0"/>
          <w:sz w:val="26"/>
          <w:szCs w:val="26"/>
        </w:rPr>
        <w:t>for the purpose of</w:t>
      </w:r>
      <w:proofErr w:type="gramEnd"/>
      <w:r w:rsidR="005E3023" w:rsidRPr="00001309">
        <w:rPr>
          <w:rFonts w:eastAsia="Calibri"/>
          <w:spacing w:val="0"/>
          <w:sz w:val="26"/>
          <w:szCs w:val="26"/>
        </w:rPr>
        <w:t xml:space="preserve"> providing </w:t>
      </w:r>
      <w:r w:rsidR="00F72DC5" w:rsidRPr="00001309">
        <w:rPr>
          <w:rFonts w:eastAsia="Calibri"/>
          <w:spacing w:val="0"/>
          <w:sz w:val="26"/>
          <w:szCs w:val="26"/>
        </w:rPr>
        <w:t xml:space="preserve">a </w:t>
      </w:r>
      <w:r>
        <w:rPr>
          <w:rFonts w:eastAsia="Calibri"/>
          <w:spacing w:val="0"/>
          <w:sz w:val="26"/>
          <w:szCs w:val="26"/>
        </w:rPr>
        <w:t xml:space="preserve">rebilling credit </w:t>
      </w:r>
      <w:r w:rsidR="00F72DC5" w:rsidRPr="00001309">
        <w:rPr>
          <w:rFonts w:eastAsia="Calibri"/>
          <w:spacing w:val="0"/>
          <w:sz w:val="26"/>
          <w:szCs w:val="26"/>
        </w:rPr>
        <w:t>to at least 2,516 consumers based on a rebilling of all charges that are determined to be over and above the Price-to-Compare of their respective electric distribution companies</w:t>
      </w:r>
      <w:r w:rsidR="005E3023" w:rsidRPr="00001309">
        <w:rPr>
          <w:rFonts w:eastAsia="Calibri"/>
          <w:spacing w:val="0"/>
          <w:sz w:val="26"/>
          <w:szCs w:val="26"/>
        </w:rPr>
        <w:t>’ service territories</w:t>
      </w:r>
      <w:r w:rsidR="00F72DC5" w:rsidRPr="00001309">
        <w:rPr>
          <w:rFonts w:eastAsia="Calibri"/>
          <w:spacing w:val="0"/>
          <w:sz w:val="26"/>
          <w:szCs w:val="26"/>
        </w:rPr>
        <w:t xml:space="preserve"> for amounts that were charged from December 2013 through March 2014.</w:t>
      </w:r>
    </w:p>
    <w:p w:rsidR="00D309BF" w:rsidRPr="00001309" w:rsidRDefault="00D309BF" w:rsidP="00F72DC5">
      <w:pPr>
        <w:autoSpaceDE w:val="0"/>
        <w:autoSpaceDN w:val="0"/>
        <w:adjustRightInd w:val="0"/>
        <w:rPr>
          <w:rFonts w:eastAsia="Calibri"/>
          <w:spacing w:val="0"/>
          <w:sz w:val="26"/>
          <w:szCs w:val="26"/>
        </w:rPr>
      </w:pPr>
    </w:p>
    <w:p w:rsidR="00D309BF" w:rsidRPr="00001309" w:rsidRDefault="00C23E97" w:rsidP="00D309BF">
      <w:pPr>
        <w:autoSpaceDE w:val="0"/>
        <w:autoSpaceDN w:val="0"/>
        <w:adjustRightInd w:val="0"/>
        <w:rPr>
          <w:rFonts w:eastAsia="Calibri"/>
          <w:spacing w:val="0"/>
          <w:sz w:val="26"/>
          <w:szCs w:val="26"/>
        </w:rPr>
      </w:pPr>
      <w:r>
        <w:rPr>
          <w:rFonts w:eastAsia="Calibri"/>
          <w:spacing w:val="0"/>
          <w:sz w:val="26"/>
          <w:szCs w:val="26"/>
        </w:rPr>
        <w:t>9</w:t>
      </w:r>
      <w:r w:rsidR="00D309BF" w:rsidRPr="00001309">
        <w:rPr>
          <w:rFonts w:eastAsia="Calibri"/>
          <w:spacing w:val="0"/>
          <w:sz w:val="26"/>
          <w:szCs w:val="26"/>
        </w:rPr>
        <w:t>.</w:t>
      </w:r>
      <w:r w:rsidR="00D309BF" w:rsidRPr="00001309">
        <w:rPr>
          <w:rFonts w:eastAsia="Calibri"/>
          <w:spacing w:val="0"/>
          <w:sz w:val="26"/>
          <w:szCs w:val="26"/>
        </w:rPr>
        <w:tab/>
        <w:t>That the Refund</w:t>
      </w:r>
      <w:r w:rsidR="002028B1">
        <w:rPr>
          <w:rFonts w:eastAsia="Calibri"/>
          <w:spacing w:val="0"/>
          <w:sz w:val="26"/>
          <w:szCs w:val="26"/>
        </w:rPr>
        <w:t>/Rebilling</w:t>
      </w:r>
      <w:r w:rsidR="00D309BF" w:rsidRPr="00001309">
        <w:rPr>
          <w:rFonts w:eastAsia="Calibri"/>
          <w:spacing w:val="0"/>
          <w:sz w:val="26"/>
          <w:szCs w:val="26"/>
        </w:rPr>
        <w:t xml:space="preserve"> Pool amount in Ordering Paragraph No.</w:t>
      </w:r>
      <w:r w:rsidR="00C74D6B">
        <w:rPr>
          <w:rFonts w:eastAsia="Calibri"/>
          <w:spacing w:val="0"/>
          <w:sz w:val="26"/>
          <w:szCs w:val="26"/>
        </w:rPr>
        <w:t> </w:t>
      </w:r>
      <w:r w:rsidR="00E5556C">
        <w:rPr>
          <w:rFonts w:eastAsia="Calibri"/>
          <w:spacing w:val="0"/>
          <w:sz w:val="26"/>
          <w:szCs w:val="26"/>
        </w:rPr>
        <w:t>8</w:t>
      </w:r>
      <w:r w:rsidR="00D309BF" w:rsidRPr="00001309">
        <w:rPr>
          <w:rFonts w:eastAsia="Calibri"/>
          <w:spacing w:val="0"/>
          <w:sz w:val="26"/>
          <w:szCs w:val="26"/>
        </w:rPr>
        <w:t xml:space="preserve">, above, shall be paid to a designated agent </w:t>
      </w:r>
      <w:r w:rsidR="00DA689B">
        <w:rPr>
          <w:rFonts w:eastAsia="Calibri"/>
          <w:spacing w:val="0"/>
          <w:sz w:val="26"/>
          <w:szCs w:val="26"/>
        </w:rPr>
        <w:t xml:space="preserve">identified by the Office of Attorney General and Office of Consumer Advocate, </w:t>
      </w:r>
      <w:r w:rsidR="00D309BF" w:rsidRPr="00001309">
        <w:rPr>
          <w:rFonts w:eastAsia="Calibri"/>
          <w:spacing w:val="0"/>
          <w:sz w:val="26"/>
          <w:szCs w:val="26"/>
        </w:rPr>
        <w:t>for subsequent disposition upon Commission Order within ninety (90) days after the entry of this Opinion and Order.</w:t>
      </w:r>
    </w:p>
    <w:p w:rsidR="00F72DC5" w:rsidRPr="00001309" w:rsidRDefault="00F72DC5" w:rsidP="00F72DC5">
      <w:pPr>
        <w:autoSpaceDE w:val="0"/>
        <w:autoSpaceDN w:val="0"/>
        <w:adjustRightInd w:val="0"/>
        <w:rPr>
          <w:rFonts w:eastAsia="Calibri"/>
          <w:spacing w:val="0"/>
          <w:sz w:val="26"/>
          <w:szCs w:val="26"/>
        </w:rPr>
      </w:pPr>
    </w:p>
    <w:p w:rsidR="00F72DC5" w:rsidRPr="00001309" w:rsidRDefault="00D37227" w:rsidP="00F72DC5">
      <w:pPr>
        <w:autoSpaceDE w:val="0"/>
        <w:autoSpaceDN w:val="0"/>
        <w:adjustRightInd w:val="0"/>
        <w:rPr>
          <w:rFonts w:eastAsia="Calibri"/>
          <w:spacing w:val="0"/>
          <w:sz w:val="26"/>
          <w:szCs w:val="26"/>
        </w:rPr>
      </w:pPr>
      <w:r w:rsidRPr="00001309">
        <w:rPr>
          <w:rFonts w:eastAsia="Calibri"/>
          <w:spacing w:val="0"/>
          <w:sz w:val="26"/>
          <w:szCs w:val="26"/>
        </w:rPr>
        <w:t>1</w:t>
      </w:r>
      <w:r w:rsidR="00C23E97">
        <w:rPr>
          <w:rFonts w:eastAsia="Calibri"/>
          <w:spacing w:val="0"/>
          <w:sz w:val="26"/>
          <w:szCs w:val="26"/>
        </w:rPr>
        <w:t>0</w:t>
      </w:r>
      <w:r w:rsidR="00F72DC5" w:rsidRPr="00001309">
        <w:rPr>
          <w:rFonts w:eastAsia="Calibri"/>
          <w:spacing w:val="0"/>
          <w:sz w:val="26"/>
          <w:szCs w:val="26"/>
        </w:rPr>
        <w:t>.</w:t>
      </w:r>
      <w:r w:rsidR="00F72DC5" w:rsidRPr="00001309">
        <w:rPr>
          <w:rFonts w:eastAsia="Calibri"/>
          <w:spacing w:val="0"/>
          <w:sz w:val="26"/>
          <w:szCs w:val="26"/>
        </w:rPr>
        <w:tab/>
        <w:t>That Blue Pilot, LLC, and its designated agents, employees, or assigns, shall fully and timely cooperate with Office of Attorney General, Office of Consumer Advocate by providing all customer information necessary to calculate each customer’s refund amount including billing rates, usage and addresses, as well as a full accounting of all refunds and bill credits provided to Pennsylvania customers so that an appropriate mitigation credit to eligible customers may be determined.</w:t>
      </w:r>
    </w:p>
    <w:p w:rsidR="00F72DC5" w:rsidRPr="00001309" w:rsidRDefault="00F72DC5" w:rsidP="00F72DC5">
      <w:pPr>
        <w:autoSpaceDE w:val="0"/>
        <w:autoSpaceDN w:val="0"/>
        <w:adjustRightInd w:val="0"/>
        <w:rPr>
          <w:rFonts w:eastAsia="Calibri"/>
          <w:spacing w:val="0"/>
          <w:sz w:val="26"/>
          <w:szCs w:val="26"/>
        </w:rPr>
      </w:pPr>
    </w:p>
    <w:p w:rsidR="00F72DC5" w:rsidRPr="00001309" w:rsidRDefault="00F72DC5" w:rsidP="00F72DC5">
      <w:pPr>
        <w:autoSpaceDE w:val="0"/>
        <w:autoSpaceDN w:val="0"/>
        <w:adjustRightInd w:val="0"/>
        <w:rPr>
          <w:rFonts w:eastAsia="Calibri"/>
          <w:spacing w:val="0"/>
          <w:sz w:val="26"/>
          <w:szCs w:val="26"/>
        </w:rPr>
      </w:pPr>
      <w:r w:rsidRPr="00001309">
        <w:rPr>
          <w:rFonts w:eastAsia="Calibri"/>
          <w:spacing w:val="0"/>
          <w:sz w:val="26"/>
          <w:szCs w:val="26"/>
        </w:rPr>
        <w:t>1</w:t>
      </w:r>
      <w:r w:rsidR="00C23E97">
        <w:rPr>
          <w:rFonts w:eastAsia="Calibri"/>
          <w:spacing w:val="0"/>
          <w:sz w:val="26"/>
          <w:szCs w:val="26"/>
        </w:rPr>
        <w:t>1</w:t>
      </w:r>
      <w:r w:rsidRPr="00001309">
        <w:rPr>
          <w:rFonts w:eastAsia="Calibri"/>
          <w:spacing w:val="0"/>
          <w:sz w:val="26"/>
          <w:szCs w:val="26"/>
        </w:rPr>
        <w:t>.</w:t>
      </w:r>
      <w:r w:rsidRPr="00001309">
        <w:rPr>
          <w:rFonts w:eastAsia="Calibri"/>
          <w:spacing w:val="0"/>
          <w:sz w:val="26"/>
          <w:szCs w:val="26"/>
        </w:rPr>
        <w:tab/>
        <w:t xml:space="preserve">That if any funds remain in the </w:t>
      </w:r>
      <w:r w:rsidR="00CA7BEA" w:rsidRPr="00001309">
        <w:rPr>
          <w:rFonts w:eastAsia="Calibri"/>
          <w:spacing w:val="0"/>
          <w:sz w:val="26"/>
          <w:szCs w:val="26"/>
        </w:rPr>
        <w:t>Refund</w:t>
      </w:r>
      <w:r w:rsidR="002028B1">
        <w:rPr>
          <w:rFonts w:eastAsia="Calibri"/>
          <w:spacing w:val="0"/>
          <w:sz w:val="26"/>
          <w:szCs w:val="26"/>
        </w:rPr>
        <w:t xml:space="preserve">/Rebilling </w:t>
      </w:r>
      <w:r w:rsidR="00CA7BEA" w:rsidRPr="00001309">
        <w:rPr>
          <w:rFonts w:eastAsia="Calibri"/>
          <w:spacing w:val="0"/>
          <w:sz w:val="26"/>
          <w:szCs w:val="26"/>
        </w:rPr>
        <w:t>Pool</w:t>
      </w:r>
      <w:r w:rsidRPr="00001309">
        <w:rPr>
          <w:rFonts w:eastAsia="Calibri"/>
          <w:spacing w:val="0"/>
          <w:sz w:val="26"/>
          <w:szCs w:val="26"/>
        </w:rPr>
        <w:t xml:space="preserve"> after issuance of the calculated rebilling credits to eligible customers, they shall be either be payable to or forwarded to the Pennsylvania Department of Treasury pursuant to unclaimed property requirements for the customers entitled to the refund.</w:t>
      </w:r>
    </w:p>
    <w:p w:rsidR="00C23E97" w:rsidRDefault="00C23E97" w:rsidP="00DA689B">
      <w:pPr>
        <w:pStyle w:val="FootnoteText"/>
        <w:spacing w:line="360" w:lineRule="auto"/>
        <w:rPr>
          <w:rFonts w:eastAsia="Calibri"/>
          <w:spacing w:val="0"/>
          <w:sz w:val="26"/>
          <w:szCs w:val="26"/>
        </w:rPr>
      </w:pPr>
    </w:p>
    <w:p w:rsidR="00DA689B" w:rsidRPr="00001309" w:rsidRDefault="00DA689B" w:rsidP="00DA689B">
      <w:pPr>
        <w:pStyle w:val="FootnoteText"/>
        <w:spacing w:line="360" w:lineRule="auto"/>
        <w:rPr>
          <w:sz w:val="26"/>
          <w:szCs w:val="26"/>
        </w:rPr>
      </w:pPr>
      <w:r>
        <w:rPr>
          <w:rFonts w:eastAsia="Calibri"/>
          <w:spacing w:val="0"/>
          <w:sz w:val="26"/>
          <w:szCs w:val="26"/>
        </w:rPr>
        <w:lastRenderedPageBreak/>
        <w:t>1</w:t>
      </w:r>
      <w:r w:rsidR="00C23E97">
        <w:rPr>
          <w:rFonts w:eastAsia="Calibri"/>
          <w:spacing w:val="0"/>
          <w:sz w:val="26"/>
          <w:szCs w:val="26"/>
        </w:rPr>
        <w:t>2</w:t>
      </w:r>
      <w:r>
        <w:rPr>
          <w:rFonts w:eastAsia="Calibri"/>
          <w:spacing w:val="0"/>
          <w:sz w:val="26"/>
          <w:szCs w:val="26"/>
        </w:rPr>
        <w:t>.</w:t>
      </w:r>
      <w:r>
        <w:rPr>
          <w:rFonts w:eastAsia="Calibri"/>
          <w:spacing w:val="0"/>
          <w:sz w:val="26"/>
          <w:szCs w:val="26"/>
        </w:rPr>
        <w:tab/>
        <w:t>That the Commission declines to a</w:t>
      </w:r>
      <w:r w:rsidRPr="00001309">
        <w:rPr>
          <w:sz w:val="26"/>
          <w:szCs w:val="26"/>
        </w:rPr>
        <w:t xml:space="preserve">dopt the recommendation </w:t>
      </w:r>
      <w:r>
        <w:rPr>
          <w:sz w:val="26"/>
          <w:szCs w:val="26"/>
        </w:rPr>
        <w:t xml:space="preserve">in the Initial Decision </w:t>
      </w:r>
      <w:r w:rsidRPr="00001309">
        <w:rPr>
          <w:sz w:val="26"/>
          <w:szCs w:val="26"/>
        </w:rPr>
        <w:t>concerning the requirement of a “wet signature” based on the record in this Complaint</w:t>
      </w:r>
      <w:r w:rsidR="00C23E97">
        <w:rPr>
          <w:sz w:val="26"/>
          <w:szCs w:val="26"/>
        </w:rPr>
        <w:t>.</w:t>
      </w:r>
    </w:p>
    <w:p w:rsidR="00F72DC5" w:rsidRPr="00001309" w:rsidRDefault="00F72DC5" w:rsidP="00F72DC5">
      <w:pPr>
        <w:autoSpaceDE w:val="0"/>
        <w:autoSpaceDN w:val="0"/>
        <w:adjustRightInd w:val="0"/>
        <w:rPr>
          <w:rFonts w:eastAsia="Calibri"/>
          <w:spacing w:val="0"/>
          <w:sz w:val="26"/>
          <w:szCs w:val="26"/>
        </w:rPr>
      </w:pPr>
    </w:p>
    <w:p w:rsidR="00F72DC5" w:rsidRPr="00001309" w:rsidRDefault="00F72DC5" w:rsidP="00F72DC5">
      <w:pPr>
        <w:autoSpaceDE w:val="0"/>
        <w:autoSpaceDN w:val="0"/>
        <w:adjustRightInd w:val="0"/>
        <w:rPr>
          <w:rFonts w:eastAsia="Calibri"/>
          <w:spacing w:val="0"/>
          <w:sz w:val="26"/>
          <w:szCs w:val="26"/>
        </w:rPr>
      </w:pPr>
      <w:r w:rsidRPr="00001309">
        <w:rPr>
          <w:rFonts w:eastAsia="Calibri"/>
          <w:spacing w:val="0"/>
          <w:sz w:val="26"/>
          <w:szCs w:val="26"/>
        </w:rPr>
        <w:t>1</w:t>
      </w:r>
      <w:r w:rsidR="00C23E97">
        <w:rPr>
          <w:rFonts w:eastAsia="Calibri"/>
          <w:spacing w:val="0"/>
          <w:sz w:val="26"/>
          <w:szCs w:val="26"/>
        </w:rPr>
        <w:t>3</w:t>
      </w:r>
      <w:r w:rsidRPr="00001309">
        <w:rPr>
          <w:rFonts w:eastAsia="Calibri"/>
          <w:spacing w:val="0"/>
          <w:sz w:val="26"/>
          <w:szCs w:val="26"/>
        </w:rPr>
        <w:t>.</w:t>
      </w:r>
      <w:r w:rsidRPr="00001309">
        <w:rPr>
          <w:rFonts w:eastAsia="Calibri"/>
          <w:spacing w:val="0"/>
          <w:sz w:val="26"/>
          <w:szCs w:val="26"/>
        </w:rPr>
        <w:tab/>
        <w:t xml:space="preserve">That any future electric generation supply license application from this Commission by the owners, officers, directors or managers of Blue Pilot shall be considered by this Commission in conjunction with any mitigating facts or circumstances addressed </w:t>
      </w:r>
      <w:r w:rsidR="002028B1">
        <w:rPr>
          <w:rFonts w:eastAsia="Calibri"/>
          <w:spacing w:val="0"/>
          <w:sz w:val="26"/>
          <w:szCs w:val="26"/>
        </w:rPr>
        <w:t>by said applicants with full disclosure to the Commission</w:t>
      </w:r>
      <w:r w:rsidRPr="00001309">
        <w:rPr>
          <w:rFonts w:eastAsia="Calibri"/>
          <w:spacing w:val="0"/>
          <w:sz w:val="26"/>
          <w:szCs w:val="26"/>
        </w:rPr>
        <w:t>.</w:t>
      </w:r>
    </w:p>
    <w:p w:rsidR="00F72DC5" w:rsidRPr="00001309" w:rsidRDefault="00F72DC5" w:rsidP="00F72DC5">
      <w:pPr>
        <w:autoSpaceDE w:val="0"/>
        <w:autoSpaceDN w:val="0"/>
        <w:adjustRightInd w:val="0"/>
        <w:rPr>
          <w:rFonts w:eastAsia="Calibri"/>
          <w:spacing w:val="0"/>
          <w:sz w:val="26"/>
          <w:szCs w:val="26"/>
        </w:rPr>
      </w:pPr>
    </w:p>
    <w:p w:rsidR="00F72DC5" w:rsidRPr="00001309" w:rsidRDefault="00F72DC5" w:rsidP="00F72DC5">
      <w:pPr>
        <w:autoSpaceDE w:val="0"/>
        <w:autoSpaceDN w:val="0"/>
        <w:adjustRightInd w:val="0"/>
        <w:rPr>
          <w:rFonts w:eastAsia="Calibri"/>
          <w:spacing w:val="0"/>
          <w:sz w:val="26"/>
          <w:szCs w:val="26"/>
        </w:rPr>
      </w:pPr>
      <w:r w:rsidRPr="00001309">
        <w:rPr>
          <w:rFonts w:eastAsia="Calibri"/>
          <w:spacing w:val="0"/>
          <w:sz w:val="26"/>
          <w:szCs w:val="26"/>
        </w:rPr>
        <w:t>1</w:t>
      </w:r>
      <w:r w:rsidR="00C23E97">
        <w:rPr>
          <w:rFonts w:eastAsia="Calibri"/>
          <w:spacing w:val="0"/>
          <w:sz w:val="26"/>
          <w:szCs w:val="26"/>
        </w:rPr>
        <w:t>4</w:t>
      </w:r>
      <w:r w:rsidRPr="00001309">
        <w:rPr>
          <w:rFonts w:eastAsia="Calibri"/>
          <w:spacing w:val="0"/>
          <w:sz w:val="26"/>
          <w:szCs w:val="26"/>
        </w:rPr>
        <w:t>.</w:t>
      </w:r>
      <w:r w:rsidRPr="00001309">
        <w:rPr>
          <w:rFonts w:eastAsia="Calibri"/>
          <w:spacing w:val="0"/>
          <w:sz w:val="26"/>
          <w:szCs w:val="26"/>
        </w:rPr>
        <w:tab/>
        <w:t xml:space="preserve">That the Law Bureau and Office of Technical Utility Services take such appropriate action upon any viable security instrument pertaining to Blue Pilot Energy, LLC such that appropriate claims may be made against it, including, to the extent necessary, </w:t>
      </w:r>
      <w:proofErr w:type="gramStart"/>
      <w:r w:rsidRPr="00001309">
        <w:rPr>
          <w:rFonts w:eastAsia="Calibri"/>
          <w:spacing w:val="0"/>
          <w:sz w:val="26"/>
          <w:szCs w:val="26"/>
        </w:rPr>
        <w:t>any and all</w:t>
      </w:r>
      <w:proofErr w:type="gramEnd"/>
      <w:r w:rsidRPr="00001309">
        <w:rPr>
          <w:rFonts w:eastAsia="Calibri"/>
          <w:spacing w:val="0"/>
          <w:sz w:val="26"/>
          <w:szCs w:val="26"/>
        </w:rPr>
        <w:t xml:space="preserve"> legal process against the individual owners and officers of Blue Pilot, LLC as permitted under law.</w:t>
      </w:r>
    </w:p>
    <w:p w:rsidR="00F72DC5" w:rsidRPr="00001309" w:rsidRDefault="00F72DC5" w:rsidP="00F72DC5">
      <w:pPr>
        <w:autoSpaceDE w:val="0"/>
        <w:autoSpaceDN w:val="0"/>
        <w:adjustRightInd w:val="0"/>
        <w:rPr>
          <w:rFonts w:eastAsia="Calibri"/>
          <w:spacing w:val="0"/>
          <w:sz w:val="26"/>
          <w:szCs w:val="26"/>
        </w:rPr>
      </w:pPr>
    </w:p>
    <w:p w:rsidR="00F72DC5" w:rsidRPr="00001309" w:rsidRDefault="00F72DC5" w:rsidP="00F72DC5">
      <w:pPr>
        <w:autoSpaceDE w:val="0"/>
        <w:autoSpaceDN w:val="0"/>
        <w:adjustRightInd w:val="0"/>
        <w:rPr>
          <w:rFonts w:eastAsia="Calibri"/>
          <w:spacing w:val="0"/>
          <w:sz w:val="26"/>
          <w:szCs w:val="26"/>
        </w:rPr>
      </w:pPr>
      <w:r w:rsidRPr="00001309">
        <w:rPr>
          <w:rFonts w:eastAsia="Calibri"/>
          <w:spacing w:val="0"/>
          <w:sz w:val="26"/>
          <w:szCs w:val="26"/>
        </w:rPr>
        <w:t>1</w:t>
      </w:r>
      <w:r w:rsidR="00C23E97">
        <w:rPr>
          <w:rFonts w:eastAsia="Calibri"/>
          <w:spacing w:val="0"/>
          <w:sz w:val="26"/>
          <w:szCs w:val="26"/>
        </w:rPr>
        <w:t>5</w:t>
      </w:r>
      <w:r w:rsidRPr="00001309">
        <w:rPr>
          <w:rFonts w:eastAsia="Calibri"/>
          <w:spacing w:val="0"/>
          <w:sz w:val="26"/>
          <w:szCs w:val="26"/>
        </w:rPr>
        <w:t>.</w:t>
      </w:r>
      <w:r w:rsidRPr="00001309">
        <w:rPr>
          <w:rFonts w:eastAsia="Calibri"/>
          <w:spacing w:val="0"/>
          <w:sz w:val="26"/>
          <w:szCs w:val="26"/>
        </w:rPr>
        <w:tab/>
        <w:t>That if there are any active customers remaining with Blue Pilot, LLC who have not elected an alternative electric generation supplier said customers shall be switched back to their respective default service providers by their default service providers with no cancellation fees charged to the customers.</w:t>
      </w:r>
    </w:p>
    <w:p w:rsidR="00F72DC5" w:rsidRPr="00001309" w:rsidRDefault="00F72DC5" w:rsidP="00F72DC5">
      <w:pPr>
        <w:autoSpaceDE w:val="0"/>
        <w:autoSpaceDN w:val="0"/>
        <w:adjustRightInd w:val="0"/>
        <w:rPr>
          <w:rFonts w:eastAsia="Calibri"/>
          <w:spacing w:val="0"/>
          <w:sz w:val="26"/>
          <w:szCs w:val="26"/>
        </w:rPr>
      </w:pPr>
    </w:p>
    <w:p w:rsidR="00F72DC5" w:rsidRPr="00001309" w:rsidRDefault="00F72DC5" w:rsidP="00F72DC5">
      <w:pPr>
        <w:autoSpaceDE w:val="0"/>
        <w:autoSpaceDN w:val="0"/>
        <w:adjustRightInd w:val="0"/>
        <w:rPr>
          <w:rFonts w:eastAsia="Calibri"/>
          <w:spacing w:val="0"/>
          <w:sz w:val="26"/>
          <w:szCs w:val="26"/>
        </w:rPr>
      </w:pPr>
      <w:r w:rsidRPr="00001309">
        <w:rPr>
          <w:rFonts w:eastAsia="Calibri"/>
          <w:spacing w:val="0"/>
          <w:sz w:val="26"/>
          <w:szCs w:val="26"/>
        </w:rPr>
        <w:t>1</w:t>
      </w:r>
      <w:r w:rsidR="00C23E97">
        <w:rPr>
          <w:rFonts w:eastAsia="Calibri"/>
          <w:spacing w:val="0"/>
          <w:sz w:val="26"/>
          <w:szCs w:val="26"/>
        </w:rPr>
        <w:t>6</w:t>
      </w:r>
      <w:r w:rsidRPr="00001309">
        <w:rPr>
          <w:rFonts w:eastAsia="Calibri"/>
          <w:spacing w:val="0"/>
          <w:sz w:val="26"/>
          <w:szCs w:val="26"/>
        </w:rPr>
        <w:t>.</w:t>
      </w:r>
      <w:r w:rsidRPr="00001309">
        <w:rPr>
          <w:rFonts w:eastAsia="Calibri"/>
          <w:spacing w:val="0"/>
          <w:sz w:val="26"/>
          <w:szCs w:val="26"/>
        </w:rPr>
        <w:tab/>
        <w:t xml:space="preserve">That </w:t>
      </w:r>
      <w:r w:rsidR="004501E1" w:rsidRPr="00001309">
        <w:rPr>
          <w:rFonts w:eastAsia="Calibri"/>
          <w:spacing w:val="0"/>
          <w:sz w:val="26"/>
          <w:szCs w:val="26"/>
        </w:rPr>
        <w:t>the</w:t>
      </w:r>
      <w:r w:rsidRPr="00001309">
        <w:rPr>
          <w:rFonts w:eastAsia="Calibri"/>
          <w:spacing w:val="0"/>
          <w:sz w:val="26"/>
          <w:szCs w:val="26"/>
        </w:rPr>
        <w:t xml:space="preserve"> request </w:t>
      </w:r>
      <w:r w:rsidR="0069148A" w:rsidRPr="00001309">
        <w:rPr>
          <w:rFonts w:eastAsia="Calibri"/>
          <w:spacing w:val="0"/>
          <w:sz w:val="26"/>
          <w:szCs w:val="26"/>
        </w:rPr>
        <w:t xml:space="preserve">by </w:t>
      </w:r>
      <w:r w:rsidR="002671AE" w:rsidRPr="00001309">
        <w:rPr>
          <w:rFonts w:eastAsia="Calibri"/>
          <w:spacing w:val="0"/>
          <w:sz w:val="26"/>
          <w:szCs w:val="26"/>
        </w:rPr>
        <w:t xml:space="preserve">the </w:t>
      </w:r>
      <w:r w:rsidR="0069148A" w:rsidRPr="00001309">
        <w:rPr>
          <w:rFonts w:eastAsia="Times New Roman"/>
          <w:sz w:val="26"/>
          <w:szCs w:val="26"/>
        </w:rPr>
        <w:t xml:space="preserve">Commonwealth of Pennsylvania, by Attorney General Kathleen G. Kane and Tanya J. McCloskey, Acting Consumer Advocate, </w:t>
      </w:r>
      <w:r w:rsidRPr="00001309">
        <w:rPr>
          <w:rFonts w:eastAsia="Calibri"/>
          <w:spacing w:val="0"/>
          <w:sz w:val="26"/>
          <w:szCs w:val="26"/>
        </w:rPr>
        <w:t>for Electric Distribution Company hardship fund contributions is denied</w:t>
      </w:r>
      <w:r w:rsidR="002671AE" w:rsidRPr="00001309">
        <w:rPr>
          <w:rFonts w:eastAsia="Calibri"/>
          <w:spacing w:val="0"/>
          <w:sz w:val="26"/>
          <w:szCs w:val="26"/>
        </w:rPr>
        <w:t>, consistent with this Opinion and Order.</w:t>
      </w:r>
    </w:p>
    <w:p w:rsidR="00F72DC5" w:rsidRPr="00001309" w:rsidRDefault="00F72DC5" w:rsidP="00F72DC5">
      <w:pPr>
        <w:autoSpaceDE w:val="0"/>
        <w:autoSpaceDN w:val="0"/>
        <w:adjustRightInd w:val="0"/>
        <w:rPr>
          <w:rFonts w:eastAsia="Calibri"/>
          <w:spacing w:val="0"/>
          <w:sz w:val="26"/>
          <w:szCs w:val="26"/>
        </w:rPr>
      </w:pPr>
    </w:p>
    <w:p w:rsidR="00F72DC5" w:rsidRPr="00001309" w:rsidRDefault="00C23E97" w:rsidP="00F72DC5">
      <w:pPr>
        <w:autoSpaceDE w:val="0"/>
        <w:autoSpaceDN w:val="0"/>
        <w:adjustRightInd w:val="0"/>
        <w:rPr>
          <w:rFonts w:eastAsia="Calibri"/>
          <w:spacing w:val="0"/>
          <w:sz w:val="26"/>
          <w:szCs w:val="26"/>
        </w:rPr>
      </w:pPr>
      <w:r>
        <w:rPr>
          <w:rFonts w:eastAsia="Calibri"/>
          <w:spacing w:val="0"/>
          <w:sz w:val="26"/>
          <w:szCs w:val="26"/>
        </w:rPr>
        <w:t>17</w:t>
      </w:r>
      <w:r w:rsidR="00F72DC5" w:rsidRPr="00001309">
        <w:rPr>
          <w:rFonts w:eastAsia="Calibri"/>
          <w:spacing w:val="0"/>
          <w:sz w:val="26"/>
          <w:szCs w:val="26"/>
        </w:rPr>
        <w:t>.</w:t>
      </w:r>
      <w:r w:rsidR="00F72DC5" w:rsidRPr="00001309">
        <w:rPr>
          <w:rFonts w:eastAsia="Calibri"/>
          <w:spacing w:val="0"/>
          <w:sz w:val="26"/>
          <w:szCs w:val="26"/>
        </w:rPr>
        <w:tab/>
        <w:t>That a copy of this Order shall be served upon the Secretary’s Bureau, Office of Administrative Services</w:t>
      </w:r>
      <w:r w:rsidR="00861709" w:rsidRPr="00001309">
        <w:rPr>
          <w:rFonts w:eastAsia="Calibri"/>
          <w:spacing w:val="0"/>
          <w:sz w:val="26"/>
          <w:szCs w:val="26"/>
        </w:rPr>
        <w:t xml:space="preserve"> </w:t>
      </w:r>
      <w:r w:rsidR="007561F4" w:rsidRPr="00001309">
        <w:rPr>
          <w:rFonts w:eastAsia="Calibri"/>
          <w:spacing w:val="0"/>
          <w:sz w:val="26"/>
          <w:szCs w:val="26"/>
        </w:rPr>
        <w:t xml:space="preserve">– </w:t>
      </w:r>
      <w:r w:rsidR="007561F4" w:rsidRPr="00001309">
        <w:rPr>
          <w:sz w:val="26"/>
          <w:szCs w:val="26"/>
        </w:rPr>
        <w:t>Financial and Assessment Chief</w:t>
      </w:r>
      <w:r w:rsidR="00F72DC5" w:rsidRPr="00001309">
        <w:rPr>
          <w:rFonts w:eastAsia="Calibri"/>
          <w:spacing w:val="0"/>
          <w:sz w:val="26"/>
          <w:szCs w:val="26"/>
        </w:rPr>
        <w:t xml:space="preserve">, Bureau of Technical Utility Services, the Office of Competitive Market Oversight, </w:t>
      </w:r>
      <w:r w:rsidR="00861709" w:rsidRPr="00001309">
        <w:rPr>
          <w:rFonts w:eastAsia="Calibri"/>
          <w:spacing w:val="0"/>
          <w:sz w:val="26"/>
          <w:szCs w:val="26"/>
        </w:rPr>
        <w:t xml:space="preserve">the </w:t>
      </w:r>
      <w:r w:rsidR="00F72DC5" w:rsidRPr="00001309">
        <w:rPr>
          <w:rFonts w:eastAsia="Calibri"/>
          <w:spacing w:val="0"/>
          <w:sz w:val="26"/>
          <w:szCs w:val="26"/>
        </w:rPr>
        <w:t>Law Bureau, and the Bureau of Consumer Services.</w:t>
      </w:r>
    </w:p>
    <w:p w:rsidR="00F72DC5" w:rsidRPr="00001309" w:rsidRDefault="00F72DC5" w:rsidP="00F72DC5">
      <w:pPr>
        <w:tabs>
          <w:tab w:val="left" w:pos="-1440"/>
          <w:tab w:val="left" w:pos="-720"/>
          <w:tab w:val="left" w:pos="0"/>
          <w:tab w:val="left" w:pos="720"/>
          <w:tab w:val="left" w:pos="1440"/>
        </w:tabs>
        <w:ind w:firstLine="0"/>
        <w:rPr>
          <w:rFonts w:eastAsia="Times New Roman"/>
          <w:sz w:val="26"/>
          <w:szCs w:val="26"/>
        </w:rPr>
      </w:pPr>
    </w:p>
    <w:p w:rsidR="00F72DC5" w:rsidRPr="00001309" w:rsidRDefault="00C23E97" w:rsidP="00F72DC5">
      <w:pPr>
        <w:keepNext/>
        <w:keepLines/>
        <w:autoSpaceDE w:val="0"/>
        <w:autoSpaceDN w:val="0"/>
        <w:adjustRightInd w:val="0"/>
        <w:rPr>
          <w:rFonts w:eastAsia="Calibri"/>
          <w:spacing w:val="0"/>
          <w:sz w:val="26"/>
          <w:szCs w:val="26"/>
        </w:rPr>
      </w:pPr>
      <w:r>
        <w:rPr>
          <w:rFonts w:eastAsia="Calibri"/>
          <w:spacing w:val="0"/>
          <w:sz w:val="26"/>
          <w:szCs w:val="26"/>
        </w:rPr>
        <w:t>18</w:t>
      </w:r>
      <w:r w:rsidR="002028B1">
        <w:rPr>
          <w:rFonts w:eastAsia="Calibri"/>
          <w:spacing w:val="0"/>
          <w:sz w:val="26"/>
          <w:szCs w:val="26"/>
        </w:rPr>
        <w:t>.</w:t>
      </w:r>
      <w:r w:rsidR="002028B1">
        <w:rPr>
          <w:rFonts w:eastAsia="Calibri"/>
          <w:spacing w:val="0"/>
          <w:sz w:val="26"/>
          <w:szCs w:val="26"/>
        </w:rPr>
        <w:tab/>
        <w:t>That this proceeding shall be marked closed.</w:t>
      </w:r>
    </w:p>
    <w:p w:rsidR="00F72DC5" w:rsidRPr="00001309" w:rsidRDefault="00F72DC5" w:rsidP="00F72DC5">
      <w:pPr>
        <w:keepNext/>
        <w:keepLines/>
        <w:autoSpaceDE w:val="0"/>
        <w:autoSpaceDN w:val="0"/>
        <w:adjustRightInd w:val="0"/>
        <w:rPr>
          <w:rFonts w:eastAsia="Calibri"/>
          <w:b/>
          <w:sz w:val="26"/>
        </w:rPr>
      </w:pPr>
    </w:p>
    <w:p w:rsidR="00F72DC5" w:rsidRPr="00001309" w:rsidRDefault="005E7B30" w:rsidP="00F72DC5">
      <w:pPr>
        <w:keepNext/>
        <w:keepLines/>
        <w:autoSpaceDE w:val="0"/>
        <w:autoSpaceDN w:val="0"/>
        <w:adjustRightInd w:val="0"/>
        <w:spacing w:line="240" w:lineRule="auto"/>
        <w:ind w:firstLine="0"/>
        <w:rPr>
          <w:rFonts w:eastAsia="Calibri"/>
          <w:b/>
          <w:sz w:val="26"/>
          <w:szCs w:val="26"/>
        </w:rPr>
      </w:pPr>
      <w:r>
        <w:rPr>
          <w:noProof/>
        </w:rPr>
        <w:drawing>
          <wp:anchor distT="0" distB="0" distL="114300" distR="114300" simplePos="0" relativeHeight="251669504" behindDoc="1" locked="0" layoutInCell="1" allowOverlap="1" wp14:anchorId="14311B0A" wp14:editId="3AE70FBF">
            <wp:simplePos x="0" y="0"/>
            <wp:positionH relativeFrom="column">
              <wp:posOffset>2790825</wp:posOffset>
            </wp:positionH>
            <wp:positionV relativeFrom="paragraph">
              <wp:posOffset>143510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2DC5" w:rsidRPr="00001309">
        <w:rPr>
          <w:rFonts w:eastAsia="Calibri"/>
          <w:b/>
          <w:sz w:val="26"/>
          <w:szCs w:val="26"/>
        </w:rPr>
        <w:tab/>
      </w:r>
      <w:r w:rsidR="00F72DC5" w:rsidRPr="00001309">
        <w:rPr>
          <w:rFonts w:eastAsia="Calibri"/>
          <w:b/>
          <w:sz w:val="26"/>
          <w:szCs w:val="26"/>
        </w:rPr>
        <w:tab/>
      </w:r>
      <w:r w:rsidR="00F72DC5" w:rsidRPr="00001309">
        <w:rPr>
          <w:rFonts w:eastAsia="Calibri"/>
          <w:b/>
          <w:sz w:val="26"/>
          <w:szCs w:val="26"/>
        </w:rPr>
        <w:tab/>
      </w:r>
      <w:r w:rsidR="00F72DC5" w:rsidRPr="00001309">
        <w:rPr>
          <w:rFonts w:eastAsia="Calibri"/>
          <w:b/>
          <w:sz w:val="26"/>
          <w:szCs w:val="26"/>
        </w:rPr>
        <w:tab/>
      </w:r>
      <w:r w:rsidR="00F72DC5" w:rsidRPr="00001309">
        <w:rPr>
          <w:rFonts w:eastAsia="Calibri"/>
          <w:b/>
          <w:sz w:val="26"/>
          <w:szCs w:val="26"/>
        </w:rPr>
        <w:tab/>
      </w:r>
      <w:r w:rsidR="008D34CA">
        <w:rPr>
          <w:rFonts w:eastAsia="Calibri"/>
          <w:b/>
          <w:sz w:val="26"/>
          <w:szCs w:val="26"/>
        </w:rPr>
        <w:tab/>
      </w:r>
      <w:r w:rsidR="00F72DC5" w:rsidRPr="00001309">
        <w:rPr>
          <w:rFonts w:eastAsia="Calibri"/>
          <w:b/>
          <w:sz w:val="26"/>
          <w:szCs w:val="26"/>
        </w:rPr>
        <w:t>BY THE COMMISSION,</w:t>
      </w:r>
    </w:p>
    <w:p w:rsidR="00F72DC5" w:rsidRPr="00001309" w:rsidRDefault="00F72DC5" w:rsidP="00F72DC5">
      <w:pPr>
        <w:keepNext/>
        <w:keepLines/>
        <w:autoSpaceDE w:val="0"/>
        <w:autoSpaceDN w:val="0"/>
        <w:adjustRightInd w:val="0"/>
        <w:spacing w:line="240" w:lineRule="auto"/>
        <w:ind w:firstLine="0"/>
        <w:rPr>
          <w:rFonts w:eastAsia="Calibri"/>
          <w:b/>
          <w:sz w:val="26"/>
          <w:szCs w:val="26"/>
        </w:rPr>
      </w:pPr>
    </w:p>
    <w:p w:rsidR="00F72DC5" w:rsidRPr="00001309" w:rsidRDefault="00F72DC5" w:rsidP="00F72DC5">
      <w:pPr>
        <w:keepNext/>
        <w:keepLines/>
        <w:autoSpaceDE w:val="0"/>
        <w:autoSpaceDN w:val="0"/>
        <w:adjustRightInd w:val="0"/>
        <w:spacing w:line="240" w:lineRule="auto"/>
        <w:ind w:firstLine="0"/>
        <w:rPr>
          <w:rFonts w:eastAsia="Calibri"/>
          <w:b/>
          <w:sz w:val="26"/>
          <w:szCs w:val="26"/>
        </w:rPr>
      </w:pPr>
    </w:p>
    <w:p w:rsidR="00F72DC5" w:rsidRPr="00001309" w:rsidRDefault="00F72DC5" w:rsidP="00F72DC5">
      <w:pPr>
        <w:keepNext/>
        <w:keepLines/>
        <w:autoSpaceDE w:val="0"/>
        <w:autoSpaceDN w:val="0"/>
        <w:adjustRightInd w:val="0"/>
        <w:spacing w:line="240" w:lineRule="auto"/>
        <w:ind w:firstLine="0"/>
        <w:rPr>
          <w:rFonts w:eastAsia="Calibri"/>
          <w:b/>
          <w:sz w:val="26"/>
          <w:szCs w:val="26"/>
        </w:rPr>
      </w:pPr>
    </w:p>
    <w:p w:rsidR="00F72DC5" w:rsidRPr="00001309" w:rsidRDefault="00F72DC5" w:rsidP="00F72DC5">
      <w:pPr>
        <w:keepNext/>
        <w:keepLines/>
        <w:autoSpaceDE w:val="0"/>
        <w:autoSpaceDN w:val="0"/>
        <w:adjustRightInd w:val="0"/>
        <w:spacing w:line="240" w:lineRule="auto"/>
        <w:ind w:firstLine="0"/>
        <w:rPr>
          <w:rFonts w:eastAsia="Calibri"/>
          <w:b/>
          <w:sz w:val="26"/>
          <w:szCs w:val="26"/>
        </w:rPr>
      </w:pPr>
      <w:bookmarkStart w:id="40" w:name="_GoBack"/>
      <w:bookmarkEnd w:id="40"/>
    </w:p>
    <w:p w:rsidR="00F72DC5" w:rsidRPr="00001309" w:rsidRDefault="00F72DC5" w:rsidP="00F72DC5">
      <w:pPr>
        <w:keepNext/>
        <w:keepLines/>
        <w:tabs>
          <w:tab w:val="left" w:pos="-720"/>
        </w:tabs>
        <w:suppressAutoHyphens/>
        <w:spacing w:line="240" w:lineRule="auto"/>
        <w:ind w:firstLine="0"/>
        <w:rPr>
          <w:rFonts w:eastAsia="Calibri"/>
          <w:sz w:val="26"/>
          <w:szCs w:val="26"/>
        </w:rPr>
      </w:pPr>
      <w:r w:rsidRPr="00001309">
        <w:rPr>
          <w:rFonts w:eastAsia="Calibri"/>
          <w:sz w:val="26"/>
          <w:szCs w:val="26"/>
        </w:rPr>
        <w:tab/>
      </w:r>
      <w:r w:rsidRPr="00001309">
        <w:rPr>
          <w:rFonts w:eastAsia="Calibri"/>
          <w:sz w:val="26"/>
          <w:szCs w:val="26"/>
        </w:rPr>
        <w:tab/>
      </w:r>
      <w:r w:rsidRPr="00001309">
        <w:rPr>
          <w:rFonts w:eastAsia="Calibri"/>
          <w:sz w:val="26"/>
          <w:szCs w:val="26"/>
        </w:rPr>
        <w:tab/>
      </w:r>
      <w:r w:rsidRPr="00001309">
        <w:rPr>
          <w:rFonts w:eastAsia="Calibri"/>
          <w:sz w:val="26"/>
          <w:szCs w:val="26"/>
        </w:rPr>
        <w:tab/>
      </w:r>
      <w:r w:rsidR="008D34CA">
        <w:rPr>
          <w:rFonts w:eastAsia="Calibri"/>
          <w:sz w:val="26"/>
          <w:szCs w:val="26"/>
        </w:rPr>
        <w:tab/>
      </w:r>
      <w:r w:rsidRPr="00001309">
        <w:rPr>
          <w:rFonts w:eastAsia="Calibri"/>
          <w:sz w:val="26"/>
          <w:szCs w:val="26"/>
        </w:rPr>
        <w:tab/>
        <w:t>Rosemary Chiavetta</w:t>
      </w:r>
    </w:p>
    <w:p w:rsidR="00F72DC5" w:rsidRPr="00001309" w:rsidRDefault="00F72DC5" w:rsidP="00F72DC5">
      <w:pPr>
        <w:keepNext/>
        <w:keepLines/>
        <w:tabs>
          <w:tab w:val="left" w:pos="-720"/>
        </w:tabs>
        <w:suppressAutoHyphens/>
        <w:spacing w:line="240" w:lineRule="auto"/>
        <w:ind w:firstLine="0"/>
        <w:rPr>
          <w:rFonts w:eastAsia="Calibri"/>
          <w:sz w:val="26"/>
          <w:szCs w:val="26"/>
        </w:rPr>
      </w:pPr>
      <w:r w:rsidRPr="00001309">
        <w:rPr>
          <w:rFonts w:eastAsia="Calibri"/>
          <w:sz w:val="26"/>
          <w:szCs w:val="26"/>
        </w:rPr>
        <w:tab/>
      </w:r>
      <w:r w:rsidR="008D34CA">
        <w:rPr>
          <w:rFonts w:eastAsia="Calibri"/>
          <w:sz w:val="26"/>
          <w:szCs w:val="26"/>
        </w:rPr>
        <w:tab/>
      </w:r>
      <w:r w:rsidRPr="00001309">
        <w:rPr>
          <w:rFonts w:eastAsia="Calibri"/>
          <w:sz w:val="26"/>
          <w:szCs w:val="26"/>
        </w:rPr>
        <w:tab/>
      </w:r>
      <w:r w:rsidRPr="00001309">
        <w:rPr>
          <w:rFonts w:eastAsia="Calibri"/>
          <w:sz w:val="26"/>
          <w:szCs w:val="26"/>
        </w:rPr>
        <w:tab/>
      </w:r>
      <w:r w:rsidRPr="00001309">
        <w:rPr>
          <w:rFonts w:eastAsia="Calibri"/>
          <w:sz w:val="26"/>
          <w:szCs w:val="26"/>
        </w:rPr>
        <w:tab/>
      </w:r>
      <w:r w:rsidRPr="00001309">
        <w:rPr>
          <w:rFonts w:eastAsia="Calibri"/>
          <w:sz w:val="26"/>
          <w:szCs w:val="26"/>
        </w:rPr>
        <w:tab/>
        <w:t>Secretary</w:t>
      </w:r>
    </w:p>
    <w:p w:rsidR="00F72DC5" w:rsidRPr="00001309" w:rsidRDefault="00F72DC5" w:rsidP="00F72DC5">
      <w:pPr>
        <w:keepNext/>
        <w:keepLines/>
        <w:tabs>
          <w:tab w:val="left" w:pos="-720"/>
        </w:tabs>
        <w:suppressAutoHyphens/>
        <w:spacing w:line="240" w:lineRule="auto"/>
        <w:ind w:firstLine="0"/>
        <w:rPr>
          <w:rFonts w:eastAsia="Times New Roman"/>
          <w:sz w:val="26"/>
          <w:szCs w:val="26"/>
        </w:rPr>
      </w:pPr>
    </w:p>
    <w:p w:rsidR="00F72DC5" w:rsidRPr="00001309" w:rsidRDefault="00F72DC5" w:rsidP="00F72DC5">
      <w:pPr>
        <w:keepNext/>
        <w:keepLines/>
        <w:tabs>
          <w:tab w:val="left" w:pos="-720"/>
        </w:tabs>
        <w:suppressAutoHyphens/>
        <w:spacing w:line="240" w:lineRule="auto"/>
        <w:ind w:firstLine="0"/>
        <w:rPr>
          <w:rFonts w:eastAsia="Times New Roman"/>
          <w:sz w:val="26"/>
          <w:szCs w:val="26"/>
        </w:rPr>
      </w:pPr>
      <w:r w:rsidRPr="00001309">
        <w:rPr>
          <w:rFonts w:eastAsia="Times New Roman"/>
          <w:sz w:val="26"/>
          <w:szCs w:val="26"/>
        </w:rPr>
        <w:t>(SEAL)</w:t>
      </w:r>
    </w:p>
    <w:p w:rsidR="00F72DC5" w:rsidRPr="00001309" w:rsidRDefault="00F72DC5" w:rsidP="00F72DC5">
      <w:pPr>
        <w:keepNext/>
        <w:keepLines/>
        <w:tabs>
          <w:tab w:val="left" w:pos="-720"/>
        </w:tabs>
        <w:suppressAutoHyphens/>
        <w:spacing w:line="240" w:lineRule="auto"/>
        <w:ind w:firstLine="0"/>
        <w:rPr>
          <w:rFonts w:eastAsia="Times New Roman"/>
          <w:sz w:val="26"/>
          <w:szCs w:val="26"/>
        </w:rPr>
      </w:pPr>
    </w:p>
    <w:p w:rsidR="00F72DC5" w:rsidRPr="00001309" w:rsidRDefault="00F72DC5" w:rsidP="00F72DC5">
      <w:pPr>
        <w:keepNext/>
        <w:keepLines/>
        <w:tabs>
          <w:tab w:val="left" w:pos="-720"/>
        </w:tabs>
        <w:suppressAutoHyphens/>
        <w:spacing w:line="240" w:lineRule="auto"/>
        <w:ind w:firstLine="0"/>
        <w:rPr>
          <w:rFonts w:eastAsia="Calibri"/>
          <w:sz w:val="26"/>
          <w:szCs w:val="26"/>
        </w:rPr>
      </w:pPr>
      <w:r w:rsidRPr="00001309">
        <w:rPr>
          <w:rFonts w:eastAsia="Calibri"/>
          <w:sz w:val="26"/>
          <w:szCs w:val="26"/>
        </w:rPr>
        <w:t xml:space="preserve">ORDER ADOPTED:  </w:t>
      </w:r>
      <w:r w:rsidR="00A50023">
        <w:rPr>
          <w:rFonts w:eastAsia="Calibri"/>
          <w:sz w:val="26"/>
          <w:szCs w:val="26"/>
        </w:rPr>
        <w:t>June 14</w:t>
      </w:r>
      <w:r w:rsidR="00FA094C" w:rsidRPr="00001309">
        <w:rPr>
          <w:rFonts w:eastAsia="Calibri"/>
          <w:sz w:val="26"/>
          <w:szCs w:val="26"/>
        </w:rPr>
        <w:t>, 2018</w:t>
      </w:r>
    </w:p>
    <w:p w:rsidR="00F72DC5" w:rsidRPr="00001309" w:rsidRDefault="00F72DC5" w:rsidP="00F72DC5">
      <w:pPr>
        <w:keepNext/>
        <w:keepLines/>
        <w:tabs>
          <w:tab w:val="left" w:pos="-720"/>
        </w:tabs>
        <w:suppressAutoHyphens/>
        <w:spacing w:line="240" w:lineRule="auto"/>
        <w:ind w:firstLine="0"/>
        <w:rPr>
          <w:rFonts w:eastAsia="Calibri"/>
          <w:sz w:val="26"/>
          <w:szCs w:val="26"/>
        </w:rPr>
      </w:pPr>
    </w:p>
    <w:p w:rsidR="00A107E1" w:rsidRPr="00001309" w:rsidRDefault="00F72DC5" w:rsidP="00F72DC5">
      <w:pPr>
        <w:keepNext/>
        <w:keepLines/>
        <w:tabs>
          <w:tab w:val="left" w:pos="-720"/>
        </w:tabs>
        <w:suppressAutoHyphens/>
        <w:spacing w:line="240" w:lineRule="auto"/>
        <w:ind w:firstLine="0"/>
        <w:rPr>
          <w:rFonts w:eastAsia="Calibri"/>
          <w:sz w:val="26"/>
          <w:szCs w:val="26"/>
        </w:rPr>
      </w:pPr>
      <w:r w:rsidRPr="00001309">
        <w:rPr>
          <w:rFonts w:eastAsia="Calibri"/>
          <w:sz w:val="26"/>
          <w:szCs w:val="26"/>
        </w:rPr>
        <w:t xml:space="preserve">ORDER ENTERED:  </w:t>
      </w:r>
      <w:r w:rsidR="005E7B30">
        <w:rPr>
          <w:rFonts w:eastAsia="Calibri"/>
          <w:sz w:val="26"/>
          <w:szCs w:val="26"/>
        </w:rPr>
        <w:t>July 19, 2018</w:t>
      </w:r>
    </w:p>
    <w:sectPr w:rsidR="00A107E1" w:rsidRPr="00001309" w:rsidSect="009D641B">
      <w:footerReference w:type="defaul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00A2" w:rsidRDefault="00E100A2" w:rsidP="00CE5CC7">
      <w:pPr>
        <w:spacing w:line="240" w:lineRule="auto"/>
      </w:pPr>
      <w:r>
        <w:separator/>
      </w:r>
    </w:p>
  </w:endnote>
  <w:endnote w:type="continuationSeparator" w:id="0">
    <w:p w:rsidR="00E100A2" w:rsidRDefault="00E100A2" w:rsidP="00CE5CC7">
      <w:pPr>
        <w:spacing w:line="240" w:lineRule="auto"/>
      </w:pPr>
      <w:r>
        <w:continuationSeparator/>
      </w:r>
    </w:p>
  </w:endnote>
  <w:endnote w:type="continuationNotice" w:id="1">
    <w:p w:rsidR="00E100A2" w:rsidRDefault="00E100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941" w:rsidRDefault="00446941">
    <w:pPr>
      <w:pStyle w:val="Footer"/>
      <w:jc w:val="center"/>
    </w:pPr>
  </w:p>
  <w:p w:rsidR="00446941" w:rsidRDefault="004469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4366966"/>
      <w:docPartObj>
        <w:docPartGallery w:val="Page Numbers (Bottom of Page)"/>
        <w:docPartUnique/>
      </w:docPartObj>
    </w:sdtPr>
    <w:sdtEndPr>
      <w:rPr>
        <w:noProof/>
      </w:rPr>
    </w:sdtEndPr>
    <w:sdtContent>
      <w:p w:rsidR="00446941" w:rsidRDefault="00446941" w:rsidP="00B06E6B">
        <w:pPr>
          <w:pStyle w:val="Footer"/>
          <w:ind w:firstLine="0"/>
          <w:jc w:val="center"/>
        </w:pPr>
        <w:r>
          <w:fldChar w:fldCharType="begin"/>
        </w:r>
        <w:r>
          <w:instrText xml:space="preserve"> PAGE   \* MERGEFORMAT </w:instrText>
        </w:r>
        <w:r>
          <w:fldChar w:fldCharType="separate"/>
        </w:r>
        <w:r>
          <w:rPr>
            <w:noProof/>
          </w:rPr>
          <w:t>58</w:t>
        </w:r>
        <w:r>
          <w:rPr>
            <w:noProof/>
          </w:rPr>
          <w:fldChar w:fldCharType="end"/>
        </w:r>
      </w:p>
    </w:sdtContent>
  </w:sdt>
  <w:p w:rsidR="00446941" w:rsidRDefault="00446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00A2" w:rsidRDefault="00E100A2" w:rsidP="008504C6">
      <w:pPr>
        <w:spacing w:line="240" w:lineRule="auto"/>
        <w:ind w:firstLine="0"/>
      </w:pPr>
      <w:r>
        <w:separator/>
      </w:r>
    </w:p>
  </w:footnote>
  <w:footnote w:type="continuationSeparator" w:id="0">
    <w:p w:rsidR="00E100A2" w:rsidRDefault="00E100A2" w:rsidP="00CE5CC7">
      <w:pPr>
        <w:spacing w:line="240" w:lineRule="auto"/>
      </w:pPr>
      <w:r>
        <w:continuationSeparator/>
      </w:r>
    </w:p>
  </w:footnote>
  <w:footnote w:type="continuationNotice" w:id="1">
    <w:p w:rsidR="00E100A2" w:rsidRDefault="00E100A2">
      <w:pPr>
        <w:spacing w:line="240" w:lineRule="auto"/>
      </w:pPr>
    </w:p>
  </w:footnote>
  <w:footnote w:id="2">
    <w:p w:rsidR="00446941" w:rsidRPr="00000343" w:rsidRDefault="00446941" w:rsidP="00124ECD">
      <w:pPr>
        <w:pStyle w:val="FootnoteText"/>
        <w:keepNext/>
        <w:keepLines/>
        <w:spacing w:after="120"/>
        <w:ind w:firstLine="720"/>
        <w:rPr>
          <w:sz w:val="26"/>
          <w:szCs w:val="26"/>
        </w:rPr>
      </w:pPr>
      <w:r w:rsidRPr="00000343">
        <w:rPr>
          <w:rStyle w:val="FootnoteReference"/>
          <w:sz w:val="26"/>
          <w:szCs w:val="26"/>
        </w:rPr>
        <w:footnoteRef/>
      </w:r>
      <w:r w:rsidRPr="00000343">
        <w:rPr>
          <w:sz w:val="26"/>
          <w:szCs w:val="26"/>
        </w:rPr>
        <w:tab/>
        <w:t xml:space="preserve">Telemarketer Registration Act, 72 P.S. § § 2241, </w:t>
      </w:r>
      <w:r w:rsidRPr="00000343">
        <w:rPr>
          <w:i/>
          <w:sz w:val="26"/>
          <w:szCs w:val="26"/>
        </w:rPr>
        <w:t>et seq</w:t>
      </w:r>
      <w:r w:rsidRPr="00000343">
        <w:rPr>
          <w:sz w:val="26"/>
          <w:szCs w:val="26"/>
        </w:rPr>
        <w:t>.</w:t>
      </w:r>
    </w:p>
  </w:footnote>
  <w:footnote w:id="3">
    <w:p w:rsidR="00446941" w:rsidRPr="00000343" w:rsidRDefault="00446941" w:rsidP="00124ECD">
      <w:pPr>
        <w:keepNext/>
        <w:keepLines/>
        <w:spacing w:after="120" w:line="240" w:lineRule="auto"/>
        <w:ind w:firstLine="720"/>
        <w:rPr>
          <w:sz w:val="26"/>
          <w:szCs w:val="26"/>
        </w:rPr>
      </w:pPr>
      <w:r w:rsidRPr="00000343">
        <w:rPr>
          <w:rStyle w:val="FootnoteReference"/>
          <w:sz w:val="26"/>
          <w:szCs w:val="26"/>
        </w:rPr>
        <w:footnoteRef/>
      </w:r>
      <w:r w:rsidRPr="00000343">
        <w:rPr>
          <w:sz w:val="26"/>
          <w:szCs w:val="26"/>
        </w:rPr>
        <w:tab/>
        <w:t xml:space="preserve">The PTC is the generation rate that a retail customer may be billed by its default service provider in the event of non-service by the EGS.  </w:t>
      </w:r>
      <w:r w:rsidRPr="00000343">
        <w:rPr>
          <w:i/>
          <w:sz w:val="26"/>
          <w:szCs w:val="26"/>
        </w:rPr>
        <w:t xml:space="preserve">See </w:t>
      </w:r>
      <w:r w:rsidRPr="00000343">
        <w:rPr>
          <w:sz w:val="26"/>
          <w:szCs w:val="26"/>
        </w:rPr>
        <w:t>52 Pa. Code § 54.182; 66 Pa. C.S. § 2803</w:t>
      </w:r>
      <w:r w:rsidRPr="00000343">
        <w:rPr>
          <w:color w:val="333333"/>
          <w:sz w:val="26"/>
          <w:szCs w:val="26"/>
        </w:rPr>
        <w:t>.</w:t>
      </w:r>
    </w:p>
  </w:footnote>
  <w:footnote w:id="4">
    <w:p w:rsidR="00446941" w:rsidRPr="00000343" w:rsidRDefault="00446941" w:rsidP="00124ECD">
      <w:pPr>
        <w:pStyle w:val="FootnoteText"/>
        <w:keepNext/>
        <w:keepLines/>
        <w:spacing w:after="120"/>
        <w:ind w:firstLine="720"/>
        <w:rPr>
          <w:sz w:val="26"/>
          <w:szCs w:val="26"/>
        </w:rPr>
      </w:pPr>
      <w:r w:rsidRPr="00000343">
        <w:rPr>
          <w:rStyle w:val="FootnoteReference"/>
          <w:sz w:val="26"/>
          <w:szCs w:val="26"/>
        </w:rPr>
        <w:footnoteRef/>
      </w:r>
      <w:r w:rsidRPr="00000343">
        <w:rPr>
          <w:sz w:val="26"/>
          <w:szCs w:val="26"/>
        </w:rPr>
        <w:tab/>
        <w:t>The ALJs explained that “[t]he Commission cannot order restitution in the form of EDC charges, bank overdraft charges or personal loan charges as a result of the overcharge in order to make the customers whole; however, the fact that many were financially distressed can weigh into the consideration of a higher penalty.”  I.D. at 129.</w:t>
      </w:r>
    </w:p>
  </w:footnote>
  <w:footnote w:id="5">
    <w:p w:rsidR="00446941" w:rsidRPr="00000343" w:rsidRDefault="00446941" w:rsidP="00124ECD">
      <w:pPr>
        <w:pStyle w:val="Default"/>
        <w:keepNext/>
        <w:keepLines/>
        <w:spacing w:after="120" w:line="240" w:lineRule="auto"/>
        <w:ind w:firstLine="720"/>
        <w:rPr>
          <w:rFonts w:ascii="Times New Roman" w:hAnsi="Times New Roman" w:cs="Times New Roman"/>
          <w:sz w:val="26"/>
          <w:szCs w:val="26"/>
        </w:rPr>
      </w:pPr>
      <w:r w:rsidRPr="00000343">
        <w:rPr>
          <w:rStyle w:val="FootnoteReference"/>
          <w:rFonts w:ascii="Times New Roman" w:hAnsi="Times New Roman" w:cs="Times New Roman"/>
          <w:sz w:val="26"/>
          <w:szCs w:val="26"/>
        </w:rPr>
        <w:footnoteRef/>
      </w:r>
      <w:r w:rsidRPr="00000343">
        <w:rPr>
          <w:rFonts w:ascii="Times New Roman" w:hAnsi="Times New Roman" w:cs="Times New Roman"/>
          <w:sz w:val="26"/>
          <w:szCs w:val="26"/>
        </w:rPr>
        <w:tab/>
        <w:t xml:space="preserve">In reaching this determination, </w:t>
      </w:r>
      <w:bookmarkStart w:id="11" w:name="_Hlk511300924"/>
      <w:r w:rsidRPr="00000343">
        <w:rPr>
          <w:rFonts w:ascii="Times New Roman" w:hAnsi="Times New Roman" w:cs="Times New Roman"/>
          <w:sz w:val="26"/>
          <w:szCs w:val="26"/>
        </w:rPr>
        <w:t>the ALJs determined that the Joint Complainants offered no authority to support their request and further explained that “</w:t>
      </w:r>
      <w:r w:rsidRPr="00000343">
        <w:rPr>
          <w:rFonts w:ascii="Times New Roman" w:hAnsi="Times New Roman" w:cs="Times New Roman"/>
          <w:spacing w:val="-3"/>
          <w:sz w:val="26"/>
          <w:szCs w:val="26"/>
        </w:rPr>
        <w:t xml:space="preserve">while the Commission has approved terms of prior settlements involving EGSs which included the EGS’s agreement to contribute to EDC hardship funds, in other settled cases, the Commission has declined modifying settlements as such. </w:t>
      </w:r>
      <w:r>
        <w:rPr>
          <w:rFonts w:ascii="Times New Roman" w:hAnsi="Times New Roman" w:cs="Times New Roman"/>
          <w:spacing w:val="-3"/>
          <w:sz w:val="26"/>
          <w:szCs w:val="26"/>
        </w:rPr>
        <w:t xml:space="preserve"> </w:t>
      </w:r>
      <w:r w:rsidRPr="00000343">
        <w:rPr>
          <w:rFonts w:ascii="Times New Roman" w:hAnsi="Times New Roman" w:cs="Times New Roman"/>
          <w:spacing w:val="-3"/>
          <w:sz w:val="26"/>
          <w:szCs w:val="26"/>
        </w:rPr>
        <w:t xml:space="preserve">See </w:t>
      </w:r>
      <w:r w:rsidRPr="00D60303">
        <w:rPr>
          <w:rFonts w:ascii="Times New Roman" w:hAnsi="Times New Roman" w:cs="Times New Roman"/>
          <w:i/>
          <w:spacing w:val="-3"/>
          <w:sz w:val="26"/>
          <w:szCs w:val="26"/>
        </w:rPr>
        <w:t xml:space="preserve">LBPS v. MXenergy, Inc. </w:t>
      </w:r>
      <w:r w:rsidRPr="00000343">
        <w:rPr>
          <w:rFonts w:ascii="Times New Roman" w:hAnsi="Times New Roman" w:cs="Times New Roman"/>
          <w:spacing w:val="-3"/>
          <w:sz w:val="26"/>
          <w:szCs w:val="26"/>
        </w:rPr>
        <w:t xml:space="preserve">, M-2012-2201861, (Opinion and Order entered December 5, 2013), wherein the Commission </w:t>
      </w:r>
      <w:r w:rsidRPr="00000343">
        <w:rPr>
          <w:rFonts w:ascii="Times New Roman" w:hAnsi="Times New Roman" w:cs="Times New Roman"/>
          <w:sz w:val="26"/>
          <w:szCs w:val="26"/>
        </w:rPr>
        <w:t xml:space="preserve">directed a civil penalty of $22,000 but rejected comments to a settlement proposing an EDC Hardship Fund contribution as part of the settlement involving 22 customers and 22 violations of 52 Pa.Code § 57.173 (relating to unauthorized switching).  The Commission held that no contributions to EDC hardship funds would be directed pursuant to 66 Pa.C.S. § 3315 and prior Commission caselaw. </w:t>
      </w:r>
      <w:r>
        <w:rPr>
          <w:rFonts w:ascii="Times New Roman" w:hAnsi="Times New Roman" w:cs="Times New Roman"/>
          <w:sz w:val="26"/>
          <w:szCs w:val="26"/>
        </w:rPr>
        <w:t xml:space="preserve"> </w:t>
      </w:r>
      <w:r w:rsidRPr="00000343">
        <w:rPr>
          <w:rFonts w:ascii="Times New Roman" w:hAnsi="Times New Roman" w:cs="Times New Roman"/>
          <w:sz w:val="26"/>
          <w:szCs w:val="26"/>
        </w:rPr>
        <w:t>I.D. at 144-145.</w:t>
      </w:r>
      <w:bookmarkEnd w:id="11"/>
    </w:p>
  </w:footnote>
  <w:footnote w:id="6">
    <w:p w:rsidR="00446941" w:rsidRPr="00000343" w:rsidRDefault="00446941" w:rsidP="00124ECD">
      <w:pPr>
        <w:pStyle w:val="FootnoteText"/>
        <w:keepNext/>
        <w:keepLines/>
        <w:spacing w:after="120"/>
        <w:ind w:firstLine="720"/>
        <w:rPr>
          <w:sz w:val="26"/>
          <w:szCs w:val="26"/>
        </w:rPr>
      </w:pPr>
      <w:r w:rsidRPr="00000343">
        <w:rPr>
          <w:rStyle w:val="FootnoteReference"/>
          <w:sz w:val="26"/>
          <w:szCs w:val="26"/>
        </w:rPr>
        <w:footnoteRef/>
      </w:r>
      <w:r w:rsidRPr="00000343">
        <w:rPr>
          <w:sz w:val="26"/>
          <w:szCs w:val="26"/>
        </w:rPr>
        <w:tab/>
        <w:t xml:space="preserve">Samuel P. Delug, majority owner of Blue Pilot, is also an owner of Blue Pilot’s telecommunications affiliates, NOS Communications, Inc. (NOS), Affinity Network Incorporated (ANI), and NOVSA Limited Partnership (NOVSA). See OAG/OCA Cross Exh. 1 at Exh. 4 (Corporate Structure and List of Affiliates). Additionally, Joseph T. Koppy, who is the CEO/Manager of Blue Pilot, is also the Chief Executive Officer and Chief Financial Officer of NOVSA. See G/OCA Cross Exh. 1 at Exh. 9 (Koppy resume). Furthermore, Raymond Perea, in-house General Counsel for Blue Pilot, is also in-house General Counsel for NOVSA. </w:t>
      </w:r>
      <w:r>
        <w:rPr>
          <w:sz w:val="26"/>
          <w:szCs w:val="26"/>
        </w:rPr>
        <w:t xml:space="preserve"> </w:t>
      </w:r>
      <w:r w:rsidRPr="00056205">
        <w:rPr>
          <w:i/>
          <w:sz w:val="26"/>
          <w:szCs w:val="26"/>
        </w:rPr>
        <w:t>See</w:t>
      </w:r>
      <w:r w:rsidRPr="00000343">
        <w:rPr>
          <w:sz w:val="26"/>
          <w:szCs w:val="26"/>
        </w:rPr>
        <w:t xml:space="preserve"> OAG/OCA Cross Exh. 1 at Exh. 9 (Perea resume).  I.D. at</w:t>
      </w:r>
      <w:r>
        <w:rPr>
          <w:sz w:val="26"/>
          <w:szCs w:val="26"/>
        </w:rPr>
        <w:t> </w:t>
      </w:r>
      <w:r w:rsidRPr="00000343">
        <w:rPr>
          <w:sz w:val="26"/>
          <w:szCs w:val="26"/>
        </w:rPr>
        <w:t>117.</w:t>
      </w:r>
    </w:p>
  </w:footnote>
  <w:footnote w:id="7">
    <w:p w:rsidR="00446941" w:rsidRPr="00000343" w:rsidRDefault="00446941" w:rsidP="00124ECD">
      <w:pPr>
        <w:pStyle w:val="FootnoteText"/>
        <w:keepNext/>
        <w:keepLines/>
        <w:spacing w:after="120"/>
        <w:ind w:firstLine="720"/>
        <w:rPr>
          <w:sz w:val="26"/>
          <w:szCs w:val="26"/>
        </w:rPr>
      </w:pPr>
      <w:r w:rsidRPr="00000343">
        <w:rPr>
          <w:rStyle w:val="FootnoteReference"/>
          <w:sz w:val="26"/>
          <w:szCs w:val="26"/>
        </w:rPr>
        <w:footnoteRef/>
      </w:r>
      <w:r w:rsidRPr="00000343">
        <w:rPr>
          <w:sz w:val="26"/>
          <w:szCs w:val="26"/>
        </w:rPr>
        <w:tab/>
      </w:r>
      <w:r w:rsidRPr="00000343">
        <w:rPr>
          <w:i/>
          <w:sz w:val="26"/>
          <w:szCs w:val="26"/>
        </w:rPr>
        <w:t xml:space="preserve">See </w:t>
      </w:r>
      <w:r w:rsidRPr="00000343">
        <w:rPr>
          <w:sz w:val="26"/>
          <w:szCs w:val="26"/>
        </w:rPr>
        <w:t xml:space="preserve">I.D.  Finding of Fact #14, </w:t>
      </w:r>
      <w:r w:rsidRPr="00000343">
        <w:rPr>
          <w:i/>
          <w:sz w:val="26"/>
          <w:szCs w:val="26"/>
        </w:rPr>
        <w:t>infra</w:t>
      </w:r>
      <w:r w:rsidRPr="00000343">
        <w:rPr>
          <w:sz w:val="26"/>
          <w:szCs w:val="26"/>
        </w:rPr>
        <w:t xml:space="preserve">; </w:t>
      </w:r>
      <w:proofErr w:type="gramStart"/>
      <w:r w:rsidRPr="00000343">
        <w:rPr>
          <w:i/>
          <w:sz w:val="26"/>
          <w:szCs w:val="26"/>
        </w:rPr>
        <w:t>also</w:t>
      </w:r>
      <w:proofErr w:type="gramEnd"/>
      <w:r w:rsidRPr="00000343">
        <w:rPr>
          <w:i/>
          <w:sz w:val="26"/>
          <w:szCs w:val="26"/>
        </w:rPr>
        <w:t xml:space="preserve"> </w:t>
      </w:r>
      <w:r w:rsidRPr="00000343">
        <w:rPr>
          <w:sz w:val="26"/>
          <w:szCs w:val="26"/>
        </w:rPr>
        <w:t>Blue Pilot Mai</w:t>
      </w:r>
      <w:r>
        <w:rPr>
          <w:sz w:val="26"/>
          <w:szCs w:val="26"/>
        </w:rPr>
        <w:t xml:space="preserve">n Brief (M.B.) at 3; 9, “. . . </w:t>
      </w:r>
      <w:r w:rsidRPr="00000343">
        <w:rPr>
          <w:sz w:val="26"/>
          <w:szCs w:val="26"/>
        </w:rPr>
        <w:t xml:space="preserve">BPE [Blue Pilot] completely ceased retail marketing in Pennsylvania . . . BPE fully exited the Pennsylvania retail market, voluntarily surrendering its EGS license.”  </w:t>
      </w:r>
      <w:r w:rsidRPr="00000343">
        <w:rPr>
          <w:i/>
          <w:sz w:val="26"/>
          <w:szCs w:val="26"/>
        </w:rPr>
        <w:t>Id</w:t>
      </w:r>
      <w:r w:rsidRPr="00000343">
        <w:rPr>
          <w:sz w:val="26"/>
          <w:szCs w:val="26"/>
        </w:rPr>
        <w:t>. at 3.</w:t>
      </w:r>
    </w:p>
  </w:footnote>
  <w:footnote w:id="8">
    <w:p w:rsidR="00446941" w:rsidRPr="00000343" w:rsidRDefault="00446941" w:rsidP="00124ECD">
      <w:pPr>
        <w:pStyle w:val="FootnoteText"/>
        <w:keepNext/>
        <w:keepLines/>
        <w:spacing w:after="120"/>
        <w:ind w:firstLine="720"/>
        <w:rPr>
          <w:sz w:val="26"/>
          <w:szCs w:val="26"/>
        </w:rPr>
      </w:pPr>
      <w:r w:rsidRPr="00000343">
        <w:rPr>
          <w:rStyle w:val="FootnoteReference"/>
          <w:sz w:val="26"/>
          <w:szCs w:val="26"/>
        </w:rPr>
        <w:footnoteRef/>
      </w:r>
      <w:r w:rsidRPr="00000343">
        <w:rPr>
          <w:sz w:val="26"/>
          <w:szCs w:val="26"/>
        </w:rPr>
        <w:tab/>
        <w:t xml:space="preserve">An EGS is required to maintain a bond in an amount so designated by the Commission.  52 Pa. Code § 54.40(b) explains that “[t]he </w:t>
      </w:r>
      <w:proofErr w:type="gramStart"/>
      <w:r w:rsidRPr="00000343">
        <w:rPr>
          <w:sz w:val="26"/>
          <w:szCs w:val="26"/>
        </w:rPr>
        <w:t>purpose</w:t>
      </w:r>
      <w:proofErr w:type="gramEnd"/>
      <w:r w:rsidRPr="00000343">
        <w:rPr>
          <w:sz w:val="26"/>
          <w:szCs w:val="26"/>
        </w:rPr>
        <w:t xml:space="preserve"> of the security requirement is to ensure the licensee’s financial responsibility . . . and the supply of electricity at retail in accordance with contracts, agreements or arrangement.  See section 2809(c) of the [C]ode.”  Subsection (d) of the Commission Regulation provides, in pertinent part, that “[m]</w:t>
      </w:r>
      <w:proofErr w:type="spellStart"/>
      <w:r w:rsidRPr="00000343">
        <w:rPr>
          <w:sz w:val="26"/>
          <w:szCs w:val="26"/>
        </w:rPr>
        <w:t>aintenance</w:t>
      </w:r>
      <w:proofErr w:type="spellEnd"/>
      <w:r w:rsidRPr="00000343">
        <w:rPr>
          <w:sz w:val="26"/>
          <w:szCs w:val="26"/>
        </w:rPr>
        <w:t xml:space="preserve"> of a license will be contingent on the licensee providing proof to the Commission that a bond or other approved security in the amount directed by the Commission has been obtained.”</w:t>
      </w:r>
    </w:p>
  </w:footnote>
  <w:footnote w:id="9">
    <w:p w:rsidR="00446941" w:rsidRPr="00000343" w:rsidRDefault="00446941" w:rsidP="00124ECD">
      <w:pPr>
        <w:pStyle w:val="FootnoteText"/>
        <w:keepNext/>
        <w:keepLines/>
        <w:spacing w:after="120"/>
        <w:ind w:firstLine="0"/>
        <w:rPr>
          <w:sz w:val="26"/>
          <w:szCs w:val="26"/>
        </w:rPr>
      </w:pPr>
      <w:r w:rsidRPr="00000343">
        <w:rPr>
          <w:sz w:val="26"/>
          <w:szCs w:val="26"/>
        </w:rPr>
        <w:tab/>
      </w:r>
      <w:r w:rsidRPr="00000343">
        <w:rPr>
          <w:rStyle w:val="FootnoteReference"/>
          <w:sz w:val="26"/>
          <w:szCs w:val="26"/>
        </w:rPr>
        <w:footnoteRef/>
      </w:r>
      <w:r w:rsidRPr="00000343">
        <w:rPr>
          <w:sz w:val="26"/>
          <w:szCs w:val="26"/>
        </w:rPr>
        <w:tab/>
      </w:r>
      <w:r w:rsidRPr="00000343">
        <w:rPr>
          <w:i/>
          <w:sz w:val="26"/>
          <w:szCs w:val="26"/>
        </w:rPr>
        <w:t>See In re: Electric Generation Supplier License Cancellations of Companies with an Expired Financial Security</w:t>
      </w:r>
      <w:r w:rsidRPr="00000343">
        <w:rPr>
          <w:sz w:val="26"/>
          <w:szCs w:val="26"/>
        </w:rPr>
        <w:t>, Docket No. M</w:t>
      </w:r>
      <w:r w:rsidRPr="00000343">
        <w:rPr>
          <w:sz w:val="26"/>
          <w:szCs w:val="26"/>
        </w:rPr>
        <w:noBreakHyphen/>
        <w:t>2015-2490383, (Final Order entered March 14, 2016).</w:t>
      </w:r>
    </w:p>
  </w:footnote>
  <w:footnote w:id="10">
    <w:p w:rsidR="00446941" w:rsidRPr="00000343" w:rsidRDefault="00446941" w:rsidP="00124ECD">
      <w:pPr>
        <w:pStyle w:val="FootnoteText"/>
        <w:keepNext/>
        <w:keepLines/>
        <w:spacing w:after="120"/>
        <w:ind w:firstLine="720"/>
        <w:rPr>
          <w:sz w:val="26"/>
          <w:szCs w:val="26"/>
        </w:rPr>
      </w:pPr>
      <w:r w:rsidRPr="00000343">
        <w:rPr>
          <w:rStyle w:val="FootnoteReference"/>
          <w:sz w:val="26"/>
          <w:szCs w:val="26"/>
        </w:rPr>
        <w:footnoteRef/>
      </w:r>
      <w:r w:rsidRPr="00000343">
        <w:rPr>
          <w:sz w:val="26"/>
          <w:szCs w:val="26"/>
        </w:rPr>
        <w:tab/>
        <w:t>We rely on the detailed Procedural History as set forth in the Initial Decision.</w:t>
      </w:r>
    </w:p>
  </w:footnote>
  <w:footnote w:id="11">
    <w:p w:rsidR="00446941" w:rsidRPr="00000343" w:rsidRDefault="00446941" w:rsidP="00124ECD">
      <w:pPr>
        <w:pStyle w:val="FootnoteText"/>
        <w:keepNext/>
        <w:keepLines/>
        <w:spacing w:after="120"/>
        <w:ind w:firstLine="720"/>
        <w:rPr>
          <w:sz w:val="26"/>
          <w:szCs w:val="26"/>
        </w:rPr>
      </w:pPr>
      <w:r w:rsidRPr="00000343">
        <w:rPr>
          <w:rStyle w:val="FootnoteReference"/>
          <w:sz w:val="26"/>
          <w:szCs w:val="26"/>
        </w:rPr>
        <w:footnoteRef/>
      </w:r>
      <w:r w:rsidRPr="00000343">
        <w:rPr>
          <w:sz w:val="26"/>
          <w:szCs w:val="26"/>
        </w:rPr>
        <w:tab/>
        <w:t xml:space="preserve">The restitution was described as refunds for all charges to Blue Pilot customers that were over and above the price to compare in the customers’ respective service territories from January 1, 2014 through the date of resolution of this matter, as well as any late, cancellation and/or termination fees and/or other such penalties charged to consumers </w:t>
      </w:r>
      <w:proofErr w:type="gramStart"/>
      <w:r w:rsidRPr="00000343">
        <w:rPr>
          <w:sz w:val="26"/>
          <w:szCs w:val="26"/>
        </w:rPr>
        <w:t>as a result of</w:t>
      </w:r>
      <w:proofErr w:type="gramEnd"/>
      <w:r w:rsidRPr="00000343">
        <w:rPr>
          <w:sz w:val="26"/>
          <w:szCs w:val="26"/>
        </w:rPr>
        <w:t xml:space="preserve"> the Company’s charges and consumers leaving to obtain generation service elsewhere.  </w:t>
      </w:r>
      <w:r w:rsidRPr="00000343">
        <w:rPr>
          <w:i/>
          <w:sz w:val="26"/>
          <w:szCs w:val="26"/>
        </w:rPr>
        <w:t xml:space="preserve">See </w:t>
      </w:r>
      <w:r w:rsidRPr="00000343">
        <w:rPr>
          <w:sz w:val="26"/>
          <w:szCs w:val="26"/>
        </w:rPr>
        <w:t>I.D. at 3, n. 2.</w:t>
      </w:r>
    </w:p>
  </w:footnote>
  <w:footnote w:id="12">
    <w:p w:rsidR="00446941" w:rsidRPr="00000343" w:rsidRDefault="00446941" w:rsidP="00124ECD">
      <w:pPr>
        <w:keepNext/>
        <w:keepLines/>
        <w:autoSpaceDE w:val="0"/>
        <w:autoSpaceDN w:val="0"/>
        <w:adjustRightInd w:val="0"/>
        <w:spacing w:after="120" w:line="240" w:lineRule="auto"/>
        <w:ind w:firstLine="720"/>
        <w:rPr>
          <w:sz w:val="26"/>
          <w:szCs w:val="26"/>
        </w:rPr>
      </w:pPr>
      <w:r w:rsidRPr="00000343">
        <w:rPr>
          <w:rStyle w:val="FootnoteReference"/>
          <w:sz w:val="26"/>
          <w:szCs w:val="26"/>
        </w:rPr>
        <w:footnoteRef/>
      </w:r>
      <w:r w:rsidRPr="00000343">
        <w:rPr>
          <w:sz w:val="26"/>
          <w:szCs w:val="26"/>
        </w:rPr>
        <w:tab/>
        <w:t xml:space="preserve">An appeal of the </w:t>
      </w:r>
      <w:r w:rsidRPr="00000343">
        <w:rPr>
          <w:i/>
          <w:sz w:val="26"/>
          <w:szCs w:val="26"/>
        </w:rPr>
        <w:t>December 11, 2014 Order</w:t>
      </w:r>
      <w:r w:rsidRPr="00000343">
        <w:rPr>
          <w:sz w:val="26"/>
          <w:szCs w:val="26"/>
        </w:rPr>
        <w:t xml:space="preserve"> was quashed as interlocutory.  </w:t>
      </w:r>
      <w:r w:rsidRPr="00000343">
        <w:rPr>
          <w:i/>
          <w:sz w:val="26"/>
          <w:szCs w:val="26"/>
        </w:rPr>
        <w:t>See</w:t>
      </w:r>
      <w:r w:rsidRPr="00000343">
        <w:rPr>
          <w:sz w:val="26"/>
          <w:szCs w:val="26"/>
        </w:rPr>
        <w:t xml:space="preserve"> I.D. at 6, n. 4, citing </w:t>
      </w:r>
      <w:r w:rsidRPr="00000343">
        <w:rPr>
          <w:i/>
          <w:iCs/>
          <w:sz w:val="26"/>
          <w:szCs w:val="26"/>
        </w:rPr>
        <w:t>Commonwealth of Pennsylvania, by Attorney General Kathleen</w:t>
      </w:r>
      <w:r>
        <w:rPr>
          <w:i/>
          <w:iCs/>
          <w:sz w:val="26"/>
          <w:szCs w:val="26"/>
        </w:rPr>
        <w:t> </w:t>
      </w:r>
      <w:r w:rsidRPr="00000343">
        <w:rPr>
          <w:i/>
          <w:iCs/>
          <w:sz w:val="26"/>
          <w:szCs w:val="26"/>
        </w:rPr>
        <w:t>G.</w:t>
      </w:r>
      <w:r>
        <w:rPr>
          <w:i/>
          <w:iCs/>
          <w:sz w:val="26"/>
          <w:szCs w:val="26"/>
        </w:rPr>
        <w:t> </w:t>
      </w:r>
      <w:r w:rsidRPr="00000343">
        <w:rPr>
          <w:i/>
          <w:iCs/>
          <w:sz w:val="26"/>
          <w:szCs w:val="26"/>
        </w:rPr>
        <w:t>Kane, through the Bureau of Consumer Protection v. Pa. PUC</w:t>
      </w:r>
      <w:r w:rsidRPr="00000343">
        <w:rPr>
          <w:iCs/>
          <w:sz w:val="26"/>
          <w:szCs w:val="26"/>
        </w:rPr>
        <w:t xml:space="preserve">, </w:t>
      </w:r>
      <w:r w:rsidRPr="00000343">
        <w:rPr>
          <w:sz w:val="26"/>
          <w:szCs w:val="26"/>
        </w:rPr>
        <w:t>No. 18 C.D. 2015, Order entered January 21, 2015.</w:t>
      </w:r>
    </w:p>
  </w:footnote>
  <w:footnote w:id="13">
    <w:p w:rsidR="00446941" w:rsidRPr="00000343" w:rsidRDefault="00446941" w:rsidP="00124ECD">
      <w:pPr>
        <w:pStyle w:val="FootnoteText"/>
        <w:keepNext/>
        <w:keepLines/>
        <w:spacing w:after="120"/>
        <w:ind w:firstLine="720"/>
        <w:rPr>
          <w:sz w:val="26"/>
          <w:szCs w:val="26"/>
        </w:rPr>
      </w:pPr>
      <w:r w:rsidRPr="00000343">
        <w:rPr>
          <w:rStyle w:val="FootnoteReference"/>
          <w:sz w:val="26"/>
          <w:szCs w:val="26"/>
        </w:rPr>
        <w:footnoteRef/>
      </w:r>
      <w:r w:rsidRPr="00000343">
        <w:rPr>
          <w:sz w:val="26"/>
          <w:szCs w:val="26"/>
        </w:rPr>
        <w:tab/>
        <w:t>We note the position of Blue Pilot as explained by ALJs Barnes and Cheskis, that it maintains that there were, in fact, approximately</w:t>
      </w:r>
      <w:r>
        <w:rPr>
          <w:sz w:val="26"/>
          <w:szCs w:val="26"/>
        </w:rPr>
        <w:t>,</w:t>
      </w:r>
      <w:r w:rsidRPr="00000343">
        <w:rPr>
          <w:sz w:val="26"/>
          <w:szCs w:val="26"/>
        </w:rPr>
        <w:t xml:space="preserve"> 80 witnesses who presented testimony given that Irfan </w:t>
      </w:r>
      <w:proofErr w:type="spellStart"/>
      <w:r w:rsidRPr="00000343">
        <w:rPr>
          <w:sz w:val="26"/>
          <w:szCs w:val="26"/>
        </w:rPr>
        <w:t>Isik</w:t>
      </w:r>
      <w:proofErr w:type="spellEnd"/>
      <w:r w:rsidRPr="00000343">
        <w:rPr>
          <w:sz w:val="26"/>
          <w:szCs w:val="26"/>
        </w:rPr>
        <w:t xml:space="preserve">, Mehmet </w:t>
      </w:r>
      <w:proofErr w:type="spellStart"/>
      <w:r w:rsidRPr="00000343">
        <w:rPr>
          <w:sz w:val="26"/>
          <w:szCs w:val="26"/>
        </w:rPr>
        <w:t>Isik</w:t>
      </w:r>
      <w:proofErr w:type="spellEnd"/>
      <w:r w:rsidRPr="00000343">
        <w:rPr>
          <w:sz w:val="26"/>
          <w:szCs w:val="26"/>
        </w:rPr>
        <w:t xml:space="preserve"> and Yaglidereliler Corporation (OAG/OCA Consumer Testimony at 358, 354 and 362) pertain to related accounts and Russell Mowl enrolled three (3) accounts with Blue Pilot (OAG/OCA Consumer Testimony at 469, 543 and 547).  I.D. at 8, n. 5, citing Blue Pilot M.B. at 16.</w:t>
      </w:r>
    </w:p>
  </w:footnote>
  <w:footnote w:id="14">
    <w:p w:rsidR="00446941" w:rsidRPr="00000343" w:rsidRDefault="00446941" w:rsidP="00124ECD">
      <w:pPr>
        <w:pStyle w:val="FootnoteText"/>
        <w:keepNext/>
        <w:keepLines/>
        <w:spacing w:after="120"/>
        <w:ind w:firstLine="720"/>
        <w:rPr>
          <w:sz w:val="26"/>
          <w:szCs w:val="26"/>
        </w:rPr>
      </w:pPr>
      <w:r w:rsidRPr="00000343">
        <w:rPr>
          <w:rStyle w:val="FootnoteReference"/>
          <w:sz w:val="26"/>
          <w:szCs w:val="26"/>
        </w:rPr>
        <w:footnoteRef/>
      </w:r>
      <w:r w:rsidRPr="00000343">
        <w:rPr>
          <w:sz w:val="26"/>
          <w:szCs w:val="26"/>
        </w:rPr>
        <w:tab/>
        <w:t>Notwithstanding, we continue with the designation of this Opinion and Order as “Proprietary,” and retain the previously identified proprietary information as set forth in the Initial Decision.</w:t>
      </w:r>
    </w:p>
  </w:footnote>
  <w:footnote w:id="15">
    <w:p w:rsidR="00446941" w:rsidRPr="00000343" w:rsidRDefault="00446941" w:rsidP="00124ECD">
      <w:pPr>
        <w:pStyle w:val="FootnoteText"/>
        <w:keepNext/>
        <w:keepLines/>
        <w:spacing w:after="120"/>
        <w:ind w:firstLine="720"/>
        <w:rPr>
          <w:sz w:val="26"/>
          <w:szCs w:val="26"/>
        </w:rPr>
      </w:pPr>
      <w:r w:rsidRPr="00000343">
        <w:rPr>
          <w:rStyle w:val="FootnoteReference"/>
          <w:sz w:val="26"/>
          <w:szCs w:val="26"/>
        </w:rPr>
        <w:footnoteRef/>
      </w:r>
      <w:r w:rsidRPr="00000343">
        <w:rPr>
          <w:sz w:val="26"/>
          <w:szCs w:val="26"/>
        </w:rPr>
        <w:tab/>
        <w:t>On February 3, 2016, an evidentiary hearing was held at which Blue Pilot indicated it would not be moving for admission the Rebuttal Testimony of a Mr. Perea.  I.D. at</w:t>
      </w:r>
      <w:r>
        <w:rPr>
          <w:sz w:val="26"/>
          <w:szCs w:val="26"/>
        </w:rPr>
        <w:t> </w:t>
      </w:r>
      <w:r w:rsidRPr="00000343">
        <w:rPr>
          <w:sz w:val="26"/>
          <w:szCs w:val="26"/>
        </w:rPr>
        <w:t>10.</w:t>
      </w:r>
    </w:p>
  </w:footnote>
  <w:footnote w:id="16">
    <w:p w:rsidR="00446941" w:rsidRPr="00000343" w:rsidRDefault="00446941" w:rsidP="00124ECD">
      <w:pPr>
        <w:keepNext/>
        <w:keepLines/>
        <w:autoSpaceDE w:val="0"/>
        <w:autoSpaceDN w:val="0"/>
        <w:adjustRightInd w:val="0"/>
        <w:spacing w:after="120" w:line="240" w:lineRule="auto"/>
        <w:ind w:firstLine="720"/>
        <w:rPr>
          <w:sz w:val="26"/>
          <w:szCs w:val="26"/>
        </w:rPr>
      </w:pPr>
      <w:r w:rsidRPr="00000343">
        <w:rPr>
          <w:rStyle w:val="FootnoteReference"/>
          <w:sz w:val="26"/>
          <w:szCs w:val="26"/>
        </w:rPr>
        <w:footnoteRef/>
      </w:r>
      <w:r w:rsidRPr="00000343">
        <w:rPr>
          <w:sz w:val="26"/>
          <w:szCs w:val="26"/>
        </w:rPr>
        <w:tab/>
      </w:r>
      <w:r w:rsidRPr="00000343">
        <w:rPr>
          <w:i/>
          <w:sz w:val="26"/>
          <w:szCs w:val="26"/>
        </w:rPr>
        <w:t>See Valley Forge Towers South Condominium v. Ron-Ike Foam Insulators, Inc</w:t>
      </w:r>
      <w:r w:rsidRPr="00000343">
        <w:rPr>
          <w:sz w:val="26"/>
          <w:szCs w:val="26"/>
        </w:rPr>
        <w:t xml:space="preserve">., 574 A.2d 641, 644 (Pa. Super. 1990), </w:t>
      </w:r>
      <w:r w:rsidRPr="00000343">
        <w:rPr>
          <w:i/>
          <w:sz w:val="26"/>
          <w:szCs w:val="26"/>
        </w:rPr>
        <w:t>aff’d</w:t>
      </w:r>
      <w:r w:rsidRPr="00000343">
        <w:rPr>
          <w:sz w:val="26"/>
          <w:szCs w:val="26"/>
        </w:rPr>
        <w:t xml:space="preserve"> 529 Pa. 512, 605 A. 2d 798 (Pa. 1990).</w:t>
      </w:r>
    </w:p>
    <w:p w:rsidR="00446941" w:rsidRPr="00000343" w:rsidRDefault="00446941" w:rsidP="00124ECD">
      <w:pPr>
        <w:pStyle w:val="FootnoteText"/>
        <w:keepNext/>
        <w:keepLines/>
        <w:spacing w:after="120"/>
        <w:ind w:firstLine="720"/>
        <w:rPr>
          <w:sz w:val="26"/>
          <w:szCs w:val="26"/>
        </w:rPr>
      </w:pPr>
    </w:p>
  </w:footnote>
  <w:footnote w:id="17">
    <w:p w:rsidR="00446941" w:rsidRPr="00000343" w:rsidRDefault="00446941" w:rsidP="00124ECD">
      <w:pPr>
        <w:pStyle w:val="FootnoteText"/>
        <w:keepNext/>
        <w:keepLines/>
        <w:spacing w:after="120"/>
        <w:ind w:firstLine="720"/>
        <w:rPr>
          <w:sz w:val="26"/>
          <w:szCs w:val="26"/>
        </w:rPr>
      </w:pPr>
      <w:r w:rsidRPr="00000343">
        <w:rPr>
          <w:rStyle w:val="FootnoteReference"/>
          <w:sz w:val="26"/>
          <w:szCs w:val="26"/>
        </w:rPr>
        <w:footnoteRef/>
      </w:r>
      <w:r w:rsidRPr="00000343">
        <w:rPr>
          <w:sz w:val="26"/>
          <w:szCs w:val="26"/>
        </w:rPr>
        <w:tab/>
        <w:t xml:space="preserve">In </w:t>
      </w:r>
      <w:r w:rsidRPr="00000343">
        <w:rPr>
          <w:i/>
          <w:sz w:val="26"/>
          <w:szCs w:val="26"/>
        </w:rPr>
        <w:t>Sanderman</w:t>
      </w:r>
      <w:r w:rsidRPr="00000343">
        <w:rPr>
          <w:sz w:val="26"/>
          <w:szCs w:val="26"/>
        </w:rPr>
        <w:t>, the Commission directed the general refund of rates that were collected without an approved tariff, notwithstanding the rates were for “utility” service provided.</w:t>
      </w:r>
    </w:p>
  </w:footnote>
  <w:footnote w:id="18">
    <w:p w:rsidR="00446941" w:rsidRPr="00000343" w:rsidRDefault="00446941" w:rsidP="00124ECD">
      <w:pPr>
        <w:pStyle w:val="FootnoteText"/>
        <w:keepNext/>
        <w:keepLines/>
        <w:spacing w:after="120"/>
        <w:ind w:firstLine="720"/>
        <w:rPr>
          <w:sz w:val="26"/>
          <w:szCs w:val="26"/>
        </w:rPr>
      </w:pPr>
      <w:r w:rsidRPr="00000343">
        <w:rPr>
          <w:rStyle w:val="FootnoteReference"/>
          <w:sz w:val="26"/>
          <w:szCs w:val="26"/>
        </w:rPr>
        <w:footnoteRef/>
      </w:r>
      <w:r w:rsidRPr="00000343">
        <w:rPr>
          <w:sz w:val="26"/>
          <w:szCs w:val="26"/>
        </w:rPr>
        <w:tab/>
        <w:t>We note that on December 13, 2017, the Pennsylvania Supreme Court has granted an appeal and will address the following issues:</w:t>
      </w:r>
    </w:p>
    <w:p w:rsidR="00446941" w:rsidRPr="00000343" w:rsidRDefault="00446941" w:rsidP="00124ECD">
      <w:pPr>
        <w:pStyle w:val="FootnoteText"/>
        <w:keepNext/>
        <w:keepLines/>
        <w:spacing w:after="120"/>
        <w:ind w:firstLine="720"/>
        <w:rPr>
          <w:sz w:val="26"/>
          <w:szCs w:val="26"/>
        </w:rPr>
      </w:pPr>
    </w:p>
    <w:p w:rsidR="00446941" w:rsidRPr="00000343" w:rsidRDefault="00446941" w:rsidP="00124ECD">
      <w:pPr>
        <w:keepNext/>
        <w:keepLines/>
        <w:spacing w:after="120" w:line="240" w:lineRule="auto"/>
        <w:ind w:left="720" w:right="720" w:firstLine="0"/>
        <w:rPr>
          <w:sz w:val="26"/>
          <w:szCs w:val="26"/>
        </w:rPr>
      </w:pPr>
      <w:r>
        <w:rPr>
          <w:sz w:val="26"/>
          <w:szCs w:val="26"/>
        </w:rPr>
        <w:tab/>
      </w:r>
      <w:r w:rsidRPr="00000343">
        <w:rPr>
          <w:sz w:val="26"/>
          <w:szCs w:val="26"/>
        </w:rPr>
        <w:t>(1)</w:t>
      </w:r>
      <w:r>
        <w:rPr>
          <w:sz w:val="26"/>
          <w:szCs w:val="26"/>
        </w:rPr>
        <w:tab/>
      </w:r>
      <w:r w:rsidRPr="00000343">
        <w:rPr>
          <w:sz w:val="26"/>
          <w:szCs w:val="26"/>
        </w:rPr>
        <w:t xml:space="preserve">Whether the $1,836,125.00 penalty was so grossly disproportionate to the penalties the Commission has approved for similar or more egregious conduct as to violate the Excessive Fines Clause of the Pennsylvania and </w:t>
      </w:r>
      <w:hyperlink r:id="rId1" w:history="1">
        <w:r w:rsidRPr="00000343">
          <w:rPr>
            <w:rStyle w:val="Hyperlink"/>
            <w:color w:val="auto"/>
            <w:sz w:val="26"/>
            <w:szCs w:val="26"/>
            <w:u w:val="none"/>
          </w:rPr>
          <w:t>U.S. Constitutions</w:t>
        </w:r>
      </w:hyperlink>
      <w:r w:rsidRPr="00000343">
        <w:rPr>
          <w:sz w:val="26"/>
          <w:szCs w:val="26"/>
        </w:rPr>
        <w:t>.</w:t>
      </w:r>
    </w:p>
    <w:p w:rsidR="00446941" w:rsidRPr="00000343" w:rsidRDefault="00446941" w:rsidP="00124ECD">
      <w:pPr>
        <w:keepNext/>
        <w:keepLines/>
        <w:spacing w:after="120" w:line="240" w:lineRule="auto"/>
        <w:ind w:left="720" w:right="720" w:firstLine="0"/>
        <w:rPr>
          <w:sz w:val="26"/>
          <w:szCs w:val="26"/>
        </w:rPr>
      </w:pPr>
      <w:r>
        <w:rPr>
          <w:sz w:val="26"/>
          <w:szCs w:val="26"/>
        </w:rPr>
        <w:tab/>
      </w:r>
      <w:r w:rsidRPr="00000343">
        <w:rPr>
          <w:sz w:val="26"/>
          <w:szCs w:val="26"/>
        </w:rPr>
        <w:t>(2)</w:t>
      </w:r>
      <w:r>
        <w:rPr>
          <w:sz w:val="26"/>
          <w:szCs w:val="26"/>
        </w:rPr>
        <w:tab/>
      </w:r>
      <w:r w:rsidRPr="00000343">
        <w:rPr>
          <w:sz w:val="26"/>
          <w:szCs w:val="26"/>
        </w:rPr>
        <w:t>Whether the $1,836,125.00 penalty impermissibly punished HIKO for litigating the complaint for a civil penalty instead of settling it.</w:t>
      </w:r>
    </w:p>
    <w:p w:rsidR="00446941" w:rsidRPr="00000343" w:rsidRDefault="00446941" w:rsidP="00124ECD">
      <w:pPr>
        <w:keepNext/>
        <w:keepLines/>
        <w:spacing w:after="120" w:line="240" w:lineRule="auto"/>
        <w:ind w:left="720" w:right="720" w:firstLine="0"/>
        <w:rPr>
          <w:sz w:val="26"/>
          <w:szCs w:val="26"/>
        </w:rPr>
      </w:pPr>
      <w:r>
        <w:rPr>
          <w:sz w:val="26"/>
          <w:szCs w:val="26"/>
        </w:rPr>
        <w:tab/>
      </w:r>
      <w:r w:rsidRPr="00000343">
        <w:rPr>
          <w:sz w:val="26"/>
          <w:szCs w:val="26"/>
        </w:rPr>
        <w:t>(3)</w:t>
      </w:r>
      <w:r>
        <w:rPr>
          <w:sz w:val="26"/>
          <w:szCs w:val="26"/>
        </w:rPr>
        <w:tab/>
      </w:r>
      <w:r w:rsidRPr="00000343">
        <w:rPr>
          <w:sz w:val="26"/>
          <w:szCs w:val="26"/>
        </w:rPr>
        <w:t>Whether the Commission abused its discretion in imposing an unprecedented civil penalty, which was not supported by substantial evidence.</w:t>
      </w:r>
    </w:p>
  </w:footnote>
  <w:footnote w:id="19">
    <w:p w:rsidR="00446941" w:rsidRPr="00000343" w:rsidRDefault="00446941" w:rsidP="00124ECD">
      <w:pPr>
        <w:pStyle w:val="FootnoteText"/>
        <w:keepNext/>
        <w:keepLines/>
        <w:spacing w:after="120"/>
        <w:ind w:firstLine="720"/>
        <w:rPr>
          <w:sz w:val="26"/>
          <w:szCs w:val="26"/>
        </w:rPr>
      </w:pPr>
      <w:r w:rsidRPr="00000343">
        <w:rPr>
          <w:rStyle w:val="FootnoteReference"/>
          <w:sz w:val="26"/>
          <w:szCs w:val="26"/>
        </w:rPr>
        <w:footnoteRef/>
      </w:r>
      <w:r w:rsidRPr="00000343">
        <w:rPr>
          <w:sz w:val="26"/>
          <w:szCs w:val="26"/>
        </w:rPr>
        <w:tab/>
        <w:t xml:space="preserve">As discussed, </w:t>
      </w:r>
      <w:r w:rsidRPr="00000343">
        <w:rPr>
          <w:i/>
          <w:sz w:val="26"/>
          <w:szCs w:val="26"/>
        </w:rPr>
        <w:t>infra</w:t>
      </w:r>
      <w:r w:rsidRPr="00000343">
        <w:rPr>
          <w:sz w:val="26"/>
          <w:szCs w:val="26"/>
        </w:rPr>
        <w:t xml:space="preserve">, the Commission has entered a final order on Exceptions filed in </w:t>
      </w:r>
      <w:r w:rsidRPr="00000343">
        <w:rPr>
          <w:i/>
          <w:sz w:val="26"/>
          <w:szCs w:val="26"/>
        </w:rPr>
        <w:t>Enrico</w:t>
      </w:r>
      <w:r w:rsidRPr="00000343">
        <w:rPr>
          <w:sz w:val="26"/>
          <w:szCs w:val="26"/>
        </w:rPr>
        <w:t>.</w:t>
      </w:r>
    </w:p>
  </w:footnote>
  <w:footnote w:id="20">
    <w:p w:rsidR="00446941" w:rsidRPr="00000343" w:rsidRDefault="00446941" w:rsidP="00124ECD">
      <w:pPr>
        <w:pStyle w:val="FootnoteText"/>
        <w:keepNext/>
        <w:keepLines/>
        <w:spacing w:after="120"/>
        <w:ind w:firstLine="720"/>
        <w:rPr>
          <w:sz w:val="26"/>
          <w:szCs w:val="26"/>
        </w:rPr>
      </w:pPr>
      <w:r w:rsidRPr="00000343">
        <w:rPr>
          <w:rStyle w:val="FootnoteReference"/>
          <w:sz w:val="26"/>
          <w:szCs w:val="26"/>
        </w:rPr>
        <w:footnoteRef/>
      </w:r>
      <w:r w:rsidRPr="00000343">
        <w:rPr>
          <w:sz w:val="26"/>
          <w:szCs w:val="26"/>
        </w:rPr>
        <w:tab/>
        <w:t>The Commission’s Regulations at 52 Pa. Code § 54.5 were amended</w:t>
      </w:r>
      <w:r>
        <w:rPr>
          <w:sz w:val="26"/>
          <w:szCs w:val="26"/>
        </w:rPr>
        <w:t xml:space="preserve"> on </w:t>
      </w:r>
      <w:r w:rsidRPr="00000343">
        <w:rPr>
          <w:sz w:val="26"/>
          <w:szCs w:val="26"/>
        </w:rPr>
        <w:t xml:space="preserve">June 14, 2014, </w:t>
      </w:r>
      <w:r w:rsidRPr="00000343">
        <w:rPr>
          <w:i/>
          <w:sz w:val="26"/>
          <w:szCs w:val="26"/>
        </w:rPr>
        <w:t>inter alia</w:t>
      </w:r>
      <w:r w:rsidRPr="00000343">
        <w:rPr>
          <w:sz w:val="26"/>
          <w:szCs w:val="26"/>
        </w:rPr>
        <w:t>,</w:t>
      </w:r>
      <w:r w:rsidRPr="00000343">
        <w:rPr>
          <w:i/>
          <w:sz w:val="26"/>
          <w:szCs w:val="26"/>
        </w:rPr>
        <w:t xml:space="preserve"> </w:t>
      </w:r>
      <w:r w:rsidRPr="00000343">
        <w:rPr>
          <w:sz w:val="26"/>
          <w:szCs w:val="26"/>
        </w:rPr>
        <w:t xml:space="preserve">to add a requirement that if there is a limit on price variability, the disclosure shall reveal it, and if there is not a limit on price variability, the EGS shall state there is not such a limit on how much the price may change from one billing cycle to the next.  </w:t>
      </w:r>
      <w:r w:rsidRPr="00000343">
        <w:rPr>
          <w:i/>
          <w:sz w:val="26"/>
          <w:szCs w:val="26"/>
        </w:rPr>
        <w:t xml:space="preserve">See </w:t>
      </w:r>
      <w:r w:rsidRPr="00000343">
        <w:rPr>
          <w:sz w:val="26"/>
          <w:szCs w:val="26"/>
        </w:rPr>
        <w:t>I.D. at 57, citing 52 Pa. Code §54.5(c)(2)(i) and (ii).</w:t>
      </w:r>
    </w:p>
  </w:footnote>
  <w:footnote w:id="21">
    <w:p w:rsidR="00446941" w:rsidRPr="00000343" w:rsidRDefault="00446941" w:rsidP="00124ECD">
      <w:pPr>
        <w:pStyle w:val="FootnoteText"/>
        <w:keepNext/>
        <w:keepLines/>
        <w:spacing w:after="120"/>
        <w:ind w:firstLine="720"/>
        <w:rPr>
          <w:sz w:val="26"/>
          <w:szCs w:val="26"/>
        </w:rPr>
      </w:pPr>
      <w:r w:rsidRPr="00000343">
        <w:rPr>
          <w:rStyle w:val="FootnoteReference"/>
          <w:sz w:val="26"/>
          <w:szCs w:val="26"/>
        </w:rPr>
        <w:footnoteRef/>
      </w:r>
      <w:r w:rsidRPr="00000343">
        <w:rPr>
          <w:sz w:val="26"/>
          <w:szCs w:val="26"/>
        </w:rPr>
        <w:tab/>
        <w:t xml:space="preserve">Blue Pilot notes that this case did not address Blue Pilot’s disclosure statement and was not cited by it in support of the adequacy of its disclosure statement but was referenced in the Initial Decision.  </w:t>
      </w:r>
      <w:r w:rsidRPr="00000343">
        <w:rPr>
          <w:i/>
          <w:sz w:val="26"/>
          <w:szCs w:val="26"/>
        </w:rPr>
        <w:t>See</w:t>
      </w:r>
      <w:r w:rsidRPr="00000343">
        <w:rPr>
          <w:sz w:val="26"/>
          <w:szCs w:val="26"/>
        </w:rPr>
        <w:t xml:space="preserve"> Exc. at 11, n. 35.</w:t>
      </w:r>
    </w:p>
  </w:footnote>
  <w:footnote w:id="22">
    <w:p w:rsidR="00446941" w:rsidRDefault="00446941" w:rsidP="00124ECD">
      <w:pPr>
        <w:keepNext/>
        <w:keepLines/>
        <w:kinsoku w:val="0"/>
        <w:overflowPunct w:val="0"/>
        <w:spacing w:after="120" w:line="240" w:lineRule="auto"/>
        <w:ind w:firstLine="720"/>
        <w:textAlignment w:val="baseline"/>
      </w:pPr>
      <w:r>
        <w:rPr>
          <w:rStyle w:val="FootnoteReference"/>
        </w:rPr>
        <w:footnoteRef/>
      </w:r>
      <w:r>
        <w:tab/>
      </w:r>
      <w:r w:rsidRPr="00C63D55">
        <w:rPr>
          <w:i/>
          <w:sz w:val="26"/>
          <w:szCs w:val="26"/>
        </w:rPr>
        <w:t xml:space="preserve">See </w:t>
      </w:r>
      <w:r w:rsidRPr="00C63D55">
        <w:rPr>
          <w:sz w:val="26"/>
          <w:szCs w:val="26"/>
        </w:rPr>
        <w:t>52 Pa. Code §§ 54.5(c)</w:t>
      </w:r>
      <w:r>
        <w:rPr>
          <w:sz w:val="26"/>
          <w:szCs w:val="26"/>
        </w:rPr>
        <w:t>;</w:t>
      </w:r>
      <w:r w:rsidRPr="00C63D55">
        <w:rPr>
          <w:sz w:val="26"/>
          <w:szCs w:val="26"/>
        </w:rPr>
        <w:t xml:space="preserve"> 54.43(1)</w:t>
      </w:r>
      <w:r>
        <w:rPr>
          <w:sz w:val="26"/>
          <w:szCs w:val="26"/>
        </w:rPr>
        <w:t>;</w:t>
      </w:r>
      <w:r w:rsidRPr="00C63D55">
        <w:rPr>
          <w:sz w:val="26"/>
          <w:szCs w:val="26"/>
        </w:rPr>
        <w:t xml:space="preserve"> and 111.12(d)(5).  </w:t>
      </w:r>
      <w:r>
        <w:rPr>
          <w:sz w:val="26"/>
          <w:szCs w:val="26"/>
        </w:rPr>
        <w:t>We note</w:t>
      </w:r>
      <w:r w:rsidRPr="00C63D55">
        <w:rPr>
          <w:sz w:val="26"/>
          <w:szCs w:val="26"/>
        </w:rPr>
        <w:t xml:space="preserve"> that Chapter 111 of </w:t>
      </w:r>
      <w:r>
        <w:rPr>
          <w:sz w:val="26"/>
          <w:szCs w:val="26"/>
        </w:rPr>
        <w:t>our</w:t>
      </w:r>
      <w:r w:rsidRPr="00C63D55">
        <w:rPr>
          <w:sz w:val="26"/>
          <w:szCs w:val="26"/>
        </w:rPr>
        <w:t xml:space="preserve"> </w:t>
      </w:r>
      <w:r>
        <w:rPr>
          <w:sz w:val="26"/>
          <w:szCs w:val="26"/>
        </w:rPr>
        <w:t>R</w:t>
      </w:r>
      <w:r w:rsidRPr="00C63D55">
        <w:rPr>
          <w:sz w:val="26"/>
          <w:szCs w:val="26"/>
        </w:rPr>
        <w:t>egulations</w:t>
      </w:r>
      <w:r>
        <w:rPr>
          <w:sz w:val="26"/>
          <w:szCs w:val="26"/>
        </w:rPr>
        <w:t>, 52 Pa. Code § 111.12,</w:t>
      </w:r>
      <w:r w:rsidRPr="00C63D55">
        <w:rPr>
          <w:sz w:val="26"/>
          <w:szCs w:val="26"/>
        </w:rPr>
        <w:t xml:space="preserve"> was not effective until July 1, 2013.</w:t>
      </w:r>
      <w:r>
        <w:rPr>
          <w:sz w:val="26"/>
          <w:szCs w:val="26"/>
        </w:rPr>
        <w:t xml:space="preserve"> </w:t>
      </w:r>
      <w:r w:rsidRPr="00C63D55">
        <w:rPr>
          <w:sz w:val="26"/>
          <w:szCs w:val="26"/>
        </w:rPr>
        <w:t xml:space="preserve"> However, the Commission adopted Interim Guidelines in 2010 that imposed many of the same requirements as Chapter 111.</w:t>
      </w:r>
    </w:p>
  </w:footnote>
  <w:footnote w:id="23">
    <w:p w:rsidR="00446941" w:rsidRPr="00410C4B" w:rsidRDefault="00446941" w:rsidP="00124ECD">
      <w:pPr>
        <w:pStyle w:val="Style"/>
        <w:keepNext/>
        <w:keepLines/>
        <w:widowControl/>
        <w:spacing w:after="120" w:line="240" w:lineRule="auto"/>
        <w:rPr>
          <w:bCs/>
          <w:color w:val="000000"/>
          <w:sz w:val="26"/>
          <w:szCs w:val="26"/>
        </w:rPr>
      </w:pPr>
      <w:r w:rsidRPr="00410C4B">
        <w:rPr>
          <w:rStyle w:val="FootnoteReference"/>
          <w:sz w:val="26"/>
          <w:szCs w:val="26"/>
        </w:rPr>
        <w:footnoteRef/>
      </w:r>
      <w:r w:rsidRPr="00410C4B">
        <w:rPr>
          <w:sz w:val="26"/>
          <w:szCs w:val="26"/>
        </w:rPr>
        <w:t xml:space="preserve"> </w:t>
      </w:r>
      <w:r>
        <w:rPr>
          <w:sz w:val="26"/>
          <w:szCs w:val="26"/>
        </w:rPr>
        <w:t>As one example, the ID noted it</w:t>
      </w:r>
      <w:r w:rsidRPr="00410C4B">
        <w:rPr>
          <w:bCs/>
          <w:color w:val="000000"/>
          <w:sz w:val="26"/>
          <w:szCs w:val="26"/>
        </w:rPr>
        <w:t xml:space="preserve"> </w:t>
      </w:r>
      <w:r>
        <w:rPr>
          <w:bCs/>
          <w:color w:val="000000"/>
          <w:sz w:val="26"/>
          <w:szCs w:val="26"/>
        </w:rPr>
        <w:t>wa</w:t>
      </w:r>
      <w:r w:rsidRPr="00410C4B">
        <w:rPr>
          <w:bCs/>
          <w:color w:val="000000"/>
          <w:sz w:val="26"/>
          <w:szCs w:val="26"/>
        </w:rPr>
        <w:t xml:space="preserve">s unclear if </w:t>
      </w:r>
      <w:r>
        <w:rPr>
          <w:bCs/>
          <w:color w:val="000000"/>
          <w:sz w:val="26"/>
          <w:szCs w:val="26"/>
        </w:rPr>
        <w:t>these</w:t>
      </w:r>
      <w:r w:rsidRPr="00410C4B">
        <w:rPr>
          <w:bCs/>
          <w:color w:val="000000"/>
          <w:sz w:val="26"/>
          <w:szCs w:val="26"/>
        </w:rPr>
        <w:t xml:space="preserve"> two </w:t>
      </w:r>
      <w:r>
        <w:rPr>
          <w:bCs/>
          <w:color w:val="000000"/>
          <w:sz w:val="26"/>
          <w:szCs w:val="26"/>
        </w:rPr>
        <w:t xml:space="preserve">sentences provide </w:t>
      </w:r>
      <w:r w:rsidRPr="00410C4B">
        <w:rPr>
          <w:bCs/>
          <w:color w:val="000000"/>
          <w:sz w:val="26"/>
          <w:szCs w:val="26"/>
        </w:rPr>
        <w:t xml:space="preserve">separate ways that rates may be changed – one where the “PJM wholesale market conditions” may cause the rate to increase or decrease and one where the “PJM wholesale market conditions” are part of the “changes in wholesale energy market prices in the PJM Markets.” </w:t>
      </w:r>
    </w:p>
    <w:p w:rsidR="00446941" w:rsidRPr="00410C4B" w:rsidRDefault="00446941" w:rsidP="00124ECD">
      <w:pPr>
        <w:pStyle w:val="FootnoteText"/>
        <w:keepNext/>
        <w:keepLines/>
        <w:spacing w:after="120"/>
        <w:rPr>
          <w:sz w:val="26"/>
          <w:szCs w:val="26"/>
        </w:rPr>
      </w:pPr>
    </w:p>
  </w:footnote>
  <w:footnote w:id="24">
    <w:p w:rsidR="00446941" w:rsidRPr="005642B8" w:rsidRDefault="00446941" w:rsidP="00124ECD">
      <w:pPr>
        <w:pStyle w:val="FootnoteText"/>
        <w:keepNext/>
        <w:keepLines/>
        <w:spacing w:after="120"/>
        <w:ind w:firstLine="720"/>
        <w:rPr>
          <w:sz w:val="26"/>
          <w:szCs w:val="26"/>
        </w:rPr>
      </w:pPr>
      <w:r>
        <w:rPr>
          <w:rStyle w:val="FootnoteReference"/>
        </w:rPr>
        <w:footnoteRef/>
      </w:r>
      <w:r>
        <w:tab/>
      </w:r>
      <w:r w:rsidRPr="005642B8">
        <w:rPr>
          <w:i/>
          <w:sz w:val="26"/>
          <w:szCs w:val="26"/>
        </w:rPr>
        <w:t xml:space="preserve">See </w:t>
      </w:r>
      <w:r w:rsidRPr="005642B8">
        <w:rPr>
          <w:sz w:val="26"/>
          <w:szCs w:val="26"/>
        </w:rPr>
        <w:t>OAG/OCA St. 2 at 6-7.</w:t>
      </w:r>
    </w:p>
  </w:footnote>
  <w:footnote w:id="25">
    <w:p w:rsidR="00446941" w:rsidRPr="00FE4775" w:rsidRDefault="00446941" w:rsidP="00124ECD">
      <w:pPr>
        <w:pStyle w:val="FootnoteText"/>
        <w:keepNext/>
        <w:keepLines/>
        <w:spacing w:after="120"/>
        <w:ind w:firstLine="720"/>
        <w:rPr>
          <w:sz w:val="26"/>
          <w:szCs w:val="26"/>
        </w:rPr>
      </w:pPr>
      <w:r>
        <w:rPr>
          <w:rStyle w:val="FootnoteReference"/>
        </w:rPr>
        <w:footnoteRef/>
      </w:r>
      <w:r>
        <w:tab/>
      </w:r>
      <w:r w:rsidRPr="00FE4775">
        <w:rPr>
          <w:i/>
          <w:sz w:val="26"/>
          <w:szCs w:val="26"/>
        </w:rPr>
        <w:t xml:space="preserve">See </w:t>
      </w:r>
      <w:r w:rsidRPr="00FE4775">
        <w:rPr>
          <w:sz w:val="26"/>
          <w:szCs w:val="26"/>
        </w:rPr>
        <w:t>OAG/OCA St. 2 at 16; Exh. SLE-3.</w:t>
      </w:r>
    </w:p>
  </w:footnote>
  <w:footnote w:id="26">
    <w:p w:rsidR="00446941" w:rsidRPr="006F14FE" w:rsidRDefault="00446941" w:rsidP="00124ECD">
      <w:pPr>
        <w:pStyle w:val="FootnoteText"/>
        <w:keepNext/>
        <w:keepLines/>
        <w:spacing w:after="120"/>
        <w:ind w:firstLine="720"/>
        <w:rPr>
          <w:sz w:val="26"/>
          <w:szCs w:val="26"/>
        </w:rPr>
      </w:pPr>
      <w:r>
        <w:rPr>
          <w:rStyle w:val="FootnoteReference"/>
        </w:rPr>
        <w:footnoteRef/>
      </w:r>
      <w:r>
        <w:tab/>
      </w:r>
      <w:r w:rsidRPr="006F14FE">
        <w:rPr>
          <w:i/>
          <w:sz w:val="26"/>
          <w:szCs w:val="26"/>
        </w:rPr>
        <w:t xml:space="preserve">See </w:t>
      </w:r>
      <w:r w:rsidRPr="006F14FE">
        <w:rPr>
          <w:sz w:val="26"/>
          <w:szCs w:val="26"/>
        </w:rPr>
        <w:t>OAG/OCA St. 1 at 32.</w:t>
      </w:r>
    </w:p>
  </w:footnote>
  <w:footnote w:id="27">
    <w:p w:rsidR="00446941" w:rsidRPr="00000343" w:rsidRDefault="00446941" w:rsidP="00124ECD">
      <w:pPr>
        <w:pStyle w:val="FootnoteText"/>
        <w:keepNext/>
        <w:keepLines/>
        <w:spacing w:after="120"/>
        <w:ind w:firstLine="720"/>
        <w:rPr>
          <w:sz w:val="26"/>
          <w:szCs w:val="26"/>
        </w:rPr>
      </w:pPr>
      <w:r w:rsidRPr="00000343">
        <w:rPr>
          <w:rStyle w:val="FootnoteReference"/>
          <w:sz w:val="26"/>
          <w:szCs w:val="26"/>
        </w:rPr>
        <w:footnoteRef/>
      </w:r>
      <w:r w:rsidRPr="00000343">
        <w:rPr>
          <w:sz w:val="26"/>
          <w:szCs w:val="26"/>
        </w:rPr>
        <w:tab/>
        <w:t xml:space="preserve">We reach this conclusion noting that Blue Pilot appears to argue, on various grounds, most notably, substantial evidence and due process, that the record cannot support a generalized conclusion for </w:t>
      </w:r>
      <w:proofErr w:type="gramStart"/>
      <w:r w:rsidRPr="00000343">
        <w:rPr>
          <w:sz w:val="26"/>
          <w:szCs w:val="26"/>
        </w:rPr>
        <w:t>all of</w:t>
      </w:r>
      <w:proofErr w:type="gramEnd"/>
      <w:r w:rsidRPr="00000343">
        <w:rPr>
          <w:sz w:val="26"/>
          <w:szCs w:val="26"/>
        </w:rPr>
        <w:t xml:space="preserve"> its customers as there may be certain customers (not sponsored as witnesses by Blue Pilot, however) that may not have had a poor experience during its service.  </w:t>
      </w:r>
      <w:r w:rsidRPr="00000343">
        <w:rPr>
          <w:i/>
          <w:sz w:val="26"/>
          <w:szCs w:val="26"/>
        </w:rPr>
        <w:t xml:space="preserve">See, e.g. </w:t>
      </w:r>
      <w:r w:rsidRPr="00000343">
        <w:rPr>
          <w:sz w:val="26"/>
          <w:szCs w:val="26"/>
        </w:rPr>
        <w:t>Blue Pilot M.B. at 91-92.</w:t>
      </w:r>
    </w:p>
  </w:footnote>
  <w:footnote w:id="28">
    <w:p w:rsidR="00446941" w:rsidRPr="00A550CD" w:rsidRDefault="00446941" w:rsidP="00124ECD">
      <w:pPr>
        <w:pStyle w:val="FootnoteText"/>
        <w:keepNext/>
        <w:keepLines/>
        <w:spacing w:after="120"/>
        <w:ind w:firstLine="720"/>
        <w:rPr>
          <w:sz w:val="26"/>
          <w:szCs w:val="26"/>
        </w:rPr>
      </w:pPr>
      <w:r>
        <w:rPr>
          <w:rStyle w:val="FootnoteReference"/>
        </w:rPr>
        <w:footnoteRef/>
      </w:r>
      <w:r>
        <w:tab/>
      </w:r>
      <w:r w:rsidRPr="00F94C56">
        <w:rPr>
          <w:sz w:val="26"/>
          <w:szCs w:val="26"/>
        </w:rPr>
        <w:t xml:space="preserve">As noted, </w:t>
      </w:r>
      <w:r>
        <w:rPr>
          <w:sz w:val="26"/>
          <w:szCs w:val="26"/>
        </w:rPr>
        <w:t>i</w:t>
      </w:r>
      <w:r w:rsidRPr="00F94C56">
        <w:rPr>
          <w:sz w:val="26"/>
          <w:szCs w:val="26"/>
        </w:rPr>
        <w:t xml:space="preserve">n </w:t>
      </w:r>
      <w:r w:rsidRPr="0062565A">
        <w:rPr>
          <w:i/>
          <w:sz w:val="26"/>
          <w:szCs w:val="26"/>
        </w:rPr>
        <w:t xml:space="preserve">HIKO v. Pa. PUC, </w:t>
      </w:r>
      <w:r w:rsidRPr="0062565A">
        <w:rPr>
          <w:sz w:val="26"/>
          <w:szCs w:val="26"/>
        </w:rPr>
        <w:t xml:space="preserve">163 A.3d 1079 (Pa. Cmwlth. 2017), </w:t>
      </w:r>
      <w:r w:rsidRPr="0062565A">
        <w:rPr>
          <w:i/>
          <w:sz w:val="26"/>
          <w:szCs w:val="26"/>
        </w:rPr>
        <w:t>appeal granted</w:t>
      </w:r>
      <w:r w:rsidRPr="0062565A">
        <w:rPr>
          <w:sz w:val="26"/>
          <w:szCs w:val="26"/>
        </w:rPr>
        <w:t>, 176 A.3d 235 (Pa. 2017), the Pennsylvania Supreme Court granted an appeal of the Commonwealth Court’s decision</w:t>
      </w:r>
      <w:r>
        <w:rPr>
          <w:sz w:val="26"/>
          <w:szCs w:val="26"/>
        </w:rPr>
        <w:t>.</w:t>
      </w:r>
      <w:r w:rsidRPr="0062565A">
        <w:rPr>
          <w:sz w:val="26"/>
          <w:szCs w:val="26"/>
        </w:rPr>
        <w:t xml:space="preserve"> </w:t>
      </w:r>
      <w:r>
        <w:rPr>
          <w:sz w:val="26"/>
          <w:szCs w:val="26"/>
        </w:rPr>
        <w:t xml:space="preserve"> T</w:t>
      </w:r>
      <w:r w:rsidRPr="0062565A">
        <w:rPr>
          <w:sz w:val="26"/>
          <w:szCs w:val="26"/>
        </w:rPr>
        <w:t xml:space="preserve">he </w:t>
      </w:r>
      <w:r>
        <w:rPr>
          <w:sz w:val="26"/>
          <w:szCs w:val="26"/>
        </w:rPr>
        <w:t>sole</w:t>
      </w:r>
      <w:r w:rsidRPr="0062565A">
        <w:rPr>
          <w:sz w:val="26"/>
          <w:szCs w:val="26"/>
        </w:rPr>
        <w:t xml:space="preserve"> issue on appeal </w:t>
      </w:r>
      <w:r>
        <w:rPr>
          <w:sz w:val="26"/>
          <w:szCs w:val="26"/>
        </w:rPr>
        <w:t xml:space="preserve">is </w:t>
      </w:r>
      <w:r w:rsidRPr="0062565A">
        <w:rPr>
          <w:sz w:val="26"/>
          <w:szCs w:val="26"/>
        </w:rPr>
        <w:t>the amount of the civil penalty.</w:t>
      </w:r>
    </w:p>
  </w:footnote>
  <w:footnote w:id="29">
    <w:p w:rsidR="00446941" w:rsidRPr="00000343" w:rsidRDefault="00446941" w:rsidP="00124ECD">
      <w:pPr>
        <w:pStyle w:val="FootnoteText"/>
        <w:keepNext/>
        <w:keepLines/>
        <w:spacing w:after="120"/>
        <w:ind w:firstLine="720"/>
        <w:rPr>
          <w:sz w:val="26"/>
          <w:szCs w:val="26"/>
        </w:rPr>
      </w:pPr>
      <w:r w:rsidRPr="00000343">
        <w:rPr>
          <w:rStyle w:val="FootnoteReference"/>
          <w:sz w:val="26"/>
          <w:szCs w:val="26"/>
        </w:rPr>
        <w:footnoteRef/>
      </w:r>
      <w:r w:rsidRPr="00000343">
        <w:rPr>
          <w:sz w:val="26"/>
          <w:szCs w:val="26"/>
        </w:rPr>
        <w:t xml:space="preserve"> </w:t>
      </w:r>
      <w:r w:rsidRPr="00000343">
        <w:rPr>
          <w:sz w:val="26"/>
          <w:szCs w:val="26"/>
        </w:rPr>
        <w:tab/>
        <w:t xml:space="preserve">It was noted that the Commission’s Chapter 111 </w:t>
      </w:r>
      <w:r>
        <w:rPr>
          <w:sz w:val="26"/>
          <w:szCs w:val="26"/>
        </w:rPr>
        <w:t>R</w:t>
      </w:r>
      <w:r w:rsidRPr="00000343">
        <w:rPr>
          <w:sz w:val="26"/>
          <w:szCs w:val="26"/>
        </w:rPr>
        <w:t>egulations apply to residential customers, whereas Sections 54.4 and 54.5, 52 Pa. Code §§ 54.4 and 54.5, apply to both residential and small commercial customers.  I.D. at 78, n. 24.</w:t>
      </w:r>
    </w:p>
  </w:footnote>
  <w:footnote w:id="30">
    <w:p w:rsidR="00446941" w:rsidRPr="00000343" w:rsidRDefault="00446941" w:rsidP="00124ECD">
      <w:pPr>
        <w:pStyle w:val="FootnoteText"/>
        <w:keepNext/>
        <w:keepLines/>
        <w:spacing w:after="120"/>
        <w:ind w:firstLine="720"/>
        <w:rPr>
          <w:sz w:val="26"/>
          <w:szCs w:val="26"/>
        </w:rPr>
      </w:pPr>
      <w:r w:rsidRPr="00000343">
        <w:rPr>
          <w:rStyle w:val="FootnoteReference"/>
          <w:sz w:val="26"/>
          <w:szCs w:val="26"/>
        </w:rPr>
        <w:footnoteRef/>
      </w:r>
      <w:r w:rsidRPr="00000343">
        <w:rPr>
          <w:sz w:val="26"/>
          <w:szCs w:val="26"/>
        </w:rPr>
        <w:tab/>
      </w:r>
      <w:r w:rsidRPr="00000343">
        <w:rPr>
          <w:bCs/>
          <w:i/>
          <w:sz w:val="26"/>
          <w:szCs w:val="26"/>
        </w:rPr>
        <w:t>Justin L. Herp v. Respond Power, LLC</w:t>
      </w:r>
      <w:r w:rsidRPr="00000343">
        <w:rPr>
          <w:bCs/>
          <w:sz w:val="26"/>
          <w:szCs w:val="26"/>
        </w:rPr>
        <w:t xml:space="preserve">, Docket </w:t>
      </w:r>
      <w:r w:rsidRPr="00000343">
        <w:rPr>
          <w:sz w:val="26"/>
          <w:szCs w:val="26"/>
        </w:rPr>
        <w:t>C-2014-2413756 (Order entered January 28, 2016) (</w:t>
      </w:r>
      <w:r w:rsidRPr="00000343">
        <w:rPr>
          <w:i/>
          <w:sz w:val="26"/>
          <w:szCs w:val="26"/>
        </w:rPr>
        <w:t>Herp</w:t>
      </w:r>
      <w:r w:rsidRPr="00000343">
        <w:rPr>
          <w:sz w:val="26"/>
          <w:szCs w:val="26"/>
        </w:rPr>
        <w:t>).</w:t>
      </w:r>
    </w:p>
  </w:footnote>
  <w:footnote w:id="31">
    <w:p w:rsidR="00446941" w:rsidRDefault="00446941" w:rsidP="00124ECD">
      <w:pPr>
        <w:pStyle w:val="FootnoteText"/>
        <w:keepNext/>
        <w:keepLines/>
        <w:spacing w:after="120"/>
        <w:ind w:firstLine="720"/>
        <w:rPr>
          <w:b/>
          <w:sz w:val="26"/>
          <w:szCs w:val="26"/>
        </w:rPr>
      </w:pPr>
      <w:r w:rsidRPr="00000343">
        <w:rPr>
          <w:rStyle w:val="FootnoteReference"/>
          <w:sz w:val="26"/>
          <w:szCs w:val="26"/>
        </w:rPr>
        <w:footnoteRef/>
      </w:r>
      <w:r w:rsidRPr="00000343">
        <w:rPr>
          <w:sz w:val="26"/>
          <w:szCs w:val="26"/>
        </w:rPr>
        <w:tab/>
        <w:t xml:space="preserve">The </w:t>
      </w:r>
      <w:r>
        <w:rPr>
          <w:sz w:val="26"/>
          <w:szCs w:val="26"/>
        </w:rPr>
        <w:t>Initial Decision</w:t>
      </w:r>
      <w:r w:rsidRPr="00000343">
        <w:rPr>
          <w:sz w:val="26"/>
          <w:szCs w:val="26"/>
        </w:rPr>
        <w:t>, at 150, n. 32, sets out a proprietary, disaggregated computation of the recommended refund of $2,459,517 by overbilling month and by residential and commercial/small business customer class per month:</w:t>
      </w:r>
      <w:r>
        <w:rPr>
          <w:b/>
          <w:sz w:val="26"/>
          <w:szCs w:val="26"/>
        </w:rPr>
        <w:t xml:space="preserve"> BEGIN PROPRIETARY </w:t>
      </w:r>
    </w:p>
    <w:p w:rsidR="00446941" w:rsidRDefault="00446941" w:rsidP="00AD251B">
      <w:pPr>
        <w:pStyle w:val="FootnoteText"/>
        <w:keepNext/>
        <w:keepLines/>
        <w:spacing w:after="120"/>
        <w:ind w:firstLine="0"/>
        <w:rPr>
          <w:sz w:val="26"/>
          <w:szCs w:val="26"/>
        </w:rPr>
      </w:pPr>
      <w:r>
        <w:rPr>
          <w:sz w:val="26"/>
          <w:szCs w:val="26"/>
        </w:rPr>
        <w:t xml:space="preserve">                              </w:t>
      </w:r>
    </w:p>
    <w:p w:rsidR="00446941" w:rsidRPr="00364902" w:rsidRDefault="00446941" w:rsidP="00AD251B">
      <w:pPr>
        <w:pStyle w:val="FootnoteText"/>
        <w:keepNext/>
        <w:keepLines/>
        <w:spacing w:after="120"/>
        <w:ind w:firstLine="0"/>
        <w:rPr>
          <w:b/>
          <w:sz w:val="26"/>
          <w:szCs w:val="26"/>
        </w:rPr>
      </w:pPr>
      <w:r>
        <w:rPr>
          <w:sz w:val="26"/>
          <w:szCs w:val="26"/>
        </w:rPr>
        <w:t xml:space="preserve">                                                                                                    </w:t>
      </w:r>
      <w:r w:rsidRPr="00364902">
        <w:rPr>
          <w:b/>
          <w:sz w:val="26"/>
          <w:szCs w:val="26"/>
        </w:rPr>
        <w:t>END PROPRIETARY</w:t>
      </w:r>
    </w:p>
  </w:footnote>
  <w:footnote w:id="32">
    <w:p w:rsidR="00446941" w:rsidRDefault="00446941" w:rsidP="00124ECD">
      <w:pPr>
        <w:keepNext/>
        <w:keepLines/>
        <w:spacing w:after="120" w:line="240" w:lineRule="auto"/>
        <w:ind w:firstLine="720"/>
        <w:rPr>
          <w:sz w:val="26"/>
          <w:szCs w:val="26"/>
        </w:rPr>
      </w:pPr>
    </w:p>
    <w:p w:rsidR="00446941" w:rsidRPr="00CE0FD2" w:rsidRDefault="00446941" w:rsidP="00124ECD">
      <w:pPr>
        <w:keepNext/>
        <w:keepLines/>
        <w:spacing w:after="120" w:line="240" w:lineRule="auto"/>
        <w:ind w:firstLine="720"/>
        <w:rPr>
          <w:sz w:val="26"/>
          <w:szCs w:val="26"/>
        </w:rPr>
      </w:pPr>
      <w:r>
        <w:rPr>
          <w:rStyle w:val="FootnoteReference"/>
        </w:rPr>
        <w:footnoteRef/>
      </w:r>
      <w:r w:rsidRPr="00CE0FD2">
        <w:rPr>
          <w:sz w:val="26"/>
          <w:szCs w:val="26"/>
        </w:rPr>
        <w:tab/>
      </w:r>
      <w:r w:rsidRPr="00CE0FD2">
        <w:rPr>
          <w:i/>
          <w:sz w:val="26"/>
          <w:szCs w:val="26"/>
        </w:rPr>
        <w:t>See I.D.</w:t>
      </w:r>
      <w:r w:rsidRPr="00CE0FD2">
        <w:rPr>
          <w:sz w:val="26"/>
          <w:szCs w:val="26"/>
        </w:rPr>
        <w:t xml:space="preserve"> at 150.  “. . . Blue Pilot shall be directed to provide refunds to its customers for overcharges in </w:t>
      </w:r>
      <w:proofErr w:type="gramStart"/>
      <w:r w:rsidRPr="00CE0FD2">
        <w:rPr>
          <w:sz w:val="26"/>
          <w:szCs w:val="26"/>
        </w:rPr>
        <w:t>December,</w:t>
      </w:r>
      <w:proofErr w:type="gramEnd"/>
      <w:r w:rsidRPr="00CE0FD2">
        <w:rPr>
          <w:sz w:val="26"/>
          <w:szCs w:val="26"/>
        </w:rPr>
        <w:t xml:space="preserve"> 2013 through March 2014, through a third-party Administrator as retained by Joint Complainants. </w:t>
      </w:r>
      <w:r>
        <w:rPr>
          <w:sz w:val="26"/>
          <w:szCs w:val="26"/>
        </w:rPr>
        <w:t xml:space="preserve"> </w:t>
      </w:r>
      <w:r w:rsidRPr="00CE0FD2">
        <w:rPr>
          <w:sz w:val="26"/>
          <w:szCs w:val="26"/>
        </w:rPr>
        <w:t>The aggregate amount due to Blue Pilot’s customers for this period is approximately $2,459,517.32</w:t>
      </w:r>
      <w:r>
        <w:rPr>
          <w:sz w:val="26"/>
          <w:szCs w:val="26"/>
        </w:rPr>
        <w:t xml:space="preserve">. </w:t>
      </w:r>
      <w:r w:rsidRPr="00CE0FD2">
        <w:rPr>
          <w:sz w:val="26"/>
          <w:szCs w:val="26"/>
        </w:rPr>
        <w:t xml:space="preserve"> However, as OAG/OCA request a lesser amount of $2,408,449 in their briefs, we are willing to direct the latter amount. Blue Pilot is directed to provide a full accounting of refunds and bill credits provided to its Pennsylvania customers, including a detailed explanation of to which billing a refund or bill credit applies, so that an appropriate mitigation credit may be determined in this proceeding. Further, Blue Pilot should be directed to provide a full and complete accounting of the amounts billed over the applicable PTCs and refunds due for its customers as part of a compliance filing.”</w:t>
      </w:r>
    </w:p>
  </w:footnote>
  <w:footnote w:id="33">
    <w:p w:rsidR="00446941" w:rsidRPr="00000343" w:rsidRDefault="00446941" w:rsidP="00124ECD">
      <w:pPr>
        <w:pStyle w:val="FootnoteText"/>
        <w:keepNext/>
        <w:keepLines/>
        <w:spacing w:after="120"/>
        <w:ind w:firstLine="720"/>
        <w:rPr>
          <w:sz w:val="26"/>
          <w:szCs w:val="26"/>
        </w:rPr>
      </w:pPr>
      <w:r w:rsidRPr="00000343">
        <w:rPr>
          <w:rStyle w:val="FootnoteReference"/>
          <w:sz w:val="26"/>
          <w:szCs w:val="26"/>
        </w:rPr>
        <w:footnoteRef/>
      </w:r>
      <w:r w:rsidRPr="00000343">
        <w:rPr>
          <w:sz w:val="26"/>
          <w:szCs w:val="26"/>
        </w:rPr>
        <w:tab/>
        <w:t xml:space="preserve">We further note that the Commission, as an administrative agency, may govern the receipt of evidence in the record to avoid cumulative and repetitive evidentiary submissions.  </w:t>
      </w:r>
      <w:r w:rsidRPr="00000343">
        <w:rPr>
          <w:i/>
          <w:sz w:val="26"/>
          <w:szCs w:val="26"/>
        </w:rPr>
        <w:t xml:space="preserve">See </w:t>
      </w:r>
      <w:r w:rsidRPr="00000343">
        <w:rPr>
          <w:sz w:val="26"/>
          <w:szCs w:val="26"/>
        </w:rPr>
        <w:t>52 Pa. Code § 5.243.</w:t>
      </w:r>
    </w:p>
  </w:footnote>
  <w:footnote w:id="34">
    <w:p w:rsidR="00446941" w:rsidRDefault="00446941" w:rsidP="00124ECD">
      <w:pPr>
        <w:pStyle w:val="FootnoteText"/>
        <w:keepNext/>
        <w:keepLines/>
        <w:spacing w:after="120"/>
        <w:ind w:firstLine="720"/>
      </w:pPr>
      <w:r w:rsidRPr="00406555">
        <w:rPr>
          <w:rStyle w:val="FootnoteReference"/>
          <w:sz w:val="26"/>
          <w:szCs w:val="26"/>
        </w:rPr>
        <w:footnoteRef/>
      </w:r>
      <w:r w:rsidRPr="00406555">
        <w:rPr>
          <w:sz w:val="26"/>
          <w:szCs w:val="26"/>
        </w:rPr>
        <w:tab/>
      </w:r>
      <w:r w:rsidRPr="00406555">
        <w:rPr>
          <w:i/>
          <w:sz w:val="26"/>
          <w:szCs w:val="26"/>
        </w:rPr>
        <w:t xml:space="preserve">See, however, </w:t>
      </w:r>
      <w:r w:rsidRPr="00406555">
        <w:rPr>
          <w:rFonts w:eastAsia="Times New Roman"/>
          <w:i/>
          <w:sz w:val="26"/>
          <w:szCs w:val="26"/>
        </w:rPr>
        <w:t>Sheri Horinka v. Pennsylvania Power Company</w:t>
      </w:r>
      <w:r w:rsidRPr="00406555">
        <w:rPr>
          <w:rFonts w:eastAsia="Times New Roman"/>
          <w:sz w:val="26"/>
          <w:szCs w:val="26"/>
        </w:rPr>
        <w:t>, Docket No. C-2017-2582842 (Order entered</w:t>
      </w:r>
      <w:r w:rsidRPr="00000343">
        <w:rPr>
          <w:rFonts w:eastAsia="Times New Roman"/>
          <w:sz w:val="26"/>
          <w:szCs w:val="26"/>
        </w:rPr>
        <w:t xml:space="preserve"> August 4, 2017) - T</w:t>
      </w:r>
      <w:r w:rsidRPr="00000343">
        <w:rPr>
          <w:sz w:val="26"/>
          <w:szCs w:val="26"/>
        </w:rPr>
        <w:t xml:space="preserve">he Commission is the ultimate </w:t>
      </w:r>
      <w:r w:rsidRPr="00000343">
        <w:rPr>
          <w:rStyle w:val="term1"/>
          <w:b w:val="0"/>
          <w:sz w:val="26"/>
          <w:szCs w:val="26"/>
        </w:rPr>
        <w:t>finder of fact</w:t>
      </w:r>
      <w:r w:rsidRPr="00000343">
        <w:rPr>
          <w:sz w:val="26"/>
          <w:szCs w:val="26"/>
        </w:rPr>
        <w:t xml:space="preserve"> in complaint proceedings and must weigh the evidence and resolve conflicts in the testimony.  </w:t>
      </w:r>
      <w:hyperlink r:id="rId2" w:history="1">
        <w:r w:rsidRPr="00000343">
          <w:rPr>
            <w:rStyle w:val="Hyperlink"/>
            <w:i/>
            <w:iCs/>
            <w:color w:val="auto"/>
            <w:sz w:val="26"/>
            <w:szCs w:val="26"/>
            <w:u w:val="none"/>
          </w:rPr>
          <w:t>Pa. Electric Co. v. Pa. PUC</w:t>
        </w:r>
        <w:r w:rsidRPr="00000343">
          <w:rPr>
            <w:rStyle w:val="Hyperlink"/>
            <w:color w:val="auto"/>
            <w:sz w:val="26"/>
            <w:szCs w:val="26"/>
            <w:u w:val="none"/>
          </w:rPr>
          <w:t>, 473 A.2d 704 (Pa. Cmwlth. 1984);</w:t>
        </w:r>
      </w:hyperlink>
      <w:r w:rsidRPr="00000343">
        <w:rPr>
          <w:sz w:val="26"/>
          <w:szCs w:val="26"/>
        </w:rPr>
        <w:t xml:space="preserve">  </w:t>
      </w:r>
      <w:hyperlink r:id="rId3" w:history="1">
        <w:r w:rsidRPr="00000343">
          <w:rPr>
            <w:rStyle w:val="Hyperlink"/>
            <w:i/>
            <w:iCs/>
            <w:color w:val="auto"/>
            <w:sz w:val="26"/>
            <w:szCs w:val="26"/>
            <w:u w:val="none"/>
          </w:rPr>
          <w:t>Milkie v. Pa.PUC</w:t>
        </w:r>
        <w:r w:rsidRPr="00000343">
          <w:rPr>
            <w:rStyle w:val="Hyperlink"/>
            <w:color w:val="auto"/>
            <w:sz w:val="26"/>
            <w:szCs w:val="26"/>
            <w:u w:val="none"/>
          </w:rPr>
          <w:t>, 768 A.2d 1217 (Pa. Cmwlth. 2001);</w:t>
        </w:r>
      </w:hyperlink>
      <w:r w:rsidRPr="00000343">
        <w:rPr>
          <w:sz w:val="26"/>
          <w:szCs w:val="26"/>
        </w:rPr>
        <w:t xml:space="preserve"> </w:t>
      </w:r>
      <w:r w:rsidRPr="00000343">
        <w:rPr>
          <w:i/>
          <w:iCs/>
          <w:sz w:val="26"/>
          <w:szCs w:val="26"/>
        </w:rPr>
        <w:t xml:space="preserve">See, also </w:t>
      </w:r>
      <w:hyperlink r:id="rId4" w:history="1">
        <w:r w:rsidRPr="00000343">
          <w:rPr>
            <w:rStyle w:val="Hyperlink"/>
            <w:i/>
            <w:iCs/>
            <w:color w:val="auto"/>
            <w:sz w:val="26"/>
            <w:szCs w:val="26"/>
            <w:u w:val="none"/>
          </w:rPr>
          <w:t>Romeo v. Pa. PUC</w:t>
        </w:r>
        <w:r w:rsidRPr="00000343">
          <w:rPr>
            <w:rStyle w:val="Hyperlink"/>
            <w:color w:val="auto"/>
            <w:sz w:val="26"/>
            <w:szCs w:val="26"/>
            <w:u w:val="none"/>
          </w:rPr>
          <w:t>, 154 A.3d 422 (Pa. Cmwlth. 2017)</w:t>
        </w:r>
      </w:hyperlink>
      <w:r w:rsidRPr="00000343">
        <w:rPr>
          <w:sz w:val="26"/>
          <w:szCs w:val="26"/>
        </w:rPr>
        <w:t xml:space="preserve"> -- under Section 335, </w:t>
      </w:r>
      <w:hyperlink r:id="rId5" w:history="1">
        <w:r w:rsidRPr="00000343">
          <w:rPr>
            <w:rStyle w:val="Hyperlink"/>
            <w:color w:val="auto"/>
            <w:sz w:val="26"/>
            <w:szCs w:val="26"/>
            <w:u w:val="none"/>
          </w:rPr>
          <w:t xml:space="preserve">66 Pa. C.S. § </w:t>
        </w:r>
        <w:r w:rsidRPr="00000343">
          <w:rPr>
            <w:rStyle w:val="term1"/>
            <w:b w:val="0"/>
            <w:sz w:val="26"/>
            <w:szCs w:val="26"/>
          </w:rPr>
          <w:t>335</w:t>
        </w:r>
        <w:r w:rsidRPr="00000343">
          <w:rPr>
            <w:rStyle w:val="term1"/>
            <w:sz w:val="26"/>
            <w:szCs w:val="26"/>
          </w:rPr>
          <w:t>(</w:t>
        </w:r>
        <w:r w:rsidRPr="00000343">
          <w:rPr>
            <w:rStyle w:val="Hyperlink"/>
            <w:color w:val="auto"/>
            <w:sz w:val="26"/>
            <w:szCs w:val="26"/>
            <w:u w:val="none"/>
          </w:rPr>
          <w:t>a)</w:t>
        </w:r>
      </w:hyperlink>
      <w:r w:rsidRPr="00000343">
        <w:rPr>
          <w:sz w:val="26"/>
          <w:szCs w:val="26"/>
        </w:rPr>
        <w:t xml:space="preserve">, and </w:t>
      </w:r>
      <w:hyperlink r:id="rId6" w:history="1">
        <w:r w:rsidRPr="00000343">
          <w:rPr>
            <w:rStyle w:val="Hyperlink"/>
            <w:color w:val="auto"/>
            <w:sz w:val="26"/>
            <w:szCs w:val="26"/>
            <w:u w:val="none"/>
          </w:rPr>
          <w:t>52 Pa. Code § 5.536</w:t>
        </w:r>
      </w:hyperlink>
      <w:r w:rsidRPr="00000343">
        <w:rPr>
          <w:sz w:val="26"/>
          <w:szCs w:val="26"/>
        </w:rPr>
        <w:t xml:space="preserve"> of our Regulations, once Exceptions are filed or once the Commission takes a decision for review </w:t>
      </w:r>
      <w:r w:rsidRPr="00000343">
        <w:rPr>
          <w:i/>
          <w:iCs/>
          <w:sz w:val="26"/>
          <w:szCs w:val="26"/>
        </w:rPr>
        <w:t>sua sponte</w:t>
      </w:r>
      <w:r w:rsidRPr="00000343">
        <w:rPr>
          <w:sz w:val="26"/>
          <w:szCs w:val="26"/>
        </w:rPr>
        <w:t xml:space="preserve"> pursuant to the Commission may review the ALJ's decision in its entirety without limit.</w:t>
      </w:r>
    </w:p>
  </w:footnote>
  <w:footnote w:id="35">
    <w:p w:rsidR="00446941" w:rsidRPr="00001309" w:rsidRDefault="00446941" w:rsidP="00124ECD">
      <w:pPr>
        <w:keepNext/>
        <w:keepLines/>
        <w:autoSpaceDE w:val="0"/>
        <w:autoSpaceDN w:val="0"/>
        <w:adjustRightInd w:val="0"/>
        <w:spacing w:after="120" w:line="240" w:lineRule="auto"/>
        <w:ind w:firstLine="720"/>
        <w:rPr>
          <w:sz w:val="26"/>
          <w:szCs w:val="26"/>
        </w:rPr>
      </w:pPr>
      <w:r>
        <w:rPr>
          <w:rStyle w:val="FootnoteReference"/>
        </w:rPr>
        <w:footnoteRef/>
      </w:r>
      <w:r>
        <w:tab/>
      </w:r>
      <w:r w:rsidRPr="00001309">
        <w:rPr>
          <w:sz w:val="26"/>
          <w:szCs w:val="26"/>
        </w:rPr>
        <w:t xml:space="preserve">The RESA is a trade association of retail energy suppliers.  Petition at ¶ 6.  Its members are licensed to sell electric energy in the retail markets of Pennsylvania’s major EDCs.  </w:t>
      </w:r>
      <w:r w:rsidRPr="00001309">
        <w:rPr>
          <w:i/>
          <w:sz w:val="26"/>
          <w:szCs w:val="26"/>
        </w:rPr>
        <w:t>Id</w:t>
      </w:r>
      <w:r w:rsidRPr="00001309">
        <w:rPr>
          <w:sz w:val="26"/>
          <w:szCs w:val="26"/>
        </w:rPr>
        <w:t>.   The RESA has not participated in this Complaint proceeding before filing its Petition, but states that its members hold EGS licenses which are in good standing.  Petition at 3.</w:t>
      </w:r>
      <w:r>
        <w:rPr>
          <w:sz w:val="26"/>
          <w:szCs w:val="26"/>
        </w:rPr>
        <w:t xml:space="preserve">  Th</w:t>
      </w:r>
      <w:r w:rsidRPr="00001309">
        <w:rPr>
          <w:sz w:val="26"/>
          <w:szCs w:val="26"/>
        </w:rPr>
        <w:t xml:space="preserve">e RESA asserts that its sole interest in this Complaint is to raise concerns as a matter of law and policy that the ALJs’ recommendation to require a </w:t>
      </w:r>
      <w:r>
        <w:rPr>
          <w:sz w:val="26"/>
          <w:szCs w:val="26"/>
        </w:rPr>
        <w:t>“</w:t>
      </w:r>
      <w:r w:rsidRPr="00001309">
        <w:rPr>
          <w:sz w:val="26"/>
          <w:szCs w:val="26"/>
        </w:rPr>
        <w:t>wet signature</w:t>
      </w:r>
      <w:r>
        <w:rPr>
          <w:sz w:val="26"/>
          <w:szCs w:val="26"/>
        </w:rPr>
        <w:t>”</w:t>
      </w:r>
      <w:r w:rsidRPr="00001309">
        <w:rPr>
          <w:sz w:val="26"/>
          <w:szCs w:val="26"/>
        </w:rPr>
        <w:t xml:space="preserve"> for all telemarketing contracts solicited and obtained by an EGS or its agents with a consumer will have a substantial negative impact on its members and on consumers, generally.  Petition at</w:t>
      </w:r>
      <w:r>
        <w:rPr>
          <w:sz w:val="26"/>
          <w:szCs w:val="26"/>
        </w:rPr>
        <w:t> </w:t>
      </w:r>
      <w:r w:rsidRPr="00001309">
        <w:rPr>
          <w:sz w:val="26"/>
          <w:szCs w:val="26"/>
        </w:rPr>
        <w:t>2.</w:t>
      </w:r>
    </w:p>
    <w:p w:rsidR="00446941" w:rsidRDefault="00446941" w:rsidP="00124ECD">
      <w:pPr>
        <w:pStyle w:val="FootnoteText"/>
        <w:keepNext/>
        <w:keepLines/>
        <w:spacing w:after="120"/>
        <w:ind w:firstLine="0"/>
      </w:pPr>
    </w:p>
  </w:footnote>
  <w:footnote w:id="36">
    <w:p w:rsidR="00446941" w:rsidRPr="0000288B" w:rsidRDefault="00446941" w:rsidP="00124ECD">
      <w:pPr>
        <w:pStyle w:val="FootnoteText"/>
        <w:keepNext/>
        <w:keepLines/>
        <w:spacing w:after="120"/>
        <w:ind w:firstLine="720"/>
        <w:rPr>
          <w:sz w:val="26"/>
          <w:szCs w:val="26"/>
        </w:rPr>
      </w:pPr>
      <w:r w:rsidRPr="0000288B">
        <w:rPr>
          <w:rStyle w:val="FootnoteReference"/>
          <w:sz w:val="26"/>
          <w:szCs w:val="26"/>
        </w:rPr>
        <w:footnoteRef/>
      </w:r>
      <w:r w:rsidRPr="0000288B">
        <w:rPr>
          <w:sz w:val="26"/>
          <w:szCs w:val="26"/>
        </w:rPr>
        <w:tab/>
        <w:t>For a comprehensive discussion of the civil penalty recommendations, please see pages 119</w:t>
      </w:r>
      <w:r>
        <w:rPr>
          <w:sz w:val="26"/>
          <w:szCs w:val="26"/>
        </w:rPr>
        <w:t xml:space="preserve"> to </w:t>
      </w:r>
      <w:r w:rsidRPr="0000288B">
        <w:rPr>
          <w:sz w:val="26"/>
          <w:szCs w:val="26"/>
        </w:rPr>
        <w:t>144 of the Initial Decision.</w:t>
      </w:r>
    </w:p>
  </w:footnote>
  <w:footnote w:id="37">
    <w:p w:rsidR="00446941" w:rsidRPr="001A13A5" w:rsidRDefault="00446941" w:rsidP="00124ECD">
      <w:pPr>
        <w:keepNext/>
        <w:keepLines/>
        <w:autoSpaceDE w:val="0"/>
        <w:autoSpaceDN w:val="0"/>
        <w:adjustRightInd w:val="0"/>
        <w:spacing w:after="120" w:line="240" w:lineRule="auto"/>
        <w:ind w:firstLine="720"/>
        <w:rPr>
          <w:i/>
          <w:iCs/>
          <w:spacing w:val="0"/>
          <w:sz w:val="26"/>
          <w:szCs w:val="26"/>
        </w:rPr>
      </w:pPr>
      <w:r>
        <w:rPr>
          <w:rStyle w:val="FootnoteReference"/>
        </w:rPr>
        <w:footnoteRef/>
      </w:r>
      <w:r>
        <w:tab/>
      </w:r>
      <w:r w:rsidRPr="001A13A5">
        <w:rPr>
          <w:i/>
          <w:iCs/>
          <w:spacing w:val="0"/>
          <w:sz w:val="26"/>
          <w:szCs w:val="26"/>
        </w:rPr>
        <w:t xml:space="preserve">See </w:t>
      </w:r>
      <w:r>
        <w:rPr>
          <w:iCs/>
          <w:spacing w:val="0"/>
          <w:sz w:val="26"/>
          <w:szCs w:val="26"/>
        </w:rPr>
        <w:t xml:space="preserve">Exc. at 34, citing </w:t>
      </w:r>
      <w:r w:rsidRPr="001A13A5">
        <w:rPr>
          <w:i/>
          <w:iCs/>
          <w:spacing w:val="0"/>
          <w:sz w:val="26"/>
          <w:szCs w:val="26"/>
        </w:rPr>
        <w:t>St. Louis,</w:t>
      </w:r>
      <w:r>
        <w:rPr>
          <w:i/>
          <w:iCs/>
          <w:spacing w:val="0"/>
          <w:sz w:val="26"/>
          <w:szCs w:val="26"/>
        </w:rPr>
        <w:t xml:space="preserve"> </w:t>
      </w:r>
      <w:r w:rsidRPr="001A13A5">
        <w:rPr>
          <w:i/>
          <w:iCs/>
          <w:spacing w:val="0"/>
          <w:sz w:val="26"/>
          <w:szCs w:val="26"/>
        </w:rPr>
        <w:t xml:space="preserve">I.M. &amp; S. Ry. Co. </w:t>
      </w:r>
      <w:r w:rsidRPr="001A13A5">
        <w:rPr>
          <w:spacing w:val="0"/>
          <w:sz w:val="26"/>
          <w:szCs w:val="26"/>
        </w:rPr>
        <w:t xml:space="preserve">v. </w:t>
      </w:r>
      <w:r w:rsidRPr="001A13A5">
        <w:rPr>
          <w:i/>
          <w:iCs/>
          <w:spacing w:val="0"/>
          <w:sz w:val="26"/>
          <w:szCs w:val="26"/>
        </w:rPr>
        <w:t>Williams</w:t>
      </w:r>
      <w:r w:rsidRPr="001A13A5">
        <w:rPr>
          <w:spacing w:val="0"/>
          <w:sz w:val="26"/>
          <w:szCs w:val="26"/>
        </w:rPr>
        <w:t>, 251 U.S. 63, 66-67 (1919).</w:t>
      </w:r>
    </w:p>
  </w:footnote>
  <w:footnote w:id="38">
    <w:p w:rsidR="00446941" w:rsidRPr="00166434" w:rsidRDefault="00446941" w:rsidP="00124ECD">
      <w:pPr>
        <w:keepNext/>
        <w:keepLines/>
        <w:kinsoku w:val="0"/>
        <w:overflowPunct w:val="0"/>
        <w:spacing w:after="120" w:line="240" w:lineRule="auto"/>
        <w:ind w:firstLine="720"/>
        <w:textAlignment w:val="baseline"/>
        <w:rPr>
          <w:spacing w:val="-2"/>
          <w:sz w:val="26"/>
          <w:szCs w:val="26"/>
        </w:rPr>
      </w:pPr>
      <w:r>
        <w:rPr>
          <w:rStyle w:val="FootnoteReference"/>
        </w:rPr>
        <w:footnoteRef/>
      </w:r>
      <w:r>
        <w:tab/>
      </w:r>
      <w:r w:rsidRPr="00166434">
        <w:rPr>
          <w:sz w:val="26"/>
          <w:szCs w:val="26"/>
        </w:rPr>
        <w:t xml:space="preserve">The cases are </w:t>
      </w:r>
      <w:proofErr w:type="spellStart"/>
      <w:r w:rsidRPr="00166434">
        <w:rPr>
          <w:i/>
          <w:iCs/>
          <w:sz w:val="26"/>
          <w:szCs w:val="26"/>
        </w:rPr>
        <w:t>Petko</w:t>
      </w:r>
      <w:proofErr w:type="spellEnd"/>
      <w:r w:rsidRPr="00166434">
        <w:rPr>
          <w:i/>
          <w:iCs/>
          <w:sz w:val="26"/>
          <w:szCs w:val="26"/>
        </w:rPr>
        <w:t xml:space="preserve"> v. Pennsylvania Water Company, </w:t>
      </w:r>
      <w:r w:rsidRPr="00166434">
        <w:rPr>
          <w:sz w:val="26"/>
          <w:szCs w:val="26"/>
        </w:rPr>
        <w:t xml:space="preserve">Docket No. C-2011-2226096 (Order Granting in Part and Denying in Part Motion for Judgment on the Pleadings dated October 5, 2011) and </w:t>
      </w:r>
      <w:r w:rsidRPr="00166434">
        <w:rPr>
          <w:i/>
          <w:iCs/>
          <w:sz w:val="26"/>
          <w:szCs w:val="26"/>
        </w:rPr>
        <w:t xml:space="preserve">Painter v. Aqua PA, Inc., </w:t>
      </w:r>
      <w:r w:rsidRPr="00166434">
        <w:rPr>
          <w:sz w:val="26"/>
          <w:szCs w:val="26"/>
        </w:rPr>
        <w:t>Docket No.C-2011-2239556 (Opinion and Order entered May 22, 2014).</w:t>
      </w:r>
    </w:p>
    <w:p w:rsidR="00446941" w:rsidRDefault="00446941" w:rsidP="00124ECD">
      <w:pPr>
        <w:pStyle w:val="FootnoteText"/>
        <w:keepNext/>
        <w:keepLines/>
        <w:spacing w:after="120"/>
        <w:ind w:firstLin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554AC"/>
    <w:multiLevelType w:val="hybridMultilevel"/>
    <w:tmpl w:val="0F62768C"/>
    <w:lvl w:ilvl="0" w:tplc="565435D2">
      <w:start w:val="6"/>
      <w:numFmt w:val="upperRoman"/>
      <w:lvlText w:val="%1."/>
      <w:lvlJc w:val="left"/>
      <w:pPr>
        <w:ind w:left="4320" w:hanging="720"/>
      </w:pPr>
      <w:rPr>
        <w:rFonts w:eastAsia="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079D3F77"/>
    <w:multiLevelType w:val="hybridMultilevel"/>
    <w:tmpl w:val="1102CA50"/>
    <w:lvl w:ilvl="0" w:tplc="B15A77E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83CCA"/>
    <w:multiLevelType w:val="hybridMultilevel"/>
    <w:tmpl w:val="A468B94C"/>
    <w:lvl w:ilvl="0" w:tplc="4C0E139A">
      <w:start w:val="1"/>
      <w:numFmt w:val="decimal"/>
      <w:lvlText w:val="%1)"/>
      <w:lvlJc w:val="left"/>
      <w:pPr>
        <w:ind w:left="1800" w:hanging="360"/>
      </w:pPr>
      <w:rPr>
        <w:rFonts w:hint="default"/>
        <w:b/>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A36FF6"/>
    <w:multiLevelType w:val="hybridMultilevel"/>
    <w:tmpl w:val="3594BCE0"/>
    <w:lvl w:ilvl="0" w:tplc="111E26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1E70B2D"/>
    <w:multiLevelType w:val="hybridMultilevel"/>
    <w:tmpl w:val="59824AF6"/>
    <w:lvl w:ilvl="0" w:tplc="329A888E">
      <w:start w:val="6"/>
      <w:numFmt w:val="upperRoman"/>
      <w:lvlText w:val="%1."/>
      <w:lvlJc w:val="left"/>
      <w:pPr>
        <w:ind w:left="6480" w:hanging="2880"/>
      </w:pPr>
      <w:rPr>
        <w:rFonts w:eastAsia="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136131E5"/>
    <w:multiLevelType w:val="hybridMultilevel"/>
    <w:tmpl w:val="7848F65E"/>
    <w:lvl w:ilvl="0" w:tplc="72161B24">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5D2987"/>
    <w:multiLevelType w:val="hybridMultilevel"/>
    <w:tmpl w:val="AB08DD38"/>
    <w:lvl w:ilvl="0" w:tplc="0C7A0A3A">
      <w:start w:val="6"/>
      <w:numFmt w:val="upperRoman"/>
      <w:lvlText w:val="(%1)"/>
      <w:lvlJc w:val="left"/>
      <w:pPr>
        <w:ind w:left="2160" w:hanging="720"/>
      </w:pPr>
      <w:rPr>
        <w:rFonts w:eastAsia="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B83581"/>
    <w:multiLevelType w:val="hybridMultilevel"/>
    <w:tmpl w:val="304ADF6E"/>
    <w:lvl w:ilvl="0" w:tplc="3D2652A0">
      <w:start w:val="5"/>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D080304"/>
    <w:multiLevelType w:val="hybridMultilevel"/>
    <w:tmpl w:val="2EA6216C"/>
    <w:lvl w:ilvl="0" w:tplc="CB0C4046">
      <w:start w:val="6"/>
      <w:numFmt w:val="upperRoman"/>
      <w:lvlText w:val="%1."/>
      <w:lvlJc w:val="left"/>
      <w:pPr>
        <w:ind w:left="5040" w:hanging="2160"/>
      </w:pPr>
      <w:rPr>
        <w:rFonts w:eastAsia="Times New Roman"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1E4623AA"/>
    <w:multiLevelType w:val="hybridMultilevel"/>
    <w:tmpl w:val="D13A3886"/>
    <w:lvl w:ilvl="0" w:tplc="D3CCE9FA">
      <w:start w:val="1"/>
      <w:numFmt w:val="decimal"/>
      <w:pStyle w:val="Numberedpara"/>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AD55D1"/>
    <w:multiLevelType w:val="hybridMultilevel"/>
    <w:tmpl w:val="FBC086FC"/>
    <w:lvl w:ilvl="0" w:tplc="8AA8E3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FC20D11"/>
    <w:multiLevelType w:val="hybridMultilevel"/>
    <w:tmpl w:val="CB80A946"/>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2" w15:restartNumberingAfterBreak="0">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241C7738"/>
    <w:multiLevelType w:val="hybridMultilevel"/>
    <w:tmpl w:val="B32AFC16"/>
    <w:lvl w:ilvl="0" w:tplc="670E0288">
      <w:start w:val="1"/>
      <w:numFmt w:val="upperRoman"/>
      <w:lvlText w:val="%1."/>
      <w:lvlJc w:val="left"/>
      <w:pPr>
        <w:ind w:left="720" w:hanging="720"/>
      </w:pPr>
      <w:rPr>
        <w:rFonts w:eastAsia="Times New Roman" w:hint="default"/>
        <w:color w:val="0000FF" w:themeColor="hyperlink"/>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E51F98"/>
    <w:multiLevelType w:val="hybridMultilevel"/>
    <w:tmpl w:val="B02C1216"/>
    <w:lvl w:ilvl="0" w:tplc="F8CA25E2">
      <w:start w:val="1"/>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420180"/>
    <w:multiLevelType w:val="hybridMultilevel"/>
    <w:tmpl w:val="05B40C9A"/>
    <w:lvl w:ilvl="0" w:tplc="A56C8CB8">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5514214"/>
    <w:multiLevelType w:val="hybridMultilevel"/>
    <w:tmpl w:val="B77E0A50"/>
    <w:lvl w:ilvl="0" w:tplc="1E32E034">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D57516"/>
    <w:multiLevelType w:val="hybridMultilevel"/>
    <w:tmpl w:val="33E4050C"/>
    <w:lvl w:ilvl="0" w:tplc="93A0088E">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A978FA76">
      <w:start w:val="1"/>
      <w:numFmt w:val="decimal"/>
      <w:lvlText w:val="%3."/>
      <w:lvlJc w:val="left"/>
      <w:pPr>
        <w:ind w:left="5220" w:hanging="2880"/>
      </w:pPr>
      <w:rPr>
        <w:rFonts w:hint="default"/>
      </w:rPr>
    </w:lvl>
    <w:lvl w:ilvl="3" w:tplc="F7ECCC1C">
      <w:start w:val="1"/>
      <w:numFmt w:val="lowerRoman"/>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8C951F3"/>
    <w:multiLevelType w:val="hybridMultilevel"/>
    <w:tmpl w:val="149CF5B8"/>
    <w:lvl w:ilvl="0" w:tplc="64847060">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A3B46A8"/>
    <w:multiLevelType w:val="hybridMultilevel"/>
    <w:tmpl w:val="06E4D730"/>
    <w:lvl w:ilvl="0" w:tplc="ED9E8FF4">
      <w:start w:val="6"/>
      <w:numFmt w:val="upperRoman"/>
      <w:lvlText w:val="%1."/>
      <w:lvlJc w:val="left"/>
      <w:pPr>
        <w:ind w:left="2160" w:hanging="720"/>
      </w:pPr>
      <w:rPr>
        <w:rFonts w:eastAsia="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B0C2FE1"/>
    <w:multiLevelType w:val="hybridMultilevel"/>
    <w:tmpl w:val="9D5ECAC0"/>
    <w:lvl w:ilvl="0" w:tplc="1924EAA0">
      <w:start w:val="6"/>
      <w:numFmt w:val="upperRoman"/>
      <w:lvlText w:val="%1."/>
      <w:lvlJc w:val="left"/>
      <w:pPr>
        <w:ind w:left="6480" w:hanging="2880"/>
      </w:pPr>
      <w:rPr>
        <w:rFonts w:eastAsia="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1" w15:restartNumberingAfterBreak="0">
    <w:nsid w:val="2DA96445"/>
    <w:multiLevelType w:val="hybridMultilevel"/>
    <w:tmpl w:val="A258817A"/>
    <w:lvl w:ilvl="0" w:tplc="425C2E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3544F8A"/>
    <w:multiLevelType w:val="hybridMultilevel"/>
    <w:tmpl w:val="3A0E9746"/>
    <w:lvl w:ilvl="0" w:tplc="1E0C180E">
      <w:start w:val="6"/>
      <w:numFmt w:val="upperRoman"/>
      <w:lvlText w:val="%1."/>
      <w:lvlJc w:val="left"/>
      <w:pPr>
        <w:ind w:left="360" w:firstLine="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B84343"/>
    <w:multiLevelType w:val="hybridMultilevel"/>
    <w:tmpl w:val="EB20C022"/>
    <w:lvl w:ilvl="0" w:tplc="C83C3A46">
      <w:start w:val="6"/>
      <w:numFmt w:val="upperRoman"/>
      <w:lvlText w:val="%1."/>
      <w:lvlJc w:val="left"/>
      <w:pPr>
        <w:ind w:left="360" w:firstLine="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1619C7"/>
    <w:multiLevelType w:val="hybridMultilevel"/>
    <w:tmpl w:val="D48EF6AA"/>
    <w:lvl w:ilvl="0" w:tplc="7930A53E">
      <w:start w:val="6"/>
      <w:numFmt w:val="upperRoman"/>
      <w:lvlText w:val="%1."/>
      <w:lvlJc w:val="left"/>
      <w:pPr>
        <w:ind w:left="2160" w:hanging="720"/>
      </w:pPr>
      <w:rPr>
        <w:rFonts w:eastAsia="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A5E6958"/>
    <w:multiLevelType w:val="hybridMultilevel"/>
    <w:tmpl w:val="73D89D9C"/>
    <w:lvl w:ilvl="0" w:tplc="4C6E6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C135CDF"/>
    <w:multiLevelType w:val="hybridMultilevel"/>
    <w:tmpl w:val="0C649E2A"/>
    <w:lvl w:ilvl="0" w:tplc="32846304">
      <w:start w:val="6"/>
      <w:numFmt w:val="upperRoman"/>
      <w:lvlText w:val="%1."/>
      <w:lvlJc w:val="left"/>
      <w:pPr>
        <w:ind w:left="4320" w:hanging="720"/>
      </w:pPr>
      <w:rPr>
        <w:rFonts w:eastAsia="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7" w15:restartNumberingAfterBreak="0">
    <w:nsid w:val="3DCE42E2"/>
    <w:multiLevelType w:val="hybridMultilevel"/>
    <w:tmpl w:val="273A5480"/>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28" w15:restartNumberingAfterBreak="0">
    <w:nsid w:val="459A74B8"/>
    <w:multiLevelType w:val="hybridMultilevel"/>
    <w:tmpl w:val="517ECB66"/>
    <w:lvl w:ilvl="0" w:tplc="7E76033C">
      <w:start w:val="6"/>
      <w:numFmt w:val="upperRoman"/>
      <w:lvlText w:val="%1."/>
      <w:lvlJc w:val="left"/>
      <w:pPr>
        <w:ind w:left="6480" w:hanging="2880"/>
      </w:pPr>
      <w:rPr>
        <w:rFonts w:eastAsia="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9" w15:restartNumberingAfterBreak="0">
    <w:nsid w:val="4BBF24FE"/>
    <w:multiLevelType w:val="hybridMultilevel"/>
    <w:tmpl w:val="4BA67D24"/>
    <w:lvl w:ilvl="0" w:tplc="94E6B7EC">
      <w:start w:val="10"/>
      <w:numFmt w:val="bullet"/>
      <w:lvlText w:val=""/>
      <w:lvlJc w:val="left"/>
      <w:pPr>
        <w:ind w:left="2928" w:hanging="360"/>
      </w:pPr>
      <w:rPr>
        <w:rFonts w:ascii="Symbol" w:eastAsiaTheme="minorEastAsia" w:hAnsi="Symbol" w:cs="Times New Roman" w:hint="default"/>
      </w:rPr>
    </w:lvl>
    <w:lvl w:ilvl="1" w:tplc="04090003" w:tentative="1">
      <w:start w:val="1"/>
      <w:numFmt w:val="bullet"/>
      <w:lvlText w:val="o"/>
      <w:lvlJc w:val="left"/>
      <w:pPr>
        <w:ind w:left="3648" w:hanging="360"/>
      </w:pPr>
      <w:rPr>
        <w:rFonts w:ascii="Courier New" w:hAnsi="Courier New" w:cs="Courier New" w:hint="default"/>
      </w:rPr>
    </w:lvl>
    <w:lvl w:ilvl="2" w:tplc="04090005" w:tentative="1">
      <w:start w:val="1"/>
      <w:numFmt w:val="bullet"/>
      <w:lvlText w:val=""/>
      <w:lvlJc w:val="left"/>
      <w:pPr>
        <w:ind w:left="4368" w:hanging="360"/>
      </w:pPr>
      <w:rPr>
        <w:rFonts w:ascii="Wingdings" w:hAnsi="Wingdings" w:hint="default"/>
      </w:rPr>
    </w:lvl>
    <w:lvl w:ilvl="3" w:tplc="04090001" w:tentative="1">
      <w:start w:val="1"/>
      <w:numFmt w:val="bullet"/>
      <w:lvlText w:val=""/>
      <w:lvlJc w:val="left"/>
      <w:pPr>
        <w:ind w:left="5088" w:hanging="360"/>
      </w:pPr>
      <w:rPr>
        <w:rFonts w:ascii="Symbol" w:hAnsi="Symbol" w:hint="default"/>
      </w:rPr>
    </w:lvl>
    <w:lvl w:ilvl="4" w:tplc="04090003" w:tentative="1">
      <w:start w:val="1"/>
      <w:numFmt w:val="bullet"/>
      <w:lvlText w:val="o"/>
      <w:lvlJc w:val="left"/>
      <w:pPr>
        <w:ind w:left="5808" w:hanging="360"/>
      </w:pPr>
      <w:rPr>
        <w:rFonts w:ascii="Courier New" w:hAnsi="Courier New" w:cs="Courier New" w:hint="default"/>
      </w:rPr>
    </w:lvl>
    <w:lvl w:ilvl="5" w:tplc="04090005" w:tentative="1">
      <w:start w:val="1"/>
      <w:numFmt w:val="bullet"/>
      <w:lvlText w:val=""/>
      <w:lvlJc w:val="left"/>
      <w:pPr>
        <w:ind w:left="6528" w:hanging="360"/>
      </w:pPr>
      <w:rPr>
        <w:rFonts w:ascii="Wingdings" w:hAnsi="Wingdings" w:hint="default"/>
      </w:rPr>
    </w:lvl>
    <w:lvl w:ilvl="6" w:tplc="04090001" w:tentative="1">
      <w:start w:val="1"/>
      <w:numFmt w:val="bullet"/>
      <w:lvlText w:val=""/>
      <w:lvlJc w:val="left"/>
      <w:pPr>
        <w:ind w:left="7248" w:hanging="360"/>
      </w:pPr>
      <w:rPr>
        <w:rFonts w:ascii="Symbol" w:hAnsi="Symbol" w:hint="default"/>
      </w:rPr>
    </w:lvl>
    <w:lvl w:ilvl="7" w:tplc="04090003" w:tentative="1">
      <w:start w:val="1"/>
      <w:numFmt w:val="bullet"/>
      <w:lvlText w:val="o"/>
      <w:lvlJc w:val="left"/>
      <w:pPr>
        <w:ind w:left="7968" w:hanging="360"/>
      </w:pPr>
      <w:rPr>
        <w:rFonts w:ascii="Courier New" w:hAnsi="Courier New" w:cs="Courier New" w:hint="default"/>
      </w:rPr>
    </w:lvl>
    <w:lvl w:ilvl="8" w:tplc="04090005" w:tentative="1">
      <w:start w:val="1"/>
      <w:numFmt w:val="bullet"/>
      <w:lvlText w:val=""/>
      <w:lvlJc w:val="left"/>
      <w:pPr>
        <w:ind w:left="8688" w:hanging="360"/>
      </w:pPr>
      <w:rPr>
        <w:rFonts w:ascii="Wingdings" w:hAnsi="Wingdings" w:hint="default"/>
      </w:rPr>
    </w:lvl>
  </w:abstractNum>
  <w:abstractNum w:abstractNumId="30" w15:restartNumberingAfterBreak="0">
    <w:nsid w:val="4E7E6D86"/>
    <w:multiLevelType w:val="hybridMultilevel"/>
    <w:tmpl w:val="306E4F26"/>
    <w:lvl w:ilvl="0" w:tplc="07FC9680">
      <w:start w:val="6"/>
      <w:numFmt w:val="upperRoman"/>
      <w:lvlText w:val="%1."/>
      <w:lvlJc w:val="left"/>
      <w:pPr>
        <w:ind w:left="6480" w:hanging="2880"/>
      </w:pPr>
      <w:rPr>
        <w:rFonts w:eastAsia="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1" w15:restartNumberingAfterBreak="0">
    <w:nsid w:val="51EB6B4B"/>
    <w:multiLevelType w:val="hybridMultilevel"/>
    <w:tmpl w:val="F38E57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573F24"/>
    <w:multiLevelType w:val="hybridMultilevel"/>
    <w:tmpl w:val="C01A5580"/>
    <w:lvl w:ilvl="0" w:tplc="3DF2E15A">
      <w:start w:val="6"/>
      <w:numFmt w:val="upperRoman"/>
      <w:lvlText w:val="%1."/>
      <w:lvlJc w:val="left"/>
      <w:pPr>
        <w:ind w:left="2160" w:hanging="720"/>
      </w:pPr>
      <w:rPr>
        <w:rFonts w:eastAsia="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BA35469"/>
    <w:multiLevelType w:val="hybridMultilevel"/>
    <w:tmpl w:val="E9F4BCD0"/>
    <w:lvl w:ilvl="0" w:tplc="F7FE9372">
      <w:start w:val="6"/>
      <w:numFmt w:val="upperRoman"/>
      <w:lvlText w:val="%1."/>
      <w:lvlJc w:val="left"/>
      <w:pPr>
        <w:ind w:left="5040" w:hanging="2160"/>
      </w:pPr>
      <w:rPr>
        <w:rFonts w:eastAsia="Times New Roman"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5CC12A64"/>
    <w:multiLevelType w:val="hybridMultilevel"/>
    <w:tmpl w:val="A35CB3EC"/>
    <w:lvl w:ilvl="0" w:tplc="348AF2AE">
      <w:start w:val="6"/>
      <w:numFmt w:val="upperRoman"/>
      <w:lvlText w:val="%1."/>
      <w:lvlJc w:val="left"/>
      <w:pPr>
        <w:ind w:left="2160" w:hanging="720"/>
      </w:pPr>
      <w:rPr>
        <w:rFonts w:eastAsia="Times New Roman"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50C431D"/>
    <w:multiLevelType w:val="hybridMultilevel"/>
    <w:tmpl w:val="6E729368"/>
    <w:lvl w:ilvl="0" w:tplc="866453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68B240D"/>
    <w:multiLevelType w:val="hybridMultilevel"/>
    <w:tmpl w:val="BC0839D2"/>
    <w:lvl w:ilvl="0" w:tplc="7486AC0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8" w15:restartNumberingAfterBreak="0">
    <w:nsid w:val="6F515525"/>
    <w:multiLevelType w:val="hybridMultilevel"/>
    <w:tmpl w:val="F12EFFE4"/>
    <w:lvl w:ilvl="0" w:tplc="5BEE32A2">
      <w:start w:val="10"/>
      <w:numFmt w:val="bullet"/>
      <w:lvlText w:val=""/>
      <w:lvlJc w:val="left"/>
      <w:pPr>
        <w:ind w:left="3480" w:hanging="360"/>
      </w:pPr>
      <w:rPr>
        <w:rFonts w:ascii="Symbol" w:eastAsiaTheme="minorEastAsia" w:hAnsi="Symbol" w:cs="Times New Roman" w:hint="default"/>
      </w:rPr>
    </w:lvl>
    <w:lvl w:ilvl="1" w:tplc="04090003" w:tentative="1">
      <w:start w:val="1"/>
      <w:numFmt w:val="bullet"/>
      <w:lvlText w:val="o"/>
      <w:lvlJc w:val="left"/>
      <w:pPr>
        <w:ind w:left="4200" w:hanging="360"/>
      </w:pPr>
      <w:rPr>
        <w:rFonts w:ascii="Courier New" w:hAnsi="Courier New" w:cs="Courier New" w:hint="default"/>
      </w:rPr>
    </w:lvl>
    <w:lvl w:ilvl="2" w:tplc="04090005" w:tentative="1">
      <w:start w:val="1"/>
      <w:numFmt w:val="bullet"/>
      <w:lvlText w:val=""/>
      <w:lvlJc w:val="left"/>
      <w:pPr>
        <w:ind w:left="4920" w:hanging="360"/>
      </w:pPr>
      <w:rPr>
        <w:rFonts w:ascii="Wingdings" w:hAnsi="Wingdings" w:hint="default"/>
      </w:rPr>
    </w:lvl>
    <w:lvl w:ilvl="3" w:tplc="04090001" w:tentative="1">
      <w:start w:val="1"/>
      <w:numFmt w:val="bullet"/>
      <w:lvlText w:val=""/>
      <w:lvlJc w:val="left"/>
      <w:pPr>
        <w:ind w:left="5640" w:hanging="360"/>
      </w:pPr>
      <w:rPr>
        <w:rFonts w:ascii="Symbol" w:hAnsi="Symbol" w:hint="default"/>
      </w:rPr>
    </w:lvl>
    <w:lvl w:ilvl="4" w:tplc="04090003" w:tentative="1">
      <w:start w:val="1"/>
      <w:numFmt w:val="bullet"/>
      <w:lvlText w:val="o"/>
      <w:lvlJc w:val="left"/>
      <w:pPr>
        <w:ind w:left="6360" w:hanging="360"/>
      </w:pPr>
      <w:rPr>
        <w:rFonts w:ascii="Courier New" w:hAnsi="Courier New" w:cs="Courier New" w:hint="default"/>
      </w:rPr>
    </w:lvl>
    <w:lvl w:ilvl="5" w:tplc="04090005" w:tentative="1">
      <w:start w:val="1"/>
      <w:numFmt w:val="bullet"/>
      <w:lvlText w:val=""/>
      <w:lvlJc w:val="left"/>
      <w:pPr>
        <w:ind w:left="7080" w:hanging="360"/>
      </w:pPr>
      <w:rPr>
        <w:rFonts w:ascii="Wingdings" w:hAnsi="Wingdings" w:hint="default"/>
      </w:rPr>
    </w:lvl>
    <w:lvl w:ilvl="6" w:tplc="04090001" w:tentative="1">
      <w:start w:val="1"/>
      <w:numFmt w:val="bullet"/>
      <w:lvlText w:val=""/>
      <w:lvlJc w:val="left"/>
      <w:pPr>
        <w:ind w:left="7800" w:hanging="360"/>
      </w:pPr>
      <w:rPr>
        <w:rFonts w:ascii="Symbol" w:hAnsi="Symbol" w:hint="default"/>
      </w:rPr>
    </w:lvl>
    <w:lvl w:ilvl="7" w:tplc="04090003" w:tentative="1">
      <w:start w:val="1"/>
      <w:numFmt w:val="bullet"/>
      <w:lvlText w:val="o"/>
      <w:lvlJc w:val="left"/>
      <w:pPr>
        <w:ind w:left="8520" w:hanging="360"/>
      </w:pPr>
      <w:rPr>
        <w:rFonts w:ascii="Courier New" w:hAnsi="Courier New" w:cs="Courier New" w:hint="default"/>
      </w:rPr>
    </w:lvl>
    <w:lvl w:ilvl="8" w:tplc="04090005" w:tentative="1">
      <w:start w:val="1"/>
      <w:numFmt w:val="bullet"/>
      <w:lvlText w:val=""/>
      <w:lvlJc w:val="left"/>
      <w:pPr>
        <w:ind w:left="9240" w:hanging="360"/>
      </w:pPr>
      <w:rPr>
        <w:rFonts w:ascii="Wingdings" w:hAnsi="Wingdings" w:hint="default"/>
      </w:rPr>
    </w:lvl>
  </w:abstractNum>
  <w:abstractNum w:abstractNumId="39"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0" w15:restartNumberingAfterBreak="0">
    <w:nsid w:val="75BF0067"/>
    <w:multiLevelType w:val="hybridMultilevel"/>
    <w:tmpl w:val="734C8ABC"/>
    <w:lvl w:ilvl="0" w:tplc="4AE467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BF42259"/>
    <w:multiLevelType w:val="hybridMultilevel"/>
    <w:tmpl w:val="8968E310"/>
    <w:lvl w:ilvl="0" w:tplc="E08C0DF4">
      <w:start w:val="6"/>
      <w:numFmt w:val="upperRoman"/>
      <w:lvlText w:val="%1."/>
      <w:lvlJc w:val="left"/>
      <w:pPr>
        <w:ind w:left="4320" w:hanging="720"/>
      </w:pPr>
      <w:rPr>
        <w:rFonts w:eastAsia="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2" w15:restartNumberingAfterBreak="0">
    <w:nsid w:val="7D5450BC"/>
    <w:multiLevelType w:val="hybridMultilevel"/>
    <w:tmpl w:val="705270C8"/>
    <w:lvl w:ilvl="0" w:tplc="0840FFD6">
      <w:start w:val="6"/>
      <w:numFmt w:val="upperRoman"/>
      <w:lvlText w:val="%1."/>
      <w:lvlJc w:val="left"/>
      <w:pPr>
        <w:ind w:left="7920" w:hanging="3600"/>
      </w:pPr>
      <w:rPr>
        <w:rFonts w:eastAsia="Times New Roman"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3" w15:restartNumberingAfterBreak="0">
    <w:nsid w:val="7DBC7B0E"/>
    <w:multiLevelType w:val="hybridMultilevel"/>
    <w:tmpl w:val="09A41D36"/>
    <w:lvl w:ilvl="0" w:tplc="335A86A6">
      <w:start w:val="5"/>
      <w:numFmt w:val="bullet"/>
      <w:lvlText w:val=""/>
      <w:lvlJc w:val="left"/>
      <w:pPr>
        <w:ind w:left="2856" w:hanging="360"/>
      </w:pPr>
      <w:rPr>
        <w:rFonts w:ascii="Symbol" w:eastAsiaTheme="minorEastAsia" w:hAnsi="Symbol" w:cs="Times New Roman" w:hint="default"/>
      </w:rPr>
    </w:lvl>
    <w:lvl w:ilvl="1" w:tplc="04090003" w:tentative="1">
      <w:start w:val="1"/>
      <w:numFmt w:val="bullet"/>
      <w:lvlText w:val="o"/>
      <w:lvlJc w:val="left"/>
      <w:pPr>
        <w:ind w:left="3576" w:hanging="360"/>
      </w:pPr>
      <w:rPr>
        <w:rFonts w:ascii="Courier New" w:hAnsi="Courier New" w:cs="Courier New" w:hint="default"/>
      </w:rPr>
    </w:lvl>
    <w:lvl w:ilvl="2" w:tplc="04090005" w:tentative="1">
      <w:start w:val="1"/>
      <w:numFmt w:val="bullet"/>
      <w:lvlText w:val=""/>
      <w:lvlJc w:val="left"/>
      <w:pPr>
        <w:ind w:left="4296" w:hanging="360"/>
      </w:pPr>
      <w:rPr>
        <w:rFonts w:ascii="Wingdings" w:hAnsi="Wingdings" w:hint="default"/>
      </w:rPr>
    </w:lvl>
    <w:lvl w:ilvl="3" w:tplc="04090001" w:tentative="1">
      <w:start w:val="1"/>
      <w:numFmt w:val="bullet"/>
      <w:lvlText w:val=""/>
      <w:lvlJc w:val="left"/>
      <w:pPr>
        <w:ind w:left="5016" w:hanging="360"/>
      </w:pPr>
      <w:rPr>
        <w:rFonts w:ascii="Symbol" w:hAnsi="Symbol" w:hint="default"/>
      </w:rPr>
    </w:lvl>
    <w:lvl w:ilvl="4" w:tplc="04090003" w:tentative="1">
      <w:start w:val="1"/>
      <w:numFmt w:val="bullet"/>
      <w:lvlText w:val="o"/>
      <w:lvlJc w:val="left"/>
      <w:pPr>
        <w:ind w:left="5736" w:hanging="360"/>
      </w:pPr>
      <w:rPr>
        <w:rFonts w:ascii="Courier New" w:hAnsi="Courier New" w:cs="Courier New" w:hint="default"/>
      </w:rPr>
    </w:lvl>
    <w:lvl w:ilvl="5" w:tplc="04090005" w:tentative="1">
      <w:start w:val="1"/>
      <w:numFmt w:val="bullet"/>
      <w:lvlText w:val=""/>
      <w:lvlJc w:val="left"/>
      <w:pPr>
        <w:ind w:left="6456" w:hanging="360"/>
      </w:pPr>
      <w:rPr>
        <w:rFonts w:ascii="Wingdings" w:hAnsi="Wingdings" w:hint="default"/>
      </w:rPr>
    </w:lvl>
    <w:lvl w:ilvl="6" w:tplc="04090001" w:tentative="1">
      <w:start w:val="1"/>
      <w:numFmt w:val="bullet"/>
      <w:lvlText w:val=""/>
      <w:lvlJc w:val="left"/>
      <w:pPr>
        <w:ind w:left="7176" w:hanging="360"/>
      </w:pPr>
      <w:rPr>
        <w:rFonts w:ascii="Symbol" w:hAnsi="Symbol" w:hint="default"/>
      </w:rPr>
    </w:lvl>
    <w:lvl w:ilvl="7" w:tplc="04090003" w:tentative="1">
      <w:start w:val="1"/>
      <w:numFmt w:val="bullet"/>
      <w:lvlText w:val="o"/>
      <w:lvlJc w:val="left"/>
      <w:pPr>
        <w:ind w:left="7896" w:hanging="360"/>
      </w:pPr>
      <w:rPr>
        <w:rFonts w:ascii="Courier New" w:hAnsi="Courier New" w:cs="Courier New" w:hint="default"/>
      </w:rPr>
    </w:lvl>
    <w:lvl w:ilvl="8" w:tplc="04090005" w:tentative="1">
      <w:start w:val="1"/>
      <w:numFmt w:val="bullet"/>
      <w:lvlText w:val=""/>
      <w:lvlJc w:val="left"/>
      <w:pPr>
        <w:ind w:left="8616" w:hanging="360"/>
      </w:pPr>
      <w:rPr>
        <w:rFonts w:ascii="Wingdings" w:hAnsi="Wingdings" w:hint="default"/>
      </w:rPr>
    </w:lvl>
  </w:abstractNum>
  <w:num w:numId="1">
    <w:abstractNumId w:val="12"/>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27"/>
  </w:num>
  <w:num w:numId="5">
    <w:abstractNumId w:val="11"/>
  </w:num>
  <w:num w:numId="6">
    <w:abstractNumId w:val="18"/>
  </w:num>
  <w:num w:numId="7">
    <w:abstractNumId w:val="17"/>
  </w:num>
  <w:num w:numId="8">
    <w:abstractNumId w:val="9"/>
  </w:num>
  <w:num w:numId="9">
    <w:abstractNumId w:val="35"/>
  </w:num>
  <w:num w:numId="10">
    <w:abstractNumId w:val="13"/>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2"/>
  </w:num>
  <w:num w:numId="14">
    <w:abstractNumId w:val="6"/>
  </w:num>
  <w:num w:numId="15">
    <w:abstractNumId w:val="34"/>
  </w:num>
  <w:num w:numId="16">
    <w:abstractNumId w:val="32"/>
  </w:num>
  <w:num w:numId="17">
    <w:abstractNumId w:val="19"/>
  </w:num>
  <w:num w:numId="18">
    <w:abstractNumId w:val="24"/>
  </w:num>
  <w:num w:numId="19">
    <w:abstractNumId w:val="8"/>
  </w:num>
  <w:num w:numId="20">
    <w:abstractNumId w:val="33"/>
  </w:num>
  <w:num w:numId="21">
    <w:abstractNumId w:val="0"/>
  </w:num>
  <w:num w:numId="22">
    <w:abstractNumId w:val="41"/>
  </w:num>
  <w:num w:numId="23">
    <w:abstractNumId w:val="26"/>
  </w:num>
  <w:num w:numId="24">
    <w:abstractNumId w:val="42"/>
  </w:num>
  <w:num w:numId="25">
    <w:abstractNumId w:val="20"/>
  </w:num>
  <w:num w:numId="26">
    <w:abstractNumId w:val="30"/>
  </w:num>
  <w:num w:numId="27">
    <w:abstractNumId w:val="4"/>
  </w:num>
  <w:num w:numId="28">
    <w:abstractNumId w:val="28"/>
  </w:num>
  <w:num w:numId="29">
    <w:abstractNumId w:val="40"/>
  </w:num>
  <w:num w:numId="30">
    <w:abstractNumId w:val="16"/>
  </w:num>
  <w:num w:numId="31">
    <w:abstractNumId w:val="7"/>
  </w:num>
  <w:num w:numId="32">
    <w:abstractNumId w:val="43"/>
  </w:num>
  <w:num w:numId="33">
    <w:abstractNumId w:val="1"/>
  </w:num>
  <w:num w:numId="34">
    <w:abstractNumId w:val="5"/>
  </w:num>
  <w:num w:numId="35">
    <w:abstractNumId w:val="29"/>
  </w:num>
  <w:num w:numId="36">
    <w:abstractNumId w:val="38"/>
  </w:num>
  <w:num w:numId="37">
    <w:abstractNumId w:val="25"/>
  </w:num>
  <w:num w:numId="38">
    <w:abstractNumId w:val="14"/>
  </w:num>
  <w:num w:numId="39">
    <w:abstractNumId w:val="31"/>
  </w:num>
  <w:num w:numId="40">
    <w:abstractNumId w:val="21"/>
  </w:num>
  <w:num w:numId="41">
    <w:abstractNumId w:val="10"/>
  </w:num>
  <w:num w:numId="42">
    <w:abstractNumId w:val="3"/>
  </w:num>
  <w:num w:numId="43">
    <w:abstractNumId w:val="36"/>
  </w:num>
  <w:num w:numId="44">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884"/>
    <w:rsid w:val="00000343"/>
    <w:rsid w:val="00000472"/>
    <w:rsid w:val="000007A3"/>
    <w:rsid w:val="00000A8C"/>
    <w:rsid w:val="00001309"/>
    <w:rsid w:val="00001514"/>
    <w:rsid w:val="000019F9"/>
    <w:rsid w:val="00001A6B"/>
    <w:rsid w:val="00001DC8"/>
    <w:rsid w:val="00002157"/>
    <w:rsid w:val="00002850"/>
    <w:rsid w:val="00002ED3"/>
    <w:rsid w:val="00003533"/>
    <w:rsid w:val="00003591"/>
    <w:rsid w:val="000037C1"/>
    <w:rsid w:val="00004499"/>
    <w:rsid w:val="00004B4A"/>
    <w:rsid w:val="00004D51"/>
    <w:rsid w:val="00004D80"/>
    <w:rsid w:val="000050FA"/>
    <w:rsid w:val="00005184"/>
    <w:rsid w:val="00005690"/>
    <w:rsid w:val="00005A9D"/>
    <w:rsid w:val="00005AC0"/>
    <w:rsid w:val="00005DF8"/>
    <w:rsid w:val="00005EEA"/>
    <w:rsid w:val="00005F39"/>
    <w:rsid w:val="00006140"/>
    <w:rsid w:val="00006356"/>
    <w:rsid w:val="00006C19"/>
    <w:rsid w:val="00006F17"/>
    <w:rsid w:val="00007532"/>
    <w:rsid w:val="0000754F"/>
    <w:rsid w:val="0000798E"/>
    <w:rsid w:val="0001023C"/>
    <w:rsid w:val="00012008"/>
    <w:rsid w:val="0001449E"/>
    <w:rsid w:val="000149D1"/>
    <w:rsid w:val="00014B18"/>
    <w:rsid w:val="00015027"/>
    <w:rsid w:val="000151A5"/>
    <w:rsid w:val="00015520"/>
    <w:rsid w:val="0001590C"/>
    <w:rsid w:val="00015B6E"/>
    <w:rsid w:val="00016B0E"/>
    <w:rsid w:val="00016F1C"/>
    <w:rsid w:val="000170CE"/>
    <w:rsid w:val="0002029E"/>
    <w:rsid w:val="000208E4"/>
    <w:rsid w:val="00020901"/>
    <w:rsid w:val="00021238"/>
    <w:rsid w:val="00021356"/>
    <w:rsid w:val="00021E94"/>
    <w:rsid w:val="00022B6E"/>
    <w:rsid w:val="00022D75"/>
    <w:rsid w:val="000234E1"/>
    <w:rsid w:val="00023BCF"/>
    <w:rsid w:val="000244F6"/>
    <w:rsid w:val="00024A63"/>
    <w:rsid w:val="000251EC"/>
    <w:rsid w:val="0002576E"/>
    <w:rsid w:val="000257E0"/>
    <w:rsid w:val="000259AB"/>
    <w:rsid w:val="00025E68"/>
    <w:rsid w:val="00025F43"/>
    <w:rsid w:val="00026844"/>
    <w:rsid w:val="000269FF"/>
    <w:rsid w:val="00026A02"/>
    <w:rsid w:val="00026B16"/>
    <w:rsid w:val="00026D60"/>
    <w:rsid w:val="00026F1C"/>
    <w:rsid w:val="00026FA5"/>
    <w:rsid w:val="0002728D"/>
    <w:rsid w:val="0002732A"/>
    <w:rsid w:val="00027643"/>
    <w:rsid w:val="0002799F"/>
    <w:rsid w:val="00027FD1"/>
    <w:rsid w:val="000300F8"/>
    <w:rsid w:val="0003015F"/>
    <w:rsid w:val="00030538"/>
    <w:rsid w:val="00030C65"/>
    <w:rsid w:val="0003199B"/>
    <w:rsid w:val="00031E4F"/>
    <w:rsid w:val="000328BF"/>
    <w:rsid w:val="000330F8"/>
    <w:rsid w:val="0003320D"/>
    <w:rsid w:val="00033237"/>
    <w:rsid w:val="00033654"/>
    <w:rsid w:val="00033DA1"/>
    <w:rsid w:val="00034289"/>
    <w:rsid w:val="00034346"/>
    <w:rsid w:val="000351EF"/>
    <w:rsid w:val="000355E4"/>
    <w:rsid w:val="00035BF2"/>
    <w:rsid w:val="00036000"/>
    <w:rsid w:val="000363FC"/>
    <w:rsid w:val="00036A54"/>
    <w:rsid w:val="00036AC9"/>
    <w:rsid w:val="00036BDA"/>
    <w:rsid w:val="000373AF"/>
    <w:rsid w:val="00037E2F"/>
    <w:rsid w:val="00041417"/>
    <w:rsid w:val="00041620"/>
    <w:rsid w:val="000420BB"/>
    <w:rsid w:val="0004211C"/>
    <w:rsid w:val="00042456"/>
    <w:rsid w:val="00042524"/>
    <w:rsid w:val="00042539"/>
    <w:rsid w:val="00042C56"/>
    <w:rsid w:val="00042CC9"/>
    <w:rsid w:val="00042E4D"/>
    <w:rsid w:val="00043204"/>
    <w:rsid w:val="0004325D"/>
    <w:rsid w:val="0004371C"/>
    <w:rsid w:val="00043BDB"/>
    <w:rsid w:val="00043EFE"/>
    <w:rsid w:val="000447BE"/>
    <w:rsid w:val="0004496F"/>
    <w:rsid w:val="00044C1C"/>
    <w:rsid w:val="00045642"/>
    <w:rsid w:val="000459A6"/>
    <w:rsid w:val="00045CAF"/>
    <w:rsid w:val="000460C1"/>
    <w:rsid w:val="00046FF6"/>
    <w:rsid w:val="000472F5"/>
    <w:rsid w:val="00047F7C"/>
    <w:rsid w:val="00050417"/>
    <w:rsid w:val="000506F1"/>
    <w:rsid w:val="00050838"/>
    <w:rsid w:val="00050B68"/>
    <w:rsid w:val="00050BE7"/>
    <w:rsid w:val="00051E44"/>
    <w:rsid w:val="000520BE"/>
    <w:rsid w:val="00052D2C"/>
    <w:rsid w:val="00053208"/>
    <w:rsid w:val="000541D8"/>
    <w:rsid w:val="0005458B"/>
    <w:rsid w:val="000547B1"/>
    <w:rsid w:val="00054E2B"/>
    <w:rsid w:val="000552CF"/>
    <w:rsid w:val="000557F9"/>
    <w:rsid w:val="00055AA3"/>
    <w:rsid w:val="00056205"/>
    <w:rsid w:val="00056F18"/>
    <w:rsid w:val="00057C3F"/>
    <w:rsid w:val="00057FE2"/>
    <w:rsid w:val="00060098"/>
    <w:rsid w:val="00060DE0"/>
    <w:rsid w:val="00061B63"/>
    <w:rsid w:val="00062705"/>
    <w:rsid w:val="00062FCE"/>
    <w:rsid w:val="0006320E"/>
    <w:rsid w:val="00063279"/>
    <w:rsid w:val="00063319"/>
    <w:rsid w:val="0006347E"/>
    <w:rsid w:val="00063C05"/>
    <w:rsid w:val="00064238"/>
    <w:rsid w:val="00064527"/>
    <w:rsid w:val="0006457B"/>
    <w:rsid w:val="0006470E"/>
    <w:rsid w:val="00064ADA"/>
    <w:rsid w:val="00064C8E"/>
    <w:rsid w:val="00064CCD"/>
    <w:rsid w:val="00064D14"/>
    <w:rsid w:val="00065425"/>
    <w:rsid w:val="0006551D"/>
    <w:rsid w:val="00065A10"/>
    <w:rsid w:val="00065C14"/>
    <w:rsid w:val="00065E77"/>
    <w:rsid w:val="000663E3"/>
    <w:rsid w:val="000669CD"/>
    <w:rsid w:val="00066AE5"/>
    <w:rsid w:val="00066D77"/>
    <w:rsid w:val="00067722"/>
    <w:rsid w:val="00067784"/>
    <w:rsid w:val="00067938"/>
    <w:rsid w:val="00070601"/>
    <w:rsid w:val="00070E2C"/>
    <w:rsid w:val="000716EA"/>
    <w:rsid w:val="000717FF"/>
    <w:rsid w:val="00072044"/>
    <w:rsid w:val="00072266"/>
    <w:rsid w:val="000722BD"/>
    <w:rsid w:val="00072AE1"/>
    <w:rsid w:val="00072C48"/>
    <w:rsid w:val="00073045"/>
    <w:rsid w:val="00073551"/>
    <w:rsid w:val="00073B78"/>
    <w:rsid w:val="00073B8C"/>
    <w:rsid w:val="000744ED"/>
    <w:rsid w:val="00074CCC"/>
    <w:rsid w:val="00075133"/>
    <w:rsid w:val="0007526F"/>
    <w:rsid w:val="00075A0C"/>
    <w:rsid w:val="000771A8"/>
    <w:rsid w:val="0007745D"/>
    <w:rsid w:val="00077BB3"/>
    <w:rsid w:val="00077C7C"/>
    <w:rsid w:val="00077D19"/>
    <w:rsid w:val="0008032A"/>
    <w:rsid w:val="00080331"/>
    <w:rsid w:val="000803E5"/>
    <w:rsid w:val="0008103A"/>
    <w:rsid w:val="00081A49"/>
    <w:rsid w:val="000822A4"/>
    <w:rsid w:val="00082E77"/>
    <w:rsid w:val="00084333"/>
    <w:rsid w:val="00084D64"/>
    <w:rsid w:val="00085058"/>
    <w:rsid w:val="000850BB"/>
    <w:rsid w:val="0008518D"/>
    <w:rsid w:val="00085B3F"/>
    <w:rsid w:val="00085D09"/>
    <w:rsid w:val="00085E9F"/>
    <w:rsid w:val="00085EB3"/>
    <w:rsid w:val="00086170"/>
    <w:rsid w:val="00086601"/>
    <w:rsid w:val="00086AF7"/>
    <w:rsid w:val="00087A9F"/>
    <w:rsid w:val="00087AB2"/>
    <w:rsid w:val="000908F0"/>
    <w:rsid w:val="00091061"/>
    <w:rsid w:val="000910FD"/>
    <w:rsid w:val="000914BD"/>
    <w:rsid w:val="000915E5"/>
    <w:rsid w:val="00091849"/>
    <w:rsid w:val="00091B0C"/>
    <w:rsid w:val="00092CB1"/>
    <w:rsid w:val="00093148"/>
    <w:rsid w:val="0009339A"/>
    <w:rsid w:val="000935DF"/>
    <w:rsid w:val="000937E3"/>
    <w:rsid w:val="00094132"/>
    <w:rsid w:val="0009432C"/>
    <w:rsid w:val="0009454E"/>
    <w:rsid w:val="00094CB9"/>
    <w:rsid w:val="00095674"/>
    <w:rsid w:val="0009590B"/>
    <w:rsid w:val="00095BD9"/>
    <w:rsid w:val="00095F3C"/>
    <w:rsid w:val="000971BF"/>
    <w:rsid w:val="000A00B3"/>
    <w:rsid w:val="000A0A21"/>
    <w:rsid w:val="000A0BF6"/>
    <w:rsid w:val="000A118D"/>
    <w:rsid w:val="000A1462"/>
    <w:rsid w:val="000A158D"/>
    <w:rsid w:val="000A1F42"/>
    <w:rsid w:val="000A2197"/>
    <w:rsid w:val="000A229F"/>
    <w:rsid w:val="000A237C"/>
    <w:rsid w:val="000A27FF"/>
    <w:rsid w:val="000A3855"/>
    <w:rsid w:val="000A3859"/>
    <w:rsid w:val="000A3A8D"/>
    <w:rsid w:val="000A41B1"/>
    <w:rsid w:val="000A4227"/>
    <w:rsid w:val="000A471D"/>
    <w:rsid w:val="000A4C3C"/>
    <w:rsid w:val="000A4DE8"/>
    <w:rsid w:val="000A4E11"/>
    <w:rsid w:val="000A5D4D"/>
    <w:rsid w:val="000A5D50"/>
    <w:rsid w:val="000A6068"/>
    <w:rsid w:val="000A61C5"/>
    <w:rsid w:val="000A6A38"/>
    <w:rsid w:val="000A6A82"/>
    <w:rsid w:val="000A7C06"/>
    <w:rsid w:val="000B040D"/>
    <w:rsid w:val="000B04BE"/>
    <w:rsid w:val="000B1381"/>
    <w:rsid w:val="000B14E0"/>
    <w:rsid w:val="000B1AEC"/>
    <w:rsid w:val="000B2730"/>
    <w:rsid w:val="000B2F58"/>
    <w:rsid w:val="000B3BF9"/>
    <w:rsid w:val="000B3E1E"/>
    <w:rsid w:val="000B408A"/>
    <w:rsid w:val="000B51C9"/>
    <w:rsid w:val="000B56D5"/>
    <w:rsid w:val="000B6165"/>
    <w:rsid w:val="000B6346"/>
    <w:rsid w:val="000B66C3"/>
    <w:rsid w:val="000B6CD3"/>
    <w:rsid w:val="000B7980"/>
    <w:rsid w:val="000B7AAD"/>
    <w:rsid w:val="000B7D20"/>
    <w:rsid w:val="000C0346"/>
    <w:rsid w:val="000C11A1"/>
    <w:rsid w:val="000C1494"/>
    <w:rsid w:val="000C184E"/>
    <w:rsid w:val="000C1FA0"/>
    <w:rsid w:val="000C24A6"/>
    <w:rsid w:val="000C2935"/>
    <w:rsid w:val="000C2B8A"/>
    <w:rsid w:val="000C30A1"/>
    <w:rsid w:val="000C3469"/>
    <w:rsid w:val="000C3619"/>
    <w:rsid w:val="000C4666"/>
    <w:rsid w:val="000C4F78"/>
    <w:rsid w:val="000C6198"/>
    <w:rsid w:val="000C65DC"/>
    <w:rsid w:val="000C7035"/>
    <w:rsid w:val="000C7747"/>
    <w:rsid w:val="000C7826"/>
    <w:rsid w:val="000C7B96"/>
    <w:rsid w:val="000D099A"/>
    <w:rsid w:val="000D139E"/>
    <w:rsid w:val="000D1621"/>
    <w:rsid w:val="000D1849"/>
    <w:rsid w:val="000D18A7"/>
    <w:rsid w:val="000D1DB1"/>
    <w:rsid w:val="000D1F19"/>
    <w:rsid w:val="000D1F63"/>
    <w:rsid w:val="000D20FB"/>
    <w:rsid w:val="000D248E"/>
    <w:rsid w:val="000D2631"/>
    <w:rsid w:val="000D2DB1"/>
    <w:rsid w:val="000D2ECC"/>
    <w:rsid w:val="000D30A7"/>
    <w:rsid w:val="000D3F8D"/>
    <w:rsid w:val="000D4000"/>
    <w:rsid w:val="000D47C8"/>
    <w:rsid w:val="000D5615"/>
    <w:rsid w:val="000D6046"/>
    <w:rsid w:val="000D613A"/>
    <w:rsid w:val="000D6AA6"/>
    <w:rsid w:val="000D6AE6"/>
    <w:rsid w:val="000D790B"/>
    <w:rsid w:val="000D7EF9"/>
    <w:rsid w:val="000E0255"/>
    <w:rsid w:val="000E1640"/>
    <w:rsid w:val="000E171F"/>
    <w:rsid w:val="000E2515"/>
    <w:rsid w:val="000E27B2"/>
    <w:rsid w:val="000E32C8"/>
    <w:rsid w:val="000E33F8"/>
    <w:rsid w:val="000E4879"/>
    <w:rsid w:val="000E4E9E"/>
    <w:rsid w:val="000E52D4"/>
    <w:rsid w:val="000E5669"/>
    <w:rsid w:val="000E5B74"/>
    <w:rsid w:val="000E5D90"/>
    <w:rsid w:val="000E6530"/>
    <w:rsid w:val="000E6ADA"/>
    <w:rsid w:val="000E6EE9"/>
    <w:rsid w:val="000E74DD"/>
    <w:rsid w:val="000E7D15"/>
    <w:rsid w:val="000E7DEB"/>
    <w:rsid w:val="000E7E09"/>
    <w:rsid w:val="000E7F1C"/>
    <w:rsid w:val="000F030C"/>
    <w:rsid w:val="000F0344"/>
    <w:rsid w:val="000F19FE"/>
    <w:rsid w:val="000F1D21"/>
    <w:rsid w:val="000F22E4"/>
    <w:rsid w:val="000F2E1A"/>
    <w:rsid w:val="000F37ED"/>
    <w:rsid w:val="000F4332"/>
    <w:rsid w:val="000F43B2"/>
    <w:rsid w:val="000F4AB9"/>
    <w:rsid w:val="000F50D8"/>
    <w:rsid w:val="000F55A4"/>
    <w:rsid w:val="000F5BE3"/>
    <w:rsid w:val="000F6A8E"/>
    <w:rsid w:val="000F72BF"/>
    <w:rsid w:val="000F7488"/>
    <w:rsid w:val="000F7547"/>
    <w:rsid w:val="000F7C4E"/>
    <w:rsid w:val="000F7D56"/>
    <w:rsid w:val="000F7D79"/>
    <w:rsid w:val="0010009B"/>
    <w:rsid w:val="00100404"/>
    <w:rsid w:val="001008F7"/>
    <w:rsid w:val="00101043"/>
    <w:rsid w:val="00101085"/>
    <w:rsid w:val="001016F3"/>
    <w:rsid w:val="00102838"/>
    <w:rsid w:val="00102B78"/>
    <w:rsid w:val="00102BB1"/>
    <w:rsid w:val="0010371D"/>
    <w:rsid w:val="00103D49"/>
    <w:rsid w:val="0010559A"/>
    <w:rsid w:val="001059FC"/>
    <w:rsid w:val="00105FF1"/>
    <w:rsid w:val="001066E2"/>
    <w:rsid w:val="0010690D"/>
    <w:rsid w:val="00106B06"/>
    <w:rsid w:val="00106B61"/>
    <w:rsid w:val="001072E0"/>
    <w:rsid w:val="00107408"/>
    <w:rsid w:val="00107C1C"/>
    <w:rsid w:val="001118A2"/>
    <w:rsid w:val="001127A3"/>
    <w:rsid w:val="00113326"/>
    <w:rsid w:val="001133DC"/>
    <w:rsid w:val="00113CA8"/>
    <w:rsid w:val="0011404E"/>
    <w:rsid w:val="00114094"/>
    <w:rsid w:val="00114261"/>
    <w:rsid w:val="0011578E"/>
    <w:rsid w:val="001157A6"/>
    <w:rsid w:val="00115D55"/>
    <w:rsid w:val="00115E94"/>
    <w:rsid w:val="00116366"/>
    <w:rsid w:val="0011683B"/>
    <w:rsid w:val="00120291"/>
    <w:rsid w:val="0012081A"/>
    <w:rsid w:val="00120E0A"/>
    <w:rsid w:val="00121445"/>
    <w:rsid w:val="00121754"/>
    <w:rsid w:val="00121E7A"/>
    <w:rsid w:val="0012395B"/>
    <w:rsid w:val="00123A76"/>
    <w:rsid w:val="00124433"/>
    <w:rsid w:val="001249B8"/>
    <w:rsid w:val="00124A4E"/>
    <w:rsid w:val="00124ECD"/>
    <w:rsid w:val="00125F72"/>
    <w:rsid w:val="00126765"/>
    <w:rsid w:val="00126C09"/>
    <w:rsid w:val="00126ED0"/>
    <w:rsid w:val="00127443"/>
    <w:rsid w:val="001276D8"/>
    <w:rsid w:val="00127FE5"/>
    <w:rsid w:val="001303FF"/>
    <w:rsid w:val="00130D83"/>
    <w:rsid w:val="00131BE2"/>
    <w:rsid w:val="00131F19"/>
    <w:rsid w:val="00132086"/>
    <w:rsid w:val="001325C3"/>
    <w:rsid w:val="00132658"/>
    <w:rsid w:val="00132666"/>
    <w:rsid w:val="0013266B"/>
    <w:rsid w:val="00132E76"/>
    <w:rsid w:val="001333E8"/>
    <w:rsid w:val="00133ED6"/>
    <w:rsid w:val="00134931"/>
    <w:rsid w:val="001349A2"/>
    <w:rsid w:val="001350E9"/>
    <w:rsid w:val="0013679C"/>
    <w:rsid w:val="001368C4"/>
    <w:rsid w:val="00136B63"/>
    <w:rsid w:val="00136CEF"/>
    <w:rsid w:val="00137086"/>
    <w:rsid w:val="0013763A"/>
    <w:rsid w:val="00137ED0"/>
    <w:rsid w:val="00140069"/>
    <w:rsid w:val="001407AB"/>
    <w:rsid w:val="00140A6D"/>
    <w:rsid w:val="00140A76"/>
    <w:rsid w:val="001411EA"/>
    <w:rsid w:val="001419A4"/>
    <w:rsid w:val="0014223C"/>
    <w:rsid w:val="001430B7"/>
    <w:rsid w:val="0014389B"/>
    <w:rsid w:val="00143B6B"/>
    <w:rsid w:val="00143F10"/>
    <w:rsid w:val="00144BB7"/>
    <w:rsid w:val="0014580D"/>
    <w:rsid w:val="001459E5"/>
    <w:rsid w:val="001467FE"/>
    <w:rsid w:val="00146A62"/>
    <w:rsid w:val="00146BB4"/>
    <w:rsid w:val="00147CB3"/>
    <w:rsid w:val="00147CD7"/>
    <w:rsid w:val="00147F0E"/>
    <w:rsid w:val="00150194"/>
    <w:rsid w:val="0015081F"/>
    <w:rsid w:val="00151552"/>
    <w:rsid w:val="00151883"/>
    <w:rsid w:val="001520F2"/>
    <w:rsid w:val="0015275D"/>
    <w:rsid w:val="00152B4F"/>
    <w:rsid w:val="00153132"/>
    <w:rsid w:val="001531E8"/>
    <w:rsid w:val="0015375D"/>
    <w:rsid w:val="00153DC7"/>
    <w:rsid w:val="001544BD"/>
    <w:rsid w:val="00154C2A"/>
    <w:rsid w:val="00154DF7"/>
    <w:rsid w:val="00155098"/>
    <w:rsid w:val="001552C8"/>
    <w:rsid w:val="00155D25"/>
    <w:rsid w:val="00155E77"/>
    <w:rsid w:val="001560B3"/>
    <w:rsid w:val="001560CF"/>
    <w:rsid w:val="001565B1"/>
    <w:rsid w:val="00156ABE"/>
    <w:rsid w:val="0015704F"/>
    <w:rsid w:val="00157228"/>
    <w:rsid w:val="001573EB"/>
    <w:rsid w:val="00157976"/>
    <w:rsid w:val="00160972"/>
    <w:rsid w:val="0016107D"/>
    <w:rsid w:val="001617FA"/>
    <w:rsid w:val="00161DB1"/>
    <w:rsid w:val="001621F7"/>
    <w:rsid w:val="0016259F"/>
    <w:rsid w:val="00163246"/>
    <w:rsid w:val="00163297"/>
    <w:rsid w:val="00165026"/>
    <w:rsid w:val="0016539B"/>
    <w:rsid w:val="001664D5"/>
    <w:rsid w:val="00167513"/>
    <w:rsid w:val="00167977"/>
    <w:rsid w:val="00167DD6"/>
    <w:rsid w:val="00167E51"/>
    <w:rsid w:val="0017086F"/>
    <w:rsid w:val="00170875"/>
    <w:rsid w:val="00171126"/>
    <w:rsid w:val="00172180"/>
    <w:rsid w:val="0017253B"/>
    <w:rsid w:val="001733CC"/>
    <w:rsid w:val="00173CA6"/>
    <w:rsid w:val="00173DB4"/>
    <w:rsid w:val="001742E1"/>
    <w:rsid w:val="00174365"/>
    <w:rsid w:val="001743A2"/>
    <w:rsid w:val="001745D5"/>
    <w:rsid w:val="00174677"/>
    <w:rsid w:val="00174C59"/>
    <w:rsid w:val="00175318"/>
    <w:rsid w:val="00175452"/>
    <w:rsid w:val="0017558F"/>
    <w:rsid w:val="001757F6"/>
    <w:rsid w:val="00176282"/>
    <w:rsid w:val="001762B0"/>
    <w:rsid w:val="001767AA"/>
    <w:rsid w:val="00176A6C"/>
    <w:rsid w:val="00176C29"/>
    <w:rsid w:val="00176E28"/>
    <w:rsid w:val="00177DB0"/>
    <w:rsid w:val="0018103A"/>
    <w:rsid w:val="001812E2"/>
    <w:rsid w:val="00181CB2"/>
    <w:rsid w:val="00181D4A"/>
    <w:rsid w:val="001825B8"/>
    <w:rsid w:val="00182C33"/>
    <w:rsid w:val="00182DE8"/>
    <w:rsid w:val="001837E9"/>
    <w:rsid w:val="00183941"/>
    <w:rsid w:val="0018397F"/>
    <w:rsid w:val="00183AAE"/>
    <w:rsid w:val="001841F0"/>
    <w:rsid w:val="001858CF"/>
    <w:rsid w:val="00185F62"/>
    <w:rsid w:val="00187551"/>
    <w:rsid w:val="0018764C"/>
    <w:rsid w:val="001879AD"/>
    <w:rsid w:val="0019074D"/>
    <w:rsid w:val="001910F7"/>
    <w:rsid w:val="00191567"/>
    <w:rsid w:val="00191E5D"/>
    <w:rsid w:val="00191FDA"/>
    <w:rsid w:val="0019351E"/>
    <w:rsid w:val="00193DEA"/>
    <w:rsid w:val="00194259"/>
    <w:rsid w:val="001944CB"/>
    <w:rsid w:val="00194DCC"/>
    <w:rsid w:val="00195C7C"/>
    <w:rsid w:val="00195EB1"/>
    <w:rsid w:val="001972D0"/>
    <w:rsid w:val="00197812"/>
    <w:rsid w:val="00197974"/>
    <w:rsid w:val="001A04CA"/>
    <w:rsid w:val="001A061C"/>
    <w:rsid w:val="001A07FA"/>
    <w:rsid w:val="001A0AD1"/>
    <w:rsid w:val="001A1234"/>
    <w:rsid w:val="001A150E"/>
    <w:rsid w:val="001A1795"/>
    <w:rsid w:val="001A202F"/>
    <w:rsid w:val="001A2121"/>
    <w:rsid w:val="001A22D5"/>
    <w:rsid w:val="001A257E"/>
    <w:rsid w:val="001A281E"/>
    <w:rsid w:val="001A3D98"/>
    <w:rsid w:val="001A46AA"/>
    <w:rsid w:val="001A4C9A"/>
    <w:rsid w:val="001A4D61"/>
    <w:rsid w:val="001A4F28"/>
    <w:rsid w:val="001A6FDF"/>
    <w:rsid w:val="001A7BA3"/>
    <w:rsid w:val="001B042A"/>
    <w:rsid w:val="001B0E2B"/>
    <w:rsid w:val="001B15B5"/>
    <w:rsid w:val="001B1B3A"/>
    <w:rsid w:val="001B2B38"/>
    <w:rsid w:val="001B2C0A"/>
    <w:rsid w:val="001B3CB0"/>
    <w:rsid w:val="001B3DFD"/>
    <w:rsid w:val="001B4273"/>
    <w:rsid w:val="001B43A5"/>
    <w:rsid w:val="001B4591"/>
    <w:rsid w:val="001B461A"/>
    <w:rsid w:val="001B4625"/>
    <w:rsid w:val="001B47D6"/>
    <w:rsid w:val="001B4BBC"/>
    <w:rsid w:val="001B5704"/>
    <w:rsid w:val="001B5A2D"/>
    <w:rsid w:val="001B6743"/>
    <w:rsid w:val="001B71DB"/>
    <w:rsid w:val="001B773C"/>
    <w:rsid w:val="001C0241"/>
    <w:rsid w:val="001C0941"/>
    <w:rsid w:val="001C1422"/>
    <w:rsid w:val="001C1617"/>
    <w:rsid w:val="001C189F"/>
    <w:rsid w:val="001C2405"/>
    <w:rsid w:val="001C34FA"/>
    <w:rsid w:val="001C4837"/>
    <w:rsid w:val="001C5B78"/>
    <w:rsid w:val="001C5C98"/>
    <w:rsid w:val="001C6011"/>
    <w:rsid w:val="001C74BD"/>
    <w:rsid w:val="001C74FD"/>
    <w:rsid w:val="001C7AFE"/>
    <w:rsid w:val="001D0169"/>
    <w:rsid w:val="001D0507"/>
    <w:rsid w:val="001D0B92"/>
    <w:rsid w:val="001D135D"/>
    <w:rsid w:val="001D25BB"/>
    <w:rsid w:val="001D2693"/>
    <w:rsid w:val="001D27BF"/>
    <w:rsid w:val="001D2A67"/>
    <w:rsid w:val="001D3697"/>
    <w:rsid w:val="001D37F9"/>
    <w:rsid w:val="001D3F9C"/>
    <w:rsid w:val="001D4441"/>
    <w:rsid w:val="001D5387"/>
    <w:rsid w:val="001D57F7"/>
    <w:rsid w:val="001D5AD1"/>
    <w:rsid w:val="001D6796"/>
    <w:rsid w:val="001D6D58"/>
    <w:rsid w:val="001D6E3A"/>
    <w:rsid w:val="001D7453"/>
    <w:rsid w:val="001D7824"/>
    <w:rsid w:val="001D7EAA"/>
    <w:rsid w:val="001E00D4"/>
    <w:rsid w:val="001E0BD9"/>
    <w:rsid w:val="001E1004"/>
    <w:rsid w:val="001E1653"/>
    <w:rsid w:val="001E1B31"/>
    <w:rsid w:val="001E1F3A"/>
    <w:rsid w:val="001E32E8"/>
    <w:rsid w:val="001E36EC"/>
    <w:rsid w:val="001E3BC7"/>
    <w:rsid w:val="001E46F4"/>
    <w:rsid w:val="001E5943"/>
    <w:rsid w:val="001E5B15"/>
    <w:rsid w:val="001E5F49"/>
    <w:rsid w:val="001E60EF"/>
    <w:rsid w:val="001E6418"/>
    <w:rsid w:val="001E69C5"/>
    <w:rsid w:val="001E6A0A"/>
    <w:rsid w:val="001E6AE2"/>
    <w:rsid w:val="001E6CA5"/>
    <w:rsid w:val="001F01AF"/>
    <w:rsid w:val="001F0D35"/>
    <w:rsid w:val="001F1682"/>
    <w:rsid w:val="001F18CB"/>
    <w:rsid w:val="001F1B85"/>
    <w:rsid w:val="001F1CF4"/>
    <w:rsid w:val="001F2645"/>
    <w:rsid w:val="001F26A0"/>
    <w:rsid w:val="001F2B83"/>
    <w:rsid w:val="001F348E"/>
    <w:rsid w:val="001F3C32"/>
    <w:rsid w:val="001F4197"/>
    <w:rsid w:val="001F432F"/>
    <w:rsid w:val="001F4824"/>
    <w:rsid w:val="001F5A69"/>
    <w:rsid w:val="001F5D69"/>
    <w:rsid w:val="001F6B8C"/>
    <w:rsid w:val="001F6F6E"/>
    <w:rsid w:val="001F720C"/>
    <w:rsid w:val="001F74D9"/>
    <w:rsid w:val="001F756B"/>
    <w:rsid w:val="002005D8"/>
    <w:rsid w:val="00201E7D"/>
    <w:rsid w:val="00202808"/>
    <w:rsid w:val="002028B1"/>
    <w:rsid w:val="00202DAB"/>
    <w:rsid w:val="00202F76"/>
    <w:rsid w:val="00203300"/>
    <w:rsid w:val="00203935"/>
    <w:rsid w:val="002042E2"/>
    <w:rsid w:val="0020436B"/>
    <w:rsid w:val="00205637"/>
    <w:rsid w:val="002057E0"/>
    <w:rsid w:val="00205C77"/>
    <w:rsid w:val="0020638D"/>
    <w:rsid w:val="002063BC"/>
    <w:rsid w:val="002064D8"/>
    <w:rsid w:val="002066F2"/>
    <w:rsid w:val="00206821"/>
    <w:rsid w:val="00206828"/>
    <w:rsid w:val="0020693F"/>
    <w:rsid w:val="00207303"/>
    <w:rsid w:val="0020750D"/>
    <w:rsid w:val="002077E2"/>
    <w:rsid w:val="00207BF2"/>
    <w:rsid w:val="002100CA"/>
    <w:rsid w:val="0021060D"/>
    <w:rsid w:val="00211199"/>
    <w:rsid w:val="00211938"/>
    <w:rsid w:val="002128AD"/>
    <w:rsid w:val="00212A3C"/>
    <w:rsid w:val="00212AB4"/>
    <w:rsid w:val="00212BAE"/>
    <w:rsid w:val="002134C4"/>
    <w:rsid w:val="00213B6F"/>
    <w:rsid w:val="0021418B"/>
    <w:rsid w:val="0021464B"/>
    <w:rsid w:val="00214BF4"/>
    <w:rsid w:val="00214DEE"/>
    <w:rsid w:val="002154B9"/>
    <w:rsid w:val="002155E5"/>
    <w:rsid w:val="00215947"/>
    <w:rsid w:val="00215A91"/>
    <w:rsid w:val="0021643C"/>
    <w:rsid w:val="00216561"/>
    <w:rsid w:val="00216807"/>
    <w:rsid w:val="00216E6A"/>
    <w:rsid w:val="002170E1"/>
    <w:rsid w:val="002174FE"/>
    <w:rsid w:val="00217A5E"/>
    <w:rsid w:val="00217AD9"/>
    <w:rsid w:val="00217D46"/>
    <w:rsid w:val="00217EF0"/>
    <w:rsid w:val="002207FE"/>
    <w:rsid w:val="00220F28"/>
    <w:rsid w:val="002210E3"/>
    <w:rsid w:val="002219E5"/>
    <w:rsid w:val="00221E55"/>
    <w:rsid w:val="00221E58"/>
    <w:rsid w:val="00222115"/>
    <w:rsid w:val="00222235"/>
    <w:rsid w:val="002228F1"/>
    <w:rsid w:val="00222CB7"/>
    <w:rsid w:val="00222EB4"/>
    <w:rsid w:val="0022320A"/>
    <w:rsid w:val="00224E73"/>
    <w:rsid w:val="00225298"/>
    <w:rsid w:val="00225867"/>
    <w:rsid w:val="00226047"/>
    <w:rsid w:val="00226595"/>
    <w:rsid w:val="00226842"/>
    <w:rsid w:val="00226A23"/>
    <w:rsid w:val="00226BFD"/>
    <w:rsid w:val="00226F0D"/>
    <w:rsid w:val="00227687"/>
    <w:rsid w:val="0022773C"/>
    <w:rsid w:val="00227979"/>
    <w:rsid w:val="00227BEF"/>
    <w:rsid w:val="00227C57"/>
    <w:rsid w:val="002303BC"/>
    <w:rsid w:val="00230469"/>
    <w:rsid w:val="00230803"/>
    <w:rsid w:val="00230832"/>
    <w:rsid w:val="00230C6E"/>
    <w:rsid w:val="00230EBF"/>
    <w:rsid w:val="00231EE5"/>
    <w:rsid w:val="002328A0"/>
    <w:rsid w:val="002328C6"/>
    <w:rsid w:val="002329E1"/>
    <w:rsid w:val="0023305D"/>
    <w:rsid w:val="0023350A"/>
    <w:rsid w:val="002338E4"/>
    <w:rsid w:val="00233A5D"/>
    <w:rsid w:val="00234850"/>
    <w:rsid w:val="00234AE1"/>
    <w:rsid w:val="00234F98"/>
    <w:rsid w:val="00235811"/>
    <w:rsid w:val="00235CF1"/>
    <w:rsid w:val="00236196"/>
    <w:rsid w:val="002369D3"/>
    <w:rsid w:val="00236D1E"/>
    <w:rsid w:val="00237609"/>
    <w:rsid w:val="00237958"/>
    <w:rsid w:val="00237B23"/>
    <w:rsid w:val="00237ED7"/>
    <w:rsid w:val="00237FB5"/>
    <w:rsid w:val="00240068"/>
    <w:rsid w:val="00240262"/>
    <w:rsid w:val="0024033E"/>
    <w:rsid w:val="0024196E"/>
    <w:rsid w:val="00242145"/>
    <w:rsid w:val="00242609"/>
    <w:rsid w:val="00242E9C"/>
    <w:rsid w:val="002436DC"/>
    <w:rsid w:val="00243987"/>
    <w:rsid w:val="00244684"/>
    <w:rsid w:val="0024486D"/>
    <w:rsid w:val="00244B81"/>
    <w:rsid w:val="00244DF4"/>
    <w:rsid w:val="00245730"/>
    <w:rsid w:val="00245F50"/>
    <w:rsid w:val="002460E1"/>
    <w:rsid w:val="00246A61"/>
    <w:rsid w:val="00247343"/>
    <w:rsid w:val="002473F6"/>
    <w:rsid w:val="00247670"/>
    <w:rsid w:val="00247BF4"/>
    <w:rsid w:val="00247FE6"/>
    <w:rsid w:val="00250298"/>
    <w:rsid w:val="0025062F"/>
    <w:rsid w:val="00251315"/>
    <w:rsid w:val="002517D1"/>
    <w:rsid w:val="00251970"/>
    <w:rsid w:val="00251BF2"/>
    <w:rsid w:val="00251C7C"/>
    <w:rsid w:val="00251E64"/>
    <w:rsid w:val="00251E94"/>
    <w:rsid w:val="002525F3"/>
    <w:rsid w:val="00252D03"/>
    <w:rsid w:val="00252DF9"/>
    <w:rsid w:val="00253032"/>
    <w:rsid w:val="002530D0"/>
    <w:rsid w:val="0025310D"/>
    <w:rsid w:val="002536B9"/>
    <w:rsid w:val="00253E7A"/>
    <w:rsid w:val="002544E6"/>
    <w:rsid w:val="00254839"/>
    <w:rsid w:val="00255404"/>
    <w:rsid w:val="00255B70"/>
    <w:rsid w:val="00255EC1"/>
    <w:rsid w:val="00255F09"/>
    <w:rsid w:val="00257289"/>
    <w:rsid w:val="002578C4"/>
    <w:rsid w:val="00257A4F"/>
    <w:rsid w:val="00257A54"/>
    <w:rsid w:val="00257C41"/>
    <w:rsid w:val="00257FD5"/>
    <w:rsid w:val="002601ED"/>
    <w:rsid w:val="00260C4F"/>
    <w:rsid w:val="00260ECE"/>
    <w:rsid w:val="00261FBC"/>
    <w:rsid w:val="00261FDF"/>
    <w:rsid w:val="00263E76"/>
    <w:rsid w:val="00263FC1"/>
    <w:rsid w:val="0026481B"/>
    <w:rsid w:val="0026540F"/>
    <w:rsid w:val="002656E3"/>
    <w:rsid w:val="002663D8"/>
    <w:rsid w:val="00266E8E"/>
    <w:rsid w:val="002670BE"/>
    <w:rsid w:val="002671AE"/>
    <w:rsid w:val="0026797D"/>
    <w:rsid w:val="002701BD"/>
    <w:rsid w:val="00270852"/>
    <w:rsid w:val="00270F82"/>
    <w:rsid w:val="002711EB"/>
    <w:rsid w:val="00271299"/>
    <w:rsid w:val="00271F29"/>
    <w:rsid w:val="00272241"/>
    <w:rsid w:val="0027224F"/>
    <w:rsid w:val="00273E2F"/>
    <w:rsid w:val="00273FBA"/>
    <w:rsid w:val="002742B4"/>
    <w:rsid w:val="00274ACE"/>
    <w:rsid w:val="00274F07"/>
    <w:rsid w:val="00274F70"/>
    <w:rsid w:val="00275560"/>
    <w:rsid w:val="0027572E"/>
    <w:rsid w:val="00275A42"/>
    <w:rsid w:val="00275D5F"/>
    <w:rsid w:val="00276F0F"/>
    <w:rsid w:val="002776CC"/>
    <w:rsid w:val="002800BE"/>
    <w:rsid w:val="00280338"/>
    <w:rsid w:val="00281A53"/>
    <w:rsid w:val="002820B9"/>
    <w:rsid w:val="0028290D"/>
    <w:rsid w:val="00282EA7"/>
    <w:rsid w:val="0028350F"/>
    <w:rsid w:val="00284B72"/>
    <w:rsid w:val="0028578E"/>
    <w:rsid w:val="00285C76"/>
    <w:rsid w:val="00286874"/>
    <w:rsid w:val="00286E73"/>
    <w:rsid w:val="00287B8B"/>
    <w:rsid w:val="00287F10"/>
    <w:rsid w:val="002902FF"/>
    <w:rsid w:val="002907C5"/>
    <w:rsid w:val="00291C44"/>
    <w:rsid w:val="00292006"/>
    <w:rsid w:val="00292B19"/>
    <w:rsid w:val="00293EF2"/>
    <w:rsid w:val="00294306"/>
    <w:rsid w:val="00294C65"/>
    <w:rsid w:val="00294D10"/>
    <w:rsid w:val="00294DE2"/>
    <w:rsid w:val="002965C0"/>
    <w:rsid w:val="002968DA"/>
    <w:rsid w:val="00296A92"/>
    <w:rsid w:val="00296AE0"/>
    <w:rsid w:val="00297BEB"/>
    <w:rsid w:val="00297F61"/>
    <w:rsid w:val="00297F8A"/>
    <w:rsid w:val="002A088A"/>
    <w:rsid w:val="002A17F4"/>
    <w:rsid w:val="002A1971"/>
    <w:rsid w:val="002A1AE1"/>
    <w:rsid w:val="002A1E62"/>
    <w:rsid w:val="002A2DDD"/>
    <w:rsid w:val="002A3382"/>
    <w:rsid w:val="002A3A28"/>
    <w:rsid w:val="002A431B"/>
    <w:rsid w:val="002A526C"/>
    <w:rsid w:val="002A5412"/>
    <w:rsid w:val="002A54D6"/>
    <w:rsid w:val="002A5579"/>
    <w:rsid w:val="002A6AE8"/>
    <w:rsid w:val="002A72F4"/>
    <w:rsid w:val="002A7B55"/>
    <w:rsid w:val="002B0481"/>
    <w:rsid w:val="002B09EA"/>
    <w:rsid w:val="002B0C46"/>
    <w:rsid w:val="002B111A"/>
    <w:rsid w:val="002B19C8"/>
    <w:rsid w:val="002B23B6"/>
    <w:rsid w:val="002B24CB"/>
    <w:rsid w:val="002B251F"/>
    <w:rsid w:val="002B29D0"/>
    <w:rsid w:val="002B2A65"/>
    <w:rsid w:val="002B2FA9"/>
    <w:rsid w:val="002B3224"/>
    <w:rsid w:val="002B3ADF"/>
    <w:rsid w:val="002B4E4E"/>
    <w:rsid w:val="002B508E"/>
    <w:rsid w:val="002B515D"/>
    <w:rsid w:val="002B589A"/>
    <w:rsid w:val="002B6F8A"/>
    <w:rsid w:val="002B7BCA"/>
    <w:rsid w:val="002B7ECF"/>
    <w:rsid w:val="002C006D"/>
    <w:rsid w:val="002C01B2"/>
    <w:rsid w:val="002C09FD"/>
    <w:rsid w:val="002C0B53"/>
    <w:rsid w:val="002C0B85"/>
    <w:rsid w:val="002C1169"/>
    <w:rsid w:val="002C1402"/>
    <w:rsid w:val="002C1966"/>
    <w:rsid w:val="002C264C"/>
    <w:rsid w:val="002C2CAC"/>
    <w:rsid w:val="002C2CD0"/>
    <w:rsid w:val="002C2D50"/>
    <w:rsid w:val="002C344A"/>
    <w:rsid w:val="002C3690"/>
    <w:rsid w:val="002C4B85"/>
    <w:rsid w:val="002C4C01"/>
    <w:rsid w:val="002C5026"/>
    <w:rsid w:val="002C526F"/>
    <w:rsid w:val="002C534D"/>
    <w:rsid w:val="002C5A8D"/>
    <w:rsid w:val="002D09AF"/>
    <w:rsid w:val="002D12C2"/>
    <w:rsid w:val="002D1647"/>
    <w:rsid w:val="002D16A5"/>
    <w:rsid w:val="002D1D79"/>
    <w:rsid w:val="002D1E8D"/>
    <w:rsid w:val="002D1F07"/>
    <w:rsid w:val="002D24B4"/>
    <w:rsid w:val="002D270E"/>
    <w:rsid w:val="002D37D4"/>
    <w:rsid w:val="002D39FC"/>
    <w:rsid w:val="002D3A6C"/>
    <w:rsid w:val="002D3BD3"/>
    <w:rsid w:val="002D4D91"/>
    <w:rsid w:val="002D500A"/>
    <w:rsid w:val="002D552A"/>
    <w:rsid w:val="002D59EB"/>
    <w:rsid w:val="002D655B"/>
    <w:rsid w:val="002D693B"/>
    <w:rsid w:val="002D69EC"/>
    <w:rsid w:val="002D6DD3"/>
    <w:rsid w:val="002D7495"/>
    <w:rsid w:val="002D7A1E"/>
    <w:rsid w:val="002D7E15"/>
    <w:rsid w:val="002D7F57"/>
    <w:rsid w:val="002E0B51"/>
    <w:rsid w:val="002E143D"/>
    <w:rsid w:val="002E1645"/>
    <w:rsid w:val="002E2410"/>
    <w:rsid w:val="002E2A73"/>
    <w:rsid w:val="002E3622"/>
    <w:rsid w:val="002E3964"/>
    <w:rsid w:val="002E54AE"/>
    <w:rsid w:val="002E55D3"/>
    <w:rsid w:val="002E5CB2"/>
    <w:rsid w:val="002E6262"/>
    <w:rsid w:val="002E62B3"/>
    <w:rsid w:val="002E63D9"/>
    <w:rsid w:val="002E6BEB"/>
    <w:rsid w:val="002E6C1C"/>
    <w:rsid w:val="002E7829"/>
    <w:rsid w:val="002E7D7A"/>
    <w:rsid w:val="002F069A"/>
    <w:rsid w:val="002F0EE9"/>
    <w:rsid w:val="002F1161"/>
    <w:rsid w:val="002F11CB"/>
    <w:rsid w:val="002F1232"/>
    <w:rsid w:val="002F14B0"/>
    <w:rsid w:val="002F1BCB"/>
    <w:rsid w:val="002F1DBD"/>
    <w:rsid w:val="002F2517"/>
    <w:rsid w:val="002F3009"/>
    <w:rsid w:val="002F36FD"/>
    <w:rsid w:val="002F3742"/>
    <w:rsid w:val="002F3876"/>
    <w:rsid w:val="002F3CCE"/>
    <w:rsid w:val="002F43CD"/>
    <w:rsid w:val="002F4789"/>
    <w:rsid w:val="002F4B38"/>
    <w:rsid w:val="002F4D2A"/>
    <w:rsid w:val="002F6446"/>
    <w:rsid w:val="002F6C43"/>
    <w:rsid w:val="002F6D6D"/>
    <w:rsid w:val="002F6DFF"/>
    <w:rsid w:val="002F7AAA"/>
    <w:rsid w:val="003003D7"/>
    <w:rsid w:val="003006D7"/>
    <w:rsid w:val="00300B0E"/>
    <w:rsid w:val="00301BBE"/>
    <w:rsid w:val="003036DD"/>
    <w:rsid w:val="0030374C"/>
    <w:rsid w:val="003037E3"/>
    <w:rsid w:val="00305527"/>
    <w:rsid w:val="00305DC5"/>
    <w:rsid w:val="00305FB5"/>
    <w:rsid w:val="00306B3A"/>
    <w:rsid w:val="00306FF3"/>
    <w:rsid w:val="003070FF"/>
    <w:rsid w:val="003079CC"/>
    <w:rsid w:val="00307BBA"/>
    <w:rsid w:val="00310525"/>
    <w:rsid w:val="00310676"/>
    <w:rsid w:val="003108F7"/>
    <w:rsid w:val="0031104F"/>
    <w:rsid w:val="003115D7"/>
    <w:rsid w:val="003118AB"/>
    <w:rsid w:val="00312731"/>
    <w:rsid w:val="00312B9F"/>
    <w:rsid w:val="00313288"/>
    <w:rsid w:val="003133D5"/>
    <w:rsid w:val="00313C28"/>
    <w:rsid w:val="00314156"/>
    <w:rsid w:val="003142AA"/>
    <w:rsid w:val="003142E6"/>
    <w:rsid w:val="00314D0B"/>
    <w:rsid w:val="00314D70"/>
    <w:rsid w:val="003156FF"/>
    <w:rsid w:val="003163FE"/>
    <w:rsid w:val="00316FBC"/>
    <w:rsid w:val="0031789C"/>
    <w:rsid w:val="00317E21"/>
    <w:rsid w:val="0032015D"/>
    <w:rsid w:val="003211D0"/>
    <w:rsid w:val="00321F10"/>
    <w:rsid w:val="0032251B"/>
    <w:rsid w:val="003227D9"/>
    <w:rsid w:val="00322CF9"/>
    <w:rsid w:val="00323140"/>
    <w:rsid w:val="003233E3"/>
    <w:rsid w:val="00323ABF"/>
    <w:rsid w:val="00323BE8"/>
    <w:rsid w:val="00323DEF"/>
    <w:rsid w:val="00323E6F"/>
    <w:rsid w:val="003240E8"/>
    <w:rsid w:val="003242C2"/>
    <w:rsid w:val="00324A35"/>
    <w:rsid w:val="00324FF3"/>
    <w:rsid w:val="0032504E"/>
    <w:rsid w:val="00325A1E"/>
    <w:rsid w:val="0032634D"/>
    <w:rsid w:val="0032660A"/>
    <w:rsid w:val="00326DFD"/>
    <w:rsid w:val="0032722A"/>
    <w:rsid w:val="00327830"/>
    <w:rsid w:val="0032787B"/>
    <w:rsid w:val="00327A00"/>
    <w:rsid w:val="00327CE4"/>
    <w:rsid w:val="003304EA"/>
    <w:rsid w:val="00330DB7"/>
    <w:rsid w:val="00331895"/>
    <w:rsid w:val="003319D3"/>
    <w:rsid w:val="00331BC6"/>
    <w:rsid w:val="00331D0E"/>
    <w:rsid w:val="00331F52"/>
    <w:rsid w:val="00332622"/>
    <w:rsid w:val="00332804"/>
    <w:rsid w:val="00332A27"/>
    <w:rsid w:val="00332D70"/>
    <w:rsid w:val="00333699"/>
    <w:rsid w:val="00334002"/>
    <w:rsid w:val="00334348"/>
    <w:rsid w:val="00334442"/>
    <w:rsid w:val="00334908"/>
    <w:rsid w:val="00334990"/>
    <w:rsid w:val="00334ABF"/>
    <w:rsid w:val="00335157"/>
    <w:rsid w:val="00335932"/>
    <w:rsid w:val="00335B60"/>
    <w:rsid w:val="00335CA1"/>
    <w:rsid w:val="00335CDD"/>
    <w:rsid w:val="00335DA8"/>
    <w:rsid w:val="00335EEC"/>
    <w:rsid w:val="003364EF"/>
    <w:rsid w:val="0033701D"/>
    <w:rsid w:val="00337203"/>
    <w:rsid w:val="00337631"/>
    <w:rsid w:val="00337B99"/>
    <w:rsid w:val="00340612"/>
    <w:rsid w:val="00341891"/>
    <w:rsid w:val="00341BB6"/>
    <w:rsid w:val="0034269B"/>
    <w:rsid w:val="00342D4C"/>
    <w:rsid w:val="00343BD2"/>
    <w:rsid w:val="00343CA6"/>
    <w:rsid w:val="00343EC3"/>
    <w:rsid w:val="00344301"/>
    <w:rsid w:val="003447A8"/>
    <w:rsid w:val="00344851"/>
    <w:rsid w:val="00345385"/>
    <w:rsid w:val="003457FB"/>
    <w:rsid w:val="00345884"/>
    <w:rsid w:val="00345B7C"/>
    <w:rsid w:val="00346326"/>
    <w:rsid w:val="0034667E"/>
    <w:rsid w:val="00346F2E"/>
    <w:rsid w:val="003471D2"/>
    <w:rsid w:val="00347BE6"/>
    <w:rsid w:val="00350CEE"/>
    <w:rsid w:val="00351795"/>
    <w:rsid w:val="003519EE"/>
    <w:rsid w:val="00351BC0"/>
    <w:rsid w:val="0035294A"/>
    <w:rsid w:val="00352ADA"/>
    <w:rsid w:val="00352D57"/>
    <w:rsid w:val="00352F7C"/>
    <w:rsid w:val="0035349B"/>
    <w:rsid w:val="00353A5A"/>
    <w:rsid w:val="00353AAB"/>
    <w:rsid w:val="0035503E"/>
    <w:rsid w:val="0035507E"/>
    <w:rsid w:val="0035548F"/>
    <w:rsid w:val="003554FC"/>
    <w:rsid w:val="003556EE"/>
    <w:rsid w:val="00355AEA"/>
    <w:rsid w:val="00355E92"/>
    <w:rsid w:val="003560B0"/>
    <w:rsid w:val="00356416"/>
    <w:rsid w:val="00356B34"/>
    <w:rsid w:val="00356E4D"/>
    <w:rsid w:val="003572F6"/>
    <w:rsid w:val="00357DA3"/>
    <w:rsid w:val="003601A5"/>
    <w:rsid w:val="00360280"/>
    <w:rsid w:val="003609D8"/>
    <w:rsid w:val="00360EBE"/>
    <w:rsid w:val="00361253"/>
    <w:rsid w:val="00361D70"/>
    <w:rsid w:val="003624BC"/>
    <w:rsid w:val="00362A3B"/>
    <w:rsid w:val="00362AFC"/>
    <w:rsid w:val="00362C4A"/>
    <w:rsid w:val="00362F40"/>
    <w:rsid w:val="00363C2E"/>
    <w:rsid w:val="003645F4"/>
    <w:rsid w:val="00364902"/>
    <w:rsid w:val="003650DC"/>
    <w:rsid w:val="003655BA"/>
    <w:rsid w:val="003659D6"/>
    <w:rsid w:val="00366734"/>
    <w:rsid w:val="00366F27"/>
    <w:rsid w:val="00367503"/>
    <w:rsid w:val="00367A7C"/>
    <w:rsid w:val="00367C79"/>
    <w:rsid w:val="003700EE"/>
    <w:rsid w:val="003710A3"/>
    <w:rsid w:val="00371137"/>
    <w:rsid w:val="00371B73"/>
    <w:rsid w:val="00371B92"/>
    <w:rsid w:val="00372DFA"/>
    <w:rsid w:val="00372F05"/>
    <w:rsid w:val="00373004"/>
    <w:rsid w:val="00373217"/>
    <w:rsid w:val="0037369A"/>
    <w:rsid w:val="00373725"/>
    <w:rsid w:val="00373AFD"/>
    <w:rsid w:val="00373D4B"/>
    <w:rsid w:val="0037400B"/>
    <w:rsid w:val="00374453"/>
    <w:rsid w:val="00374F60"/>
    <w:rsid w:val="00375DF4"/>
    <w:rsid w:val="00375DFC"/>
    <w:rsid w:val="003760E5"/>
    <w:rsid w:val="0037639E"/>
    <w:rsid w:val="003767D1"/>
    <w:rsid w:val="00377530"/>
    <w:rsid w:val="00377701"/>
    <w:rsid w:val="00380AD8"/>
    <w:rsid w:val="00381591"/>
    <w:rsid w:val="00381A97"/>
    <w:rsid w:val="00382B4E"/>
    <w:rsid w:val="003842B7"/>
    <w:rsid w:val="00384505"/>
    <w:rsid w:val="003849A6"/>
    <w:rsid w:val="00384A60"/>
    <w:rsid w:val="00384DA0"/>
    <w:rsid w:val="003851E6"/>
    <w:rsid w:val="00385486"/>
    <w:rsid w:val="003854AD"/>
    <w:rsid w:val="00385FCD"/>
    <w:rsid w:val="003864B0"/>
    <w:rsid w:val="003867F4"/>
    <w:rsid w:val="00386F92"/>
    <w:rsid w:val="003875F3"/>
    <w:rsid w:val="00387838"/>
    <w:rsid w:val="0039024B"/>
    <w:rsid w:val="0039094F"/>
    <w:rsid w:val="00390FE2"/>
    <w:rsid w:val="00391887"/>
    <w:rsid w:val="00392164"/>
    <w:rsid w:val="00392A0D"/>
    <w:rsid w:val="0039324C"/>
    <w:rsid w:val="00393293"/>
    <w:rsid w:val="003938A6"/>
    <w:rsid w:val="0039392B"/>
    <w:rsid w:val="00393B85"/>
    <w:rsid w:val="00393E6D"/>
    <w:rsid w:val="003947D2"/>
    <w:rsid w:val="0039486B"/>
    <w:rsid w:val="00394984"/>
    <w:rsid w:val="0039498E"/>
    <w:rsid w:val="00395890"/>
    <w:rsid w:val="0039591E"/>
    <w:rsid w:val="003971FE"/>
    <w:rsid w:val="0039741D"/>
    <w:rsid w:val="00397B74"/>
    <w:rsid w:val="00397ED1"/>
    <w:rsid w:val="003A10B4"/>
    <w:rsid w:val="003A1328"/>
    <w:rsid w:val="003A1E9A"/>
    <w:rsid w:val="003A22F7"/>
    <w:rsid w:val="003A30C3"/>
    <w:rsid w:val="003A31B6"/>
    <w:rsid w:val="003A395A"/>
    <w:rsid w:val="003A3D69"/>
    <w:rsid w:val="003A3DF7"/>
    <w:rsid w:val="003A40DA"/>
    <w:rsid w:val="003A4E2D"/>
    <w:rsid w:val="003A56B4"/>
    <w:rsid w:val="003A5964"/>
    <w:rsid w:val="003A5B29"/>
    <w:rsid w:val="003A65BB"/>
    <w:rsid w:val="003A6AE1"/>
    <w:rsid w:val="003A6C10"/>
    <w:rsid w:val="003A6C85"/>
    <w:rsid w:val="003B09EF"/>
    <w:rsid w:val="003B0D96"/>
    <w:rsid w:val="003B0F42"/>
    <w:rsid w:val="003B158A"/>
    <w:rsid w:val="003B19EC"/>
    <w:rsid w:val="003B1A04"/>
    <w:rsid w:val="003B259F"/>
    <w:rsid w:val="003B269D"/>
    <w:rsid w:val="003B30D2"/>
    <w:rsid w:val="003B3150"/>
    <w:rsid w:val="003B3E7C"/>
    <w:rsid w:val="003B4356"/>
    <w:rsid w:val="003B44B1"/>
    <w:rsid w:val="003B44E6"/>
    <w:rsid w:val="003B5DAF"/>
    <w:rsid w:val="003B608E"/>
    <w:rsid w:val="003B69FF"/>
    <w:rsid w:val="003B6AFB"/>
    <w:rsid w:val="003B705A"/>
    <w:rsid w:val="003B7848"/>
    <w:rsid w:val="003B7E69"/>
    <w:rsid w:val="003C09D0"/>
    <w:rsid w:val="003C0BCC"/>
    <w:rsid w:val="003C2330"/>
    <w:rsid w:val="003C2F62"/>
    <w:rsid w:val="003C327E"/>
    <w:rsid w:val="003C344F"/>
    <w:rsid w:val="003C3CE7"/>
    <w:rsid w:val="003C3E86"/>
    <w:rsid w:val="003C4155"/>
    <w:rsid w:val="003C4167"/>
    <w:rsid w:val="003C4656"/>
    <w:rsid w:val="003C57AB"/>
    <w:rsid w:val="003C5D69"/>
    <w:rsid w:val="003C61FF"/>
    <w:rsid w:val="003C66AC"/>
    <w:rsid w:val="003C6A0B"/>
    <w:rsid w:val="003C738C"/>
    <w:rsid w:val="003C73A2"/>
    <w:rsid w:val="003C776E"/>
    <w:rsid w:val="003C7B7B"/>
    <w:rsid w:val="003C7BFB"/>
    <w:rsid w:val="003D09C9"/>
    <w:rsid w:val="003D0A9D"/>
    <w:rsid w:val="003D144C"/>
    <w:rsid w:val="003D2DA0"/>
    <w:rsid w:val="003D2DE1"/>
    <w:rsid w:val="003D30BF"/>
    <w:rsid w:val="003D39F4"/>
    <w:rsid w:val="003D4035"/>
    <w:rsid w:val="003D4159"/>
    <w:rsid w:val="003D42C6"/>
    <w:rsid w:val="003D453D"/>
    <w:rsid w:val="003D4A9D"/>
    <w:rsid w:val="003D4AB2"/>
    <w:rsid w:val="003D4FB5"/>
    <w:rsid w:val="003D5A43"/>
    <w:rsid w:val="003D6EA1"/>
    <w:rsid w:val="003D72C0"/>
    <w:rsid w:val="003D7311"/>
    <w:rsid w:val="003D745B"/>
    <w:rsid w:val="003D77C7"/>
    <w:rsid w:val="003D7CA0"/>
    <w:rsid w:val="003E1AA1"/>
    <w:rsid w:val="003E2957"/>
    <w:rsid w:val="003E3741"/>
    <w:rsid w:val="003E40A3"/>
    <w:rsid w:val="003E42B5"/>
    <w:rsid w:val="003E4562"/>
    <w:rsid w:val="003E48EB"/>
    <w:rsid w:val="003E4E36"/>
    <w:rsid w:val="003E5C69"/>
    <w:rsid w:val="003E640B"/>
    <w:rsid w:val="003E68B2"/>
    <w:rsid w:val="003E6BA7"/>
    <w:rsid w:val="003E70F8"/>
    <w:rsid w:val="003E7EE4"/>
    <w:rsid w:val="003F06D9"/>
    <w:rsid w:val="003F08D5"/>
    <w:rsid w:val="003F0973"/>
    <w:rsid w:val="003F144A"/>
    <w:rsid w:val="003F1553"/>
    <w:rsid w:val="003F1A9E"/>
    <w:rsid w:val="003F1E69"/>
    <w:rsid w:val="003F2A75"/>
    <w:rsid w:val="003F2B4C"/>
    <w:rsid w:val="003F2C07"/>
    <w:rsid w:val="003F31B5"/>
    <w:rsid w:val="003F37DF"/>
    <w:rsid w:val="003F3921"/>
    <w:rsid w:val="003F4AD8"/>
    <w:rsid w:val="003F4AE9"/>
    <w:rsid w:val="003F4D70"/>
    <w:rsid w:val="003F552D"/>
    <w:rsid w:val="003F6078"/>
    <w:rsid w:val="003F6122"/>
    <w:rsid w:val="003F6FFC"/>
    <w:rsid w:val="003F7904"/>
    <w:rsid w:val="00400477"/>
    <w:rsid w:val="00400ECD"/>
    <w:rsid w:val="00402396"/>
    <w:rsid w:val="00403722"/>
    <w:rsid w:val="00403CCF"/>
    <w:rsid w:val="00404046"/>
    <w:rsid w:val="00405049"/>
    <w:rsid w:val="0040505B"/>
    <w:rsid w:val="0040544A"/>
    <w:rsid w:val="00405D8B"/>
    <w:rsid w:val="00406555"/>
    <w:rsid w:val="00406617"/>
    <w:rsid w:val="00406844"/>
    <w:rsid w:val="00406CA9"/>
    <w:rsid w:val="00407DE3"/>
    <w:rsid w:val="00407E90"/>
    <w:rsid w:val="004104EA"/>
    <w:rsid w:val="00410793"/>
    <w:rsid w:val="00410C4B"/>
    <w:rsid w:val="00411601"/>
    <w:rsid w:val="004118FD"/>
    <w:rsid w:val="004120E7"/>
    <w:rsid w:val="0041255B"/>
    <w:rsid w:val="0041258E"/>
    <w:rsid w:val="0041268F"/>
    <w:rsid w:val="00412A4B"/>
    <w:rsid w:val="00412CB0"/>
    <w:rsid w:val="00413398"/>
    <w:rsid w:val="004138EE"/>
    <w:rsid w:val="00413A39"/>
    <w:rsid w:val="0041411C"/>
    <w:rsid w:val="00414B1E"/>
    <w:rsid w:val="00414F14"/>
    <w:rsid w:val="00415A33"/>
    <w:rsid w:val="00416BE0"/>
    <w:rsid w:val="00417304"/>
    <w:rsid w:val="004177D4"/>
    <w:rsid w:val="00417C14"/>
    <w:rsid w:val="00417E8E"/>
    <w:rsid w:val="004206F1"/>
    <w:rsid w:val="0042083C"/>
    <w:rsid w:val="00420D62"/>
    <w:rsid w:val="00421A42"/>
    <w:rsid w:val="0042202E"/>
    <w:rsid w:val="004229A0"/>
    <w:rsid w:val="00423252"/>
    <w:rsid w:val="004232A6"/>
    <w:rsid w:val="0042381E"/>
    <w:rsid w:val="00423D0E"/>
    <w:rsid w:val="0042401A"/>
    <w:rsid w:val="004249A0"/>
    <w:rsid w:val="00424DA9"/>
    <w:rsid w:val="00424DF7"/>
    <w:rsid w:val="004252CC"/>
    <w:rsid w:val="004254C8"/>
    <w:rsid w:val="0042557E"/>
    <w:rsid w:val="004255B4"/>
    <w:rsid w:val="00425B3D"/>
    <w:rsid w:val="00425DB3"/>
    <w:rsid w:val="00426666"/>
    <w:rsid w:val="00426BB6"/>
    <w:rsid w:val="00426C46"/>
    <w:rsid w:val="004279D6"/>
    <w:rsid w:val="00427CF8"/>
    <w:rsid w:val="00430011"/>
    <w:rsid w:val="00431A81"/>
    <w:rsid w:val="00431FEA"/>
    <w:rsid w:val="004323AC"/>
    <w:rsid w:val="0043241D"/>
    <w:rsid w:val="004325FB"/>
    <w:rsid w:val="00432677"/>
    <w:rsid w:val="004329F3"/>
    <w:rsid w:val="00432A1D"/>
    <w:rsid w:val="00432F7F"/>
    <w:rsid w:val="00432F82"/>
    <w:rsid w:val="00433943"/>
    <w:rsid w:val="004348B2"/>
    <w:rsid w:val="004348C2"/>
    <w:rsid w:val="00434EE7"/>
    <w:rsid w:val="004350E0"/>
    <w:rsid w:val="00435218"/>
    <w:rsid w:val="004358AF"/>
    <w:rsid w:val="00436DF4"/>
    <w:rsid w:val="00437035"/>
    <w:rsid w:val="00437B56"/>
    <w:rsid w:val="00437FA1"/>
    <w:rsid w:val="0044043A"/>
    <w:rsid w:val="0044087D"/>
    <w:rsid w:val="00440CDF"/>
    <w:rsid w:val="00440FB8"/>
    <w:rsid w:val="0044133D"/>
    <w:rsid w:val="00441490"/>
    <w:rsid w:val="004419C8"/>
    <w:rsid w:val="00441D1B"/>
    <w:rsid w:val="00441DCD"/>
    <w:rsid w:val="00443468"/>
    <w:rsid w:val="00443611"/>
    <w:rsid w:val="004436A0"/>
    <w:rsid w:val="00444FDF"/>
    <w:rsid w:val="004454AC"/>
    <w:rsid w:val="004463D6"/>
    <w:rsid w:val="00446941"/>
    <w:rsid w:val="00446AC6"/>
    <w:rsid w:val="00446DE7"/>
    <w:rsid w:val="00447076"/>
    <w:rsid w:val="004478D7"/>
    <w:rsid w:val="004501E1"/>
    <w:rsid w:val="00450EBA"/>
    <w:rsid w:val="00450EDE"/>
    <w:rsid w:val="00451046"/>
    <w:rsid w:val="00451B23"/>
    <w:rsid w:val="00451C92"/>
    <w:rsid w:val="00451CA2"/>
    <w:rsid w:val="004523AA"/>
    <w:rsid w:val="00452B39"/>
    <w:rsid w:val="00452E67"/>
    <w:rsid w:val="00452F10"/>
    <w:rsid w:val="00453D99"/>
    <w:rsid w:val="00453EA6"/>
    <w:rsid w:val="00454069"/>
    <w:rsid w:val="00454524"/>
    <w:rsid w:val="004547CC"/>
    <w:rsid w:val="004549A5"/>
    <w:rsid w:val="00454ADE"/>
    <w:rsid w:val="00455046"/>
    <w:rsid w:val="004555F7"/>
    <w:rsid w:val="00455D77"/>
    <w:rsid w:val="00455F6D"/>
    <w:rsid w:val="00455F78"/>
    <w:rsid w:val="0045627C"/>
    <w:rsid w:val="00456B2D"/>
    <w:rsid w:val="00457439"/>
    <w:rsid w:val="00457C36"/>
    <w:rsid w:val="00457F78"/>
    <w:rsid w:val="00460671"/>
    <w:rsid w:val="00461154"/>
    <w:rsid w:val="00461796"/>
    <w:rsid w:val="00461AF2"/>
    <w:rsid w:val="00461B88"/>
    <w:rsid w:val="00464227"/>
    <w:rsid w:val="00464519"/>
    <w:rsid w:val="00464706"/>
    <w:rsid w:val="00464D42"/>
    <w:rsid w:val="0046548B"/>
    <w:rsid w:val="004656BC"/>
    <w:rsid w:val="00465E97"/>
    <w:rsid w:val="00466104"/>
    <w:rsid w:val="0046640B"/>
    <w:rsid w:val="00467263"/>
    <w:rsid w:val="00467631"/>
    <w:rsid w:val="0046776F"/>
    <w:rsid w:val="00470402"/>
    <w:rsid w:val="0047074B"/>
    <w:rsid w:val="004707D5"/>
    <w:rsid w:val="00471266"/>
    <w:rsid w:val="004717AF"/>
    <w:rsid w:val="004722C1"/>
    <w:rsid w:val="004725DE"/>
    <w:rsid w:val="00473C95"/>
    <w:rsid w:val="004742EE"/>
    <w:rsid w:val="00474CEA"/>
    <w:rsid w:val="00474D77"/>
    <w:rsid w:val="00474E36"/>
    <w:rsid w:val="00475024"/>
    <w:rsid w:val="0047508B"/>
    <w:rsid w:val="0047570F"/>
    <w:rsid w:val="00475A8D"/>
    <w:rsid w:val="004762D4"/>
    <w:rsid w:val="0047631F"/>
    <w:rsid w:val="004764EA"/>
    <w:rsid w:val="004767A3"/>
    <w:rsid w:val="004768C5"/>
    <w:rsid w:val="00477528"/>
    <w:rsid w:val="004775AF"/>
    <w:rsid w:val="00477A4F"/>
    <w:rsid w:val="0048064E"/>
    <w:rsid w:val="00480826"/>
    <w:rsid w:val="00480997"/>
    <w:rsid w:val="00480A90"/>
    <w:rsid w:val="00480B88"/>
    <w:rsid w:val="00480CAE"/>
    <w:rsid w:val="00481059"/>
    <w:rsid w:val="0048136A"/>
    <w:rsid w:val="00481C64"/>
    <w:rsid w:val="00481D20"/>
    <w:rsid w:val="004827A2"/>
    <w:rsid w:val="00482D1B"/>
    <w:rsid w:val="00482E19"/>
    <w:rsid w:val="004831C7"/>
    <w:rsid w:val="004832A3"/>
    <w:rsid w:val="00483601"/>
    <w:rsid w:val="00484167"/>
    <w:rsid w:val="00484601"/>
    <w:rsid w:val="00484965"/>
    <w:rsid w:val="00484F9F"/>
    <w:rsid w:val="00485726"/>
    <w:rsid w:val="0048590C"/>
    <w:rsid w:val="00485980"/>
    <w:rsid w:val="00485FFF"/>
    <w:rsid w:val="004869D7"/>
    <w:rsid w:val="00486A87"/>
    <w:rsid w:val="00486D26"/>
    <w:rsid w:val="00486FC6"/>
    <w:rsid w:val="00487140"/>
    <w:rsid w:val="004872A2"/>
    <w:rsid w:val="004875E1"/>
    <w:rsid w:val="0048783E"/>
    <w:rsid w:val="00487B47"/>
    <w:rsid w:val="00487B53"/>
    <w:rsid w:val="00487DBC"/>
    <w:rsid w:val="004902B9"/>
    <w:rsid w:val="004911EF"/>
    <w:rsid w:val="00491C46"/>
    <w:rsid w:val="00491C5B"/>
    <w:rsid w:val="00491D68"/>
    <w:rsid w:val="00491F33"/>
    <w:rsid w:val="0049201A"/>
    <w:rsid w:val="00492093"/>
    <w:rsid w:val="004921FC"/>
    <w:rsid w:val="00492499"/>
    <w:rsid w:val="00492753"/>
    <w:rsid w:val="004929B2"/>
    <w:rsid w:val="00492E78"/>
    <w:rsid w:val="0049355A"/>
    <w:rsid w:val="004936B6"/>
    <w:rsid w:val="00493721"/>
    <w:rsid w:val="00493D66"/>
    <w:rsid w:val="00493DBA"/>
    <w:rsid w:val="00494022"/>
    <w:rsid w:val="0049421A"/>
    <w:rsid w:val="00494ACC"/>
    <w:rsid w:val="00494B40"/>
    <w:rsid w:val="004962BE"/>
    <w:rsid w:val="004963A8"/>
    <w:rsid w:val="00496786"/>
    <w:rsid w:val="00496C5D"/>
    <w:rsid w:val="00496F02"/>
    <w:rsid w:val="00497006"/>
    <w:rsid w:val="00497468"/>
    <w:rsid w:val="004A0831"/>
    <w:rsid w:val="004A0D06"/>
    <w:rsid w:val="004A0EF6"/>
    <w:rsid w:val="004A11C6"/>
    <w:rsid w:val="004A2EEF"/>
    <w:rsid w:val="004A306C"/>
    <w:rsid w:val="004A3DF0"/>
    <w:rsid w:val="004A4305"/>
    <w:rsid w:val="004A451A"/>
    <w:rsid w:val="004A49A5"/>
    <w:rsid w:val="004A5CCA"/>
    <w:rsid w:val="004A6170"/>
    <w:rsid w:val="004A63FB"/>
    <w:rsid w:val="004A6D2E"/>
    <w:rsid w:val="004A73CB"/>
    <w:rsid w:val="004A799B"/>
    <w:rsid w:val="004A7B37"/>
    <w:rsid w:val="004B0500"/>
    <w:rsid w:val="004B187C"/>
    <w:rsid w:val="004B2353"/>
    <w:rsid w:val="004B2409"/>
    <w:rsid w:val="004B2AC9"/>
    <w:rsid w:val="004B2BF7"/>
    <w:rsid w:val="004B33AD"/>
    <w:rsid w:val="004B33DB"/>
    <w:rsid w:val="004B340F"/>
    <w:rsid w:val="004B3722"/>
    <w:rsid w:val="004B4483"/>
    <w:rsid w:val="004B4A81"/>
    <w:rsid w:val="004B5A63"/>
    <w:rsid w:val="004B5CCA"/>
    <w:rsid w:val="004B6090"/>
    <w:rsid w:val="004B60EC"/>
    <w:rsid w:val="004B6257"/>
    <w:rsid w:val="004B6350"/>
    <w:rsid w:val="004B66A1"/>
    <w:rsid w:val="004B69EA"/>
    <w:rsid w:val="004B7057"/>
    <w:rsid w:val="004B790C"/>
    <w:rsid w:val="004C019A"/>
    <w:rsid w:val="004C07B2"/>
    <w:rsid w:val="004C0B8F"/>
    <w:rsid w:val="004C0EDA"/>
    <w:rsid w:val="004C103F"/>
    <w:rsid w:val="004C1116"/>
    <w:rsid w:val="004C1368"/>
    <w:rsid w:val="004C279E"/>
    <w:rsid w:val="004C292E"/>
    <w:rsid w:val="004C2AB5"/>
    <w:rsid w:val="004C2F0D"/>
    <w:rsid w:val="004C38CD"/>
    <w:rsid w:val="004C535A"/>
    <w:rsid w:val="004C585E"/>
    <w:rsid w:val="004C5EEE"/>
    <w:rsid w:val="004C6DF3"/>
    <w:rsid w:val="004C6E11"/>
    <w:rsid w:val="004C6E53"/>
    <w:rsid w:val="004C6F0F"/>
    <w:rsid w:val="004C764B"/>
    <w:rsid w:val="004C76AE"/>
    <w:rsid w:val="004D1143"/>
    <w:rsid w:val="004D1283"/>
    <w:rsid w:val="004D1DF5"/>
    <w:rsid w:val="004D1E3D"/>
    <w:rsid w:val="004D2148"/>
    <w:rsid w:val="004D227D"/>
    <w:rsid w:val="004D26E3"/>
    <w:rsid w:val="004D3179"/>
    <w:rsid w:val="004D3A5D"/>
    <w:rsid w:val="004D4452"/>
    <w:rsid w:val="004D488A"/>
    <w:rsid w:val="004D4BA8"/>
    <w:rsid w:val="004D4D94"/>
    <w:rsid w:val="004D52B0"/>
    <w:rsid w:val="004D5F3E"/>
    <w:rsid w:val="004D64F5"/>
    <w:rsid w:val="004D6FAA"/>
    <w:rsid w:val="004D716E"/>
    <w:rsid w:val="004D7401"/>
    <w:rsid w:val="004E092B"/>
    <w:rsid w:val="004E0938"/>
    <w:rsid w:val="004E2704"/>
    <w:rsid w:val="004E2963"/>
    <w:rsid w:val="004E2A64"/>
    <w:rsid w:val="004E2B43"/>
    <w:rsid w:val="004E30DB"/>
    <w:rsid w:val="004E30E5"/>
    <w:rsid w:val="004E3160"/>
    <w:rsid w:val="004E3B30"/>
    <w:rsid w:val="004E3FE7"/>
    <w:rsid w:val="004E42DA"/>
    <w:rsid w:val="004E4943"/>
    <w:rsid w:val="004E4CAE"/>
    <w:rsid w:val="004E5077"/>
    <w:rsid w:val="004E54C6"/>
    <w:rsid w:val="004E5BD4"/>
    <w:rsid w:val="004E5D6A"/>
    <w:rsid w:val="004E6256"/>
    <w:rsid w:val="004E673E"/>
    <w:rsid w:val="004E68CA"/>
    <w:rsid w:val="004E6A10"/>
    <w:rsid w:val="004E75C6"/>
    <w:rsid w:val="004E7BE3"/>
    <w:rsid w:val="004F0409"/>
    <w:rsid w:val="004F1180"/>
    <w:rsid w:val="004F19C8"/>
    <w:rsid w:val="004F1DA6"/>
    <w:rsid w:val="004F1E02"/>
    <w:rsid w:val="004F2189"/>
    <w:rsid w:val="004F24E7"/>
    <w:rsid w:val="004F2595"/>
    <w:rsid w:val="004F3090"/>
    <w:rsid w:val="004F38F2"/>
    <w:rsid w:val="004F3C38"/>
    <w:rsid w:val="004F4494"/>
    <w:rsid w:val="004F4765"/>
    <w:rsid w:val="004F4C98"/>
    <w:rsid w:val="004F4DC4"/>
    <w:rsid w:val="004F4EBA"/>
    <w:rsid w:val="004F5293"/>
    <w:rsid w:val="004F6CB0"/>
    <w:rsid w:val="004F6D81"/>
    <w:rsid w:val="004F6ECF"/>
    <w:rsid w:val="004F75E5"/>
    <w:rsid w:val="00500896"/>
    <w:rsid w:val="00500CDA"/>
    <w:rsid w:val="0050102A"/>
    <w:rsid w:val="0050183A"/>
    <w:rsid w:val="00501F23"/>
    <w:rsid w:val="005020A7"/>
    <w:rsid w:val="0050211C"/>
    <w:rsid w:val="0050225B"/>
    <w:rsid w:val="00502ED8"/>
    <w:rsid w:val="0050339E"/>
    <w:rsid w:val="00503716"/>
    <w:rsid w:val="00503A6D"/>
    <w:rsid w:val="00504390"/>
    <w:rsid w:val="0050491B"/>
    <w:rsid w:val="00504B8E"/>
    <w:rsid w:val="005051B0"/>
    <w:rsid w:val="0050570A"/>
    <w:rsid w:val="00505FBF"/>
    <w:rsid w:val="00505FD2"/>
    <w:rsid w:val="00506113"/>
    <w:rsid w:val="0050613C"/>
    <w:rsid w:val="005062CF"/>
    <w:rsid w:val="005065B2"/>
    <w:rsid w:val="00506F59"/>
    <w:rsid w:val="00510E39"/>
    <w:rsid w:val="0051160F"/>
    <w:rsid w:val="0051166D"/>
    <w:rsid w:val="00511BAD"/>
    <w:rsid w:val="00511E21"/>
    <w:rsid w:val="00511E73"/>
    <w:rsid w:val="00511E82"/>
    <w:rsid w:val="00513250"/>
    <w:rsid w:val="005134E6"/>
    <w:rsid w:val="005136FE"/>
    <w:rsid w:val="00514004"/>
    <w:rsid w:val="00514BD4"/>
    <w:rsid w:val="00515350"/>
    <w:rsid w:val="00515439"/>
    <w:rsid w:val="0051558F"/>
    <w:rsid w:val="005161B4"/>
    <w:rsid w:val="00516429"/>
    <w:rsid w:val="00517406"/>
    <w:rsid w:val="0052097B"/>
    <w:rsid w:val="00520F4D"/>
    <w:rsid w:val="0052316F"/>
    <w:rsid w:val="00523246"/>
    <w:rsid w:val="00524329"/>
    <w:rsid w:val="00524C84"/>
    <w:rsid w:val="0052543A"/>
    <w:rsid w:val="0052641A"/>
    <w:rsid w:val="0052668E"/>
    <w:rsid w:val="00526FA7"/>
    <w:rsid w:val="00527405"/>
    <w:rsid w:val="00527E49"/>
    <w:rsid w:val="00530308"/>
    <w:rsid w:val="0053046B"/>
    <w:rsid w:val="005309AD"/>
    <w:rsid w:val="00530E51"/>
    <w:rsid w:val="00531B57"/>
    <w:rsid w:val="00532267"/>
    <w:rsid w:val="00532BAA"/>
    <w:rsid w:val="00532C1C"/>
    <w:rsid w:val="00532C60"/>
    <w:rsid w:val="005330FF"/>
    <w:rsid w:val="0053404D"/>
    <w:rsid w:val="00534623"/>
    <w:rsid w:val="00534903"/>
    <w:rsid w:val="00534C8A"/>
    <w:rsid w:val="0053610A"/>
    <w:rsid w:val="00536FA1"/>
    <w:rsid w:val="00537386"/>
    <w:rsid w:val="00537491"/>
    <w:rsid w:val="005374C2"/>
    <w:rsid w:val="00537C12"/>
    <w:rsid w:val="00541315"/>
    <w:rsid w:val="0054219F"/>
    <w:rsid w:val="005425AD"/>
    <w:rsid w:val="00543DA1"/>
    <w:rsid w:val="005451A5"/>
    <w:rsid w:val="00545307"/>
    <w:rsid w:val="005454BE"/>
    <w:rsid w:val="005454C1"/>
    <w:rsid w:val="00545576"/>
    <w:rsid w:val="00545701"/>
    <w:rsid w:val="0054592C"/>
    <w:rsid w:val="00545E74"/>
    <w:rsid w:val="00546880"/>
    <w:rsid w:val="00546DAA"/>
    <w:rsid w:val="00547245"/>
    <w:rsid w:val="005473D1"/>
    <w:rsid w:val="00547CEF"/>
    <w:rsid w:val="00547FAC"/>
    <w:rsid w:val="00550534"/>
    <w:rsid w:val="005513B6"/>
    <w:rsid w:val="005523F3"/>
    <w:rsid w:val="0055297C"/>
    <w:rsid w:val="0055348B"/>
    <w:rsid w:val="00553917"/>
    <w:rsid w:val="00553AE1"/>
    <w:rsid w:val="00553CBC"/>
    <w:rsid w:val="00553E91"/>
    <w:rsid w:val="0055413A"/>
    <w:rsid w:val="00554187"/>
    <w:rsid w:val="005548DE"/>
    <w:rsid w:val="00554A0A"/>
    <w:rsid w:val="00554B04"/>
    <w:rsid w:val="0055556B"/>
    <w:rsid w:val="0055583C"/>
    <w:rsid w:val="00555D0F"/>
    <w:rsid w:val="00555F32"/>
    <w:rsid w:val="0055606A"/>
    <w:rsid w:val="005568DE"/>
    <w:rsid w:val="00556B39"/>
    <w:rsid w:val="00557F41"/>
    <w:rsid w:val="00560D44"/>
    <w:rsid w:val="00560EC3"/>
    <w:rsid w:val="00560F0B"/>
    <w:rsid w:val="005617E8"/>
    <w:rsid w:val="00561B06"/>
    <w:rsid w:val="005623D1"/>
    <w:rsid w:val="00562543"/>
    <w:rsid w:val="00562699"/>
    <w:rsid w:val="00563A2E"/>
    <w:rsid w:val="00563B32"/>
    <w:rsid w:val="005642B8"/>
    <w:rsid w:val="00564A73"/>
    <w:rsid w:val="005661E6"/>
    <w:rsid w:val="00566A1B"/>
    <w:rsid w:val="00566C20"/>
    <w:rsid w:val="005673DC"/>
    <w:rsid w:val="005708EA"/>
    <w:rsid w:val="00570AAB"/>
    <w:rsid w:val="00570DB6"/>
    <w:rsid w:val="005713F6"/>
    <w:rsid w:val="00573050"/>
    <w:rsid w:val="00573159"/>
    <w:rsid w:val="00573643"/>
    <w:rsid w:val="00573666"/>
    <w:rsid w:val="00573713"/>
    <w:rsid w:val="00573F32"/>
    <w:rsid w:val="00573FF5"/>
    <w:rsid w:val="00574154"/>
    <w:rsid w:val="0057458B"/>
    <w:rsid w:val="00574597"/>
    <w:rsid w:val="005749CB"/>
    <w:rsid w:val="00574AD7"/>
    <w:rsid w:val="00574CEA"/>
    <w:rsid w:val="00574F8F"/>
    <w:rsid w:val="00575198"/>
    <w:rsid w:val="005752D6"/>
    <w:rsid w:val="00575843"/>
    <w:rsid w:val="00576793"/>
    <w:rsid w:val="0057796E"/>
    <w:rsid w:val="00577979"/>
    <w:rsid w:val="00577A8C"/>
    <w:rsid w:val="00577FAB"/>
    <w:rsid w:val="00577FB2"/>
    <w:rsid w:val="00577FDE"/>
    <w:rsid w:val="00580C1F"/>
    <w:rsid w:val="0058140F"/>
    <w:rsid w:val="005815E6"/>
    <w:rsid w:val="005817C2"/>
    <w:rsid w:val="00581826"/>
    <w:rsid w:val="00581A72"/>
    <w:rsid w:val="00581DB8"/>
    <w:rsid w:val="005821B7"/>
    <w:rsid w:val="005821F8"/>
    <w:rsid w:val="00582735"/>
    <w:rsid w:val="00582CDF"/>
    <w:rsid w:val="00583150"/>
    <w:rsid w:val="005833CF"/>
    <w:rsid w:val="005835DB"/>
    <w:rsid w:val="005842D7"/>
    <w:rsid w:val="00584707"/>
    <w:rsid w:val="00585413"/>
    <w:rsid w:val="00585D73"/>
    <w:rsid w:val="00585E8C"/>
    <w:rsid w:val="0058613B"/>
    <w:rsid w:val="00586A65"/>
    <w:rsid w:val="00586CDD"/>
    <w:rsid w:val="00587074"/>
    <w:rsid w:val="005874B2"/>
    <w:rsid w:val="005879C4"/>
    <w:rsid w:val="00587F44"/>
    <w:rsid w:val="005901D9"/>
    <w:rsid w:val="005902B0"/>
    <w:rsid w:val="00591CE7"/>
    <w:rsid w:val="005921ED"/>
    <w:rsid w:val="00592A96"/>
    <w:rsid w:val="005935DC"/>
    <w:rsid w:val="005946A1"/>
    <w:rsid w:val="0059533E"/>
    <w:rsid w:val="00595686"/>
    <w:rsid w:val="005956B0"/>
    <w:rsid w:val="005963E6"/>
    <w:rsid w:val="00596471"/>
    <w:rsid w:val="005977EA"/>
    <w:rsid w:val="00597C1A"/>
    <w:rsid w:val="00597CEB"/>
    <w:rsid w:val="00597EF7"/>
    <w:rsid w:val="005A0724"/>
    <w:rsid w:val="005A08B9"/>
    <w:rsid w:val="005A0F8B"/>
    <w:rsid w:val="005A1733"/>
    <w:rsid w:val="005A1F15"/>
    <w:rsid w:val="005A20DD"/>
    <w:rsid w:val="005A2614"/>
    <w:rsid w:val="005A318E"/>
    <w:rsid w:val="005A31A5"/>
    <w:rsid w:val="005A31FF"/>
    <w:rsid w:val="005A32BD"/>
    <w:rsid w:val="005A3C3D"/>
    <w:rsid w:val="005A3CAE"/>
    <w:rsid w:val="005A421F"/>
    <w:rsid w:val="005A44B3"/>
    <w:rsid w:val="005A4D40"/>
    <w:rsid w:val="005A4F89"/>
    <w:rsid w:val="005A583A"/>
    <w:rsid w:val="005A5CE0"/>
    <w:rsid w:val="005A61D9"/>
    <w:rsid w:val="005A6301"/>
    <w:rsid w:val="005A702B"/>
    <w:rsid w:val="005A73BD"/>
    <w:rsid w:val="005A7B61"/>
    <w:rsid w:val="005B005F"/>
    <w:rsid w:val="005B0E9A"/>
    <w:rsid w:val="005B1533"/>
    <w:rsid w:val="005B2A18"/>
    <w:rsid w:val="005B2C1E"/>
    <w:rsid w:val="005B3664"/>
    <w:rsid w:val="005B3E6A"/>
    <w:rsid w:val="005B400B"/>
    <w:rsid w:val="005B4232"/>
    <w:rsid w:val="005B4311"/>
    <w:rsid w:val="005B4665"/>
    <w:rsid w:val="005B4B4E"/>
    <w:rsid w:val="005B50DA"/>
    <w:rsid w:val="005B56FF"/>
    <w:rsid w:val="005B5A10"/>
    <w:rsid w:val="005B5AC6"/>
    <w:rsid w:val="005B613A"/>
    <w:rsid w:val="005B6B1A"/>
    <w:rsid w:val="005B7B20"/>
    <w:rsid w:val="005B7C0A"/>
    <w:rsid w:val="005B7EA8"/>
    <w:rsid w:val="005C0434"/>
    <w:rsid w:val="005C14F2"/>
    <w:rsid w:val="005C2B3B"/>
    <w:rsid w:val="005C2D40"/>
    <w:rsid w:val="005C301D"/>
    <w:rsid w:val="005C4E87"/>
    <w:rsid w:val="005C502D"/>
    <w:rsid w:val="005C5BC9"/>
    <w:rsid w:val="005C5C31"/>
    <w:rsid w:val="005C6435"/>
    <w:rsid w:val="005C6483"/>
    <w:rsid w:val="005C6491"/>
    <w:rsid w:val="005C663A"/>
    <w:rsid w:val="005C7F71"/>
    <w:rsid w:val="005D018C"/>
    <w:rsid w:val="005D03C0"/>
    <w:rsid w:val="005D0D59"/>
    <w:rsid w:val="005D1930"/>
    <w:rsid w:val="005D24B1"/>
    <w:rsid w:val="005D35B9"/>
    <w:rsid w:val="005D35BB"/>
    <w:rsid w:val="005D3B06"/>
    <w:rsid w:val="005D3C28"/>
    <w:rsid w:val="005D3CDF"/>
    <w:rsid w:val="005D499D"/>
    <w:rsid w:val="005D4BF0"/>
    <w:rsid w:val="005D4E02"/>
    <w:rsid w:val="005D5009"/>
    <w:rsid w:val="005D5C04"/>
    <w:rsid w:val="005D5F8C"/>
    <w:rsid w:val="005D751B"/>
    <w:rsid w:val="005D7AB6"/>
    <w:rsid w:val="005D7B32"/>
    <w:rsid w:val="005D7B4E"/>
    <w:rsid w:val="005E0264"/>
    <w:rsid w:val="005E0BF0"/>
    <w:rsid w:val="005E0DA9"/>
    <w:rsid w:val="005E0EA7"/>
    <w:rsid w:val="005E177B"/>
    <w:rsid w:val="005E1B09"/>
    <w:rsid w:val="005E1EE2"/>
    <w:rsid w:val="005E2478"/>
    <w:rsid w:val="005E2E09"/>
    <w:rsid w:val="005E2EB8"/>
    <w:rsid w:val="005E3023"/>
    <w:rsid w:val="005E34AA"/>
    <w:rsid w:val="005E3548"/>
    <w:rsid w:val="005E390A"/>
    <w:rsid w:val="005E3C16"/>
    <w:rsid w:val="005E3F63"/>
    <w:rsid w:val="005E47E0"/>
    <w:rsid w:val="005E4B96"/>
    <w:rsid w:val="005E4CCD"/>
    <w:rsid w:val="005E4EFD"/>
    <w:rsid w:val="005E5C98"/>
    <w:rsid w:val="005E62EA"/>
    <w:rsid w:val="005E6667"/>
    <w:rsid w:val="005E7111"/>
    <w:rsid w:val="005E7334"/>
    <w:rsid w:val="005E75AD"/>
    <w:rsid w:val="005E76AA"/>
    <w:rsid w:val="005E77E0"/>
    <w:rsid w:val="005E7B30"/>
    <w:rsid w:val="005E7EAB"/>
    <w:rsid w:val="005F0AAA"/>
    <w:rsid w:val="005F0BA7"/>
    <w:rsid w:val="005F0F95"/>
    <w:rsid w:val="005F1197"/>
    <w:rsid w:val="005F1BEF"/>
    <w:rsid w:val="005F1D5C"/>
    <w:rsid w:val="005F1E70"/>
    <w:rsid w:val="005F2719"/>
    <w:rsid w:val="005F2A75"/>
    <w:rsid w:val="005F35BE"/>
    <w:rsid w:val="005F3E3C"/>
    <w:rsid w:val="005F3FC2"/>
    <w:rsid w:val="005F3FD1"/>
    <w:rsid w:val="005F40DE"/>
    <w:rsid w:val="005F42B8"/>
    <w:rsid w:val="005F437F"/>
    <w:rsid w:val="005F45C1"/>
    <w:rsid w:val="005F49B7"/>
    <w:rsid w:val="005F4C90"/>
    <w:rsid w:val="005F5B08"/>
    <w:rsid w:val="005F5BCB"/>
    <w:rsid w:val="005F6BF8"/>
    <w:rsid w:val="005F723D"/>
    <w:rsid w:val="005F7B35"/>
    <w:rsid w:val="005F7C0C"/>
    <w:rsid w:val="005F7C15"/>
    <w:rsid w:val="005F7C64"/>
    <w:rsid w:val="005F7F1D"/>
    <w:rsid w:val="006003F9"/>
    <w:rsid w:val="00600608"/>
    <w:rsid w:val="00601136"/>
    <w:rsid w:val="006022AF"/>
    <w:rsid w:val="006031F0"/>
    <w:rsid w:val="0060327F"/>
    <w:rsid w:val="006038B6"/>
    <w:rsid w:val="00603A4F"/>
    <w:rsid w:val="00604BFF"/>
    <w:rsid w:val="00605239"/>
    <w:rsid w:val="006055E5"/>
    <w:rsid w:val="006057ED"/>
    <w:rsid w:val="00605A78"/>
    <w:rsid w:val="00606CF4"/>
    <w:rsid w:val="00607B04"/>
    <w:rsid w:val="00607B85"/>
    <w:rsid w:val="00607FC4"/>
    <w:rsid w:val="006100C7"/>
    <w:rsid w:val="006102F3"/>
    <w:rsid w:val="0061054D"/>
    <w:rsid w:val="00610937"/>
    <w:rsid w:val="00610D6B"/>
    <w:rsid w:val="00610F0A"/>
    <w:rsid w:val="00611300"/>
    <w:rsid w:val="00611860"/>
    <w:rsid w:val="00611B2B"/>
    <w:rsid w:val="00611D8B"/>
    <w:rsid w:val="006136A7"/>
    <w:rsid w:val="00613CC7"/>
    <w:rsid w:val="00613D70"/>
    <w:rsid w:val="00614032"/>
    <w:rsid w:val="00614592"/>
    <w:rsid w:val="00614B5E"/>
    <w:rsid w:val="00614E0A"/>
    <w:rsid w:val="0061566B"/>
    <w:rsid w:val="00615703"/>
    <w:rsid w:val="00615B77"/>
    <w:rsid w:val="00616208"/>
    <w:rsid w:val="0061674D"/>
    <w:rsid w:val="00616ACC"/>
    <w:rsid w:val="00616CF6"/>
    <w:rsid w:val="00617602"/>
    <w:rsid w:val="00617678"/>
    <w:rsid w:val="0062005A"/>
    <w:rsid w:val="00620179"/>
    <w:rsid w:val="006203F8"/>
    <w:rsid w:val="006218AA"/>
    <w:rsid w:val="0062232B"/>
    <w:rsid w:val="00622EA3"/>
    <w:rsid w:val="00623D4E"/>
    <w:rsid w:val="0062459F"/>
    <w:rsid w:val="00624BB6"/>
    <w:rsid w:val="0062565A"/>
    <w:rsid w:val="0062570C"/>
    <w:rsid w:val="00625D82"/>
    <w:rsid w:val="00626487"/>
    <w:rsid w:val="00627140"/>
    <w:rsid w:val="0062772E"/>
    <w:rsid w:val="00627753"/>
    <w:rsid w:val="006277C9"/>
    <w:rsid w:val="0062785B"/>
    <w:rsid w:val="0063168C"/>
    <w:rsid w:val="00631D19"/>
    <w:rsid w:val="006331D3"/>
    <w:rsid w:val="00633A2A"/>
    <w:rsid w:val="0063410A"/>
    <w:rsid w:val="006344D3"/>
    <w:rsid w:val="00634668"/>
    <w:rsid w:val="00634FD9"/>
    <w:rsid w:val="00635220"/>
    <w:rsid w:val="006357C0"/>
    <w:rsid w:val="00635856"/>
    <w:rsid w:val="00636C62"/>
    <w:rsid w:val="006370EF"/>
    <w:rsid w:val="00637B36"/>
    <w:rsid w:val="00637D56"/>
    <w:rsid w:val="00637EAF"/>
    <w:rsid w:val="00640492"/>
    <w:rsid w:val="0064063D"/>
    <w:rsid w:val="00641500"/>
    <w:rsid w:val="006416F0"/>
    <w:rsid w:val="0064177E"/>
    <w:rsid w:val="00641A3B"/>
    <w:rsid w:val="00641D14"/>
    <w:rsid w:val="00642D4A"/>
    <w:rsid w:val="00643607"/>
    <w:rsid w:val="00643852"/>
    <w:rsid w:val="00643D89"/>
    <w:rsid w:val="00644B50"/>
    <w:rsid w:val="00644C5E"/>
    <w:rsid w:val="006458EC"/>
    <w:rsid w:val="00645B77"/>
    <w:rsid w:val="00646741"/>
    <w:rsid w:val="0064675B"/>
    <w:rsid w:val="006469EF"/>
    <w:rsid w:val="00646C78"/>
    <w:rsid w:val="00646D40"/>
    <w:rsid w:val="00646E3E"/>
    <w:rsid w:val="0064714E"/>
    <w:rsid w:val="006479C0"/>
    <w:rsid w:val="00647B71"/>
    <w:rsid w:val="00650A07"/>
    <w:rsid w:val="00650AE8"/>
    <w:rsid w:val="00650B04"/>
    <w:rsid w:val="00650D79"/>
    <w:rsid w:val="00651784"/>
    <w:rsid w:val="00651AB7"/>
    <w:rsid w:val="00651B01"/>
    <w:rsid w:val="00652400"/>
    <w:rsid w:val="0065246E"/>
    <w:rsid w:val="00653FBD"/>
    <w:rsid w:val="0065442A"/>
    <w:rsid w:val="00654603"/>
    <w:rsid w:val="00654DE2"/>
    <w:rsid w:val="00654FD9"/>
    <w:rsid w:val="006550B8"/>
    <w:rsid w:val="006554D3"/>
    <w:rsid w:val="006563F9"/>
    <w:rsid w:val="00657801"/>
    <w:rsid w:val="00657902"/>
    <w:rsid w:val="00657A2E"/>
    <w:rsid w:val="00657C2C"/>
    <w:rsid w:val="006602BC"/>
    <w:rsid w:val="00660B83"/>
    <w:rsid w:val="00660EC0"/>
    <w:rsid w:val="00661EE2"/>
    <w:rsid w:val="0066229D"/>
    <w:rsid w:val="006629FC"/>
    <w:rsid w:val="00662E1A"/>
    <w:rsid w:val="00662EF7"/>
    <w:rsid w:val="006633E4"/>
    <w:rsid w:val="00663419"/>
    <w:rsid w:val="0066344B"/>
    <w:rsid w:val="00663B58"/>
    <w:rsid w:val="00663CEC"/>
    <w:rsid w:val="0066427F"/>
    <w:rsid w:val="00664561"/>
    <w:rsid w:val="00664B56"/>
    <w:rsid w:val="006651C7"/>
    <w:rsid w:val="00665EA8"/>
    <w:rsid w:val="006664E3"/>
    <w:rsid w:val="006666CC"/>
    <w:rsid w:val="00667547"/>
    <w:rsid w:val="00667728"/>
    <w:rsid w:val="0066777E"/>
    <w:rsid w:val="00667966"/>
    <w:rsid w:val="006703D0"/>
    <w:rsid w:val="00670A99"/>
    <w:rsid w:val="00670C4C"/>
    <w:rsid w:val="00670EC7"/>
    <w:rsid w:val="00671332"/>
    <w:rsid w:val="0067148C"/>
    <w:rsid w:val="006714D8"/>
    <w:rsid w:val="00671F71"/>
    <w:rsid w:val="00673927"/>
    <w:rsid w:val="00673A1A"/>
    <w:rsid w:val="00673D79"/>
    <w:rsid w:val="00673FB6"/>
    <w:rsid w:val="006744FF"/>
    <w:rsid w:val="00674ED0"/>
    <w:rsid w:val="006753FE"/>
    <w:rsid w:val="0067678F"/>
    <w:rsid w:val="00676AC2"/>
    <w:rsid w:val="006773B5"/>
    <w:rsid w:val="00677C1E"/>
    <w:rsid w:val="00680004"/>
    <w:rsid w:val="006801A8"/>
    <w:rsid w:val="00680578"/>
    <w:rsid w:val="00680701"/>
    <w:rsid w:val="0068073A"/>
    <w:rsid w:val="0068076A"/>
    <w:rsid w:val="00680C2A"/>
    <w:rsid w:val="006812CB"/>
    <w:rsid w:val="00681ABE"/>
    <w:rsid w:val="00682A07"/>
    <w:rsid w:val="00682C34"/>
    <w:rsid w:val="006830C7"/>
    <w:rsid w:val="00683234"/>
    <w:rsid w:val="00683656"/>
    <w:rsid w:val="00683914"/>
    <w:rsid w:val="006846B3"/>
    <w:rsid w:val="00684922"/>
    <w:rsid w:val="0068496D"/>
    <w:rsid w:val="006849DC"/>
    <w:rsid w:val="006849E3"/>
    <w:rsid w:val="006850F0"/>
    <w:rsid w:val="006857F7"/>
    <w:rsid w:val="0068686B"/>
    <w:rsid w:val="00686B72"/>
    <w:rsid w:val="0069084D"/>
    <w:rsid w:val="00690BF1"/>
    <w:rsid w:val="006911B2"/>
    <w:rsid w:val="0069148A"/>
    <w:rsid w:val="00691849"/>
    <w:rsid w:val="006920EE"/>
    <w:rsid w:val="00692187"/>
    <w:rsid w:val="0069294D"/>
    <w:rsid w:val="00692FBC"/>
    <w:rsid w:val="00693723"/>
    <w:rsid w:val="00693A53"/>
    <w:rsid w:val="00693E2F"/>
    <w:rsid w:val="006945BF"/>
    <w:rsid w:val="0069507A"/>
    <w:rsid w:val="006952CE"/>
    <w:rsid w:val="00696465"/>
    <w:rsid w:val="006970EF"/>
    <w:rsid w:val="0069743C"/>
    <w:rsid w:val="00697481"/>
    <w:rsid w:val="00697874"/>
    <w:rsid w:val="00697F98"/>
    <w:rsid w:val="006A0024"/>
    <w:rsid w:val="006A0171"/>
    <w:rsid w:val="006A04DF"/>
    <w:rsid w:val="006A06AB"/>
    <w:rsid w:val="006A0816"/>
    <w:rsid w:val="006A0993"/>
    <w:rsid w:val="006A0E04"/>
    <w:rsid w:val="006A216A"/>
    <w:rsid w:val="006A24FE"/>
    <w:rsid w:val="006A2DBE"/>
    <w:rsid w:val="006A34AA"/>
    <w:rsid w:val="006A35DF"/>
    <w:rsid w:val="006A3ABC"/>
    <w:rsid w:val="006A3BDA"/>
    <w:rsid w:val="006A4405"/>
    <w:rsid w:val="006A44DC"/>
    <w:rsid w:val="006A4E39"/>
    <w:rsid w:val="006A52F0"/>
    <w:rsid w:val="006A58AE"/>
    <w:rsid w:val="006A5AAF"/>
    <w:rsid w:val="006A6484"/>
    <w:rsid w:val="006A6C39"/>
    <w:rsid w:val="006A74EC"/>
    <w:rsid w:val="006A7677"/>
    <w:rsid w:val="006B116B"/>
    <w:rsid w:val="006B17D1"/>
    <w:rsid w:val="006B264D"/>
    <w:rsid w:val="006B297E"/>
    <w:rsid w:val="006B2B75"/>
    <w:rsid w:val="006B2BD0"/>
    <w:rsid w:val="006B2CE5"/>
    <w:rsid w:val="006B31B6"/>
    <w:rsid w:val="006B3212"/>
    <w:rsid w:val="006B39DC"/>
    <w:rsid w:val="006B3B61"/>
    <w:rsid w:val="006B446B"/>
    <w:rsid w:val="006B4D7B"/>
    <w:rsid w:val="006B538F"/>
    <w:rsid w:val="006B5659"/>
    <w:rsid w:val="006B5D0D"/>
    <w:rsid w:val="006B5DF2"/>
    <w:rsid w:val="006B6034"/>
    <w:rsid w:val="006B6116"/>
    <w:rsid w:val="006B635E"/>
    <w:rsid w:val="006B662F"/>
    <w:rsid w:val="006B7016"/>
    <w:rsid w:val="006B761C"/>
    <w:rsid w:val="006B767A"/>
    <w:rsid w:val="006B7DCC"/>
    <w:rsid w:val="006C0828"/>
    <w:rsid w:val="006C092A"/>
    <w:rsid w:val="006C1EED"/>
    <w:rsid w:val="006C223F"/>
    <w:rsid w:val="006C2319"/>
    <w:rsid w:val="006C240C"/>
    <w:rsid w:val="006C2418"/>
    <w:rsid w:val="006C264A"/>
    <w:rsid w:val="006C291D"/>
    <w:rsid w:val="006C2F2B"/>
    <w:rsid w:val="006C3D50"/>
    <w:rsid w:val="006C426F"/>
    <w:rsid w:val="006C4910"/>
    <w:rsid w:val="006C4B32"/>
    <w:rsid w:val="006C54F2"/>
    <w:rsid w:val="006C575A"/>
    <w:rsid w:val="006C5792"/>
    <w:rsid w:val="006C5FFD"/>
    <w:rsid w:val="006C6495"/>
    <w:rsid w:val="006C6844"/>
    <w:rsid w:val="006C7325"/>
    <w:rsid w:val="006C798C"/>
    <w:rsid w:val="006D1F2D"/>
    <w:rsid w:val="006D2079"/>
    <w:rsid w:val="006D2B0F"/>
    <w:rsid w:val="006D32DC"/>
    <w:rsid w:val="006D3C11"/>
    <w:rsid w:val="006D4A33"/>
    <w:rsid w:val="006D4E88"/>
    <w:rsid w:val="006D53FB"/>
    <w:rsid w:val="006D571B"/>
    <w:rsid w:val="006D5BA4"/>
    <w:rsid w:val="006D6B8C"/>
    <w:rsid w:val="006D75B5"/>
    <w:rsid w:val="006D77A3"/>
    <w:rsid w:val="006E0529"/>
    <w:rsid w:val="006E0689"/>
    <w:rsid w:val="006E0AC7"/>
    <w:rsid w:val="006E0AEB"/>
    <w:rsid w:val="006E13DB"/>
    <w:rsid w:val="006E15F1"/>
    <w:rsid w:val="006E28B6"/>
    <w:rsid w:val="006E2AF0"/>
    <w:rsid w:val="006E3537"/>
    <w:rsid w:val="006E3813"/>
    <w:rsid w:val="006E38FB"/>
    <w:rsid w:val="006E3C88"/>
    <w:rsid w:val="006E44E2"/>
    <w:rsid w:val="006E4546"/>
    <w:rsid w:val="006E46D9"/>
    <w:rsid w:val="006E473C"/>
    <w:rsid w:val="006E4C80"/>
    <w:rsid w:val="006E4CC4"/>
    <w:rsid w:val="006E4D0A"/>
    <w:rsid w:val="006E57C8"/>
    <w:rsid w:val="006E61D0"/>
    <w:rsid w:val="006E6510"/>
    <w:rsid w:val="006E65E3"/>
    <w:rsid w:val="006E675A"/>
    <w:rsid w:val="006E69FB"/>
    <w:rsid w:val="006E6E96"/>
    <w:rsid w:val="006E7703"/>
    <w:rsid w:val="006F07CB"/>
    <w:rsid w:val="006F088F"/>
    <w:rsid w:val="006F0B60"/>
    <w:rsid w:val="006F1199"/>
    <w:rsid w:val="006F14FE"/>
    <w:rsid w:val="006F18D3"/>
    <w:rsid w:val="006F2393"/>
    <w:rsid w:val="006F2410"/>
    <w:rsid w:val="006F2928"/>
    <w:rsid w:val="006F3077"/>
    <w:rsid w:val="006F3B69"/>
    <w:rsid w:val="006F3BA7"/>
    <w:rsid w:val="006F3BCD"/>
    <w:rsid w:val="006F3FE2"/>
    <w:rsid w:val="006F4288"/>
    <w:rsid w:val="006F4A34"/>
    <w:rsid w:val="006F4BCA"/>
    <w:rsid w:val="006F4D29"/>
    <w:rsid w:val="006F4F28"/>
    <w:rsid w:val="006F4FDD"/>
    <w:rsid w:val="006F543C"/>
    <w:rsid w:val="006F5997"/>
    <w:rsid w:val="006F5A5C"/>
    <w:rsid w:val="006F5B22"/>
    <w:rsid w:val="006F66B8"/>
    <w:rsid w:val="006F66F7"/>
    <w:rsid w:val="006F6A17"/>
    <w:rsid w:val="006F6C8A"/>
    <w:rsid w:val="006F6D11"/>
    <w:rsid w:val="006F749A"/>
    <w:rsid w:val="006F76E2"/>
    <w:rsid w:val="006F7C31"/>
    <w:rsid w:val="006F7CC3"/>
    <w:rsid w:val="0070002B"/>
    <w:rsid w:val="007008AB"/>
    <w:rsid w:val="00700AE6"/>
    <w:rsid w:val="007011FE"/>
    <w:rsid w:val="00701200"/>
    <w:rsid w:val="00701C45"/>
    <w:rsid w:val="00701C83"/>
    <w:rsid w:val="00701E67"/>
    <w:rsid w:val="007026AE"/>
    <w:rsid w:val="00702A55"/>
    <w:rsid w:val="00702A5D"/>
    <w:rsid w:val="007030FA"/>
    <w:rsid w:val="00703386"/>
    <w:rsid w:val="00703B41"/>
    <w:rsid w:val="00703E38"/>
    <w:rsid w:val="007046AB"/>
    <w:rsid w:val="007046F5"/>
    <w:rsid w:val="00705120"/>
    <w:rsid w:val="0070519C"/>
    <w:rsid w:val="00705263"/>
    <w:rsid w:val="0070563A"/>
    <w:rsid w:val="007059AE"/>
    <w:rsid w:val="00705A88"/>
    <w:rsid w:val="00705B90"/>
    <w:rsid w:val="00706436"/>
    <w:rsid w:val="00706757"/>
    <w:rsid w:val="0070728C"/>
    <w:rsid w:val="007072CE"/>
    <w:rsid w:val="00707A18"/>
    <w:rsid w:val="0071021E"/>
    <w:rsid w:val="00710942"/>
    <w:rsid w:val="00710A66"/>
    <w:rsid w:val="00710B54"/>
    <w:rsid w:val="00710D8A"/>
    <w:rsid w:val="00713AAF"/>
    <w:rsid w:val="00713E27"/>
    <w:rsid w:val="00714630"/>
    <w:rsid w:val="00714BA4"/>
    <w:rsid w:val="007150B9"/>
    <w:rsid w:val="00715BEF"/>
    <w:rsid w:val="00715E17"/>
    <w:rsid w:val="0071607F"/>
    <w:rsid w:val="00716269"/>
    <w:rsid w:val="00716C46"/>
    <w:rsid w:val="00717822"/>
    <w:rsid w:val="00717DD6"/>
    <w:rsid w:val="00720830"/>
    <w:rsid w:val="00721696"/>
    <w:rsid w:val="0072233D"/>
    <w:rsid w:val="00723218"/>
    <w:rsid w:val="00723657"/>
    <w:rsid w:val="00724297"/>
    <w:rsid w:val="0072477D"/>
    <w:rsid w:val="0072505B"/>
    <w:rsid w:val="007257B0"/>
    <w:rsid w:val="007257DB"/>
    <w:rsid w:val="00725FAB"/>
    <w:rsid w:val="007272ED"/>
    <w:rsid w:val="007273DD"/>
    <w:rsid w:val="00727441"/>
    <w:rsid w:val="0072795D"/>
    <w:rsid w:val="00727CB0"/>
    <w:rsid w:val="00730570"/>
    <w:rsid w:val="007305F0"/>
    <w:rsid w:val="00731EE6"/>
    <w:rsid w:val="00731F10"/>
    <w:rsid w:val="007325EB"/>
    <w:rsid w:val="00732873"/>
    <w:rsid w:val="00732A77"/>
    <w:rsid w:val="00733646"/>
    <w:rsid w:val="0073393E"/>
    <w:rsid w:val="007341AD"/>
    <w:rsid w:val="007356F4"/>
    <w:rsid w:val="00736340"/>
    <w:rsid w:val="00736400"/>
    <w:rsid w:val="00737279"/>
    <w:rsid w:val="0074015C"/>
    <w:rsid w:val="0074068F"/>
    <w:rsid w:val="00740D70"/>
    <w:rsid w:val="00741046"/>
    <w:rsid w:val="00741404"/>
    <w:rsid w:val="00741C01"/>
    <w:rsid w:val="007420C2"/>
    <w:rsid w:val="00742A0D"/>
    <w:rsid w:val="00743040"/>
    <w:rsid w:val="0074454B"/>
    <w:rsid w:val="00744976"/>
    <w:rsid w:val="00745246"/>
    <w:rsid w:val="00745741"/>
    <w:rsid w:val="00745972"/>
    <w:rsid w:val="00745A39"/>
    <w:rsid w:val="00745B5E"/>
    <w:rsid w:val="00745FC5"/>
    <w:rsid w:val="00746037"/>
    <w:rsid w:val="00746953"/>
    <w:rsid w:val="00746A57"/>
    <w:rsid w:val="00746AA4"/>
    <w:rsid w:val="00746B51"/>
    <w:rsid w:val="00746C92"/>
    <w:rsid w:val="00747231"/>
    <w:rsid w:val="00747F9E"/>
    <w:rsid w:val="00750916"/>
    <w:rsid w:val="00750B2C"/>
    <w:rsid w:val="00750CAD"/>
    <w:rsid w:val="00750CEF"/>
    <w:rsid w:val="0075129A"/>
    <w:rsid w:val="00751813"/>
    <w:rsid w:val="007528E8"/>
    <w:rsid w:val="00752CE5"/>
    <w:rsid w:val="00752F03"/>
    <w:rsid w:val="00753617"/>
    <w:rsid w:val="00753AA4"/>
    <w:rsid w:val="00753CFC"/>
    <w:rsid w:val="00753DE1"/>
    <w:rsid w:val="00753EE4"/>
    <w:rsid w:val="00754640"/>
    <w:rsid w:val="0075471E"/>
    <w:rsid w:val="00754995"/>
    <w:rsid w:val="00754C87"/>
    <w:rsid w:val="00754E00"/>
    <w:rsid w:val="007550BD"/>
    <w:rsid w:val="007561F4"/>
    <w:rsid w:val="0075628F"/>
    <w:rsid w:val="007564FB"/>
    <w:rsid w:val="00756E5C"/>
    <w:rsid w:val="007573F7"/>
    <w:rsid w:val="00757A4E"/>
    <w:rsid w:val="007606FA"/>
    <w:rsid w:val="0076125C"/>
    <w:rsid w:val="00761A47"/>
    <w:rsid w:val="00762716"/>
    <w:rsid w:val="00762FFF"/>
    <w:rsid w:val="0076313C"/>
    <w:rsid w:val="0076341D"/>
    <w:rsid w:val="00763B52"/>
    <w:rsid w:val="00763E66"/>
    <w:rsid w:val="00764555"/>
    <w:rsid w:val="00764593"/>
    <w:rsid w:val="007646BA"/>
    <w:rsid w:val="00765169"/>
    <w:rsid w:val="00765640"/>
    <w:rsid w:val="00765709"/>
    <w:rsid w:val="00765F07"/>
    <w:rsid w:val="007661F1"/>
    <w:rsid w:val="007668F4"/>
    <w:rsid w:val="0076767A"/>
    <w:rsid w:val="00767BF5"/>
    <w:rsid w:val="00767D8F"/>
    <w:rsid w:val="00771156"/>
    <w:rsid w:val="007713A4"/>
    <w:rsid w:val="0077152B"/>
    <w:rsid w:val="0077202F"/>
    <w:rsid w:val="007724AA"/>
    <w:rsid w:val="00772F8E"/>
    <w:rsid w:val="00772FA8"/>
    <w:rsid w:val="00773973"/>
    <w:rsid w:val="0077506B"/>
    <w:rsid w:val="0077511F"/>
    <w:rsid w:val="007753E4"/>
    <w:rsid w:val="007758F0"/>
    <w:rsid w:val="0077602A"/>
    <w:rsid w:val="00776629"/>
    <w:rsid w:val="00776790"/>
    <w:rsid w:val="0077690C"/>
    <w:rsid w:val="00776EDA"/>
    <w:rsid w:val="00777894"/>
    <w:rsid w:val="007808FC"/>
    <w:rsid w:val="00780F3C"/>
    <w:rsid w:val="00781110"/>
    <w:rsid w:val="0078179F"/>
    <w:rsid w:val="007817E1"/>
    <w:rsid w:val="0078267D"/>
    <w:rsid w:val="0078282D"/>
    <w:rsid w:val="00782DAD"/>
    <w:rsid w:val="007831BB"/>
    <w:rsid w:val="00783AFB"/>
    <w:rsid w:val="007849AB"/>
    <w:rsid w:val="00785112"/>
    <w:rsid w:val="0078586F"/>
    <w:rsid w:val="007862EA"/>
    <w:rsid w:val="0078661E"/>
    <w:rsid w:val="00787632"/>
    <w:rsid w:val="00787C38"/>
    <w:rsid w:val="00790289"/>
    <w:rsid w:val="00790557"/>
    <w:rsid w:val="00790A67"/>
    <w:rsid w:val="00790ADD"/>
    <w:rsid w:val="007916B1"/>
    <w:rsid w:val="0079213B"/>
    <w:rsid w:val="00792216"/>
    <w:rsid w:val="00792F80"/>
    <w:rsid w:val="00793176"/>
    <w:rsid w:val="00793371"/>
    <w:rsid w:val="00793B29"/>
    <w:rsid w:val="00793E89"/>
    <w:rsid w:val="00793FBD"/>
    <w:rsid w:val="007940A6"/>
    <w:rsid w:val="007940CE"/>
    <w:rsid w:val="00794AFF"/>
    <w:rsid w:val="00794E50"/>
    <w:rsid w:val="007955F5"/>
    <w:rsid w:val="00795B45"/>
    <w:rsid w:val="00795C85"/>
    <w:rsid w:val="0079666A"/>
    <w:rsid w:val="007966D7"/>
    <w:rsid w:val="00796ED5"/>
    <w:rsid w:val="00797991"/>
    <w:rsid w:val="007A03E0"/>
    <w:rsid w:val="007A057F"/>
    <w:rsid w:val="007A08E7"/>
    <w:rsid w:val="007A1760"/>
    <w:rsid w:val="007A1FB4"/>
    <w:rsid w:val="007A2169"/>
    <w:rsid w:val="007A2519"/>
    <w:rsid w:val="007A258C"/>
    <w:rsid w:val="007A260F"/>
    <w:rsid w:val="007A2D96"/>
    <w:rsid w:val="007A2DCC"/>
    <w:rsid w:val="007A30E2"/>
    <w:rsid w:val="007A317D"/>
    <w:rsid w:val="007A39BC"/>
    <w:rsid w:val="007A449B"/>
    <w:rsid w:val="007A588F"/>
    <w:rsid w:val="007A6189"/>
    <w:rsid w:val="007A6455"/>
    <w:rsid w:val="007A696C"/>
    <w:rsid w:val="007A6B7F"/>
    <w:rsid w:val="007A6C0A"/>
    <w:rsid w:val="007A6C48"/>
    <w:rsid w:val="007A6D82"/>
    <w:rsid w:val="007A77D6"/>
    <w:rsid w:val="007B243D"/>
    <w:rsid w:val="007B3039"/>
    <w:rsid w:val="007B3CA6"/>
    <w:rsid w:val="007B4463"/>
    <w:rsid w:val="007B48A5"/>
    <w:rsid w:val="007B4F4C"/>
    <w:rsid w:val="007B531D"/>
    <w:rsid w:val="007B6303"/>
    <w:rsid w:val="007B67AA"/>
    <w:rsid w:val="007B7813"/>
    <w:rsid w:val="007C0AD7"/>
    <w:rsid w:val="007C152D"/>
    <w:rsid w:val="007C15DE"/>
    <w:rsid w:val="007C17F2"/>
    <w:rsid w:val="007C1CEA"/>
    <w:rsid w:val="007C28EF"/>
    <w:rsid w:val="007C2C0D"/>
    <w:rsid w:val="007C2FD0"/>
    <w:rsid w:val="007C357D"/>
    <w:rsid w:val="007C3592"/>
    <w:rsid w:val="007C3662"/>
    <w:rsid w:val="007C3811"/>
    <w:rsid w:val="007C3E10"/>
    <w:rsid w:val="007C418B"/>
    <w:rsid w:val="007C4ADB"/>
    <w:rsid w:val="007C4F76"/>
    <w:rsid w:val="007C5332"/>
    <w:rsid w:val="007C55B3"/>
    <w:rsid w:val="007C59EB"/>
    <w:rsid w:val="007C5D10"/>
    <w:rsid w:val="007C5D13"/>
    <w:rsid w:val="007C5FF3"/>
    <w:rsid w:val="007C6DA5"/>
    <w:rsid w:val="007C6F06"/>
    <w:rsid w:val="007C7698"/>
    <w:rsid w:val="007C7E70"/>
    <w:rsid w:val="007C7E7A"/>
    <w:rsid w:val="007D0605"/>
    <w:rsid w:val="007D15D6"/>
    <w:rsid w:val="007D1AF3"/>
    <w:rsid w:val="007D1D5A"/>
    <w:rsid w:val="007D1DD1"/>
    <w:rsid w:val="007D490E"/>
    <w:rsid w:val="007D4D9E"/>
    <w:rsid w:val="007D4DD2"/>
    <w:rsid w:val="007D5294"/>
    <w:rsid w:val="007D52F3"/>
    <w:rsid w:val="007D5E7A"/>
    <w:rsid w:val="007D6069"/>
    <w:rsid w:val="007D6339"/>
    <w:rsid w:val="007D6346"/>
    <w:rsid w:val="007D68B5"/>
    <w:rsid w:val="007D6A44"/>
    <w:rsid w:val="007D6EB0"/>
    <w:rsid w:val="007D73A2"/>
    <w:rsid w:val="007D7ACD"/>
    <w:rsid w:val="007D7D73"/>
    <w:rsid w:val="007E018C"/>
    <w:rsid w:val="007E032D"/>
    <w:rsid w:val="007E0CDD"/>
    <w:rsid w:val="007E0FFE"/>
    <w:rsid w:val="007E1422"/>
    <w:rsid w:val="007E1B47"/>
    <w:rsid w:val="007E2472"/>
    <w:rsid w:val="007E24A0"/>
    <w:rsid w:val="007E396D"/>
    <w:rsid w:val="007E3A56"/>
    <w:rsid w:val="007E4736"/>
    <w:rsid w:val="007E528C"/>
    <w:rsid w:val="007E542C"/>
    <w:rsid w:val="007E5680"/>
    <w:rsid w:val="007E573B"/>
    <w:rsid w:val="007E6578"/>
    <w:rsid w:val="007E66D2"/>
    <w:rsid w:val="007E6A0D"/>
    <w:rsid w:val="007E7268"/>
    <w:rsid w:val="007E7648"/>
    <w:rsid w:val="007E7C0F"/>
    <w:rsid w:val="007F0179"/>
    <w:rsid w:val="007F03B8"/>
    <w:rsid w:val="007F066D"/>
    <w:rsid w:val="007F0B4B"/>
    <w:rsid w:val="007F110C"/>
    <w:rsid w:val="007F145D"/>
    <w:rsid w:val="007F22C7"/>
    <w:rsid w:val="007F271C"/>
    <w:rsid w:val="007F27AB"/>
    <w:rsid w:val="007F27B8"/>
    <w:rsid w:val="007F29CE"/>
    <w:rsid w:val="007F2BA5"/>
    <w:rsid w:val="007F2C64"/>
    <w:rsid w:val="007F397F"/>
    <w:rsid w:val="007F3F35"/>
    <w:rsid w:val="007F48D2"/>
    <w:rsid w:val="007F4AA9"/>
    <w:rsid w:val="007F4B5D"/>
    <w:rsid w:val="007F50D7"/>
    <w:rsid w:val="007F53CC"/>
    <w:rsid w:val="007F53D3"/>
    <w:rsid w:val="007F55B4"/>
    <w:rsid w:val="007F58CC"/>
    <w:rsid w:val="007F6125"/>
    <w:rsid w:val="007F6672"/>
    <w:rsid w:val="007F6BF2"/>
    <w:rsid w:val="007F6D4A"/>
    <w:rsid w:val="007F6F46"/>
    <w:rsid w:val="007F7AFE"/>
    <w:rsid w:val="0080025E"/>
    <w:rsid w:val="0080122B"/>
    <w:rsid w:val="00801341"/>
    <w:rsid w:val="00801548"/>
    <w:rsid w:val="008017DA"/>
    <w:rsid w:val="00802519"/>
    <w:rsid w:val="0080253B"/>
    <w:rsid w:val="0080281E"/>
    <w:rsid w:val="0080399E"/>
    <w:rsid w:val="008044EE"/>
    <w:rsid w:val="0080458C"/>
    <w:rsid w:val="008045FC"/>
    <w:rsid w:val="00804625"/>
    <w:rsid w:val="00805069"/>
    <w:rsid w:val="00805315"/>
    <w:rsid w:val="008066CB"/>
    <w:rsid w:val="008067C0"/>
    <w:rsid w:val="00806A50"/>
    <w:rsid w:val="00806B36"/>
    <w:rsid w:val="008078FD"/>
    <w:rsid w:val="00807906"/>
    <w:rsid w:val="008107D7"/>
    <w:rsid w:val="00810F03"/>
    <w:rsid w:val="0081125B"/>
    <w:rsid w:val="00811457"/>
    <w:rsid w:val="008114C5"/>
    <w:rsid w:val="008117A8"/>
    <w:rsid w:val="00811988"/>
    <w:rsid w:val="00811D5B"/>
    <w:rsid w:val="0081233E"/>
    <w:rsid w:val="00813EC5"/>
    <w:rsid w:val="00814A93"/>
    <w:rsid w:val="00814BDA"/>
    <w:rsid w:val="0081521B"/>
    <w:rsid w:val="008155AB"/>
    <w:rsid w:val="00815D77"/>
    <w:rsid w:val="00816007"/>
    <w:rsid w:val="00816677"/>
    <w:rsid w:val="00816E67"/>
    <w:rsid w:val="00817A01"/>
    <w:rsid w:val="00817B76"/>
    <w:rsid w:val="008220FF"/>
    <w:rsid w:val="00822258"/>
    <w:rsid w:val="0082243F"/>
    <w:rsid w:val="008225E3"/>
    <w:rsid w:val="008226AE"/>
    <w:rsid w:val="0082359F"/>
    <w:rsid w:val="0082376A"/>
    <w:rsid w:val="00823A78"/>
    <w:rsid w:val="00824407"/>
    <w:rsid w:val="00824751"/>
    <w:rsid w:val="00824807"/>
    <w:rsid w:val="00824C12"/>
    <w:rsid w:val="00824EB5"/>
    <w:rsid w:val="0082502C"/>
    <w:rsid w:val="0082544F"/>
    <w:rsid w:val="008258C6"/>
    <w:rsid w:val="008262F5"/>
    <w:rsid w:val="0082649A"/>
    <w:rsid w:val="0082676B"/>
    <w:rsid w:val="00826C46"/>
    <w:rsid w:val="00826D9D"/>
    <w:rsid w:val="00826DE4"/>
    <w:rsid w:val="008277C5"/>
    <w:rsid w:val="00827C82"/>
    <w:rsid w:val="008300F1"/>
    <w:rsid w:val="00830E20"/>
    <w:rsid w:val="00831497"/>
    <w:rsid w:val="00831BA4"/>
    <w:rsid w:val="0083220C"/>
    <w:rsid w:val="0083243F"/>
    <w:rsid w:val="0083289C"/>
    <w:rsid w:val="00832A25"/>
    <w:rsid w:val="00833154"/>
    <w:rsid w:val="008335A4"/>
    <w:rsid w:val="00833640"/>
    <w:rsid w:val="00833A60"/>
    <w:rsid w:val="0083490C"/>
    <w:rsid w:val="00834982"/>
    <w:rsid w:val="00834CCA"/>
    <w:rsid w:val="00834E34"/>
    <w:rsid w:val="008351A5"/>
    <w:rsid w:val="008353CC"/>
    <w:rsid w:val="008367AC"/>
    <w:rsid w:val="00836D1A"/>
    <w:rsid w:val="00836FED"/>
    <w:rsid w:val="00837D88"/>
    <w:rsid w:val="008404F9"/>
    <w:rsid w:val="0084262A"/>
    <w:rsid w:val="008427EF"/>
    <w:rsid w:val="00842A29"/>
    <w:rsid w:val="00842A37"/>
    <w:rsid w:val="00842FE4"/>
    <w:rsid w:val="008430FB"/>
    <w:rsid w:val="00843A11"/>
    <w:rsid w:val="00844C07"/>
    <w:rsid w:val="00844FB0"/>
    <w:rsid w:val="0084525A"/>
    <w:rsid w:val="00845B47"/>
    <w:rsid w:val="008460E3"/>
    <w:rsid w:val="008462DE"/>
    <w:rsid w:val="008462DF"/>
    <w:rsid w:val="008465BC"/>
    <w:rsid w:val="0084677D"/>
    <w:rsid w:val="00846D43"/>
    <w:rsid w:val="00846D47"/>
    <w:rsid w:val="00847065"/>
    <w:rsid w:val="00847194"/>
    <w:rsid w:val="00847FF8"/>
    <w:rsid w:val="00850196"/>
    <w:rsid w:val="008504C6"/>
    <w:rsid w:val="008508C9"/>
    <w:rsid w:val="008508D1"/>
    <w:rsid w:val="00850F0B"/>
    <w:rsid w:val="008510B2"/>
    <w:rsid w:val="00851161"/>
    <w:rsid w:val="00851540"/>
    <w:rsid w:val="00852CAF"/>
    <w:rsid w:val="00852F8D"/>
    <w:rsid w:val="0085326C"/>
    <w:rsid w:val="008533E2"/>
    <w:rsid w:val="00853633"/>
    <w:rsid w:val="00854F1B"/>
    <w:rsid w:val="0085529B"/>
    <w:rsid w:val="0085580B"/>
    <w:rsid w:val="008559C1"/>
    <w:rsid w:val="00855C54"/>
    <w:rsid w:val="008564CB"/>
    <w:rsid w:val="008569FE"/>
    <w:rsid w:val="00857B85"/>
    <w:rsid w:val="00861199"/>
    <w:rsid w:val="00861709"/>
    <w:rsid w:val="00861928"/>
    <w:rsid w:val="00861C09"/>
    <w:rsid w:val="00861CE2"/>
    <w:rsid w:val="00861CFB"/>
    <w:rsid w:val="00862230"/>
    <w:rsid w:val="00862765"/>
    <w:rsid w:val="00862BF3"/>
    <w:rsid w:val="00863725"/>
    <w:rsid w:val="00863C28"/>
    <w:rsid w:val="00863C66"/>
    <w:rsid w:val="008643CA"/>
    <w:rsid w:val="00864601"/>
    <w:rsid w:val="00864F25"/>
    <w:rsid w:val="00865808"/>
    <w:rsid w:val="008658DF"/>
    <w:rsid w:val="00865CC2"/>
    <w:rsid w:val="00865F5A"/>
    <w:rsid w:val="008664E8"/>
    <w:rsid w:val="00866991"/>
    <w:rsid w:val="00866CAE"/>
    <w:rsid w:val="00866CF8"/>
    <w:rsid w:val="008679F7"/>
    <w:rsid w:val="00867B1C"/>
    <w:rsid w:val="00867DEC"/>
    <w:rsid w:val="00867E04"/>
    <w:rsid w:val="00867E83"/>
    <w:rsid w:val="0087024B"/>
    <w:rsid w:val="008717F4"/>
    <w:rsid w:val="00871D2E"/>
    <w:rsid w:val="00872023"/>
    <w:rsid w:val="00872218"/>
    <w:rsid w:val="00872330"/>
    <w:rsid w:val="00872CA0"/>
    <w:rsid w:val="00872D2F"/>
    <w:rsid w:val="00872F0E"/>
    <w:rsid w:val="008732A5"/>
    <w:rsid w:val="008732F2"/>
    <w:rsid w:val="0087354C"/>
    <w:rsid w:val="008736AF"/>
    <w:rsid w:val="00873BAD"/>
    <w:rsid w:val="00873E22"/>
    <w:rsid w:val="00874553"/>
    <w:rsid w:val="008748C0"/>
    <w:rsid w:val="00874A32"/>
    <w:rsid w:val="00874B02"/>
    <w:rsid w:val="0087556A"/>
    <w:rsid w:val="008755E9"/>
    <w:rsid w:val="00875DE6"/>
    <w:rsid w:val="0087711B"/>
    <w:rsid w:val="008771D0"/>
    <w:rsid w:val="008778D3"/>
    <w:rsid w:val="00877B7D"/>
    <w:rsid w:val="00880918"/>
    <w:rsid w:val="00880AA8"/>
    <w:rsid w:val="00881B27"/>
    <w:rsid w:val="00881E1E"/>
    <w:rsid w:val="00882984"/>
    <w:rsid w:val="00882B46"/>
    <w:rsid w:val="00883912"/>
    <w:rsid w:val="00883AEC"/>
    <w:rsid w:val="00883FE2"/>
    <w:rsid w:val="00883FE7"/>
    <w:rsid w:val="008843D5"/>
    <w:rsid w:val="008846AB"/>
    <w:rsid w:val="0088488D"/>
    <w:rsid w:val="008858C8"/>
    <w:rsid w:val="00885B67"/>
    <w:rsid w:val="00885DA1"/>
    <w:rsid w:val="008862AD"/>
    <w:rsid w:val="0088778B"/>
    <w:rsid w:val="00887CD5"/>
    <w:rsid w:val="00887E0D"/>
    <w:rsid w:val="00887F1A"/>
    <w:rsid w:val="0089020C"/>
    <w:rsid w:val="00890D6C"/>
    <w:rsid w:val="008915DD"/>
    <w:rsid w:val="0089186B"/>
    <w:rsid w:val="008918A0"/>
    <w:rsid w:val="0089245E"/>
    <w:rsid w:val="00892F7D"/>
    <w:rsid w:val="008938C3"/>
    <w:rsid w:val="008939FF"/>
    <w:rsid w:val="00893A04"/>
    <w:rsid w:val="00893E01"/>
    <w:rsid w:val="0089456A"/>
    <w:rsid w:val="00894C8B"/>
    <w:rsid w:val="0089555E"/>
    <w:rsid w:val="00896E97"/>
    <w:rsid w:val="008973ED"/>
    <w:rsid w:val="00897817"/>
    <w:rsid w:val="00897A90"/>
    <w:rsid w:val="008A0747"/>
    <w:rsid w:val="008A120F"/>
    <w:rsid w:val="008A1FFF"/>
    <w:rsid w:val="008A2439"/>
    <w:rsid w:val="008A245C"/>
    <w:rsid w:val="008A276B"/>
    <w:rsid w:val="008A28A2"/>
    <w:rsid w:val="008A2997"/>
    <w:rsid w:val="008A3974"/>
    <w:rsid w:val="008A57DE"/>
    <w:rsid w:val="008A5887"/>
    <w:rsid w:val="008A5B6F"/>
    <w:rsid w:val="008A5C18"/>
    <w:rsid w:val="008A5D2C"/>
    <w:rsid w:val="008A5F2F"/>
    <w:rsid w:val="008A6058"/>
    <w:rsid w:val="008A6A56"/>
    <w:rsid w:val="008A6D9E"/>
    <w:rsid w:val="008A7188"/>
    <w:rsid w:val="008A7327"/>
    <w:rsid w:val="008A753D"/>
    <w:rsid w:val="008A75A3"/>
    <w:rsid w:val="008A798C"/>
    <w:rsid w:val="008B14EC"/>
    <w:rsid w:val="008B228F"/>
    <w:rsid w:val="008B2777"/>
    <w:rsid w:val="008B343A"/>
    <w:rsid w:val="008B4076"/>
    <w:rsid w:val="008B4356"/>
    <w:rsid w:val="008B4C2B"/>
    <w:rsid w:val="008B4DD3"/>
    <w:rsid w:val="008B52C4"/>
    <w:rsid w:val="008B7056"/>
    <w:rsid w:val="008C0182"/>
    <w:rsid w:val="008C045B"/>
    <w:rsid w:val="008C04E6"/>
    <w:rsid w:val="008C1BAE"/>
    <w:rsid w:val="008C2B2F"/>
    <w:rsid w:val="008C31E3"/>
    <w:rsid w:val="008C3217"/>
    <w:rsid w:val="008C3B57"/>
    <w:rsid w:val="008C3C07"/>
    <w:rsid w:val="008C42BC"/>
    <w:rsid w:val="008C4764"/>
    <w:rsid w:val="008C5396"/>
    <w:rsid w:val="008C5B47"/>
    <w:rsid w:val="008C5C08"/>
    <w:rsid w:val="008C5C35"/>
    <w:rsid w:val="008C60D9"/>
    <w:rsid w:val="008C793D"/>
    <w:rsid w:val="008C7E67"/>
    <w:rsid w:val="008C7E98"/>
    <w:rsid w:val="008D06F0"/>
    <w:rsid w:val="008D0FA1"/>
    <w:rsid w:val="008D1121"/>
    <w:rsid w:val="008D3134"/>
    <w:rsid w:val="008D34CA"/>
    <w:rsid w:val="008D3834"/>
    <w:rsid w:val="008D39B9"/>
    <w:rsid w:val="008D4838"/>
    <w:rsid w:val="008D48C2"/>
    <w:rsid w:val="008D4BD6"/>
    <w:rsid w:val="008D4FB0"/>
    <w:rsid w:val="008D560A"/>
    <w:rsid w:val="008D695A"/>
    <w:rsid w:val="008D6D28"/>
    <w:rsid w:val="008D75ED"/>
    <w:rsid w:val="008D7F92"/>
    <w:rsid w:val="008E01C5"/>
    <w:rsid w:val="008E1A4E"/>
    <w:rsid w:val="008E1C43"/>
    <w:rsid w:val="008E241B"/>
    <w:rsid w:val="008E250A"/>
    <w:rsid w:val="008E2C2D"/>
    <w:rsid w:val="008E2FC7"/>
    <w:rsid w:val="008E342A"/>
    <w:rsid w:val="008E36AC"/>
    <w:rsid w:val="008E3CB8"/>
    <w:rsid w:val="008E459A"/>
    <w:rsid w:val="008E4ECC"/>
    <w:rsid w:val="008E54E5"/>
    <w:rsid w:val="008E577C"/>
    <w:rsid w:val="008E5AFB"/>
    <w:rsid w:val="008E630C"/>
    <w:rsid w:val="008E6661"/>
    <w:rsid w:val="008E67DF"/>
    <w:rsid w:val="008E72ED"/>
    <w:rsid w:val="008E7874"/>
    <w:rsid w:val="008E7C40"/>
    <w:rsid w:val="008F0029"/>
    <w:rsid w:val="008F002A"/>
    <w:rsid w:val="008F003E"/>
    <w:rsid w:val="008F03E3"/>
    <w:rsid w:val="008F0569"/>
    <w:rsid w:val="008F0BAD"/>
    <w:rsid w:val="008F0EF7"/>
    <w:rsid w:val="008F100B"/>
    <w:rsid w:val="008F13AE"/>
    <w:rsid w:val="008F157F"/>
    <w:rsid w:val="008F16D3"/>
    <w:rsid w:val="008F17EE"/>
    <w:rsid w:val="008F1865"/>
    <w:rsid w:val="008F1C94"/>
    <w:rsid w:val="008F3340"/>
    <w:rsid w:val="008F34A7"/>
    <w:rsid w:val="008F37B5"/>
    <w:rsid w:val="008F4F8A"/>
    <w:rsid w:val="008F584A"/>
    <w:rsid w:val="008F6281"/>
    <w:rsid w:val="008F6945"/>
    <w:rsid w:val="008F69FA"/>
    <w:rsid w:val="008F6D56"/>
    <w:rsid w:val="008F6F94"/>
    <w:rsid w:val="00900956"/>
    <w:rsid w:val="00900B95"/>
    <w:rsid w:val="009010B7"/>
    <w:rsid w:val="009010ED"/>
    <w:rsid w:val="0090110F"/>
    <w:rsid w:val="009012FA"/>
    <w:rsid w:val="00901C92"/>
    <w:rsid w:val="00902013"/>
    <w:rsid w:val="009022B1"/>
    <w:rsid w:val="0090249D"/>
    <w:rsid w:val="00902850"/>
    <w:rsid w:val="00902ACE"/>
    <w:rsid w:val="00902B5D"/>
    <w:rsid w:val="00902EB3"/>
    <w:rsid w:val="009032AE"/>
    <w:rsid w:val="0090354E"/>
    <w:rsid w:val="00903CEE"/>
    <w:rsid w:val="009050EC"/>
    <w:rsid w:val="00905AD3"/>
    <w:rsid w:val="009060A0"/>
    <w:rsid w:val="009060D1"/>
    <w:rsid w:val="00906118"/>
    <w:rsid w:val="009063C4"/>
    <w:rsid w:val="00906524"/>
    <w:rsid w:val="009069B4"/>
    <w:rsid w:val="00906B20"/>
    <w:rsid w:val="00907115"/>
    <w:rsid w:val="009076A5"/>
    <w:rsid w:val="00907C3C"/>
    <w:rsid w:val="00907CFD"/>
    <w:rsid w:val="00911957"/>
    <w:rsid w:val="0091376A"/>
    <w:rsid w:val="00914803"/>
    <w:rsid w:val="00915236"/>
    <w:rsid w:val="00915639"/>
    <w:rsid w:val="009156A6"/>
    <w:rsid w:val="009156C1"/>
    <w:rsid w:val="009159D9"/>
    <w:rsid w:val="00915A9D"/>
    <w:rsid w:val="009163D3"/>
    <w:rsid w:val="009164E0"/>
    <w:rsid w:val="00916AEC"/>
    <w:rsid w:val="00916D2A"/>
    <w:rsid w:val="009171A3"/>
    <w:rsid w:val="00917483"/>
    <w:rsid w:val="00917754"/>
    <w:rsid w:val="00917833"/>
    <w:rsid w:val="00917E80"/>
    <w:rsid w:val="00917F22"/>
    <w:rsid w:val="00917F4C"/>
    <w:rsid w:val="00917FD7"/>
    <w:rsid w:val="009207AF"/>
    <w:rsid w:val="00920DC8"/>
    <w:rsid w:val="00921845"/>
    <w:rsid w:val="00921A1B"/>
    <w:rsid w:val="0092239E"/>
    <w:rsid w:val="00923A55"/>
    <w:rsid w:val="00923AF5"/>
    <w:rsid w:val="00923C63"/>
    <w:rsid w:val="00923D41"/>
    <w:rsid w:val="00923FEA"/>
    <w:rsid w:val="00924178"/>
    <w:rsid w:val="00924241"/>
    <w:rsid w:val="009243D1"/>
    <w:rsid w:val="00925B17"/>
    <w:rsid w:val="00926BD9"/>
    <w:rsid w:val="00926C2F"/>
    <w:rsid w:val="00926F3C"/>
    <w:rsid w:val="00927175"/>
    <w:rsid w:val="009273C8"/>
    <w:rsid w:val="00927814"/>
    <w:rsid w:val="00927F17"/>
    <w:rsid w:val="009306CB"/>
    <w:rsid w:val="0093155F"/>
    <w:rsid w:val="00932606"/>
    <w:rsid w:val="0093274D"/>
    <w:rsid w:val="00932A73"/>
    <w:rsid w:val="00932D6F"/>
    <w:rsid w:val="009336C7"/>
    <w:rsid w:val="00933B1B"/>
    <w:rsid w:val="00933FD9"/>
    <w:rsid w:val="009344F8"/>
    <w:rsid w:val="0093475E"/>
    <w:rsid w:val="00934B99"/>
    <w:rsid w:val="00935028"/>
    <w:rsid w:val="00935331"/>
    <w:rsid w:val="00935498"/>
    <w:rsid w:val="00935DA2"/>
    <w:rsid w:val="0093635A"/>
    <w:rsid w:val="0093665C"/>
    <w:rsid w:val="009367CF"/>
    <w:rsid w:val="0093706C"/>
    <w:rsid w:val="009377EF"/>
    <w:rsid w:val="0094033B"/>
    <w:rsid w:val="00941324"/>
    <w:rsid w:val="00941849"/>
    <w:rsid w:val="009421D9"/>
    <w:rsid w:val="00942362"/>
    <w:rsid w:val="00942FFB"/>
    <w:rsid w:val="00943000"/>
    <w:rsid w:val="00943474"/>
    <w:rsid w:val="00943CCE"/>
    <w:rsid w:val="00943FC9"/>
    <w:rsid w:val="00944E5F"/>
    <w:rsid w:val="00945C5D"/>
    <w:rsid w:val="009469DC"/>
    <w:rsid w:val="009473B8"/>
    <w:rsid w:val="00947732"/>
    <w:rsid w:val="009477C6"/>
    <w:rsid w:val="009479FB"/>
    <w:rsid w:val="00947B9C"/>
    <w:rsid w:val="00950569"/>
    <w:rsid w:val="0095078D"/>
    <w:rsid w:val="00950BDF"/>
    <w:rsid w:val="0095116B"/>
    <w:rsid w:val="009513FD"/>
    <w:rsid w:val="00951ACD"/>
    <w:rsid w:val="009523FB"/>
    <w:rsid w:val="0095287D"/>
    <w:rsid w:val="00952DD0"/>
    <w:rsid w:val="0095318D"/>
    <w:rsid w:val="009533F1"/>
    <w:rsid w:val="0095361E"/>
    <w:rsid w:val="00953762"/>
    <w:rsid w:val="00953D5D"/>
    <w:rsid w:val="009540F2"/>
    <w:rsid w:val="009542A1"/>
    <w:rsid w:val="00954B65"/>
    <w:rsid w:val="00954C45"/>
    <w:rsid w:val="0095542C"/>
    <w:rsid w:val="00955983"/>
    <w:rsid w:val="009559C1"/>
    <w:rsid w:val="00955CC9"/>
    <w:rsid w:val="009563F2"/>
    <w:rsid w:val="00956A55"/>
    <w:rsid w:val="009570EC"/>
    <w:rsid w:val="00957812"/>
    <w:rsid w:val="0095798F"/>
    <w:rsid w:val="00957B23"/>
    <w:rsid w:val="0096185D"/>
    <w:rsid w:val="00961D70"/>
    <w:rsid w:val="00961F37"/>
    <w:rsid w:val="009620DA"/>
    <w:rsid w:val="0096231A"/>
    <w:rsid w:val="00962C93"/>
    <w:rsid w:val="00964076"/>
    <w:rsid w:val="0096442C"/>
    <w:rsid w:val="00964654"/>
    <w:rsid w:val="0096465F"/>
    <w:rsid w:val="00964C1D"/>
    <w:rsid w:val="00964E26"/>
    <w:rsid w:val="0096501B"/>
    <w:rsid w:val="009656C1"/>
    <w:rsid w:val="00965891"/>
    <w:rsid w:val="0096593A"/>
    <w:rsid w:val="00966208"/>
    <w:rsid w:val="00966B2F"/>
    <w:rsid w:val="00967007"/>
    <w:rsid w:val="009672E1"/>
    <w:rsid w:val="00967552"/>
    <w:rsid w:val="009676B2"/>
    <w:rsid w:val="00967F94"/>
    <w:rsid w:val="00970503"/>
    <w:rsid w:val="00971BA3"/>
    <w:rsid w:val="00971E89"/>
    <w:rsid w:val="00972824"/>
    <w:rsid w:val="00972B9F"/>
    <w:rsid w:val="009737C4"/>
    <w:rsid w:val="00974B34"/>
    <w:rsid w:val="00975505"/>
    <w:rsid w:val="00975C8D"/>
    <w:rsid w:val="00975E9C"/>
    <w:rsid w:val="00975F73"/>
    <w:rsid w:val="00976FFE"/>
    <w:rsid w:val="0097718D"/>
    <w:rsid w:val="00977558"/>
    <w:rsid w:val="0097767A"/>
    <w:rsid w:val="00977903"/>
    <w:rsid w:val="0097795F"/>
    <w:rsid w:val="009802B8"/>
    <w:rsid w:val="00980441"/>
    <w:rsid w:val="009815DE"/>
    <w:rsid w:val="00981958"/>
    <w:rsid w:val="00982060"/>
    <w:rsid w:val="009820E2"/>
    <w:rsid w:val="0098272A"/>
    <w:rsid w:val="00982A33"/>
    <w:rsid w:val="00982D0F"/>
    <w:rsid w:val="00983581"/>
    <w:rsid w:val="009839D1"/>
    <w:rsid w:val="00983AAC"/>
    <w:rsid w:val="00984F78"/>
    <w:rsid w:val="00985119"/>
    <w:rsid w:val="00985301"/>
    <w:rsid w:val="00985BC3"/>
    <w:rsid w:val="00985E0A"/>
    <w:rsid w:val="00986632"/>
    <w:rsid w:val="00986C84"/>
    <w:rsid w:val="00986D4F"/>
    <w:rsid w:val="00987F1F"/>
    <w:rsid w:val="00990F81"/>
    <w:rsid w:val="00991222"/>
    <w:rsid w:val="0099180F"/>
    <w:rsid w:val="00991C70"/>
    <w:rsid w:val="00992121"/>
    <w:rsid w:val="009926DF"/>
    <w:rsid w:val="009928AF"/>
    <w:rsid w:val="00992AA2"/>
    <w:rsid w:val="00992BB6"/>
    <w:rsid w:val="00993346"/>
    <w:rsid w:val="00993907"/>
    <w:rsid w:val="00993C57"/>
    <w:rsid w:val="00993E64"/>
    <w:rsid w:val="00993F0F"/>
    <w:rsid w:val="00994322"/>
    <w:rsid w:val="00994D80"/>
    <w:rsid w:val="009950E9"/>
    <w:rsid w:val="00995492"/>
    <w:rsid w:val="00995C85"/>
    <w:rsid w:val="00996475"/>
    <w:rsid w:val="00996D30"/>
    <w:rsid w:val="0099722B"/>
    <w:rsid w:val="0099724B"/>
    <w:rsid w:val="00997BEE"/>
    <w:rsid w:val="009A100A"/>
    <w:rsid w:val="009A1044"/>
    <w:rsid w:val="009A17BD"/>
    <w:rsid w:val="009A1C32"/>
    <w:rsid w:val="009A26E3"/>
    <w:rsid w:val="009A2A21"/>
    <w:rsid w:val="009A4E45"/>
    <w:rsid w:val="009A4F3B"/>
    <w:rsid w:val="009A54E8"/>
    <w:rsid w:val="009A59B5"/>
    <w:rsid w:val="009A5FFF"/>
    <w:rsid w:val="009A7385"/>
    <w:rsid w:val="009A7F51"/>
    <w:rsid w:val="009B0AAE"/>
    <w:rsid w:val="009B0D84"/>
    <w:rsid w:val="009B0E96"/>
    <w:rsid w:val="009B100B"/>
    <w:rsid w:val="009B125A"/>
    <w:rsid w:val="009B15F0"/>
    <w:rsid w:val="009B2016"/>
    <w:rsid w:val="009B21BF"/>
    <w:rsid w:val="009B23A5"/>
    <w:rsid w:val="009B295B"/>
    <w:rsid w:val="009B2BFA"/>
    <w:rsid w:val="009B33EC"/>
    <w:rsid w:val="009B3C04"/>
    <w:rsid w:val="009B40ED"/>
    <w:rsid w:val="009B474B"/>
    <w:rsid w:val="009B4978"/>
    <w:rsid w:val="009B4C79"/>
    <w:rsid w:val="009B4F5F"/>
    <w:rsid w:val="009B4F8C"/>
    <w:rsid w:val="009B502E"/>
    <w:rsid w:val="009B5040"/>
    <w:rsid w:val="009B5161"/>
    <w:rsid w:val="009B55DC"/>
    <w:rsid w:val="009B565B"/>
    <w:rsid w:val="009B5742"/>
    <w:rsid w:val="009B5F37"/>
    <w:rsid w:val="009B6038"/>
    <w:rsid w:val="009B64B7"/>
    <w:rsid w:val="009B69A3"/>
    <w:rsid w:val="009B7388"/>
    <w:rsid w:val="009B7C70"/>
    <w:rsid w:val="009C0BEB"/>
    <w:rsid w:val="009C0D2B"/>
    <w:rsid w:val="009C12B1"/>
    <w:rsid w:val="009C1521"/>
    <w:rsid w:val="009C18F3"/>
    <w:rsid w:val="009C1CA8"/>
    <w:rsid w:val="009C1EE6"/>
    <w:rsid w:val="009C2EFA"/>
    <w:rsid w:val="009C3172"/>
    <w:rsid w:val="009C346F"/>
    <w:rsid w:val="009C5F54"/>
    <w:rsid w:val="009C6CF2"/>
    <w:rsid w:val="009C7531"/>
    <w:rsid w:val="009C7A36"/>
    <w:rsid w:val="009C7A47"/>
    <w:rsid w:val="009D0257"/>
    <w:rsid w:val="009D0976"/>
    <w:rsid w:val="009D0981"/>
    <w:rsid w:val="009D0E79"/>
    <w:rsid w:val="009D0F62"/>
    <w:rsid w:val="009D1773"/>
    <w:rsid w:val="009D182C"/>
    <w:rsid w:val="009D1847"/>
    <w:rsid w:val="009D1BEE"/>
    <w:rsid w:val="009D21F6"/>
    <w:rsid w:val="009D2E65"/>
    <w:rsid w:val="009D39D2"/>
    <w:rsid w:val="009D3F87"/>
    <w:rsid w:val="009D40A4"/>
    <w:rsid w:val="009D512E"/>
    <w:rsid w:val="009D569D"/>
    <w:rsid w:val="009D5F62"/>
    <w:rsid w:val="009D641B"/>
    <w:rsid w:val="009D6CCB"/>
    <w:rsid w:val="009D6D09"/>
    <w:rsid w:val="009E01E4"/>
    <w:rsid w:val="009E1211"/>
    <w:rsid w:val="009E151B"/>
    <w:rsid w:val="009E2071"/>
    <w:rsid w:val="009E209D"/>
    <w:rsid w:val="009E227F"/>
    <w:rsid w:val="009E247F"/>
    <w:rsid w:val="009E2AC7"/>
    <w:rsid w:val="009E2CA0"/>
    <w:rsid w:val="009E2D3D"/>
    <w:rsid w:val="009E30E9"/>
    <w:rsid w:val="009E319C"/>
    <w:rsid w:val="009E3A3D"/>
    <w:rsid w:val="009E3B9E"/>
    <w:rsid w:val="009E477E"/>
    <w:rsid w:val="009E4E37"/>
    <w:rsid w:val="009E5D8E"/>
    <w:rsid w:val="009E5E3B"/>
    <w:rsid w:val="009E68DC"/>
    <w:rsid w:val="009E695D"/>
    <w:rsid w:val="009E697E"/>
    <w:rsid w:val="009E6B19"/>
    <w:rsid w:val="009E73DB"/>
    <w:rsid w:val="009E7577"/>
    <w:rsid w:val="009F093D"/>
    <w:rsid w:val="009F12D2"/>
    <w:rsid w:val="009F16B1"/>
    <w:rsid w:val="009F1804"/>
    <w:rsid w:val="009F18D8"/>
    <w:rsid w:val="009F3577"/>
    <w:rsid w:val="009F3828"/>
    <w:rsid w:val="009F420E"/>
    <w:rsid w:val="009F4EB9"/>
    <w:rsid w:val="009F5422"/>
    <w:rsid w:val="009F60CA"/>
    <w:rsid w:val="009F6142"/>
    <w:rsid w:val="009F6494"/>
    <w:rsid w:val="009F65F9"/>
    <w:rsid w:val="009F6779"/>
    <w:rsid w:val="009F6F32"/>
    <w:rsid w:val="009F6F8B"/>
    <w:rsid w:val="009F7165"/>
    <w:rsid w:val="009F7590"/>
    <w:rsid w:val="009F7DDE"/>
    <w:rsid w:val="009F7F62"/>
    <w:rsid w:val="00A010B8"/>
    <w:rsid w:val="00A01174"/>
    <w:rsid w:val="00A0173E"/>
    <w:rsid w:val="00A01D39"/>
    <w:rsid w:val="00A0261A"/>
    <w:rsid w:val="00A02744"/>
    <w:rsid w:val="00A027A6"/>
    <w:rsid w:val="00A02AC7"/>
    <w:rsid w:val="00A02DE0"/>
    <w:rsid w:val="00A0324F"/>
    <w:rsid w:val="00A03A45"/>
    <w:rsid w:val="00A0403B"/>
    <w:rsid w:val="00A042C8"/>
    <w:rsid w:val="00A04561"/>
    <w:rsid w:val="00A045EB"/>
    <w:rsid w:val="00A04987"/>
    <w:rsid w:val="00A04FD4"/>
    <w:rsid w:val="00A056DB"/>
    <w:rsid w:val="00A05859"/>
    <w:rsid w:val="00A05F6A"/>
    <w:rsid w:val="00A06128"/>
    <w:rsid w:val="00A06935"/>
    <w:rsid w:val="00A076BD"/>
    <w:rsid w:val="00A100DC"/>
    <w:rsid w:val="00A1010A"/>
    <w:rsid w:val="00A10720"/>
    <w:rsid w:val="00A107E1"/>
    <w:rsid w:val="00A112FE"/>
    <w:rsid w:val="00A12B2A"/>
    <w:rsid w:val="00A12BAD"/>
    <w:rsid w:val="00A139C6"/>
    <w:rsid w:val="00A13EC2"/>
    <w:rsid w:val="00A14D9E"/>
    <w:rsid w:val="00A14F15"/>
    <w:rsid w:val="00A15612"/>
    <w:rsid w:val="00A15CD7"/>
    <w:rsid w:val="00A164B6"/>
    <w:rsid w:val="00A1682F"/>
    <w:rsid w:val="00A17809"/>
    <w:rsid w:val="00A20043"/>
    <w:rsid w:val="00A20064"/>
    <w:rsid w:val="00A202E0"/>
    <w:rsid w:val="00A214DE"/>
    <w:rsid w:val="00A21BDC"/>
    <w:rsid w:val="00A21C69"/>
    <w:rsid w:val="00A22067"/>
    <w:rsid w:val="00A225FE"/>
    <w:rsid w:val="00A22722"/>
    <w:rsid w:val="00A22814"/>
    <w:rsid w:val="00A24350"/>
    <w:rsid w:val="00A2505F"/>
    <w:rsid w:val="00A25A55"/>
    <w:rsid w:val="00A26144"/>
    <w:rsid w:val="00A262C0"/>
    <w:rsid w:val="00A26B37"/>
    <w:rsid w:val="00A272AB"/>
    <w:rsid w:val="00A278E9"/>
    <w:rsid w:val="00A306ED"/>
    <w:rsid w:val="00A30863"/>
    <w:rsid w:val="00A30F8C"/>
    <w:rsid w:val="00A314F1"/>
    <w:rsid w:val="00A31C71"/>
    <w:rsid w:val="00A31CCF"/>
    <w:rsid w:val="00A31D0B"/>
    <w:rsid w:val="00A32A81"/>
    <w:rsid w:val="00A3420F"/>
    <w:rsid w:val="00A343E4"/>
    <w:rsid w:val="00A3491E"/>
    <w:rsid w:val="00A34A64"/>
    <w:rsid w:val="00A35052"/>
    <w:rsid w:val="00A35069"/>
    <w:rsid w:val="00A3532E"/>
    <w:rsid w:val="00A36092"/>
    <w:rsid w:val="00A364E3"/>
    <w:rsid w:val="00A36AF5"/>
    <w:rsid w:val="00A375A0"/>
    <w:rsid w:val="00A3780F"/>
    <w:rsid w:val="00A378FD"/>
    <w:rsid w:val="00A40FBF"/>
    <w:rsid w:val="00A41811"/>
    <w:rsid w:val="00A4183F"/>
    <w:rsid w:val="00A41992"/>
    <w:rsid w:val="00A41A03"/>
    <w:rsid w:val="00A41D0F"/>
    <w:rsid w:val="00A42075"/>
    <w:rsid w:val="00A426E7"/>
    <w:rsid w:val="00A42D72"/>
    <w:rsid w:val="00A43093"/>
    <w:rsid w:val="00A439F4"/>
    <w:rsid w:val="00A43C77"/>
    <w:rsid w:val="00A43E30"/>
    <w:rsid w:val="00A43F8D"/>
    <w:rsid w:val="00A44E7C"/>
    <w:rsid w:val="00A45050"/>
    <w:rsid w:val="00A453B3"/>
    <w:rsid w:val="00A453E1"/>
    <w:rsid w:val="00A4635B"/>
    <w:rsid w:val="00A463AB"/>
    <w:rsid w:val="00A46C2A"/>
    <w:rsid w:val="00A473C0"/>
    <w:rsid w:val="00A478D2"/>
    <w:rsid w:val="00A47949"/>
    <w:rsid w:val="00A50023"/>
    <w:rsid w:val="00A50271"/>
    <w:rsid w:val="00A502A1"/>
    <w:rsid w:val="00A51A83"/>
    <w:rsid w:val="00A52511"/>
    <w:rsid w:val="00A52784"/>
    <w:rsid w:val="00A52B7B"/>
    <w:rsid w:val="00A53C1E"/>
    <w:rsid w:val="00A54372"/>
    <w:rsid w:val="00A550CD"/>
    <w:rsid w:val="00A5549C"/>
    <w:rsid w:val="00A563F8"/>
    <w:rsid w:val="00A57307"/>
    <w:rsid w:val="00A57594"/>
    <w:rsid w:val="00A602A1"/>
    <w:rsid w:val="00A60E9A"/>
    <w:rsid w:val="00A61506"/>
    <w:rsid w:val="00A6171D"/>
    <w:rsid w:val="00A61A36"/>
    <w:rsid w:val="00A627EE"/>
    <w:rsid w:val="00A62D00"/>
    <w:rsid w:val="00A63662"/>
    <w:rsid w:val="00A638B6"/>
    <w:rsid w:val="00A64CC0"/>
    <w:rsid w:val="00A64EC4"/>
    <w:rsid w:val="00A66215"/>
    <w:rsid w:val="00A6660B"/>
    <w:rsid w:val="00A66A0C"/>
    <w:rsid w:val="00A66AAF"/>
    <w:rsid w:val="00A6700E"/>
    <w:rsid w:val="00A67266"/>
    <w:rsid w:val="00A6755F"/>
    <w:rsid w:val="00A67FD0"/>
    <w:rsid w:val="00A70293"/>
    <w:rsid w:val="00A70EC9"/>
    <w:rsid w:val="00A71339"/>
    <w:rsid w:val="00A7145A"/>
    <w:rsid w:val="00A714E6"/>
    <w:rsid w:val="00A71B66"/>
    <w:rsid w:val="00A71C8E"/>
    <w:rsid w:val="00A7212A"/>
    <w:rsid w:val="00A724B5"/>
    <w:rsid w:val="00A73646"/>
    <w:rsid w:val="00A740C6"/>
    <w:rsid w:val="00A7467A"/>
    <w:rsid w:val="00A74D8F"/>
    <w:rsid w:val="00A74EA5"/>
    <w:rsid w:val="00A75181"/>
    <w:rsid w:val="00A75655"/>
    <w:rsid w:val="00A762F4"/>
    <w:rsid w:val="00A76E05"/>
    <w:rsid w:val="00A76E9D"/>
    <w:rsid w:val="00A77106"/>
    <w:rsid w:val="00A772E3"/>
    <w:rsid w:val="00A77502"/>
    <w:rsid w:val="00A77681"/>
    <w:rsid w:val="00A81019"/>
    <w:rsid w:val="00A8181C"/>
    <w:rsid w:val="00A82055"/>
    <w:rsid w:val="00A82B4D"/>
    <w:rsid w:val="00A8368E"/>
    <w:rsid w:val="00A83A1F"/>
    <w:rsid w:val="00A83E15"/>
    <w:rsid w:val="00A84A54"/>
    <w:rsid w:val="00A84B14"/>
    <w:rsid w:val="00A853A5"/>
    <w:rsid w:val="00A8668D"/>
    <w:rsid w:val="00A867A8"/>
    <w:rsid w:val="00A868DC"/>
    <w:rsid w:val="00A87F21"/>
    <w:rsid w:val="00A90BF9"/>
    <w:rsid w:val="00A912E1"/>
    <w:rsid w:val="00A9177B"/>
    <w:rsid w:val="00A9194A"/>
    <w:rsid w:val="00A91B41"/>
    <w:rsid w:val="00A91E9C"/>
    <w:rsid w:val="00A920D0"/>
    <w:rsid w:val="00A92AB7"/>
    <w:rsid w:val="00A92E64"/>
    <w:rsid w:val="00A9428B"/>
    <w:rsid w:val="00A942B4"/>
    <w:rsid w:val="00A945A5"/>
    <w:rsid w:val="00A946B3"/>
    <w:rsid w:val="00A95415"/>
    <w:rsid w:val="00A95C6A"/>
    <w:rsid w:val="00A95FDF"/>
    <w:rsid w:val="00A96B3D"/>
    <w:rsid w:val="00A97667"/>
    <w:rsid w:val="00A977EF"/>
    <w:rsid w:val="00A97A55"/>
    <w:rsid w:val="00AA0377"/>
    <w:rsid w:val="00AA1CBF"/>
    <w:rsid w:val="00AA1F80"/>
    <w:rsid w:val="00AA2137"/>
    <w:rsid w:val="00AA2854"/>
    <w:rsid w:val="00AA303E"/>
    <w:rsid w:val="00AA4035"/>
    <w:rsid w:val="00AA4307"/>
    <w:rsid w:val="00AA4C88"/>
    <w:rsid w:val="00AA583A"/>
    <w:rsid w:val="00AA5A23"/>
    <w:rsid w:val="00AA5C10"/>
    <w:rsid w:val="00AA6924"/>
    <w:rsid w:val="00AA69B1"/>
    <w:rsid w:val="00AA716D"/>
    <w:rsid w:val="00AA73B4"/>
    <w:rsid w:val="00AA744C"/>
    <w:rsid w:val="00AB0188"/>
    <w:rsid w:val="00AB05F9"/>
    <w:rsid w:val="00AB0700"/>
    <w:rsid w:val="00AB09AA"/>
    <w:rsid w:val="00AB0BDF"/>
    <w:rsid w:val="00AB0D7B"/>
    <w:rsid w:val="00AB24B2"/>
    <w:rsid w:val="00AB28C2"/>
    <w:rsid w:val="00AB2986"/>
    <w:rsid w:val="00AB2E48"/>
    <w:rsid w:val="00AB310D"/>
    <w:rsid w:val="00AB3392"/>
    <w:rsid w:val="00AB363E"/>
    <w:rsid w:val="00AB37AC"/>
    <w:rsid w:val="00AB3811"/>
    <w:rsid w:val="00AB42BA"/>
    <w:rsid w:val="00AB4C78"/>
    <w:rsid w:val="00AB4CF3"/>
    <w:rsid w:val="00AB4FF3"/>
    <w:rsid w:val="00AB5AA0"/>
    <w:rsid w:val="00AB5AF7"/>
    <w:rsid w:val="00AB5FD0"/>
    <w:rsid w:val="00AB6376"/>
    <w:rsid w:val="00AB6B24"/>
    <w:rsid w:val="00AB6BC3"/>
    <w:rsid w:val="00AB70A2"/>
    <w:rsid w:val="00AB7222"/>
    <w:rsid w:val="00AB78C9"/>
    <w:rsid w:val="00AB791A"/>
    <w:rsid w:val="00AB79F5"/>
    <w:rsid w:val="00AC030F"/>
    <w:rsid w:val="00AC0ADC"/>
    <w:rsid w:val="00AC1327"/>
    <w:rsid w:val="00AC1406"/>
    <w:rsid w:val="00AC1AC2"/>
    <w:rsid w:val="00AC1D4B"/>
    <w:rsid w:val="00AC22E3"/>
    <w:rsid w:val="00AC27A0"/>
    <w:rsid w:val="00AC3EDE"/>
    <w:rsid w:val="00AC41A0"/>
    <w:rsid w:val="00AC4315"/>
    <w:rsid w:val="00AC5C98"/>
    <w:rsid w:val="00AC5FB9"/>
    <w:rsid w:val="00AC6910"/>
    <w:rsid w:val="00AC6BB3"/>
    <w:rsid w:val="00AC6CE7"/>
    <w:rsid w:val="00AC6E68"/>
    <w:rsid w:val="00AC70E1"/>
    <w:rsid w:val="00AC7719"/>
    <w:rsid w:val="00AC7D4B"/>
    <w:rsid w:val="00AD02B2"/>
    <w:rsid w:val="00AD05A9"/>
    <w:rsid w:val="00AD09A2"/>
    <w:rsid w:val="00AD09E0"/>
    <w:rsid w:val="00AD0CBF"/>
    <w:rsid w:val="00AD0DBD"/>
    <w:rsid w:val="00AD1252"/>
    <w:rsid w:val="00AD14CB"/>
    <w:rsid w:val="00AD1C3D"/>
    <w:rsid w:val="00AD251B"/>
    <w:rsid w:val="00AD2745"/>
    <w:rsid w:val="00AD2D90"/>
    <w:rsid w:val="00AD4209"/>
    <w:rsid w:val="00AD4306"/>
    <w:rsid w:val="00AD4634"/>
    <w:rsid w:val="00AD48A7"/>
    <w:rsid w:val="00AD4A3B"/>
    <w:rsid w:val="00AD5474"/>
    <w:rsid w:val="00AD57BF"/>
    <w:rsid w:val="00AD5874"/>
    <w:rsid w:val="00AD5A03"/>
    <w:rsid w:val="00AD61E9"/>
    <w:rsid w:val="00AD66D5"/>
    <w:rsid w:val="00AD67FD"/>
    <w:rsid w:val="00AD6B3C"/>
    <w:rsid w:val="00AD7B0C"/>
    <w:rsid w:val="00AD7E99"/>
    <w:rsid w:val="00AE1206"/>
    <w:rsid w:val="00AE2462"/>
    <w:rsid w:val="00AE297F"/>
    <w:rsid w:val="00AE2F47"/>
    <w:rsid w:val="00AE3174"/>
    <w:rsid w:val="00AE375D"/>
    <w:rsid w:val="00AE3B99"/>
    <w:rsid w:val="00AE41BA"/>
    <w:rsid w:val="00AE436F"/>
    <w:rsid w:val="00AE45B2"/>
    <w:rsid w:val="00AE56CB"/>
    <w:rsid w:val="00AE67E2"/>
    <w:rsid w:val="00AE7E1F"/>
    <w:rsid w:val="00AF06D2"/>
    <w:rsid w:val="00AF08B5"/>
    <w:rsid w:val="00AF1DF4"/>
    <w:rsid w:val="00AF20A5"/>
    <w:rsid w:val="00AF2410"/>
    <w:rsid w:val="00AF2782"/>
    <w:rsid w:val="00AF324C"/>
    <w:rsid w:val="00AF3569"/>
    <w:rsid w:val="00AF375B"/>
    <w:rsid w:val="00AF38FE"/>
    <w:rsid w:val="00AF3AA3"/>
    <w:rsid w:val="00AF3BD9"/>
    <w:rsid w:val="00AF5129"/>
    <w:rsid w:val="00AF549D"/>
    <w:rsid w:val="00AF5570"/>
    <w:rsid w:val="00AF6440"/>
    <w:rsid w:val="00B0002F"/>
    <w:rsid w:val="00B000FE"/>
    <w:rsid w:val="00B00F04"/>
    <w:rsid w:val="00B01259"/>
    <w:rsid w:val="00B014C1"/>
    <w:rsid w:val="00B01B66"/>
    <w:rsid w:val="00B01DF2"/>
    <w:rsid w:val="00B0218E"/>
    <w:rsid w:val="00B026E6"/>
    <w:rsid w:val="00B02A05"/>
    <w:rsid w:val="00B0323D"/>
    <w:rsid w:val="00B0495F"/>
    <w:rsid w:val="00B0568F"/>
    <w:rsid w:val="00B05ECF"/>
    <w:rsid w:val="00B06B5C"/>
    <w:rsid w:val="00B06E6B"/>
    <w:rsid w:val="00B070B9"/>
    <w:rsid w:val="00B07EE2"/>
    <w:rsid w:val="00B10487"/>
    <w:rsid w:val="00B1056A"/>
    <w:rsid w:val="00B10AEA"/>
    <w:rsid w:val="00B10D9D"/>
    <w:rsid w:val="00B11FF4"/>
    <w:rsid w:val="00B13A37"/>
    <w:rsid w:val="00B14094"/>
    <w:rsid w:val="00B14323"/>
    <w:rsid w:val="00B1529E"/>
    <w:rsid w:val="00B1565D"/>
    <w:rsid w:val="00B15D98"/>
    <w:rsid w:val="00B15F7E"/>
    <w:rsid w:val="00B1615D"/>
    <w:rsid w:val="00B16696"/>
    <w:rsid w:val="00B1670D"/>
    <w:rsid w:val="00B179BD"/>
    <w:rsid w:val="00B2039B"/>
    <w:rsid w:val="00B2142C"/>
    <w:rsid w:val="00B21849"/>
    <w:rsid w:val="00B21B90"/>
    <w:rsid w:val="00B2224A"/>
    <w:rsid w:val="00B22884"/>
    <w:rsid w:val="00B22E3C"/>
    <w:rsid w:val="00B231F4"/>
    <w:rsid w:val="00B237DC"/>
    <w:rsid w:val="00B23BD4"/>
    <w:rsid w:val="00B23C94"/>
    <w:rsid w:val="00B23D35"/>
    <w:rsid w:val="00B2452E"/>
    <w:rsid w:val="00B263C6"/>
    <w:rsid w:val="00B271AB"/>
    <w:rsid w:val="00B271EE"/>
    <w:rsid w:val="00B276A0"/>
    <w:rsid w:val="00B27B77"/>
    <w:rsid w:val="00B27C68"/>
    <w:rsid w:val="00B27F2C"/>
    <w:rsid w:val="00B30393"/>
    <w:rsid w:val="00B31563"/>
    <w:rsid w:val="00B31DB6"/>
    <w:rsid w:val="00B3201C"/>
    <w:rsid w:val="00B32585"/>
    <w:rsid w:val="00B32882"/>
    <w:rsid w:val="00B32C82"/>
    <w:rsid w:val="00B33A52"/>
    <w:rsid w:val="00B345DD"/>
    <w:rsid w:val="00B350D3"/>
    <w:rsid w:val="00B35938"/>
    <w:rsid w:val="00B35D5E"/>
    <w:rsid w:val="00B35D91"/>
    <w:rsid w:val="00B360EB"/>
    <w:rsid w:val="00B36230"/>
    <w:rsid w:val="00B36832"/>
    <w:rsid w:val="00B36A23"/>
    <w:rsid w:val="00B37518"/>
    <w:rsid w:val="00B376F4"/>
    <w:rsid w:val="00B4056B"/>
    <w:rsid w:val="00B413D5"/>
    <w:rsid w:val="00B41910"/>
    <w:rsid w:val="00B42463"/>
    <w:rsid w:val="00B428D0"/>
    <w:rsid w:val="00B43066"/>
    <w:rsid w:val="00B43118"/>
    <w:rsid w:val="00B43318"/>
    <w:rsid w:val="00B43335"/>
    <w:rsid w:val="00B437C1"/>
    <w:rsid w:val="00B439FA"/>
    <w:rsid w:val="00B43B31"/>
    <w:rsid w:val="00B43D33"/>
    <w:rsid w:val="00B44581"/>
    <w:rsid w:val="00B445C3"/>
    <w:rsid w:val="00B44826"/>
    <w:rsid w:val="00B45A1C"/>
    <w:rsid w:val="00B4675C"/>
    <w:rsid w:val="00B47318"/>
    <w:rsid w:val="00B47920"/>
    <w:rsid w:val="00B47A36"/>
    <w:rsid w:val="00B503CB"/>
    <w:rsid w:val="00B50846"/>
    <w:rsid w:val="00B50D8A"/>
    <w:rsid w:val="00B5145A"/>
    <w:rsid w:val="00B51DBC"/>
    <w:rsid w:val="00B51F72"/>
    <w:rsid w:val="00B52FA4"/>
    <w:rsid w:val="00B53190"/>
    <w:rsid w:val="00B538B1"/>
    <w:rsid w:val="00B53A51"/>
    <w:rsid w:val="00B53F8B"/>
    <w:rsid w:val="00B541AE"/>
    <w:rsid w:val="00B5445D"/>
    <w:rsid w:val="00B54560"/>
    <w:rsid w:val="00B54916"/>
    <w:rsid w:val="00B55C66"/>
    <w:rsid w:val="00B55EBD"/>
    <w:rsid w:val="00B5670C"/>
    <w:rsid w:val="00B56E26"/>
    <w:rsid w:val="00B5705E"/>
    <w:rsid w:val="00B572E3"/>
    <w:rsid w:val="00B60E10"/>
    <w:rsid w:val="00B6127E"/>
    <w:rsid w:val="00B61678"/>
    <w:rsid w:val="00B61DD5"/>
    <w:rsid w:val="00B6279C"/>
    <w:rsid w:val="00B62A85"/>
    <w:rsid w:val="00B62BB5"/>
    <w:rsid w:val="00B62CEB"/>
    <w:rsid w:val="00B62DF7"/>
    <w:rsid w:val="00B631E1"/>
    <w:rsid w:val="00B639AC"/>
    <w:rsid w:val="00B63AA1"/>
    <w:rsid w:val="00B64200"/>
    <w:rsid w:val="00B644E5"/>
    <w:rsid w:val="00B64B3D"/>
    <w:rsid w:val="00B65379"/>
    <w:rsid w:val="00B656AE"/>
    <w:rsid w:val="00B65E4F"/>
    <w:rsid w:val="00B66DDD"/>
    <w:rsid w:val="00B6765D"/>
    <w:rsid w:val="00B70849"/>
    <w:rsid w:val="00B71B8F"/>
    <w:rsid w:val="00B71C17"/>
    <w:rsid w:val="00B72014"/>
    <w:rsid w:val="00B72E7B"/>
    <w:rsid w:val="00B73091"/>
    <w:rsid w:val="00B730CF"/>
    <w:rsid w:val="00B7350E"/>
    <w:rsid w:val="00B75887"/>
    <w:rsid w:val="00B758A5"/>
    <w:rsid w:val="00B7609E"/>
    <w:rsid w:val="00B764EC"/>
    <w:rsid w:val="00B77077"/>
    <w:rsid w:val="00B7718B"/>
    <w:rsid w:val="00B77B51"/>
    <w:rsid w:val="00B77C86"/>
    <w:rsid w:val="00B8019A"/>
    <w:rsid w:val="00B80FDB"/>
    <w:rsid w:val="00B8129C"/>
    <w:rsid w:val="00B829AF"/>
    <w:rsid w:val="00B82B81"/>
    <w:rsid w:val="00B8311E"/>
    <w:rsid w:val="00B832C1"/>
    <w:rsid w:val="00B837E3"/>
    <w:rsid w:val="00B83C06"/>
    <w:rsid w:val="00B83C79"/>
    <w:rsid w:val="00B83F74"/>
    <w:rsid w:val="00B84DDB"/>
    <w:rsid w:val="00B85336"/>
    <w:rsid w:val="00B8575B"/>
    <w:rsid w:val="00B85972"/>
    <w:rsid w:val="00B8634E"/>
    <w:rsid w:val="00B863F6"/>
    <w:rsid w:val="00B86726"/>
    <w:rsid w:val="00B86850"/>
    <w:rsid w:val="00B87762"/>
    <w:rsid w:val="00B90253"/>
    <w:rsid w:val="00B90D8A"/>
    <w:rsid w:val="00B90E96"/>
    <w:rsid w:val="00B912C7"/>
    <w:rsid w:val="00B916BE"/>
    <w:rsid w:val="00B91D78"/>
    <w:rsid w:val="00B92127"/>
    <w:rsid w:val="00B92573"/>
    <w:rsid w:val="00B9288C"/>
    <w:rsid w:val="00B93300"/>
    <w:rsid w:val="00B93425"/>
    <w:rsid w:val="00B9343F"/>
    <w:rsid w:val="00B93FC8"/>
    <w:rsid w:val="00B944E7"/>
    <w:rsid w:val="00B94B42"/>
    <w:rsid w:val="00B95A1B"/>
    <w:rsid w:val="00B95F59"/>
    <w:rsid w:val="00B96F76"/>
    <w:rsid w:val="00B97282"/>
    <w:rsid w:val="00B97A77"/>
    <w:rsid w:val="00B97C25"/>
    <w:rsid w:val="00BA00F9"/>
    <w:rsid w:val="00BA04E2"/>
    <w:rsid w:val="00BA0F13"/>
    <w:rsid w:val="00BA107F"/>
    <w:rsid w:val="00BA167D"/>
    <w:rsid w:val="00BA1758"/>
    <w:rsid w:val="00BA194D"/>
    <w:rsid w:val="00BA1A73"/>
    <w:rsid w:val="00BA2214"/>
    <w:rsid w:val="00BA3778"/>
    <w:rsid w:val="00BA3A2F"/>
    <w:rsid w:val="00BA3AE6"/>
    <w:rsid w:val="00BA3BA4"/>
    <w:rsid w:val="00BA4006"/>
    <w:rsid w:val="00BA516C"/>
    <w:rsid w:val="00BA5362"/>
    <w:rsid w:val="00BA5842"/>
    <w:rsid w:val="00BA59FF"/>
    <w:rsid w:val="00BA5E06"/>
    <w:rsid w:val="00BA604D"/>
    <w:rsid w:val="00BA6119"/>
    <w:rsid w:val="00BA69AA"/>
    <w:rsid w:val="00BA74E7"/>
    <w:rsid w:val="00BA79BE"/>
    <w:rsid w:val="00BB024A"/>
    <w:rsid w:val="00BB0931"/>
    <w:rsid w:val="00BB0A85"/>
    <w:rsid w:val="00BB0C65"/>
    <w:rsid w:val="00BB0E7A"/>
    <w:rsid w:val="00BB13D5"/>
    <w:rsid w:val="00BB19EE"/>
    <w:rsid w:val="00BB2094"/>
    <w:rsid w:val="00BB297D"/>
    <w:rsid w:val="00BB2A15"/>
    <w:rsid w:val="00BB31C1"/>
    <w:rsid w:val="00BB3295"/>
    <w:rsid w:val="00BB3E8A"/>
    <w:rsid w:val="00BB4156"/>
    <w:rsid w:val="00BB43DC"/>
    <w:rsid w:val="00BB4615"/>
    <w:rsid w:val="00BB489F"/>
    <w:rsid w:val="00BB49FB"/>
    <w:rsid w:val="00BB5100"/>
    <w:rsid w:val="00BB52C8"/>
    <w:rsid w:val="00BB537B"/>
    <w:rsid w:val="00BB57C5"/>
    <w:rsid w:val="00BB5863"/>
    <w:rsid w:val="00BB5A42"/>
    <w:rsid w:val="00BB5F4B"/>
    <w:rsid w:val="00BB6D07"/>
    <w:rsid w:val="00BB6F22"/>
    <w:rsid w:val="00BB713D"/>
    <w:rsid w:val="00BB7708"/>
    <w:rsid w:val="00BB7765"/>
    <w:rsid w:val="00BC0336"/>
    <w:rsid w:val="00BC0751"/>
    <w:rsid w:val="00BC0815"/>
    <w:rsid w:val="00BC0A46"/>
    <w:rsid w:val="00BC0DD0"/>
    <w:rsid w:val="00BC1466"/>
    <w:rsid w:val="00BC1B80"/>
    <w:rsid w:val="00BC25EF"/>
    <w:rsid w:val="00BC27C8"/>
    <w:rsid w:val="00BC398C"/>
    <w:rsid w:val="00BC3CAD"/>
    <w:rsid w:val="00BC3DB3"/>
    <w:rsid w:val="00BC464B"/>
    <w:rsid w:val="00BC4727"/>
    <w:rsid w:val="00BC48AC"/>
    <w:rsid w:val="00BC4B73"/>
    <w:rsid w:val="00BC4EE3"/>
    <w:rsid w:val="00BC5D3B"/>
    <w:rsid w:val="00BC5D7F"/>
    <w:rsid w:val="00BC6027"/>
    <w:rsid w:val="00BC6B75"/>
    <w:rsid w:val="00BC7056"/>
    <w:rsid w:val="00BC70D8"/>
    <w:rsid w:val="00BC7910"/>
    <w:rsid w:val="00BC7F2C"/>
    <w:rsid w:val="00BD0AD6"/>
    <w:rsid w:val="00BD0CA0"/>
    <w:rsid w:val="00BD0F63"/>
    <w:rsid w:val="00BD1663"/>
    <w:rsid w:val="00BD1C86"/>
    <w:rsid w:val="00BD1CD7"/>
    <w:rsid w:val="00BD1F03"/>
    <w:rsid w:val="00BD229E"/>
    <w:rsid w:val="00BD271A"/>
    <w:rsid w:val="00BD2DAD"/>
    <w:rsid w:val="00BD2E78"/>
    <w:rsid w:val="00BD3683"/>
    <w:rsid w:val="00BD378B"/>
    <w:rsid w:val="00BD3FF7"/>
    <w:rsid w:val="00BD41DE"/>
    <w:rsid w:val="00BD4508"/>
    <w:rsid w:val="00BD4F45"/>
    <w:rsid w:val="00BD5422"/>
    <w:rsid w:val="00BD5884"/>
    <w:rsid w:val="00BD65CC"/>
    <w:rsid w:val="00BD7BF0"/>
    <w:rsid w:val="00BD7CA2"/>
    <w:rsid w:val="00BE0590"/>
    <w:rsid w:val="00BE0669"/>
    <w:rsid w:val="00BE0B82"/>
    <w:rsid w:val="00BE1AB1"/>
    <w:rsid w:val="00BE1F20"/>
    <w:rsid w:val="00BE1F81"/>
    <w:rsid w:val="00BE23E4"/>
    <w:rsid w:val="00BE24A5"/>
    <w:rsid w:val="00BE2659"/>
    <w:rsid w:val="00BE2F25"/>
    <w:rsid w:val="00BE312A"/>
    <w:rsid w:val="00BE3B27"/>
    <w:rsid w:val="00BE3DDD"/>
    <w:rsid w:val="00BE43DD"/>
    <w:rsid w:val="00BE4E1F"/>
    <w:rsid w:val="00BE4E3B"/>
    <w:rsid w:val="00BE510C"/>
    <w:rsid w:val="00BE5461"/>
    <w:rsid w:val="00BE5EC1"/>
    <w:rsid w:val="00BE650B"/>
    <w:rsid w:val="00BE6B80"/>
    <w:rsid w:val="00BE6B86"/>
    <w:rsid w:val="00BE6BEA"/>
    <w:rsid w:val="00BE6E20"/>
    <w:rsid w:val="00BE6E45"/>
    <w:rsid w:val="00BE75EB"/>
    <w:rsid w:val="00BF0086"/>
    <w:rsid w:val="00BF0AE2"/>
    <w:rsid w:val="00BF183E"/>
    <w:rsid w:val="00BF189A"/>
    <w:rsid w:val="00BF1BEA"/>
    <w:rsid w:val="00BF208E"/>
    <w:rsid w:val="00BF20A0"/>
    <w:rsid w:val="00BF33F0"/>
    <w:rsid w:val="00BF474A"/>
    <w:rsid w:val="00BF48EF"/>
    <w:rsid w:val="00BF4919"/>
    <w:rsid w:val="00BF4C56"/>
    <w:rsid w:val="00BF4E07"/>
    <w:rsid w:val="00BF4E28"/>
    <w:rsid w:val="00BF5E94"/>
    <w:rsid w:val="00BF5FD5"/>
    <w:rsid w:val="00BF617C"/>
    <w:rsid w:val="00BF6692"/>
    <w:rsid w:val="00BF6A70"/>
    <w:rsid w:val="00C00504"/>
    <w:rsid w:val="00C009CE"/>
    <w:rsid w:val="00C00FB5"/>
    <w:rsid w:val="00C019DF"/>
    <w:rsid w:val="00C02123"/>
    <w:rsid w:val="00C024EF"/>
    <w:rsid w:val="00C027CB"/>
    <w:rsid w:val="00C02F10"/>
    <w:rsid w:val="00C02F6D"/>
    <w:rsid w:val="00C035A2"/>
    <w:rsid w:val="00C03BB3"/>
    <w:rsid w:val="00C03E27"/>
    <w:rsid w:val="00C043B9"/>
    <w:rsid w:val="00C0545A"/>
    <w:rsid w:val="00C063FF"/>
    <w:rsid w:val="00C06821"/>
    <w:rsid w:val="00C06A31"/>
    <w:rsid w:val="00C06F88"/>
    <w:rsid w:val="00C07530"/>
    <w:rsid w:val="00C07DE5"/>
    <w:rsid w:val="00C10B4A"/>
    <w:rsid w:val="00C10FC2"/>
    <w:rsid w:val="00C123A6"/>
    <w:rsid w:val="00C125F9"/>
    <w:rsid w:val="00C128D7"/>
    <w:rsid w:val="00C13328"/>
    <w:rsid w:val="00C139B4"/>
    <w:rsid w:val="00C13D01"/>
    <w:rsid w:val="00C14504"/>
    <w:rsid w:val="00C147A1"/>
    <w:rsid w:val="00C14900"/>
    <w:rsid w:val="00C1535E"/>
    <w:rsid w:val="00C15BA0"/>
    <w:rsid w:val="00C15BC6"/>
    <w:rsid w:val="00C1636C"/>
    <w:rsid w:val="00C16B43"/>
    <w:rsid w:val="00C17107"/>
    <w:rsid w:val="00C17B07"/>
    <w:rsid w:val="00C17C0A"/>
    <w:rsid w:val="00C17D9A"/>
    <w:rsid w:val="00C17EBF"/>
    <w:rsid w:val="00C201E3"/>
    <w:rsid w:val="00C205D7"/>
    <w:rsid w:val="00C21345"/>
    <w:rsid w:val="00C2135A"/>
    <w:rsid w:val="00C21549"/>
    <w:rsid w:val="00C2159C"/>
    <w:rsid w:val="00C21E15"/>
    <w:rsid w:val="00C22252"/>
    <w:rsid w:val="00C231C2"/>
    <w:rsid w:val="00C231D2"/>
    <w:rsid w:val="00C234B4"/>
    <w:rsid w:val="00C2390A"/>
    <w:rsid w:val="00C23B22"/>
    <w:rsid w:val="00C23C8E"/>
    <w:rsid w:val="00C23E97"/>
    <w:rsid w:val="00C23F7F"/>
    <w:rsid w:val="00C24283"/>
    <w:rsid w:val="00C245F9"/>
    <w:rsid w:val="00C24A4F"/>
    <w:rsid w:val="00C24C52"/>
    <w:rsid w:val="00C24FD9"/>
    <w:rsid w:val="00C26A92"/>
    <w:rsid w:val="00C279A3"/>
    <w:rsid w:val="00C27A7E"/>
    <w:rsid w:val="00C3283E"/>
    <w:rsid w:val="00C32B73"/>
    <w:rsid w:val="00C32C1D"/>
    <w:rsid w:val="00C32E22"/>
    <w:rsid w:val="00C3431A"/>
    <w:rsid w:val="00C3436C"/>
    <w:rsid w:val="00C3459A"/>
    <w:rsid w:val="00C346C6"/>
    <w:rsid w:val="00C34891"/>
    <w:rsid w:val="00C349F7"/>
    <w:rsid w:val="00C34ED7"/>
    <w:rsid w:val="00C351B6"/>
    <w:rsid w:val="00C35358"/>
    <w:rsid w:val="00C3628F"/>
    <w:rsid w:val="00C363F0"/>
    <w:rsid w:val="00C367D4"/>
    <w:rsid w:val="00C37438"/>
    <w:rsid w:val="00C37BA6"/>
    <w:rsid w:val="00C40BCE"/>
    <w:rsid w:val="00C40F2F"/>
    <w:rsid w:val="00C41A13"/>
    <w:rsid w:val="00C4201E"/>
    <w:rsid w:val="00C424A2"/>
    <w:rsid w:val="00C42515"/>
    <w:rsid w:val="00C42F98"/>
    <w:rsid w:val="00C4339A"/>
    <w:rsid w:val="00C43586"/>
    <w:rsid w:val="00C43DB6"/>
    <w:rsid w:val="00C43E11"/>
    <w:rsid w:val="00C4427B"/>
    <w:rsid w:val="00C45014"/>
    <w:rsid w:val="00C45A43"/>
    <w:rsid w:val="00C45B80"/>
    <w:rsid w:val="00C461A8"/>
    <w:rsid w:val="00C464C1"/>
    <w:rsid w:val="00C464F5"/>
    <w:rsid w:val="00C467E7"/>
    <w:rsid w:val="00C4699C"/>
    <w:rsid w:val="00C47481"/>
    <w:rsid w:val="00C47E09"/>
    <w:rsid w:val="00C5028D"/>
    <w:rsid w:val="00C50DD6"/>
    <w:rsid w:val="00C5177C"/>
    <w:rsid w:val="00C52022"/>
    <w:rsid w:val="00C5298A"/>
    <w:rsid w:val="00C52D56"/>
    <w:rsid w:val="00C52D93"/>
    <w:rsid w:val="00C52E3F"/>
    <w:rsid w:val="00C53636"/>
    <w:rsid w:val="00C540F7"/>
    <w:rsid w:val="00C54462"/>
    <w:rsid w:val="00C5504C"/>
    <w:rsid w:val="00C5551D"/>
    <w:rsid w:val="00C55FC2"/>
    <w:rsid w:val="00C564A4"/>
    <w:rsid w:val="00C56F1B"/>
    <w:rsid w:val="00C56FA7"/>
    <w:rsid w:val="00C6173F"/>
    <w:rsid w:val="00C617F6"/>
    <w:rsid w:val="00C6264B"/>
    <w:rsid w:val="00C62B9B"/>
    <w:rsid w:val="00C62E8D"/>
    <w:rsid w:val="00C6320C"/>
    <w:rsid w:val="00C63943"/>
    <w:rsid w:val="00C63FE0"/>
    <w:rsid w:val="00C64533"/>
    <w:rsid w:val="00C6479D"/>
    <w:rsid w:val="00C64AE2"/>
    <w:rsid w:val="00C64F7F"/>
    <w:rsid w:val="00C66354"/>
    <w:rsid w:val="00C66749"/>
    <w:rsid w:val="00C66F58"/>
    <w:rsid w:val="00C67576"/>
    <w:rsid w:val="00C67619"/>
    <w:rsid w:val="00C679A6"/>
    <w:rsid w:val="00C702E7"/>
    <w:rsid w:val="00C718ED"/>
    <w:rsid w:val="00C718FE"/>
    <w:rsid w:val="00C71DC1"/>
    <w:rsid w:val="00C723FC"/>
    <w:rsid w:val="00C73E3D"/>
    <w:rsid w:val="00C749EB"/>
    <w:rsid w:val="00C74B17"/>
    <w:rsid w:val="00C74D6B"/>
    <w:rsid w:val="00C7595C"/>
    <w:rsid w:val="00C76074"/>
    <w:rsid w:val="00C761EA"/>
    <w:rsid w:val="00C7696E"/>
    <w:rsid w:val="00C76BEB"/>
    <w:rsid w:val="00C76D81"/>
    <w:rsid w:val="00C76DB7"/>
    <w:rsid w:val="00C76F91"/>
    <w:rsid w:val="00C770F9"/>
    <w:rsid w:val="00C773C0"/>
    <w:rsid w:val="00C80021"/>
    <w:rsid w:val="00C80758"/>
    <w:rsid w:val="00C80831"/>
    <w:rsid w:val="00C8192C"/>
    <w:rsid w:val="00C81A6A"/>
    <w:rsid w:val="00C81EA4"/>
    <w:rsid w:val="00C823DA"/>
    <w:rsid w:val="00C82611"/>
    <w:rsid w:val="00C82C65"/>
    <w:rsid w:val="00C82E6C"/>
    <w:rsid w:val="00C82FBE"/>
    <w:rsid w:val="00C83A4F"/>
    <w:rsid w:val="00C84066"/>
    <w:rsid w:val="00C84660"/>
    <w:rsid w:val="00C85019"/>
    <w:rsid w:val="00C85565"/>
    <w:rsid w:val="00C855DB"/>
    <w:rsid w:val="00C85A0B"/>
    <w:rsid w:val="00C86114"/>
    <w:rsid w:val="00C872FE"/>
    <w:rsid w:val="00C8731B"/>
    <w:rsid w:val="00C8738D"/>
    <w:rsid w:val="00C87499"/>
    <w:rsid w:val="00C87E0F"/>
    <w:rsid w:val="00C87F3B"/>
    <w:rsid w:val="00C90244"/>
    <w:rsid w:val="00C903BB"/>
    <w:rsid w:val="00C90490"/>
    <w:rsid w:val="00C91188"/>
    <w:rsid w:val="00C9137D"/>
    <w:rsid w:val="00C914E8"/>
    <w:rsid w:val="00C915FE"/>
    <w:rsid w:val="00C916CD"/>
    <w:rsid w:val="00C921BA"/>
    <w:rsid w:val="00C924E4"/>
    <w:rsid w:val="00C92CAB"/>
    <w:rsid w:val="00C92FD6"/>
    <w:rsid w:val="00C93300"/>
    <w:rsid w:val="00C934EE"/>
    <w:rsid w:val="00C93546"/>
    <w:rsid w:val="00C93A01"/>
    <w:rsid w:val="00C93F5A"/>
    <w:rsid w:val="00C94043"/>
    <w:rsid w:val="00C942BD"/>
    <w:rsid w:val="00C9435A"/>
    <w:rsid w:val="00C94DAF"/>
    <w:rsid w:val="00C94EEA"/>
    <w:rsid w:val="00C9521E"/>
    <w:rsid w:val="00C95357"/>
    <w:rsid w:val="00C9558F"/>
    <w:rsid w:val="00C958C5"/>
    <w:rsid w:val="00C95ABE"/>
    <w:rsid w:val="00C964FA"/>
    <w:rsid w:val="00C970C2"/>
    <w:rsid w:val="00C97630"/>
    <w:rsid w:val="00C97C6E"/>
    <w:rsid w:val="00C97D80"/>
    <w:rsid w:val="00CA00E7"/>
    <w:rsid w:val="00CA17F1"/>
    <w:rsid w:val="00CA1976"/>
    <w:rsid w:val="00CA1FCC"/>
    <w:rsid w:val="00CA2718"/>
    <w:rsid w:val="00CA2B7C"/>
    <w:rsid w:val="00CA47C5"/>
    <w:rsid w:val="00CA4DD6"/>
    <w:rsid w:val="00CA6A81"/>
    <w:rsid w:val="00CA6EAC"/>
    <w:rsid w:val="00CA77DC"/>
    <w:rsid w:val="00CA7BEA"/>
    <w:rsid w:val="00CB0093"/>
    <w:rsid w:val="00CB08FD"/>
    <w:rsid w:val="00CB0900"/>
    <w:rsid w:val="00CB0BE1"/>
    <w:rsid w:val="00CB1708"/>
    <w:rsid w:val="00CB1BBF"/>
    <w:rsid w:val="00CB1C3C"/>
    <w:rsid w:val="00CB214E"/>
    <w:rsid w:val="00CB219F"/>
    <w:rsid w:val="00CB23A7"/>
    <w:rsid w:val="00CB26CD"/>
    <w:rsid w:val="00CB28A8"/>
    <w:rsid w:val="00CB2F91"/>
    <w:rsid w:val="00CB329D"/>
    <w:rsid w:val="00CB3F52"/>
    <w:rsid w:val="00CB494D"/>
    <w:rsid w:val="00CB4AF0"/>
    <w:rsid w:val="00CB4E05"/>
    <w:rsid w:val="00CB5F92"/>
    <w:rsid w:val="00CB662E"/>
    <w:rsid w:val="00CB7042"/>
    <w:rsid w:val="00CB706A"/>
    <w:rsid w:val="00CB72AE"/>
    <w:rsid w:val="00CB738F"/>
    <w:rsid w:val="00CB7848"/>
    <w:rsid w:val="00CC07A3"/>
    <w:rsid w:val="00CC2062"/>
    <w:rsid w:val="00CC2178"/>
    <w:rsid w:val="00CC2837"/>
    <w:rsid w:val="00CC2B4D"/>
    <w:rsid w:val="00CC34DC"/>
    <w:rsid w:val="00CC3620"/>
    <w:rsid w:val="00CC3A18"/>
    <w:rsid w:val="00CC4995"/>
    <w:rsid w:val="00CC5584"/>
    <w:rsid w:val="00CC56CB"/>
    <w:rsid w:val="00CC56F9"/>
    <w:rsid w:val="00CC606B"/>
    <w:rsid w:val="00CC6988"/>
    <w:rsid w:val="00CC7A23"/>
    <w:rsid w:val="00CC7AF3"/>
    <w:rsid w:val="00CC7CB7"/>
    <w:rsid w:val="00CD04CF"/>
    <w:rsid w:val="00CD06A8"/>
    <w:rsid w:val="00CD0818"/>
    <w:rsid w:val="00CD0A41"/>
    <w:rsid w:val="00CD0F73"/>
    <w:rsid w:val="00CD1116"/>
    <w:rsid w:val="00CD12CF"/>
    <w:rsid w:val="00CD154D"/>
    <w:rsid w:val="00CD15E6"/>
    <w:rsid w:val="00CD16DB"/>
    <w:rsid w:val="00CD1AA8"/>
    <w:rsid w:val="00CD1CAF"/>
    <w:rsid w:val="00CD1D8F"/>
    <w:rsid w:val="00CD2014"/>
    <w:rsid w:val="00CD213F"/>
    <w:rsid w:val="00CD2C99"/>
    <w:rsid w:val="00CD3FD8"/>
    <w:rsid w:val="00CD410E"/>
    <w:rsid w:val="00CD4329"/>
    <w:rsid w:val="00CD4B48"/>
    <w:rsid w:val="00CD58A5"/>
    <w:rsid w:val="00CD5976"/>
    <w:rsid w:val="00CD5EBC"/>
    <w:rsid w:val="00CD7661"/>
    <w:rsid w:val="00CD7BC6"/>
    <w:rsid w:val="00CE02A3"/>
    <w:rsid w:val="00CE02F3"/>
    <w:rsid w:val="00CE02FE"/>
    <w:rsid w:val="00CE0AEE"/>
    <w:rsid w:val="00CE0EAC"/>
    <w:rsid w:val="00CE0FD2"/>
    <w:rsid w:val="00CE10B2"/>
    <w:rsid w:val="00CE10DC"/>
    <w:rsid w:val="00CE13BD"/>
    <w:rsid w:val="00CE142A"/>
    <w:rsid w:val="00CE14F0"/>
    <w:rsid w:val="00CE19CD"/>
    <w:rsid w:val="00CE1E39"/>
    <w:rsid w:val="00CE2D02"/>
    <w:rsid w:val="00CE3177"/>
    <w:rsid w:val="00CE33E5"/>
    <w:rsid w:val="00CE3682"/>
    <w:rsid w:val="00CE38B4"/>
    <w:rsid w:val="00CE3BEF"/>
    <w:rsid w:val="00CE49A9"/>
    <w:rsid w:val="00CE4BA2"/>
    <w:rsid w:val="00CE4E57"/>
    <w:rsid w:val="00CE4E62"/>
    <w:rsid w:val="00CE502A"/>
    <w:rsid w:val="00CE521C"/>
    <w:rsid w:val="00CE5CC7"/>
    <w:rsid w:val="00CE6C8E"/>
    <w:rsid w:val="00CF0140"/>
    <w:rsid w:val="00CF038B"/>
    <w:rsid w:val="00CF0E4E"/>
    <w:rsid w:val="00CF1474"/>
    <w:rsid w:val="00CF1507"/>
    <w:rsid w:val="00CF1D86"/>
    <w:rsid w:val="00CF2351"/>
    <w:rsid w:val="00CF297B"/>
    <w:rsid w:val="00CF29B3"/>
    <w:rsid w:val="00CF2C5A"/>
    <w:rsid w:val="00CF30CB"/>
    <w:rsid w:val="00CF3439"/>
    <w:rsid w:val="00CF34E5"/>
    <w:rsid w:val="00CF5367"/>
    <w:rsid w:val="00CF5E7E"/>
    <w:rsid w:val="00CF62B2"/>
    <w:rsid w:val="00CF66A3"/>
    <w:rsid w:val="00CF6EF5"/>
    <w:rsid w:val="00CF77D5"/>
    <w:rsid w:val="00D00448"/>
    <w:rsid w:val="00D0089C"/>
    <w:rsid w:val="00D016BE"/>
    <w:rsid w:val="00D022D8"/>
    <w:rsid w:val="00D02920"/>
    <w:rsid w:val="00D02A4A"/>
    <w:rsid w:val="00D02C66"/>
    <w:rsid w:val="00D032C3"/>
    <w:rsid w:val="00D0369B"/>
    <w:rsid w:val="00D03CBF"/>
    <w:rsid w:val="00D03F10"/>
    <w:rsid w:val="00D047F3"/>
    <w:rsid w:val="00D04CF9"/>
    <w:rsid w:val="00D052D5"/>
    <w:rsid w:val="00D05307"/>
    <w:rsid w:val="00D058EB"/>
    <w:rsid w:val="00D06804"/>
    <w:rsid w:val="00D06B9A"/>
    <w:rsid w:val="00D06DFA"/>
    <w:rsid w:val="00D0712A"/>
    <w:rsid w:val="00D077FF"/>
    <w:rsid w:val="00D07A0B"/>
    <w:rsid w:val="00D07B25"/>
    <w:rsid w:val="00D07F9C"/>
    <w:rsid w:val="00D10B47"/>
    <w:rsid w:val="00D10C98"/>
    <w:rsid w:val="00D115FB"/>
    <w:rsid w:val="00D12AF9"/>
    <w:rsid w:val="00D12DB9"/>
    <w:rsid w:val="00D13B3B"/>
    <w:rsid w:val="00D14E1C"/>
    <w:rsid w:val="00D14FA3"/>
    <w:rsid w:val="00D15116"/>
    <w:rsid w:val="00D1525D"/>
    <w:rsid w:val="00D152EC"/>
    <w:rsid w:val="00D1559A"/>
    <w:rsid w:val="00D16160"/>
    <w:rsid w:val="00D1616F"/>
    <w:rsid w:val="00D16ADD"/>
    <w:rsid w:val="00D16CBD"/>
    <w:rsid w:val="00D16FB2"/>
    <w:rsid w:val="00D1788F"/>
    <w:rsid w:val="00D17BF5"/>
    <w:rsid w:val="00D200E2"/>
    <w:rsid w:val="00D2063B"/>
    <w:rsid w:val="00D208F3"/>
    <w:rsid w:val="00D20B32"/>
    <w:rsid w:val="00D20F0C"/>
    <w:rsid w:val="00D21ACF"/>
    <w:rsid w:val="00D21CF4"/>
    <w:rsid w:val="00D21E1D"/>
    <w:rsid w:val="00D22115"/>
    <w:rsid w:val="00D231E3"/>
    <w:rsid w:val="00D23866"/>
    <w:rsid w:val="00D2426C"/>
    <w:rsid w:val="00D250FD"/>
    <w:rsid w:val="00D25B50"/>
    <w:rsid w:val="00D25E12"/>
    <w:rsid w:val="00D26057"/>
    <w:rsid w:val="00D26299"/>
    <w:rsid w:val="00D2641A"/>
    <w:rsid w:val="00D26E70"/>
    <w:rsid w:val="00D27721"/>
    <w:rsid w:val="00D27B51"/>
    <w:rsid w:val="00D27B96"/>
    <w:rsid w:val="00D27F1D"/>
    <w:rsid w:val="00D3088D"/>
    <w:rsid w:val="00D308C4"/>
    <w:rsid w:val="00D309BF"/>
    <w:rsid w:val="00D30AAA"/>
    <w:rsid w:val="00D30C88"/>
    <w:rsid w:val="00D31220"/>
    <w:rsid w:val="00D31454"/>
    <w:rsid w:val="00D31C40"/>
    <w:rsid w:val="00D32456"/>
    <w:rsid w:val="00D3284E"/>
    <w:rsid w:val="00D32995"/>
    <w:rsid w:val="00D339D7"/>
    <w:rsid w:val="00D34765"/>
    <w:rsid w:val="00D34B2A"/>
    <w:rsid w:val="00D35336"/>
    <w:rsid w:val="00D3542C"/>
    <w:rsid w:val="00D355A9"/>
    <w:rsid w:val="00D35E82"/>
    <w:rsid w:val="00D36371"/>
    <w:rsid w:val="00D364E1"/>
    <w:rsid w:val="00D36E43"/>
    <w:rsid w:val="00D37227"/>
    <w:rsid w:val="00D37318"/>
    <w:rsid w:val="00D37CC7"/>
    <w:rsid w:val="00D37F01"/>
    <w:rsid w:val="00D4011E"/>
    <w:rsid w:val="00D401D6"/>
    <w:rsid w:val="00D41271"/>
    <w:rsid w:val="00D4154A"/>
    <w:rsid w:val="00D41E8F"/>
    <w:rsid w:val="00D427F4"/>
    <w:rsid w:val="00D4281B"/>
    <w:rsid w:val="00D431F9"/>
    <w:rsid w:val="00D433ED"/>
    <w:rsid w:val="00D436AB"/>
    <w:rsid w:val="00D43818"/>
    <w:rsid w:val="00D44505"/>
    <w:rsid w:val="00D446D8"/>
    <w:rsid w:val="00D44871"/>
    <w:rsid w:val="00D44A40"/>
    <w:rsid w:val="00D44AFD"/>
    <w:rsid w:val="00D44D0E"/>
    <w:rsid w:val="00D44DDD"/>
    <w:rsid w:val="00D45D81"/>
    <w:rsid w:val="00D46E2E"/>
    <w:rsid w:val="00D470EF"/>
    <w:rsid w:val="00D4728E"/>
    <w:rsid w:val="00D4745A"/>
    <w:rsid w:val="00D4770D"/>
    <w:rsid w:val="00D47DE8"/>
    <w:rsid w:val="00D50071"/>
    <w:rsid w:val="00D50445"/>
    <w:rsid w:val="00D50486"/>
    <w:rsid w:val="00D50798"/>
    <w:rsid w:val="00D51000"/>
    <w:rsid w:val="00D5121D"/>
    <w:rsid w:val="00D514D2"/>
    <w:rsid w:val="00D519D1"/>
    <w:rsid w:val="00D51BF1"/>
    <w:rsid w:val="00D51BFD"/>
    <w:rsid w:val="00D5361C"/>
    <w:rsid w:val="00D5381C"/>
    <w:rsid w:val="00D54377"/>
    <w:rsid w:val="00D5466E"/>
    <w:rsid w:val="00D553A5"/>
    <w:rsid w:val="00D55B42"/>
    <w:rsid w:val="00D55B6E"/>
    <w:rsid w:val="00D55EB3"/>
    <w:rsid w:val="00D55F2C"/>
    <w:rsid w:val="00D5603E"/>
    <w:rsid w:val="00D56134"/>
    <w:rsid w:val="00D561DD"/>
    <w:rsid w:val="00D568DE"/>
    <w:rsid w:val="00D56B26"/>
    <w:rsid w:val="00D56D6F"/>
    <w:rsid w:val="00D575F0"/>
    <w:rsid w:val="00D57D30"/>
    <w:rsid w:val="00D57D64"/>
    <w:rsid w:val="00D60253"/>
    <w:rsid w:val="00D60303"/>
    <w:rsid w:val="00D606DB"/>
    <w:rsid w:val="00D61259"/>
    <w:rsid w:val="00D612EC"/>
    <w:rsid w:val="00D61495"/>
    <w:rsid w:val="00D61910"/>
    <w:rsid w:val="00D61FF5"/>
    <w:rsid w:val="00D6298A"/>
    <w:rsid w:val="00D62E9E"/>
    <w:rsid w:val="00D63380"/>
    <w:rsid w:val="00D63E1E"/>
    <w:rsid w:val="00D63E26"/>
    <w:rsid w:val="00D647AF"/>
    <w:rsid w:val="00D649B5"/>
    <w:rsid w:val="00D649C0"/>
    <w:rsid w:val="00D6556A"/>
    <w:rsid w:val="00D65FE3"/>
    <w:rsid w:val="00D672AE"/>
    <w:rsid w:val="00D67AFA"/>
    <w:rsid w:val="00D70399"/>
    <w:rsid w:val="00D70CA7"/>
    <w:rsid w:val="00D7111A"/>
    <w:rsid w:val="00D7131A"/>
    <w:rsid w:val="00D716DD"/>
    <w:rsid w:val="00D71990"/>
    <w:rsid w:val="00D72C3F"/>
    <w:rsid w:val="00D73074"/>
    <w:rsid w:val="00D735EF"/>
    <w:rsid w:val="00D73F54"/>
    <w:rsid w:val="00D7416D"/>
    <w:rsid w:val="00D74963"/>
    <w:rsid w:val="00D74F6B"/>
    <w:rsid w:val="00D75251"/>
    <w:rsid w:val="00D76081"/>
    <w:rsid w:val="00D7630B"/>
    <w:rsid w:val="00D76611"/>
    <w:rsid w:val="00D76D04"/>
    <w:rsid w:val="00D76FE8"/>
    <w:rsid w:val="00D77483"/>
    <w:rsid w:val="00D77E67"/>
    <w:rsid w:val="00D80105"/>
    <w:rsid w:val="00D80482"/>
    <w:rsid w:val="00D808F3"/>
    <w:rsid w:val="00D80F0D"/>
    <w:rsid w:val="00D81AEC"/>
    <w:rsid w:val="00D82558"/>
    <w:rsid w:val="00D82808"/>
    <w:rsid w:val="00D82E00"/>
    <w:rsid w:val="00D8325F"/>
    <w:rsid w:val="00D84CB4"/>
    <w:rsid w:val="00D86427"/>
    <w:rsid w:val="00D8647E"/>
    <w:rsid w:val="00D8654A"/>
    <w:rsid w:val="00D87BF4"/>
    <w:rsid w:val="00D87EA3"/>
    <w:rsid w:val="00D90F6F"/>
    <w:rsid w:val="00D9135E"/>
    <w:rsid w:val="00D91579"/>
    <w:rsid w:val="00D91FF1"/>
    <w:rsid w:val="00D921F9"/>
    <w:rsid w:val="00D9251A"/>
    <w:rsid w:val="00D92B32"/>
    <w:rsid w:val="00D9321F"/>
    <w:rsid w:val="00D94252"/>
    <w:rsid w:val="00D94695"/>
    <w:rsid w:val="00D94765"/>
    <w:rsid w:val="00D94C8C"/>
    <w:rsid w:val="00D95200"/>
    <w:rsid w:val="00D9603B"/>
    <w:rsid w:val="00D96B63"/>
    <w:rsid w:val="00DA0589"/>
    <w:rsid w:val="00DA0824"/>
    <w:rsid w:val="00DA0B77"/>
    <w:rsid w:val="00DA15C8"/>
    <w:rsid w:val="00DA1B3E"/>
    <w:rsid w:val="00DA2120"/>
    <w:rsid w:val="00DA2486"/>
    <w:rsid w:val="00DA2779"/>
    <w:rsid w:val="00DA403E"/>
    <w:rsid w:val="00DA4991"/>
    <w:rsid w:val="00DA54B5"/>
    <w:rsid w:val="00DA5543"/>
    <w:rsid w:val="00DA5AB1"/>
    <w:rsid w:val="00DA5AD9"/>
    <w:rsid w:val="00DA5B82"/>
    <w:rsid w:val="00DA5D77"/>
    <w:rsid w:val="00DA5E72"/>
    <w:rsid w:val="00DA681F"/>
    <w:rsid w:val="00DA689B"/>
    <w:rsid w:val="00DA6922"/>
    <w:rsid w:val="00DA6C9D"/>
    <w:rsid w:val="00DA6D67"/>
    <w:rsid w:val="00DA71C7"/>
    <w:rsid w:val="00DA7482"/>
    <w:rsid w:val="00DA7784"/>
    <w:rsid w:val="00DA7F29"/>
    <w:rsid w:val="00DB0162"/>
    <w:rsid w:val="00DB038D"/>
    <w:rsid w:val="00DB0547"/>
    <w:rsid w:val="00DB17B5"/>
    <w:rsid w:val="00DB1FB1"/>
    <w:rsid w:val="00DB29E5"/>
    <w:rsid w:val="00DB3104"/>
    <w:rsid w:val="00DB3825"/>
    <w:rsid w:val="00DB3EB4"/>
    <w:rsid w:val="00DB3FD3"/>
    <w:rsid w:val="00DB3FD7"/>
    <w:rsid w:val="00DB46BF"/>
    <w:rsid w:val="00DB4D39"/>
    <w:rsid w:val="00DB4EDD"/>
    <w:rsid w:val="00DB6FE5"/>
    <w:rsid w:val="00DB6FED"/>
    <w:rsid w:val="00DB75A3"/>
    <w:rsid w:val="00DB7754"/>
    <w:rsid w:val="00DB7CB9"/>
    <w:rsid w:val="00DB7DCE"/>
    <w:rsid w:val="00DC0520"/>
    <w:rsid w:val="00DC070A"/>
    <w:rsid w:val="00DC0748"/>
    <w:rsid w:val="00DC0E6F"/>
    <w:rsid w:val="00DC1351"/>
    <w:rsid w:val="00DC19A3"/>
    <w:rsid w:val="00DC1CF1"/>
    <w:rsid w:val="00DC21C1"/>
    <w:rsid w:val="00DC247D"/>
    <w:rsid w:val="00DC2644"/>
    <w:rsid w:val="00DC2A1E"/>
    <w:rsid w:val="00DC30F6"/>
    <w:rsid w:val="00DC5309"/>
    <w:rsid w:val="00DC5F38"/>
    <w:rsid w:val="00DC6C80"/>
    <w:rsid w:val="00DC7558"/>
    <w:rsid w:val="00DC7840"/>
    <w:rsid w:val="00DC7E50"/>
    <w:rsid w:val="00DD0282"/>
    <w:rsid w:val="00DD02E0"/>
    <w:rsid w:val="00DD0950"/>
    <w:rsid w:val="00DD0A6A"/>
    <w:rsid w:val="00DD0FFE"/>
    <w:rsid w:val="00DD1944"/>
    <w:rsid w:val="00DD1950"/>
    <w:rsid w:val="00DD3152"/>
    <w:rsid w:val="00DD3475"/>
    <w:rsid w:val="00DD3E99"/>
    <w:rsid w:val="00DD46C7"/>
    <w:rsid w:val="00DD4C90"/>
    <w:rsid w:val="00DD594E"/>
    <w:rsid w:val="00DD6211"/>
    <w:rsid w:val="00DD62EB"/>
    <w:rsid w:val="00DD65CA"/>
    <w:rsid w:val="00DD728B"/>
    <w:rsid w:val="00DD78B7"/>
    <w:rsid w:val="00DE0669"/>
    <w:rsid w:val="00DE13B1"/>
    <w:rsid w:val="00DE2017"/>
    <w:rsid w:val="00DE2480"/>
    <w:rsid w:val="00DE2490"/>
    <w:rsid w:val="00DE24DC"/>
    <w:rsid w:val="00DE2EC1"/>
    <w:rsid w:val="00DE3EC8"/>
    <w:rsid w:val="00DE3ED8"/>
    <w:rsid w:val="00DE4423"/>
    <w:rsid w:val="00DE46F6"/>
    <w:rsid w:val="00DE4746"/>
    <w:rsid w:val="00DE47E2"/>
    <w:rsid w:val="00DE4C35"/>
    <w:rsid w:val="00DE4CA6"/>
    <w:rsid w:val="00DE4DD8"/>
    <w:rsid w:val="00DE57C8"/>
    <w:rsid w:val="00DE646F"/>
    <w:rsid w:val="00DE6862"/>
    <w:rsid w:val="00DE7363"/>
    <w:rsid w:val="00DE7706"/>
    <w:rsid w:val="00DF03DB"/>
    <w:rsid w:val="00DF1A35"/>
    <w:rsid w:val="00DF1FED"/>
    <w:rsid w:val="00DF21C7"/>
    <w:rsid w:val="00DF244E"/>
    <w:rsid w:val="00DF24DC"/>
    <w:rsid w:val="00DF2ECA"/>
    <w:rsid w:val="00DF32B6"/>
    <w:rsid w:val="00DF33CE"/>
    <w:rsid w:val="00DF3643"/>
    <w:rsid w:val="00DF37DD"/>
    <w:rsid w:val="00DF3CEB"/>
    <w:rsid w:val="00DF3F25"/>
    <w:rsid w:val="00DF40EF"/>
    <w:rsid w:val="00DF43B6"/>
    <w:rsid w:val="00DF4B46"/>
    <w:rsid w:val="00DF575B"/>
    <w:rsid w:val="00DF5EF7"/>
    <w:rsid w:val="00DF6F49"/>
    <w:rsid w:val="00DF7C3D"/>
    <w:rsid w:val="00E00860"/>
    <w:rsid w:val="00E00B5A"/>
    <w:rsid w:val="00E01CDE"/>
    <w:rsid w:val="00E02339"/>
    <w:rsid w:val="00E02757"/>
    <w:rsid w:val="00E029F8"/>
    <w:rsid w:val="00E02FE1"/>
    <w:rsid w:val="00E03F06"/>
    <w:rsid w:val="00E043D9"/>
    <w:rsid w:val="00E043E2"/>
    <w:rsid w:val="00E0536A"/>
    <w:rsid w:val="00E05B56"/>
    <w:rsid w:val="00E0639C"/>
    <w:rsid w:val="00E0645D"/>
    <w:rsid w:val="00E06566"/>
    <w:rsid w:val="00E068F0"/>
    <w:rsid w:val="00E06D88"/>
    <w:rsid w:val="00E100A2"/>
    <w:rsid w:val="00E11185"/>
    <w:rsid w:val="00E112D4"/>
    <w:rsid w:val="00E114FE"/>
    <w:rsid w:val="00E11707"/>
    <w:rsid w:val="00E11A95"/>
    <w:rsid w:val="00E11DD5"/>
    <w:rsid w:val="00E121D1"/>
    <w:rsid w:val="00E12E81"/>
    <w:rsid w:val="00E132C9"/>
    <w:rsid w:val="00E13437"/>
    <w:rsid w:val="00E13C04"/>
    <w:rsid w:val="00E13F47"/>
    <w:rsid w:val="00E1404E"/>
    <w:rsid w:val="00E140A7"/>
    <w:rsid w:val="00E14277"/>
    <w:rsid w:val="00E14B34"/>
    <w:rsid w:val="00E14FDC"/>
    <w:rsid w:val="00E15215"/>
    <w:rsid w:val="00E15356"/>
    <w:rsid w:val="00E1559E"/>
    <w:rsid w:val="00E158F6"/>
    <w:rsid w:val="00E15CC4"/>
    <w:rsid w:val="00E15F38"/>
    <w:rsid w:val="00E15FC7"/>
    <w:rsid w:val="00E16A7F"/>
    <w:rsid w:val="00E16E54"/>
    <w:rsid w:val="00E170D0"/>
    <w:rsid w:val="00E17B6F"/>
    <w:rsid w:val="00E225BB"/>
    <w:rsid w:val="00E22E0D"/>
    <w:rsid w:val="00E22E62"/>
    <w:rsid w:val="00E230AC"/>
    <w:rsid w:val="00E231C6"/>
    <w:rsid w:val="00E23564"/>
    <w:rsid w:val="00E2361C"/>
    <w:rsid w:val="00E23803"/>
    <w:rsid w:val="00E244B5"/>
    <w:rsid w:val="00E245A2"/>
    <w:rsid w:val="00E25B06"/>
    <w:rsid w:val="00E25E57"/>
    <w:rsid w:val="00E2634F"/>
    <w:rsid w:val="00E267D7"/>
    <w:rsid w:val="00E26991"/>
    <w:rsid w:val="00E26A1D"/>
    <w:rsid w:val="00E26E2E"/>
    <w:rsid w:val="00E27ADE"/>
    <w:rsid w:val="00E27E56"/>
    <w:rsid w:val="00E27FF0"/>
    <w:rsid w:val="00E304E5"/>
    <w:rsid w:val="00E30643"/>
    <w:rsid w:val="00E3074D"/>
    <w:rsid w:val="00E30CFB"/>
    <w:rsid w:val="00E31149"/>
    <w:rsid w:val="00E3161E"/>
    <w:rsid w:val="00E321AB"/>
    <w:rsid w:val="00E33192"/>
    <w:rsid w:val="00E33259"/>
    <w:rsid w:val="00E33691"/>
    <w:rsid w:val="00E3394A"/>
    <w:rsid w:val="00E33BA7"/>
    <w:rsid w:val="00E33D2A"/>
    <w:rsid w:val="00E34907"/>
    <w:rsid w:val="00E34975"/>
    <w:rsid w:val="00E34D89"/>
    <w:rsid w:val="00E351AB"/>
    <w:rsid w:val="00E3523B"/>
    <w:rsid w:val="00E3547F"/>
    <w:rsid w:val="00E36E35"/>
    <w:rsid w:val="00E37B1F"/>
    <w:rsid w:val="00E37BB4"/>
    <w:rsid w:val="00E406D8"/>
    <w:rsid w:val="00E407C6"/>
    <w:rsid w:val="00E40B09"/>
    <w:rsid w:val="00E40F74"/>
    <w:rsid w:val="00E41329"/>
    <w:rsid w:val="00E4189E"/>
    <w:rsid w:val="00E4218D"/>
    <w:rsid w:val="00E42D9B"/>
    <w:rsid w:val="00E42E5C"/>
    <w:rsid w:val="00E43D44"/>
    <w:rsid w:val="00E440B0"/>
    <w:rsid w:val="00E4485A"/>
    <w:rsid w:val="00E44993"/>
    <w:rsid w:val="00E44A5E"/>
    <w:rsid w:val="00E456DE"/>
    <w:rsid w:val="00E457DF"/>
    <w:rsid w:val="00E45A4C"/>
    <w:rsid w:val="00E45EEB"/>
    <w:rsid w:val="00E466EB"/>
    <w:rsid w:val="00E46C69"/>
    <w:rsid w:val="00E47321"/>
    <w:rsid w:val="00E47EA1"/>
    <w:rsid w:val="00E5017B"/>
    <w:rsid w:val="00E50A0B"/>
    <w:rsid w:val="00E50DA2"/>
    <w:rsid w:val="00E50E0D"/>
    <w:rsid w:val="00E511EA"/>
    <w:rsid w:val="00E52381"/>
    <w:rsid w:val="00E52387"/>
    <w:rsid w:val="00E52431"/>
    <w:rsid w:val="00E52577"/>
    <w:rsid w:val="00E52951"/>
    <w:rsid w:val="00E5305E"/>
    <w:rsid w:val="00E53498"/>
    <w:rsid w:val="00E53678"/>
    <w:rsid w:val="00E53D75"/>
    <w:rsid w:val="00E53E31"/>
    <w:rsid w:val="00E54147"/>
    <w:rsid w:val="00E54BA7"/>
    <w:rsid w:val="00E5556C"/>
    <w:rsid w:val="00E55789"/>
    <w:rsid w:val="00E558BB"/>
    <w:rsid w:val="00E55B6B"/>
    <w:rsid w:val="00E55EEB"/>
    <w:rsid w:val="00E573F3"/>
    <w:rsid w:val="00E576E3"/>
    <w:rsid w:val="00E57821"/>
    <w:rsid w:val="00E60017"/>
    <w:rsid w:val="00E60B9E"/>
    <w:rsid w:val="00E61084"/>
    <w:rsid w:val="00E61580"/>
    <w:rsid w:val="00E61E08"/>
    <w:rsid w:val="00E61FAF"/>
    <w:rsid w:val="00E625B8"/>
    <w:rsid w:val="00E62AE2"/>
    <w:rsid w:val="00E62D34"/>
    <w:rsid w:val="00E6355D"/>
    <w:rsid w:val="00E63A92"/>
    <w:rsid w:val="00E6438B"/>
    <w:rsid w:val="00E64526"/>
    <w:rsid w:val="00E649E9"/>
    <w:rsid w:val="00E64B0B"/>
    <w:rsid w:val="00E64EF1"/>
    <w:rsid w:val="00E65204"/>
    <w:rsid w:val="00E659E1"/>
    <w:rsid w:val="00E65C09"/>
    <w:rsid w:val="00E6629B"/>
    <w:rsid w:val="00E66541"/>
    <w:rsid w:val="00E7031D"/>
    <w:rsid w:val="00E7086C"/>
    <w:rsid w:val="00E708F4"/>
    <w:rsid w:val="00E70953"/>
    <w:rsid w:val="00E70DE4"/>
    <w:rsid w:val="00E71409"/>
    <w:rsid w:val="00E714EF"/>
    <w:rsid w:val="00E71A5B"/>
    <w:rsid w:val="00E71DE8"/>
    <w:rsid w:val="00E721A7"/>
    <w:rsid w:val="00E72CFA"/>
    <w:rsid w:val="00E73693"/>
    <w:rsid w:val="00E7372B"/>
    <w:rsid w:val="00E73F3D"/>
    <w:rsid w:val="00E74A5F"/>
    <w:rsid w:val="00E74F08"/>
    <w:rsid w:val="00E74FF3"/>
    <w:rsid w:val="00E7505A"/>
    <w:rsid w:val="00E754D5"/>
    <w:rsid w:val="00E75DA5"/>
    <w:rsid w:val="00E779CB"/>
    <w:rsid w:val="00E803F2"/>
    <w:rsid w:val="00E8057E"/>
    <w:rsid w:val="00E806DE"/>
    <w:rsid w:val="00E80FEE"/>
    <w:rsid w:val="00E81986"/>
    <w:rsid w:val="00E81E53"/>
    <w:rsid w:val="00E820A4"/>
    <w:rsid w:val="00E833F6"/>
    <w:rsid w:val="00E83940"/>
    <w:rsid w:val="00E84460"/>
    <w:rsid w:val="00E85569"/>
    <w:rsid w:val="00E8597E"/>
    <w:rsid w:val="00E8609E"/>
    <w:rsid w:val="00E8704A"/>
    <w:rsid w:val="00E87167"/>
    <w:rsid w:val="00E90882"/>
    <w:rsid w:val="00E90F51"/>
    <w:rsid w:val="00E921CB"/>
    <w:rsid w:val="00E92D4A"/>
    <w:rsid w:val="00E92EDB"/>
    <w:rsid w:val="00E92FEE"/>
    <w:rsid w:val="00E936E9"/>
    <w:rsid w:val="00E93E04"/>
    <w:rsid w:val="00E94497"/>
    <w:rsid w:val="00E94A28"/>
    <w:rsid w:val="00E94ACE"/>
    <w:rsid w:val="00E9504D"/>
    <w:rsid w:val="00E9525A"/>
    <w:rsid w:val="00E95847"/>
    <w:rsid w:val="00E95C1F"/>
    <w:rsid w:val="00E9643E"/>
    <w:rsid w:val="00E9657B"/>
    <w:rsid w:val="00E9677C"/>
    <w:rsid w:val="00E96C3C"/>
    <w:rsid w:val="00E96D1E"/>
    <w:rsid w:val="00E97806"/>
    <w:rsid w:val="00EA0030"/>
    <w:rsid w:val="00EA00D7"/>
    <w:rsid w:val="00EA037C"/>
    <w:rsid w:val="00EA0828"/>
    <w:rsid w:val="00EA096D"/>
    <w:rsid w:val="00EA0A78"/>
    <w:rsid w:val="00EA0D92"/>
    <w:rsid w:val="00EA0D96"/>
    <w:rsid w:val="00EA137D"/>
    <w:rsid w:val="00EA1934"/>
    <w:rsid w:val="00EA1CE3"/>
    <w:rsid w:val="00EA23FB"/>
    <w:rsid w:val="00EA2A91"/>
    <w:rsid w:val="00EA3185"/>
    <w:rsid w:val="00EA37CF"/>
    <w:rsid w:val="00EA3B42"/>
    <w:rsid w:val="00EA42B5"/>
    <w:rsid w:val="00EA4ABC"/>
    <w:rsid w:val="00EA5D64"/>
    <w:rsid w:val="00EA6874"/>
    <w:rsid w:val="00EA70CE"/>
    <w:rsid w:val="00EA7184"/>
    <w:rsid w:val="00EB004A"/>
    <w:rsid w:val="00EB0B67"/>
    <w:rsid w:val="00EB1D1E"/>
    <w:rsid w:val="00EB2786"/>
    <w:rsid w:val="00EB2CAE"/>
    <w:rsid w:val="00EB37FD"/>
    <w:rsid w:val="00EB3958"/>
    <w:rsid w:val="00EB414C"/>
    <w:rsid w:val="00EB48E2"/>
    <w:rsid w:val="00EB5480"/>
    <w:rsid w:val="00EB54D2"/>
    <w:rsid w:val="00EB556F"/>
    <w:rsid w:val="00EB6A47"/>
    <w:rsid w:val="00EB7399"/>
    <w:rsid w:val="00EB751D"/>
    <w:rsid w:val="00EC0EF9"/>
    <w:rsid w:val="00EC1D78"/>
    <w:rsid w:val="00EC3589"/>
    <w:rsid w:val="00EC3957"/>
    <w:rsid w:val="00EC43F7"/>
    <w:rsid w:val="00EC4A1F"/>
    <w:rsid w:val="00EC5A1A"/>
    <w:rsid w:val="00EC5C53"/>
    <w:rsid w:val="00EC6690"/>
    <w:rsid w:val="00EC7138"/>
    <w:rsid w:val="00EC795A"/>
    <w:rsid w:val="00EC7C20"/>
    <w:rsid w:val="00EC7F74"/>
    <w:rsid w:val="00EC7F91"/>
    <w:rsid w:val="00ED0055"/>
    <w:rsid w:val="00ED0111"/>
    <w:rsid w:val="00ED058C"/>
    <w:rsid w:val="00ED0626"/>
    <w:rsid w:val="00ED1310"/>
    <w:rsid w:val="00ED1413"/>
    <w:rsid w:val="00ED1519"/>
    <w:rsid w:val="00ED17F1"/>
    <w:rsid w:val="00ED1C2C"/>
    <w:rsid w:val="00ED2098"/>
    <w:rsid w:val="00ED23DC"/>
    <w:rsid w:val="00ED24B6"/>
    <w:rsid w:val="00ED2664"/>
    <w:rsid w:val="00ED27B3"/>
    <w:rsid w:val="00ED36EF"/>
    <w:rsid w:val="00ED3A9F"/>
    <w:rsid w:val="00ED3DF7"/>
    <w:rsid w:val="00ED4253"/>
    <w:rsid w:val="00ED4DDB"/>
    <w:rsid w:val="00ED4E9A"/>
    <w:rsid w:val="00ED530A"/>
    <w:rsid w:val="00ED5347"/>
    <w:rsid w:val="00ED57C0"/>
    <w:rsid w:val="00ED5966"/>
    <w:rsid w:val="00ED5F4D"/>
    <w:rsid w:val="00ED70E8"/>
    <w:rsid w:val="00ED72B1"/>
    <w:rsid w:val="00ED733E"/>
    <w:rsid w:val="00ED7767"/>
    <w:rsid w:val="00ED7783"/>
    <w:rsid w:val="00ED7C30"/>
    <w:rsid w:val="00EE1DDC"/>
    <w:rsid w:val="00EE20F3"/>
    <w:rsid w:val="00EE23A7"/>
    <w:rsid w:val="00EE2D22"/>
    <w:rsid w:val="00EE31E5"/>
    <w:rsid w:val="00EE35C7"/>
    <w:rsid w:val="00EE37B7"/>
    <w:rsid w:val="00EE4581"/>
    <w:rsid w:val="00EE4C92"/>
    <w:rsid w:val="00EE6322"/>
    <w:rsid w:val="00EE66EC"/>
    <w:rsid w:val="00EE713B"/>
    <w:rsid w:val="00EF0258"/>
    <w:rsid w:val="00EF06F3"/>
    <w:rsid w:val="00EF14C3"/>
    <w:rsid w:val="00EF1619"/>
    <w:rsid w:val="00EF1789"/>
    <w:rsid w:val="00EF198F"/>
    <w:rsid w:val="00EF1D7D"/>
    <w:rsid w:val="00EF228D"/>
    <w:rsid w:val="00EF22ED"/>
    <w:rsid w:val="00EF2750"/>
    <w:rsid w:val="00EF27DC"/>
    <w:rsid w:val="00EF2C1F"/>
    <w:rsid w:val="00EF2E71"/>
    <w:rsid w:val="00EF2E9C"/>
    <w:rsid w:val="00EF3970"/>
    <w:rsid w:val="00EF412D"/>
    <w:rsid w:val="00EF47D5"/>
    <w:rsid w:val="00EF4863"/>
    <w:rsid w:val="00EF5061"/>
    <w:rsid w:val="00EF5F8C"/>
    <w:rsid w:val="00EF6002"/>
    <w:rsid w:val="00EF607B"/>
    <w:rsid w:val="00EF6C28"/>
    <w:rsid w:val="00EF6E29"/>
    <w:rsid w:val="00EF75D9"/>
    <w:rsid w:val="00EF7C9E"/>
    <w:rsid w:val="00F00565"/>
    <w:rsid w:val="00F0082D"/>
    <w:rsid w:val="00F0106D"/>
    <w:rsid w:val="00F0166A"/>
    <w:rsid w:val="00F01B6F"/>
    <w:rsid w:val="00F0239E"/>
    <w:rsid w:val="00F02554"/>
    <w:rsid w:val="00F025EB"/>
    <w:rsid w:val="00F0273B"/>
    <w:rsid w:val="00F02D48"/>
    <w:rsid w:val="00F03089"/>
    <w:rsid w:val="00F03493"/>
    <w:rsid w:val="00F03629"/>
    <w:rsid w:val="00F039C5"/>
    <w:rsid w:val="00F03D4E"/>
    <w:rsid w:val="00F03E1A"/>
    <w:rsid w:val="00F04256"/>
    <w:rsid w:val="00F04454"/>
    <w:rsid w:val="00F0458B"/>
    <w:rsid w:val="00F05232"/>
    <w:rsid w:val="00F0566E"/>
    <w:rsid w:val="00F05B81"/>
    <w:rsid w:val="00F05E8D"/>
    <w:rsid w:val="00F068A5"/>
    <w:rsid w:val="00F074A9"/>
    <w:rsid w:val="00F07675"/>
    <w:rsid w:val="00F07841"/>
    <w:rsid w:val="00F10523"/>
    <w:rsid w:val="00F1061B"/>
    <w:rsid w:val="00F1083D"/>
    <w:rsid w:val="00F10AFE"/>
    <w:rsid w:val="00F10EC0"/>
    <w:rsid w:val="00F114D9"/>
    <w:rsid w:val="00F115CC"/>
    <w:rsid w:val="00F11725"/>
    <w:rsid w:val="00F11C8C"/>
    <w:rsid w:val="00F11D83"/>
    <w:rsid w:val="00F12DE4"/>
    <w:rsid w:val="00F1360A"/>
    <w:rsid w:val="00F1367D"/>
    <w:rsid w:val="00F14015"/>
    <w:rsid w:val="00F142D2"/>
    <w:rsid w:val="00F14769"/>
    <w:rsid w:val="00F14A5C"/>
    <w:rsid w:val="00F14B9E"/>
    <w:rsid w:val="00F14E54"/>
    <w:rsid w:val="00F14F06"/>
    <w:rsid w:val="00F15272"/>
    <w:rsid w:val="00F15D4E"/>
    <w:rsid w:val="00F162D5"/>
    <w:rsid w:val="00F1632D"/>
    <w:rsid w:val="00F16705"/>
    <w:rsid w:val="00F16D72"/>
    <w:rsid w:val="00F16D73"/>
    <w:rsid w:val="00F16F71"/>
    <w:rsid w:val="00F172A3"/>
    <w:rsid w:val="00F20F1C"/>
    <w:rsid w:val="00F20F45"/>
    <w:rsid w:val="00F2163B"/>
    <w:rsid w:val="00F21729"/>
    <w:rsid w:val="00F21774"/>
    <w:rsid w:val="00F21829"/>
    <w:rsid w:val="00F21C39"/>
    <w:rsid w:val="00F21E6C"/>
    <w:rsid w:val="00F231BC"/>
    <w:rsid w:val="00F23574"/>
    <w:rsid w:val="00F23696"/>
    <w:rsid w:val="00F24189"/>
    <w:rsid w:val="00F2465C"/>
    <w:rsid w:val="00F247F2"/>
    <w:rsid w:val="00F2484A"/>
    <w:rsid w:val="00F268A2"/>
    <w:rsid w:val="00F26A4F"/>
    <w:rsid w:val="00F276FA"/>
    <w:rsid w:val="00F305B6"/>
    <w:rsid w:val="00F30719"/>
    <w:rsid w:val="00F3073F"/>
    <w:rsid w:val="00F3203C"/>
    <w:rsid w:val="00F320D3"/>
    <w:rsid w:val="00F3220F"/>
    <w:rsid w:val="00F32513"/>
    <w:rsid w:val="00F32598"/>
    <w:rsid w:val="00F333CD"/>
    <w:rsid w:val="00F334F5"/>
    <w:rsid w:val="00F344BA"/>
    <w:rsid w:val="00F346A3"/>
    <w:rsid w:val="00F34D14"/>
    <w:rsid w:val="00F35481"/>
    <w:rsid w:val="00F354DF"/>
    <w:rsid w:val="00F35636"/>
    <w:rsid w:val="00F3571B"/>
    <w:rsid w:val="00F35932"/>
    <w:rsid w:val="00F36667"/>
    <w:rsid w:val="00F36C9E"/>
    <w:rsid w:val="00F36EDE"/>
    <w:rsid w:val="00F37AB5"/>
    <w:rsid w:val="00F40A3C"/>
    <w:rsid w:val="00F40D92"/>
    <w:rsid w:val="00F411BE"/>
    <w:rsid w:val="00F4154E"/>
    <w:rsid w:val="00F41A79"/>
    <w:rsid w:val="00F429DB"/>
    <w:rsid w:val="00F42B04"/>
    <w:rsid w:val="00F42B31"/>
    <w:rsid w:val="00F42EE0"/>
    <w:rsid w:val="00F42FBF"/>
    <w:rsid w:val="00F43000"/>
    <w:rsid w:val="00F43120"/>
    <w:rsid w:val="00F43523"/>
    <w:rsid w:val="00F4367E"/>
    <w:rsid w:val="00F43C64"/>
    <w:rsid w:val="00F43C9D"/>
    <w:rsid w:val="00F43EF0"/>
    <w:rsid w:val="00F441DE"/>
    <w:rsid w:val="00F441F1"/>
    <w:rsid w:val="00F44923"/>
    <w:rsid w:val="00F44D02"/>
    <w:rsid w:val="00F45392"/>
    <w:rsid w:val="00F45414"/>
    <w:rsid w:val="00F4543C"/>
    <w:rsid w:val="00F464DD"/>
    <w:rsid w:val="00F47C19"/>
    <w:rsid w:val="00F50BF7"/>
    <w:rsid w:val="00F50CAD"/>
    <w:rsid w:val="00F5114F"/>
    <w:rsid w:val="00F51FFF"/>
    <w:rsid w:val="00F5211E"/>
    <w:rsid w:val="00F52672"/>
    <w:rsid w:val="00F52EC8"/>
    <w:rsid w:val="00F52FF1"/>
    <w:rsid w:val="00F534E5"/>
    <w:rsid w:val="00F53562"/>
    <w:rsid w:val="00F53D50"/>
    <w:rsid w:val="00F542ED"/>
    <w:rsid w:val="00F551E4"/>
    <w:rsid w:val="00F5559E"/>
    <w:rsid w:val="00F55896"/>
    <w:rsid w:val="00F56839"/>
    <w:rsid w:val="00F569C7"/>
    <w:rsid w:val="00F57511"/>
    <w:rsid w:val="00F575FD"/>
    <w:rsid w:val="00F579C1"/>
    <w:rsid w:val="00F57E00"/>
    <w:rsid w:val="00F60050"/>
    <w:rsid w:val="00F606FF"/>
    <w:rsid w:val="00F60950"/>
    <w:rsid w:val="00F60A8B"/>
    <w:rsid w:val="00F60DC6"/>
    <w:rsid w:val="00F60E56"/>
    <w:rsid w:val="00F61F3B"/>
    <w:rsid w:val="00F6222C"/>
    <w:rsid w:val="00F62924"/>
    <w:rsid w:val="00F62C5C"/>
    <w:rsid w:val="00F62DF3"/>
    <w:rsid w:val="00F63ECA"/>
    <w:rsid w:val="00F64354"/>
    <w:rsid w:val="00F65691"/>
    <w:rsid w:val="00F65B1D"/>
    <w:rsid w:val="00F67494"/>
    <w:rsid w:val="00F70295"/>
    <w:rsid w:val="00F709D7"/>
    <w:rsid w:val="00F70A0A"/>
    <w:rsid w:val="00F70DB9"/>
    <w:rsid w:val="00F7137A"/>
    <w:rsid w:val="00F71501"/>
    <w:rsid w:val="00F71692"/>
    <w:rsid w:val="00F71B31"/>
    <w:rsid w:val="00F71EEA"/>
    <w:rsid w:val="00F721FC"/>
    <w:rsid w:val="00F72DC5"/>
    <w:rsid w:val="00F739BA"/>
    <w:rsid w:val="00F73CA1"/>
    <w:rsid w:val="00F73D5C"/>
    <w:rsid w:val="00F73E85"/>
    <w:rsid w:val="00F744B6"/>
    <w:rsid w:val="00F745C9"/>
    <w:rsid w:val="00F7559C"/>
    <w:rsid w:val="00F762AC"/>
    <w:rsid w:val="00F765A1"/>
    <w:rsid w:val="00F771D9"/>
    <w:rsid w:val="00F7785E"/>
    <w:rsid w:val="00F77EEF"/>
    <w:rsid w:val="00F80003"/>
    <w:rsid w:val="00F80521"/>
    <w:rsid w:val="00F8093F"/>
    <w:rsid w:val="00F80B3C"/>
    <w:rsid w:val="00F80CAD"/>
    <w:rsid w:val="00F81147"/>
    <w:rsid w:val="00F8122D"/>
    <w:rsid w:val="00F81FB0"/>
    <w:rsid w:val="00F825D3"/>
    <w:rsid w:val="00F826CF"/>
    <w:rsid w:val="00F8271B"/>
    <w:rsid w:val="00F8298A"/>
    <w:rsid w:val="00F833CE"/>
    <w:rsid w:val="00F8375A"/>
    <w:rsid w:val="00F84108"/>
    <w:rsid w:val="00F84138"/>
    <w:rsid w:val="00F84B25"/>
    <w:rsid w:val="00F84D41"/>
    <w:rsid w:val="00F85475"/>
    <w:rsid w:val="00F863C9"/>
    <w:rsid w:val="00F869A2"/>
    <w:rsid w:val="00F90104"/>
    <w:rsid w:val="00F901D2"/>
    <w:rsid w:val="00F90605"/>
    <w:rsid w:val="00F907FE"/>
    <w:rsid w:val="00F90F4D"/>
    <w:rsid w:val="00F9121C"/>
    <w:rsid w:val="00F918F3"/>
    <w:rsid w:val="00F91B61"/>
    <w:rsid w:val="00F91D78"/>
    <w:rsid w:val="00F91E03"/>
    <w:rsid w:val="00F91F84"/>
    <w:rsid w:val="00F9269A"/>
    <w:rsid w:val="00F92AD4"/>
    <w:rsid w:val="00F92C4F"/>
    <w:rsid w:val="00F92CC6"/>
    <w:rsid w:val="00F936F1"/>
    <w:rsid w:val="00F93DD8"/>
    <w:rsid w:val="00F9458F"/>
    <w:rsid w:val="00F94790"/>
    <w:rsid w:val="00F9488E"/>
    <w:rsid w:val="00F94C56"/>
    <w:rsid w:val="00F94E1B"/>
    <w:rsid w:val="00F9502B"/>
    <w:rsid w:val="00F9597F"/>
    <w:rsid w:val="00F96A24"/>
    <w:rsid w:val="00F96B6B"/>
    <w:rsid w:val="00F9780A"/>
    <w:rsid w:val="00F97BAC"/>
    <w:rsid w:val="00F97D3B"/>
    <w:rsid w:val="00F97F49"/>
    <w:rsid w:val="00FA010F"/>
    <w:rsid w:val="00FA0185"/>
    <w:rsid w:val="00FA094C"/>
    <w:rsid w:val="00FA15DA"/>
    <w:rsid w:val="00FA1F8C"/>
    <w:rsid w:val="00FA22DD"/>
    <w:rsid w:val="00FA2503"/>
    <w:rsid w:val="00FA29BE"/>
    <w:rsid w:val="00FA2BFF"/>
    <w:rsid w:val="00FA314E"/>
    <w:rsid w:val="00FA3640"/>
    <w:rsid w:val="00FA392D"/>
    <w:rsid w:val="00FA4063"/>
    <w:rsid w:val="00FA406A"/>
    <w:rsid w:val="00FA5132"/>
    <w:rsid w:val="00FA5D1C"/>
    <w:rsid w:val="00FA5EDC"/>
    <w:rsid w:val="00FA6F5B"/>
    <w:rsid w:val="00FA77CA"/>
    <w:rsid w:val="00FB02D3"/>
    <w:rsid w:val="00FB03A6"/>
    <w:rsid w:val="00FB045B"/>
    <w:rsid w:val="00FB159E"/>
    <w:rsid w:val="00FB1A82"/>
    <w:rsid w:val="00FB21E9"/>
    <w:rsid w:val="00FB237B"/>
    <w:rsid w:val="00FB2ACE"/>
    <w:rsid w:val="00FB2AD8"/>
    <w:rsid w:val="00FB2DC4"/>
    <w:rsid w:val="00FB3511"/>
    <w:rsid w:val="00FB39EA"/>
    <w:rsid w:val="00FB3CDB"/>
    <w:rsid w:val="00FB4492"/>
    <w:rsid w:val="00FB495B"/>
    <w:rsid w:val="00FB4B2D"/>
    <w:rsid w:val="00FB4CB4"/>
    <w:rsid w:val="00FB64A3"/>
    <w:rsid w:val="00FB733A"/>
    <w:rsid w:val="00FB766E"/>
    <w:rsid w:val="00FB7845"/>
    <w:rsid w:val="00FB7A4F"/>
    <w:rsid w:val="00FB7C68"/>
    <w:rsid w:val="00FC0212"/>
    <w:rsid w:val="00FC0788"/>
    <w:rsid w:val="00FC189E"/>
    <w:rsid w:val="00FC1B6B"/>
    <w:rsid w:val="00FC1FA7"/>
    <w:rsid w:val="00FC1FC6"/>
    <w:rsid w:val="00FC26E4"/>
    <w:rsid w:val="00FC3356"/>
    <w:rsid w:val="00FC4EFB"/>
    <w:rsid w:val="00FC4F95"/>
    <w:rsid w:val="00FC543F"/>
    <w:rsid w:val="00FC58AE"/>
    <w:rsid w:val="00FC58F8"/>
    <w:rsid w:val="00FC5FA7"/>
    <w:rsid w:val="00FC6815"/>
    <w:rsid w:val="00FC6B1E"/>
    <w:rsid w:val="00FC7753"/>
    <w:rsid w:val="00FC79A4"/>
    <w:rsid w:val="00FD0013"/>
    <w:rsid w:val="00FD0470"/>
    <w:rsid w:val="00FD068C"/>
    <w:rsid w:val="00FD33B5"/>
    <w:rsid w:val="00FD3BC0"/>
    <w:rsid w:val="00FD3CBF"/>
    <w:rsid w:val="00FD44F1"/>
    <w:rsid w:val="00FD47C4"/>
    <w:rsid w:val="00FD4A49"/>
    <w:rsid w:val="00FD55BE"/>
    <w:rsid w:val="00FD5A25"/>
    <w:rsid w:val="00FD5D64"/>
    <w:rsid w:val="00FD659A"/>
    <w:rsid w:val="00FD6AFE"/>
    <w:rsid w:val="00FD7398"/>
    <w:rsid w:val="00FD7BD2"/>
    <w:rsid w:val="00FE1CE0"/>
    <w:rsid w:val="00FE2DC2"/>
    <w:rsid w:val="00FE3164"/>
    <w:rsid w:val="00FE4577"/>
    <w:rsid w:val="00FE4775"/>
    <w:rsid w:val="00FE479B"/>
    <w:rsid w:val="00FE4AEB"/>
    <w:rsid w:val="00FE4F2B"/>
    <w:rsid w:val="00FE5C5F"/>
    <w:rsid w:val="00FE631D"/>
    <w:rsid w:val="00FE6A3B"/>
    <w:rsid w:val="00FE7167"/>
    <w:rsid w:val="00FE7266"/>
    <w:rsid w:val="00FE74D6"/>
    <w:rsid w:val="00FE7E42"/>
    <w:rsid w:val="00FF1458"/>
    <w:rsid w:val="00FF2D6D"/>
    <w:rsid w:val="00FF3655"/>
    <w:rsid w:val="00FF3AE1"/>
    <w:rsid w:val="00FF3C2F"/>
    <w:rsid w:val="00FF430C"/>
    <w:rsid w:val="00FF4558"/>
    <w:rsid w:val="00FF4B19"/>
    <w:rsid w:val="00FF72ED"/>
    <w:rsid w:val="00FF7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43607"/>
  <w15:docId w15:val="{0B9DBDD1-764A-4B49-8915-D70E3909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pacing w:val="-3"/>
        <w:sz w:val="24"/>
        <w:szCs w:val="24"/>
        <w:lang w:val="en-US" w:eastAsia="en-US" w:bidi="ar-SA"/>
      </w:rPr>
    </w:rPrDefault>
    <w:pPrDefault>
      <w:pPr>
        <w:spacing w:line="360" w:lineRule="auto"/>
        <w:ind w:firstLine="14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5AA3"/>
  </w:style>
  <w:style w:type="paragraph" w:styleId="Heading1">
    <w:name w:val="heading 1"/>
    <w:basedOn w:val="Normal"/>
    <w:next w:val="Normal"/>
    <w:link w:val="Heading1Char"/>
    <w:uiPriority w:val="9"/>
    <w:qFormat/>
    <w:rsid w:val="00BB329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02A5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pPr>
    <w:rPr>
      <w:rFonts w:ascii="CG Times" w:eastAsia="Times New Roman" w:hAnsi="CG Times" w:cs="CG Times"/>
    </w:rPr>
  </w:style>
  <w:style w:type="paragraph" w:styleId="FootnoteText">
    <w:name w:val="footnote text"/>
    <w:aliases w:val="fn,ALTS FOOTNOTE,Footnote Text 2,Footnote text,FOOTNOTE,fn Char Char,fn Char,Footnote Text Char1,Footnote Text Char Char,Footnote Text Char1 Char Char,Footnote Text Char Char Char Char,Footnote Text Char1 Char Char Char Char"/>
    <w:basedOn w:val="Normal"/>
    <w:link w:val="FootnoteTextChar"/>
    <w:uiPriority w:val="99"/>
    <w:unhideWhenUsed/>
    <w:rsid w:val="00B428D0"/>
    <w:pPr>
      <w:spacing w:line="240" w:lineRule="auto"/>
    </w:pPr>
    <w:rPr>
      <w:sz w:val="20"/>
      <w:szCs w:val="20"/>
    </w:rPr>
  </w:style>
  <w:style w:type="character" w:customStyle="1" w:styleId="FootnoteTextChar">
    <w:name w:val="Footnote Text Char"/>
    <w:aliases w:val="fn Char1,ALTS FOOTNOTE Char,Footnote Text 2 Char,Footnote text Char,FOOTNOTE Char,fn Char Char Char,fn Char Char1,Footnote Text Char1 Char,Footnote Text Char Char Char,Footnote Text Char1 Char Char Char"/>
    <w:basedOn w:val="DefaultParagraphFont"/>
    <w:link w:val="FootnoteText"/>
    <w:uiPriority w:val="99"/>
    <w:rsid w:val="00B428D0"/>
    <w:rPr>
      <w:sz w:val="20"/>
      <w:szCs w:val="20"/>
    </w:rPr>
  </w:style>
  <w:style w:type="character" w:styleId="FootnoteReference">
    <w:name w:val="footnote reference"/>
    <w:aliases w:val="fr,o,Style 6,Style 20,Appel note de bas de p,Style 8,Style 7,Style 3,Style 17,Style 19"/>
    <w:basedOn w:val="DefaultParagraphFont"/>
    <w:uiPriority w:val="99"/>
    <w:unhideWhenUsed/>
    <w:rsid w:val="00B428D0"/>
    <w:rPr>
      <w:vertAlign w:val="superscript"/>
    </w:rPr>
  </w:style>
  <w:style w:type="paragraph" w:customStyle="1" w:styleId="Style">
    <w:name w:val="Style"/>
    <w:rsid w:val="00D51BF1"/>
    <w:pPr>
      <w:widowControl w:val="0"/>
      <w:autoSpaceDE w:val="0"/>
      <w:autoSpaceDN w:val="0"/>
      <w:adjustRightInd w:val="0"/>
    </w:pPr>
    <w:rPr>
      <w:rFonts w:eastAsia="Times New Roman"/>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line="480" w:lineRule="auto"/>
      <w:jc w:val="both"/>
    </w:pPr>
    <w:rPr>
      <w:rFonts w:eastAsia="Times New Roman"/>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BC27C8"/>
    <w:pPr>
      <w:spacing w:after="120"/>
      <w:ind w:left="360"/>
    </w:pPr>
  </w:style>
  <w:style w:type="character" w:customStyle="1" w:styleId="BodyTextIndentChar">
    <w:name w:val="Body Text Indent Char"/>
    <w:basedOn w:val="DefaultParagraphFont"/>
    <w:link w:val="BodyTextIndent"/>
    <w:uiPriority w:val="99"/>
    <w:semiHidden/>
    <w:rsid w:val="00BC27C8"/>
  </w:style>
  <w:style w:type="character" w:styleId="Hyperlink">
    <w:name w:val="Hyperlink"/>
    <w:basedOn w:val="DefaultParagraphFont"/>
    <w:uiPriority w:val="99"/>
    <w:unhideWhenUsed/>
    <w:rsid w:val="006B3B61"/>
    <w:rPr>
      <w:color w:val="0000FF" w:themeColor="hyperlink"/>
      <w:u w:val="single"/>
    </w:rPr>
  </w:style>
  <w:style w:type="paragraph" w:customStyle="1" w:styleId="Numberedpara">
    <w:name w:val="Numbered para"/>
    <w:link w:val="NumberedparaChar"/>
    <w:qFormat/>
    <w:rsid w:val="00F765A1"/>
    <w:pPr>
      <w:numPr>
        <w:numId w:val="8"/>
      </w:numPr>
      <w:tabs>
        <w:tab w:val="left" w:pos="0"/>
      </w:tabs>
      <w:spacing w:after="240" w:line="480" w:lineRule="auto"/>
      <w:ind w:left="1170"/>
    </w:pPr>
    <w:rPr>
      <w:rFonts w:eastAsia="Calibri"/>
    </w:rPr>
  </w:style>
  <w:style w:type="character" w:customStyle="1" w:styleId="NumberedparaChar">
    <w:name w:val="Numbered para Char"/>
    <w:link w:val="Numberedpara"/>
    <w:rsid w:val="00F765A1"/>
    <w:rPr>
      <w:rFonts w:eastAsia="Calibri"/>
    </w:rPr>
  </w:style>
  <w:style w:type="paragraph" w:styleId="NormalWeb">
    <w:name w:val="Normal (Web)"/>
    <w:basedOn w:val="Normal"/>
    <w:uiPriority w:val="99"/>
    <w:unhideWhenUsed/>
    <w:rsid w:val="00BB4615"/>
    <w:pPr>
      <w:spacing w:before="240" w:after="240" w:line="240" w:lineRule="auto"/>
    </w:pPr>
    <w:rPr>
      <w:rFonts w:eastAsia="Times New Roman"/>
      <w:lang w:eastAsia="zh-CN"/>
    </w:rPr>
  </w:style>
  <w:style w:type="paragraph" w:styleId="TOC1">
    <w:name w:val="toc 1"/>
    <w:basedOn w:val="Normal"/>
    <w:next w:val="Normal"/>
    <w:autoRedefine/>
    <w:uiPriority w:val="39"/>
    <w:unhideWhenUsed/>
    <w:rsid w:val="002460E1"/>
    <w:pPr>
      <w:tabs>
        <w:tab w:val="left" w:pos="1440"/>
        <w:tab w:val="right" w:leader="dot" w:pos="9350"/>
      </w:tabs>
      <w:spacing w:line="240" w:lineRule="auto"/>
      <w:ind w:left="720" w:firstLine="0"/>
    </w:pPr>
  </w:style>
  <w:style w:type="paragraph" w:styleId="TOC2">
    <w:name w:val="toc 2"/>
    <w:basedOn w:val="Normal"/>
    <w:next w:val="Normal"/>
    <w:autoRedefine/>
    <w:uiPriority w:val="39"/>
    <w:unhideWhenUsed/>
    <w:rsid w:val="002E7829"/>
    <w:pPr>
      <w:tabs>
        <w:tab w:val="left" w:pos="1440"/>
        <w:tab w:val="right" w:leader="dot" w:pos="9350"/>
      </w:tabs>
      <w:spacing w:after="100"/>
      <w:ind w:left="720"/>
    </w:pPr>
  </w:style>
  <w:style w:type="paragraph" w:styleId="TOC3">
    <w:name w:val="toc 3"/>
    <w:basedOn w:val="Normal"/>
    <w:next w:val="Normal"/>
    <w:autoRedefine/>
    <w:uiPriority w:val="39"/>
    <w:unhideWhenUsed/>
    <w:rsid w:val="002C5026"/>
    <w:pPr>
      <w:tabs>
        <w:tab w:val="left" w:pos="2160"/>
        <w:tab w:val="right" w:leader="dot" w:pos="9350"/>
      </w:tabs>
      <w:spacing w:after="100"/>
      <w:ind w:left="1440"/>
    </w:pPr>
  </w:style>
  <w:style w:type="paragraph" w:styleId="TOC4">
    <w:name w:val="toc 4"/>
    <w:basedOn w:val="Normal"/>
    <w:next w:val="Normal"/>
    <w:autoRedefine/>
    <w:uiPriority w:val="39"/>
    <w:unhideWhenUsed/>
    <w:rsid w:val="002E7829"/>
    <w:pPr>
      <w:tabs>
        <w:tab w:val="left" w:pos="2880"/>
        <w:tab w:val="right" w:leader="dot" w:pos="9350"/>
      </w:tabs>
      <w:spacing w:after="100"/>
      <w:ind w:left="2160"/>
    </w:pPr>
  </w:style>
  <w:style w:type="character" w:styleId="Emphasis">
    <w:name w:val="Emphasis"/>
    <w:basedOn w:val="DefaultParagraphFont"/>
    <w:uiPriority w:val="20"/>
    <w:qFormat/>
    <w:rsid w:val="004436A0"/>
    <w:rPr>
      <w:i/>
      <w:iCs/>
    </w:rPr>
  </w:style>
  <w:style w:type="character" w:customStyle="1" w:styleId="A4">
    <w:name w:val="A4"/>
    <w:uiPriority w:val="99"/>
    <w:rsid w:val="001A1795"/>
    <w:rPr>
      <w:rFonts w:cs="Calibri"/>
      <w:b/>
      <w:bCs/>
      <w:color w:val="000000"/>
      <w:sz w:val="21"/>
      <w:szCs w:val="21"/>
    </w:rPr>
  </w:style>
  <w:style w:type="character" w:customStyle="1" w:styleId="term1">
    <w:name w:val="term1"/>
    <w:basedOn w:val="DefaultParagraphFont"/>
    <w:rsid w:val="002D7F57"/>
    <w:rPr>
      <w:b/>
      <w:bCs/>
    </w:rPr>
  </w:style>
  <w:style w:type="character" w:customStyle="1" w:styleId="pmterms11">
    <w:name w:val="pmterms11"/>
    <w:basedOn w:val="DefaultParagraphFont"/>
    <w:rsid w:val="002D7F57"/>
    <w:rPr>
      <w:b/>
      <w:bCs/>
      <w:i w:val="0"/>
      <w:iCs w:val="0"/>
      <w:color w:val="000000"/>
    </w:rPr>
  </w:style>
  <w:style w:type="character" w:customStyle="1" w:styleId="pmterms31">
    <w:name w:val="pmterms31"/>
    <w:basedOn w:val="DefaultParagraphFont"/>
    <w:rsid w:val="002D7F57"/>
    <w:rPr>
      <w:b/>
      <w:bCs/>
      <w:i w:val="0"/>
      <w:iCs w:val="0"/>
      <w:color w:val="000000"/>
    </w:rPr>
  </w:style>
  <w:style w:type="paragraph" w:customStyle="1" w:styleId="Pa0">
    <w:name w:val="Pa0"/>
    <w:basedOn w:val="Normal"/>
    <w:next w:val="Normal"/>
    <w:uiPriority w:val="99"/>
    <w:rsid w:val="0027572E"/>
    <w:pPr>
      <w:autoSpaceDE w:val="0"/>
      <w:autoSpaceDN w:val="0"/>
      <w:adjustRightInd w:val="0"/>
      <w:spacing w:line="241" w:lineRule="atLeast"/>
    </w:pPr>
    <w:rPr>
      <w:rFonts w:ascii="Calibri" w:hAnsi="Calibri" w:cstheme="minorBidi"/>
      <w:spacing w:val="0"/>
    </w:rPr>
  </w:style>
  <w:style w:type="paragraph" w:customStyle="1" w:styleId="Default">
    <w:name w:val="Default"/>
    <w:rsid w:val="007030FA"/>
    <w:pPr>
      <w:autoSpaceDE w:val="0"/>
      <w:autoSpaceDN w:val="0"/>
      <w:adjustRightInd w:val="0"/>
    </w:pPr>
    <w:rPr>
      <w:rFonts w:ascii="Calibri" w:hAnsi="Calibri" w:cs="Calibri"/>
      <w:color w:val="000000"/>
      <w:spacing w:val="0"/>
    </w:rPr>
  </w:style>
  <w:style w:type="paragraph" w:styleId="EndnoteText">
    <w:name w:val="endnote text"/>
    <w:basedOn w:val="Normal"/>
    <w:link w:val="EndnoteTextChar"/>
    <w:uiPriority w:val="99"/>
    <w:semiHidden/>
    <w:unhideWhenUsed/>
    <w:rsid w:val="006B39DC"/>
    <w:pPr>
      <w:spacing w:line="240" w:lineRule="auto"/>
    </w:pPr>
    <w:rPr>
      <w:sz w:val="20"/>
      <w:szCs w:val="20"/>
    </w:rPr>
  </w:style>
  <w:style w:type="character" w:customStyle="1" w:styleId="EndnoteTextChar">
    <w:name w:val="Endnote Text Char"/>
    <w:basedOn w:val="DefaultParagraphFont"/>
    <w:link w:val="EndnoteText"/>
    <w:uiPriority w:val="99"/>
    <w:semiHidden/>
    <w:rsid w:val="006B39DC"/>
    <w:rPr>
      <w:sz w:val="20"/>
      <w:szCs w:val="20"/>
    </w:rPr>
  </w:style>
  <w:style w:type="character" w:styleId="EndnoteReference">
    <w:name w:val="endnote reference"/>
    <w:basedOn w:val="DefaultParagraphFont"/>
    <w:uiPriority w:val="99"/>
    <w:semiHidden/>
    <w:unhideWhenUsed/>
    <w:rsid w:val="006B39DC"/>
    <w:rPr>
      <w:vertAlign w:val="superscript"/>
    </w:rPr>
  </w:style>
  <w:style w:type="character" w:customStyle="1" w:styleId="st1">
    <w:name w:val="st1"/>
    <w:basedOn w:val="DefaultParagraphFont"/>
    <w:rsid w:val="005713F6"/>
  </w:style>
  <w:style w:type="character" w:customStyle="1" w:styleId="pmterms21">
    <w:name w:val="pmterms21"/>
    <w:basedOn w:val="DefaultParagraphFont"/>
    <w:rsid w:val="00070601"/>
    <w:rPr>
      <w:b/>
      <w:bCs/>
      <w:i w:val="0"/>
      <w:iCs w:val="0"/>
      <w:color w:val="000000"/>
    </w:rPr>
  </w:style>
  <w:style w:type="paragraph" w:styleId="BodyText3">
    <w:name w:val="Body Text 3"/>
    <w:basedOn w:val="Normal"/>
    <w:link w:val="BodyText3Char"/>
    <w:uiPriority w:val="99"/>
    <w:semiHidden/>
    <w:unhideWhenUsed/>
    <w:rsid w:val="00E22E0D"/>
    <w:pPr>
      <w:spacing w:after="120"/>
      <w:ind w:firstLine="0"/>
    </w:pPr>
    <w:rPr>
      <w:rFonts w:ascii="CG Times" w:eastAsia="Times New Roman" w:hAnsi="CG Times"/>
      <w:spacing w:val="0"/>
      <w:sz w:val="16"/>
      <w:szCs w:val="16"/>
    </w:rPr>
  </w:style>
  <w:style w:type="character" w:customStyle="1" w:styleId="BodyText3Char">
    <w:name w:val="Body Text 3 Char"/>
    <w:basedOn w:val="DefaultParagraphFont"/>
    <w:link w:val="BodyText3"/>
    <w:uiPriority w:val="99"/>
    <w:semiHidden/>
    <w:rsid w:val="00E22E0D"/>
    <w:rPr>
      <w:rFonts w:ascii="CG Times" w:eastAsia="Times New Roman" w:hAnsi="CG Times"/>
      <w:spacing w:val="0"/>
      <w:sz w:val="16"/>
      <w:szCs w:val="16"/>
    </w:rPr>
  </w:style>
  <w:style w:type="character" w:styleId="FollowedHyperlink">
    <w:name w:val="FollowedHyperlink"/>
    <w:basedOn w:val="DefaultParagraphFont"/>
    <w:uiPriority w:val="99"/>
    <w:semiHidden/>
    <w:unhideWhenUsed/>
    <w:rsid w:val="00CD04CF"/>
    <w:rPr>
      <w:color w:val="800080" w:themeColor="followedHyperlink"/>
      <w:u w:val="single"/>
    </w:rPr>
  </w:style>
  <w:style w:type="paragraph" w:styleId="Revision">
    <w:name w:val="Revision"/>
    <w:hidden/>
    <w:uiPriority w:val="99"/>
    <w:semiHidden/>
    <w:rsid w:val="00B916BE"/>
    <w:pPr>
      <w:spacing w:line="240" w:lineRule="auto"/>
      <w:ind w:firstLine="0"/>
    </w:pPr>
  </w:style>
  <w:style w:type="character" w:customStyle="1" w:styleId="term">
    <w:name w:val="term"/>
    <w:basedOn w:val="DefaultParagraphFont"/>
    <w:rsid w:val="00D55B42"/>
  </w:style>
  <w:style w:type="character" w:customStyle="1" w:styleId="ssleftalign1">
    <w:name w:val="ss_leftalign1"/>
    <w:basedOn w:val="DefaultParagraphFont"/>
    <w:rsid w:val="006D3C11"/>
    <w:rPr>
      <w:vanish w:val="0"/>
      <w:webHidden w:val="0"/>
      <w:sz w:val="24"/>
      <w:szCs w:val="24"/>
      <w:specVanish w:val="0"/>
    </w:rPr>
  </w:style>
  <w:style w:type="character" w:customStyle="1" w:styleId="ssbf1">
    <w:name w:val="ss_bf1"/>
    <w:basedOn w:val="DefaultParagraphFont"/>
    <w:rsid w:val="00FA1F8C"/>
    <w:rPr>
      <w:b/>
      <w:bCs/>
      <w:color w:val="373739"/>
    </w:rPr>
  </w:style>
  <w:style w:type="character" w:customStyle="1" w:styleId="ssit1">
    <w:name w:val="ss_it1"/>
    <w:basedOn w:val="DefaultParagraphFont"/>
    <w:rsid w:val="00FA1F8C"/>
    <w:rPr>
      <w:i/>
      <w:iCs/>
    </w:rPr>
  </w:style>
  <w:style w:type="character" w:customStyle="1" w:styleId="sssh">
    <w:name w:val="ss_sh"/>
    <w:basedOn w:val="DefaultParagraphFont"/>
    <w:rsid w:val="00E65204"/>
  </w:style>
  <w:style w:type="character" w:customStyle="1" w:styleId="ssun1">
    <w:name w:val="ss_un1"/>
    <w:basedOn w:val="DefaultParagraphFont"/>
    <w:rsid w:val="00E65204"/>
    <w:rPr>
      <w:u w:val="single"/>
    </w:rPr>
  </w:style>
  <w:style w:type="paragraph" w:styleId="PlainText">
    <w:name w:val="Plain Text"/>
    <w:basedOn w:val="Normal"/>
    <w:link w:val="PlainTextChar"/>
    <w:uiPriority w:val="99"/>
    <w:unhideWhenUsed/>
    <w:rsid w:val="00A314F1"/>
    <w:pPr>
      <w:spacing w:line="240" w:lineRule="auto"/>
      <w:ind w:firstLine="0"/>
    </w:pPr>
    <w:rPr>
      <w:rFonts w:ascii="Calibri" w:hAnsi="Calibri" w:cstheme="minorBidi"/>
      <w:spacing w:val="0"/>
      <w:sz w:val="22"/>
      <w:szCs w:val="21"/>
    </w:rPr>
  </w:style>
  <w:style w:type="character" w:customStyle="1" w:styleId="PlainTextChar">
    <w:name w:val="Plain Text Char"/>
    <w:basedOn w:val="DefaultParagraphFont"/>
    <w:link w:val="PlainText"/>
    <w:uiPriority w:val="99"/>
    <w:rsid w:val="00A314F1"/>
    <w:rPr>
      <w:rFonts w:ascii="Calibri" w:hAnsi="Calibri" w:cstheme="minorBidi"/>
      <w:spacing w:val="0"/>
      <w:sz w:val="22"/>
      <w:szCs w:val="21"/>
    </w:rPr>
  </w:style>
  <w:style w:type="character" w:customStyle="1" w:styleId="Heading1Char">
    <w:name w:val="Heading 1 Char"/>
    <w:basedOn w:val="DefaultParagraphFont"/>
    <w:link w:val="Heading1"/>
    <w:uiPriority w:val="9"/>
    <w:rsid w:val="00BB329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B3295"/>
    <w:pPr>
      <w:spacing w:line="259" w:lineRule="auto"/>
      <w:ind w:firstLine="0"/>
      <w:outlineLvl w:val="9"/>
    </w:pPr>
    <w:rPr>
      <w:spacing w:val="0"/>
    </w:rPr>
  </w:style>
  <w:style w:type="character" w:customStyle="1" w:styleId="Heading2Char">
    <w:name w:val="Heading 2 Char"/>
    <w:basedOn w:val="DefaultParagraphFont"/>
    <w:link w:val="Heading2"/>
    <w:uiPriority w:val="9"/>
    <w:semiHidden/>
    <w:rsid w:val="00702A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312953">
      <w:bodyDiv w:val="1"/>
      <w:marLeft w:val="0"/>
      <w:marRight w:val="0"/>
      <w:marTop w:val="0"/>
      <w:marBottom w:val="0"/>
      <w:divBdr>
        <w:top w:val="none" w:sz="0" w:space="0" w:color="auto"/>
        <w:left w:val="none" w:sz="0" w:space="0" w:color="auto"/>
        <w:bottom w:val="none" w:sz="0" w:space="0" w:color="auto"/>
        <w:right w:val="none" w:sz="0" w:space="0" w:color="auto"/>
      </w:divBdr>
    </w:div>
    <w:div w:id="620385059">
      <w:bodyDiv w:val="1"/>
      <w:marLeft w:val="0"/>
      <w:marRight w:val="0"/>
      <w:marTop w:val="0"/>
      <w:marBottom w:val="0"/>
      <w:divBdr>
        <w:top w:val="none" w:sz="0" w:space="0" w:color="auto"/>
        <w:left w:val="none" w:sz="0" w:space="0" w:color="auto"/>
        <w:bottom w:val="none" w:sz="0" w:space="0" w:color="auto"/>
        <w:right w:val="none" w:sz="0" w:space="0" w:color="auto"/>
      </w:divBdr>
      <w:divsChild>
        <w:div w:id="1029143672">
          <w:marLeft w:val="0"/>
          <w:marRight w:val="0"/>
          <w:marTop w:val="0"/>
          <w:marBottom w:val="0"/>
          <w:divBdr>
            <w:top w:val="none" w:sz="0" w:space="0" w:color="auto"/>
            <w:left w:val="none" w:sz="0" w:space="0" w:color="auto"/>
            <w:bottom w:val="none" w:sz="0" w:space="0" w:color="auto"/>
            <w:right w:val="none" w:sz="0" w:space="0" w:color="auto"/>
          </w:divBdr>
          <w:divsChild>
            <w:div w:id="1012801970">
              <w:marLeft w:val="0"/>
              <w:marRight w:val="0"/>
              <w:marTop w:val="0"/>
              <w:marBottom w:val="0"/>
              <w:divBdr>
                <w:top w:val="none" w:sz="0" w:space="0" w:color="auto"/>
                <w:left w:val="none" w:sz="0" w:space="0" w:color="auto"/>
                <w:bottom w:val="none" w:sz="0" w:space="0" w:color="auto"/>
                <w:right w:val="none" w:sz="0" w:space="0" w:color="auto"/>
              </w:divBdr>
              <w:divsChild>
                <w:div w:id="2034528882">
                  <w:marLeft w:val="0"/>
                  <w:marRight w:val="0"/>
                  <w:marTop w:val="0"/>
                  <w:marBottom w:val="0"/>
                  <w:divBdr>
                    <w:top w:val="none" w:sz="0" w:space="0" w:color="auto"/>
                    <w:left w:val="none" w:sz="0" w:space="0" w:color="auto"/>
                    <w:bottom w:val="none" w:sz="0" w:space="0" w:color="auto"/>
                    <w:right w:val="none" w:sz="0" w:space="0" w:color="auto"/>
                  </w:divBdr>
                  <w:divsChild>
                    <w:div w:id="656687942">
                      <w:marLeft w:val="0"/>
                      <w:marRight w:val="0"/>
                      <w:marTop w:val="0"/>
                      <w:marBottom w:val="0"/>
                      <w:divBdr>
                        <w:top w:val="none" w:sz="0" w:space="0" w:color="auto"/>
                        <w:left w:val="none" w:sz="0" w:space="0" w:color="auto"/>
                        <w:bottom w:val="none" w:sz="0" w:space="0" w:color="auto"/>
                        <w:right w:val="none" w:sz="0" w:space="0" w:color="auto"/>
                      </w:divBdr>
                      <w:divsChild>
                        <w:div w:id="34409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385178124">
      <w:bodyDiv w:val="1"/>
      <w:marLeft w:val="0"/>
      <w:marRight w:val="0"/>
      <w:marTop w:val="0"/>
      <w:marBottom w:val="0"/>
      <w:divBdr>
        <w:top w:val="none" w:sz="0" w:space="0" w:color="auto"/>
        <w:left w:val="none" w:sz="0" w:space="0" w:color="auto"/>
        <w:bottom w:val="none" w:sz="0" w:space="0" w:color="auto"/>
        <w:right w:val="none" w:sz="0" w:space="0" w:color="auto"/>
      </w:divBdr>
      <w:divsChild>
        <w:div w:id="973831956">
          <w:marLeft w:val="0"/>
          <w:marRight w:val="0"/>
          <w:marTop w:val="0"/>
          <w:marBottom w:val="0"/>
          <w:divBdr>
            <w:top w:val="none" w:sz="0" w:space="0" w:color="auto"/>
            <w:left w:val="none" w:sz="0" w:space="0" w:color="auto"/>
            <w:bottom w:val="none" w:sz="0" w:space="0" w:color="auto"/>
            <w:right w:val="none" w:sz="0" w:space="0" w:color="auto"/>
          </w:divBdr>
          <w:divsChild>
            <w:div w:id="1040858765">
              <w:marLeft w:val="0"/>
              <w:marRight w:val="0"/>
              <w:marTop w:val="0"/>
              <w:marBottom w:val="0"/>
              <w:divBdr>
                <w:top w:val="none" w:sz="0" w:space="0" w:color="auto"/>
                <w:left w:val="none" w:sz="0" w:space="0" w:color="auto"/>
                <w:bottom w:val="none" w:sz="0" w:space="0" w:color="auto"/>
                <w:right w:val="none" w:sz="0" w:space="0" w:color="auto"/>
              </w:divBdr>
              <w:divsChild>
                <w:div w:id="508909846">
                  <w:marLeft w:val="0"/>
                  <w:marRight w:val="0"/>
                  <w:marTop w:val="0"/>
                  <w:marBottom w:val="0"/>
                  <w:divBdr>
                    <w:top w:val="none" w:sz="0" w:space="0" w:color="auto"/>
                    <w:left w:val="none" w:sz="0" w:space="0" w:color="auto"/>
                    <w:bottom w:val="none" w:sz="0" w:space="0" w:color="auto"/>
                    <w:right w:val="none" w:sz="0" w:space="0" w:color="auto"/>
                  </w:divBdr>
                  <w:divsChild>
                    <w:div w:id="204316574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990750">
      <w:bodyDiv w:val="1"/>
      <w:marLeft w:val="0"/>
      <w:marRight w:val="0"/>
      <w:marTop w:val="0"/>
      <w:marBottom w:val="0"/>
      <w:divBdr>
        <w:top w:val="none" w:sz="0" w:space="0" w:color="auto"/>
        <w:left w:val="none" w:sz="0" w:space="0" w:color="auto"/>
        <w:bottom w:val="none" w:sz="0" w:space="0" w:color="auto"/>
        <w:right w:val="none" w:sz="0" w:space="0" w:color="auto"/>
      </w:divBdr>
      <w:divsChild>
        <w:div w:id="1732003844">
          <w:marLeft w:val="0"/>
          <w:marRight w:val="0"/>
          <w:marTop w:val="0"/>
          <w:marBottom w:val="0"/>
          <w:divBdr>
            <w:top w:val="none" w:sz="0" w:space="0" w:color="auto"/>
            <w:left w:val="none" w:sz="0" w:space="0" w:color="auto"/>
            <w:bottom w:val="none" w:sz="0" w:space="0" w:color="auto"/>
            <w:right w:val="none" w:sz="0" w:space="0" w:color="auto"/>
          </w:divBdr>
          <w:divsChild>
            <w:div w:id="1175609003">
              <w:marLeft w:val="0"/>
              <w:marRight w:val="0"/>
              <w:marTop w:val="0"/>
              <w:marBottom w:val="0"/>
              <w:divBdr>
                <w:top w:val="none" w:sz="0" w:space="0" w:color="auto"/>
                <w:left w:val="none" w:sz="0" w:space="0" w:color="auto"/>
                <w:bottom w:val="none" w:sz="0" w:space="0" w:color="auto"/>
                <w:right w:val="none" w:sz="0" w:space="0" w:color="auto"/>
              </w:divBdr>
              <w:divsChild>
                <w:div w:id="2038387336">
                  <w:marLeft w:val="0"/>
                  <w:marRight w:val="300"/>
                  <w:marTop w:val="0"/>
                  <w:marBottom w:val="0"/>
                  <w:divBdr>
                    <w:top w:val="none" w:sz="0" w:space="0" w:color="auto"/>
                    <w:left w:val="none" w:sz="0" w:space="0" w:color="auto"/>
                    <w:bottom w:val="none" w:sz="0" w:space="0" w:color="auto"/>
                    <w:right w:val="none" w:sz="0" w:space="0" w:color="auto"/>
                  </w:divBdr>
                  <w:divsChild>
                    <w:div w:id="1625194161">
                      <w:marLeft w:val="0"/>
                      <w:marRight w:val="0"/>
                      <w:marTop w:val="0"/>
                      <w:marBottom w:val="0"/>
                      <w:divBdr>
                        <w:top w:val="none" w:sz="0" w:space="0" w:color="auto"/>
                        <w:left w:val="none" w:sz="0" w:space="0" w:color="auto"/>
                        <w:bottom w:val="none" w:sz="0" w:space="0" w:color="auto"/>
                        <w:right w:val="none" w:sz="0" w:space="0" w:color="auto"/>
                      </w:divBdr>
                      <w:divsChild>
                        <w:div w:id="1813978964">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 w:id="1879051860">
      <w:bodyDiv w:val="1"/>
      <w:marLeft w:val="0"/>
      <w:marRight w:val="0"/>
      <w:marTop w:val="0"/>
      <w:marBottom w:val="0"/>
      <w:divBdr>
        <w:top w:val="none" w:sz="0" w:space="0" w:color="auto"/>
        <w:left w:val="none" w:sz="0" w:space="0" w:color="auto"/>
        <w:bottom w:val="none" w:sz="0" w:space="0" w:color="auto"/>
        <w:right w:val="none" w:sz="0" w:space="0" w:color="auto"/>
      </w:divBdr>
    </w:div>
    <w:div w:id="1885867991">
      <w:bodyDiv w:val="1"/>
      <w:marLeft w:val="0"/>
      <w:marRight w:val="0"/>
      <w:marTop w:val="0"/>
      <w:marBottom w:val="0"/>
      <w:divBdr>
        <w:top w:val="none" w:sz="0" w:space="0" w:color="auto"/>
        <w:left w:val="none" w:sz="0" w:space="0" w:color="auto"/>
        <w:bottom w:val="none" w:sz="0" w:space="0" w:color="auto"/>
        <w:right w:val="none" w:sz="0" w:space="0" w:color="auto"/>
      </w:divBdr>
      <w:divsChild>
        <w:div w:id="2119182605">
          <w:marLeft w:val="0"/>
          <w:marRight w:val="0"/>
          <w:marTop w:val="0"/>
          <w:marBottom w:val="0"/>
          <w:divBdr>
            <w:top w:val="none" w:sz="0" w:space="0" w:color="auto"/>
            <w:left w:val="none" w:sz="0" w:space="0" w:color="auto"/>
            <w:bottom w:val="none" w:sz="0" w:space="0" w:color="auto"/>
            <w:right w:val="none" w:sz="0" w:space="0" w:color="auto"/>
          </w:divBdr>
          <w:divsChild>
            <w:div w:id="1323318336">
              <w:marLeft w:val="0"/>
              <w:marRight w:val="0"/>
              <w:marTop w:val="0"/>
              <w:marBottom w:val="0"/>
              <w:divBdr>
                <w:top w:val="none" w:sz="0" w:space="0" w:color="auto"/>
                <w:left w:val="none" w:sz="0" w:space="0" w:color="auto"/>
                <w:bottom w:val="none" w:sz="0" w:space="0" w:color="auto"/>
                <w:right w:val="none" w:sz="0" w:space="0" w:color="auto"/>
              </w:divBdr>
              <w:divsChild>
                <w:div w:id="1838840979">
                  <w:marLeft w:val="0"/>
                  <w:marRight w:val="300"/>
                  <w:marTop w:val="0"/>
                  <w:marBottom w:val="0"/>
                  <w:divBdr>
                    <w:top w:val="none" w:sz="0" w:space="0" w:color="auto"/>
                    <w:left w:val="none" w:sz="0" w:space="0" w:color="auto"/>
                    <w:bottom w:val="none" w:sz="0" w:space="0" w:color="auto"/>
                    <w:right w:val="none" w:sz="0" w:space="0" w:color="auto"/>
                  </w:divBdr>
                  <w:divsChild>
                    <w:div w:id="541481383">
                      <w:marLeft w:val="0"/>
                      <w:marRight w:val="0"/>
                      <w:marTop w:val="0"/>
                      <w:marBottom w:val="0"/>
                      <w:divBdr>
                        <w:top w:val="none" w:sz="0" w:space="0" w:color="auto"/>
                        <w:left w:val="none" w:sz="0" w:space="0" w:color="auto"/>
                        <w:bottom w:val="none" w:sz="0" w:space="0" w:color="auto"/>
                        <w:right w:val="none" w:sz="0" w:space="0" w:color="auto"/>
                      </w:divBdr>
                      <w:divsChild>
                        <w:div w:id="838696840">
                          <w:blockQuote w:val="1"/>
                          <w:marLeft w:val="600"/>
                          <w:marRight w:val="600"/>
                          <w:marTop w:val="240"/>
                          <w:marBottom w:val="240"/>
                          <w:divBdr>
                            <w:top w:val="none" w:sz="0" w:space="0" w:color="auto"/>
                            <w:left w:val="none" w:sz="0" w:space="0" w:color="auto"/>
                            <w:bottom w:val="none" w:sz="0" w:space="0" w:color="auto"/>
                            <w:right w:val="none" w:sz="0" w:space="0" w:color="auto"/>
                          </w:divBdr>
                          <w:divsChild>
                            <w:div w:id="928197059">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625484">
      <w:bodyDiv w:val="1"/>
      <w:marLeft w:val="0"/>
      <w:marRight w:val="0"/>
      <w:marTop w:val="0"/>
      <w:marBottom w:val="0"/>
      <w:divBdr>
        <w:top w:val="none" w:sz="0" w:space="0" w:color="auto"/>
        <w:left w:val="none" w:sz="0" w:space="0" w:color="auto"/>
        <w:bottom w:val="none" w:sz="0" w:space="0" w:color="auto"/>
        <w:right w:val="none" w:sz="0" w:space="0" w:color="auto"/>
      </w:divBdr>
      <w:divsChild>
        <w:div w:id="200360954">
          <w:marLeft w:val="0"/>
          <w:marRight w:val="0"/>
          <w:marTop w:val="0"/>
          <w:marBottom w:val="0"/>
          <w:divBdr>
            <w:top w:val="none" w:sz="0" w:space="0" w:color="auto"/>
            <w:left w:val="single" w:sz="6" w:space="0" w:color="BBBBBB"/>
            <w:bottom w:val="single" w:sz="6" w:space="0" w:color="BBBBBB"/>
            <w:right w:val="single" w:sz="6" w:space="0" w:color="BBBBBB"/>
          </w:divBdr>
          <w:divsChild>
            <w:div w:id="1674992913">
              <w:marLeft w:val="0"/>
              <w:marRight w:val="0"/>
              <w:marTop w:val="0"/>
              <w:marBottom w:val="0"/>
              <w:divBdr>
                <w:top w:val="none" w:sz="0" w:space="0" w:color="auto"/>
                <w:left w:val="none" w:sz="0" w:space="0" w:color="auto"/>
                <w:bottom w:val="none" w:sz="0" w:space="0" w:color="auto"/>
                <w:right w:val="none" w:sz="0" w:space="0" w:color="auto"/>
              </w:divBdr>
              <w:divsChild>
                <w:div w:id="1588074103">
                  <w:marLeft w:val="0"/>
                  <w:marRight w:val="0"/>
                  <w:marTop w:val="0"/>
                  <w:marBottom w:val="0"/>
                  <w:divBdr>
                    <w:top w:val="none" w:sz="0" w:space="0" w:color="auto"/>
                    <w:left w:val="none" w:sz="0" w:space="0" w:color="auto"/>
                    <w:bottom w:val="none" w:sz="0" w:space="0" w:color="auto"/>
                    <w:right w:val="none" w:sz="0" w:space="0" w:color="auto"/>
                  </w:divBdr>
                  <w:divsChild>
                    <w:div w:id="1244755011">
                      <w:marLeft w:val="0"/>
                      <w:marRight w:val="0"/>
                      <w:marTop w:val="0"/>
                      <w:marBottom w:val="0"/>
                      <w:divBdr>
                        <w:top w:val="none" w:sz="0" w:space="0" w:color="auto"/>
                        <w:left w:val="none" w:sz="0" w:space="0" w:color="auto"/>
                        <w:bottom w:val="none" w:sz="0" w:space="0" w:color="auto"/>
                        <w:right w:val="none" w:sz="0" w:space="0" w:color="auto"/>
                      </w:divBdr>
                      <w:divsChild>
                        <w:div w:id="2000578876">
                          <w:marLeft w:val="0"/>
                          <w:marRight w:val="0"/>
                          <w:marTop w:val="0"/>
                          <w:marBottom w:val="0"/>
                          <w:divBdr>
                            <w:top w:val="none" w:sz="0" w:space="0" w:color="auto"/>
                            <w:left w:val="none" w:sz="0" w:space="0" w:color="auto"/>
                            <w:bottom w:val="none" w:sz="0" w:space="0" w:color="auto"/>
                            <w:right w:val="none" w:sz="0" w:space="0" w:color="auto"/>
                          </w:divBdr>
                          <w:divsChild>
                            <w:div w:id="2046323436">
                              <w:marLeft w:val="0"/>
                              <w:marRight w:val="0"/>
                              <w:marTop w:val="0"/>
                              <w:marBottom w:val="0"/>
                              <w:divBdr>
                                <w:top w:val="none" w:sz="0" w:space="0" w:color="auto"/>
                                <w:left w:val="none" w:sz="0" w:space="0" w:color="auto"/>
                                <w:bottom w:val="none" w:sz="0" w:space="0" w:color="auto"/>
                                <w:right w:val="none" w:sz="0" w:space="0" w:color="auto"/>
                              </w:divBdr>
                              <w:divsChild>
                                <w:div w:id="505750173">
                                  <w:marLeft w:val="0"/>
                                  <w:marRight w:val="0"/>
                                  <w:marTop w:val="0"/>
                                  <w:marBottom w:val="0"/>
                                  <w:divBdr>
                                    <w:top w:val="none" w:sz="0" w:space="0" w:color="auto"/>
                                    <w:left w:val="none" w:sz="0" w:space="0" w:color="auto"/>
                                    <w:bottom w:val="none" w:sz="0" w:space="0" w:color="auto"/>
                                    <w:right w:val="none" w:sz="0" w:space="0" w:color="auto"/>
                                  </w:divBdr>
                                  <w:divsChild>
                                    <w:div w:id="824397780">
                                      <w:marLeft w:val="0"/>
                                      <w:marRight w:val="0"/>
                                      <w:marTop w:val="0"/>
                                      <w:marBottom w:val="0"/>
                                      <w:divBdr>
                                        <w:top w:val="none" w:sz="0" w:space="0" w:color="auto"/>
                                        <w:left w:val="none" w:sz="0" w:space="0" w:color="auto"/>
                                        <w:bottom w:val="none" w:sz="0" w:space="0" w:color="auto"/>
                                        <w:right w:val="none" w:sz="0" w:space="0" w:color="auto"/>
                                      </w:divBdr>
                                      <w:divsChild>
                                        <w:div w:id="856892346">
                                          <w:marLeft w:val="1200"/>
                                          <w:marRight w:val="1200"/>
                                          <w:marTop w:val="0"/>
                                          <w:marBottom w:val="0"/>
                                          <w:divBdr>
                                            <w:top w:val="none" w:sz="0" w:space="0" w:color="auto"/>
                                            <w:left w:val="none" w:sz="0" w:space="0" w:color="auto"/>
                                            <w:bottom w:val="none" w:sz="0" w:space="0" w:color="auto"/>
                                            <w:right w:val="none" w:sz="0" w:space="0" w:color="auto"/>
                                          </w:divBdr>
                                          <w:divsChild>
                                            <w:div w:id="233247283">
                                              <w:marLeft w:val="0"/>
                                              <w:marRight w:val="0"/>
                                              <w:marTop w:val="0"/>
                                              <w:marBottom w:val="0"/>
                                              <w:divBdr>
                                                <w:top w:val="none" w:sz="0" w:space="0" w:color="auto"/>
                                                <w:left w:val="none" w:sz="0" w:space="0" w:color="auto"/>
                                                <w:bottom w:val="none" w:sz="0" w:space="0" w:color="auto"/>
                                                <w:right w:val="none" w:sz="0" w:space="0" w:color="auto"/>
                                              </w:divBdr>
                                              <w:divsChild>
                                                <w:div w:id="1033461093">
                                                  <w:marLeft w:val="0"/>
                                                  <w:marRight w:val="0"/>
                                                  <w:marTop w:val="240"/>
                                                  <w:marBottom w:val="0"/>
                                                  <w:divBdr>
                                                    <w:top w:val="none" w:sz="0" w:space="0" w:color="auto"/>
                                                    <w:left w:val="none" w:sz="0" w:space="0" w:color="auto"/>
                                                    <w:bottom w:val="none" w:sz="0" w:space="0" w:color="auto"/>
                                                    <w:right w:val="none" w:sz="0" w:space="0" w:color="auto"/>
                                                  </w:divBdr>
                                                  <w:divsChild>
                                                    <w:div w:id="272447263">
                                                      <w:marLeft w:val="0"/>
                                                      <w:marRight w:val="0"/>
                                                      <w:marTop w:val="0"/>
                                                      <w:marBottom w:val="0"/>
                                                      <w:divBdr>
                                                        <w:top w:val="none" w:sz="0" w:space="0" w:color="auto"/>
                                                        <w:left w:val="none" w:sz="0" w:space="0" w:color="auto"/>
                                                        <w:bottom w:val="none" w:sz="0" w:space="0" w:color="auto"/>
                                                        <w:right w:val="none" w:sz="0" w:space="0" w:color="auto"/>
                                                      </w:divBdr>
                                                      <w:divsChild>
                                                        <w:div w:id="2121603825">
                                                          <w:marLeft w:val="1275"/>
                                                          <w:marRight w:val="0"/>
                                                          <w:marTop w:val="0"/>
                                                          <w:marBottom w:val="0"/>
                                                          <w:divBdr>
                                                            <w:top w:val="none" w:sz="0" w:space="0" w:color="auto"/>
                                                            <w:left w:val="none" w:sz="0" w:space="0" w:color="auto"/>
                                                            <w:bottom w:val="none" w:sz="0" w:space="0" w:color="auto"/>
                                                            <w:right w:val="none" w:sz="0" w:space="0" w:color="auto"/>
                                                          </w:divBdr>
                                                          <w:divsChild>
                                                            <w:div w:id="1045981775">
                                                              <w:marLeft w:val="0"/>
                                                              <w:marRight w:val="0"/>
                                                              <w:marTop w:val="0"/>
                                                              <w:marBottom w:val="0"/>
                                                              <w:divBdr>
                                                                <w:top w:val="none" w:sz="0" w:space="0" w:color="auto"/>
                                                                <w:left w:val="none" w:sz="0" w:space="0" w:color="auto"/>
                                                                <w:bottom w:val="none" w:sz="0" w:space="0" w:color="auto"/>
                                                                <w:right w:val="none" w:sz="0" w:space="0" w:color="auto"/>
                                                              </w:divBdr>
                                                              <w:divsChild>
                                                                <w:div w:id="92321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7620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xis.com/research/retrieve?_m=f3dc2b908cc0db5da9079b870fa4cbba&amp;docnum=4&amp;_fmtstr=FULL&amp;_startdoc=1&amp;wchp=dGLbVzB-zSkAl&amp;_md5=b8c640c1deb3f46143841d3deebab48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xis.com/research/retrieve?_m=f3dc2b908cc0db5da9079b870fa4cbba&amp;docnum=5&amp;_fmtstr=FULL&amp;_startdoc=1&amp;wchp=dGLbVzB-zSkAl&amp;_md5=b8c640c1deb3f46143841d3deebab48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exis.com/research/buttonTFLink?_m=e0446eb3a57046fd56a5524b8aeb5c24&amp;_xfercite=%3ccite%20cc%3d%22USA%22%3e%3c%21%5bCDATA%5b2015%20Pa.%20PUC%20LEXIS%20549%5d%5d%3e%3c%2fcite%3e&amp;_butType=3&amp;_butStat=2&amp;_butNum=5&amp;_butInline=1&amp;_butinfo=%3ccite%20cc%3d%22USA%22%3e%3c%21%5bCDATA%5b54%20Pa.%20PUC%2098%5d%5d%3e%3c%2fcite%3e&amp;_fmtstr=FULL&amp;docnum=1&amp;_startdoc=1&amp;wchp=dGLbVzB-zSkAW&amp;_md5=05f2fdc10d48a6a86644fe8afc5432e6" TargetMode="External"/><Relationship Id="rId4" Type="http://schemas.openxmlformats.org/officeDocument/2006/relationships/settings" Target="settings.xml"/><Relationship Id="rId9" Type="http://schemas.openxmlformats.org/officeDocument/2006/relationships/hyperlink" Target="http://www.lexis.com/research/buttonTFLink?_m=e0446eb3a57046fd56a5524b8aeb5c24&amp;_xfercite=%3ccite%20cc%3d%22USA%22%3e%3c%21%5bCDATA%5b2015%20Pa.%20PUC%20LEXIS%20549%5d%5d%3e%3c%2fcite%3e&amp;_butType=3&amp;_butStat=2&amp;_butNum=4&amp;_butInline=1&amp;_butinfo=%3ccite%20cc%3d%22USA%22%3e%3c%21%5bCDATA%5b54%20Pa.%20PUC%20528%5d%5d%3e%3c%2fcite%3e&amp;_fmtstr=FULL&amp;docnum=1&amp;_startdoc=1&amp;wchp=dGLbVzB-zSkAW&amp;_md5=774a0b21da7e58206aa06c84adee7859"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lexis.com/research/buttonTFLink?_m=e60eaad176a205839c89e99f61befd70&amp;_xfercite=%3ccite%20cc%3d%22USA%22%3e%3c%21%5bCDATA%5b2017%20Pa.%20PUC%20LEXIS%20147%5d%5d%3e%3c%2fcite%3e&amp;_butType=3&amp;_butStat=2&amp;_butNum=8&amp;_butInline=1&amp;_butinfo=%3ccite%20cc%3d%22USA%22%3e%3c%21%5bCDATA%5b768%20A.2d%201217%5d%5d%3e%3c%2fcite%3e&amp;_fmtstr=FULL&amp;docnum=1&amp;_startdoc=1&amp;wchp=dGLzVzB-zSkAb&amp;_md5=a9785b5d781856937c770a3e88201388" TargetMode="External"/><Relationship Id="rId2" Type="http://schemas.openxmlformats.org/officeDocument/2006/relationships/hyperlink" Target="http://www.lexis.com/research/buttonTFLink?_m=e60eaad176a205839c89e99f61befd70&amp;_xfercite=%3ccite%20cc%3d%22USA%22%3e%3c%21%5bCDATA%5b2017%20Pa.%20PUC%20LEXIS%20147%5d%5d%3e%3c%2fcite%3e&amp;_butType=3&amp;_butStat=2&amp;_butNum=7&amp;_butInline=1&amp;_butinfo=%3ccite%20cc%3d%22USA%22%3e%3c%21%5bCDATA%5b473%20A.2d%20704%5d%5d%3e%3c%2fcite%3e&amp;_fmtstr=FULL&amp;docnum=1&amp;_startdoc=1&amp;wchp=dGLzVzB-zSkAb&amp;_md5=f4dbe13a275a196d54fcadbaf8f5c98c" TargetMode="External"/><Relationship Id="rId1" Type="http://schemas.openxmlformats.org/officeDocument/2006/relationships/hyperlink" Target="https://advance.lexis.com/document/documentlink/?pdmfid=1000516&amp;crid=792c8ede-10e7-47f6-81db-f8d232c35a06&amp;pddocfullpath=%2Fshared%2Fdocument%2Fcases%2Furn%3AcontentItem%3A5R5M-GFY1-FJDY-X2S8-00000-00&amp;pdcontentcomponentid=9296&amp;pddoctitle=Hiko+Energy%2C+LLC+v.+Pa.+PUC%2C+2017+Pa.+LEXIS+3632+(Pa.%2C+Dec.+13%2C+2017)&amp;ecomp=Lg85k&amp;prid=985d3194-4ea9-401a-a3ff-50a40a6af7b6" TargetMode="External"/><Relationship Id="rId6" Type="http://schemas.openxmlformats.org/officeDocument/2006/relationships/hyperlink" Target="http://www.lexis.com/research/buttonTFLink?_m=e60eaad176a205839c89e99f61befd70&amp;_xfercite=%3ccite%20cc%3d%22USA%22%3e%3c%21%5bCDATA%5b2017%20Pa.%20PUC%20LEXIS%20147%5d%5d%3e%3c%2fcite%3e&amp;_butType=4&amp;_butStat=0&amp;_butNum=10&amp;_butInline=1&amp;_butinfo=52%20PA%20CODE%205.536&amp;_fmtstr=FULL&amp;docnum=1&amp;_startdoc=1&amp;wchp=dGLzVzB-zSkAb&amp;_md5=c126c2546524beeecad652824a56d624" TargetMode="External"/><Relationship Id="rId5" Type="http://schemas.openxmlformats.org/officeDocument/2006/relationships/hyperlink" Target="http://www.lexis.com/research/buttonTFLink?_m=e60eaad176a205839c89e99f61befd70&amp;_xfercite=%3ccite%20cc%3d%22USA%22%3e%3c%21%5bCDATA%5b2017%20Pa.%20PUC%20LEXIS%20147%5d%5d%3e%3c%2fcite%3e&amp;_butType=4&amp;_butStat=0&amp;_butNum=6&amp;_butInline=1&amp;_butinfo=66%20PACS%20335&amp;_fmtstr=FULL&amp;docnum=1&amp;_startdoc=1&amp;wchp=dGLzVzB-zSkAb&amp;_md5=02aca3895aaa5ab283d49f8489b2d1b2" TargetMode="External"/><Relationship Id="rId4" Type="http://schemas.openxmlformats.org/officeDocument/2006/relationships/hyperlink" Target="http://www.lexis.com/research/buttonTFLink?_m=e60eaad176a205839c89e99f61befd70&amp;_xfercite=%3ccite%20cc%3d%22USA%22%3e%3c%21%5bCDATA%5b2017%20Pa.%20PUC%20LEXIS%20147%5d%5d%3e%3c%2fcite%3e&amp;_butType=3&amp;_butStat=2&amp;_butNum=9&amp;_butInline=1&amp;_butinfo=%3ccite%20cc%3d%22USA%22%3e%3c%21%5bCDATA%5b154%20A.3d%20422%5d%5d%3e%3c%2fcite%3e&amp;_fmtstr=FULL&amp;docnum=1&amp;_startdoc=1&amp;wchp=dGLzVzB-zSkAb&amp;_md5=32155e1e91493eccec688220bbedbb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A8BD4-AE01-4685-85DF-E9F8773C2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102</Pages>
  <Words>25570</Words>
  <Characters>145751</Characters>
  <Application>Microsoft Office Word</Application>
  <DocSecurity>0</DocSecurity>
  <Lines>1214</Lines>
  <Paragraphs>341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Wagner, Nathan R</cp:lastModifiedBy>
  <cp:revision>3</cp:revision>
  <cp:lastPrinted>2018-07-18T18:16:00Z</cp:lastPrinted>
  <dcterms:created xsi:type="dcterms:W3CDTF">2018-07-18T18:31:00Z</dcterms:created>
  <dcterms:modified xsi:type="dcterms:W3CDTF">2018-07-19T13:46:00Z</dcterms:modified>
</cp:coreProperties>
</file>