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85F" w:rsidRPr="003016BE" w:rsidRDefault="0005085F" w:rsidP="0005085F">
      <w:pPr>
        <w:tabs>
          <w:tab w:val="left" w:pos="0"/>
          <w:tab w:val="left" w:pos="1440"/>
        </w:tabs>
        <w:spacing w:line="240" w:lineRule="auto"/>
        <w:jc w:val="center"/>
        <w:rPr>
          <w:rFonts w:eastAsia="Times New Roman"/>
          <w:b/>
        </w:rPr>
      </w:pPr>
      <w:r w:rsidRPr="003016BE">
        <w:rPr>
          <w:rFonts w:eastAsia="Times New Roman"/>
          <w:b/>
        </w:rPr>
        <w:t>BEFORE THE</w:t>
      </w:r>
    </w:p>
    <w:p w:rsidR="0005085F" w:rsidRPr="003016BE" w:rsidRDefault="0005085F" w:rsidP="0005085F">
      <w:pPr>
        <w:tabs>
          <w:tab w:val="left" w:pos="0"/>
          <w:tab w:val="left" w:pos="1440"/>
        </w:tabs>
        <w:spacing w:line="240" w:lineRule="auto"/>
        <w:jc w:val="center"/>
        <w:rPr>
          <w:rFonts w:eastAsia="Times New Roman"/>
          <w:b/>
        </w:rPr>
      </w:pPr>
      <w:smartTag w:uri="urn:schemas-microsoft-com:office:smarttags" w:element="place">
        <w:smartTag w:uri="urn:schemas-microsoft-com:office:smarttags" w:element="State">
          <w:r w:rsidRPr="003016BE">
            <w:rPr>
              <w:rFonts w:eastAsia="Times New Roman"/>
              <w:b/>
            </w:rPr>
            <w:t>PENNSYLVANIA</w:t>
          </w:r>
        </w:smartTag>
      </w:smartTag>
      <w:r w:rsidRPr="003016BE">
        <w:rPr>
          <w:rFonts w:eastAsia="Times New Roman"/>
          <w:b/>
        </w:rPr>
        <w:t xml:space="preserve"> PUBLIC UTILITY COMMISSION</w:t>
      </w:r>
    </w:p>
    <w:p w:rsidR="0005085F" w:rsidRPr="003016BE" w:rsidRDefault="0005085F" w:rsidP="0005085F">
      <w:pPr>
        <w:tabs>
          <w:tab w:val="left" w:pos="0"/>
          <w:tab w:val="left" w:pos="1440"/>
        </w:tabs>
        <w:spacing w:line="240" w:lineRule="auto"/>
        <w:jc w:val="center"/>
        <w:rPr>
          <w:rFonts w:eastAsia="Times New Roman"/>
          <w:b/>
        </w:rPr>
      </w:pPr>
    </w:p>
    <w:p w:rsidR="0005085F" w:rsidRDefault="0005085F" w:rsidP="0005085F">
      <w:pPr>
        <w:tabs>
          <w:tab w:val="left" w:pos="0"/>
          <w:tab w:val="left" w:pos="1440"/>
          <w:tab w:val="left" w:pos="5040"/>
        </w:tabs>
        <w:spacing w:line="240" w:lineRule="auto"/>
        <w:jc w:val="both"/>
        <w:rPr>
          <w:rFonts w:eastAsia="Times New Roman"/>
        </w:rPr>
      </w:pPr>
    </w:p>
    <w:p w:rsidR="0005085F" w:rsidRPr="003016BE" w:rsidRDefault="0005085F" w:rsidP="0005085F">
      <w:pPr>
        <w:tabs>
          <w:tab w:val="left" w:pos="0"/>
          <w:tab w:val="left" w:pos="1440"/>
          <w:tab w:val="left" w:pos="5040"/>
        </w:tabs>
        <w:spacing w:line="240" w:lineRule="auto"/>
        <w:jc w:val="both"/>
        <w:rPr>
          <w:rFonts w:eastAsia="Times New Roman"/>
        </w:rPr>
      </w:pPr>
    </w:p>
    <w:p w:rsidR="0005085F" w:rsidRPr="003016BE" w:rsidRDefault="0005085F" w:rsidP="0005085F">
      <w:pPr>
        <w:tabs>
          <w:tab w:val="left" w:pos="0"/>
          <w:tab w:val="left" w:pos="1440"/>
          <w:tab w:val="left" w:pos="5040"/>
        </w:tabs>
        <w:spacing w:line="240" w:lineRule="auto"/>
        <w:jc w:val="both"/>
        <w:rPr>
          <w:rFonts w:eastAsia="Times New Roman"/>
          <w:b/>
        </w:rPr>
      </w:pPr>
      <w:r w:rsidRPr="003016BE">
        <w:rPr>
          <w:rFonts w:eastAsia="Times New Roman"/>
        </w:rPr>
        <w:t xml:space="preserve">Centre Park Historic District, Inc. </w:t>
      </w:r>
      <w:r w:rsidRPr="003016BE">
        <w:rPr>
          <w:rFonts w:eastAsia="Times New Roman"/>
        </w:rPr>
        <w:tab/>
        <w:t>:</w:t>
      </w:r>
    </w:p>
    <w:p w:rsidR="0005085F" w:rsidRPr="003016BE" w:rsidRDefault="0005085F" w:rsidP="0005085F">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05085F" w:rsidRPr="003016BE" w:rsidRDefault="0005085F" w:rsidP="0005085F">
      <w:pPr>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C-2015-2516051</w:t>
      </w:r>
    </w:p>
    <w:p w:rsidR="0005085F" w:rsidRPr="003016BE" w:rsidRDefault="0005085F" w:rsidP="0005085F">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05085F" w:rsidRPr="003016BE" w:rsidRDefault="0005085F" w:rsidP="0005085F">
      <w:pPr>
        <w:tabs>
          <w:tab w:val="left" w:pos="0"/>
          <w:tab w:val="left" w:pos="1440"/>
        </w:tabs>
        <w:spacing w:line="240" w:lineRule="auto"/>
        <w:jc w:val="both"/>
        <w:rPr>
          <w:rFonts w:eastAsia="Times New Roman"/>
        </w:rPr>
      </w:pPr>
      <w:r w:rsidRPr="003016BE">
        <w:rPr>
          <w:rFonts w:eastAsia="Times New Roman"/>
        </w:rPr>
        <w:t>UGI Utilities,</w:t>
      </w:r>
      <w:r w:rsidR="00970951">
        <w:rPr>
          <w:rFonts w:eastAsia="Times New Roman"/>
        </w:rPr>
        <w:t xml:space="preserve"> </w:t>
      </w:r>
      <w:r w:rsidRPr="003016BE">
        <w:rPr>
          <w:rFonts w:eastAsia="Times New Roman"/>
        </w:rPr>
        <w:t>Inc. – Gas Division</w:t>
      </w:r>
      <w:r w:rsidRPr="003016BE">
        <w:rPr>
          <w:rFonts w:eastAsia="Times New Roman"/>
        </w:rPr>
        <w:tab/>
      </w:r>
      <w:r w:rsidRPr="003016BE">
        <w:rPr>
          <w:rFonts w:eastAsia="Times New Roman"/>
        </w:rPr>
        <w:tab/>
      </w:r>
      <w:r w:rsidRPr="003016BE">
        <w:rPr>
          <w:rFonts w:eastAsia="Times New Roman"/>
        </w:rPr>
        <w:tab/>
        <w:t>:</w:t>
      </w:r>
    </w:p>
    <w:p w:rsidR="0005085F" w:rsidRPr="003016BE" w:rsidRDefault="0005085F" w:rsidP="0005085F">
      <w:pPr>
        <w:tabs>
          <w:tab w:val="left" w:pos="0"/>
          <w:tab w:val="left" w:pos="1440"/>
        </w:tabs>
        <w:spacing w:line="240" w:lineRule="auto"/>
        <w:jc w:val="both"/>
        <w:rPr>
          <w:rFonts w:eastAsia="Times New Roman"/>
          <w:b/>
        </w:rPr>
      </w:pPr>
    </w:p>
    <w:p w:rsidR="0005085F" w:rsidRPr="003016BE" w:rsidRDefault="0005085F" w:rsidP="0005085F">
      <w:pPr>
        <w:tabs>
          <w:tab w:val="left" w:pos="0"/>
          <w:tab w:val="left" w:pos="1440"/>
        </w:tabs>
        <w:spacing w:line="240" w:lineRule="auto"/>
        <w:jc w:val="both"/>
        <w:rPr>
          <w:rFonts w:eastAsia="Times New Roman"/>
          <w:b/>
        </w:rPr>
      </w:pPr>
    </w:p>
    <w:p w:rsidR="0005085F" w:rsidRPr="003016BE" w:rsidRDefault="0005085F" w:rsidP="0005085F">
      <w:pPr>
        <w:tabs>
          <w:tab w:val="left" w:pos="0"/>
          <w:tab w:val="left" w:pos="1440"/>
          <w:tab w:val="left" w:pos="5040"/>
        </w:tabs>
        <w:spacing w:line="240" w:lineRule="auto"/>
        <w:jc w:val="both"/>
        <w:rPr>
          <w:rFonts w:eastAsia="Times New Roman"/>
          <w:b/>
        </w:rPr>
      </w:pPr>
      <w:r w:rsidRPr="003016BE">
        <w:rPr>
          <w:rFonts w:eastAsia="Times New Roman"/>
        </w:rPr>
        <w:t xml:space="preserve">City of Reading </w:t>
      </w:r>
      <w:r w:rsidRPr="003016BE">
        <w:rPr>
          <w:rFonts w:eastAsia="Times New Roman"/>
        </w:rPr>
        <w:tab/>
        <w:t>:</w:t>
      </w:r>
    </w:p>
    <w:p w:rsidR="0005085F" w:rsidRPr="003016BE" w:rsidRDefault="0005085F" w:rsidP="0005085F">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05085F" w:rsidRPr="003016BE" w:rsidRDefault="0005085F" w:rsidP="0005085F">
      <w:pPr>
        <w:tabs>
          <w:tab w:val="left" w:pos="0"/>
          <w:tab w:val="left" w:pos="720"/>
          <w:tab w:val="left" w:pos="1440"/>
        </w:tabs>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C-2016-2530475</w:t>
      </w:r>
    </w:p>
    <w:p w:rsidR="0005085F" w:rsidRPr="003016BE" w:rsidRDefault="0005085F" w:rsidP="0005085F">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05085F" w:rsidRPr="003016BE" w:rsidRDefault="0005085F" w:rsidP="0005085F">
      <w:pPr>
        <w:tabs>
          <w:tab w:val="left" w:pos="0"/>
          <w:tab w:val="left" w:pos="1440"/>
        </w:tabs>
        <w:spacing w:line="240" w:lineRule="auto"/>
        <w:jc w:val="both"/>
        <w:rPr>
          <w:rFonts w:eastAsia="Times New Roman"/>
        </w:rPr>
      </w:pPr>
      <w:r w:rsidRPr="003016BE">
        <w:rPr>
          <w:rFonts w:eastAsia="Times New Roman"/>
        </w:rPr>
        <w:t>UGI Utilities,</w:t>
      </w:r>
      <w:r w:rsidR="00970951">
        <w:rPr>
          <w:rFonts w:eastAsia="Times New Roman"/>
        </w:rPr>
        <w:t xml:space="preserve"> </w:t>
      </w:r>
      <w:r w:rsidRPr="003016BE">
        <w:rPr>
          <w:rFonts w:eastAsia="Times New Roman"/>
        </w:rPr>
        <w:t>Inc.</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05085F" w:rsidRPr="003016BE" w:rsidRDefault="0005085F" w:rsidP="0005085F">
      <w:pPr>
        <w:tabs>
          <w:tab w:val="left" w:pos="0"/>
          <w:tab w:val="left" w:pos="1440"/>
        </w:tabs>
        <w:spacing w:line="240" w:lineRule="auto"/>
        <w:jc w:val="both"/>
        <w:rPr>
          <w:rFonts w:eastAsia="Times New Roman"/>
        </w:rPr>
      </w:pPr>
    </w:p>
    <w:p w:rsidR="0005085F" w:rsidRDefault="0005085F" w:rsidP="0005085F">
      <w:pPr>
        <w:tabs>
          <w:tab w:val="left" w:pos="0"/>
          <w:tab w:val="left" w:pos="1440"/>
        </w:tabs>
        <w:spacing w:line="240" w:lineRule="auto"/>
        <w:jc w:val="both"/>
        <w:rPr>
          <w:rFonts w:eastAsia="Times New Roman"/>
        </w:rPr>
      </w:pPr>
    </w:p>
    <w:p w:rsidR="0005085F" w:rsidRPr="003016BE" w:rsidRDefault="0005085F" w:rsidP="0005085F">
      <w:pPr>
        <w:tabs>
          <w:tab w:val="left" w:pos="0"/>
          <w:tab w:val="left" w:pos="1440"/>
        </w:tabs>
        <w:spacing w:line="240" w:lineRule="auto"/>
        <w:jc w:val="both"/>
        <w:rPr>
          <w:rFonts w:eastAsia="Times New Roman"/>
        </w:rPr>
      </w:pPr>
    </w:p>
    <w:p w:rsidR="00767DF4" w:rsidRDefault="0005085F" w:rsidP="0005085F">
      <w:pPr>
        <w:spacing w:line="240" w:lineRule="auto"/>
        <w:jc w:val="center"/>
        <w:rPr>
          <w:b/>
        </w:rPr>
      </w:pPr>
      <w:r w:rsidRPr="003016BE">
        <w:rPr>
          <w:b/>
        </w:rPr>
        <w:t>INTERIM ORDER</w:t>
      </w:r>
    </w:p>
    <w:p w:rsidR="0005085F" w:rsidRPr="003016BE" w:rsidRDefault="00F268C9" w:rsidP="0005085F">
      <w:pPr>
        <w:spacing w:line="240" w:lineRule="auto"/>
        <w:jc w:val="center"/>
        <w:rPr>
          <w:b/>
          <w:u w:val="single"/>
        </w:rPr>
      </w:pPr>
      <w:r w:rsidRPr="00767DF4">
        <w:rPr>
          <w:b/>
          <w:u w:val="single"/>
        </w:rPr>
        <w:t>ON</w:t>
      </w:r>
      <w:r w:rsidR="00767DF4" w:rsidRPr="00767DF4">
        <w:rPr>
          <w:b/>
          <w:u w:val="single"/>
        </w:rPr>
        <w:t xml:space="preserve"> </w:t>
      </w:r>
      <w:r w:rsidR="0005085F">
        <w:rPr>
          <w:b/>
          <w:u w:val="single"/>
        </w:rPr>
        <w:t>UGI’S MOTION TO STRIKE</w:t>
      </w:r>
    </w:p>
    <w:p w:rsidR="0005085F" w:rsidRDefault="0005085F" w:rsidP="0005085F"/>
    <w:p w:rsidR="0005085F" w:rsidRDefault="0005085F" w:rsidP="0005085F">
      <w:pPr>
        <w:ind w:firstLine="1440"/>
        <w:rPr>
          <w:szCs w:val="24"/>
        </w:rPr>
      </w:pPr>
      <w:r>
        <w:rPr>
          <w:szCs w:val="24"/>
        </w:rPr>
        <w:t xml:space="preserve">By interim order dated April 24, 2018, deadlines for the filing of written direct testimony and evidentiary hearings were scheduled.  The Complainants’ direct written testimony was due </w:t>
      </w:r>
      <w:r w:rsidR="002F4898">
        <w:rPr>
          <w:szCs w:val="24"/>
        </w:rPr>
        <w:t xml:space="preserve">on </w:t>
      </w:r>
      <w:r>
        <w:rPr>
          <w:szCs w:val="24"/>
        </w:rPr>
        <w:t xml:space="preserve">June 29, 2018, </w:t>
      </w:r>
      <w:r w:rsidR="00DE3C3F">
        <w:rPr>
          <w:szCs w:val="24"/>
        </w:rPr>
        <w:t>and UGI</w:t>
      </w:r>
      <w:r>
        <w:rPr>
          <w:szCs w:val="24"/>
        </w:rPr>
        <w:t xml:space="preserve"> was to file direct written testimony by July 27, 2018.  Evidentiary hearings are scheduled to take place the week of August 21, 2018 in Harrisburg.</w:t>
      </w:r>
      <w:r w:rsidR="0023086D">
        <w:rPr>
          <w:rStyle w:val="FootnoteReference"/>
          <w:szCs w:val="24"/>
        </w:rPr>
        <w:footnoteReference w:id="1"/>
      </w:r>
    </w:p>
    <w:p w:rsidR="0005085F" w:rsidRDefault="0005085F" w:rsidP="0005085F">
      <w:pPr>
        <w:ind w:firstLine="1440"/>
        <w:rPr>
          <w:szCs w:val="24"/>
        </w:rPr>
      </w:pPr>
    </w:p>
    <w:p w:rsidR="0005085F" w:rsidRDefault="0005085F" w:rsidP="0005085F">
      <w:pPr>
        <w:ind w:firstLine="1440"/>
        <w:rPr>
          <w:szCs w:val="24"/>
        </w:rPr>
      </w:pPr>
      <w:r>
        <w:rPr>
          <w:szCs w:val="24"/>
        </w:rPr>
        <w:t>The Complainants filed the written testimony of four witnesses along with voluminous exhibits on Friday, June 29, 2018, as directed by the April 24, 2018 Interim Order.  On July 9, 2018, UGI filed a motion to strike portions of the testimony and exhibits on a variety of grounds.  By interim order dated July 11, 2018, the Complainants’ were directed to file a response to UGI’s motion by July 17, 2018.</w:t>
      </w:r>
      <w:r w:rsidR="007D0697">
        <w:rPr>
          <w:szCs w:val="24"/>
        </w:rPr>
        <w:t xml:space="preserve">  Both the City of Reading (City) and the Centre Park Historic District (CPHD) filed responses as directed.</w:t>
      </w:r>
    </w:p>
    <w:p w:rsidR="007D0697" w:rsidRDefault="007D0697" w:rsidP="0005085F">
      <w:pPr>
        <w:ind w:firstLine="1440"/>
        <w:rPr>
          <w:szCs w:val="24"/>
        </w:rPr>
      </w:pPr>
    </w:p>
    <w:p w:rsidR="0023086D" w:rsidRDefault="007D0697" w:rsidP="0005085F">
      <w:pPr>
        <w:ind w:firstLine="1440"/>
      </w:pPr>
      <w:r>
        <w:lastRenderedPageBreak/>
        <w:t>Written testimony is subject to the same rules of admissibility as if it were presented by a witness in the usual manner.</w:t>
      </w:r>
      <w:r>
        <w:rPr>
          <w:rStyle w:val="FootnoteReference"/>
        </w:rPr>
        <w:footnoteReference w:id="2"/>
      </w:r>
      <w:r>
        <w:t xml:space="preserve">  However, UGI’s motion demonstrates the pitfalls of using written testimony in lieu of live witness testimony, particularly in a contentious litigation such as the proceeding here</w:t>
      </w:r>
      <w:r w:rsidR="0023086D" w:rsidRPr="0023086D">
        <w:t xml:space="preserve"> </w:t>
      </w:r>
      <w:r w:rsidR="0023086D">
        <w:t>and where the witnesses are lay witnesses testifying to factual matters and not expert witnesses offering opinion testimony.</w:t>
      </w:r>
      <w:r w:rsidR="00DE3C3F">
        <w:t xml:space="preserve">  </w:t>
      </w:r>
      <w:r>
        <w:t>At a hearing with a live witness, an objection to testimony can be made on the spot and a ruling can be made immediately without the necessity for “striking” testimony.</w:t>
      </w:r>
      <w:r w:rsidR="006A4301">
        <w:t xml:space="preserve"> </w:t>
      </w:r>
      <w:r w:rsidR="0023086D">
        <w:t xml:space="preserve"> </w:t>
      </w:r>
    </w:p>
    <w:p w:rsidR="006A4301" w:rsidRDefault="006A4301" w:rsidP="0005085F">
      <w:pPr>
        <w:ind w:firstLine="1440"/>
        <w:rPr>
          <w:szCs w:val="24"/>
        </w:rPr>
      </w:pPr>
    </w:p>
    <w:p w:rsidR="006A4301" w:rsidRDefault="006A4301" w:rsidP="0005085F">
      <w:pPr>
        <w:ind w:firstLine="1440"/>
        <w:rPr>
          <w:szCs w:val="24"/>
        </w:rPr>
      </w:pPr>
      <w:r>
        <w:rPr>
          <w:szCs w:val="24"/>
        </w:rPr>
        <w:t>The City argues that UGI’s motion is premature inasmuch as none of the written testimony has been offered for admission into the record.  UGI will have a full and fair opportunity to cross-examine each of the witnesses and address any of the issues raised in their own direct testimony or in rebuttal at the evidentiary hearing.  According to the City, there is no need to address the merits of UGI’s motion at this time.</w:t>
      </w:r>
    </w:p>
    <w:p w:rsidR="006A4301" w:rsidRDefault="006A4301" w:rsidP="0005085F">
      <w:pPr>
        <w:ind w:firstLine="1440"/>
        <w:rPr>
          <w:szCs w:val="24"/>
        </w:rPr>
      </w:pPr>
    </w:p>
    <w:p w:rsidR="0041795F" w:rsidRPr="0023086D" w:rsidRDefault="006A4301" w:rsidP="0005085F">
      <w:pPr>
        <w:ind w:firstLine="1440"/>
      </w:pPr>
      <w:r>
        <w:rPr>
          <w:szCs w:val="24"/>
        </w:rPr>
        <w:t xml:space="preserve">There is some appeal to the City’s argument.  </w:t>
      </w:r>
      <w:r w:rsidR="00F93CC7">
        <w:t xml:space="preserve">The purpose of permitting the service of written testimony in this </w:t>
      </w:r>
      <w:r w:rsidR="0065042A">
        <w:t>complaint proceeding</w:t>
      </w:r>
      <w:r w:rsidR="00F93CC7">
        <w:t xml:space="preserve"> was to incentivize the efficient presentation of voluminous evidence and to ensure that the record was created in a reasonable amount of time.  It was not intended to spawn a flurry of pre-hearing motions.  </w:t>
      </w:r>
      <w:r>
        <w:rPr>
          <w:szCs w:val="24"/>
        </w:rPr>
        <w:t>However, given the history of this proceeding, it is my hope that some guidance offered here will assist both the Complainants and UGI in the orderly presentation of evidence at the hearings scheduled in August.</w:t>
      </w:r>
      <w:r w:rsidR="00DE3C3F">
        <w:rPr>
          <w:szCs w:val="24"/>
        </w:rPr>
        <w:t xml:space="preserve">  </w:t>
      </w:r>
      <w:r w:rsidR="0023086D">
        <w:t xml:space="preserve">Unlike rate cases and other technical cases adjudicated by the Commission, cross-examination and rebuttal evidence will be offered at the evidentiary hearing.  Therefore, UGI’s motion will only be granted where the evidence would clearly be inadmissible and UGI would be significantly prejudiced.  </w:t>
      </w:r>
    </w:p>
    <w:p w:rsidR="00701BC3" w:rsidRDefault="00701BC3"/>
    <w:p w:rsidR="00701BC3" w:rsidRDefault="00F9337B" w:rsidP="00F9337B">
      <w:pPr>
        <w:spacing w:line="240" w:lineRule="auto"/>
      </w:pPr>
      <w:r>
        <w:rPr>
          <w:b/>
        </w:rPr>
        <w:tab/>
        <w:t>A.</w:t>
      </w:r>
      <w:r>
        <w:rPr>
          <w:b/>
        </w:rPr>
        <w:tab/>
        <w:t>Testimony and Exhibits about Meter Locations That Were Not Personally Surveyed by the Complainants’ Witnesses</w:t>
      </w:r>
    </w:p>
    <w:p w:rsidR="00701BC3" w:rsidRDefault="00701BC3"/>
    <w:p w:rsidR="00701BC3" w:rsidRDefault="00701BC3">
      <w:r>
        <w:tab/>
      </w:r>
      <w:r w:rsidR="006A4301">
        <w:tab/>
      </w:r>
      <w:r>
        <w:t>UGI moves to strike any testimony and exhibits about meter locations that were not personally surveyed by the Complainants’ witnesses.</w:t>
      </w:r>
      <w:r w:rsidR="00F425C0">
        <w:t xml:space="preserve"> </w:t>
      </w:r>
      <w:r w:rsidR="006A4301">
        <w:t xml:space="preserve"> The City objects, arguing that all of the </w:t>
      </w:r>
      <w:r w:rsidR="006A4301">
        <w:lastRenderedPageBreak/>
        <w:t xml:space="preserve">surveys were performed under the supervision of John Slifko and the presentation of the data in the spreadsheets was an effort to streamline the </w:t>
      </w:r>
      <w:r w:rsidR="002647D9">
        <w:t>presentation of data.</w:t>
      </w:r>
      <w:r w:rsidR="006A4301">
        <w:t xml:space="preserve">  </w:t>
      </w:r>
      <w:r w:rsidR="00D77F94">
        <w:t xml:space="preserve">The City notes that it expressed the desire to secure the agreement of UGI to permit Mr. Slifko to sponsor the </w:t>
      </w:r>
      <w:r w:rsidR="001A05DD">
        <w:t>information</w:t>
      </w:r>
      <w:r w:rsidR="00D77F94">
        <w:t xml:space="preserve"> from the surveys that was presented in the Stipulated Spreadsheets.</w:t>
      </w:r>
    </w:p>
    <w:p w:rsidR="00D77F94" w:rsidRDefault="00D77F94"/>
    <w:p w:rsidR="00F425C0" w:rsidRDefault="00701BC3" w:rsidP="00F425C0">
      <w:r>
        <w:tab/>
      </w:r>
      <w:r w:rsidR="00D77F94">
        <w:tab/>
      </w:r>
      <w:r>
        <w:t>The Stipulated Spreadsheets were created at my direction</w:t>
      </w:r>
      <w:r w:rsidRPr="00701BC3">
        <w:t xml:space="preserve"> </w:t>
      </w:r>
      <w:r>
        <w:t>following the March 16, 2017 prehearing conference.</w:t>
      </w:r>
      <w:r w:rsidR="00DE3C3F">
        <w:t xml:space="preserve">  </w:t>
      </w:r>
      <w:r w:rsidR="00F425C0">
        <w:t>After reviewing the parties’ prehearing memoranda and resolving certain discovery disputes, it became clear that the parties had made little progress in identifying the disputed meters and stipulating to any of the basic facts regarding those meters.</w:t>
      </w:r>
      <w:r w:rsidR="00F425C0">
        <w:rPr>
          <w:rStyle w:val="FootnoteReference"/>
        </w:rPr>
        <w:footnoteReference w:id="3"/>
      </w:r>
      <w:r w:rsidR="00F425C0">
        <w:t xml:space="preserve">  Accordingly, the parties were directed to create spreadsheets which would inventory the contested meters by address and location in the historic districts and another for the non-historic districts:</w:t>
      </w:r>
    </w:p>
    <w:p w:rsidR="00F425C0" w:rsidRDefault="00F425C0" w:rsidP="00F425C0"/>
    <w:p w:rsidR="00F425C0" w:rsidRDefault="00F425C0" w:rsidP="00F425C0">
      <w:pPr>
        <w:spacing w:line="240" w:lineRule="auto"/>
        <w:ind w:left="1440" w:right="1440"/>
      </w:pPr>
      <w:r>
        <w:tab/>
        <w:t>1.</w:t>
      </w:r>
      <w:r>
        <w:tab/>
        <w:t xml:space="preserve">That the Complainants will create a spreadsheet which includes a list of the contested meters in historic districts in a format substantially similar to the tables in Exhibit D which was attached to the City of Reading’s formal complaint.  In addition to the columns included in Exhibit D, the Complainants shall add columns to the table which include 1) the date a permit was issued, if one was issued; and 2) the date the meter was relocated.  This spreadsheet shall be served on me and on the other parties on or before </w:t>
      </w:r>
      <w:r w:rsidRPr="00F6721D">
        <w:rPr>
          <w:b/>
          <w:u w:val="single"/>
        </w:rPr>
        <w:t>April 20, 2017</w:t>
      </w:r>
      <w:r>
        <w:t>.</w:t>
      </w:r>
    </w:p>
    <w:p w:rsidR="00F425C0" w:rsidRDefault="00F425C0" w:rsidP="00F425C0">
      <w:pPr>
        <w:spacing w:line="240" w:lineRule="auto"/>
        <w:ind w:left="1440" w:right="1440"/>
      </w:pPr>
    </w:p>
    <w:p w:rsidR="00F425C0" w:rsidRDefault="00F425C0" w:rsidP="00F425C0">
      <w:pPr>
        <w:spacing w:line="240" w:lineRule="auto"/>
        <w:ind w:left="1440" w:right="1440"/>
      </w:pPr>
      <w:r>
        <w:tab/>
        <w:t>2.</w:t>
      </w:r>
      <w:r>
        <w:tab/>
        <w:t xml:space="preserve">That the Complainants shall create a spreadsheet which includes a list of the contested meters which are not located in historic districts in a format substantially similar to the tables in Exhibit D which was attached to the City of Reading’s formal complaint.  In addition to the columns included in Exhibit D, the Complainants shall add columns to the table which include 1) the date a permit was issued, if one was issued; and 2) the date the meter was relocated.  The contested meters shall be organized by neighborhood or proximity.  This spreadsheet shall be served on me and on the other parties on or before </w:t>
      </w:r>
      <w:r w:rsidRPr="00F6721D">
        <w:rPr>
          <w:b/>
          <w:u w:val="single"/>
        </w:rPr>
        <w:t>April 20, 2017</w:t>
      </w:r>
      <w:r>
        <w:t>.</w:t>
      </w:r>
    </w:p>
    <w:p w:rsidR="00F425C0" w:rsidRDefault="00F425C0" w:rsidP="00F425C0">
      <w:pPr>
        <w:spacing w:line="240" w:lineRule="auto"/>
        <w:ind w:left="1440" w:right="1440"/>
      </w:pPr>
    </w:p>
    <w:p w:rsidR="00F425C0" w:rsidRDefault="00F425C0" w:rsidP="00F425C0">
      <w:pPr>
        <w:spacing w:line="240" w:lineRule="auto"/>
        <w:ind w:left="1440" w:right="1440"/>
      </w:pPr>
      <w:r>
        <w:tab/>
        <w:t>3.</w:t>
      </w:r>
      <w:r>
        <w:tab/>
        <w:t xml:space="preserve">That UGI shall respond by adding an additional column which includes either its stipulation to the data provided or by specific objection.  UGI’s stipulation shall not be construed as an admission that the meter relocation is in violation of the Public </w:t>
      </w:r>
      <w:r>
        <w:lastRenderedPageBreak/>
        <w:t xml:space="preserve">Utility Code, regulations or directives of the Commission.  UGI’s responses shall be served on me and the other parties on or before </w:t>
      </w:r>
      <w:r w:rsidRPr="00D25306">
        <w:rPr>
          <w:b/>
          <w:u w:val="single"/>
        </w:rPr>
        <w:t>May 4, 2017</w:t>
      </w:r>
      <w:r>
        <w:t xml:space="preserve">. </w:t>
      </w:r>
    </w:p>
    <w:p w:rsidR="00F425C0" w:rsidRDefault="00F425C0" w:rsidP="00F425C0">
      <w:pPr>
        <w:spacing w:line="240" w:lineRule="auto"/>
        <w:ind w:left="1440" w:right="1440"/>
      </w:pPr>
    </w:p>
    <w:p w:rsidR="00F425C0" w:rsidRDefault="00F425C0" w:rsidP="00F425C0">
      <w:pPr>
        <w:spacing w:line="240" w:lineRule="auto"/>
        <w:ind w:left="1440" w:right="1440"/>
      </w:pPr>
      <w:r>
        <w:tab/>
        <w:t>4.</w:t>
      </w:r>
      <w:r>
        <w:tab/>
        <w:t>That the spreadsheets directed above shall be served in both hard copy and electronic format.</w:t>
      </w:r>
      <w:r>
        <w:rPr>
          <w:rStyle w:val="FootnoteReference"/>
        </w:rPr>
        <w:footnoteReference w:id="4"/>
      </w:r>
    </w:p>
    <w:p w:rsidR="00F425C0" w:rsidRDefault="00F425C0" w:rsidP="00F425C0">
      <w:pPr>
        <w:spacing w:line="240" w:lineRule="auto"/>
        <w:ind w:left="1440" w:right="1440"/>
      </w:pPr>
    </w:p>
    <w:p w:rsidR="00701BC3" w:rsidRDefault="00701BC3" w:rsidP="00F425C0"/>
    <w:p w:rsidR="00F425C0" w:rsidRDefault="00F425C0" w:rsidP="00F425C0">
      <w:r>
        <w:t>The final Stipulated Spreadsheets and other factual stipulations were memorialized into a Joint Stipulation under cover letter dated September 5, 2017.  By interim order dated April 24, 2018, the Complainants were directed to update this stipulation to remove any meters which are no longer contested and to add any additional stipulations of fact that have been reached in settlement conferences.</w:t>
      </w:r>
      <w:r w:rsidR="002339AF">
        <w:t xml:space="preserve">  As also set forth in that order, it is my intention to admit the updated Joint Stipulation into the record as ALJ Ex. 1, subject to any objections the parties may wish to make at the hearing.</w:t>
      </w:r>
      <w:r w:rsidR="002647D9">
        <w:rPr>
          <w:rStyle w:val="FootnoteReference"/>
        </w:rPr>
        <w:footnoteReference w:id="5"/>
      </w:r>
    </w:p>
    <w:p w:rsidR="002339AF" w:rsidRDefault="002339AF" w:rsidP="00F425C0"/>
    <w:p w:rsidR="002339AF" w:rsidRDefault="002339AF" w:rsidP="00F425C0">
      <w:r>
        <w:tab/>
      </w:r>
      <w:r>
        <w:tab/>
        <w:t>Obviously, there are factual averments concerning the meter placements in the spreadsheets that have been made by the Complainants and stipulated to by UGI</w:t>
      </w:r>
      <w:r w:rsidR="00BB2E87">
        <w:t xml:space="preserve">.  Other factual averments made by the Complainants were </w:t>
      </w:r>
      <w:r w:rsidR="00BB2E87" w:rsidRPr="00BB2E87">
        <w:rPr>
          <w:i/>
        </w:rPr>
        <w:t>not</w:t>
      </w:r>
      <w:r w:rsidR="00BB2E87">
        <w:t xml:space="preserve"> stipulated to by UGI.  Indeed, there is material included in the spreadsheets that was added by the parties and not directed by the Sixth Prehearing Order.  </w:t>
      </w:r>
      <w:r w:rsidR="00CF4E09">
        <w:t>With regard to the Stipulated Spreadsheets, a</w:t>
      </w:r>
      <w:r w:rsidR="00BB2E87">
        <w:t>dmission of the document into the record does not mean that all of the statements made in the document are admissible for the truth of the matter stated.</w:t>
      </w:r>
      <w:r w:rsidR="004B6B8E">
        <w:rPr>
          <w:rStyle w:val="FootnoteReference"/>
        </w:rPr>
        <w:footnoteReference w:id="6"/>
      </w:r>
      <w:r w:rsidR="00CF4E09">
        <w:t xml:space="preserve">  The facts to which the parties have stipulated do not require further authentication.  Those fact</w:t>
      </w:r>
      <w:r w:rsidR="00440050">
        <w:t>s</w:t>
      </w:r>
      <w:r w:rsidR="00CF4E09">
        <w:t xml:space="preserve"> provided on the spreadsheet which were added as an aid to presentation but were not stipulated to, may be admitted for the truth of the matter stated upon proper presentation by the sponsoring party.</w:t>
      </w:r>
    </w:p>
    <w:p w:rsidR="0026626A" w:rsidRDefault="0026626A" w:rsidP="00F425C0"/>
    <w:p w:rsidR="0035075B" w:rsidRDefault="007D0697" w:rsidP="00F425C0">
      <w:r>
        <w:tab/>
      </w:r>
      <w:r>
        <w:tab/>
      </w:r>
      <w:r w:rsidR="0026626A">
        <w:t xml:space="preserve">UGI requests that all testimony and exhibits about meter locations not personally surveyed by the Complainants’ witnesses be stricken and that the Joint Stipulation should only </w:t>
      </w:r>
      <w:r w:rsidR="0026626A">
        <w:lastRenderedPageBreak/>
        <w:t>include locat</w:t>
      </w:r>
      <w:r w:rsidR="00440050">
        <w:t>ions</w:t>
      </w:r>
      <w:r w:rsidR="0026626A">
        <w:t xml:space="preserve"> personally surveyed by John Slifko.  Given that there are facts in the Joint Stipulation that have been stipulated to by UGI, further authentication of those </w:t>
      </w:r>
      <w:r w:rsidR="005E6BF6">
        <w:t xml:space="preserve">stipulated </w:t>
      </w:r>
      <w:r w:rsidR="0026626A">
        <w:t xml:space="preserve">facts is unnecessary.  Therefore, updating the spreadsheet to exclude all locations surveyed by other individuals is not appropriate.  </w:t>
      </w:r>
      <w:r w:rsidR="00CE7511">
        <w:t>Therefore, the motion to strike testimony and exhibits related to meter locations that were not personally surveyed by Complainants’ witnesses is denied at this time</w:t>
      </w:r>
      <w:r w:rsidR="00CD3A38">
        <w:t>, without prejudice to UGI to renew its objection at the appropriate time</w:t>
      </w:r>
      <w:r w:rsidR="00171F1F">
        <w:t>.</w:t>
      </w:r>
    </w:p>
    <w:p w:rsidR="00426802" w:rsidRDefault="00426802" w:rsidP="00F425C0"/>
    <w:p w:rsidR="00426802" w:rsidRDefault="00426802" w:rsidP="00F425C0">
      <w:r>
        <w:tab/>
      </w:r>
      <w:r>
        <w:tab/>
        <w:t>However, I would urge the parties to discuss to possibility of further stipulation of some of the objective data that is presented in the spreadsheets that may assist in</w:t>
      </w:r>
      <w:r w:rsidR="00D94F74">
        <w:t xml:space="preserve"> the efficient presentation of evidence and </w:t>
      </w:r>
      <w:r>
        <w:t>the creation of a complete record.</w:t>
      </w:r>
    </w:p>
    <w:p w:rsidR="00F9337B" w:rsidRDefault="0035075B" w:rsidP="00F425C0">
      <w:r>
        <w:tab/>
      </w:r>
    </w:p>
    <w:p w:rsidR="00F9337B" w:rsidRPr="00F9337B" w:rsidRDefault="00F9337B" w:rsidP="00F9337B">
      <w:pPr>
        <w:spacing w:line="240" w:lineRule="auto"/>
        <w:rPr>
          <w:b/>
        </w:rPr>
      </w:pPr>
      <w:r>
        <w:tab/>
      </w:r>
      <w:r w:rsidRPr="00F9337B">
        <w:rPr>
          <w:b/>
        </w:rPr>
        <w:t>B.</w:t>
      </w:r>
      <w:r w:rsidRPr="00F9337B">
        <w:rPr>
          <w:b/>
        </w:rPr>
        <w:tab/>
        <w:t xml:space="preserve">Testimony and Exhibits About Meter Locations That Were Not Previously Identified </w:t>
      </w:r>
      <w:r w:rsidR="001A05DD" w:rsidRPr="00F9337B">
        <w:rPr>
          <w:b/>
        </w:rPr>
        <w:t>as</w:t>
      </w:r>
      <w:r w:rsidRPr="00F9337B">
        <w:rPr>
          <w:b/>
        </w:rPr>
        <w:t xml:space="preserve"> Being Disputed</w:t>
      </w:r>
    </w:p>
    <w:p w:rsidR="00F9337B" w:rsidRDefault="00F9337B" w:rsidP="00F425C0"/>
    <w:p w:rsidR="0035075B" w:rsidRDefault="00426802" w:rsidP="00F425C0">
      <w:r>
        <w:tab/>
      </w:r>
      <w:r w:rsidR="0035075B">
        <w:tab/>
        <w:t>UGI next seeks to strike testimony and exhibits relating to meter locations which were not previously identified in the Joint Stipulation.  The specific exhibits cited by UGI are Exs. JS-24 and JS-25, attached to the testimony of</w:t>
      </w:r>
      <w:r w:rsidR="00942873">
        <w:t xml:space="preserve"> John Slifko</w:t>
      </w:r>
      <w:r w:rsidR="00767DF4">
        <w:t xml:space="preserve">.  </w:t>
      </w:r>
      <w:r w:rsidR="00CA0603">
        <w:t>UGI does not cite specific testimony that it seeks to have stricken.</w:t>
      </w:r>
    </w:p>
    <w:p w:rsidR="00426802" w:rsidRDefault="00426802" w:rsidP="00F425C0"/>
    <w:p w:rsidR="00426802" w:rsidRDefault="00426802" w:rsidP="00F425C0">
      <w:r>
        <w:tab/>
      </w:r>
      <w:r>
        <w:tab/>
        <w:t xml:space="preserve">The City </w:t>
      </w:r>
      <w:r w:rsidR="005E6BF6">
        <w:t>responds that meter placement by UGI has been ongoing.  The City further explains that, while the Joint Stipulation inventoried contested meters as of September 2017, it was never intended to limit the City’s ability to contest prospective actions of UGI in violation of 52 Pa.Code § 59.18 and the Public Utility Code.  The City contends that UGI will not be prejudiced because it will have an opportunity to cross-examine witnesses</w:t>
      </w:r>
      <w:r w:rsidR="001F5262">
        <w:t xml:space="preserve"> and present rebuttal evidence</w:t>
      </w:r>
      <w:r w:rsidR="005E6BF6">
        <w:t>.</w:t>
      </w:r>
    </w:p>
    <w:p w:rsidR="005E6BF6" w:rsidRDefault="005E6BF6" w:rsidP="00F425C0"/>
    <w:p w:rsidR="00F9337B" w:rsidRDefault="005E6BF6" w:rsidP="00F425C0">
      <w:r>
        <w:tab/>
      </w:r>
      <w:r>
        <w:tab/>
        <w:t xml:space="preserve">UGI’s motion to strike will be denied at this time and some leeway will be provided to the Complainants, particularly regarding meters which it contends are dangerously close to City streets.  To some degree, UGI has assumed some risk in continuing to install meters during the pendency of this litigation.  The alternative would be for the Complaints to file a new formal complaint challenging these additional meter placements, which may not meet UGI’s </w:t>
      </w:r>
      <w:r w:rsidR="00B5370D">
        <w:t xml:space="preserve">stated </w:t>
      </w:r>
      <w:r>
        <w:t>desire to remove the “</w:t>
      </w:r>
      <w:r w:rsidR="009038FC">
        <w:t xml:space="preserve">lengthy </w:t>
      </w:r>
      <w:r>
        <w:t xml:space="preserve">cloud of uncertainty” which hangs over its meter </w:t>
      </w:r>
      <w:r>
        <w:lastRenderedPageBreak/>
        <w:t>replacement activity.</w:t>
      </w:r>
      <w:r w:rsidR="00B5370D">
        <w:rPr>
          <w:rStyle w:val="FootnoteReference"/>
        </w:rPr>
        <w:footnoteReference w:id="7"/>
      </w:r>
      <w:r>
        <w:t xml:space="preserve">  The denial of UGI’s motion as this time is without prejudice to UGI’s renewal of this objection at a later appropriate time.</w:t>
      </w:r>
    </w:p>
    <w:p w:rsidR="00B5370D" w:rsidRDefault="00B5370D" w:rsidP="00F425C0"/>
    <w:p w:rsidR="00CA7884" w:rsidRPr="00815674" w:rsidRDefault="00F9337B" w:rsidP="00815674">
      <w:pPr>
        <w:spacing w:line="240" w:lineRule="auto"/>
        <w:rPr>
          <w:b/>
        </w:rPr>
      </w:pPr>
      <w:r>
        <w:tab/>
      </w:r>
      <w:r w:rsidRPr="00815674">
        <w:rPr>
          <w:b/>
        </w:rPr>
        <w:t>C.</w:t>
      </w:r>
      <w:r w:rsidRPr="00815674">
        <w:rPr>
          <w:b/>
        </w:rPr>
        <w:tab/>
        <w:t>Exhibits That Were Not Produced in Discovery and Testimony Based on Those Exhibits</w:t>
      </w:r>
    </w:p>
    <w:p w:rsidR="00CA7884" w:rsidRDefault="00CA7884" w:rsidP="00F425C0">
      <w:r>
        <w:tab/>
      </w:r>
      <w:r>
        <w:tab/>
      </w:r>
    </w:p>
    <w:p w:rsidR="002E1A4B" w:rsidRDefault="002E1A4B" w:rsidP="00F425C0">
      <w:r>
        <w:tab/>
      </w:r>
      <w:r>
        <w:tab/>
        <w:t>UGI also seeks to strike exhibits which were not produced in discovery.</w:t>
      </w:r>
      <w:r w:rsidR="00815674">
        <w:t xml:space="preserve">  UGI admits that it could not identify definitively which exhibits were not produced in discovery because the documents and photographs were not identified by the Bates numbers used by the parties to identify documents.</w:t>
      </w:r>
      <w:r w:rsidR="00FE39FF">
        <w:t xml:space="preserve">  </w:t>
      </w:r>
    </w:p>
    <w:p w:rsidR="005D5E17" w:rsidRDefault="005D5E17" w:rsidP="00F425C0"/>
    <w:p w:rsidR="005D5E17" w:rsidRDefault="005D5E17" w:rsidP="00F425C0">
      <w:r>
        <w:tab/>
      </w:r>
      <w:r>
        <w:tab/>
        <w:t>The City responds that some of the exhibits were not identified in discovery, but notes that several of the exhibits involve documents that UGI should already have in its possession, public documents of which UGI was already aware, summary data that was already presented</w:t>
      </w:r>
      <w:r w:rsidR="000E3DAA">
        <w:t xml:space="preserve"> or material that is “necessary and appropriate to develop a full factual basis for the case.”  The City also seems to take the position that the direct testimony itself should be viewed as supplementing discovery responses with updated information to which UGI will have ample opportunity to respond.   Attachment C to the City’s answer includes Bates numbering for most of the photographs that were included as exhibits.</w:t>
      </w:r>
    </w:p>
    <w:p w:rsidR="000E3DAA" w:rsidRDefault="000E3DAA" w:rsidP="00F425C0"/>
    <w:p w:rsidR="00701BC3" w:rsidRDefault="000E3DAA">
      <w:r>
        <w:tab/>
      </w:r>
      <w:r>
        <w:tab/>
        <w:t xml:space="preserve">For many of the same reasons outlined above, UGI’s motion to strike the exhibits which it contends were not produced in discovery is denied at this time.  Given the City’s response to the motion, UGI should be able to adequately cross-examine the sponsoring or refute the exhibits.  However, I will direct the City to mark the photographs </w:t>
      </w:r>
      <w:r w:rsidR="001F5262">
        <w:t xml:space="preserve">with the Bates numbers </w:t>
      </w:r>
      <w:r>
        <w:t xml:space="preserve">as noted in Attachment C and </w:t>
      </w:r>
      <w:r w:rsidR="00440050">
        <w:t xml:space="preserve">re-serve </w:t>
      </w:r>
      <w:bookmarkStart w:id="0" w:name="_GoBack"/>
      <w:bookmarkEnd w:id="0"/>
      <w:r>
        <w:t>the pre-marked exhibits.</w:t>
      </w:r>
    </w:p>
    <w:p w:rsidR="00F9337B" w:rsidRDefault="00F9337B"/>
    <w:p w:rsidR="00F9337B" w:rsidRPr="001E3629" w:rsidRDefault="00F9337B">
      <w:pPr>
        <w:rPr>
          <w:b/>
        </w:rPr>
      </w:pPr>
      <w:r>
        <w:tab/>
      </w:r>
      <w:r w:rsidRPr="001E3629">
        <w:rPr>
          <w:b/>
        </w:rPr>
        <w:t>D.</w:t>
      </w:r>
      <w:r w:rsidRPr="001E3629">
        <w:rPr>
          <w:b/>
        </w:rPr>
        <w:tab/>
        <w:t>Testimony and Exhibits of Peggy Harter</w:t>
      </w:r>
    </w:p>
    <w:p w:rsidR="00CA564B" w:rsidRDefault="00CA564B"/>
    <w:p w:rsidR="00CA564B" w:rsidRDefault="00CA564B">
      <w:r>
        <w:tab/>
      </w:r>
      <w:r>
        <w:tab/>
        <w:t xml:space="preserve">Reading St. 3 includes the direct testimony and exhibits of Peggy Harter, a UGI customer and resident of the Queen Anne Historic District in Reading.  UGI moves to strike her </w:t>
      </w:r>
      <w:r>
        <w:lastRenderedPageBreak/>
        <w:t>testimony because she was not identified as a witness in response to discovery or in any of the City’s prehearing memoranda.</w:t>
      </w:r>
    </w:p>
    <w:p w:rsidR="00FF76E2" w:rsidRDefault="00FF76E2"/>
    <w:p w:rsidR="00CA564B" w:rsidRDefault="00FF76E2">
      <w:r>
        <w:tab/>
      </w:r>
      <w:r>
        <w:tab/>
        <w:t xml:space="preserve">The City claimed that it was not aware that Ms. Harter was a witness to accidents </w:t>
      </w:r>
      <w:r w:rsidR="001F5262">
        <w:t xml:space="preserve">on her street </w:t>
      </w:r>
      <w:r>
        <w:t>until June of 2018 and that UGI is not prejudiced by her testimony as it will have several weeks</w:t>
      </w:r>
      <w:r w:rsidR="00510C22">
        <w:t xml:space="preserve"> to review and prepare to cross-examine her.  CPHD also objects to striking Ms.</w:t>
      </w:r>
      <w:r w:rsidR="004404E5">
        <w:t> </w:t>
      </w:r>
      <w:r w:rsidR="00510C22">
        <w:t xml:space="preserve">Harter’s testimony because several appellate cases decided after the close of discovery “reshaped the legal framework of this dispute.”  </w:t>
      </w:r>
    </w:p>
    <w:p w:rsidR="00C87FCD" w:rsidRDefault="00C87FCD"/>
    <w:p w:rsidR="00C87FCD" w:rsidRDefault="00C87FCD">
      <w:r>
        <w:tab/>
      </w:r>
      <w:r>
        <w:tab/>
        <w:t xml:space="preserve">The overall policy of the Commission’s generous discovery rules is to obviate </w:t>
      </w:r>
      <w:r w:rsidR="00555E16">
        <w:t>“trial by surprise.”  The Complainants have been well aware of their obligation to provide UGI with a list of witnesses prior to the hearing for many months.  As late as the April 2018 prehearing conference, the Complainants were warned of the risk of pursuing further settlement discussions and preparing direct testimony at the same time.</w:t>
      </w:r>
      <w:r w:rsidR="00555E16">
        <w:rPr>
          <w:rStyle w:val="FootnoteReference"/>
        </w:rPr>
        <w:footnoteReference w:id="8"/>
      </w:r>
      <w:r w:rsidR="00555E16">
        <w:t xml:space="preserve">  The continuance of the litigation schedule was granted with the understanding that the Complainants would be prepared to proceed to hearing if settlement discussions proved unsuccessful.  Accordingly, they had a continuing obligation to supplement their discovery responses to UGI on a timely basis.</w:t>
      </w:r>
      <w:r w:rsidR="00B51040">
        <w:rPr>
          <w:rStyle w:val="FootnoteReference"/>
        </w:rPr>
        <w:footnoteReference w:id="9"/>
      </w:r>
      <w:r w:rsidR="00C6460A">
        <w:t xml:space="preserve">  </w:t>
      </w:r>
    </w:p>
    <w:p w:rsidR="00FF76E2" w:rsidRDefault="00FF76E2"/>
    <w:p w:rsidR="001F5262" w:rsidRDefault="001F5262" w:rsidP="001F5262">
      <w:r>
        <w:tab/>
      </w:r>
      <w:r>
        <w:tab/>
        <w:t>Ms. Harter’s testimony describes conditions on the street where she lives, Schuylkill Avenue, located in the Queen Anne Historic District.  Her address is identified as a contested historic district meter on the September 5, 2017 Joint Stipulation.</w:t>
      </w:r>
      <w:r>
        <w:rPr>
          <w:rStyle w:val="FootnoteReference"/>
        </w:rPr>
        <w:footnoteReference w:id="10"/>
      </w:r>
      <w:r>
        <w:t xml:space="preserve">  However, her testimony and exhibits focus on the location of meters on </w:t>
      </w:r>
      <w:r w:rsidR="001A05DD">
        <w:t>Schuylkill</w:t>
      </w:r>
      <w:r>
        <w:t xml:space="preserve"> Avenue as it related to her perceptions of the safety of their locations.  The Complainants have been aware of Ms. Harter’s address.  The fact that many of the photographs that were attached to her testimony have Bates numbers means that the photographs were identified in discovery.  It is disingenuous for the City to now argue that Ms. Harter could not have been identified before the submission of their direct testimony.  Therefore, it would be prejudicial to UGI to permit the admission of this testimony.  </w:t>
      </w:r>
      <w:r>
        <w:lastRenderedPageBreak/>
        <w:t>Nor is there any justification to permit additional discovery to cure the surprise when Ms. Harter could have been identified long ago, but was not.  Therefore, Reading St. No. 3 and the attached exhibits is stricken and will not be admitted into the record.</w:t>
      </w:r>
    </w:p>
    <w:p w:rsidR="001F5262" w:rsidRDefault="001F5262"/>
    <w:p w:rsidR="00FF76E2" w:rsidRDefault="00FF76E2" w:rsidP="00FF76E2">
      <w:r>
        <w:tab/>
      </w:r>
      <w:r>
        <w:tab/>
      </w:r>
      <w:r w:rsidR="00510C22">
        <w:t xml:space="preserve">The identification of witnesses in advance of trial is fundamental. </w:t>
      </w:r>
      <w:r w:rsidR="001F5262">
        <w:t xml:space="preserve">  The April 2018 continuance provided the Complainants ample opportunity to fulfill the obligation to provide UGI with a list of proposed witnesses</w:t>
      </w:r>
      <w:r w:rsidR="00767DF4">
        <w:t xml:space="preserve">.  </w:t>
      </w:r>
      <w:r w:rsidR="00043B64">
        <w:t xml:space="preserve">The Complainants do not offer a convincing reason for their failure to do so.  </w:t>
      </w:r>
      <w:r w:rsidR="00510C22">
        <w:t xml:space="preserve"> </w:t>
      </w:r>
      <w:r>
        <w:t xml:space="preserve">UGI’s motion to strike the testimony and exhibits of Peggy Harter will be granted.  It is true, that in response to UGI’s interrogatory requesting the identification of the witnesses the Complainants intended to call at hearing, the Complainants reserved the right to supplement their answer.  </w:t>
      </w:r>
      <w:r w:rsidR="00043B64">
        <w:t xml:space="preserve">The </w:t>
      </w:r>
      <w:r>
        <w:t xml:space="preserve">Complainants </w:t>
      </w:r>
      <w:r w:rsidR="00043B64">
        <w:t>n</w:t>
      </w:r>
      <w:r>
        <w:t>ever amended or supplemented their discovery responses.  Indeed, the Complainants lack of a final witness list was discussed at recent prehearing conferences.</w:t>
      </w:r>
      <w:r>
        <w:rPr>
          <w:rStyle w:val="FootnoteReference"/>
        </w:rPr>
        <w:footnoteReference w:id="11"/>
      </w:r>
      <w:r>
        <w:t xml:space="preserve">  Discovery has been closed since May 30, 2017, and no requests to extend that deadline have been made.</w:t>
      </w:r>
      <w:r>
        <w:rPr>
          <w:rStyle w:val="FootnoteReference"/>
        </w:rPr>
        <w:footnoteReference w:id="12"/>
      </w:r>
      <w:r>
        <w:t xml:space="preserve">  Peggy Harter has never been mentioned as a potential witness</w:t>
      </w:r>
      <w:r w:rsidR="00510C22">
        <w:t>, nor did the Complainants state that they would be presenting a witness who would discuss accidents or the reasons why the nature of the streets in Reading’s historic districts make these homes peculiarly vulnerable to accidents</w:t>
      </w:r>
      <w:r>
        <w:t>.</w:t>
      </w:r>
      <w:r w:rsidR="00510C22">
        <w:t xml:space="preserve">  The Complainants certainly raised the issue that the alleged unsafe locations of meters create safety hazards.  </w:t>
      </w:r>
      <w:r w:rsidR="00043B64">
        <w:t>There is no reason why a witness could not have been identified long before now.</w:t>
      </w:r>
    </w:p>
    <w:p w:rsidR="00B94441" w:rsidRDefault="00B94441"/>
    <w:p w:rsidR="00F9337B" w:rsidRDefault="00B94441">
      <w:r>
        <w:tab/>
      </w:r>
      <w:r>
        <w:tab/>
        <w:t xml:space="preserve">CPHD’s argument that recent appellate cases interpreting Article I, Section 27 of the Pennsylvania Constitution excuse the Complainants’ failure to identify Ms. Harter is not convincing. </w:t>
      </w:r>
      <w:r w:rsidR="001C18C4">
        <w:t xml:space="preserve"> Generally, CPHD’s argument is not clear.  Nor is the nexus between Ms. Harter’s testimony</w:t>
      </w:r>
      <w:r>
        <w:t xml:space="preserve"> regarding alleged dangerous meter locations </w:t>
      </w:r>
      <w:r w:rsidR="001C18C4">
        <w:t>and</w:t>
      </w:r>
      <w:r>
        <w:t xml:space="preserve"> CPHD’s description of the </w:t>
      </w:r>
      <w:r w:rsidR="001C18C4">
        <w:t xml:space="preserve">“new” </w:t>
      </w:r>
      <w:r>
        <w:t>caselaw</w:t>
      </w:r>
      <w:r w:rsidR="001C18C4">
        <w:t xml:space="preserve"> evident</w:t>
      </w:r>
      <w:r w:rsidR="00DA4AAD">
        <w:t>.</w:t>
      </w:r>
    </w:p>
    <w:p w:rsidR="001C18C4" w:rsidRDefault="009C75D0">
      <w:r>
        <w:br/>
      </w:r>
      <w:r>
        <w:br/>
      </w:r>
    </w:p>
    <w:p w:rsidR="00F9337B" w:rsidRPr="001C18C4" w:rsidRDefault="00F9337B" w:rsidP="001C18C4">
      <w:pPr>
        <w:spacing w:line="240" w:lineRule="auto"/>
        <w:rPr>
          <w:b/>
        </w:rPr>
      </w:pPr>
      <w:r>
        <w:lastRenderedPageBreak/>
        <w:tab/>
      </w:r>
      <w:r w:rsidRPr="001C18C4">
        <w:rPr>
          <w:b/>
        </w:rPr>
        <w:t>E</w:t>
      </w:r>
      <w:r w:rsidR="00292365" w:rsidRPr="001C18C4">
        <w:rPr>
          <w:b/>
        </w:rPr>
        <w:t xml:space="preserve"> and F</w:t>
      </w:r>
      <w:r w:rsidRPr="001C18C4">
        <w:rPr>
          <w:b/>
        </w:rPr>
        <w:t>.</w:t>
      </w:r>
      <w:r w:rsidRPr="001C18C4">
        <w:rPr>
          <w:b/>
        </w:rPr>
        <w:tab/>
        <w:t>Testimony and Exhibits About New Alleged Tripping Incidents</w:t>
      </w:r>
      <w:r w:rsidR="00292365" w:rsidRPr="001C18C4">
        <w:rPr>
          <w:b/>
        </w:rPr>
        <w:t xml:space="preserve">; </w:t>
      </w:r>
      <w:r w:rsidRPr="001C18C4">
        <w:rPr>
          <w:b/>
        </w:rPr>
        <w:t>Testimony and Exhibits About Potential Vandalism, Meter Freeze-Ups</w:t>
      </w:r>
    </w:p>
    <w:p w:rsidR="00292365" w:rsidRDefault="00292365"/>
    <w:p w:rsidR="00292365" w:rsidRDefault="00292365">
      <w:r>
        <w:tab/>
      </w:r>
      <w:r>
        <w:tab/>
        <w:t>UGI seeks to strike certain statements regarding tripping incidents, vandalism and meter freeze-ups because of the Complainants’ failure to identify specific incidents in discovery or as being outside the scope of the claims made in the formal complaints.</w:t>
      </w:r>
      <w:r w:rsidR="009C75D0">
        <w:t xml:space="preserve">  </w:t>
      </w:r>
      <w:r>
        <w:t>The City contends that it clearly raised the issue of the threat to public safety caused by UGI’s meter placements therefore, these matters are not beyond the scope of its complaint.  Although</w:t>
      </w:r>
      <w:r w:rsidR="001C18C4">
        <w:t xml:space="preserve"> these specific incidents were not identified in discovery, UGI will have an opportunity to cross-examine the witnesses and present rebuttal testimony.</w:t>
      </w:r>
    </w:p>
    <w:p w:rsidR="001C18C4" w:rsidRDefault="001C18C4"/>
    <w:p w:rsidR="001C18C4" w:rsidRDefault="001C18C4">
      <w:r>
        <w:tab/>
      </w:r>
      <w:r>
        <w:tab/>
        <w:t xml:space="preserve">UGI’s motion to strike is denied at this time.  It is not evident that UGI is clearly prejudiced by these limited statements and that it </w:t>
      </w:r>
      <w:r w:rsidR="00767DF4">
        <w:t>cannot</w:t>
      </w:r>
      <w:r>
        <w:t xml:space="preserve"> adequately prepare to address these claims either by cross-examination, presentation of its own direct testimony or in rebuttal at the evidentiary hearing.</w:t>
      </w:r>
      <w:r>
        <w:tab/>
      </w:r>
      <w:r>
        <w:tab/>
      </w:r>
    </w:p>
    <w:p w:rsidR="00F9337B" w:rsidRDefault="00F9337B"/>
    <w:p w:rsidR="00F9337B" w:rsidRDefault="00F9337B" w:rsidP="0002425E">
      <w:pPr>
        <w:spacing w:line="240" w:lineRule="auto"/>
      </w:pPr>
      <w:r>
        <w:tab/>
      </w:r>
      <w:r w:rsidRPr="00AC1F3E">
        <w:rPr>
          <w:b/>
        </w:rPr>
        <w:t>G.</w:t>
      </w:r>
      <w:r>
        <w:tab/>
      </w:r>
      <w:r w:rsidRPr="0002425E">
        <w:rPr>
          <w:b/>
        </w:rPr>
        <w:t xml:space="preserve">Testimony About Meters Marked as Under Windows </w:t>
      </w:r>
      <w:r w:rsidR="001A05DD" w:rsidRPr="0002425E">
        <w:rPr>
          <w:b/>
        </w:rPr>
        <w:t>but</w:t>
      </w:r>
      <w:r w:rsidRPr="0002425E">
        <w:rPr>
          <w:b/>
        </w:rPr>
        <w:t xml:space="preserve"> Not Openings That Could be Used as a Fire Exit</w:t>
      </w:r>
    </w:p>
    <w:p w:rsidR="00F9337B" w:rsidRDefault="00F9337B"/>
    <w:p w:rsidR="0002425E" w:rsidRDefault="006A0BCA">
      <w:r>
        <w:tab/>
      </w:r>
      <w:r>
        <w:tab/>
        <w:t>UGI seeks to strike</w:t>
      </w:r>
      <w:r w:rsidR="006E4F61">
        <w:t xml:space="preserve"> testimony at page 13 line 13 through page 14 line 9 from John Slifko’s written testimony, Reading St. No. 2.  UGI argues that this testimony seeks to revive the Complainants’ claims regarding meter locations that were placed under windows.  The Complainants’ claim that 337 meters which were installed beneath windows violated Section 59.18, was dismissed by summary judgment.</w:t>
      </w:r>
      <w:r w:rsidR="00750ABF">
        <w:rPr>
          <w:rStyle w:val="FootnoteReference"/>
        </w:rPr>
        <w:footnoteReference w:id="13"/>
      </w:r>
      <w:r w:rsidR="006E4F61">
        <w:t xml:space="preserve">  However, Mr. Slifko’s testimony, taken in context, discusses in general terms how the meter survey was conducted and how he personally recorded his observations</w:t>
      </w:r>
      <w:r w:rsidR="00883E73">
        <w:t>.</w:t>
      </w:r>
      <w:r w:rsidR="00AC1F3E">
        <w:t xml:space="preserve">  His statements do </w:t>
      </w:r>
      <w:r w:rsidR="001F5262">
        <w:t>appear to</w:t>
      </w:r>
      <w:r w:rsidR="00AC1F3E">
        <w:t xml:space="preserve"> attempt to revive the dismissed claim and UGI’s motion to strike page 13 line 13 through page 14 line 9 is denied.</w:t>
      </w:r>
    </w:p>
    <w:p w:rsidR="00AC1F3E" w:rsidRDefault="009C75D0">
      <w:r>
        <w:br/>
      </w:r>
      <w:r>
        <w:br/>
      </w:r>
      <w:r>
        <w:br/>
      </w:r>
    </w:p>
    <w:p w:rsidR="00292365" w:rsidRPr="009B58CA" w:rsidRDefault="00F9337B" w:rsidP="00292365">
      <w:pPr>
        <w:rPr>
          <w:b/>
        </w:rPr>
      </w:pPr>
      <w:r>
        <w:lastRenderedPageBreak/>
        <w:tab/>
      </w:r>
      <w:r w:rsidRPr="009B58CA">
        <w:rPr>
          <w:b/>
        </w:rPr>
        <w:t>H.</w:t>
      </w:r>
      <w:r w:rsidRPr="009B58CA">
        <w:rPr>
          <w:b/>
        </w:rPr>
        <w:tab/>
      </w:r>
      <w:r w:rsidR="00292365" w:rsidRPr="009B58CA">
        <w:rPr>
          <w:b/>
        </w:rPr>
        <w:t>Hearsay in Testimony and Exhibits</w:t>
      </w:r>
    </w:p>
    <w:p w:rsidR="001C18C4" w:rsidRDefault="001C18C4" w:rsidP="00292365"/>
    <w:p w:rsidR="001C18C4" w:rsidRDefault="001C18C4" w:rsidP="00292365">
      <w:r>
        <w:tab/>
      </w:r>
      <w:r>
        <w:tab/>
        <w:t xml:space="preserve">UGI seeks to strike certain statements and exhibits which it contends are hearsay.  The City argues that the Commission is not required to strictly adhere to the rules of evidence and hearsay is not automatically inadmissible in administrative hearings.  The City also argues that </w:t>
      </w:r>
      <w:r w:rsidR="00C15674">
        <w:t>certain statements</w:t>
      </w:r>
      <w:r w:rsidR="001F5262">
        <w:t xml:space="preserve"> identified by UGI</w:t>
      </w:r>
      <w:r w:rsidR="00C15674">
        <w:t xml:space="preserve"> are not hearsay.</w:t>
      </w:r>
    </w:p>
    <w:p w:rsidR="006E62F2" w:rsidRDefault="006E62F2" w:rsidP="00292365"/>
    <w:p w:rsidR="006E62F2" w:rsidRDefault="006E62F2" w:rsidP="00292365">
      <w:r>
        <w:tab/>
      </w:r>
      <w:r>
        <w:tab/>
        <w:t>As the City correctly points out, administrative agencies are not bound by the technical rules of evidence.</w:t>
      </w:r>
      <w:r>
        <w:rPr>
          <w:rStyle w:val="FootnoteReference"/>
        </w:rPr>
        <w:footnoteReference w:id="14"/>
      </w:r>
      <w:r>
        <w:t xml:space="preserve">  Whether it is appropriate to permit the admission of technical hearsay into the record is within the discretion of the administrative law judge.  It is my preference to with</w:t>
      </w:r>
      <w:r w:rsidR="001C1945">
        <w:t>h</w:t>
      </w:r>
      <w:r>
        <w:t>old ruling in the admission of exhibits into evidence until after a witness is cross-examined and redirect examination.</w:t>
      </w:r>
      <w:r w:rsidR="009B2AC1">
        <w:rPr>
          <w:rStyle w:val="FootnoteReference"/>
        </w:rPr>
        <w:footnoteReference w:id="15"/>
      </w:r>
      <w:r>
        <w:t xml:space="preserve">  It is within this full context of the </w:t>
      </w:r>
      <w:r w:rsidR="001A05DD">
        <w:t>witness’s</w:t>
      </w:r>
      <w:r>
        <w:t xml:space="preserve"> testimony that a proper determination can be made whether hearsay is sufficiently reliable to permit its admission into the record, whether an exception to the hearsay rule applies or whether the testimony or exhibit is, in fact, not hearsay at all.  Therefore, UGI’s motion will be denied at this time without prejudice to the renewal of UGI’s objection at the appropriate time.</w:t>
      </w:r>
    </w:p>
    <w:p w:rsidR="00F9337B" w:rsidRDefault="00F9337B"/>
    <w:p w:rsidR="00BB2268" w:rsidRDefault="00BB2268" w:rsidP="00DE6B5A">
      <w:pPr>
        <w:ind w:left="720" w:firstLine="720"/>
      </w:pPr>
      <w:r>
        <w:t>THEREFORE</w:t>
      </w:r>
    </w:p>
    <w:p w:rsidR="00BB2268" w:rsidRDefault="00BB2268"/>
    <w:p w:rsidR="00BB2268" w:rsidRDefault="00BB2268" w:rsidP="00DE6B5A">
      <w:pPr>
        <w:ind w:left="720" w:firstLine="720"/>
      </w:pPr>
      <w:r>
        <w:t>IT IS ORDERED:</w:t>
      </w:r>
      <w:r>
        <w:tab/>
      </w:r>
    </w:p>
    <w:p w:rsidR="00BB2268" w:rsidRDefault="00BB2268"/>
    <w:p w:rsidR="00BB2268" w:rsidRDefault="00BB2268" w:rsidP="00DE6B5A">
      <w:pPr>
        <w:ind w:firstLine="720"/>
      </w:pPr>
      <w:r>
        <w:tab/>
      </w:r>
      <w:r w:rsidR="001F5262">
        <w:t>1</w:t>
      </w:r>
      <w:r w:rsidR="00301EDC">
        <w:t>.</w:t>
      </w:r>
      <w:r w:rsidR="00301EDC">
        <w:tab/>
        <w:t>That the motion to strike Reading St. No. 3 and attached exhibits is granted.</w:t>
      </w:r>
    </w:p>
    <w:p w:rsidR="001F5262" w:rsidRDefault="001F5262" w:rsidP="00DE6B5A">
      <w:pPr>
        <w:ind w:firstLine="720"/>
      </w:pPr>
    </w:p>
    <w:p w:rsidR="001F5262" w:rsidRDefault="001F5262" w:rsidP="00DE6B5A">
      <w:pPr>
        <w:ind w:firstLine="720"/>
      </w:pPr>
      <w:r>
        <w:tab/>
        <w:t>2.</w:t>
      </w:r>
      <w:r>
        <w:tab/>
        <w:t xml:space="preserve">That any remaining photographs attached as exhibits to </w:t>
      </w:r>
      <w:r w:rsidR="009B6BA8">
        <w:t xml:space="preserve">Complainants’ </w:t>
      </w:r>
      <w:r>
        <w:t>witness testimony shall be individually marked with Bates numbers, where available.  These exhibits shall be re-served to the undersigned and to the parties and identified as substitute exhibits.</w:t>
      </w:r>
      <w:r w:rsidR="009B6BA8">
        <w:t xml:space="preserve">  These substitute exhibits shall be re-served no later than </w:t>
      </w:r>
      <w:r w:rsidR="009B6BA8" w:rsidRPr="009B6BA8">
        <w:rPr>
          <w:b/>
          <w:u w:val="single"/>
        </w:rPr>
        <w:t>July 25, 2018</w:t>
      </w:r>
      <w:r w:rsidR="009B6BA8">
        <w:t>.</w:t>
      </w:r>
    </w:p>
    <w:p w:rsidR="009B6BA8" w:rsidRDefault="009B6BA8" w:rsidP="00DE6B5A">
      <w:pPr>
        <w:ind w:firstLine="720"/>
      </w:pPr>
      <w:r>
        <w:lastRenderedPageBreak/>
        <w:tab/>
        <w:t>3.</w:t>
      </w:r>
      <w:r>
        <w:tab/>
        <w:t>That UGI’s motion to strike is denied in all other respects, without prejudice to renew its objections at the appropriate time.</w:t>
      </w:r>
    </w:p>
    <w:p w:rsidR="00FD310F" w:rsidRDefault="00FD310F"/>
    <w:p w:rsidR="00FD310F" w:rsidRDefault="00FD310F"/>
    <w:p w:rsidR="00FD310F" w:rsidRPr="00FD310F" w:rsidRDefault="00FD310F" w:rsidP="00FD310F">
      <w:pPr>
        <w:spacing w:line="240" w:lineRule="auto"/>
        <w:rPr>
          <w:rFonts w:eastAsia="Times New Roman"/>
          <w:szCs w:val="24"/>
        </w:rPr>
      </w:pPr>
      <w:bookmarkStart w:id="1" w:name="_Hlk505862083"/>
      <w:r w:rsidRPr="00FD310F">
        <w:rPr>
          <w:rFonts w:eastAsia="Times New Roman"/>
          <w:szCs w:val="24"/>
        </w:rPr>
        <w:t xml:space="preserve">Date:  </w:t>
      </w:r>
      <w:r>
        <w:rPr>
          <w:rFonts w:eastAsia="Times New Roman"/>
          <w:szCs w:val="24"/>
          <w:u w:val="single"/>
        </w:rPr>
        <w:t>July 19, 2018</w:t>
      </w:r>
      <w:r>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u w:val="single"/>
        </w:rPr>
        <w:tab/>
      </w:r>
      <w:r w:rsidRPr="00FD310F">
        <w:rPr>
          <w:rFonts w:eastAsia="Times New Roman"/>
          <w:szCs w:val="24"/>
          <w:u w:val="single"/>
        </w:rPr>
        <w:tab/>
        <w:t>/s/</w:t>
      </w:r>
      <w:r w:rsidRPr="00FD310F">
        <w:rPr>
          <w:rFonts w:eastAsia="Times New Roman"/>
          <w:szCs w:val="24"/>
          <w:u w:val="single"/>
        </w:rPr>
        <w:tab/>
      </w:r>
      <w:r w:rsidRPr="00FD310F">
        <w:rPr>
          <w:rFonts w:eastAsia="Times New Roman"/>
          <w:szCs w:val="24"/>
          <w:u w:val="single"/>
        </w:rPr>
        <w:tab/>
      </w:r>
      <w:r w:rsidRPr="00FD310F">
        <w:rPr>
          <w:rFonts w:eastAsia="Times New Roman"/>
          <w:szCs w:val="24"/>
          <w:u w:val="single"/>
        </w:rPr>
        <w:tab/>
      </w:r>
      <w:r w:rsidRPr="00FD310F">
        <w:rPr>
          <w:rFonts w:eastAsia="Times New Roman"/>
          <w:szCs w:val="24"/>
          <w:u w:val="single"/>
        </w:rPr>
        <w:tab/>
      </w:r>
    </w:p>
    <w:p w:rsidR="00FD310F" w:rsidRPr="00FD310F" w:rsidRDefault="00FD310F" w:rsidP="00FD310F">
      <w:pPr>
        <w:spacing w:line="240" w:lineRule="auto"/>
        <w:rPr>
          <w:rFonts w:eastAsia="Times New Roman"/>
          <w:szCs w:val="24"/>
        </w:rPr>
      </w:pP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t>Mary D. Long</w:t>
      </w:r>
    </w:p>
    <w:p w:rsidR="00FD310F" w:rsidRPr="00FD310F" w:rsidRDefault="00FD310F" w:rsidP="00FD310F">
      <w:pPr>
        <w:spacing w:line="240" w:lineRule="auto"/>
        <w:rPr>
          <w:rFonts w:eastAsia="Times New Roman"/>
          <w:szCs w:val="24"/>
        </w:rPr>
      </w:pP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r>
      <w:r w:rsidRPr="00FD310F">
        <w:rPr>
          <w:rFonts w:eastAsia="Times New Roman"/>
          <w:szCs w:val="24"/>
        </w:rPr>
        <w:tab/>
        <w:t>Administrative Law Judge</w:t>
      </w:r>
    </w:p>
    <w:bookmarkEnd w:id="1"/>
    <w:p w:rsidR="00FD310F" w:rsidRDefault="00FD310F"/>
    <w:p w:rsidR="00FD310F" w:rsidRDefault="00FD310F"/>
    <w:p w:rsidR="00FD310F" w:rsidRDefault="00FD310F">
      <w:pPr>
        <w:sectPr w:rsidR="00FD310F" w:rsidSect="0005085F">
          <w:footerReference w:type="default" r:id="rId8"/>
          <w:pgSz w:w="12240" w:h="15840"/>
          <w:pgMar w:top="1440" w:right="1440" w:bottom="1440" w:left="1440" w:header="720" w:footer="720" w:gutter="0"/>
          <w:cols w:space="720"/>
          <w:titlePg/>
          <w:docGrid w:linePitch="360"/>
        </w:sectPr>
      </w:pPr>
    </w:p>
    <w:p w:rsidR="00FD310F" w:rsidRPr="00FD310F" w:rsidRDefault="00FD310F" w:rsidP="00FD310F">
      <w:pPr>
        <w:spacing w:line="240" w:lineRule="auto"/>
        <w:contextualSpacing/>
        <w:rPr>
          <w:rFonts w:ascii="Microsoft Sans Serif" w:eastAsiaTheme="minorEastAsia" w:hAnsiTheme="minorHAnsi" w:cstheme="minorBidi"/>
          <w:b/>
          <w:szCs w:val="24"/>
          <w:u w:val="single"/>
        </w:rPr>
      </w:pPr>
      <w:r w:rsidRPr="00FD310F">
        <w:rPr>
          <w:rFonts w:ascii="Microsoft Sans Serif" w:eastAsiaTheme="minorEastAsia" w:hAnsiTheme="minorHAnsi" w:cstheme="minorBidi"/>
          <w:b/>
          <w:szCs w:val="24"/>
          <w:u w:val="single"/>
        </w:rPr>
        <w:lastRenderedPageBreak/>
        <w:t>C-2015-2516051 - CENTRE PARK HISTORIC DISTRICT INC v. UGI UTILITIES INC</w:t>
      </w:r>
    </w:p>
    <w:p w:rsidR="00FD310F" w:rsidRPr="00FD310F" w:rsidRDefault="00FD310F" w:rsidP="00FD310F">
      <w:pPr>
        <w:spacing w:line="240" w:lineRule="auto"/>
        <w:contextualSpacing/>
        <w:rPr>
          <w:rFonts w:ascii="Microsoft Sans Serif" w:eastAsiaTheme="minorEastAsia" w:hAnsiTheme="minorHAnsi" w:cstheme="minorBidi"/>
          <w:b/>
          <w:szCs w:val="24"/>
          <w:u w:val="single"/>
        </w:rPr>
      </w:pPr>
    </w:p>
    <w:p w:rsidR="00FD310F" w:rsidRPr="00FD310F" w:rsidRDefault="00FD310F" w:rsidP="00FD310F">
      <w:pPr>
        <w:spacing w:line="240" w:lineRule="auto"/>
        <w:contextualSpacing/>
        <w:rPr>
          <w:rFonts w:ascii="Microsoft Sans Serif" w:eastAsiaTheme="minorEastAsia" w:hAnsiTheme="minorHAnsi" w:cstheme="minorBidi"/>
          <w:b/>
          <w:szCs w:val="24"/>
          <w:u w:val="single"/>
        </w:rPr>
      </w:pPr>
      <w:r w:rsidRPr="00FD310F">
        <w:rPr>
          <w:rFonts w:ascii="Microsoft Sans Serif" w:eastAsiaTheme="minorEastAsia" w:hAnsiTheme="minorHAnsi" w:cstheme="minorBidi"/>
          <w:b/>
          <w:szCs w:val="22"/>
          <w:u w:val="single"/>
        </w:rPr>
        <w:t>C-2016-2530475 - CITY OF READING v. UGI UTILITIES INC</w:t>
      </w:r>
      <w:r w:rsidRPr="00FD310F">
        <w:rPr>
          <w:rFonts w:ascii="Microsoft Sans Serif" w:eastAsiaTheme="minorEastAsia" w:hAnsiTheme="minorHAnsi" w:cstheme="minorBidi"/>
          <w:b/>
          <w:szCs w:val="22"/>
          <w:u w:val="single"/>
        </w:rPr>
        <w:cr/>
      </w:r>
    </w:p>
    <w:p w:rsidR="00FD310F" w:rsidRDefault="00FD310F" w:rsidP="00FD310F">
      <w:pPr>
        <w:spacing w:line="240" w:lineRule="auto"/>
        <w:contextualSpacing/>
        <w:rPr>
          <w:rFonts w:ascii="Microsoft Sans Serif" w:eastAsiaTheme="minorEastAsia" w:hAnsiTheme="minorHAnsi" w:cstheme="minorBidi"/>
          <w:i/>
          <w:szCs w:val="24"/>
          <w:u w:val="single"/>
        </w:rPr>
      </w:pPr>
      <w:r w:rsidRPr="00FD310F">
        <w:rPr>
          <w:rFonts w:ascii="Microsoft Sans Serif" w:eastAsiaTheme="minorEastAsia" w:hAnsiTheme="minorHAnsi" w:cstheme="minorBidi"/>
          <w:i/>
          <w:szCs w:val="24"/>
          <w:u w:val="single"/>
        </w:rPr>
        <w:t>Revised 7/10/18</w:t>
      </w:r>
    </w:p>
    <w:p w:rsidR="00FD310F" w:rsidRPr="00FD310F" w:rsidRDefault="00FD310F" w:rsidP="00FD310F">
      <w:pPr>
        <w:spacing w:line="240" w:lineRule="auto"/>
        <w:contextualSpacing/>
        <w:rPr>
          <w:rFonts w:ascii="Microsoft Sans Serif" w:eastAsiaTheme="minorEastAsia" w:hAnsiTheme="minorHAnsi" w:cstheme="minorBidi"/>
          <w:i/>
          <w:szCs w:val="24"/>
          <w:u w:val="single"/>
        </w:rPr>
      </w:pPr>
    </w:p>
    <w:p w:rsidR="00FD310F" w:rsidRDefault="00FD310F">
      <w:pPr>
        <w:sectPr w:rsidR="00FD310F" w:rsidSect="00FD310F">
          <w:pgSz w:w="12240" w:h="15840"/>
          <w:pgMar w:top="720" w:right="720" w:bottom="720" w:left="720" w:header="720" w:footer="720" w:gutter="0"/>
          <w:cols w:space="720"/>
          <w:titlePg/>
          <w:docGrid w:linePitch="360"/>
        </w:sectPr>
      </w:pP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SCOTT HOH ESQUIRE</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RESOLUTION LAW GROUP</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d/b/a LAW OFFICES OF SCOTT HOH</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606 NORTH 5</w:t>
      </w:r>
      <w:r w:rsidRPr="00FD310F">
        <w:rPr>
          <w:rFonts w:ascii="Microsoft Sans Serif" w:eastAsiaTheme="minorEastAsia" w:hAnsiTheme="minorHAnsi" w:cstheme="minorBidi"/>
          <w:szCs w:val="24"/>
          <w:vertAlign w:val="superscript"/>
        </w:rPr>
        <w:t>TH</w:t>
      </w:r>
      <w:r w:rsidRPr="00FD310F">
        <w:rPr>
          <w:rFonts w:ascii="Microsoft Sans Serif" w:eastAsiaTheme="minorEastAsia" w:hAnsiTheme="minorHAnsi" w:cstheme="minorBidi"/>
          <w:szCs w:val="24"/>
        </w:rPr>
        <w:t xml:space="preserve"> STREET</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READING PA  19601</w:t>
      </w:r>
    </w:p>
    <w:p w:rsidR="00FD310F" w:rsidRPr="00FD310F" w:rsidRDefault="00FD310F" w:rsidP="00FD310F">
      <w:pPr>
        <w:spacing w:line="276" w:lineRule="auto"/>
        <w:contextualSpacing/>
        <w:rPr>
          <w:rFonts w:ascii="Microsoft Sans Serif" w:eastAsiaTheme="minorEastAsia" w:hAnsiTheme="minorHAnsi" w:cstheme="minorBidi"/>
          <w:b/>
          <w:szCs w:val="24"/>
        </w:rPr>
      </w:pPr>
      <w:r w:rsidRPr="00FD310F">
        <w:rPr>
          <w:rFonts w:ascii="Microsoft Sans Serif" w:eastAsiaTheme="minorEastAsia" w:hAnsiTheme="minorHAnsi" w:cstheme="minorBidi"/>
          <w:b/>
          <w:szCs w:val="24"/>
        </w:rPr>
        <w:t>610.374.5841</w:t>
      </w:r>
    </w:p>
    <w:p w:rsidR="00FD310F" w:rsidRPr="00FD310F" w:rsidRDefault="00FD310F" w:rsidP="00FD310F">
      <w:pPr>
        <w:spacing w:line="276" w:lineRule="auto"/>
        <w:contextualSpacing/>
        <w:rPr>
          <w:rFonts w:ascii="Microsoft Sans Serif" w:eastAsiaTheme="minorEastAsia" w:hAnsiTheme="minorHAnsi" w:cstheme="minorBidi"/>
          <w:i/>
          <w:szCs w:val="24"/>
        </w:rPr>
      </w:pPr>
      <w:r w:rsidRPr="00FD310F">
        <w:rPr>
          <w:rFonts w:ascii="Microsoft Sans Serif" w:eastAsiaTheme="minorEastAsia" w:hAnsiTheme="minorHAnsi" w:cstheme="minorBidi"/>
          <w:i/>
          <w:szCs w:val="24"/>
        </w:rPr>
        <w:t>Representing Centre Park Historic District, Inc.</w:t>
      </w:r>
    </w:p>
    <w:p w:rsidR="00FD310F" w:rsidRPr="00FD310F" w:rsidRDefault="00FD310F" w:rsidP="00FD310F">
      <w:pPr>
        <w:spacing w:line="240" w:lineRule="auto"/>
        <w:contextualSpacing/>
        <w:rPr>
          <w:rFonts w:ascii="Microsoft Sans Serif" w:eastAsiaTheme="minorEastAsia" w:hAnsiTheme="minorHAnsi" w:cstheme="minorBidi"/>
          <w:szCs w:val="24"/>
        </w:rPr>
      </w:pP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RICH RAIDERS ESQUIRE</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606 NORTH 5</w:t>
      </w:r>
      <w:r w:rsidRPr="00FD310F">
        <w:rPr>
          <w:rFonts w:ascii="Microsoft Sans Serif" w:eastAsiaTheme="minorEastAsia" w:hAnsiTheme="minorHAnsi" w:cstheme="minorBidi"/>
          <w:szCs w:val="24"/>
          <w:vertAlign w:val="superscript"/>
        </w:rPr>
        <w:t>TH</w:t>
      </w:r>
      <w:r w:rsidRPr="00FD310F">
        <w:rPr>
          <w:rFonts w:ascii="Microsoft Sans Serif" w:eastAsiaTheme="minorEastAsia" w:hAnsiTheme="minorHAnsi" w:cstheme="minorBidi"/>
          <w:szCs w:val="24"/>
        </w:rPr>
        <w:t xml:space="preserve"> STREET</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READING PA  19601</w:t>
      </w:r>
    </w:p>
    <w:p w:rsidR="00FD310F" w:rsidRPr="00FD310F" w:rsidRDefault="00FD310F" w:rsidP="00FD310F">
      <w:pPr>
        <w:spacing w:line="276" w:lineRule="auto"/>
        <w:contextualSpacing/>
        <w:rPr>
          <w:rFonts w:ascii="Microsoft Sans Serif" w:eastAsiaTheme="minorEastAsia" w:hAnsiTheme="minorHAnsi" w:cstheme="minorBidi"/>
          <w:b/>
          <w:szCs w:val="24"/>
        </w:rPr>
      </w:pPr>
      <w:r w:rsidRPr="00FD310F">
        <w:rPr>
          <w:rFonts w:ascii="Microsoft Sans Serif" w:eastAsiaTheme="minorEastAsia" w:hAnsiTheme="minorHAnsi" w:cstheme="minorBidi"/>
          <w:b/>
          <w:szCs w:val="24"/>
        </w:rPr>
        <w:t>484.509.2715</w:t>
      </w:r>
    </w:p>
    <w:p w:rsidR="00FD310F" w:rsidRPr="00FD310F" w:rsidRDefault="00FD310F" w:rsidP="00FD310F">
      <w:pPr>
        <w:spacing w:line="276" w:lineRule="auto"/>
        <w:contextualSpacing/>
        <w:rPr>
          <w:rFonts w:ascii="Microsoft Sans Serif" w:eastAsiaTheme="minorEastAsia" w:hAnsiTheme="minorHAnsi" w:cstheme="minorBidi"/>
          <w:i/>
          <w:szCs w:val="24"/>
        </w:rPr>
      </w:pPr>
      <w:r w:rsidRPr="00FD310F">
        <w:rPr>
          <w:rFonts w:ascii="Microsoft Sans Serif" w:eastAsiaTheme="minorEastAsia" w:hAnsiTheme="minorHAnsi" w:cstheme="minorBidi"/>
          <w:i/>
          <w:szCs w:val="24"/>
        </w:rPr>
        <w:t>Accepts E-service</w:t>
      </w:r>
    </w:p>
    <w:p w:rsidR="00FD310F" w:rsidRPr="00FD310F" w:rsidRDefault="00FD310F" w:rsidP="00FD310F">
      <w:pPr>
        <w:spacing w:line="276" w:lineRule="auto"/>
        <w:contextualSpacing/>
        <w:rPr>
          <w:rFonts w:ascii="Microsoft Sans Serif" w:eastAsiaTheme="minorEastAsia" w:hAnsiTheme="minorHAnsi" w:cstheme="minorBidi"/>
          <w:i/>
          <w:szCs w:val="24"/>
        </w:rPr>
      </w:pPr>
      <w:r w:rsidRPr="00FD310F">
        <w:rPr>
          <w:rFonts w:ascii="Microsoft Sans Serif" w:eastAsiaTheme="minorEastAsia" w:hAnsiTheme="minorHAnsi" w:cstheme="minorBidi"/>
          <w:i/>
          <w:szCs w:val="24"/>
        </w:rPr>
        <w:t>Representing Centre Park Historic District, Inc.</w:t>
      </w:r>
    </w:p>
    <w:p w:rsidR="00FD310F" w:rsidRPr="00FD310F" w:rsidRDefault="00FD310F" w:rsidP="00FD310F">
      <w:pPr>
        <w:spacing w:line="240" w:lineRule="auto"/>
        <w:contextualSpacing/>
        <w:rPr>
          <w:rFonts w:ascii="Microsoft Sans Serif" w:eastAsiaTheme="minorEastAsia" w:hAnsiTheme="minorHAnsi" w:cstheme="minorBidi"/>
          <w:szCs w:val="24"/>
        </w:rPr>
      </w:pP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JAN D KRAFCZEK ESQUIRE</w:t>
      </w: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CITY HALL ROOM 2-54</w:t>
      </w: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815 WASHINGTON STREET</w:t>
      </w: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READING PA 19601</w:t>
      </w:r>
    </w:p>
    <w:p w:rsidR="00FD310F" w:rsidRPr="00FD310F" w:rsidRDefault="00FD310F" w:rsidP="00FD310F">
      <w:pPr>
        <w:spacing w:line="240" w:lineRule="auto"/>
        <w:contextualSpacing/>
        <w:rPr>
          <w:rFonts w:ascii="Microsoft Sans Serif" w:eastAsiaTheme="minorEastAsia" w:hAnsiTheme="minorHAnsi" w:cstheme="minorBidi"/>
          <w:b/>
          <w:szCs w:val="24"/>
        </w:rPr>
      </w:pPr>
      <w:r w:rsidRPr="00FD310F">
        <w:rPr>
          <w:rFonts w:ascii="Microsoft Sans Serif" w:eastAsiaTheme="minorEastAsia" w:hAnsiTheme="minorHAnsi" w:cstheme="minorBidi"/>
          <w:b/>
          <w:szCs w:val="24"/>
        </w:rPr>
        <w:t>610.655.6424</w:t>
      </w:r>
    </w:p>
    <w:p w:rsidR="00FD310F" w:rsidRPr="00FD310F" w:rsidRDefault="00FD310F" w:rsidP="00FD310F">
      <w:pPr>
        <w:spacing w:line="240" w:lineRule="auto"/>
        <w:contextualSpacing/>
        <w:rPr>
          <w:rFonts w:ascii="Microsoft Sans Serif" w:eastAsiaTheme="minorEastAsia" w:hAnsiTheme="minorHAnsi" w:cstheme="minorBidi"/>
          <w:i/>
          <w:szCs w:val="24"/>
        </w:rPr>
      </w:pPr>
      <w:r w:rsidRPr="00FD310F">
        <w:rPr>
          <w:rFonts w:ascii="Microsoft Sans Serif" w:eastAsiaTheme="minorEastAsia" w:hAnsiTheme="minorHAnsi" w:cstheme="minorBidi"/>
          <w:i/>
          <w:szCs w:val="24"/>
        </w:rPr>
        <w:t>Representing City of Reading</w:t>
      </w:r>
    </w:p>
    <w:p w:rsidR="00FD310F" w:rsidRPr="00FD310F" w:rsidRDefault="00FD310F" w:rsidP="00FD310F">
      <w:pPr>
        <w:spacing w:line="240" w:lineRule="auto"/>
        <w:contextualSpacing/>
        <w:rPr>
          <w:rFonts w:ascii="Microsoft Sans Serif" w:eastAsiaTheme="minorEastAsia" w:hAnsiTheme="minorHAnsi" w:cstheme="minorBidi"/>
          <w:i/>
          <w:szCs w:val="24"/>
        </w:rPr>
      </w:pP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CHARLES E THOMAS III ESQUIRE</w:t>
      </w: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CHARLES E THOMAS JR ESQUIRE</w:t>
      </w: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THOMAS NIESEN &amp; THOMAS LLC</w:t>
      </w: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212 LOCUST STREET SUITE 302</w:t>
      </w: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HARRISBURG PA 17101</w:t>
      </w:r>
    </w:p>
    <w:p w:rsidR="00FD310F" w:rsidRPr="00FD310F" w:rsidRDefault="00FD310F" w:rsidP="00FD310F">
      <w:pPr>
        <w:spacing w:line="240" w:lineRule="auto"/>
        <w:contextualSpacing/>
        <w:rPr>
          <w:rFonts w:ascii="Microsoft Sans Serif" w:eastAsiaTheme="minorEastAsia" w:hAnsiTheme="minorHAnsi" w:cstheme="minorBidi"/>
          <w:b/>
          <w:szCs w:val="24"/>
        </w:rPr>
      </w:pPr>
      <w:r w:rsidRPr="00FD310F">
        <w:rPr>
          <w:rFonts w:ascii="Microsoft Sans Serif" w:eastAsiaTheme="minorEastAsia" w:hAnsiTheme="minorHAnsi" w:cstheme="minorBidi"/>
          <w:b/>
          <w:szCs w:val="24"/>
        </w:rPr>
        <w:t>717.255.7600</w:t>
      </w:r>
    </w:p>
    <w:p w:rsidR="00FD310F" w:rsidRPr="00FD310F" w:rsidRDefault="00FD310F" w:rsidP="00FD310F">
      <w:pPr>
        <w:spacing w:line="240" w:lineRule="auto"/>
        <w:contextualSpacing/>
        <w:rPr>
          <w:rFonts w:ascii="Microsoft Sans Serif" w:eastAsiaTheme="minorEastAsia" w:hAnsiTheme="minorHAnsi" w:cstheme="minorBidi"/>
          <w:i/>
          <w:szCs w:val="24"/>
        </w:rPr>
      </w:pPr>
      <w:r w:rsidRPr="00FD310F">
        <w:rPr>
          <w:rFonts w:ascii="Microsoft Sans Serif" w:eastAsiaTheme="minorEastAsia" w:hAnsiTheme="minorHAnsi" w:cstheme="minorBidi"/>
          <w:i/>
          <w:szCs w:val="24"/>
        </w:rPr>
        <w:t>Accepts E-service</w:t>
      </w:r>
    </w:p>
    <w:p w:rsidR="00FD310F" w:rsidRPr="00FD310F" w:rsidRDefault="00FD310F" w:rsidP="00FD310F">
      <w:pPr>
        <w:spacing w:line="240" w:lineRule="auto"/>
        <w:contextualSpacing/>
        <w:rPr>
          <w:rFonts w:ascii="Microsoft Sans Serif" w:eastAsiaTheme="minorEastAsia" w:hAnsiTheme="minorHAnsi" w:cstheme="minorBidi"/>
          <w:i/>
          <w:szCs w:val="24"/>
        </w:rPr>
      </w:pPr>
      <w:r w:rsidRPr="00FD310F">
        <w:rPr>
          <w:rFonts w:ascii="Microsoft Sans Serif" w:eastAsiaTheme="minorEastAsia" w:hAnsiTheme="minorHAnsi" w:cstheme="minorBidi"/>
          <w:i/>
          <w:szCs w:val="24"/>
        </w:rPr>
        <w:t>Representing City of Reading</w:t>
      </w:r>
    </w:p>
    <w:p w:rsidR="00FD310F" w:rsidRPr="00FD310F" w:rsidRDefault="00FD310F" w:rsidP="00FD310F">
      <w:pPr>
        <w:spacing w:line="240" w:lineRule="auto"/>
        <w:contextualSpacing/>
        <w:rPr>
          <w:rFonts w:ascii="Microsoft Sans Serif" w:eastAsiaTheme="minorEastAsia" w:hAnsiTheme="minorHAnsi" w:cstheme="minorBidi"/>
          <w:szCs w:val="24"/>
        </w:rPr>
      </w:pPr>
    </w:p>
    <w:p w:rsidR="00FD310F" w:rsidRPr="00FD310F" w:rsidRDefault="00FD310F" w:rsidP="00FD310F">
      <w:pPr>
        <w:spacing w:line="240"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MARK C MORROW ESQUIRE</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DANIELLE JOUENNE ESQUIRE</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UGI UTILITIES INC</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460 NORTH GULPH ROAD</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KING OF PRUSSIA PA 19406-2807</w:t>
      </w:r>
    </w:p>
    <w:p w:rsidR="00FD310F" w:rsidRPr="00FD310F" w:rsidRDefault="00FD310F" w:rsidP="00FD310F">
      <w:pPr>
        <w:spacing w:line="276" w:lineRule="auto"/>
        <w:contextualSpacing/>
        <w:rPr>
          <w:rFonts w:ascii="Microsoft Sans Serif" w:eastAsiaTheme="minorEastAsia" w:hAnsiTheme="minorHAnsi" w:cstheme="minorBidi"/>
          <w:b/>
          <w:szCs w:val="24"/>
        </w:rPr>
      </w:pPr>
      <w:r w:rsidRPr="00FD310F">
        <w:rPr>
          <w:rFonts w:ascii="Microsoft Sans Serif" w:eastAsiaTheme="minorEastAsia" w:hAnsiTheme="minorHAnsi" w:cstheme="minorBidi"/>
          <w:b/>
          <w:szCs w:val="24"/>
        </w:rPr>
        <w:t>610.768.3628</w:t>
      </w:r>
    </w:p>
    <w:p w:rsidR="00FD310F" w:rsidRPr="00FD310F" w:rsidRDefault="00FD310F" w:rsidP="00FD310F">
      <w:pPr>
        <w:spacing w:line="276" w:lineRule="auto"/>
        <w:contextualSpacing/>
        <w:rPr>
          <w:rFonts w:ascii="Microsoft Sans Serif" w:eastAsiaTheme="minorEastAsia" w:hAnsiTheme="minorHAnsi" w:cstheme="minorBidi"/>
          <w:b/>
          <w:szCs w:val="24"/>
        </w:rPr>
      </w:pPr>
      <w:r w:rsidRPr="00FD310F">
        <w:rPr>
          <w:rFonts w:ascii="Microsoft Sans Serif" w:eastAsiaTheme="minorEastAsia" w:hAnsiTheme="minorHAnsi" w:cstheme="minorBidi"/>
          <w:b/>
          <w:szCs w:val="24"/>
        </w:rPr>
        <w:t>610.992.3203</w:t>
      </w:r>
    </w:p>
    <w:p w:rsidR="00FD310F" w:rsidRPr="00FD310F" w:rsidRDefault="00FD310F" w:rsidP="00FD310F">
      <w:pPr>
        <w:spacing w:line="276" w:lineRule="auto"/>
        <w:contextualSpacing/>
        <w:rPr>
          <w:rFonts w:ascii="Microsoft Sans Serif" w:eastAsiaTheme="minorEastAsia" w:hAnsiTheme="minorHAnsi" w:cstheme="minorBidi"/>
          <w:i/>
          <w:szCs w:val="24"/>
        </w:rPr>
      </w:pPr>
      <w:r w:rsidRPr="00FD310F">
        <w:rPr>
          <w:rFonts w:ascii="Microsoft Sans Serif" w:eastAsiaTheme="minorEastAsia" w:hAnsiTheme="minorHAnsi" w:cstheme="minorBidi"/>
          <w:i/>
          <w:szCs w:val="24"/>
        </w:rPr>
        <w:t>Accepts E-service</w:t>
      </w:r>
    </w:p>
    <w:p w:rsidR="00FD310F" w:rsidRPr="00FD310F" w:rsidRDefault="00FD310F" w:rsidP="00FD310F">
      <w:pPr>
        <w:spacing w:line="276" w:lineRule="auto"/>
        <w:contextualSpacing/>
        <w:rPr>
          <w:rFonts w:ascii="Microsoft Sans Serif" w:eastAsiaTheme="minorEastAsia" w:hAnsiTheme="minorHAnsi" w:cstheme="minorBidi"/>
          <w:i/>
          <w:szCs w:val="24"/>
        </w:rPr>
      </w:pPr>
      <w:r w:rsidRPr="00FD310F">
        <w:rPr>
          <w:rFonts w:ascii="Microsoft Sans Serif" w:eastAsiaTheme="minorEastAsia" w:hAnsiTheme="minorHAnsi" w:cstheme="minorBidi"/>
          <w:i/>
          <w:szCs w:val="24"/>
        </w:rPr>
        <w:t xml:space="preserve">Representing UGI Utilities, Inc. </w:t>
      </w:r>
      <w:r w:rsidRPr="00FD310F">
        <w:rPr>
          <w:rFonts w:ascii="Microsoft Sans Serif" w:eastAsiaTheme="minorEastAsia" w:hAnsiTheme="minorHAnsi" w:cstheme="minorBidi"/>
          <w:i/>
          <w:szCs w:val="24"/>
        </w:rPr>
        <w:t>–</w:t>
      </w:r>
      <w:r w:rsidRPr="00FD310F">
        <w:rPr>
          <w:rFonts w:ascii="Microsoft Sans Serif" w:eastAsiaTheme="minorEastAsia" w:hAnsiTheme="minorHAnsi" w:cstheme="minorBidi"/>
          <w:i/>
          <w:szCs w:val="24"/>
        </w:rPr>
        <w:t xml:space="preserve"> Gas Division</w:t>
      </w:r>
    </w:p>
    <w:p w:rsidR="00FD310F" w:rsidRPr="00FD310F" w:rsidRDefault="00FD310F" w:rsidP="00FD310F">
      <w:pPr>
        <w:spacing w:line="276" w:lineRule="auto"/>
        <w:contextualSpacing/>
        <w:rPr>
          <w:rFonts w:ascii="Microsoft Sans Serif" w:eastAsiaTheme="minorEastAsia" w:hAnsiTheme="minorHAnsi" w:cstheme="minorBidi"/>
          <w:szCs w:val="24"/>
        </w:rPr>
      </w:pPr>
    </w:p>
    <w:p w:rsidR="00FD310F" w:rsidRPr="00FD310F" w:rsidRDefault="00FD310F" w:rsidP="00FD310F">
      <w:pPr>
        <w:spacing w:line="276" w:lineRule="auto"/>
        <w:contextualSpacing/>
        <w:rPr>
          <w:rFonts w:ascii="Microsoft Sans Serif" w:eastAsiaTheme="minorEastAsia" w:hAnsiTheme="minorHAnsi" w:cstheme="minorBidi"/>
          <w:szCs w:val="24"/>
        </w:rPr>
      </w:pPr>
    </w:p>
    <w:p w:rsidR="00FD310F" w:rsidRPr="00FD310F" w:rsidRDefault="00FD310F" w:rsidP="00FD310F">
      <w:pPr>
        <w:spacing w:line="276" w:lineRule="auto"/>
        <w:contextualSpacing/>
        <w:rPr>
          <w:rFonts w:ascii="Microsoft Sans Serif" w:eastAsiaTheme="minorEastAsia" w:hAnsiTheme="minorHAnsi" w:cstheme="minorBidi"/>
          <w:szCs w:val="24"/>
        </w:rPr>
      </w:pP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DAVID B MACGREGOR ESQUIRE</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POST &amp; SHELL PC</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FOUR PENN CENTER</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1600 JOHN F KENNEDY BOULEVARD</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PHILADELPHIA PA 19103-2808</w:t>
      </w:r>
    </w:p>
    <w:p w:rsidR="00FD310F" w:rsidRPr="00FD310F" w:rsidRDefault="00FD310F" w:rsidP="00FD310F">
      <w:pPr>
        <w:spacing w:line="276" w:lineRule="auto"/>
        <w:contextualSpacing/>
        <w:rPr>
          <w:rFonts w:ascii="Microsoft Sans Serif" w:eastAsiaTheme="minorEastAsia" w:hAnsiTheme="minorHAnsi" w:cstheme="minorBidi"/>
          <w:b/>
          <w:szCs w:val="24"/>
        </w:rPr>
      </w:pPr>
      <w:r w:rsidRPr="00FD310F">
        <w:rPr>
          <w:rFonts w:ascii="Microsoft Sans Serif" w:eastAsiaTheme="minorEastAsia" w:hAnsiTheme="minorHAnsi" w:cstheme="minorBidi"/>
          <w:b/>
          <w:szCs w:val="24"/>
        </w:rPr>
        <w:t>215.587.1197</w:t>
      </w:r>
    </w:p>
    <w:p w:rsidR="00FD310F" w:rsidRPr="00FD310F" w:rsidRDefault="00FD310F" w:rsidP="00FD310F">
      <w:pPr>
        <w:spacing w:line="276" w:lineRule="auto"/>
        <w:contextualSpacing/>
        <w:rPr>
          <w:rFonts w:asciiTheme="minorHAnsi" w:eastAsiaTheme="minorEastAsia" w:hAnsiTheme="minorHAnsi" w:cstheme="minorBidi"/>
          <w:sz w:val="22"/>
          <w:szCs w:val="22"/>
        </w:rPr>
      </w:pPr>
      <w:r w:rsidRPr="00FD310F">
        <w:rPr>
          <w:rFonts w:ascii="Microsoft Sans Serif" w:eastAsiaTheme="minorEastAsia" w:hAnsiTheme="minorHAnsi" w:cstheme="minorBidi"/>
          <w:i/>
          <w:szCs w:val="24"/>
        </w:rPr>
        <w:t>Representing UGI Utilities, Inc.</w:t>
      </w:r>
    </w:p>
    <w:p w:rsidR="00FD310F" w:rsidRPr="00FD310F" w:rsidRDefault="00FD310F" w:rsidP="00FD310F">
      <w:pPr>
        <w:spacing w:line="276" w:lineRule="auto"/>
        <w:contextualSpacing/>
        <w:rPr>
          <w:rFonts w:ascii="Microsoft Sans Serif" w:eastAsiaTheme="minorEastAsia" w:hAnsiTheme="minorHAnsi" w:cstheme="minorBidi"/>
          <w:szCs w:val="24"/>
        </w:rPr>
      </w:pP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DEVIN T RYAN ESQUIRE</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POST &amp; SHELL PC</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17 NORTH SECOND STREET</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12</w:t>
      </w:r>
      <w:r w:rsidRPr="00FD310F">
        <w:rPr>
          <w:rFonts w:ascii="Microsoft Sans Serif" w:eastAsiaTheme="minorEastAsia" w:hAnsiTheme="minorHAnsi" w:cstheme="minorBidi"/>
          <w:szCs w:val="24"/>
          <w:vertAlign w:val="superscript"/>
        </w:rPr>
        <w:t>TH</w:t>
      </w:r>
      <w:r w:rsidRPr="00FD310F">
        <w:rPr>
          <w:rFonts w:ascii="Microsoft Sans Serif" w:eastAsiaTheme="minorEastAsia" w:hAnsiTheme="minorHAnsi" w:cstheme="minorBidi"/>
          <w:szCs w:val="24"/>
        </w:rPr>
        <w:t xml:space="preserve"> FLOOR</w:t>
      </w:r>
    </w:p>
    <w:p w:rsidR="00FD310F" w:rsidRPr="00FD310F" w:rsidRDefault="00FD310F" w:rsidP="00FD310F">
      <w:pPr>
        <w:spacing w:line="276" w:lineRule="auto"/>
        <w:contextualSpacing/>
        <w:rPr>
          <w:rFonts w:ascii="Microsoft Sans Serif" w:eastAsiaTheme="minorEastAsia" w:hAnsiTheme="minorHAnsi" w:cstheme="minorBidi"/>
          <w:szCs w:val="24"/>
        </w:rPr>
      </w:pPr>
      <w:r w:rsidRPr="00FD310F">
        <w:rPr>
          <w:rFonts w:ascii="Microsoft Sans Serif" w:eastAsiaTheme="minorEastAsia" w:hAnsiTheme="minorHAnsi" w:cstheme="minorBidi"/>
          <w:szCs w:val="24"/>
        </w:rPr>
        <w:t>HARRISBURG PA 17101-1601</w:t>
      </w:r>
    </w:p>
    <w:p w:rsidR="00FD310F" w:rsidRPr="00FD310F" w:rsidRDefault="00FD310F" w:rsidP="00FD310F">
      <w:pPr>
        <w:spacing w:line="276" w:lineRule="auto"/>
        <w:contextualSpacing/>
        <w:rPr>
          <w:rFonts w:ascii="Microsoft Sans Serif" w:eastAsiaTheme="minorEastAsia" w:hAnsiTheme="minorHAnsi" w:cstheme="minorBidi"/>
          <w:b/>
          <w:szCs w:val="24"/>
        </w:rPr>
      </w:pPr>
      <w:r w:rsidRPr="00FD310F">
        <w:rPr>
          <w:rFonts w:ascii="Microsoft Sans Serif" w:eastAsiaTheme="minorEastAsia" w:hAnsiTheme="minorHAnsi" w:cstheme="minorBidi"/>
          <w:b/>
          <w:szCs w:val="24"/>
        </w:rPr>
        <w:t>717.731.1970</w:t>
      </w:r>
    </w:p>
    <w:p w:rsidR="00FD310F" w:rsidRPr="00FD310F" w:rsidRDefault="00FD310F" w:rsidP="00FD310F">
      <w:pPr>
        <w:spacing w:line="276" w:lineRule="auto"/>
        <w:contextualSpacing/>
        <w:rPr>
          <w:rFonts w:ascii="Microsoft Sans Serif" w:eastAsiaTheme="minorEastAsia" w:hAnsiTheme="minorHAnsi" w:cstheme="minorBidi"/>
          <w:i/>
          <w:szCs w:val="24"/>
        </w:rPr>
      </w:pPr>
      <w:r w:rsidRPr="00FD310F">
        <w:rPr>
          <w:rFonts w:ascii="Microsoft Sans Serif" w:eastAsiaTheme="minorEastAsia" w:hAnsiTheme="minorHAnsi" w:cstheme="minorBidi"/>
          <w:i/>
          <w:szCs w:val="24"/>
        </w:rPr>
        <w:t>Accepts E-service</w:t>
      </w:r>
    </w:p>
    <w:p w:rsidR="00FD310F" w:rsidRPr="00FD310F" w:rsidRDefault="00FD310F" w:rsidP="00FD310F">
      <w:pPr>
        <w:spacing w:line="276" w:lineRule="auto"/>
        <w:contextualSpacing/>
        <w:rPr>
          <w:rFonts w:asciiTheme="minorHAnsi" w:eastAsiaTheme="minorEastAsia" w:hAnsiTheme="minorHAnsi" w:cstheme="minorBidi"/>
          <w:sz w:val="22"/>
          <w:szCs w:val="22"/>
        </w:rPr>
      </w:pPr>
      <w:r w:rsidRPr="00FD310F">
        <w:rPr>
          <w:rFonts w:ascii="Microsoft Sans Serif" w:eastAsiaTheme="minorEastAsia" w:hAnsiTheme="minorHAnsi" w:cstheme="minorBidi"/>
          <w:i/>
          <w:szCs w:val="24"/>
        </w:rPr>
        <w:t>Representing UGI Utilities, Inc.</w:t>
      </w:r>
    </w:p>
    <w:p w:rsidR="00FD310F" w:rsidRPr="00FD310F" w:rsidRDefault="00FD310F" w:rsidP="00FD310F">
      <w:pPr>
        <w:spacing w:line="240" w:lineRule="auto"/>
        <w:rPr>
          <w:rFonts w:ascii="Microsoft Sans Serif" w:eastAsiaTheme="minorEastAsia" w:hAnsi="Microsoft Sans Serif" w:cs="Microsoft Sans Serif"/>
          <w:szCs w:val="24"/>
        </w:rPr>
      </w:pPr>
    </w:p>
    <w:p w:rsidR="00FD310F" w:rsidRPr="00FD310F" w:rsidRDefault="00FD310F" w:rsidP="00FD310F">
      <w:pPr>
        <w:spacing w:line="240" w:lineRule="auto"/>
        <w:rPr>
          <w:rFonts w:ascii="Microsoft Sans Serif" w:eastAsiaTheme="minorEastAsia" w:hAnsi="Microsoft Sans Serif" w:cs="Microsoft Sans Serif"/>
          <w:szCs w:val="24"/>
        </w:rPr>
      </w:pPr>
    </w:p>
    <w:p w:rsidR="00FD310F" w:rsidRPr="00FD310F" w:rsidRDefault="00FD310F" w:rsidP="00FD310F">
      <w:pPr>
        <w:spacing w:after="200" w:line="276" w:lineRule="auto"/>
        <w:rPr>
          <w:rFonts w:ascii="Microsoft Sans Serif" w:eastAsiaTheme="minorEastAsia" w:hAnsi="Microsoft Sans Serif" w:cs="Microsoft Sans Serif"/>
          <w:szCs w:val="24"/>
        </w:rPr>
      </w:pPr>
    </w:p>
    <w:p w:rsidR="00FD310F" w:rsidRPr="00701BC3" w:rsidRDefault="00FD310F"/>
    <w:sectPr w:rsidR="00FD310F" w:rsidRPr="00701BC3" w:rsidSect="0022482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FB1" w:rsidRDefault="00555FB1" w:rsidP="00701BC3">
      <w:pPr>
        <w:spacing w:line="240" w:lineRule="auto"/>
      </w:pPr>
      <w:r>
        <w:separator/>
      </w:r>
    </w:p>
  </w:endnote>
  <w:endnote w:type="continuationSeparator" w:id="0">
    <w:p w:rsidR="00555FB1" w:rsidRDefault="00555FB1" w:rsidP="00701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89230"/>
      <w:docPartObj>
        <w:docPartGallery w:val="Page Numbers (Bottom of Page)"/>
        <w:docPartUnique/>
      </w:docPartObj>
    </w:sdtPr>
    <w:sdtEndPr>
      <w:rPr>
        <w:noProof/>
      </w:rPr>
    </w:sdtEndPr>
    <w:sdtContent>
      <w:p w:rsidR="0005085F" w:rsidRDefault="0005085F">
        <w:pPr>
          <w:pStyle w:val="Footer"/>
          <w:jc w:val="center"/>
        </w:pPr>
        <w:r w:rsidRPr="00FD310F">
          <w:rPr>
            <w:sz w:val="20"/>
          </w:rPr>
          <w:fldChar w:fldCharType="begin"/>
        </w:r>
        <w:r w:rsidRPr="00FD310F">
          <w:rPr>
            <w:sz w:val="20"/>
          </w:rPr>
          <w:instrText xml:space="preserve"> PAGE   \* MERGEFORMAT </w:instrText>
        </w:r>
        <w:r w:rsidRPr="00FD310F">
          <w:rPr>
            <w:sz w:val="20"/>
          </w:rPr>
          <w:fldChar w:fldCharType="separate"/>
        </w:r>
        <w:r w:rsidRPr="00FD310F">
          <w:rPr>
            <w:noProof/>
            <w:sz w:val="20"/>
          </w:rPr>
          <w:t>2</w:t>
        </w:r>
        <w:r w:rsidRPr="00FD310F">
          <w:rPr>
            <w:noProof/>
            <w:sz w:val="20"/>
          </w:rPr>
          <w:fldChar w:fldCharType="end"/>
        </w:r>
      </w:p>
    </w:sdtContent>
  </w:sdt>
  <w:p w:rsidR="0005085F" w:rsidRDefault="00050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FB1" w:rsidRDefault="00555FB1" w:rsidP="00701BC3">
      <w:pPr>
        <w:spacing w:line="240" w:lineRule="auto"/>
      </w:pPr>
      <w:r>
        <w:separator/>
      </w:r>
    </w:p>
  </w:footnote>
  <w:footnote w:type="continuationSeparator" w:id="0">
    <w:p w:rsidR="00555FB1" w:rsidRDefault="00555FB1" w:rsidP="00701BC3">
      <w:pPr>
        <w:spacing w:line="240" w:lineRule="auto"/>
      </w:pPr>
      <w:r>
        <w:continuationSeparator/>
      </w:r>
    </w:p>
  </w:footnote>
  <w:footnote w:id="1">
    <w:p w:rsidR="0023086D" w:rsidRDefault="0023086D" w:rsidP="009C75D0">
      <w:pPr>
        <w:pStyle w:val="FootnoteText"/>
      </w:pPr>
      <w:r>
        <w:rPr>
          <w:rStyle w:val="FootnoteReference"/>
        </w:rPr>
        <w:footnoteRef/>
      </w:r>
      <w:r>
        <w:t xml:space="preserve">  </w:t>
      </w:r>
      <w:r>
        <w:tab/>
        <w:t>For a full recitation of the procedural history, the reader is directed to the legion of earlier orders and decisions rendered in this matter.</w:t>
      </w:r>
    </w:p>
  </w:footnote>
  <w:footnote w:id="2">
    <w:p w:rsidR="007D0697" w:rsidRDefault="007D0697" w:rsidP="009C75D0">
      <w:pPr>
        <w:pStyle w:val="FootnoteText"/>
      </w:pPr>
      <w:r>
        <w:rPr>
          <w:rStyle w:val="FootnoteReference"/>
        </w:rPr>
        <w:footnoteRef/>
      </w:r>
      <w:r>
        <w:t xml:space="preserve"> </w:t>
      </w:r>
      <w:r w:rsidR="00767DF4">
        <w:tab/>
      </w:r>
      <w:r>
        <w:t>52 Pa.Code § 5.412.</w:t>
      </w:r>
    </w:p>
  </w:footnote>
  <w:footnote w:id="3">
    <w:p w:rsidR="00F425C0" w:rsidRDefault="00F425C0" w:rsidP="009C75D0">
      <w:pPr>
        <w:pStyle w:val="FootnoteText"/>
      </w:pPr>
      <w:r>
        <w:rPr>
          <w:rStyle w:val="FootnoteReference"/>
        </w:rPr>
        <w:footnoteRef/>
      </w:r>
      <w:r>
        <w:t xml:space="preserve"> </w:t>
      </w:r>
      <w:r w:rsidR="00767DF4">
        <w:tab/>
      </w:r>
      <w:r>
        <w:t>N.T. 89.</w:t>
      </w:r>
    </w:p>
  </w:footnote>
  <w:footnote w:id="4">
    <w:p w:rsidR="00F425C0" w:rsidRDefault="00F425C0" w:rsidP="009C75D0">
      <w:pPr>
        <w:pStyle w:val="FootnoteText"/>
      </w:pPr>
      <w:r>
        <w:rPr>
          <w:rStyle w:val="FootnoteReference"/>
        </w:rPr>
        <w:footnoteRef/>
      </w:r>
      <w:r>
        <w:t xml:space="preserve"> </w:t>
      </w:r>
      <w:r>
        <w:tab/>
        <w:t xml:space="preserve">Sixth Prehearing Order entered March 21, 2017; </w:t>
      </w:r>
      <w:r w:rsidRPr="00767DF4">
        <w:rPr>
          <w:i/>
        </w:rPr>
        <w:t>see also</w:t>
      </w:r>
      <w:r>
        <w:t xml:space="preserve"> N.T. 89-91.</w:t>
      </w:r>
    </w:p>
    <w:p w:rsidR="009C75D0" w:rsidRDefault="009C75D0" w:rsidP="009C75D0">
      <w:pPr>
        <w:pStyle w:val="FootnoteText"/>
      </w:pPr>
    </w:p>
  </w:footnote>
  <w:footnote w:id="5">
    <w:p w:rsidR="002647D9" w:rsidRDefault="002647D9" w:rsidP="009C75D0">
      <w:pPr>
        <w:pStyle w:val="FootnoteText"/>
      </w:pPr>
      <w:r>
        <w:rPr>
          <w:rStyle w:val="FootnoteReference"/>
        </w:rPr>
        <w:footnoteRef/>
      </w:r>
      <w:r>
        <w:t xml:space="preserve">  </w:t>
      </w:r>
      <w:r>
        <w:tab/>
      </w:r>
      <w:r>
        <w:rPr>
          <w:i/>
        </w:rPr>
        <w:t xml:space="preserve">E.g., </w:t>
      </w:r>
      <w:r w:rsidR="001A05DD">
        <w:t>Interim Order Granting Further Continuance</w:t>
      </w:r>
      <w:r>
        <w:t xml:space="preserve"> dated April 24, 2018.</w:t>
      </w:r>
    </w:p>
    <w:p w:rsidR="009C75D0" w:rsidRPr="002647D9" w:rsidRDefault="009C75D0" w:rsidP="009C75D0">
      <w:pPr>
        <w:pStyle w:val="FootnoteText"/>
      </w:pPr>
    </w:p>
  </w:footnote>
  <w:footnote w:id="6">
    <w:p w:rsidR="004B6B8E" w:rsidRDefault="004B6B8E" w:rsidP="009C75D0">
      <w:pPr>
        <w:pStyle w:val="FootnoteText"/>
      </w:pPr>
      <w:r>
        <w:rPr>
          <w:rStyle w:val="FootnoteReference"/>
        </w:rPr>
        <w:footnoteRef/>
      </w:r>
      <w:r>
        <w:t xml:space="preserve">  </w:t>
      </w:r>
      <w:r w:rsidR="00581B42">
        <w:tab/>
      </w:r>
      <w:r>
        <w:rPr>
          <w:i/>
        </w:rPr>
        <w:t xml:space="preserve">E.g., Gore v. Philadelphia Gas Works, </w:t>
      </w:r>
      <w:r>
        <w:t>PUC Docket No. F-01975130 (Initial Decision dated October 5, 2006, Final Order entered December 6, 2006).</w:t>
      </w:r>
    </w:p>
  </w:footnote>
  <w:footnote w:id="7">
    <w:p w:rsidR="00B5370D" w:rsidRDefault="00B5370D" w:rsidP="009C75D0">
      <w:pPr>
        <w:pStyle w:val="FootnoteText"/>
      </w:pPr>
      <w:r>
        <w:rPr>
          <w:rStyle w:val="FootnoteReference"/>
        </w:rPr>
        <w:footnoteRef/>
      </w:r>
      <w:r>
        <w:t xml:space="preserve">  </w:t>
      </w:r>
      <w:r>
        <w:tab/>
        <w:t>Email dated July 10, 2018 by Mark Morrow, Esquire.</w:t>
      </w:r>
    </w:p>
  </w:footnote>
  <w:footnote w:id="8">
    <w:p w:rsidR="00555E16" w:rsidRDefault="00555E16" w:rsidP="009C75D0">
      <w:pPr>
        <w:pStyle w:val="FootnoteText"/>
      </w:pPr>
      <w:r>
        <w:rPr>
          <w:rStyle w:val="FootnoteReference"/>
        </w:rPr>
        <w:footnoteRef/>
      </w:r>
      <w:r>
        <w:t xml:space="preserve">  </w:t>
      </w:r>
      <w:r>
        <w:tab/>
        <w:t>N.T. 123.</w:t>
      </w:r>
    </w:p>
    <w:p w:rsidR="009C75D0" w:rsidRDefault="009C75D0" w:rsidP="009C75D0">
      <w:pPr>
        <w:pStyle w:val="FootnoteText"/>
      </w:pPr>
    </w:p>
  </w:footnote>
  <w:footnote w:id="9">
    <w:p w:rsidR="00B51040" w:rsidRDefault="00B51040" w:rsidP="009C75D0">
      <w:pPr>
        <w:pStyle w:val="FootnoteText"/>
      </w:pPr>
      <w:r>
        <w:rPr>
          <w:rStyle w:val="FootnoteReference"/>
        </w:rPr>
        <w:footnoteRef/>
      </w:r>
      <w:r>
        <w:t xml:space="preserve">  </w:t>
      </w:r>
      <w:r>
        <w:tab/>
        <w:t xml:space="preserve">52 </w:t>
      </w:r>
      <w:proofErr w:type="gramStart"/>
      <w:r>
        <w:t>Pa.Code</w:t>
      </w:r>
      <w:proofErr w:type="gramEnd"/>
      <w:r>
        <w:t xml:space="preserve"> § </w:t>
      </w:r>
      <w:r w:rsidR="00AF24F8">
        <w:t>5.332.</w:t>
      </w:r>
    </w:p>
    <w:p w:rsidR="009C75D0" w:rsidRDefault="009C75D0" w:rsidP="009C75D0">
      <w:pPr>
        <w:pStyle w:val="FootnoteText"/>
      </w:pPr>
    </w:p>
  </w:footnote>
  <w:footnote w:id="10">
    <w:p w:rsidR="001F5262" w:rsidRDefault="001F5262" w:rsidP="009C75D0">
      <w:pPr>
        <w:pStyle w:val="FootnoteText"/>
      </w:pPr>
      <w:r>
        <w:rPr>
          <w:rStyle w:val="FootnoteReference"/>
        </w:rPr>
        <w:footnoteRef/>
      </w:r>
      <w:r>
        <w:t xml:space="preserve">  </w:t>
      </w:r>
      <w:r>
        <w:tab/>
        <w:t>Joint Stipulation, Ex. 1 at p. 12.</w:t>
      </w:r>
    </w:p>
  </w:footnote>
  <w:footnote w:id="11">
    <w:p w:rsidR="00FF76E2" w:rsidRDefault="00FF76E2" w:rsidP="009C75D0">
      <w:pPr>
        <w:pStyle w:val="FootnoteText"/>
      </w:pPr>
      <w:r>
        <w:rPr>
          <w:rStyle w:val="FootnoteReference"/>
        </w:rPr>
        <w:footnoteRef/>
      </w:r>
      <w:r>
        <w:t xml:space="preserve">  </w:t>
      </w:r>
      <w:r>
        <w:tab/>
        <w:t>June 15, 2017 Prehearing Conference, N.T. 102-104; April 23, 2018 Prehearing Conference, N.T. 118, 121</w:t>
      </w:r>
      <w:r w:rsidR="009C75D0">
        <w:noBreakHyphen/>
      </w:r>
      <w:r>
        <w:t>22.</w:t>
      </w:r>
    </w:p>
    <w:p w:rsidR="009C75D0" w:rsidRDefault="009C75D0" w:rsidP="009C75D0">
      <w:pPr>
        <w:pStyle w:val="FootnoteText"/>
      </w:pPr>
    </w:p>
  </w:footnote>
  <w:footnote w:id="12">
    <w:p w:rsidR="00FF76E2" w:rsidRDefault="00FF76E2" w:rsidP="009C75D0">
      <w:pPr>
        <w:pStyle w:val="FootnoteText"/>
      </w:pPr>
      <w:r>
        <w:rPr>
          <w:rStyle w:val="FootnoteReference"/>
        </w:rPr>
        <w:footnoteRef/>
      </w:r>
      <w:r>
        <w:t xml:space="preserve">  </w:t>
      </w:r>
      <w:r>
        <w:tab/>
      </w:r>
      <w:r w:rsidRPr="009C75D0">
        <w:rPr>
          <w:i/>
        </w:rPr>
        <w:t xml:space="preserve">See </w:t>
      </w:r>
      <w:r>
        <w:t>June 15, 2017 Prehearing Conference, N.T. 105.</w:t>
      </w:r>
    </w:p>
  </w:footnote>
  <w:footnote w:id="13">
    <w:p w:rsidR="00750ABF" w:rsidRDefault="00750ABF" w:rsidP="009C75D0">
      <w:pPr>
        <w:pStyle w:val="FootnoteText"/>
      </w:pPr>
      <w:r>
        <w:rPr>
          <w:rStyle w:val="FootnoteReference"/>
        </w:rPr>
        <w:footnoteRef/>
      </w:r>
      <w:r>
        <w:t xml:space="preserve">  </w:t>
      </w:r>
      <w:r>
        <w:tab/>
        <w:t>Commission Opinion and Order dated December 21, 2017, Ordering Paragraph 4.</w:t>
      </w:r>
    </w:p>
  </w:footnote>
  <w:footnote w:id="14">
    <w:p w:rsidR="006E62F2" w:rsidRDefault="006E62F2" w:rsidP="009C75D0">
      <w:pPr>
        <w:pStyle w:val="FootnoteText"/>
      </w:pPr>
      <w:r>
        <w:rPr>
          <w:rStyle w:val="FootnoteReference"/>
        </w:rPr>
        <w:footnoteRef/>
      </w:r>
      <w:r>
        <w:t xml:space="preserve">  </w:t>
      </w:r>
      <w:r>
        <w:tab/>
        <w:t xml:space="preserve">2 Pa.C.S. § 505. </w:t>
      </w:r>
    </w:p>
    <w:p w:rsidR="009C75D0" w:rsidRDefault="009C75D0" w:rsidP="009C75D0">
      <w:pPr>
        <w:pStyle w:val="FootnoteText"/>
      </w:pPr>
    </w:p>
  </w:footnote>
  <w:footnote w:id="15">
    <w:p w:rsidR="009B2AC1" w:rsidRDefault="009B2AC1" w:rsidP="009C75D0">
      <w:pPr>
        <w:pStyle w:val="FootnoteText"/>
      </w:pPr>
      <w:r>
        <w:rPr>
          <w:rStyle w:val="FootnoteReference"/>
        </w:rPr>
        <w:footnoteRef/>
      </w:r>
      <w:r>
        <w:t xml:space="preserve">  </w:t>
      </w:r>
      <w:r>
        <w:tab/>
        <w:t>52 Pa.Code § 5.402.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C3"/>
    <w:rsid w:val="00004C37"/>
    <w:rsid w:val="0002425E"/>
    <w:rsid w:val="00043B64"/>
    <w:rsid w:val="0005085F"/>
    <w:rsid w:val="00061000"/>
    <w:rsid w:val="00066D87"/>
    <w:rsid w:val="000B22DA"/>
    <w:rsid w:val="000E3DAA"/>
    <w:rsid w:val="000E3EDE"/>
    <w:rsid w:val="00107E82"/>
    <w:rsid w:val="00171F1F"/>
    <w:rsid w:val="001A05DD"/>
    <w:rsid w:val="001A21B6"/>
    <w:rsid w:val="001A6D19"/>
    <w:rsid w:val="001B1CBA"/>
    <w:rsid w:val="001C18C4"/>
    <w:rsid w:val="001C1945"/>
    <w:rsid w:val="001D2AF7"/>
    <w:rsid w:val="001E3629"/>
    <w:rsid w:val="001F5262"/>
    <w:rsid w:val="00207743"/>
    <w:rsid w:val="00213167"/>
    <w:rsid w:val="0023086D"/>
    <w:rsid w:val="002339AF"/>
    <w:rsid w:val="002512F9"/>
    <w:rsid w:val="002647D9"/>
    <w:rsid w:val="0026626A"/>
    <w:rsid w:val="0028214A"/>
    <w:rsid w:val="00292365"/>
    <w:rsid w:val="002A6CDC"/>
    <w:rsid w:val="002B5BF2"/>
    <w:rsid w:val="002E1A4B"/>
    <w:rsid w:val="002F4898"/>
    <w:rsid w:val="00301EDC"/>
    <w:rsid w:val="00305AD6"/>
    <w:rsid w:val="003145FA"/>
    <w:rsid w:val="0035075B"/>
    <w:rsid w:val="00367A41"/>
    <w:rsid w:val="00386779"/>
    <w:rsid w:val="00393C92"/>
    <w:rsid w:val="003A3E09"/>
    <w:rsid w:val="0041795F"/>
    <w:rsid w:val="00426802"/>
    <w:rsid w:val="00440050"/>
    <w:rsid w:val="004404E5"/>
    <w:rsid w:val="00490182"/>
    <w:rsid w:val="004B6B8E"/>
    <w:rsid w:val="004D523C"/>
    <w:rsid w:val="004F5358"/>
    <w:rsid w:val="00510C22"/>
    <w:rsid w:val="00513358"/>
    <w:rsid w:val="005301C0"/>
    <w:rsid w:val="00555E16"/>
    <w:rsid w:val="00555FB1"/>
    <w:rsid w:val="00581B42"/>
    <w:rsid w:val="005A1C17"/>
    <w:rsid w:val="005A2ABA"/>
    <w:rsid w:val="005B29A0"/>
    <w:rsid w:val="005D180A"/>
    <w:rsid w:val="005D5E17"/>
    <w:rsid w:val="005E6BF6"/>
    <w:rsid w:val="005E7B69"/>
    <w:rsid w:val="00600800"/>
    <w:rsid w:val="0061775F"/>
    <w:rsid w:val="0065042A"/>
    <w:rsid w:val="00655B99"/>
    <w:rsid w:val="00673383"/>
    <w:rsid w:val="006852A2"/>
    <w:rsid w:val="00696C0D"/>
    <w:rsid w:val="006A0BCA"/>
    <w:rsid w:val="006A4301"/>
    <w:rsid w:val="006E4F61"/>
    <w:rsid w:val="006E62F2"/>
    <w:rsid w:val="006F0329"/>
    <w:rsid w:val="00700807"/>
    <w:rsid w:val="00701BC3"/>
    <w:rsid w:val="00712E58"/>
    <w:rsid w:val="007407AC"/>
    <w:rsid w:val="00750ABF"/>
    <w:rsid w:val="00755D72"/>
    <w:rsid w:val="00767DF4"/>
    <w:rsid w:val="00784797"/>
    <w:rsid w:val="00792796"/>
    <w:rsid w:val="00796B64"/>
    <w:rsid w:val="007D0697"/>
    <w:rsid w:val="007E6779"/>
    <w:rsid w:val="00815674"/>
    <w:rsid w:val="00820B4C"/>
    <w:rsid w:val="0083239D"/>
    <w:rsid w:val="008529D2"/>
    <w:rsid w:val="0088105E"/>
    <w:rsid w:val="00883E73"/>
    <w:rsid w:val="008C1226"/>
    <w:rsid w:val="009038FC"/>
    <w:rsid w:val="00917DCA"/>
    <w:rsid w:val="00942873"/>
    <w:rsid w:val="00970951"/>
    <w:rsid w:val="0099482F"/>
    <w:rsid w:val="009B2AC1"/>
    <w:rsid w:val="009B58CA"/>
    <w:rsid w:val="009B6BA8"/>
    <w:rsid w:val="009C75D0"/>
    <w:rsid w:val="009F7008"/>
    <w:rsid w:val="00A47096"/>
    <w:rsid w:val="00AA2EC5"/>
    <w:rsid w:val="00AB4C73"/>
    <w:rsid w:val="00AC1F3E"/>
    <w:rsid w:val="00AE6F47"/>
    <w:rsid w:val="00AF24F8"/>
    <w:rsid w:val="00B16B70"/>
    <w:rsid w:val="00B26774"/>
    <w:rsid w:val="00B51040"/>
    <w:rsid w:val="00B5370D"/>
    <w:rsid w:val="00B91E47"/>
    <w:rsid w:val="00B94441"/>
    <w:rsid w:val="00BB2268"/>
    <w:rsid w:val="00BB2E87"/>
    <w:rsid w:val="00BC6B21"/>
    <w:rsid w:val="00C15674"/>
    <w:rsid w:val="00C6460A"/>
    <w:rsid w:val="00C87E57"/>
    <w:rsid w:val="00C87FCD"/>
    <w:rsid w:val="00CA02A0"/>
    <w:rsid w:val="00CA0603"/>
    <w:rsid w:val="00CA564B"/>
    <w:rsid w:val="00CA7884"/>
    <w:rsid w:val="00CD3A38"/>
    <w:rsid w:val="00CE7511"/>
    <w:rsid w:val="00CF2E57"/>
    <w:rsid w:val="00CF4CCF"/>
    <w:rsid w:val="00CF4E09"/>
    <w:rsid w:val="00CF6143"/>
    <w:rsid w:val="00D3531D"/>
    <w:rsid w:val="00D77F94"/>
    <w:rsid w:val="00D94F74"/>
    <w:rsid w:val="00DA4AAD"/>
    <w:rsid w:val="00DB7536"/>
    <w:rsid w:val="00DD5C37"/>
    <w:rsid w:val="00DE3C3F"/>
    <w:rsid w:val="00DE6B5A"/>
    <w:rsid w:val="00E4239A"/>
    <w:rsid w:val="00E56CB9"/>
    <w:rsid w:val="00EB027A"/>
    <w:rsid w:val="00EC1CBA"/>
    <w:rsid w:val="00EE7801"/>
    <w:rsid w:val="00F11A19"/>
    <w:rsid w:val="00F16554"/>
    <w:rsid w:val="00F268C9"/>
    <w:rsid w:val="00F425C0"/>
    <w:rsid w:val="00F544E1"/>
    <w:rsid w:val="00F77124"/>
    <w:rsid w:val="00F9337B"/>
    <w:rsid w:val="00F93CC7"/>
    <w:rsid w:val="00FA227C"/>
    <w:rsid w:val="00FD310F"/>
    <w:rsid w:val="00FD5C10"/>
    <w:rsid w:val="00FE39FF"/>
    <w:rsid w:val="00FE73DF"/>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84BEEC"/>
  <w15:chartTrackingRefBased/>
  <w15:docId w15:val="{A8587A84-1037-45D0-8CD7-60D4DBA8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aliases w:val="Car"/>
    <w:link w:val="FootnoteTextChar"/>
    <w:autoRedefine/>
    <w:uiPriority w:val="99"/>
    <w:unhideWhenUsed/>
    <w:qFormat/>
    <w:rsid w:val="009C75D0"/>
    <w:pPr>
      <w:spacing w:line="240" w:lineRule="auto"/>
    </w:pPr>
    <w:rPr>
      <w:sz w:val="20"/>
    </w:rPr>
  </w:style>
  <w:style w:type="character" w:customStyle="1" w:styleId="FootnoteTextChar">
    <w:name w:val="Footnote Text Char"/>
    <w:aliases w:val="Car Char"/>
    <w:basedOn w:val="DefaultParagraphFont"/>
    <w:link w:val="FootnoteText"/>
    <w:uiPriority w:val="99"/>
    <w:rsid w:val="009C75D0"/>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701BC3"/>
    <w:rPr>
      <w:rFonts w:ascii="Times New Roman" w:hAnsi="Times New Roman"/>
      <w:vertAlign w:val="superscript"/>
    </w:rPr>
  </w:style>
  <w:style w:type="paragraph" w:styleId="Header">
    <w:name w:val="header"/>
    <w:basedOn w:val="Normal"/>
    <w:link w:val="HeaderChar"/>
    <w:uiPriority w:val="99"/>
    <w:unhideWhenUsed/>
    <w:rsid w:val="0005085F"/>
    <w:pPr>
      <w:tabs>
        <w:tab w:val="center" w:pos="4680"/>
        <w:tab w:val="right" w:pos="9360"/>
      </w:tabs>
      <w:spacing w:line="240" w:lineRule="auto"/>
    </w:pPr>
  </w:style>
  <w:style w:type="character" w:customStyle="1" w:styleId="HeaderChar">
    <w:name w:val="Header Char"/>
    <w:basedOn w:val="DefaultParagraphFont"/>
    <w:link w:val="Header"/>
    <w:uiPriority w:val="99"/>
    <w:rsid w:val="0005085F"/>
    <w:rPr>
      <w:rFonts w:eastAsia="SimSun"/>
    </w:rPr>
  </w:style>
  <w:style w:type="paragraph" w:styleId="Footer">
    <w:name w:val="footer"/>
    <w:basedOn w:val="Normal"/>
    <w:link w:val="FooterChar"/>
    <w:uiPriority w:val="99"/>
    <w:unhideWhenUsed/>
    <w:rsid w:val="0005085F"/>
    <w:pPr>
      <w:tabs>
        <w:tab w:val="center" w:pos="4680"/>
        <w:tab w:val="right" w:pos="9360"/>
      </w:tabs>
      <w:spacing w:line="240" w:lineRule="auto"/>
    </w:pPr>
  </w:style>
  <w:style w:type="character" w:customStyle="1" w:styleId="FooterChar">
    <w:name w:val="Footer Char"/>
    <w:basedOn w:val="DefaultParagraphFont"/>
    <w:link w:val="Footer"/>
    <w:uiPriority w:val="99"/>
    <w:rsid w:val="0005085F"/>
    <w:rPr>
      <w:rFonts w:eastAsia="SimSun"/>
    </w:rPr>
  </w:style>
  <w:style w:type="paragraph" w:styleId="BalloonText">
    <w:name w:val="Balloon Text"/>
    <w:basedOn w:val="Normal"/>
    <w:link w:val="BalloonTextChar"/>
    <w:uiPriority w:val="99"/>
    <w:semiHidden/>
    <w:unhideWhenUsed/>
    <w:rsid w:val="002B5B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BF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8C78-DCAA-4DEB-A193-12773A5A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6</cp:revision>
  <cp:lastPrinted>2018-07-19T16:14:00Z</cp:lastPrinted>
  <dcterms:created xsi:type="dcterms:W3CDTF">2018-07-19T16:46:00Z</dcterms:created>
  <dcterms:modified xsi:type="dcterms:W3CDTF">2018-07-19T18:29:00Z</dcterms:modified>
</cp:coreProperties>
</file>