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71E8D" w14:textId="77777777" w:rsidR="00603A6A" w:rsidRDefault="00603A6A" w:rsidP="002C6FE9"/>
    <w:p w14:paraId="070BF18D" w14:textId="77777777" w:rsidR="00A02F91" w:rsidRDefault="00A02F91" w:rsidP="002C6FE9"/>
    <w:p w14:paraId="703E5808" w14:textId="77777777" w:rsidR="00A02F91" w:rsidRDefault="00A02F91" w:rsidP="002C6FE9"/>
    <w:p w14:paraId="22C41262" w14:textId="77777777" w:rsidR="00603A6A" w:rsidRDefault="00603A6A" w:rsidP="002C6FE9"/>
    <w:p w14:paraId="57020D98" w14:textId="77777777" w:rsidR="00603A6A" w:rsidRDefault="00603A6A" w:rsidP="002C6FE9"/>
    <w:p w14:paraId="04D071D0" w14:textId="77777777" w:rsidR="00603A6A" w:rsidRDefault="00603A6A" w:rsidP="002C6FE9"/>
    <w:p w14:paraId="4BAAFA20" w14:textId="77777777" w:rsidR="00B27091" w:rsidRDefault="00B27091" w:rsidP="002C6FE9"/>
    <w:p w14:paraId="794A74FD" w14:textId="77777777" w:rsidR="006D225E" w:rsidRDefault="00B40C51" w:rsidP="002C6FE9">
      <w:pPr>
        <w:jc w:val="center"/>
        <w:rPr>
          <w:rFonts w:ascii="Arial" w:hAnsi="Arial" w:cs="Arial"/>
          <w:b/>
          <w:sz w:val="36"/>
          <w:szCs w:val="36"/>
        </w:rPr>
      </w:pPr>
      <w:r>
        <w:rPr>
          <w:rFonts w:ascii="Arial" w:hAnsi="Arial" w:cs="Arial"/>
          <w:b/>
          <w:sz w:val="36"/>
          <w:szCs w:val="36"/>
        </w:rPr>
        <w:t>PPL ELECTRIC UTILITIES CORPORATION</w:t>
      </w:r>
    </w:p>
    <w:p w14:paraId="3877062C" w14:textId="77777777" w:rsidR="006D225E" w:rsidRPr="00C831AA" w:rsidRDefault="006D225E" w:rsidP="002C6FE9">
      <w:pPr>
        <w:jc w:val="center"/>
        <w:rPr>
          <w:rFonts w:ascii="Arial" w:hAnsi="Arial" w:cs="Arial"/>
          <w:b/>
          <w:sz w:val="36"/>
          <w:szCs w:val="36"/>
        </w:rPr>
      </w:pPr>
    </w:p>
    <w:p w14:paraId="49348DFD" w14:textId="77777777" w:rsidR="00603A6A" w:rsidRPr="00BA0701" w:rsidRDefault="00603A6A" w:rsidP="002C6FE9">
      <w:pPr>
        <w:pStyle w:val="Heading1"/>
        <w:rPr>
          <w:rFonts w:ascii="Arial" w:hAnsi="Arial" w:cs="Arial"/>
          <w:sz w:val="36"/>
          <w:szCs w:val="36"/>
          <w:u w:val="none"/>
        </w:rPr>
      </w:pPr>
    </w:p>
    <w:p w14:paraId="0038121C" w14:textId="77777777" w:rsidR="00603A6A" w:rsidRPr="00BA0701" w:rsidRDefault="00603A6A" w:rsidP="002C6FE9">
      <w:pPr>
        <w:pStyle w:val="Heading2"/>
        <w:rPr>
          <w:rFonts w:ascii="Arial" w:hAnsi="Arial" w:cs="Arial"/>
          <w:sz w:val="36"/>
          <w:szCs w:val="36"/>
          <w:u w:val="none"/>
        </w:rPr>
      </w:pPr>
    </w:p>
    <w:p w14:paraId="021B5E91" w14:textId="77777777" w:rsidR="00603A6A" w:rsidRPr="00BA0701" w:rsidRDefault="00603A6A" w:rsidP="002C6FE9">
      <w:pPr>
        <w:pStyle w:val="Heading2"/>
        <w:rPr>
          <w:rFonts w:ascii="Arial" w:hAnsi="Arial" w:cs="Arial"/>
          <w:sz w:val="36"/>
          <w:szCs w:val="36"/>
          <w:u w:val="none"/>
        </w:rPr>
      </w:pPr>
    </w:p>
    <w:p w14:paraId="6F07A276" w14:textId="77777777" w:rsidR="00B27091" w:rsidRPr="00BA0701" w:rsidRDefault="00B27091" w:rsidP="002C6FE9">
      <w:pPr>
        <w:rPr>
          <w:rFonts w:ascii="Arial" w:hAnsi="Arial" w:cs="Arial"/>
          <w:sz w:val="36"/>
          <w:szCs w:val="36"/>
        </w:rPr>
      </w:pPr>
    </w:p>
    <w:p w14:paraId="12F08384" w14:textId="77777777" w:rsidR="00A51CD2" w:rsidRPr="00BA0701" w:rsidRDefault="00A51CD2" w:rsidP="002C6FE9">
      <w:pPr>
        <w:rPr>
          <w:rFonts w:ascii="Arial" w:hAnsi="Arial" w:cs="Arial"/>
          <w:sz w:val="36"/>
          <w:szCs w:val="36"/>
        </w:rPr>
      </w:pPr>
    </w:p>
    <w:p w14:paraId="2FF21FEB" w14:textId="77777777" w:rsidR="00B27091" w:rsidRPr="00BA0701" w:rsidRDefault="00B27091" w:rsidP="002C6FE9">
      <w:pPr>
        <w:rPr>
          <w:rFonts w:ascii="Arial" w:hAnsi="Arial" w:cs="Arial"/>
          <w:sz w:val="36"/>
          <w:szCs w:val="36"/>
        </w:rPr>
      </w:pPr>
    </w:p>
    <w:p w14:paraId="76BF405A" w14:textId="14F9213B" w:rsidR="00956E22" w:rsidRPr="00956E22" w:rsidRDefault="00603A6A" w:rsidP="00956E22">
      <w:pPr>
        <w:pStyle w:val="Heading2"/>
        <w:rPr>
          <w:rFonts w:ascii="Arial" w:hAnsi="Arial" w:cs="Arial"/>
          <w:sz w:val="28"/>
          <w:szCs w:val="28"/>
          <w:u w:val="none"/>
        </w:rPr>
      </w:pPr>
      <w:r w:rsidRPr="00C831AA">
        <w:rPr>
          <w:rFonts w:ascii="Arial" w:hAnsi="Arial" w:cs="Arial"/>
          <w:sz w:val="28"/>
          <w:szCs w:val="28"/>
          <w:u w:val="none"/>
        </w:rPr>
        <w:t xml:space="preserve">REPORT ON THE </w:t>
      </w:r>
      <w:r w:rsidR="00E35DAF">
        <w:rPr>
          <w:rFonts w:ascii="Arial" w:hAnsi="Arial" w:cs="Arial"/>
          <w:sz w:val="28"/>
          <w:szCs w:val="28"/>
          <w:u w:val="none"/>
        </w:rPr>
        <w:t>STATEMENT</w:t>
      </w:r>
      <w:r w:rsidR="00956E22">
        <w:rPr>
          <w:rFonts w:ascii="Arial" w:hAnsi="Arial" w:cs="Arial"/>
          <w:sz w:val="28"/>
          <w:szCs w:val="28"/>
          <w:u w:val="none"/>
        </w:rPr>
        <w:t>S</w:t>
      </w:r>
      <w:r w:rsidR="00E35DAF">
        <w:rPr>
          <w:rFonts w:ascii="Arial" w:hAnsi="Arial" w:cs="Arial"/>
          <w:sz w:val="28"/>
          <w:szCs w:val="28"/>
          <w:u w:val="none"/>
        </w:rPr>
        <w:t xml:space="preserve"> OF </w:t>
      </w:r>
    </w:p>
    <w:p w14:paraId="2214AF90" w14:textId="77777777" w:rsidR="00E35DAF" w:rsidRDefault="00E35DAF" w:rsidP="00E35DAF"/>
    <w:p w14:paraId="73F7037F" w14:textId="77777777" w:rsidR="008A3A78" w:rsidRDefault="00925619" w:rsidP="00311E3C">
      <w:pPr>
        <w:jc w:val="center"/>
        <w:rPr>
          <w:rFonts w:ascii="Arial" w:hAnsi="Arial" w:cs="Arial"/>
          <w:b/>
          <w:sz w:val="28"/>
          <w:szCs w:val="28"/>
        </w:rPr>
      </w:pPr>
      <w:r>
        <w:rPr>
          <w:rFonts w:ascii="Arial" w:hAnsi="Arial" w:cs="Arial"/>
          <w:b/>
          <w:sz w:val="28"/>
          <w:szCs w:val="28"/>
        </w:rPr>
        <w:t>TRANSMISSION SERVICE CHARGE</w:t>
      </w:r>
      <w:r w:rsidR="00956E22">
        <w:rPr>
          <w:rFonts w:ascii="Arial" w:hAnsi="Arial" w:cs="Arial"/>
          <w:b/>
          <w:sz w:val="28"/>
          <w:szCs w:val="28"/>
        </w:rPr>
        <w:t xml:space="preserve"> </w:t>
      </w:r>
    </w:p>
    <w:p w14:paraId="5F4E702E" w14:textId="77777777" w:rsidR="008A3A78" w:rsidRDefault="008A3A78" w:rsidP="00311E3C">
      <w:pPr>
        <w:jc w:val="center"/>
        <w:rPr>
          <w:rFonts w:ascii="Arial" w:hAnsi="Arial" w:cs="Arial"/>
          <w:b/>
          <w:sz w:val="28"/>
          <w:szCs w:val="28"/>
        </w:rPr>
      </w:pPr>
    </w:p>
    <w:p w14:paraId="1F220FF6" w14:textId="2E62F667" w:rsidR="00D04146" w:rsidRDefault="00603A6A" w:rsidP="00311E3C">
      <w:pPr>
        <w:jc w:val="center"/>
        <w:rPr>
          <w:rFonts w:ascii="Arial" w:hAnsi="Arial" w:cs="Arial"/>
          <w:b/>
          <w:sz w:val="28"/>
          <w:szCs w:val="28"/>
        </w:rPr>
      </w:pPr>
      <w:r w:rsidRPr="00C831AA">
        <w:rPr>
          <w:rFonts w:ascii="Arial" w:hAnsi="Arial" w:cs="Arial"/>
          <w:b/>
          <w:sz w:val="28"/>
          <w:szCs w:val="28"/>
        </w:rPr>
        <w:t xml:space="preserve">FOR </w:t>
      </w:r>
      <w:r w:rsidR="00340566" w:rsidRPr="00C831AA">
        <w:rPr>
          <w:rFonts w:ascii="Arial" w:hAnsi="Arial" w:cs="Arial"/>
          <w:b/>
          <w:sz w:val="28"/>
          <w:szCs w:val="28"/>
        </w:rPr>
        <w:t xml:space="preserve">THE </w:t>
      </w:r>
      <w:r w:rsidR="00E81B52">
        <w:rPr>
          <w:rFonts w:ascii="Arial" w:hAnsi="Arial" w:cs="Arial"/>
          <w:b/>
          <w:sz w:val="28"/>
          <w:szCs w:val="28"/>
        </w:rPr>
        <w:t>TWELVE</w:t>
      </w:r>
      <w:r w:rsidR="00D04146">
        <w:rPr>
          <w:rFonts w:ascii="Arial" w:hAnsi="Arial" w:cs="Arial"/>
          <w:b/>
          <w:sz w:val="28"/>
          <w:szCs w:val="28"/>
        </w:rPr>
        <w:t>-</w:t>
      </w:r>
      <w:r w:rsidR="00311E3C">
        <w:rPr>
          <w:rFonts w:ascii="Arial" w:hAnsi="Arial" w:cs="Arial"/>
          <w:b/>
          <w:sz w:val="28"/>
          <w:szCs w:val="28"/>
        </w:rPr>
        <w:t>MONTH</w:t>
      </w:r>
      <w:r w:rsidR="00D04146">
        <w:rPr>
          <w:rFonts w:ascii="Arial" w:hAnsi="Arial" w:cs="Arial"/>
          <w:b/>
          <w:sz w:val="28"/>
          <w:szCs w:val="28"/>
        </w:rPr>
        <w:t xml:space="preserve"> PERIODS</w:t>
      </w:r>
      <w:r w:rsidR="00340566" w:rsidRPr="00C831AA">
        <w:rPr>
          <w:rFonts w:ascii="Arial" w:hAnsi="Arial" w:cs="Arial"/>
          <w:b/>
          <w:sz w:val="28"/>
          <w:szCs w:val="28"/>
        </w:rPr>
        <w:t xml:space="preserve"> ENDED</w:t>
      </w:r>
    </w:p>
    <w:p w14:paraId="78CB021E" w14:textId="77777777" w:rsidR="00D04146" w:rsidRDefault="00D04146" w:rsidP="00311E3C">
      <w:pPr>
        <w:jc w:val="center"/>
        <w:rPr>
          <w:rFonts w:ascii="Arial" w:hAnsi="Arial" w:cs="Arial"/>
          <w:b/>
          <w:sz w:val="28"/>
          <w:szCs w:val="28"/>
        </w:rPr>
      </w:pPr>
    </w:p>
    <w:p w14:paraId="1F1D2A1E" w14:textId="77777777" w:rsidR="00603A6A" w:rsidRPr="00C831AA" w:rsidRDefault="00311E3C" w:rsidP="00311E3C">
      <w:pPr>
        <w:jc w:val="center"/>
        <w:rPr>
          <w:rFonts w:ascii="Arial" w:hAnsi="Arial" w:cs="Arial"/>
          <w:b/>
          <w:sz w:val="28"/>
          <w:szCs w:val="28"/>
        </w:rPr>
      </w:pPr>
      <w:r>
        <w:rPr>
          <w:rFonts w:ascii="Arial" w:hAnsi="Arial" w:cs="Arial"/>
          <w:b/>
          <w:sz w:val="28"/>
          <w:szCs w:val="28"/>
        </w:rPr>
        <w:t>MARCH 31</w:t>
      </w:r>
      <w:r w:rsidR="003F0CA7">
        <w:rPr>
          <w:rFonts w:ascii="Arial" w:hAnsi="Arial" w:cs="Arial"/>
          <w:b/>
          <w:sz w:val="28"/>
          <w:szCs w:val="28"/>
        </w:rPr>
        <w:t>, 201</w:t>
      </w:r>
      <w:r w:rsidR="00E81B52">
        <w:rPr>
          <w:rFonts w:ascii="Arial" w:hAnsi="Arial" w:cs="Arial"/>
          <w:b/>
          <w:sz w:val="28"/>
          <w:szCs w:val="28"/>
        </w:rPr>
        <w:t>7</w:t>
      </w:r>
      <w:r w:rsidR="00D04146">
        <w:rPr>
          <w:rFonts w:ascii="Arial" w:hAnsi="Arial" w:cs="Arial"/>
          <w:b/>
          <w:sz w:val="28"/>
          <w:szCs w:val="28"/>
        </w:rPr>
        <w:t xml:space="preserve"> AND</w:t>
      </w:r>
      <w:r>
        <w:rPr>
          <w:rFonts w:ascii="Arial" w:hAnsi="Arial" w:cs="Arial"/>
          <w:b/>
          <w:sz w:val="28"/>
          <w:szCs w:val="28"/>
        </w:rPr>
        <w:t xml:space="preserve"> </w:t>
      </w:r>
      <w:r w:rsidR="00E81B52">
        <w:rPr>
          <w:rFonts w:ascii="Arial" w:hAnsi="Arial" w:cs="Arial"/>
          <w:b/>
          <w:sz w:val="28"/>
          <w:szCs w:val="28"/>
        </w:rPr>
        <w:t>MARCH</w:t>
      </w:r>
      <w:r>
        <w:rPr>
          <w:rFonts w:ascii="Arial" w:hAnsi="Arial" w:cs="Arial"/>
          <w:b/>
          <w:sz w:val="28"/>
          <w:szCs w:val="28"/>
        </w:rPr>
        <w:t xml:space="preserve"> 3</w:t>
      </w:r>
      <w:r w:rsidR="00E81B52">
        <w:rPr>
          <w:rFonts w:ascii="Arial" w:hAnsi="Arial" w:cs="Arial"/>
          <w:b/>
          <w:sz w:val="28"/>
          <w:szCs w:val="28"/>
        </w:rPr>
        <w:t>1</w:t>
      </w:r>
      <w:r>
        <w:rPr>
          <w:rFonts w:ascii="Arial" w:hAnsi="Arial" w:cs="Arial"/>
          <w:b/>
          <w:sz w:val="28"/>
          <w:szCs w:val="28"/>
        </w:rPr>
        <w:t>, 201</w:t>
      </w:r>
      <w:r w:rsidR="00644BF9">
        <w:rPr>
          <w:rFonts w:ascii="Arial" w:hAnsi="Arial" w:cs="Arial"/>
          <w:b/>
          <w:sz w:val="28"/>
          <w:szCs w:val="28"/>
        </w:rPr>
        <w:t>6</w:t>
      </w:r>
    </w:p>
    <w:p w14:paraId="3CE5860F" w14:textId="77777777" w:rsidR="00AC6E09" w:rsidRPr="00C831AA" w:rsidRDefault="00AC6E09" w:rsidP="002C6FE9">
      <w:pPr>
        <w:jc w:val="center"/>
        <w:rPr>
          <w:rFonts w:ascii="Arial" w:hAnsi="Arial" w:cs="Arial"/>
          <w:b/>
          <w:sz w:val="28"/>
          <w:szCs w:val="28"/>
        </w:rPr>
      </w:pPr>
    </w:p>
    <w:p w14:paraId="4C54BA07" w14:textId="77777777" w:rsidR="00603A6A" w:rsidRPr="00C831AA" w:rsidRDefault="00603A6A" w:rsidP="002C6FE9">
      <w:pPr>
        <w:jc w:val="center"/>
        <w:rPr>
          <w:rFonts w:ascii="Arial" w:hAnsi="Arial" w:cs="Arial"/>
          <w:b/>
          <w:sz w:val="28"/>
          <w:szCs w:val="28"/>
        </w:rPr>
      </w:pPr>
    </w:p>
    <w:p w14:paraId="69716A71" w14:textId="77777777" w:rsidR="00B220FC" w:rsidRDefault="00B220FC" w:rsidP="002C6FE9">
      <w:pPr>
        <w:jc w:val="center"/>
        <w:rPr>
          <w:rFonts w:ascii="Arial" w:hAnsi="Arial" w:cs="Arial"/>
          <w:b/>
          <w:sz w:val="28"/>
          <w:szCs w:val="28"/>
        </w:rPr>
      </w:pPr>
    </w:p>
    <w:p w14:paraId="3F0D7154" w14:textId="77777777" w:rsidR="007E12A7" w:rsidRDefault="007E12A7" w:rsidP="002C6FE9">
      <w:pPr>
        <w:jc w:val="center"/>
        <w:rPr>
          <w:rFonts w:ascii="Arial" w:hAnsi="Arial" w:cs="Arial"/>
          <w:b/>
          <w:sz w:val="28"/>
          <w:szCs w:val="28"/>
        </w:rPr>
      </w:pPr>
    </w:p>
    <w:p w14:paraId="01C17C29" w14:textId="77777777" w:rsidR="007E12A7" w:rsidRPr="00C831AA" w:rsidRDefault="007E12A7" w:rsidP="002C6FE9">
      <w:pPr>
        <w:jc w:val="center"/>
        <w:rPr>
          <w:rFonts w:ascii="Arial" w:hAnsi="Arial" w:cs="Arial"/>
          <w:b/>
          <w:sz w:val="28"/>
          <w:szCs w:val="28"/>
        </w:rPr>
      </w:pPr>
    </w:p>
    <w:p w14:paraId="76C4DFCC" w14:textId="77777777" w:rsidR="00B220FC" w:rsidRPr="00C831AA" w:rsidRDefault="00B220FC" w:rsidP="002C6FE9">
      <w:pPr>
        <w:jc w:val="center"/>
        <w:rPr>
          <w:rFonts w:ascii="Arial" w:hAnsi="Arial" w:cs="Arial"/>
          <w:b/>
          <w:sz w:val="28"/>
          <w:szCs w:val="28"/>
        </w:rPr>
      </w:pPr>
    </w:p>
    <w:p w14:paraId="79CA8A12" w14:textId="77777777" w:rsidR="00AC6E09" w:rsidRPr="00C831AA" w:rsidRDefault="00AC6E09" w:rsidP="002C6FE9">
      <w:pPr>
        <w:jc w:val="center"/>
        <w:rPr>
          <w:rFonts w:ascii="Arial" w:hAnsi="Arial" w:cs="Arial"/>
          <w:b/>
          <w:sz w:val="28"/>
          <w:szCs w:val="28"/>
        </w:rPr>
      </w:pPr>
    </w:p>
    <w:p w14:paraId="6A1FDA22" w14:textId="77777777" w:rsidR="00603A6A" w:rsidRPr="00C831AA" w:rsidRDefault="00603A6A" w:rsidP="002C6FE9">
      <w:pPr>
        <w:jc w:val="center"/>
        <w:rPr>
          <w:rFonts w:ascii="Arial" w:hAnsi="Arial" w:cs="Arial"/>
          <w:b/>
          <w:sz w:val="28"/>
          <w:szCs w:val="28"/>
          <w:u w:val="single"/>
        </w:rPr>
      </w:pPr>
    </w:p>
    <w:p w14:paraId="63004575" w14:textId="77777777" w:rsidR="00DF18A9" w:rsidRDefault="00DF18A9" w:rsidP="002C6FE9">
      <w:pPr>
        <w:jc w:val="center"/>
        <w:rPr>
          <w:rFonts w:ascii="Arial" w:hAnsi="Arial" w:cs="Arial"/>
          <w:b/>
          <w:sz w:val="28"/>
          <w:szCs w:val="28"/>
        </w:rPr>
      </w:pPr>
    </w:p>
    <w:p w14:paraId="44105B28" w14:textId="77777777" w:rsidR="000B2DC0" w:rsidRDefault="000B2DC0" w:rsidP="002C6FE9">
      <w:pPr>
        <w:pStyle w:val="Heading3"/>
        <w:rPr>
          <w:rFonts w:ascii="Arial" w:hAnsi="Arial" w:cs="Arial"/>
          <w:sz w:val="28"/>
          <w:szCs w:val="28"/>
          <w:u w:val="none"/>
        </w:rPr>
      </w:pPr>
    </w:p>
    <w:p w14:paraId="2380566A" w14:textId="77777777" w:rsidR="000B2DC0" w:rsidRDefault="000B2DC0" w:rsidP="002C6FE9">
      <w:pPr>
        <w:pStyle w:val="Heading3"/>
        <w:rPr>
          <w:rFonts w:ascii="Arial" w:hAnsi="Arial" w:cs="Arial"/>
          <w:sz w:val="28"/>
          <w:szCs w:val="28"/>
          <w:u w:val="none"/>
        </w:rPr>
      </w:pPr>
    </w:p>
    <w:p w14:paraId="7D7B2AA1" w14:textId="77777777" w:rsidR="000B2DC0" w:rsidRDefault="000B2DC0" w:rsidP="002C6FE9">
      <w:pPr>
        <w:pStyle w:val="Heading3"/>
        <w:rPr>
          <w:rFonts w:ascii="Arial" w:hAnsi="Arial" w:cs="Arial"/>
          <w:sz w:val="28"/>
          <w:szCs w:val="28"/>
          <w:u w:val="none"/>
        </w:rPr>
      </w:pPr>
    </w:p>
    <w:p w14:paraId="6357CBCD" w14:textId="0D7FDE2D"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14:paraId="3A325296" w14:textId="77777777" w:rsidR="00603A6A" w:rsidRPr="00C831AA" w:rsidRDefault="00285097" w:rsidP="002C6FE9">
      <w:pPr>
        <w:jc w:val="center"/>
        <w:rPr>
          <w:rFonts w:ascii="Arial" w:hAnsi="Arial" w:cs="Arial"/>
          <w:b/>
          <w:sz w:val="28"/>
          <w:szCs w:val="28"/>
        </w:rPr>
      </w:pPr>
      <w:r w:rsidRPr="00C831AA">
        <w:rPr>
          <w:rFonts w:ascii="Arial" w:hAnsi="Arial" w:cs="Arial"/>
          <w:b/>
          <w:sz w:val="28"/>
          <w:szCs w:val="28"/>
        </w:rPr>
        <w:t xml:space="preserve">Bureau </w:t>
      </w:r>
      <w:r w:rsidR="00446FA7" w:rsidRPr="00C831AA">
        <w:rPr>
          <w:rFonts w:ascii="Arial" w:hAnsi="Arial" w:cs="Arial"/>
          <w:b/>
          <w:sz w:val="28"/>
          <w:szCs w:val="28"/>
        </w:rPr>
        <w:t>of</w:t>
      </w:r>
      <w:r w:rsidRPr="00C831AA">
        <w:rPr>
          <w:rFonts w:ascii="Arial" w:hAnsi="Arial" w:cs="Arial"/>
          <w:b/>
          <w:sz w:val="28"/>
          <w:szCs w:val="28"/>
        </w:rPr>
        <w:t xml:space="preserve"> Audits</w:t>
      </w:r>
    </w:p>
    <w:p w14:paraId="37971989" w14:textId="3E335D99"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B1078A">
        <w:rPr>
          <w:rFonts w:ascii="Arial" w:hAnsi="Arial" w:cs="Arial"/>
          <w:b/>
          <w:sz w:val="28"/>
          <w:szCs w:val="28"/>
        </w:rPr>
        <w:t>June 25</w:t>
      </w:r>
      <w:r w:rsidR="007E12A7">
        <w:rPr>
          <w:rFonts w:ascii="Arial" w:hAnsi="Arial" w:cs="Arial"/>
          <w:b/>
          <w:sz w:val="28"/>
          <w:szCs w:val="28"/>
        </w:rPr>
        <w:t>, 201</w:t>
      </w:r>
      <w:r w:rsidR="00644BF9">
        <w:rPr>
          <w:rFonts w:ascii="Arial" w:hAnsi="Arial" w:cs="Arial"/>
          <w:b/>
          <w:sz w:val="28"/>
          <w:szCs w:val="28"/>
        </w:rPr>
        <w:t>8</w:t>
      </w:r>
      <w:r>
        <w:rPr>
          <w:rFonts w:ascii="Arial" w:hAnsi="Arial" w:cs="Arial"/>
          <w:b/>
          <w:sz w:val="28"/>
          <w:szCs w:val="28"/>
        </w:rPr>
        <w:t xml:space="preserve"> </w:t>
      </w:r>
    </w:p>
    <w:p w14:paraId="3ABB7CD4" w14:textId="77777777" w:rsidR="00666F26" w:rsidRPr="00C831AA" w:rsidRDefault="00666F26" w:rsidP="002C6FE9">
      <w:pPr>
        <w:jc w:val="center"/>
        <w:rPr>
          <w:rFonts w:ascii="Arial" w:hAnsi="Arial" w:cs="Arial"/>
          <w:b/>
          <w:sz w:val="28"/>
          <w:szCs w:val="28"/>
        </w:rPr>
      </w:pPr>
    </w:p>
    <w:p w14:paraId="45B0A59C" w14:textId="77777777" w:rsidR="00135D1D" w:rsidRPr="00911CB4" w:rsidRDefault="00285097" w:rsidP="00911CB4">
      <w:pPr>
        <w:jc w:val="center"/>
        <w:rPr>
          <w:rFonts w:ascii="Arial" w:hAnsi="Arial" w:cs="Arial"/>
          <w:b/>
          <w:sz w:val="28"/>
          <w:szCs w:val="28"/>
        </w:rPr>
        <w:sectPr w:rsidR="00135D1D" w:rsidRPr="00911CB4" w:rsidSect="00A54B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152" w:left="1440" w:header="720" w:footer="720" w:gutter="0"/>
          <w:pgNumType w:start="1"/>
          <w:cols w:space="720"/>
          <w:noEndnote/>
          <w:docGrid w:linePitch="326"/>
        </w:sect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644BF9">
        <w:rPr>
          <w:rFonts w:ascii="Arial" w:hAnsi="Arial" w:cs="Arial"/>
          <w:b/>
          <w:sz w:val="28"/>
          <w:szCs w:val="28"/>
        </w:rPr>
        <w:t>7</w:t>
      </w:r>
      <w:r w:rsidR="00B56BD0" w:rsidRPr="008F0B1D">
        <w:rPr>
          <w:rFonts w:ascii="Arial" w:hAnsi="Arial" w:cs="Arial"/>
          <w:b/>
          <w:sz w:val="28"/>
          <w:szCs w:val="28"/>
        </w:rPr>
        <w:t>-</w:t>
      </w:r>
      <w:r w:rsidR="00644BF9">
        <w:rPr>
          <w:rFonts w:ascii="Arial" w:hAnsi="Arial" w:cs="Arial"/>
          <w:b/>
          <w:sz w:val="28"/>
          <w:szCs w:val="28"/>
        </w:rPr>
        <w:t>2635084</w:t>
      </w:r>
    </w:p>
    <w:p w14:paraId="67BEBBAF" w14:textId="77777777" w:rsidR="00603A6A" w:rsidRPr="004B713A" w:rsidRDefault="004B713A" w:rsidP="002C6FE9">
      <w:pPr>
        <w:jc w:val="center"/>
        <w:rPr>
          <w:rFonts w:ascii="Arial" w:hAnsi="Arial" w:cs="Arial"/>
          <w:b/>
          <w:sz w:val="26"/>
          <w:szCs w:val="26"/>
        </w:rPr>
      </w:pPr>
      <w:r w:rsidRPr="004B713A">
        <w:rPr>
          <w:rFonts w:ascii="Arial" w:hAnsi="Arial" w:cs="Arial"/>
          <w:b/>
          <w:sz w:val="26"/>
          <w:szCs w:val="26"/>
        </w:rPr>
        <w:lastRenderedPageBreak/>
        <w:t xml:space="preserve">Table of </w:t>
      </w:r>
      <w:r w:rsidR="00603A6A" w:rsidRPr="004B713A">
        <w:rPr>
          <w:rFonts w:ascii="Arial" w:hAnsi="Arial" w:cs="Arial"/>
          <w:b/>
          <w:sz w:val="26"/>
          <w:szCs w:val="26"/>
        </w:rPr>
        <w:t>Contents</w:t>
      </w:r>
    </w:p>
    <w:p w14:paraId="1B3304AA" w14:textId="77777777" w:rsidR="000C7BD3" w:rsidRDefault="000C7BD3" w:rsidP="007F4500">
      <w:pPr>
        <w:jc w:val="right"/>
        <w:rPr>
          <w:rFonts w:ascii="Arial" w:hAnsi="Arial" w:cs="Arial"/>
          <w:b/>
          <w:szCs w:val="26"/>
          <w:u w:val="single"/>
        </w:rPr>
      </w:pPr>
    </w:p>
    <w:p w14:paraId="0F46AA4E" w14:textId="77777777" w:rsidR="005253AA" w:rsidRDefault="005253AA" w:rsidP="007F4500">
      <w:pPr>
        <w:jc w:val="right"/>
        <w:rPr>
          <w:rFonts w:ascii="Arial" w:hAnsi="Arial" w:cs="Arial"/>
          <w:b/>
          <w:szCs w:val="26"/>
          <w:u w:val="single"/>
        </w:rPr>
      </w:pPr>
    </w:p>
    <w:p w14:paraId="25001CD2" w14:textId="77777777" w:rsidR="00603A6A" w:rsidRPr="00BA0701" w:rsidRDefault="00603A6A" w:rsidP="007F4500">
      <w:pPr>
        <w:jc w:val="right"/>
        <w:rPr>
          <w:rFonts w:ascii="Arial" w:hAnsi="Arial" w:cs="Arial"/>
          <w:b/>
          <w:sz w:val="26"/>
          <w:szCs w:val="26"/>
          <w:u w:val="single"/>
        </w:rPr>
      </w:pPr>
      <w:r w:rsidRPr="00801D66">
        <w:rPr>
          <w:rFonts w:ascii="Arial" w:hAnsi="Arial" w:cs="Arial"/>
          <w:b/>
          <w:szCs w:val="26"/>
          <w:u w:val="single"/>
        </w:rPr>
        <w:t>Page</w:t>
      </w:r>
    </w:p>
    <w:p w14:paraId="105E7DC2" w14:textId="77777777" w:rsidR="007800F2" w:rsidRPr="000C37FB" w:rsidRDefault="007800F2" w:rsidP="002C6FE9">
      <w:pPr>
        <w:pStyle w:val="Heading4"/>
        <w:rPr>
          <w:rFonts w:ascii="Arial" w:hAnsi="Arial" w:cs="Arial"/>
          <w:sz w:val="16"/>
          <w:szCs w:val="26"/>
        </w:rPr>
      </w:pPr>
    </w:p>
    <w:p w14:paraId="140B2A4F" w14:textId="77777777"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14:paraId="0B62E056" w14:textId="77777777" w:rsidR="00603A6A" w:rsidRPr="004B713A" w:rsidRDefault="00603A6A" w:rsidP="002C6FE9">
      <w:pPr>
        <w:rPr>
          <w:rFonts w:ascii="Arial" w:hAnsi="Arial" w:cs="Arial"/>
          <w:b/>
          <w:sz w:val="16"/>
          <w:szCs w:val="26"/>
        </w:rPr>
      </w:pPr>
    </w:p>
    <w:p w14:paraId="6B44E93B" w14:textId="77777777" w:rsidR="00603A6A" w:rsidRPr="004B713A" w:rsidRDefault="00C15440" w:rsidP="00331A7B">
      <w:pPr>
        <w:tabs>
          <w:tab w:val="left" w:pos="72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331A7B">
        <w:rPr>
          <w:rFonts w:ascii="Arial" w:hAnsi="Arial" w:cs="Arial"/>
          <w:szCs w:val="26"/>
        </w:rPr>
        <w:tab/>
      </w:r>
      <w:r w:rsidR="00963C82" w:rsidRPr="004B713A">
        <w:rPr>
          <w:rFonts w:ascii="Arial" w:hAnsi="Arial" w:cs="Arial"/>
          <w:szCs w:val="26"/>
        </w:rPr>
        <w:t>1</w:t>
      </w:r>
    </w:p>
    <w:p w14:paraId="4DB459CB" w14:textId="77777777" w:rsidR="00CC1765" w:rsidRPr="004B713A" w:rsidRDefault="00CC1765" w:rsidP="00F16CBF">
      <w:pPr>
        <w:tabs>
          <w:tab w:val="left" w:pos="720"/>
          <w:tab w:val="right" w:pos="8554"/>
          <w:tab w:val="left" w:pos="8640"/>
        </w:tabs>
        <w:ind w:left="360" w:hanging="720"/>
        <w:rPr>
          <w:rFonts w:ascii="Arial" w:hAnsi="Arial" w:cs="Arial"/>
          <w:szCs w:val="26"/>
        </w:rPr>
      </w:pPr>
    </w:p>
    <w:p w14:paraId="1AE5A72D" w14:textId="77777777" w:rsidR="005253AA" w:rsidRDefault="00CC1765" w:rsidP="00F16CBF">
      <w:pPr>
        <w:tabs>
          <w:tab w:val="left" w:pos="720"/>
          <w:tab w:val="right" w:pos="9360"/>
        </w:tabs>
        <w:ind w:left="360" w:hanging="720"/>
        <w:rPr>
          <w:rFonts w:ascii="Arial" w:hAnsi="Arial" w:cs="Arial"/>
          <w:szCs w:val="26"/>
        </w:rPr>
      </w:pPr>
      <w:r w:rsidRPr="004B713A">
        <w:rPr>
          <w:rFonts w:ascii="Arial" w:hAnsi="Arial" w:cs="Arial"/>
          <w:szCs w:val="26"/>
        </w:rPr>
        <w:tab/>
      </w:r>
      <w:r w:rsidR="00C2508B" w:rsidRPr="004B713A">
        <w:rPr>
          <w:rFonts w:ascii="Arial" w:hAnsi="Arial" w:cs="Arial"/>
          <w:szCs w:val="26"/>
        </w:rPr>
        <w:t xml:space="preserve">Condensed </w:t>
      </w:r>
      <w:r w:rsidR="00DD5D4B" w:rsidRPr="004B713A">
        <w:rPr>
          <w:rFonts w:ascii="Arial" w:hAnsi="Arial" w:cs="Arial"/>
          <w:szCs w:val="26"/>
        </w:rPr>
        <w:t xml:space="preserve">Statement </w:t>
      </w:r>
      <w:r w:rsidR="00446FA7">
        <w:rPr>
          <w:rFonts w:ascii="Arial" w:hAnsi="Arial" w:cs="Arial"/>
          <w:szCs w:val="26"/>
        </w:rPr>
        <w:t>o</w:t>
      </w:r>
      <w:r w:rsidR="00603A6A" w:rsidRPr="004B713A">
        <w:rPr>
          <w:rFonts w:ascii="Arial" w:hAnsi="Arial" w:cs="Arial"/>
          <w:szCs w:val="26"/>
        </w:rPr>
        <w:t xml:space="preserve">f </w:t>
      </w:r>
      <w:r w:rsidR="00925619">
        <w:rPr>
          <w:rFonts w:ascii="Arial" w:hAnsi="Arial" w:cs="Arial"/>
          <w:szCs w:val="26"/>
        </w:rPr>
        <w:t>Transmission Service Charge</w:t>
      </w:r>
      <w:r w:rsidR="00650F45">
        <w:rPr>
          <w:rFonts w:ascii="Arial" w:hAnsi="Arial" w:cs="Arial"/>
          <w:szCs w:val="26"/>
        </w:rPr>
        <w:t xml:space="preserve"> (</w:t>
      </w:r>
      <w:r w:rsidR="00925619">
        <w:rPr>
          <w:rFonts w:ascii="Arial" w:hAnsi="Arial" w:cs="Arial"/>
          <w:szCs w:val="26"/>
        </w:rPr>
        <w:t>TSC</w:t>
      </w:r>
      <w:r w:rsidR="00650F45">
        <w:rPr>
          <w:rFonts w:ascii="Arial" w:hAnsi="Arial" w:cs="Arial"/>
          <w:szCs w:val="26"/>
        </w:rPr>
        <w:t>)</w:t>
      </w:r>
      <w:r w:rsidR="008149AB">
        <w:rPr>
          <w:rFonts w:ascii="Arial" w:hAnsi="Arial" w:cs="Arial"/>
          <w:szCs w:val="26"/>
        </w:rPr>
        <w:t xml:space="preserve"> </w:t>
      </w:r>
    </w:p>
    <w:p w14:paraId="774B286F" w14:textId="77777777" w:rsidR="005253AA" w:rsidRDefault="005253AA" w:rsidP="00F16CBF">
      <w:pPr>
        <w:tabs>
          <w:tab w:val="left" w:pos="720"/>
          <w:tab w:val="right" w:pos="9360"/>
        </w:tabs>
        <w:ind w:left="360" w:hanging="720"/>
        <w:rPr>
          <w:rFonts w:ascii="Arial" w:hAnsi="Arial" w:cs="Arial"/>
          <w:szCs w:val="26"/>
        </w:rPr>
      </w:pPr>
      <w:r>
        <w:rPr>
          <w:rFonts w:ascii="Arial" w:hAnsi="Arial" w:cs="Arial"/>
          <w:szCs w:val="26"/>
        </w:rPr>
        <w:tab/>
      </w:r>
      <w:r w:rsidR="00603A6A" w:rsidRPr="004B713A">
        <w:rPr>
          <w:rFonts w:ascii="Arial" w:hAnsi="Arial" w:cs="Arial"/>
          <w:szCs w:val="26"/>
        </w:rPr>
        <w:t>Over/</w:t>
      </w:r>
      <w:r w:rsidR="00182996" w:rsidRPr="004B713A">
        <w:rPr>
          <w:rFonts w:ascii="Arial" w:hAnsi="Arial" w:cs="Arial"/>
          <w:szCs w:val="26"/>
        </w:rPr>
        <w:t>(</w:t>
      </w:r>
      <w:r w:rsidR="00603A6A" w:rsidRPr="004B713A">
        <w:rPr>
          <w:rFonts w:ascii="Arial" w:hAnsi="Arial" w:cs="Arial"/>
          <w:szCs w:val="26"/>
        </w:rPr>
        <w:t>Under</w:t>
      </w:r>
      <w:r w:rsidR="00182996" w:rsidRPr="004B713A">
        <w:rPr>
          <w:rFonts w:ascii="Arial" w:hAnsi="Arial" w:cs="Arial"/>
          <w:szCs w:val="26"/>
        </w:rPr>
        <w:t>)</w:t>
      </w:r>
      <w:r w:rsidR="00603A6A" w:rsidRPr="004B713A">
        <w:rPr>
          <w:rFonts w:ascii="Arial" w:hAnsi="Arial" w:cs="Arial"/>
          <w:szCs w:val="26"/>
        </w:rPr>
        <w:t xml:space="preserve"> </w:t>
      </w:r>
      <w:r w:rsidR="00AE5431" w:rsidRPr="00AE5431">
        <w:rPr>
          <w:rFonts w:ascii="Arial" w:hAnsi="Arial" w:cs="Arial"/>
          <w:szCs w:val="26"/>
        </w:rPr>
        <w:t xml:space="preserve">Collections (Section 1307(e)) </w:t>
      </w:r>
      <w:r w:rsidR="00446FA7">
        <w:rPr>
          <w:rFonts w:ascii="Arial" w:hAnsi="Arial" w:cs="Arial"/>
          <w:szCs w:val="26"/>
        </w:rPr>
        <w:t>f</w:t>
      </w:r>
      <w:r w:rsidR="00AE5431" w:rsidRPr="00AE5431">
        <w:rPr>
          <w:rFonts w:ascii="Arial" w:hAnsi="Arial" w:cs="Arial"/>
          <w:szCs w:val="26"/>
        </w:rPr>
        <w:t xml:space="preserve">or </w:t>
      </w:r>
      <w:r w:rsidR="00446FA7">
        <w:rPr>
          <w:rFonts w:ascii="Arial" w:hAnsi="Arial" w:cs="Arial"/>
          <w:szCs w:val="26"/>
        </w:rPr>
        <w:t>t</w:t>
      </w:r>
      <w:r w:rsidR="00AE5431" w:rsidRPr="00AE5431">
        <w:rPr>
          <w:rFonts w:ascii="Arial" w:hAnsi="Arial" w:cs="Arial"/>
          <w:szCs w:val="26"/>
        </w:rPr>
        <w:t xml:space="preserve">he </w:t>
      </w:r>
      <w:r w:rsidR="00644BF9">
        <w:rPr>
          <w:rFonts w:ascii="Arial" w:hAnsi="Arial" w:cs="Arial"/>
          <w:szCs w:val="26"/>
        </w:rPr>
        <w:t>Twelve</w:t>
      </w:r>
      <w:r w:rsidR="00AE5431" w:rsidRPr="00AE5431">
        <w:rPr>
          <w:rFonts w:ascii="Arial" w:hAnsi="Arial" w:cs="Arial"/>
          <w:szCs w:val="26"/>
        </w:rPr>
        <w:t xml:space="preserve"> Months </w:t>
      </w:r>
    </w:p>
    <w:p w14:paraId="195B2848" w14:textId="77777777" w:rsidR="00BF2483" w:rsidRDefault="005253AA" w:rsidP="005253AA">
      <w:pPr>
        <w:tabs>
          <w:tab w:val="left" w:pos="720"/>
          <w:tab w:val="right" w:pos="9360"/>
        </w:tabs>
        <w:ind w:left="360" w:hanging="720"/>
        <w:rPr>
          <w:rFonts w:ascii="Arial" w:hAnsi="Arial" w:cs="Arial"/>
          <w:szCs w:val="26"/>
        </w:rPr>
      </w:pPr>
      <w:r>
        <w:rPr>
          <w:rFonts w:ascii="Arial" w:hAnsi="Arial" w:cs="Arial"/>
          <w:szCs w:val="26"/>
        </w:rPr>
        <w:tab/>
      </w:r>
      <w:r w:rsidR="00250BEC">
        <w:rPr>
          <w:rFonts w:ascii="Arial" w:hAnsi="Arial" w:cs="Arial"/>
          <w:szCs w:val="26"/>
        </w:rPr>
        <w:t>e</w:t>
      </w:r>
      <w:r w:rsidR="00AE5431" w:rsidRPr="00AE5431">
        <w:rPr>
          <w:rFonts w:ascii="Arial" w:hAnsi="Arial" w:cs="Arial"/>
          <w:szCs w:val="26"/>
        </w:rPr>
        <w:t>nded</w:t>
      </w:r>
      <w:r>
        <w:rPr>
          <w:rFonts w:ascii="Arial" w:hAnsi="Arial" w:cs="Arial"/>
          <w:szCs w:val="26"/>
        </w:rPr>
        <w:t xml:space="preserve"> </w:t>
      </w:r>
      <w:r w:rsidR="00FF6F87">
        <w:rPr>
          <w:rFonts w:ascii="Arial" w:hAnsi="Arial" w:cs="Arial"/>
          <w:szCs w:val="26"/>
        </w:rPr>
        <w:t>March</w:t>
      </w:r>
      <w:r w:rsidR="007E65CD">
        <w:rPr>
          <w:rFonts w:ascii="Arial" w:hAnsi="Arial" w:cs="Arial"/>
          <w:szCs w:val="26"/>
        </w:rPr>
        <w:t xml:space="preserve"> 31, 201</w:t>
      </w:r>
      <w:r w:rsidR="00644BF9">
        <w:rPr>
          <w:rFonts w:ascii="Arial" w:hAnsi="Arial" w:cs="Arial"/>
          <w:szCs w:val="26"/>
        </w:rPr>
        <w:t>7</w:t>
      </w:r>
      <w:r w:rsidR="00331A7B">
        <w:rPr>
          <w:rFonts w:ascii="Arial" w:hAnsi="Arial" w:cs="Arial"/>
          <w:szCs w:val="26"/>
        </w:rPr>
        <w:tab/>
      </w:r>
      <w:r w:rsidR="00FE35DE">
        <w:rPr>
          <w:rFonts w:ascii="Arial" w:hAnsi="Arial" w:cs="Arial"/>
          <w:szCs w:val="26"/>
        </w:rPr>
        <w:t>3</w:t>
      </w:r>
    </w:p>
    <w:p w14:paraId="592512AB" w14:textId="77777777" w:rsidR="00651535" w:rsidRDefault="00651535" w:rsidP="00AE5431">
      <w:pPr>
        <w:tabs>
          <w:tab w:val="left" w:pos="720"/>
          <w:tab w:val="right" w:pos="9180"/>
        </w:tabs>
        <w:rPr>
          <w:rFonts w:ascii="Arial" w:hAnsi="Arial" w:cs="Arial"/>
          <w:szCs w:val="26"/>
        </w:rPr>
      </w:pPr>
    </w:p>
    <w:p w14:paraId="7E4A1304" w14:textId="77777777" w:rsidR="005253AA" w:rsidRDefault="00651535" w:rsidP="00651535">
      <w:pPr>
        <w:tabs>
          <w:tab w:val="left" w:pos="720"/>
          <w:tab w:val="right" w:pos="9360"/>
        </w:tabs>
        <w:ind w:left="360" w:hanging="720"/>
        <w:rPr>
          <w:rFonts w:ascii="Arial" w:hAnsi="Arial" w:cs="Arial"/>
          <w:szCs w:val="26"/>
        </w:rPr>
      </w:pPr>
      <w:r w:rsidRPr="004B713A">
        <w:rPr>
          <w:rFonts w:ascii="Arial" w:hAnsi="Arial" w:cs="Arial"/>
          <w:szCs w:val="26"/>
        </w:rPr>
        <w:tab/>
        <w:t xml:space="preserve">Condensed Statement </w:t>
      </w:r>
      <w:r w:rsidR="00446FA7">
        <w:rPr>
          <w:rFonts w:ascii="Arial" w:hAnsi="Arial" w:cs="Arial"/>
          <w:szCs w:val="26"/>
        </w:rPr>
        <w:t>o</w:t>
      </w:r>
      <w:r w:rsidRPr="004B713A">
        <w:rPr>
          <w:rFonts w:ascii="Arial" w:hAnsi="Arial" w:cs="Arial"/>
          <w:szCs w:val="26"/>
        </w:rPr>
        <w:t xml:space="preserve">f </w:t>
      </w:r>
      <w:r w:rsidR="00925619">
        <w:rPr>
          <w:rFonts w:ascii="Arial" w:hAnsi="Arial" w:cs="Arial"/>
          <w:szCs w:val="26"/>
        </w:rPr>
        <w:t>Transmission Service Charge</w:t>
      </w:r>
      <w:r w:rsidR="00650F45">
        <w:rPr>
          <w:rFonts w:ascii="Arial" w:hAnsi="Arial" w:cs="Arial"/>
          <w:szCs w:val="26"/>
        </w:rPr>
        <w:t xml:space="preserve"> (</w:t>
      </w:r>
      <w:r w:rsidR="00925619">
        <w:rPr>
          <w:rFonts w:ascii="Arial" w:hAnsi="Arial" w:cs="Arial"/>
          <w:szCs w:val="26"/>
        </w:rPr>
        <w:t>TSC</w:t>
      </w:r>
      <w:r w:rsidR="00650F45">
        <w:rPr>
          <w:rFonts w:ascii="Arial" w:hAnsi="Arial" w:cs="Arial"/>
          <w:szCs w:val="26"/>
        </w:rPr>
        <w:t>)</w:t>
      </w:r>
      <w:r>
        <w:rPr>
          <w:rFonts w:ascii="Arial" w:hAnsi="Arial" w:cs="Arial"/>
          <w:szCs w:val="26"/>
        </w:rPr>
        <w:t xml:space="preserve"> </w:t>
      </w:r>
    </w:p>
    <w:p w14:paraId="7AC88C0B" w14:textId="77777777" w:rsidR="005253AA" w:rsidRDefault="005253AA" w:rsidP="00651535">
      <w:pPr>
        <w:tabs>
          <w:tab w:val="left" w:pos="720"/>
          <w:tab w:val="right" w:pos="9360"/>
        </w:tabs>
        <w:ind w:left="360" w:hanging="720"/>
        <w:rPr>
          <w:rFonts w:ascii="Arial" w:hAnsi="Arial" w:cs="Arial"/>
          <w:szCs w:val="26"/>
        </w:rPr>
      </w:pPr>
      <w:r>
        <w:rPr>
          <w:rFonts w:ascii="Arial" w:hAnsi="Arial" w:cs="Arial"/>
          <w:szCs w:val="26"/>
        </w:rPr>
        <w:tab/>
      </w:r>
      <w:r w:rsidR="00651535" w:rsidRPr="004B713A">
        <w:rPr>
          <w:rFonts w:ascii="Arial" w:hAnsi="Arial" w:cs="Arial"/>
          <w:szCs w:val="26"/>
        </w:rPr>
        <w:t xml:space="preserve">Over/(Under) </w:t>
      </w:r>
      <w:r w:rsidR="00651535" w:rsidRPr="00AE5431">
        <w:rPr>
          <w:rFonts w:ascii="Arial" w:hAnsi="Arial" w:cs="Arial"/>
          <w:szCs w:val="26"/>
        </w:rPr>
        <w:t xml:space="preserve">Collections (Section 1307(e)) </w:t>
      </w:r>
      <w:r w:rsidR="00446FA7">
        <w:rPr>
          <w:rFonts w:ascii="Arial" w:hAnsi="Arial" w:cs="Arial"/>
          <w:szCs w:val="26"/>
        </w:rPr>
        <w:t>f</w:t>
      </w:r>
      <w:r w:rsidR="00651535" w:rsidRPr="00AE5431">
        <w:rPr>
          <w:rFonts w:ascii="Arial" w:hAnsi="Arial" w:cs="Arial"/>
          <w:szCs w:val="26"/>
        </w:rPr>
        <w:t xml:space="preserve">or </w:t>
      </w:r>
      <w:r w:rsidR="00446FA7">
        <w:rPr>
          <w:rFonts w:ascii="Arial" w:hAnsi="Arial" w:cs="Arial"/>
          <w:szCs w:val="26"/>
        </w:rPr>
        <w:t>t</w:t>
      </w:r>
      <w:r w:rsidR="00651535" w:rsidRPr="00AE5431">
        <w:rPr>
          <w:rFonts w:ascii="Arial" w:hAnsi="Arial" w:cs="Arial"/>
          <w:szCs w:val="26"/>
        </w:rPr>
        <w:t xml:space="preserve">he Twelve Months </w:t>
      </w:r>
    </w:p>
    <w:p w14:paraId="7AB16B1E" w14:textId="77777777" w:rsidR="00651535" w:rsidRPr="004B713A" w:rsidRDefault="005253AA" w:rsidP="005253AA">
      <w:pPr>
        <w:tabs>
          <w:tab w:val="left" w:pos="720"/>
          <w:tab w:val="right" w:pos="9360"/>
        </w:tabs>
        <w:ind w:left="360" w:hanging="720"/>
        <w:rPr>
          <w:rFonts w:ascii="Arial" w:hAnsi="Arial" w:cs="Arial"/>
          <w:szCs w:val="26"/>
        </w:rPr>
      </w:pPr>
      <w:r>
        <w:rPr>
          <w:rFonts w:ascii="Arial" w:hAnsi="Arial" w:cs="Arial"/>
          <w:szCs w:val="26"/>
        </w:rPr>
        <w:tab/>
      </w:r>
      <w:r w:rsidR="00250BEC">
        <w:rPr>
          <w:rFonts w:ascii="Arial" w:hAnsi="Arial" w:cs="Arial"/>
          <w:szCs w:val="26"/>
        </w:rPr>
        <w:t>e</w:t>
      </w:r>
      <w:r w:rsidR="00651535" w:rsidRPr="00AE5431">
        <w:rPr>
          <w:rFonts w:ascii="Arial" w:hAnsi="Arial" w:cs="Arial"/>
          <w:szCs w:val="26"/>
        </w:rPr>
        <w:t>nded</w:t>
      </w:r>
      <w:r>
        <w:rPr>
          <w:rFonts w:ascii="Arial" w:hAnsi="Arial" w:cs="Arial"/>
          <w:szCs w:val="26"/>
        </w:rPr>
        <w:t xml:space="preserve"> </w:t>
      </w:r>
      <w:r w:rsidR="00644BF9">
        <w:rPr>
          <w:rFonts w:ascii="Arial" w:hAnsi="Arial" w:cs="Arial"/>
          <w:szCs w:val="26"/>
        </w:rPr>
        <w:t>March 31</w:t>
      </w:r>
      <w:r w:rsidR="00331A7B">
        <w:rPr>
          <w:rFonts w:ascii="Arial" w:hAnsi="Arial" w:cs="Arial"/>
          <w:szCs w:val="26"/>
        </w:rPr>
        <w:t>, 201</w:t>
      </w:r>
      <w:r w:rsidR="00644BF9">
        <w:rPr>
          <w:rFonts w:ascii="Arial" w:hAnsi="Arial" w:cs="Arial"/>
          <w:szCs w:val="26"/>
        </w:rPr>
        <w:t>6</w:t>
      </w:r>
      <w:r w:rsidR="00331A7B">
        <w:rPr>
          <w:rFonts w:ascii="Arial" w:hAnsi="Arial" w:cs="Arial"/>
          <w:szCs w:val="26"/>
        </w:rPr>
        <w:tab/>
      </w:r>
      <w:r w:rsidR="00651535">
        <w:rPr>
          <w:rFonts w:ascii="Arial" w:hAnsi="Arial" w:cs="Arial"/>
          <w:szCs w:val="26"/>
        </w:rPr>
        <w:t>4</w:t>
      </w:r>
    </w:p>
    <w:p w14:paraId="0367581C" w14:textId="77777777" w:rsidR="0046284E" w:rsidRPr="004B713A" w:rsidRDefault="0046284E" w:rsidP="00FF6F87">
      <w:pPr>
        <w:tabs>
          <w:tab w:val="left" w:pos="720"/>
          <w:tab w:val="right" w:pos="8726"/>
          <w:tab w:val="right" w:pos="9090"/>
        </w:tabs>
        <w:rPr>
          <w:rFonts w:ascii="Arial" w:hAnsi="Arial" w:cs="Arial"/>
          <w:szCs w:val="26"/>
        </w:rPr>
      </w:pPr>
    </w:p>
    <w:p w14:paraId="2EABE78A" w14:textId="77777777" w:rsidR="00603A6A" w:rsidRPr="004B713A" w:rsidRDefault="00DD5D4B" w:rsidP="00331A7B">
      <w:pPr>
        <w:tabs>
          <w:tab w:val="left" w:pos="720"/>
          <w:tab w:val="right" w:pos="9360"/>
        </w:tabs>
        <w:ind w:left="360"/>
        <w:rPr>
          <w:rFonts w:ascii="Arial" w:hAnsi="Arial" w:cs="Arial"/>
          <w:szCs w:val="26"/>
        </w:rPr>
      </w:pPr>
      <w:r w:rsidRPr="004B713A">
        <w:rPr>
          <w:rFonts w:ascii="Arial" w:hAnsi="Arial" w:cs="Arial"/>
          <w:szCs w:val="26"/>
        </w:rPr>
        <w:t xml:space="preserve">Notes </w:t>
      </w:r>
      <w:r w:rsidR="00446FA7">
        <w:rPr>
          <w:rFonts w:ascii="Arial" w:hAnsi="Arial" w:cs="Arial"/>
          <w:szCs w:val="26"/>
        </w:rPr>
        <w:t>t</w:t>
      </w:r>
      <w:r w:rsidRPr="004B713A">
        <w:rPr>
          <w:rFonts w:ascii="Arial" w:hAnsi="Arial" w:cs="Arial"/>
          <w:szCs w:val="26"/>
        </w:rPr>
        <w:t xml:space="preserve">o </w:t>
      </w:r>
      <w:r w:rsidR="00446FA7">
        <w:rPr>
          <w:rFonts w:ascii="Arial" w:hAnsi="Arial" w:cs="Arial"/>
          <w:szCs w:val="26"/>
        </w:rPr>
        <w:t>t</w:t>
      </w:r>
      <w:r w:rsidR="004862BC" w:rsidRPr="004B713A">
        <w:rPr>
          <w:rFonts w:ascii="Arial" w:hAnsi="Arial" w:cs="Arial"/>
          <w:szCs w:val="26"/>
        </w:rPr>
        <w:t>he Financial Statemen</w:t>
      </w:r>
      <w:r w:rsidR="008149AB">
        <w:rPr>
          <w:rFonts w:ascii="Arial" w:hAnsi="Arial" w:cs="Arial"/>
          <w:szCs w:val="26"/>
        </w:rPr>
        <w:t>t</w:t>
      </w:r>
      <w:r w:rsidR="00887922">
        <w:rPr>
          <w:rFonts w:ascii="Arial" w:hAnsi="Arial" w:cs="Arial"/>
          <w:szCs w:val="26"/>
        </w:rPr>
        <w:t>s</w:t>
      </w:r>
      <w:r w:rsidR="00331A7B">
        <w:rPr>
          <w:rFonts w:ascii="Arial" w:hAnsi="Arial" w:cs="Arial"/>
          <w:szCs w:val="26"/>
        </w:rPr>
        <w:tab/>
      </w:r>
      <w:r w:rsidR="00905A2E">
        <w:rPr>
          <w:rFonts w:ascii="Arial" w:hAnsi="Arial" w:cs="Arial"/>
          <w:szCs w:val="26"/>
        </w:rPr>
        <w:t>5</w:t>
      </w:r>
    </w:p>
    <w:p w14:paraId="13DE69E9" w14:textId="77777777" w:rsidR="00603A6A" w:rsidRPr="004B713A" w:rsidRDefault="00603A6A" w:rsidP="002C6FE9">
      <w:pPr>
        <w:tabs>
          <w:tab w:val="left" w:pos="8640"/>
        </w:tabs>
        <w:ind w:left="720" w:hanging="720"/>
        <w:rPr>
          <w:rFonts w:ascii="Arial" w:hAnsi="Arial" w:cs="Arial"/>
          <w:szCs w:val="26"/>
        </w:rPr>
      </w:pPr>
    </w:p>
    <w:p w14:paraId="5691BBC7" w14:textId="77777777" w:rsidR="007800F2" w:rsidRDefault="006C5D60" w:rsidP="006C5D60">
      <w:pPr>
        <w:tabs>
          <w:tab w:val="left" w:pos="720"/>
          <w:tab w:val="right" w:pos="9360"/>
        </w:tabs>
        <w:rPr>
          <w:rFonts w:ascii="Arial" w:hAnsi="Arial" w:cs="Arial"/>
          <w:szCs w:val="26"/>
        </w:rPr>
      </w:pPr>
      <w:r w:rsidRPr="006C5D60">
        <w:rPr>
          <w:rFonts w:ascii="Arial" w:hAnsi="Arial" w:cs="Arial"/>
          <w:b/>
          <w:szCs w:val="26"/>
        </w:rPr>
        <w:t>B</w:t>
      </w:r>
      <w:r>
        <w:rPr>
          <w:rFonts w:ascii="Arial" w:hAnsi="Arial" w:cs="Arial"/>
          <w:b/>
          <w:szCs w:val="26"/>
        </w:rPr>
        <w:t>ACKGROUND</w:t>
      </w:r>
      <w:r w:rsidR="007F4500">
        <w:rPr>
          <w:rFonts w:ascii="Arial" w:hAnsi="Arial" w:cs="Arial"/>
          <w:szCs w:val="26"/>
        </w:rPr>
        <w:tab/>
      </w:r>
      <w:r w:rsidR="00905A2E">
        <w:rPr>
          <w:rFonts w:ascii="Arial" w:hAnsi="Arial" w:cs="Arial"/>
          <w:szCs w:val="26"/>
        </w:rPr>
        <w:t>6</w:t>
      </w:r>
    </w:p>
    <w:p w14:paraId="2FDD9A9C" w14:textId="77777777" w:rsidR="00E27342" w:rsidRPr="004B713A" w:rsidRDefault="00013E33" w:rsidP="00596E7E">
      <w:pPr>
        <w:tabs>
          <w:tab w:val="left" w:pos="720"/>
          <w:tab w:val="left" w:pos="1170"/>
          <w:tab w:val="left" w:pos="2970"/>
          <w:tab w:val="right" w:pos="9180"/>
        </w:tabs>
        <w:rPr>
          <w:rFonts w:ascii="Arial" w:hAnsi="Arial" w:cs="Arial"/>
          <w:b/>
          <w:szCs w:val="26"/>
        </w:rPr>
      </w:pPr>
      <w:r>
        <w:rPr>
          <w:rFonts w:ascii="Arial" w:hAnsi="Arial" w:cs="Arial"/>
          <w:b/>
          <w:szCs w:val="24"/>
        </w:rPr>
        <w:tab/>
      </w:r>
      <w:r>
        <w:rPr>
          <w:rFonts w:ascii="Arial" w:hAnsi="Arial" w:cs="Arial"/>
          <w:b/>
          <w:szCs w:val="24"/>
        </w:rPr>
        <w:tab/>
      </w:r>
    </w:p>
    <w:p w14:paraId="638119ED" w14:textId="7AC706F3" w:rsidR="00745CE2" w:rsidRDefault="00596E7E" w:rsidP="001C608C">
      <w:pPr>
        <w:tabs>
          <w:tab w:val="left" w:pos="720"/>
          <w:tab w:val="right" w:pos="9360"/>
        </w:tabs>
        <w:rPr>
          <w:rFonts w:ascii="Arial" w:hAnsi="Arial" w:cs="Arial"/>
        </w:rPr>
      </w:pPr>
      <w:r>
        <w:rPr>
          <w:rFonts w:ascii="Arial" w:hAnsi="Arial" w:cs="Arial"/>
          <w:b/>
        </w:rPr>
        <w:t>ACKNOWLEDGEMENT</w:t>
      </w:r>
      <w:r w:rsidRPr="00596E7E">
        <w:rPr>
          <w:rFonts w:ascii="Arial" w:hAnsi="Arial" w:cs="Arial"/>
        </w:rPr>
        <w:tab/>
      </w:r>
      <w:r w:rsidR="00722881">
        <w:rPr>
          <w:rFonts w:ascii="Arial" w:hAnsi="Arial" w:cs="Arial"/>
        </w:rPr>
        <w:t>6</w:t>
      </w:r>
    </w:p>
    <w:p w14:paraId="6ACC8F55" w14:textId="77777777" w:rsidR="00CA4441" w:rsidRDefault="00CA4441" w:rsidP="001C608C">
      <w:pPr>
        <w:tabs>
          <w:tab w:val="left" w:pos="720"/>
          <w:tab w:val="right" w:pos="9360"/>
        </w:tabs>
        <w:rPr>
          <w:rFonts w:ascii="Arial" w:hAnsi="Arial" w:cs="Arial"/>
        </w:rPr>
      </w:pPr>
    </w:p>
    <w:p w14:paraId="44A3A1D8" w14:textId="77777777" w:rsidR="00CA4441" w:rsidRDefault="00CA4441" w:rsidP="001C608C">
      <w:pPr>
        <w:tabs>
          <w:tab w:val="left" w:pos="720"/>
          <w:tab w:val="right" w:pos="9360"/>
        </w:tabs>
        <w:rPr>
          <w:rFonts w:ascii="Arial" w:hAnsi="Arial" w:cs="Arial"/>
          <w:b/>
          <w:sz w:val="36"/>
          <w:szCs w:val="36"/>
        </w:rPr>
        <w:sectPr w:rsidR="00CA4441" w:rsidSect="00A15722">
          <w:headerReference w:type="even" r:id="rId14"/>
          <w:headerReference w:type="default" r:id="rId15"/>
          <w:footerReference w:type="default" r:id="rId16"/>
          <w:headerReference w:type="first" r:id="rId17"/>
          <w:pgSz w:w="12240" w:h="15840" w:code="1"/>
          <w:pgMar w:top="1440" w:right="1440" w:bottom="1440" w:left="1440" w:header="720" w:footer="720" w:gutter="0"/>
          <w:pgNumType w:fmt="numberInDash" w:start="1"/>
          <w:cols w:space="720"/>
          <w:noEndnote/>
          <w:docGrid w:linePitch="326"/>
        </w:sectPr>
      </w:pPr>
    </w:p>
    <w:tbl>
      <w:tblPr>
        <w:tblpPr w:leftFromText="180" w:rightFromText="180" w:horzAnchor="margin" w:tblpXSpec="center" w:tblpY="-400"/>
        <w:tblW w:w="10890" w:type="dxa"/>
        <w:tblLayout w:type="fixed"/>
        <w:tblLook w:val="0000" w:firstRow="0" w:lastRow="0" w:firstColumn="0" w:lastColumn="0" w:noHBand="0" w:noVBand="0"/>
      </w:tblPr>
      <w:tblGrid>
        <w:gridCol w:w="1363"/>
        <w:gridCol w:w="8075"/>
        <w:gridCol w:w="1452"/>
      </w:tblGrid>
      <w:tr w:rsidR="002B2069" w:rsidRPr="00BA0701" w14:paraId="7F222FC1" w14:textId="77777777" w:rsidTr="00CF64E6">
        <w:trPr>
          <w:trHeight w:val="990"/>
        </w:trPr>
        <w:tc>
          <w:tcPr>
            <w:tcW w:w="1363" w:type="dxa"/>
          </w:tcPr>
          <w:p w14:paraId="5484BFF2" w14:textId="77777777" w:rsidR="002B2069" w:rsidRPr="00BA0701" w:rsidRDefault="00670A26" w:rsidP="00CF64E6">
            <w:pPr>
              <w:rPr>
                <w:rFonts w:ascii="Arial" w:hAnsi="Arial" w:cs="Arial"/>
              </w:rPr>
            </w:pPr>
            <w:r>
              <w:rPr>
                <w:rFonts w:ascii="Arial" w:hAnsi="Arial" w:cs="Arial"/>
                <w:noProof/>
                <w:spacing w:val="-2"/>
              </w:rPr>
              <w:lastRenderedPageBreak/>
              <w:drawing>
                <wp:inline distT="0" distB="0" distL="0" distR="0" wp14:anchorId="7DF64CB9" wp14:editId="6CEA5422">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27D542C2" w14:textId="77777777" w:rsidR="007C7949" w:rsidRDefault="007C7949" w:rsidP="007C7949">
            <w:pPr>
              <w:suppressAutoHyphens/>
              <w:spacing w:line="204" w:lineRule="auto"/>
              <w:jc w:val="center"/>
              <w:rPr>
                <w:rFonts w:ascii="Arial" w:hAnsi="Arial"/>
                <w:color w:val="000080"/>
                <w:spacing w:val="-3"/>
                <w:sz w:val="26"/>
              </w:rPr>
            </w:pPr>
          </w:p>
          <w:p w14:paraId="6AAC6F23" w14:textId="47D09447" w:rsidR="007C7949" w:rsidRDefault="007C7949" w:rsidP="007C794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4308254" w14:textId="77777777" w:rsidR="007C7949" w:rsidRDefault="007C7949" w:rsidP="007C7949">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6C369397" w14:textId="0404D0F2" w:rsidR="002B2069" w:rsidRPr="00BA0701" w:rsidRDefault="007C7949" w:rsidP="007C7949">
            <w:pPr>
              <w:jc w:val="center"/>
              <w:rPr>
                <w:rFonts w:ascii="Arial" w:hAnsi="Arial" w:cs="Arial"/>
                <w:sz w:val="12"/>
              </w:rPr>
            </w:pPr>
            <w:r>
              <w:rPr>
                <w:rFonts w:ascii="Arial" w:hAnsi="Arial"/>
                <w:color w:val="000080"/>
                <w:spacing w:val="-3"/>
                <w:sz w:val="26"/>
              </w:rPr>
              <w:t>400 NORTH STREET, HARRISBURG, PA  17120</w:t>
            </w:r>
          </w:p>
        </w:tc>
        <w:tc>
          <w:tcPr>
            <w:tcW w:w="1452" w:type="dxa"/>
          </w:tcPr>
          <w:p w14:paraId="04C8EFDC" w14:textId="77777777" w:rsidR="002B2069" w:rsidRPr="00BA0701" w:rsidRDefault="002B2069" w:rsidP="00CF64E6">
            <w:pPr>
              <w:rPr>
                <w:rFonts w:ascii="Arial" w:hAnsi="Arial" w:cs="Arial"/>
                <w:sz w:val="12"/>
              </w:rPr>
            </w:pPr>
          </w:p>
          <w:p w14:paraId="2BA682E5" w14:textId="77777777" w:rsidR="002B2069" w:rsidRPr="00BA0701" w:rsidRDefault="002B2069" w:rsidP="00CF64E6">
            <w:pPr>
              <w:rPr>
                <w:rFonts w:ascii="Arial" w:hAnsi="Arial" w:cs="Arial"/>
                <w:sz w:val="12"/>
              </w:rPr>
            </w:pPr>
          </w:p>
          <w:p w14:paraId="2DF858F8" w14:textId="77777777" w:rsidR="00CC1765" w:rsidRPr="00BA0701" w:rsidRDefault="00CC1765" w:rsidP="00CF64E6">
            <w:pPr>
              <w:jc w:val="center"/>
              <w:rPr>
                <w:rFonts w:ascii="Arial" w:hAnsi="Arial" w:cs="Arial"/>
                <w:sz w:val="12"/>
              </w:rPr>
            </w:pPr>
          </w:p>
          <w:p w14:paraId="2B79EA67" w14:textId="77777777" w:rsidR="002B2069" w:rsidRPr="00BA0701" w:rsidRDefault="002B2069" w:rsidP="00CF64E6">
            <w:pPr>
              <w:jc w:val="center"/>
              <w:rPr>
                <w:rFonts w:ascii="Arial" w:hAnsi="Arial" w:cs="Arial"/>
                <w:sz w:val="12"/>
              </w:rPr>
            </w:pPr>
            <w:r w:rsidRPr="00BA0701">
              <w:rPr>
                <w:rFonts w:ascii="Arial" w:hAnsi="Arial" w:cs="Arial"/>
                <w:b/>
                <w:spacing w:val="-1"/>
                <w:sz w:val="12"/>
              </w:rPr>
              <w:t>IN REPLY PLEASE REFER TO OUR FILE</w:t>
            </w:r>
          </w:p>
        </w:tc>
      </w:tr>
    </w:tbl>
    <w:p w14:paraId="5D8F041C" w14:textId="77777777" w:rsidR="00F16CBF" w:rsidRDefault="00F16CBF" w:rsidP="002E658D">
      <w:pPr>
        <w:jc w:val="center"/>
        <w:rPr>
          <w:rFonts w:ascii="Arial" w:hAnsi="Arial" w:cs="Arial"/>
        </w:rPr>
      </w:pPr>
    </w:p>
    <w:p w14:paraId="529D8FE5" w14:textId="77777777"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14:paraId="01A62959" w14:textId="77777777" w:rsidR="002E658D" w:rsidRPr="00C12557" w:rsidRDefault="002E658D" w:rsidP="002E658D">
      <w:pPr>
        <w:jc w:val="center"/>
        <w:rPr>
          <w:rFonts w:ascii="Arial" w:hAnsi="Arial" w:cs="Arial"/>
          <w:szCs w:val="24"/>
        </w:rPr>
      </w:pPr>
    </w:p>
    <w:p w14:paraId="5E8CF70C" w14:textId="485A32A8" w:rsidR="002E658D" w:rsidRPr="004B713A" w:rsidRDefault="002174B6" w:rsidP="002E658D">
      <w:pPr>
        <w:jc w:val="center"/>
        <w:rPr>
          <w:rFonts w:ascii="Arial" w:hAnsi="Arial" w:cs="Arial"/>
          <w:b/>
          <w:bCs/>
          <w:sz w:val="26"/>
          <w:szCs w:val="26"/>
        </w:rPr>
      </w:pPr>
      <w:r>
        <w:rPr>
          <w:rFonts w:ascii="Arial" w:hAnsi="Arial" w:cs="Arial"/>
          <w:b/>
          <w:bCs/>
          <w:sz w:val="26"/>
          <w:szCs w:val="26"/>
        </w:rPr>
        <w:t>t</w:t>
      </w:r>
      <w:r w:rsidR="002E658D" w:rsidRPr="004B713A">
        <w:rPr>
          <w:rFonts w:ascii="Arial" w:hAnsi="Arial" w:cs="Arial"/>
          <w:b/>
          <w:bCs/>
          <w:sz w:val="26"/>
          <w:szCs w:val="26"/>
        </w:rPr>
        <w:t xml:space="preserve">o </w:t>
      </w:r>
      <w:r>
        <w:rPr>
          <w:rFonts w:ascii="Arial" w:hAnsi="Arial" w:cs="Arial"/>
          <w:b/>
          <w:bCs/>
          <w:sz w:val="26"/>
          <w:szCs w:val="26"/>
        </w:rPr>
        <w:t>t</w:t>
      </w:r>
      <w:r w:rsidR="002E658D" w:rsidRPr="004B713A">
        <w:rPr>
          <w:rFonts w:ascii="Arial" w:hAnsi="Arial" w:cs="Arial"/>
          <w:b/>
          <w:bCs/>
          <w:sz w:val="26"/>
          <w:szCs w:val="26"/>
        </w:rPr>
        <w:t>he Pennsylvania Public Utility Commission</w:t>
      </w:r>
    </w:p>
    <w:p w14:paraId="60EE7EA5" w14:textId="77777777" w:rsidR="002E658D" w:rsidRPr="00905112" w:rsidRDefault="002E658D" w:rsidP="002E658D">
      <w:pPr>
        <w:jc w:val="center"/>
        <w:rPr>
          <w:rFonts w:ascii="Arial" w:hAnsi="Arial" w:cs="Arial"/>
          <w:szCs w:val="24"/>
        </w:rPr>
      </w:pPr>
    </w:p>
    <w:p w14:paraId="387D6BD7" w14:textId="77777777" w:rsidR="002E658D" w:rsidRPr="00905112" w:rsidRDefault="002E658D" w:rsidP="002E658D">
      <w:pPr>
        <w:jc w:val="center"/>
        <w:rPr>
          <w:rFonts w:ascii="Arial" w:hAnsi="Arial" w:cs="Arial"/>
          <w:szCs w:val="24"/>
        </w:rPr>
      </w:pPr>
    </w:p>
    <w:p w14:paraId="3E9EE029" w14:textId="77777777"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3F7122">
        <w:rPr>
          <w:rFonts w:ascii="Arial" w:hAnsi="Arial" w:cs="Arial"/>
          <w:b/>
          <w:bCs/>
          <w:szCs w:val="24"/>
        </w:rPr>
        <w:t>s</w:t>
      </w:r>
    </w:p>
    <w:p w14:paraId="700A628D" w14:textId="77777777" w:rsidR="002E658D" w:rsidRPr="00A377AC" w:rsidRDefault="002E658D" w:rsidP="002E658D">
      <w:pPr>
        <w:rPr>
          <w:rFonts w:ascii="Arial" w:hAnsi="Arial" w:cs="Arial"/>
          <w:b/>
          <w:bCs/>
          <w:szCs w:val="24"/>
        </w:rPr>
      </w:pPr>
    </w:p>
    <w:p w14:paraId="5973BD5F" w14:textId="075C6D1E"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9C7A49">
        <w:rPr>
          <w:rFonts w:ascii="Arial" w:hAnsi="Arial" w:cs="Arial"/>
          <w:szCs w:val="24"/>
        </w:rPr>
        <w:t>PPL E</w:t>
      </w:r>
      <w:r w:rsidR="00650F45">
        <w:rPr>
          <w:rFonts w:ascii="Arial" w:hAnsi="Arial" w:cs="Arial"/>
          <w:szCs w:val="24"/>
        </w:rPr>
        <w:t>lectric Utilities</w:t>
      </w:r>
      <w:r w:rsidR="009C7A49">
        <w:rPr>
          <w:rFonts w:ascii="Arial" w:hAnsi="Arial" w:cs="Arial"/>
          <w:szCs w:val="24"/>
        </w:rPr>
        <w:t xml:space="preserve"> C</w:t>
      </w:r>
      <w:r w:rsidR="00650F45">
        <w:rPr>
          <w:rFonts w:ascii="Arial" w:hAnsi="Arial" w:cs="Arial"/>
          <w:szCs w:val="24"/>
        </w:rPr>
        <w:t>orporation</w:t>
      </w:r>
      <w:r>
        <w:rPr>
          <w:rFonts w:ascii="Arial" w:hAnsi="Arial" w:cs="Arial"/>
          <w:szCs w:val="24"/>
        </w:rPr>
        <w:t>’s Statement</w:t>
      </w:r>
      <w:r w:rsidR="003F7122">
        <w:rPr>
          <w:rFonts w:ascii="Arial" w:hAnsi="Arial" w:cs="Arial"/>
          <w:szCs w:val="24"/>
        </w:rPr>
        <w:t>s</w:t>
      </w:r>
      <w:r w:rsidRPr="00A377AC">
        <w:rPr>
          <w:rFonts w:ascii="Arial" w:hAnsi="Arial" w:cs="Arial"/>
          <w:szCs w:val="24"/>
        </w:rPr>
        <w:t xml:space="preserve"> of </w:t>
      </w:r>
      <w:r w:rsidR="00925619">
        <w:rPr>
          <w:rFonts w:ascii="Arial" w:hAnsi="Arial" w:cs="Arial"/>
          <w:szCs w:val="24"/>
        </w:rPr>
        <w:t>Transmission Service Charge</w:t>
      </w:r>
      <w:r>
        <w:rPr>
          <w:rFonts w:ascii="Arial" w:hAnsi="Arial" w:cs="Arial"/>
          <w:szCs w:val="24"/>
        </w:rPr>
        <w:t xml:space="preserve"> </w:t>
      </w:r>
      <w:r w:rsidR="00B74BDA">
        <w:rPr>
          <w:rFonts w:ascii="Arial" w:hAnsi="Arial" w:cs="Arial"/>
          <w:szCs w:val="24"/>
        </w:rPr>
        <w:t>Over/Under</w:t>
      </w:r>
      <w:r w:rsidRPr="00A377AC">
        <w:rPr>
          <w:rFonts w:ascii="Arial" w:hAnsi="Arial" w:cs="Arial"/>
          <w:szCs w:val="24"/>
        </w:rPr>
        <w:t xml:space="preserve"> Collections (Sectio</w:t>
      </w:r>
      <w:r w:rsidR="00312248">
        <w:rPr>
          <w:rFonts w:ascii="Arial" w:hAnsi="Arial" w:cs="Arial"/>
          <w:szCs w:val="24"/>
        </w:rPr>
        <w:t xml:space="preserve">n 1307(e)) for the </w:t>
      </w:r>
      <w:r w:rsidR="00F46DB5">
        <w:rPr>
          <w:rFonts w:ascii="Arial" w:hAnsi="Arial" w:cs="Arial"/>
          <w:szCs w:val="24"/>
        </w:rPr>
        <w:t>twelve</w:t>
      </w:r>
      <w:r w:rsidR="00274824">
        <w:rPr>
          <w:rFonts w:ascii="Arial" w:hAnsi="Arial" w:cs="Arial"/>
          <w:szCs w:val="24"/>
        </w:rPr>
        <w:t>-</w:t>
      </w:r>
      <w:r w:rsidR="007F46A8">
        <w:rPr>
          <w:rFonts w:ascii="Arial" w:hAnsi="Arial" w:cs="Arial"/>
          <w:szCs w:val="24"/>
        </w:rPr>
        <w:t>month</w:t>
      </w:r>
      <w:r w:rsidR="00274824">
        <w:rPr>
          <w:rFonts w:ascii="Arial" w:hAnsi="Arial" w:cs="Arial"/>
          <w:szCs w:val="24"/>
        </w:rPr>
        <w:t xml:space="preserve"> period</w:t>
      </w:r>
      <w:r w:rsidR="003F52B1">
        <w:rPr>
          <w:rFonts w:ascii="Arial" w:hAnsi="Arial" w:cs="Arial"/>
          <w:szCs w:val="24"/>
        </w:rPr>
        <w:t>s</w:t>
      </w:r>
      <w:r w:rsidR="00E92304">
        <w:rPr>
          <w:rFonts w:ascii="Arial" w:hAnsi="Arial" w:cs="Arial"/>
          <w:szCs w:val="24"/>
        </w:rPr>
        <w:t xml:space="preserve"> </w:t>
      </w:r>
      <w:r w:rsidR="007F46A8">
        <w:rPr>
          <w:rFonts w:ascii="Arial" w:hAnsi="Arial" w:cs="Arial"/>
          <w:szCs w:val="24"/>
        </w:rPr>
        <w:t xml:space="preserve">ended </w:t>
      </w:r>
      <w:r w:rsidR="007D55CA">
        <w:rPr>
          <w:rFonts w:ascii="Arial" w:hAnsi="Arial" w:cs="Arial"/>
          <w:szCs w:val="24"/>
        </w:rPr>
        <w:t>March 31</w:t>
      </w:r>
      <w:r w:rsidR="007F46A8">
        <w:rPr>
          <w:rFonts w:ascii="Arial" w:hAnsi="Arial" w:cs="Arial"/>
          <w:szCs w:val="24"/>
        </w:rPr>
        <w:t>, 201</w:t>
      </w:r>
      <w:r w:rsidR="00F46DB5">
        <w:rPr>
          <w:rFonts w:ascii="Arial" w:hAnsi="Arial" w:cs="Arial"/>
          <w:szCs w:val="24"/>
        </w:rPr>
        <w:t>7</w:t>
      </w:r>
      <w:r w:rsidR="007F46A8">
        <w:rPr>
          <w:rFonts w:ascii="Arial" w:hAnsi="Arial" w:cs="Arial"/>
          <w:szCs w:val="24"/>
        </w:rPr>
        <w:t xml:space="preserve"> and </w:t>
      </w:r>
      <w:r w:rsidR="00F46DB5">
        <w:rPr>
          <w:rFonts w:ascii="Arial" w:hAnsi="Arial" w:cs="Arial"/>
          <w:szCs w:val="24"/>
        </w:rPr>
        <w:t>March 31</w:t>
      </w:r>
      <w:r w:rsidR="007F46A8">
        <w:rPr>
          <w:rFonts w:ascii="Arial" w:hAnsi="Arial" w:cs="Arial"/>
          <w:szCs w:val="24"/>
        </w:rPr>
        <w:t>, 201</w:t>
      </w:r>
      <w:r w:rsidR="00F46DB5">
        <w:rPr>
          <w:rFonts w:ascii="Arial" w:hAnsi="Arial" w:cs="Arial"/>
          <w:szCs w:val="24"/>
        </w:rPr>
        <w:t>6</w:t>
      </w:r>
      <w:r>
        <w:rPr>
          <w:rFonts w:ascii="Arial" w:hAnsi="Arial" w:cs="Arial"/>
          <w:szCs w:val="24"/>
        </w:rPr>
        <w:t>.</w:t>
      </w:r>
    </w:p>
    <w:p w14:paraId="4834D2FB" w14:textId="77777777" w:rsidR="002E658D" w:rsidRPr="00A377AC" w:rsidRDefault="002E658D" w:rsidP="002E658D">
      <w:pPr>
        <w:rPr>
          <w:rFonts w:ascii="Arial" w:hAnsi="Arial" w:cs="Arial"/>
          <w:i/>
          <w:szCs w:val="24"/>
        </w:rPr>
      </w:pPr>
    </w:p>
    <w:p w14:paraId="2D8ECF7C" w14:textId="77777777"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A21240">
        <w:rPr>
          <w:rFonts w:ascii="Arial" w:hAnsi="Arial" w:cs="Arial"/>
          <w:b/>
          <w:bCs/>
          <w:iCs/>
          <w:szCs w:val="24"/>
        </w:rPr>
        <w:t>s</w:t>
      </w:r>
    </w:p>
    <w:p w14:paraId="5ABA9BE4" w14:textId="77777777" w:rsidR="002E658D" w:rsidRPr="00A377AC" w:rsidRDefault="002E658D" w:rsidP="002E658D">
      <w:pPr>
        <w:rPr>
          <w:rFonts w:ascii="Arial" w:hAnsi="Arial" w:cs="Arial"/>
          <w:i/>
          <w:szCs w:val="24"/>
        </w:rPr>
      </w:pPr>
    </w:p>
    <w:p w14:paraId="43FB5D7C" w14:textId="77777777" w:rsidR="002E658D" w:rsidRPr="00A377AC" w:rsidRDefault="002E658D" w:rsidP="002E658D">
      <w:pPr>
        <w:ind w:firstLine="720"/>
        <w:rPr>
          <w:rFonts w:ascii="Arial" w:hAnsi="Arial" w:cs="Arial"/>
          <w:szCs w:val="24"/>
        </w:rPr>
      </w:pPr>
      <w:r w:rsidRPr="00A377AC">
        <w:rPr>
          <w:rFonts w:ascii="Arial" w:hAnsi="Arial" w:cs="Arial"/>
          <w:szCs w:val="24"/>
        </w:rPr>
        <w:t>Management is responsible for the preparation and fair presentation of th</w:t>
      </w:r>
      <w:r w:rsidR="00AE1B23">
        <w:rPr>
          <w:rFonts w:ascii="Arial" w:hAnsi="Arial" w:cs="Arial"/>
          <w:szCs w:val="24"/>
        </w:rPr>
        <w:t>ese</w:t>
      </w:r>
      <w:r w:rsidR="00B74BDA">
        <w:rPr>
          <w:rFonts w:ascii="Arial" w:hAnsi="Arial" w:cs="Arial"/>
          <w:szCs w:val="24"/>
        </w:rPr>
        <w:t xml:space="preserve"> statement</w:t>
      </w:r>
      <w:r w:rsidR="003F7122">
        <w:rPr>
          <w:rFonts w:ascii="Arial" w:hAnsi="Arial" w:cs="Arial"/>
          <w:szCs w:val="24"/>
        </w:rPr>
        <w:t>s</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1D3E27DB" w14:textId="77777777" w:rsidR="002E658D" w:rsidRPr="00A377AC" w:rsidRDefault="002E658D" w:rsidP="002E658D">
      <w:pPr>
        <w:rPr>
          <w:rFonts w:ascii="Arial" w:hAnsi="Arial" w:cs="Arial"/>
          <w:i/>
          <w:szCs w:val="24"/>
        </w:rPr>
      </w:pPr>
    </w:p>
    <w:p w14:paraId="748BACCF" w14:textId="77777777" w:rsidR="002E658D" w:rsidRPr="00A377AC" w:rsidRDefault="002E658D" w:rsidP="002E658D">
      <w:pPr>
        <w:rPr>
          <w:rFonts w:ascii="Arial" w:hAnsi="Arial" w:cs="Arial"/>
          <w:b/>
          <w:bCs/>
          <w:iCs/>
          <w:szCs w:val="24"/>
        </w:rPr>
      </w:pPr>
      <w:r w:rsidRPr="00A377AC">
        <w:rPr>
          <w:rFonts w:ascii="Arial" w:hAnsi="Arial" w:cs="Arial"/>
          <w:b/>
          <w:bCs/>
          <w:iCs/>
          <w:szCs w:val="24"/>
        </w:rPr>
        <w:t>Auditor’s Responsibility</w:t>
      </w:r>
    </w:p>
    <w:p w14:paraId="2D718081" w14:textId="77777777" w:rsidR="002E658D" w:rsidRPr="00A377AC" w:rsidRDefault="002E658D" w:rsidP="002E658D">
      <w:pPr>
        <w:rPr>
          <w:rFonts w:ascii="Arial" w:hAnsi="Arial" w:cs="Arial"/>
          <w:szCs w:val="24"/>
        </w:rPr>
      </w:pPr>
    </w:p>
    <w:p w14:paraId="765B9FB7" w14:textId="77777777" w:rsidR="00337589" w:rsidRDefault="002E658D" w:rsidP="007D21F8">
      <w:pPr>
        <w:ind w:firstLine="720"/>
        <w:rPr>
          <w:rFonts w:ascii="Arial" w:hAnsi="Arial" w:cs="Arial"/>
          <w:szCs w:val="24"/>
        </w:rPr>
      </w:pPr>
      <w:r w:rsidRPr="00A377AC">
        <w:rPr>
          <w:rFonts w:ascii="Arial" w:hAnsi="Arial" w:cs="Arial"/>
          <w:szCs w:val="24"/>
        </w:rPr>
        <w:t>Our responsibility</w:t>
      </w:r>
      <w:r w:rsidR="00AE1B23">
        <w:rPr>
          <w:rFonts w:ascii="Arial" w:hAnsi="Arial" w:cs="Arial"/>
          <w:szCs w:val="24"/>
        </w:rPr>
        <w:t xml:space="preserve"> is to express an opinion on the</w:t>
      </w:r>
      <w:r w:rsidR="00B74BDA">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sidR="00947B64">
        <w:rPr>
          <w:rFonts w:ascii="Arial" w:hAnsi="Arial" w:cs="Arial"/>
          <w:szCs w:val="24"/>
        </w:rPr>
        <w:t xml:space="preserve">n the United States of America.  </w:t>
      </w:r>
      <w:r w:rsidRPr="00A377AC">
        <w:rPr>
          <w:rFonts w:ascii="Arial" w:hAnsi="Arial" w:cs="Arial"/>
          <w:szCs w:val="24"/>
        </w:rPr>
        <w:t>Th</w:t>
      </w:r>
      <w:r w:rsidR="005D35CC">
        <w:rPr>
          <w:rFonts w:ascii="Arial" w:hAnsi="Arial" w:cs="Arial"/>
          <w:szCs w:val="24"/>
        </w:rPr>
        <w:t>ese</w:t>
      </w:r>
      <w:r w:rsidRPr="00A377AC">
        <w:rPr>
          <w:rFonts w:ascii="Arial" w:hAnsi="Arial" w:cs="Arial"/>
          <w:szCs w:val="24"/>
        </w:rPr>
        <w:t xml:space="preserve"> standards require that we plan and perform the audit to obtain reasonable assurance about whether th</w:t>
      </w:r>
      <w:r w:rsidR="00AE1B23">
        <w:rPr>
          <w:rFonts w:ascii="Arial" w:hAnsi="Arial" w:cs="Arial"/>
          <w:szCs w:val="24"/>
        </w:rPr>
        <w:t>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w:t>
      </w:r>
      <w:r w:rsidR="00AE1B23">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sidR="00AE1B23">
        <w:rPr>
          <w:rFonts w:ascii="Arial" w:hAnsi="Arial" w:cs="Arial"/>
          <w:szCs w:val="24"/>
        </w:rPr>
        <w:t>amounts and disclosures in the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xml:space="preserve"> </w:t>
      </w:r>
      <w:proofErr w:type="gramStart"/>
      <w:r w:rsidRPr="00A377AC">
        <w:rPr>
          <w:rFonts w:ascii="Arial" w:hAnsi="Arial" w:cs="Arial"/>
          <w:szCs w:val="24"/>
        </w:rPr>
        <w:t>in order to</w:t>
      </w:r>
      <w:proofErr w:type="gramEnd"/>
      <w:r w:rsidRPr="00A377AC">
        <w:rPr>
          <w:rFonts w:ascii="Arial" w:hAnsi="Arial" w:cs="Arial"/>
          <w:szCs w:val="24"/>
        </w:rPr>
        <w:t xml:space="preserve"> design audit procedures that are appropriate in the circumstances, but not for the purpose of expressing an opinion </w:t>
      </w:r>
      <w:r w:rsidR="00A02596" w:rsidRPr="00982C30">
        <w:rPr>
          <w:rFonts w:ascii="Arial" w:hAnsi="Arial" w:cs="Arial"/>
          <w:szCs w:val="24"/>
        </w:rPr>
        <w:t xml:space="preserve">on the effectiveness of the entity’s internal control.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14:paraId="340B1AEE" w14:textId="77777777" w:rsidR="00337589" w:rsidRDefault="00337589">
      <w:pPr>
        <w:rPr>
          <w:rFonts w:ascii="Arial" w:hAnsi="Arial" w:cs="Arial"/>
          <w:szCs w:val="24"/>
        </w:rPr>
      </w:pPr>
    </w:p>
    <w:p w14:paraId="56C11AE0" w14:textId="77777777" w:rsidR="00EA0842" w:rsidRDefault="00EA0842" w:rsidP="002E658D">
      <w:pPr>
        <w:rPr>
          <w:rFonts w:ascii="Arial" w:hAnsi="Arial" w:cs="Arial"/>
          <w:b/>
          <w:bCs/>
          <w:iCs/>
          <w:szCs w:val="24"/>
        </w:rPr>
      </w:pPr>
    </w:p>
    <w:p w14:paraId="7391EDEA" w14:textId="77777777" w:rsidR="00EA0842" w:rsidRDefault="00EA0842" w:rsidP="002E658D">
      <w:pPr>
        <w:rPr>
          <w:rFonts w:ascii="Arial" w:hAnsi="Arial" w:cs="Arial"/>
          <w:b/>
          <w:bCs/>
          <w:iCs/>
          <w:szCs w:val="24"/>
        </w:rPr>
      </w:pPr>
    </w:p>
    <w:p w14:paraId="67301D67" w14:textId="77777777" w:rsidR="00EA0842" w:rsidRDefault="00EA0842" w:rsidP="002E658D">
      <w:pPr>
        <w:rPr>
          <w:rFonts w:ascii="Arial" w:hAnsi="Arial" w:cs="Arial"/>
          <w:b/>
          <w:bCs/>
          <w:iCs/>
          <w:szCs w:val="24"/>
        </w:rPr>
        <w:sectPr w:rsidR="00EA0842" w:rsidSect="00EA0842">
          <w:headerReference w:type="even" r:id="rId19"/>
          <w:headerReference w:type="default" r:id="rId20"/>
          <w:footerReference w:type="default" r:id="rId21"/>
          <w:headerReference w:type="first" r:id="rId22"/>
          <w:pgSz w:w="12240" w:h="15840" w:code="1"/>
          <w:pgMar w:top="1440" w:right="1440" w:bottom="1440" w:left="1440" w:header="720" w:footer="720" w:gutter="0"/>
          <w:pgNumType w:fmt="numberInDash" w:start="1"/>
          <w:cols w:space="720"/>
          <w:noEndnote/>
          <w:docGrid w:linePitch="326"/>
        </w:sectPr>
      </w:pPr>
    </w:p>
    <w:p w14:paraId="21375C4E" w14:textId="1ABFDD3B"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14:paraId="63DCEDA2" w14:textId="77777777" w:rsidR="002E658D" w:rsidRPr="00A377AC" w:rsidRDefault="002E658D" w:rsidP="002E658D">
      <w:pPr>
        <w:rPr>
          <w:rFonts w:ascii="Arial" w:hAnsi="Arial" w:cs="Arial"/>
          <w:szCs w:val="24"/>
        </w:rPr>
      </w:pPr>
    </w:p>
    <w:p w14:paraId="2D953CC4" w14:textId="439728DD"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E8551E">
        <w:rPr>
          <w:rFonts w:ascii="Arial" w:hAnsi="Arial" w:cs="Arial"/>
          <w:szCs w:val="24"/>
        </w:rPr>
        <w:t>s</w:t>
      </w:r>
      <w:r>
        <w:rPr>
          <w:rFonts w:ascii="Arial" w:hAnsi="Arial" w:cs="Arial"/>
          <w:szCs w:val="24"/>
        </w:rPr>
        <w:t xml:space="preserve"> of </w:t>
      </w:r>
      <w:r w:rsidR="00925619">
        <w:rPr>
          <w:rFonts w:ascii="Arial" w:hAnsi="Arial" w:cs="Arial"/>
          <w:szCs w:val="24"/>
        </w:rPr>
        <w:t>Transmission Service Charge</w:t>
      </w:r>
      <w:r w:rsidR="00947B64">
        <w:rPr>
          <w:rFonts w:ascii="Arial" w:hAnsi="Arial" w:cs="Arial"/>
          <w:szCs w:val="24"/>
        </w:rPr>
        <w:t xml:space="preserve"> </w:t>
      </w:r>
      <w:r>
        <w:rPr>
          <w:rFonts w:ascii="Arial" w:hAnsi="Arial" w:cs="Arial"/>
          <w:szCs w:val="24"/>
        </w:rPr>
        <w:t>Over/Under Collections</w:t>
      </w:r>
      <w:r w:rsidR="00F7569D">
        <w:rPr>
          <w:rFonts w:ascii="Arial" w:hAnsi="Arial" w:cs="Arial"/>
        </w:rPr>
        <w:t xml:space="preserve"> </w:t>
      </w:r>
      <w:r w:rsidR="00312248">
        <w:rPr>
          <w:rFonts w:ascii="Arial" w:hAnsi="Arial" w:cs="Arial"/>
          <w:szCs w:val="24"/>
        </w:rPr>
        <w:t>for the</w:t>
      </w:r>
      <w:r w:rsidR="00B80E11">
        <w:rPr>
          <w:rFonts w:ascii="Arial" w:hAnsi="Arial" w:cs="Arial"/>
          <w:szCs w:val="24"/>
        </w:rPr>
        <w:t xml:space="preserve"> </w:t>
      </w:r>
      <w:r w:rsidR="00F46DB5">
        <w:rPr>
          <w:rFonts w:ascii="Arial" w:hAnsi="Arial" w:cs="Arial"/>
          <w:szCs w:val="24"/>
        </w:rPr>
        <w:t>twelve</w:t>
      </w:r>
      <w:r w:rsidR="00B9388C">
        <w:rPr>
          <w:rFonts w:ascii="Arial" w:hAnsi="Arial" w:cs="Arial"/>
          <w:szCs w:val="24"/>
        </w:rPr>
        <w:noBreakHyphen/>
      </w:r>
      <w:r w:rsidR="00416ACD">
        <w:rPr>
          <w:rFonts w:ascii="Arial" w:hAnsi="Arial" w:cs="Arial"/>
          <w:szCs w:val="24"/>
        </w:rPr>
        <w:t>month</w:t>
      </w:r>
      <w:r w:rsidR="00B80E11">
        <w:rPr>
          <w:rFonts w:ascii="Arial" w:hAnsi="Arial" w:cs="Arial"/>
          <w:szCs w:val="24"/>
        </w:rPr>
        <w:t xml:space="preserve"> </w:t>
      </w:r>
      <w:r w:rsidR="00C45A01">
        <w:rPr>
          <w:rFonts w:ascii="Arial" w:hAnsi="Arial" w:cs="Arial"/>
          <w:szCs w:val="24"/>
        </w:rPr>
        <w:t xml:space="preserve">periods </w:t>
      </w:r>
      <w:r w:rsidR="00B80E11">
        <w:rPr>
          <w:rFonts w:ascii="Arial" w:hAnsi="Arial" w:cs="Arial"/>
          <w:szCs w:val="24"/>
        </w:rPr>
        <w:t>ended March 31, 201</w:t>
      </w:r>
      <w:r w:rsidR="00F46DB5">
        <w:rPr>
          <w:rFonts w:ascii="Arial" w:hAnsi="Arial" w:cs="Arial"/>
          <w:szCs w:val="24"/>
        </w:rPr>
        <w:t>7</w:t>
      </w:r>
      <w:r w:rsidR="00B80E11">
        <w:rPr>
          <w:rFonts w:ascii="Arial" w:hAnsi="Arial" w:cs="Arial"/>
          <w:szCs w:val="24"/>
        </w:rPr>
        <w:t xml:space="preserve"> and </w:t>
      </w:r>
      <w:r w:rsidR="00F46DB5">
        <w:rPr>
          <w:rFonts w:ascii="Arial" w:hAnsi="Arial" w:cs="Arial"/>
          <w:szCs w:val="24"/>
        </w:rPr>
        <w:t>March 31</w:t>
      </w:r>
      <w:r w:rsidR="00B80E11">
        <w:rPr>
          <w:rFonts w:ascii="Arial" w:hAnsi="Arial" w:cs="Arial"/>
          <w:szCs w:val="24"/>
        </w:rPr>
        <w:t>, 201</w:t>
      </w:r>
      <w:r w:rsidR="00F46DB5">
        <w:rPr>
          <w:rFonts w:ascii="Arial" w:hAnsi="Arial" w:cs="Arial"/>
          <w:szCs w:val="24"/>
        </w:rPr>
        <w:t>6</w:t>
      </w:r>
      <w:r w:rsidR="00B80E11">
        <w:rPr>
          <w:rFonts w:ascii="Arial" w:hAnsi="Arial" w:cs="Arial"/>
          <w:szCs w:val="24"/>
        </w:rPr>
        <w:t xml:space="preserve"> </w:t>
      </w:r>
      <w:r>
        <w:rPr>
          <w:rFonts w:ascii="Arial" w:hAnsi="Arial" w:cs="Arial"/>
          <w:szCs w:val="24"/>
        </w:rPr>
        <w:t xml:space="preserve">of </w:t>
      </w:r>
      <w:r w:rsidR="009C7A49">
        <w:rPr>
          <w:rFonts w:ascii="Arial" w:hAnsi="Arial" w:cs="Arial"/>
          <w:szCs w:val="24"/>
        </w:rPr>
        <w:t>PPL E</w:t>
      </w:r>
      <w:r w:rsidR="00B80E11">
        <w:rPr>
          <w:rFonts w:ascii="Arial" w:hAnsi="Arial" w:cs="Arial"/>
          <w:szCs w:val="24"/>
        </w:rPr>
        <w:t>lectric Utilities Corporation</w:t>
      </w:r>
      <w:r w:rsidR="004F419F">
        <w:rPr>
          <w:rFonts w:ascii="Arial" w:hAnsi="Arial" w:cs="Arial"/>
          <w:szCs w:val="24"/>
        </w:rPr>
        <w:t>,</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E8551E">
        <w:rPr>
          <w:rFonts w:ascii="Arial" w:hAnsi="Arial" w:cs="Arial"/>
          <w:szCs w:val="24"/>
        </w:rPr>
        <w:t>s</w:t>
      </w:r>
      <w:r w:rsidR="00416ACD">
        <w:rPr>
          <w:rFonts w:ascii="Arial" w:hAnsi="Arial" w:cs="Arial"/>
          <w:szCs w:val="24"/>
        </w:rPr>
        <w:t xml:space="preserve"> from which they were</w:t>
      </w:r>
      <w:r>
        <w:rPr>
          <w:rFonts w:ascii="Arial" w:hAnsi="Arial" w:cs="Arial"/>
          <w:szCs w:val="24"/>
        </w:rPr>
        <w:t xml:space="preserve"> derived</w:t>
      </w:r>
      <w:r w:rsidRPr="00A377AC">
        <w:rPr>
          <w:rFonts w:ascii="Arial" w:hAnsi="Arial" w:cs="Arial"/>
          <w:szCs w:val="24"/>
        </w:rPr>
        <w:t>.</w:t>
      </w:r>
    </w:p>
    <w:p w14:paraId="5148E7AB" w14:textId="77777777" w:rsidR="002E658D" w:rsidRPr="00A377AC" w:rsidRDefault="002E658D" w:rsidP="002E658D">
      <w:pPr>
        <w:rPr>
          <w:rFonts w:ascii="Arial" w:hAnsi="Arial" w:cs="Arial"/>
          <w:szCs w:val="24"/>
        </w:rPr>
      </w:pPr>
    </w:p>
    <w:p w14:paraId="74EC7B5C" w14:textId="77777777"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14:paraId="2F457C5F" w14:textId="77777777" w:rsidR="002E658D" w:rsidRPr="00A377AC" w:rsidRDefault="002E658D" w:rsidP="002E658D">
      <w:pPr>
        <w:rPr>
          <w:rFonts w:ascii="Arial" w:hAnsi="Arial" w:cs="Arial"/>
          <w:szCs w:val="24"/>
        </w:rPr>
      </w:pPr>
    </w:p>
    <w:p w14:paraId="17C11D69" w14:textId="77777777" w:rsidR="002E658D" w:rsidRPr="00A377AC" w:rsidRDefault="00E8551E" w:rsidP="002E658D">
      <w:pPr>
        <w:rPr>
          <w:rFonts w:ascii="Arial" w:hAnsi="Arial" w:cs="Arial"/>
          <w:szCs w:val="24"/>
        </w:rPr>
      </w:pPr>
      <w:r>
        <w:rPr>
          <w:rFonts w:ascii="Arial" w:hAnsi="Arial" w:cs="Arial"/>
          <w:szCs w:val="24"/>
        </w:rPr>
        <w:tab/>
        <w:t xml:space="preserve">The accompanying statements </w:t>
      </w:r>
      <w:r w:rsidR="002E658D" w:rsidRPr="00A377AC">
        <w:rPr>
          <w:rFonts w:ascii="Arial" w:hAnsi="Arial" w:cs="Arial"/>
          <w:szCs w:val="24"/>
        </w:rPr>
        <w:t>w</w:t>
      </w:r>
      <w:r>
        <w:rPr>
          <w:rFonts w:ascii="Arial" w:hAnsi="Arial" w:cs="Arial"/>
          <w:szCs w:val="24"/>
        </w:rPr>
        <w:t>ere</w:t>
      </w:r>
      <w:r w:rsidR="002E658D" w:rsidRPr="00A377AC">
        <w:rPr>
          <w:rFonts w:ascii="Arial" w:hAnsi="Arial" w:cs="Arial"/>
          <w:szCs w:val="24"/>
        </w:rPr>
        <w:t xml:space="preserve"> prepared </w:t>
      </w:r>
      <w:proofErr w:type="gramStart"/>
      <w:r w:rsidR="002E658D" w:rsidRPr="00A377AC">
        <w:rPr>
          <w:rFonts w:ascii="Arial" w:hAnsi="Arial" w:cs="Arial"/>
          <w:szCs w:val="24"/>
        </w:rPr>
        <w:t>for the purpose of</w:t>
      </w:r>
      <w:proofErr w:type="gramEnd"/>
      <w:r w:rsidR="002E658D" w:rsidRPr="00A377AC">
        <w:rPr>
          <w:rFonts w:ascii="Arial" w:hAnsi="Arial" w:cs="Arial"/>
          <w:szCs w:val="24"/>
        </w:rPr>
        <w:t xml:space="preserve"> complying with the rules and regulations of the Pennsylvania Public Utility Commission and </w:t>
      </w:r>
      <w:r>
        <w:rPr>
          <w:rFonts w:ascii="Arial" w:hAnsi="Arial" w:cs="Arial"/>
          <w:szCs w:val="24"/>
        </w:rPr>
        <w:t>are</w:t>
      </w:r>
      <w:r w:rsidR="002E658D" w:rsidRPr="00A377AC">
        <w:rPr>
          <w:rFonts w:ascii="Arial" w:hAnsi="Arial" w:cs="Arial"/>
          <w:szCs w:val="24"/>
        </w:rPr>
        <w:t xml:space="preserve"> not intended to be a complete presentation of </w:t>
      </w:r>
      <w:r w:rsidR="009C7A49">
        <w:rPr>
          <w:rFonts w:ascii="Arial" w:hAnsi="Arial" w:cs="Arial"/>
          <w:szCs w:val="24"/>
        </w:rPr>
        <w:t>PPL E</w:t>
      </w:r>
      <w:r w:rsidR="0023151D">
        <w:rPr>
          <w:rFonts w:ascii="Arial" w:hAnsi="Arial" w:cs="Arial"/>
          <w:szCs w:val="24"/>
        </w:rPr>
        <w:t>lectric Utilities Corporation</w:t>
      </w:r>
      <w:r w:rsidR="002E658D" w:rsidRPr="00A377AC">
        <w:rPr>
          <w:rFonts w:ascii="Arial" w:hAnsi="Arial" w:cs="Arial"/>
          <w:szCs w:val="24"/>
        </w:rPr>
        <w:t>’s revenues and expenses.</w:t>
      </w:r>
    </w:p>
    <w:p w14:paraId="6691F0E7" w14:textId="77777777" w:rsidR="002E658D" w:rsidRPr="00A377AC" w:rsidRDefault="002E658D" w:rsidP="002E658D">
      <w:pPr>
        <w:rPr>
          <w:rFonts w:ascii="Arial" w:hAnsi="Arial" w:cs="Arial"/>
          <w:szCs w:val="24"/>
        </w:rPr>
      </w:pPr>
    </w:p>
    <w:p w14:paraId="07D3AAC2" w14:textId="77777777" w:rsidR="002E658D" w:rsidRPr="00A377AC" w:rsidRDefault="002E658D" w:rsidP="002E658D">
      <w:pPr>
        <w:rPr>
          <w:rFonts w:ascii="Arial" w:hAnsi="Arial" w:cs="Arial"/>
          <w:szCs w:val="24"/>
        </w:rPr>
      </w:pPr>
    </w:p>
    <w:p w14:paraId="5E4A89F9" w14:textId="77777777" w:rsidR="002E658D" w:rsidRPr="00A377AC" w:rsidRDefault="002E658D" w:rsidP="002E658D">
      <w:pPr>
        <w:rPr>
          <w:rFonts w:ascii="Arial" w:hAnsi="Arial" w:cs="Arial"/>
          <w:szCs w:val="24"/>
        </w:rPr>
      </w:pPr>
    </w:p>
    <w:p w14:paraId="6C9C09D1" w14:textId="77777777" w:rsidR="00C96D6F" w:rsidRDefault="002E658D" w:rsidP="002E658D">
      <w:pPr>
        <w:tabs>
          <w:tab w:val="left" w:pos="5400"/>
        </w:tabs>
        <w:rPr>
          <w:szCs w:val="24"/>
        </w:rPr>
      </w:pPr>
      <w:r w:rsidRPr="00A377AC">
        <w:rPr>
          <w:szCs w:val="24"/>
        </w:rPr>
        <w:tab/>
      </w:r>
    </w:p>
    <w:p w14:paraId="39319A80" w14:textId="77777777" w:rsidR="00C96D6F" w:rsidRDefault="00C96D6F" w:rsidP="002E658D">
      <w:pPr>
        <w:tabs>
          <w:tab w:val="left" w:pos="5400"/>
        </w:tabs>
        <w:rPr>
          <w:szCs w:val="24"/>
        </w:rPr>
      </w:pPr>
    </w:p>
    <w:p w14:paraId="3F00F8D7" w14:textId="77777777" w:rsidR="002E658D" w:rsidRPr="00A377AC" w:rsidRDefault="00C96D6F" w:rsidP="00B9117D">
      <w:pPr>
        <w:tabs>
          <w:tab w:val="left" w:pos="5040"/>
        </w:tabs>
        <w:rPr>
          <w:rFonts w:ascii="Arial" w:hAnsi="Arial" w:cs="Arial"/>
          <w:szCs w:val="24"/>
        </w:rPr>
      </w:pPr>
      <w:r>
        <w:rPr>
          <w:szCs w:val="24"/>
        </w:rPr>
        <w:tab/>
      </w:r>
      <w:r w:rsidR="00B9117D">
        <w:rPr>
          <w:rFonts w:ascii="Arial" w:hAnsi="Arial" w:cs="Arial"/>
          <w:szCs w:val="24"/>
        </w:rPr>
        <w:t>Kelly A. Monaghan</w:t>
      </w:r>
      <w:r w:rsidR="002E658D" w:rsidRPr="00A377AC">
        <w:rPr>
          <w:rFonts w:ascii="Arial" w:hAnsi="Arial" w:cs="Arial"/>
          <w:szCs w:val="24"/>
        </w:rPr>
        <w:t>, CPA</w:t>
      </w:r>
      <w:r w:rsidR="00B9117D">
        <w:rPr>
          <w:rFonts w:ascii="Arial" w:hAnsi="Arial" w:cs="Arial"/>
          <w:szCs w:val="24"/>
        </w:rPr>
        <w:t>, CGFM, CFE</w:t>
      </w:r>
    </w:p>
    <w:p w14:paraId="23572FDE" w14:textId="77777777" w:rsidR="002E658D" w:rsidRPr="00A377AC" w:rsidRDefault="002E658D" w:rsidP="00B9117D">
      <w:pPr>
        <w:tabs>
          <w:tab w:val="left" w:pos="5040"/>
        </w:tabs>
        <w:rPr>
          <w:rFonts w:ascii="Arial" w:hAnsi="Arial" w:cs="Arial"/>
          <w:szCs w:val="24"/>
        </w:rPr>
      </w:pPr>
      <w:r w:rsidRPr="00A377AC">
        <w:rPr>
          <w:rFonts w:ascii="Arial" w:hAnsi="Arial" w:cs="Arial"/>
          <w:szCs w:val="24"/>
        </w:rPr>
        <w:tab/>
        <w:t>Director</w:t>
      </w:r>
    </w:p>
    <w:p w14:paraId="62D4105E" w14:textId="77777777" w:rsidR="002E658D" w:rsidRPr="00A377AC" w:rsidRDefault="002E658D" w:rsidP="00B9117D">
      <w:pPr>
        <w:tabs>
          <w:tab w:val="left" w:pos="5040"/>
        </w:tabs>
        <w:rPr>
          <w:rFonts w:ascii="Arial" w:hAnsi="Arial" w:cs="Arial"/>
          <w:szCs w:val="24"/>
        </w:rPr>
      </w:pPr>
      <w:r w:rsidRPr="00A377AC">
        <w:rPr>
          <w:rFonts w:ascii="Arial" w:hAnsi="Arial" w:cs="Arial"/>
          <w:szCs w:val="24"/>
        </w:rPr>
        <w:tab/>
        <w:t>Bureau of Audits</w:t>
      </w:r>
    </w:p>
    <w:p w14:paraId="7C84D33E" w14:textId="77777777" w:rsidR="002E658D" w:rsidRPr="00A377AC" w:rsidRDefault="002E658D" w:rsidP="00B9117D">
      <w:pPr>
        <w:tabs>
          <w:tab w:val="left" w:pos="5040"/>
        </w:tabs>
        <w:rPr>
          <w:rFonts w:ascii="Arial" w:hAnsi="Arial" w:cs="Arial"/>
          <w:szCs w:val="24"/>
        </w:rPr>
      </w:pPr>
      <w:r w:rsidRPr="00A377AC">
        <w:rPr>
          <w:rFonts w:ascii="Arial" w:hAnsi="Arial" w:cs="Arial"/>
          <w:szCs w:val="24"/>
        </w:rPr>
        <w:tab/>
        <w:t>Harrisburg, PA</w:t>
      </w:r>
    </w:p>
    <w:p w14:paraId="0F29301D" w14:textId="30D3FE62" w:rsidR="003D0171" w:rsidRPr="00E03226" w:rsidRDefault="002E658D" w:rsidP="003D0171">
      <w:pPr>
        <w:tabs>
          <w:tab w:val="left" w:pos="5040"/>
        </w:tabs>
        <w:rPr>
          <w:rFonts w:ascii="Arial" w:hAnsi="Arial" w:cs="Arial"/>
          <w:color w:val="FF0000"/>
        </w:rPr>
      </w:pPr>
      <w:r w:rsidRPr="00A377AC">
        <w:rPr>
          <w:rFonts w:ascii="Arial" w:hAnsi="Arial" w:cs="Arial"/>
          <w:szCs w:val="24"/>
        </w:rPr>
        <w:tab/>
      </w:r>
      <w:r w:rsidR="00E242CC">
        <w:rPr>
          <w:rFonts w:ascii="Arial" w:hAnsi="Arial" w:cs="Arial"/>
          <w:szCs w:val="24"/>
        </w:rPr>
        <w:t>June 25, 2018</w:t>
      </w:r>
    </w:p>
    <w:p w14:paraId="0EA8DD59" w14:textId="62D52718" w:rsidR="00037805" w:rsidRPr="00767F3D" w:rsidRDefault="00037805" w:rsidP="00B9117D">
      <w:pPr>
        <w:tabs>
          <w:tab w:val="left" w:pos="5040"/>
        </w:tabs>
        <w:rPr>
          <w:rFonts w:ascii="Arial" w:hAnsi="Arial" w:cs="Arial"/>
          <w:szCs w:val="24"/>
        </w:rPr>
      </w:pPr>
    </w:p>
    <w:p w14:paraId="7F40617D" w14:textId="77777777" w:rsidR="00CF64E6" w:rsidRDefault="00CF64E6" w:rsidP="00F834DB">
      <w:pPr>
        <w:jc w:val="center"/>
        <w:rPr>
          <w:rFonts w:ascii="Arial" w:hAnsi="Arial" w:cs="Arial"/>
          <w:b/>
          <w:sz w:val="26"/>
          <w:szCs w:val="26"/>
        </w:rPr>
      </w:pPr>
    </w:p>
    <w:p w14:paraId="47EE0EE2" w14:textId="77777777" w:rsidR="00EA0842" w:rsidRDefault="00EA0842" w:rsidP="00EA0842">
      <w:pPr>
        <w:rPr>
          <w:rFonts w:ascii="Arial" w:hAnsi="Arial" w:cs="Arial"/>
          <w:b/>
          <w:sz w:val="26"/>
          <w:szCs w:val="26"/>
        </w:rPr>
      </w:pPr>
    </w:p>
    <w:p w14:paraId="64995607" w14:textId="77777777" w:rsidR="00EA0842" w:rsidRDefault="00EA0842" w:rsidP="00EA0842">
      <w:pPr>
        <w:rPr>
          <w:rFonts w:ascii="Arial" w:hAnsi="Arial" w:cs="Arial"/>
          <w:b/>
          <w:sz w:val="26"/>
          <w:szCs w:val="26"/>
        </w:rPr>
      </w:pPr>
    </w:p>
    <w:p w14:paraId="5ABB6EEF" w14:textId="77777777" w:rsidR="00EA0842" w:rsidRDefault="00EA0842" w:rsidP="00EA0842">
      <w:pPr>
        <w:rPr>
          <w:rFonts w:ascii="Arial" w:hAnsi="Arial" w:cs="Arial"/>
          <w:b/>
          <w:sz w:val="26"/>
          <w:szCs w:val="26"/>
        </w:rPr>
      </w:pPr>
    </w:p>
    <w:p w14:paraId="6899DB73" w14:textId="77777777" w:rsidR="00EA0842" w:rsidRDefault="00EA0842" w:rsidP="00EA0842">
      <w:pPr>
        <w:rPr>
          <w:rFonts w:ascii="Arial" w:hAnsi="Arial" w:cs="Arial"/>
          <w:b/>
          <w:sz w:val="26"/>
          <w:szCs w:val="26"/>
        </w:rPr>
      </w:pPr>
    </w:p>
    <w:p w14:paraId="09726A27" w14:textId="77777777" w:rsidR="00EA0842" w:rsidRDefault="00EA0842" w:rsidP="00EA0842">
      <w:pPr>
        <w:rPr>
          <w:rFonts w:ascii="Arial" w:hAnsi="Arial" w:cs="Arial"/>
          <w:b/>
          <w:sz w:val="26"/>
          <w:szCs w:val="26"/>
        </w:rPr>
      </w:pPr>
    </w:p>
    <w:p w14:paraId="282E608D" w14:textId="77777777" w:rsidR="00EA0842" w:rsidRDefault="00EA0842" w:rsidP="00EA0842">
      <w:pPr>
        <w:rPr>
          <w:rFonts w:ascii="Arial" w:hAnsi="Arial" w:cs="Arial"/>
          <w:b/>
          <w:sz w:val="26"/>
          <w:szCs w:val="26"/>
        </w:rPr>
      </w:pPr>
    </w:p>
    <w:p w14:paraId="41E53F61" w14:textId="77777777" w:rsidR="00EA0842" w:rsidRDefault="00EA0842" w:rsidP="00EA0842">
      <w:pPr>
        <w:tabs>
          <w:tab w:val="left" w:pos="2124"/>
        </w:tabs>
        <w:rPr>
          <w:rFonts w:ascii="Arial" w:hAnsi="Arial" w:cs="Arial"/>
          <w:b/>
          <w:sz w:val="26"/>
          <w:szCs w:val="26"/>
        </w:rPr>
        <w:sectPr w:rsidR="00EA0842" w:rsidSect="002109BE">
          <w:pgSz w:w="12240" w:h="15840" w:code="1"/>
          <w:pgMar w:top="1440" w:right="1440" w:bottom="1440" w:left="1440" w:header="720" w:footer="720" w:gutter="0"/>
          <w:pgNumType w:fmt="numberInDash" w:start="2"/>
          <w:cols w:space="720"/>
          <w:noEndnote/>
          <w:docGrid w:linePitch="326"/>
        </w:sectPr>
      </w:pPr>
      <w:r>
        <w:rPr>
          <w:rFonts w:ascii="Arial" w:hAnsi="Arial" w:cs="Arial"/>
          <w:b/>
          <w:sz w:val="26"/>
          <w:szCs w:val="26"/>
        </w:rPr>
        <w:tab/>
      </w:r>
    </w:p>
    <w:p w14:paraId="7E3AEAF2" w14:textId="7819DC14" w:rsidR="00C605CB" w:rsidRDefault="00403EC3" w:rsidP="00EA0842">
      <w:pPr>
        <w:jc w:val="center"/>
        <w:rPr>
          <w:rFonts w:ascii="Arial" w:hAnsi="Arial" w:cs="Arial"/>
          <w:b/>
          <w:sz w:val="26"/>
          <w:szCs w:val="26"/>
        </w:rPr>
      </w:pPr>
      <w:r>
        <w:rPr>
          <w:rFonts w:ascii="Arial" w:hAnsi="Arial" w:cs="Arial"/>
          <w:b/>
          <w:sz w:val="26"/>
          <w:szCs w:val="26"/>
        </w:rPr>
        <w:lastRenderedPageBreak/>
        <w:t xml:space="preserve">Condensed </w:t>
      </w:r>
      <w:r w:rsidRPr="00892401">
        <w:rPr>
          <w:rFonts w:ascii="Arial" w:hAnsi="Arial" w:cs="Arial"/>
          <w:b/>
          <w:sz w:val="26"/>
          <w:szCs w:val="26"/>
        </w:rPr>
        <w:t>Statement</w:t>
      </w:r>
      <w:r w:rsidR="00C605CB">
        <w:rPr>
          <w:rStyle w:val="FootnoteReference"/>
          <w:rFonts w:ascii="Arial" w:hAnsi="Arial" w:cs="Arial"/>
          <w:b/>
          <w:sz w:val="26"/>
          <w:szCs w:val="26"/>
        </w:rPr>
        <w:footnoteReference w:id="1"/>
      </w:r>
      <w:r w:rsidRPr="00892401">
        <w:rPr>
          <w:rFonts w:ascii="Arial" w:hAnsi="Arial" w:cs="Arial"/>
          <w:b/>
          <w:sz w:val="26"/>
          <w:szCs w:val="26"/>
        </w:rPr>
        <w:t xml:space="preserve"> </w:t>
      </w:r>
      <w:r w:rsidR="0038597B">
        <w:rPr>
          <w:rFonts w:ascii="Arial" w:hAnsi="Arial" w:cs="Arial"/>
          <w:b/>
          <w:sz w:val="26"/>
          <w:szCs w:val="26"/>
        </w:rPr>
        <w:t>o</w:t>
      </w:r>
      <w:r w:rsidRPr="00892401">
        <w:rPr>
          <w:rFonts w:ascii="Arial" w:hAnsi="Arial" w:cs="Arial"/>
          <w:b/>
          <w:sz w:val="26"/>
          <w:szCs w:val="26"/>
        </w:rPr>
        <w:t>f</w:t>
      </w:r>
    </w:p>
    <w:p w14:paraId="35543C74" w14:textId="77777777" w:rsidR="00DA4244" w:rsidRDefault="00925619" w:rsidP="00403EC3">
      <w:pPr>
        <w:jc w:val="center"/>
        <w:rPr>
          <w:rFonts w:ascii="Arial" w:hAnsi="Arial" w:cs="Arial"/>
          <w:b/>
          <w:sz w:val="26"/>
          <w:szCs w:val="26"/>
        </w:rPr>
      </w:pPr>
      <w:r>
        <w:rPr>
          <w:rFonts w:ascii="Arial" w:hAnsi="Arial" w:cs="Arial"/>
          <w:b/>
          <w:sz w:val="26"/>
          <w:szCs w:val="26"/>
        </w:rPr>
        <w:t>Transmission Service Charge</w:t>
      </w:r>
      <w:r w:rsidR="00650F45">
        <w:rPr>
          <w:rFonts w:ascii="Arial" w:hAnsi="Arial" w:cs="Arial"/>
          <w:b/>
          <w:sz w:val="26"/>
          <w:szCs w:val="26"/>
        </w:rPr>
        <w:t xml:space="preserve"> (</w:t>
      </w:r>
      <w:r>
        <w:rPr>
          <w:rFonts w:ascii="Arial" w:hAnsi="Arial" w:cs="Arial"/>
          <w:b/>
          <w:sz w:val="26"/>
          <w:szCs w:val="26"/>
        </w:rPr>
        <w:t>TSC</w:t>
      </w:r>
      <w:r w:rsidR="00650F45">
        <w:rPr>
          <w:rFonts w:ascii="Arial" w:hAnsi="Arial" w:cs="Arial"/>
          <w:b/>
          <w:sz w:val="26"/>
          <w:szCs w:val="26"/>
        </w:rPr>
        <w:t>)</w:t>
      </w:r>
      <w:r w:rsidR="00403EC3" w:rsidRPr="00892401">
        <w:rPr>
          <w:rFonts w:ascii="Arial" w:hAnsi="Arial" w:cs="Arial"/>
          <w:b/>
          <w:sz w:val="26"/>
          <w:szCs w:val="26"/>
        </w:rPr>
        <w:t xml:space="preserve"> </w:t>
      </w:r>
    </w:p>
    <w:p w14:paraId="7B9FEF66" w14:textId="77777777" w:rsidR="00DA4244" w:rsidRDefault="004D4BDA" w:rsidP="00403EC3">
      <w:pPr>
        <w:jc w:val="center"/>
        <w:rPr>
          <w:rFonts w:ascii="Arial" w:hAnsi="Arial" w:cs="Arial"/>
          <w:b/>
          <w:sz w:val="26"/>
          <w:szCs w:val="26"/>
        </w:rPr>
      </w:pPr>
      <w:r>
        <w:rPr>
          <w:rFonts w:ascii="Arial" w:hAnsi="Arial" w:cs="Arial"/>
          <w:b/>
          <w:sz w:val="26"/>
          <w:szCs w:val="26"/>
        </w:rPr>
        <w:t>Over/(Under)</w:t>
      </w:r>
      <w:r w:rsidR="00403EC3" w:rsidRPr="00892401">
        <w:rPr>
          <w:rFonts w:ascii="Arial" w:hAnsi="Arial" w:cs="Arial"/>
          <w:b/>
          <w:sz w:val="26"/>
          <w:szCs w:val="26"/>
        </w:rPr>
        <w:t xml:space="preserve"> Collections (Section 1307(e))</w:t>
      </w:r>
      <w:r w:rsidR="00892401">
        <w:rPr>
          <w:rFonts w:ascii="Arial" w:hAnsi="Arial" w:cs="Arial"/>
          <w:b/>
          <w:sz w:val="26"/>
          <w:szCs w:val="26"/>
        </w:rPr>
        <w:t xml:space="preserve"> </w:t>
      </w:r>
    </w:p>
    <w:p w14:paraId="41B02446" w14:textId="3A0A15DD" w:rsidR="00403EC3" w:rsidRDefault="0038597B" w:rsidP="00403EC3">
      <w:pPr>
        <w:jc w:val="center"/>
        <w:rPr>
          <w:rFonts w:ascii="Arial" w:hAnsi="Arial" w:cs="Arial"/>
          <w:b/>
          <w:sz w:val="26"/>
          <w:szCs w:val="26"/>
        </w:rPr>
      </w:pPr>
      <w:r>
        <w:rPr>
          <w:rFonts w:ascii="Arial" w:hAnsi="Arial" w:cs="Arial"/>
          <w:b/>
          <w:sz w:val="26"/>
          <w:szCs w:val="26"/>
        </w:rPr>
        <w:t>f</w:t>
      </w:r>
      <w:r w:rsidR="00FA2EE5">
        <w:rPr>
          <w:rFonts w:ascii="Arial" w:hAnsi="Arial" w:cs="Arial"/>
          <w:b/>
          <w:sz w:val="26"/>
          <w:szCs w:val="26"/>
        </w:rPr>
        <w:t xml:space="preserve">or </w:t>
      </w:r>
      <w:r>
        <w:rPr>
          <w:rFonts w:ascii="Arial" w:hAnsi="Arial" w:cs="Arial"/>
          <w:b/>
          <w:sz w:val="26"/>
          <w:szCs w:val="26"/>
        </w:rPr>
        <w:t>t</w:t>
      </w:r>
      <w:r w:rsidR="00FA2EE5">
        <w:rPr>
          <w:rFonts w:ascii="Arial" w:hAnsi="Arial" w:cs="Arial"/>
          <w:b/>
          <w:sz w:val="26"/>
          <w:szCs w:val="26"/>
        </w:rPr>
        <w:t xml:space="preserve">he </w:t>
      </w:r>
      <w:r w:rsidR="00867EA0">
        <w:rPr>
          <w:rFonts w:ascii="Arial" w:hAnsi="Arial" w:cs="Arial"/>
          <w:b/>
          <w:sz w:val="26"/>
          <w:szCs w:val="26"/>
        </w:rPr>
        <w:t>Twelve</w:t>
      </w:r>
      <w:r w:rsidR="00403EC3" w:rsidRPr="00892401">
        <w:rPr>
          <w:rFonts w:ascii="Arial" w:hAnsi="Arial" w:cs="Arial"/>
          <w:b/>
          <w:sz w:val="26"/>
          <w:szCs w:val="26"/>
        </w:rPr>
        <w:t xml:space="preserve"> Months </w:t>
      </w:r>
      <w:r w:rsidR="007A357C">
        <w:rPr>
          <w:rFonts w:ascii="Arial" w:hAnsi="Arial" w:cs="Arial"/>
          <w:b/>
          <w:sz w:val="26"/>
          <w:szCs w:val="26"/>
        </w:rPr>
        <w:t>e</w:t>
      </w:r>
      <w:r w:rsidR="00403EC3" w:rsidRPr="00892401">
        <w:rPr>
          <w:rFonts w:ascii="Arial" w:hAnsi="Arial" w:cs="Arial"/>
          <w:b/>
          <w:sz w:val="26"/>
          <w:szCs w:val="26"/>
        </w:rPr>
        <w:t xml:space="preserve">nded </w:t>
      </w:r>
      <w:r w:rsidR="00FA2EE5">
        <w:rPr>
          <w:rFonts w:ascii="Arial" w:hAnsi="Arial" w:cs="Arial"/>
          <w:b/>
          <w:sz w:val="26"/>
          <w:szCs w:val="26"/>
        </w:rPr>
        <w:t>March</w:t>
      </w:r>
      <w:r w:rsidR="00FE1CAB">
        <w:rPr>
          <w:rFonts w:ascii="Arial" w:hAnsi="Arial" w:cs="Arial"/>
          <w:b/>
          <w:sz w:val="26"/>
          <w:szCs w:val="26"/>
        </w:rPr>
        <w:t xml:space="preserve"> 31, 201</w:t>
      </w:r>
      <w:r w:rsidR="000E3A95">
        <w:rPr>
          <w:rFonts w:ascii="Arial" w:hAnsi="Arial" w:cs="Arial"/>
          <w:b/>
          <w:sz w:val="26"/>
          <w:szCs w:val="26"/>
        </w:rPr>
        <w:t>7</w:t>
      </w:r>
      <w:r w:rsidR="00C605CB">
        <w:rPr>
          <w:rStyle w:val="FootnoteReference"/>
          <w:rFonts w:ascii="Arial" w:hAnsi="Arial" w:cs="Arial"/>
          <w:b/>
          <w:sz w:val="26"/>
          <w:szCs w:val="26"/>
        </w:rPr>
        <w:footnoteReference w:id="2"/>
      </w:r>
    </w:p>
    <w:p w14:paraId="2FF595C1" w14:textId="77777777" w:rsidR="00E4218B" w:rsidRPr="00892401" w:rsidRDefault="00E4218B" w:rsidP="00403EC3">
      <w:pPr>
        <w:jc w:val="center"/>
        <w:rPr>
          <w:rFonts w:ascii="Arial" w:hAnsi="Arial" w:cs="Arial"/>
          <w:b/>
          <w:sz w:val="26"/>
          <w:szCs w:val="26"/>
        </w:rPr>
      </w:pPr>
    </w:p>
    <w:p w14:paraId="1D6C73F6" w14:textId="77777777" w:rsidR="00013E33" w:rsidRDefault="00013E33" w:rsidP="00403EC3">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A354DA" w:rsidRPr="004C5D7C" w14:paraId="3468D37F" w14:textId="77777777" w:rsidTr="00092321">
        <w:trPr>
          <w:trHeight w:val="729"/>
        </w:trPr>
        <w:tc>
          <w:tcPr>
            <w:tcW w:w="3078" w:type="dxa"/>
            <w:tcBorders>
              <w:bottom w:val="single" w:sz="12" w:space="0" w:color="auto"/>
            </w:tcBorders>
            <w:noWrap/>
            <w:vAlign w:val="bottom"/>
          </w:tcPr>
          <w:p w14:paraId="64A978BC" w14:textId="77777777" w:rsidR="00A354DA" w:rsidRPr="004C5D7C" w:rsidRDefault="00A354DA" w:rsidP="004C5D7C">
            <w:pPr>
              <w:ind w:right="368"/>
              <w:jc w:val="center"/>
              <w:rPr>
                <w:rFonts w:ascii="Arial" w:hAnsi="Arial" w:cs="Arial"/>
                <w:b/>
                <w:szCs w:val="24"/>
                <w:u w:val="single"/>
              </w:rPr>
            </w:pPr>
          </w:p>
          <w:p w14:paraId="5489B25E" w14:textId="77777777" w:rsidR="00A354DA" w:rsidRPr="003C2644" w:rsidRDefault="00A354DA" w:rsidP="004C5D7C">
            <w:pPr>
              <w:rPr>
                <w:rFonts w:ascii="Arial" w:hAnsi="Arial" w:cs="Arial"/>
                <w:b/>
                <w:szCs w:val="24"/>
              </w:rPr>
            </w:pPr>
            <w:r w:rsidRPr="003C2644">
              <w:rPr>
                <w:rFonts w:ascii="Arial" w:hAnsi="Arial" w:cs="Arial"/>
                <w:b/>
                <w:szCs w:val="24"/>
              </w:rPr>
              <w:t>Customer Class</w:t>
            </w:r>
          </w:p>
        </w:tc>
        <w:tc>
          <w:tcPr>
            <w:tcW w:w="270" w:type="dxa"/>
          </w:tcPr>
          <w:p w14:paraId="418C9378" w14:textId="77777777" w:rsidR="00A354DA" w:rsidRPr="004C5D7C" w:rsidRDefault="00A354DA" w:rsidP="004C5D7C">
            <w:pPr>
              <w:jc w:val="center"/>
              <w:rPr>
                <w:rFonts w:ascii="Arial" w:hAnsi="Arial" w:cs="Arial"/>
                <w:szCs w:val="24"/>
              </w:rPr>
            </w:pPr>
          </w:p>
        </w:tc>
        <w:tc>
          <w:tcPr>
            <w:tcW w:w="2070" w:type="dxa"/>
            <w:tcBorders>
              <w:bottom w:val="single" w:sz="12" w:space="0" w:color="auto"/>
            </w:tcBorders>
            <w:noWrap/>
            <w:vAlign w:val="bottom"/>
          </w:tcPr>
          <w:p w14:paraId="49023BD5" w14:textId="77777777" w:rsidR="00A354DA" w:rsidRPr="003C2644" w:rsidRDefault="00A354DA" w:rsidP="00897C90">
            <w:pPr>
              <w:jc w:val="center"/>
              <w:rPr>
                <w:rFonts w:ascii="Arial" w:hAnsi="Arial" w:cs="Arial"/>
                <w:b/>
                <w:szCs w:val="24"/>
              </w:rPr>
            </w:pPr>
            <w:r w:rsidRPr="003C2644">
              <w:rPr>
                <w:rFonts w:ascii="Arial" w:hAnsi="Arial" w:cs="Arial"/>
                <w:b/>
                <w:szCs w:val="24"/>
              </w:rPr>
              <w:t>TSC</w:t>
            </w:r>
          </w:p>
          <w:p w14:paraId="75BE4107" w14:textId="1DC3CC75" w:rsidR="00A354DA" w:rsidRPr="003C2644" w:rsidRDefault="00A354DA" w:rsidP="00897C90">
            <w:pPr>
              <w:jc w:val="center"/>
              <w:rPr>
                <w:rFonts w:ascii="Arial" w:hAnsi="Arial" w:cs="Arial"/>
                <w:b/>
                <w:szCs w:val="24"/>
              </w:rPr>
            </w:pPr>
            <w:r w:rsidRPr="003C2644">
              <w:rPr>
                <w:rFonts w:ascii="Arial" w:hAnsi="Arial" w:cs="Arial"/>
                <w:b/>
                <w:szCs w:val="24"/>
              </w:rPr>
              <w:t>Revenue</w:t>
            </w:r>
          </w:p>
        </w:tc>
        <w:tc>
          <w:tcPr>
            <w:tcW w:w="270" w:type="dxa"/>
          </w:tcPr>
          <w:p w14:paraId="1ED1A3E7" w14:textId="77777777" w:rsidR="00A354DA" w:rsidRPr="003C2644" w:rsidRDefault="00A354DA" w:rsidP="004C5D7C">
            <w:pPr>
              <w:ind w:right="2749"/>
              <w:jc w:val="center"/>
              <w:rPr>
                <w:rFonts w:ascii="Arial" w:hAnsi="Arial" w:cs="Arial"/>
                <w:szCs w:val="24"/>
              </w:rPr>
            </w:pPr>
          </w:p>
        </w:tc>
        <w:tc>
          <w:tcPr>
            <w:tcW w:w="2070" w:type="dxa"/>
            <w:tcBorders>
              <w:bottom w:val="single" w:sz="12" w:space="0" w:color="auto"/>
            </w:tcBorders>
            <w:noWrap/>
            <w:vAlign w:val="bottom"/>
          </w:tcPr>
          <w:p w14:paraId="6B89A038" w14:textId="77777777" w:rsidR="00A354DA" w:rsidRPr="003C2644" w:rsidRDefault="00A354DA" w:rsidP="00897C90">
            <w:pPr>
              <w:jc w:val="center"/>
              <w:rPr>
                <w:rFonts w:ascii="Arial" w:hAnsi="Arial" w:cs="Arial"/>
                <w:b/>
                <w:szCs w:val="24"/>
              </w:rPr>
            </w:pPr>
            <w:r w:rsidRPr="003C2644">
              <w:rPr>
                <w:rFonts w:ascii="Arial" w:hAnsi="Arial" w:cs="Arial"/>
                <w:b/>
                <w:szCs w:val="24"/>
              </w:rPr>
              <w:t>TSC</w:t>
            </w:r>
          </w:p>
          <w:p w14:paraId="19D4733E" w14:textId="77777777" w:rsidR="00A354DA" w:rsidRPr="003C2644" w:rsidRDefault="00A354DA" w:rsidP="00897C90">
            <w:pPr>
              <w:jc w:val="center"/>
              <w:rPr>
                <w:rFonts w:ascii="Arial" w:hAnsi="Arial" w:cs="Arial"/>
                <w:b/>
                <w:szCs w:val="24"/>
              </w:rPr>
            </w:pPr>
            <w:r w:rsidRPr="003C2644">
              <w:rPr>
                <w:rFonts w:ascii="Arial" w:hAnsi="Arial" w:cs="Arial"/>
                <w:b/>
                <w:szCs w:val="24"/>
              </w:rPr>
              <w:t>Expenses</w:t>
            </w:r>
          </w:p>
        </w:tc>
        <w:tc>
          <w:tcPr>
            <w:tcW w:w="270" w:type="dxa"/>
          </w:tcPr>
          <w:p w14:paraId="0655BE69" w14:textId="77777777" w:rsidR="00A354DA" w:rsidRPr="003C2644" w:rsidRDefault="00A354DA" w:rsidP="004C5D7C">
            <w:pPr>
              <w:jc w:val="center"/>
              <w:rPr>
                <w:rFonts w:ascii="Arial" w:hAnsi="Arial" w:cs="Arial"/>
                <w:szCs w:val="24"/>
              </w:rPr>
            </w:pPr>
          </w:p>
        </w:tc>
        <w:tc>
          <w:tcPr>
            <w:tcW w:w="1890" w:type="dxa"/>
            <w:tcBorders>
              <w:bottom w:val="single" w:sz="12" w:space="0" w:color="auto"/>
            </w:tcBorders>
            <w:noWrap/>
            <w:vAlign w:val="bottom"/>
          </w:tcPr>
          <w:p w14:paraId="22766E0E" w14:textId="77777777" w:rsidR="00A354DA" w:rsidRPr="003C2644" w:rsidRDefault="00A354DA" w:rsidP="001822F1">
            <w:pPr>
              <w:jc w:val="center"/>
              <w:rPr>
                <w:rFonts w:ascii="Arial" w:hAnsi="Arial" w:cs="Arial"/>
                <w:b/>
                <w:szCs w:val="24"/>
              </w:rPr>
            </w:pPr>
            <w:r w:rsidRPr="003C2644">
              <w:rPr>
                <w:rFonts w:ascii="Arial" w:hAnsi="Arial" w:cs="Arial"/>
                <w:b/>
                <w:szCs w:val="24"/>
              </w:rPr>
              <w:t>Over/(Under) Collections</w:t>
            </w:r>
          </w:p>
        </w:tc>
      </w:tr>
      <w:tr w:rsidR="004C5D7C" w:rsidRPr="004C5D7C" w14:paraId="5E297F4B" w14:textId="77777777" w:rsidTr="00092321">
        <w:trPr>
          <w:trHeight w:val="300"/>
        </w:trPr>
        <w:tc>
          <w:tcPr>
            <w:tcW w:w="3078" w:type="dxa"/>
            <w:tcBorders>
              <w:top w:val="single" w:sz="12" w:space="0" w:color="auto"/>
            </w:tcBorders>
            <w:noWrap/>
            <w:vAlign w:val="bottom"/>
          </w:tcPr>
          <w:p w14:paraId="348682C2" w14:textId="77777777" w:rsidR="004C5D7C" w:rsidRPr="004C5D7C" w:rsidRDefault="004C5D7C" w:rsidP="004C5D7C">
            <w:pPr>
              <w:ind w:right="368"/>
              <w:jc w:val="center"/>
              <w:rPr>
                <w:rFonts w:ascii="Arial" w:hAnsi="Arial" w:cs="Arial"/>
                <w:b/>
                <w:szCs w:val="24"/>
                <w:u w:val="single"/>
              </w:rPr>
            </w:pPr>
          </w:p>
        </w:tc>
        <w:tc>
          <w:tcPr>
            <w:tcW w:w="270" w:type="dxa"/>
          </w:tcPr>
          <w:p w14:paraId="27531B3A" w14:textId="77777777" w:rsidR="004C5D7C" w:rsidRPr="004C5D7C" w:rsidRDefault="004C5D7C" w:rsidP="004C5D7C">
            <w:pPr>
              <w:jc w:val="center"/>
              <w:rPr>
                <w:rFonts w:ascii="Arial" w:hAnsi="Arial" w:cs="Arial"/>
                <w:szCs w:val="24"/>
              </w:rPr>
            </w:pPr>
          </w:p>
        </w:tc>
        <w:tc>
          <w:tcPr>
            <w:tcW w:w="2070" w:type="dxa"/>
            <w:tcBorders>
              <w:top w:val="single" w:sz="12" w:space="0" w:color="auto"/>
            </w:tcBorders>
            <w:noWrap/>
            <w:vAlign w:val="bottom"/>
          </w:tcPr>
          <w:p w14:paraId="3A48563D" w14:textId="77777777" w:rsidR="004C5D7C" w:rsidRPr="00C60BCA" w:rsidRDefault="004C5D7C" w:rsidP="004C5D7C">
            <w:pPr>
              <w:jc w:val="center"/>
              <w:rPr>
                <w:rFonts w:ascii="Arial" w:hAnsi="Arial" w:cs="Arial"/>
                <w:sz w:val="20"/>
              </w:rPr>
            </w:pPr>
            <w:r w:rsidRPr="00C60BCA">
              <w:rPr>
                <w:rFonts w:ascii="Arial" w:hAnsi="Arial" w:cs="Arial"/>
                <w:sz w:val="20"/>
              </w:rPr>
              <w:t>(1)</w:t>
            </w:r>
          </w:p>
        </w:tc>
        <w:tc>
          <w:tcPr>
            <w:tcW w:w="270" w:type="dxa"/>
          </w:tcPr>
          <w:p w14:paraId="042137A8" w14:textId="77777777" w:rsidR="004C5D7C" w:rsidRPr="00C60BCA" w:rsidRDefault="004C5D7C" w:rsidP="004C5D7C">
            <w:pPr>
              <w:ind w:right="2749"/>
              <w:jc w:val="center"/>
              <w:rPr>
                <w:rFonts w:ascii="Arial" w:hAnsi="Arial" w:cs="Arial"/>
                <w:sz w:val="20"/>
              </w:rPr>
            </w:pPr>
          </w:p>
        </w:tc>
        <w:tc>
          <w:tcPr>
            <w:tcW w:w="2070" w:type="dxa"/>
            <w:tcBorders>
              <w:top w:val="single" w:sz="12" w:space="0" w:color="auto"/>
            </w:tcBorders>
            <w:noWrap/>
            <w:vAlign w:val="bottom"/>
          </w:tcPr>
          <w:p w14:paraId="0960E52D" w14:textId="77777777" w:rsidR="004C5D7C" w:rsidRPr="00C60BCA" w:rsidRDefault="004C5D7C" w:rsidP="004C5D7C">
            <w:pPr>
              <w:jc w:val="center"/>
              <w:rPr>
                <w:rFonts w:ascii="Arial" w:hAnsi="Arial" w:cs="Arial"/>
                <w:sz w:val="20"/>
              </w:rPr>
            </w:pPr>
            <w:r w:rsidRPr="00C60BCA">
              <w:rPr>
                <w:rFonts w:ascii="Arial" w:hAnsi="Arial" w:cs="Arial"/>
                <w:sz w:val="20"/>
              </w:rPr>
              <w:t>(2)</w:t>
            </w:r>
          </w:p>
        </w:tc>
        <w:tc>
          <w:tcPr>
            <w:tcW w:w="270" w:type="dxa"/>
          </w:tcPr>
          <w:p w14:paraId="6544AB37" w14:textId="77777777" w:rsidR="004C5D7C" w:rsidRPr="00C60BCA" w:rsidRDefault="004C5D7C" w:rsidP="004C5D7C">
            <w:pPr>
              <w:jc w:val="center"/>
              <w:rPr>
                <w:rFonts w:ascii="Arial" w:hAnsi="Arial" w:cs="Arial"/>
                <w:sz w:val="20"/>
              </w:rPr>
            </w:pPr>
          </w:p>
        </w:tc>
        <w:tc>
          <w:tcPr>
            <w:tcW w:w="1890" w:type="dxa"/>
            <w:tcBorders>
              <w:top w:val="single" w:sz="12" w:space="0" w:color="auto"/>
            </w:tcBorders>
            <w:noWrap/>
            <w:vAlign w:val="bottom"/>
          </w:tcPr>
          <w:p w14:paraId="16693BD8" w14:textId="77777777" w:rsidR="004C5D7C" w:rsidRPr="00C60BCA" w:rsidRDefault="004C5D7C" w:rsidP="004C5D7C">
            <w:pPr>
              <w:jc w:val="center"/>
              <w:rPr>
                <w:rFonts w:ascii="Arial" w:hAnsi="Arial" w:cs="Arial"/>
                <w:sz w:val="20"/>
              </w:rPr>
            </w:pPr>
            <w:r w:rsidRPr="00C60BCA">
              <w:rPr>
                <w:rFonts w:ascii="Arial" w:hAnsi="Arial" w:cs="Arial"/>
                <w:sz w:val="20"/>
              </w:rPr>
              <w:t>(3)</w:t>
            </w:r>
            <w:r w:rsidR="00E86271" w:rsidRPr="00C60BCA">
              <w:rPr>
                <w:rFonts w:ascii="Arial" w:hAnsi="Arial" w:cs="Arial"/>
                <w:sz w:val="20"/>
              </w:rPr>
              <w:t xml:space="preserve"> </w:t>
            </w:r>
            <w:r w:rsidRPr="00C60BCA">
              <w:rPr>
                <w:rFonts w:ascii="Arial" w:hAnsi="Arial" w:cs="Arial"/>
                <w:sz w:val="20"/>
              </w:rPr>
              <w:t>=</w:t>
            </w:r>
            <w:r w:rsidR="00E86271" w:rsidRPr="00C60BCA">
              <w:rPr>
                <w:rFonts w:ascii="Arial" w:hAnsi="Arial" w:cs="Arial"/>
                <w:sz w:val="20"/>
              </w:rPr>
              <w:t xml:space="preserve"> </w:t>
            </w:r>
            <w:r w:rsidRPr="00C60BCA">
              <w:rPr>
                <w:rFonts w:ascii="Arial" w:hAnsi="Arial" w:cs="Arial"/>
                <w:sz w:val="20"/>
              </w:rPr>
              <w:t>(1)</w:t>
            </w:r>
            <w:r w:rsidR="00E86271" w:rsidRPr="00C60BCA">
              <w:rPr>
                <w:rFonts w:ascii="Arial" w:hAnsi="Arial" w:cs="Arial"/>
                <w:sz w:val="20"/>
              </w:rPr>
              <w:t xml:space="preserve"> </w:t>
            </w:r>
            <w:r w:rsidRPr="00C60BCA">
              <w:rPr>
                <w:rFonts w:ascii="Arial" w:hAnsi="Arial" w:cs="Arial"/>
                <w:sz w:val="20"/>
              </w:rPr>
              <w:t>-</w:t>
            </w:r>
            <w:r w:rsidR="00E86271" w:rsidRPr="00C60BCA">
              <w:rPr>
                <w:rFonts w:ascii="Arial" w:hAnsi="Arial" w:cs="Arial"/>
                <w:sz w:val="20"/>
              </w:rPr>
              <w:t xml:space="preserve"> </w:t>
            </w:r>
            <w:r w:rsidRPr="00C60BCA">
              <w:rPr>
                <w:rFonts w:ascii="Arial" w:hAnsi="Arial" w:cs="Arial"/>
                <w:sz w:val="20"/>
              </w:rPr>
              <w:t>(2)</w:t>
            </w:r>
          </w:p>
        </w:tc>
      </w:tr>
      <w:tr w:rsidR="00290ACE" w:rsidRPr="004C5D7C" w14:paraId="4200C038" w14:textId="77777777" w:rsidTr="00E4218B">
        <w:trPr>
          <w:trHeight w:val="369"/>
        </w:trPr>
        <w:tc>
          <w:tcPr>
            <w:tcW w:w="3078" w:type="dxa"/>
            <w:noWrap/>
          </w:tcPr>
          <w:p w14:paraId="0A7D1EB7" w14:textId="77777777" w:rsidR="00E4218B" w:rsidRDefault="00E4218B" w:rsidP="00290ACE">
            <w:pPr>
              <w:rPr>
                <w:rFonts w:ascii="Arial" w:hAnsi="Arial" w:cs="Arial"/>
                <w:szCs w:val="24"/>
              </w:rPr>
            </w:pPr>
          </w:p>
          <w:p w14:paraId="6C3170B1" w14:textId="3C97113D" w:rsidR="00290ACE" w:rsidRPr="004C5D7C" w:rsidRDefault="00290ACE" w:rsidP="00290ACE">
            <w:pPr>
              <w:rPr>
                <w:rFonts w:ascii="Arial" w:hAnsi="Arial" w:cs="Arial"/>
                <w:szCs w:val="24"/>
              </w:rPr>
            </w:pPr>
            <w:r w:rsidRPr="004C5D7C">
              <w:rPr>
                <w:rFonts w:ascii="Arial" w:hAnsi="Arial" w:cs="Arial"/>
                <w:szCs w:val="24"/>
              </w:rPr>
              <w:t>Residential</w:t>
            </w:r>
          </w:p>
        </w:tc>
        <w:tc>
          <w:tcPr>
            <w:tcW w:w="270" w:type="dxa"/>
          </w:tcPr>
          <w:p w14:paraId="3FBD3574" w14:textId="77777777" w:rsidR="00290ACE" w:rsidRPr="004C5D7C" w:rsidRDefault="00290ACE" w:rsidP="00290ACE">
            <w:pPr>
              <w:tabs>
                <w:tab w:val="decimal" w:pos="1524"/>
              </w:tabs>
              <w:rPr>
                <w:rFonts w:ascii="Arial" w:hAnsi="Arial" w:cs="Arial"/>
                <w:szCs w:val="24"/>
              </w:rPr>
            </w:pPr>
          </w:p>
        </w:tc>
        <w:tc>
          <w:tcPr>
            <w:tcW w:w="2070" w:type="dxa"/>
            <w:noWrap/>
          </w:tcPr>
          <w:p w14:paraId="58B8866B" w14:textId="77777777" w:rsidR="00290ACE" w:rsidRPr="004C5D7C" w:rsidRDefault="00290ACE" w:rsidP="00290ACE">
            <w:pPr>
              <w:tabs>
                <w:tab w:val="decimal" w:pos="1524"/>
              </w:tabs>
              <w:jc w:val="right"/>
              <w:rPr>
                <w:rFonts w:ascii="Arial" w:hAnsi="Arial" w:cs="Arial"/>
                <w:szCs w:val="24"/>
              </w:rPr>
            </w:pPr>
          </w:p>
          <w:p w14:paraId="3A09AA90" w14:textId="77777777" w:rsidR="00290ACE" w:rsidRPr="004C5D7C" w:rsidRDefault="00290ACE" w:rsidP="00290ACE">
            <w:pPr>
              <w:tabs>
                <w:tab w:val="decimal" w:pos="1524"/>
              </w:tabs>
              <w:jc w:val="right"/>
              <w:rPr>
                <w:rFonts w:ascii="Arial" w:hAnsi="Arial" w:cs="Arial"/>
                <w:szCs w:val="24"/>
              </w:rPr>
            </w:pPr>
            <w:r w:rsidRPr="004C5D7C">
              <w:rPr>
                <w:rFonts w:ascii="Arial" w:hAnsi="Arial" w:cs="Arial"/>
                <w:szCs w:val="24"/>
              </w:rPr>
              <w:t xml:space="preserve">  $</w:t>
            </w:r>
            <w:r w:rsidR="002A3012">
              <w:rPr>
                <w:rFonts w:ascii="Arial" w:hAnsi="Arial" w:cs="Arial"/>
                <w:szCs w:val="24"/>
              </w:rPr>
              <w:t xml:space="preserve"> </w:t>
            </w:r>
            <w:r w:rsidRPr="004C5D7C">
              <w:rPr>
                <w:rFonts w:ascii="Arial" w:hAnsi="Arial" w:cs="Arial"/>
                <w:szCs w:val="24"/>
              </w:rPr>
              <w:t xml:space="preserve">  </w:t>
            </w:r>
            <w:r w:rsidR="007D5BCE">
              <w:rPr>
                <w:rFonts w:ascii="Arial" w:hAnsi="Arial" w:cs="Arial"/>
                <w:szCs w:val="24"/>
              </w:rPr>
              <w:t>90,127,767</w:t>
            </w:r>
          </w:p>
        </w:tc>
        <w:tc>
          <w:tcPr>
            <w:tcW w:w="270" w:type="dxa"/>
          </w:tcPr>
          <w:p w14:paraId="1FE11B2D" w14:textId="77777777" w:rsidR="00290ACE" w:rsidRPr="004C5D7C" w:rsidRDefault="00290ACE" w:rsidP="00290ACE">
            <w:pPr>
              <w:jc w:val="right"/>
              <w:rPr>
                <w:rFonts w:ascii="Arial" w:eastAsia="Calibri" w:hAnsi="Arial" w:cs="Arial"/>
                <w:szCs w:val="24"/>
              </w:rPr>
            </w:pPr>
          </w:p>
        </w:tc>
        <w:tc>
          <w:tcPr>
            <w:tcW w:w="2070" w:type="dxa"/>
            <w:noWrap/>
            <w:vAlign w:val="bottom"/>
          </w:tcPr>
          <w:p w14:paraId="19DC3E0E" w14:textId="77777777" w:rsidR="00290ACE" w:rsidRPr="00216442" w:rsidRDefault="00290ACE" w:rsidP="009316C9">
            <w:pPr>
              <w:tabs>
                <w:tab w:val="decimal" w:pos="1605"/>
              </w:tabs>
              <w:jc w:val="right"/>
              <w:rPr>
                <w:rFonts w:ascii="Arial" w:hAnsi="Arial" w:cs="Arial"/>
                <w:szCs w:val="24"/>
              </w:rPr>
            </w:pPr>
            <w:r w:rsidRPr="00216442">
              <w:rPr>
                <w:rFonts w:ascii="Arial" w:hAnsi="Arial" w:cs="Arial"/>
                <w:szCs w:val="24"/>
              </w:rPr>
              <w:t xml:space="preserve">$  </w:t>
            </w:r>
            <w:r w:rsidR="002A3012">
              <w:rPr>
                <w:rFonts w:ascii="Arial" w:hAnsi="Arial" w:cs="Arial"/>
                <w:szCs w:val="24"/>
              </w:rPr>
              <w:t xml:space="preserve"> </w:t>
            </w:r>
            <w:r w:rsidR="00B733DF">
              <w:rPr>
                <w:rFonts w:ascii="Arial" w:hAnsi="Arial" w:cs="Arial"/>
                <w:szCs w:val="24"/>
              </w:rPr>
              <w:t>87,888,389</w:t>
            </w:r>
          </w:p>
        </w:tc>
        <w:tc>
          <w:tcPr>
            <w:tcW w:w="270" w:type="dxa"/>
          </w:tcPr>
          <w:p w14:paraId="3145551C" w14:textId="77777777" w:rsidR="00290ACE" w:rsidRPr="004C5D7C" w:rsidRDefault="00290ACE" w:rsidP="00290ACE">
            <w:pPr>
              <w:jc w:val="right"/>
              <w:rPr>
                <w:rFonts w:ascii="Arial" w:eastAsia="Calibri" w:hAnsi="Arial" w:cs="Arial"/>
                <w:szCs w:val="24"/>
              </w:rPr>
            </w:pPr>
          </w:p>
        </w:tc>
        <w:tc>
          <w:tcPr>
            <w:tcW w:w="1890" w:type="dxa"/>
            <w:noWrap/>
            <w:vAlign w:val="bottom"/>
          </w:tcPr>
          <w:p w14:paraId="4BDEEB96" w14:textId="77777777" w:rsidR="00290ACE" w:rsidRPr="00216442" w:rsidRDefault="00290ACE" w:rsidP="00290ACE">
            <w:pPr>
              <w:tabs>
                <w:tab w:val="decimal" w:pos="1605"/>
              </w:tabs>
              <w:jc w:val="both"/>
              <w:rPr>
                <w:rFonts w:ascii="Arial" w:hAnsi="Arial" w:cs="Arial"/>
                <w:szCs w:val="24"/>
              </w:rPr>
            </w:pPr>
            <w:r w:rsidRPr="00216442">
              <w:rPr>
                <w:rFonts w:ascii="Arial" w:hAnsi="Arial" w:cs="Arial"/>
                <w:szCs w:val="24"/>
              </w:rPr>
              <w:t xml:space="preserve">$ </w:t>
            </w:r>
            <w:r w:rsidR="00B733DF">
              <w:rPr>
                <w:rFonts w:ascii="Arial" w:hAnsi="Arial" w:cs="Arial"/>
                <w:szCs w:val="24"/>
              </w:rPr>
              <w:t>2,239,378</w:t>
            </w:r>
          </w:p>
        </w:tc>
      </w:tr>
      <w:tr w:rsidR="00290ACE" w:rsidRPr="004C5D7C" w14:paraId="09C2AA1D" w14:textId="77777777" w:rsidTr="00897C90">
        <w:trPr>
          <w:trHeight w:val="81"/>
        </w:trPr>
        <w:tc>
          <w:tcPr>
            <w:tcW w:w="3078" w:type="dxa"/>
            <w:noWrap/>
          </w:tcPr>
          <w:p w14:paraId="31DAFF4F" w14:textId="77777777" w:rsidR="00290ACE" w:rsidRPr="004C5D7C" w:rsidRDefault="00290ACE" w:rsidP="00290ACE">
            <w:pPr>
              <w:jc w:val="center"/>
              <w:rPr>
                <w:rFonts w:ascii="Arial" w:hAnsi="Arial" w:cs="Arial"/>
                <w:szCs w:val="24"/>
                <w:u w:val="single"/>
              </w:rPr>
            </w:pPr>
          </w:p>
        </w:tc>
        <w:tc>
          <w:tcPr>
            <w:tcW w:w="270" w:type="dxa"/>
          </w:tcPr>
          <w:p w14:paraId="398140CF" w14:textId="77777777" w:rsidR="00290ACE" w:rsidRPr="004C5D7C" w:rsidRDefault="00290ACE" w:rsidP="00290ACE">
            <w:pPr>
              <w:tabs>
                <w:tab w:val="decimal" w:pos="1524"/>
              </w:tabs>
              <w:rPr>
                <w:rFonts w:ascii="Arial" w:hAnsi="Arial" w:cs="Arial"/>
                <w:szCs w:val="24"/>
              </w:rPr>
            </w:pPr>
          </w:p>
        </w:tc>
        <w:tc>
          <w:tcPr>
            <w:tcW w:w="2070" w:type="dxa"/>
            <w:noWrap/>
          </w:tcPr>
          <w:p w14:paraId="2EA00723" w14:textId="77777777" w:rsidR="00290ACE" w:rsidRPr="004C5D7C" w:rsidRDefault="00290ACE" w:rsidP="00290ACE">
            <w:pPr>
              <w:tabs>
                <w:tab w:val="decimal" w:pos="1524"/>
              </w:tabs>
              <w:jc w:val="right"/>
              <w:rPr>
                <w:rFonts w:ascii="Arial" w:hAnsi="Arial" w:cs="Arial"/>
                <w:szCs w:val="24"/>
              </w:rPr>
            </w:pPr>
          </w:p>
        </w:tc>
        <w:tc>
          <w:tcPr>
            <w:tcW w:w="270" w:type="dxa"/>
          </w:tcPr>
          <w:p w14:paraId="4C3E9D8F" w14:textId="77777777" w:rsidR="00290ACE" w:rsidRPr="004C5D7C" w:rsidRDefault="00290ACE" w:rsidP="00290ACE">
            <w:pPr>
              <w:jc w:val="right"/>
              <w:rPr>
                <w:rFonts w:ascii="Arial" w:eastAsia="Calibri" w:hAnsi="Arial" w:cs="Arial"/>
                <w:szCs w:val="24"/>
              </w:rPr>
            </w:pPr>
          </w:p>
        </w:tc>
        <w:tc>
          <w:tcPr>
            <w:tcW w:w="2070" w:type="dxa"/>
            <w:noWrap/>
            <w:vAlign w:val="bottom"/>
          </w:tcPr>
          <w:p w14:paraId="192F5A9B" w14:textId="77777777" w:rsidR="00290ACE" w:rsidRPr="00216442" w:rsidRDefault="00290ACE" w:rsidP="00290ACE">
            <w:pPr>
              <w:tabs>
                <w:tab w:val="decimal" w:pos="1605"/>
              </w:tabs>
              <w:rPr>
                <w:rFonts w:ascii="Arial" w:hAnsi="Arial" w:cs="Arial"/>
                <w:szCs w:val="24"/>
              </w:rPr>
            </w:pPr>
          </w:p>
        </w:tc>
        <w:tc>
          <w:tcPr>
            <w:tcW w:w="270" w:type="dxa"/>
          </w:tcPr>
          <w:p w14:paraId="48B3B61D" w14:textId="77777777" w:rsidR="00290ACE" w:rsidRPr="004C5D7C" w:rsidRDefault="00290ACE" w:rsidP="00290ACE">
            <w:pPr>
              <w:jc w:val="right"/>
              <w:rPr>
                <w:rFonts w:ascii="Arial" w:eastAsia="Calibri" w:hAnsi="Arial" w:cs="Arial"/>
                <w:szCs w:val="24"/>
              </w:rPr>
            </w:pPr>
          </w:p>
        </w:tc>
        <w:tc>
          <w:tcPr>
            <w:tcW w:w="1890" w:type="dxa"/>
            <w:noWrap/>
            <w:vAlign w:val="bottom"/>
          </w:tcPr>
          <w:p w14:paraId="315E4D27" w14:textId="77777777" w:rsidR="00290ACE" w:rsidRPr="00216442" w:rsidRDefault="00290ACE" w:rsidP="00290ACE">
            <w:pPr>
              <w:tabs>
                <w:tab w:val="decimal" w:pos="1605"/>
              </w:tabs>
              <w:rPr>
                <w:rFonts w:ascii="Arial" w:hAnsi="Arial" w:cs="Arial"/>
                <w:szCs w:val="24"/>
              </w:rPr>
            </w:pPr>
          </w:p>
        </w:tc>
      </w:tr>
      <w:tr w:rsidR="00290ACE" w:rsidRPr="004C5D7C" w14:paraId="62658B62" w14:textId="77777777" w:rsidTr="009316C9">
        <w:trPr>
          <w:trHeight w:val="255"/>
        </w:trPr>
        <w:tc>
          <w:tcPr>
            <w:tcW w:w="3078" w:type="dxa"/>
            <w:noWrap/>
          </w:tcPr>
          <w:p w14:paraId="0C04BEF4" w14:textId="77777777" w:rsidR="00290ACE" w:rsidRPr="004C5D7C" w:rsidRDefault="00290ACE" w:rsidP="00290ACE">
            <w:pPr>
              <w:rPr>
                <w:rFonts w:ascii="Arial" w:hAnsi="Arial" w:cs="Arial"/>
                <w:szCs w:val="24"/>
              </w:rPr>
            </w:pPr>
            <w:r w:rsidRPr="004C5D7C">
              <w:rPr>
                <w:rFonts w:ascii="Arial" w:hAnsi="Arial" w:cs="Arial"/>
                <w:szCs w:val="24"/>
              </w:rPr>
              <w:t xml:space="preserve">Small C&amp;I </w:t>
            </w:r>
          </w:p>
        </w:tc>
        <w:tc>
          <w:tcPr>
            <w:tcW w:w="270" w:type="dxa"/>
          </w:tcPr>
          <w:p w14:paraId="2D1E54C2" w14:textId="77777777" w:rsidR="00290ACE" w:rsidRPr="004C5D7C" w:rsidRDefault="00290ACE" w:rsidP="00290ACE">
            <w:pPr>
              <w:tabs>
                <w:tab w:val="decimal" w:pos="1524"/>
              </w:tabs>
              <w:rPr>
                <w:rFonts w:ascii="Arial" w:hAnsi="Arial" w:cs="Arial"/>
                <w:szCs w:val="24"/>
              </w:rPr>
            </w:pPr>
          </w:p>
        </w:tc>
        <w:tc>
          <w:tcPr>
            <w:tcW w:w="2070" w:type="dxa"/>
            <w:noWrap/>
          </w:tcPr>
          <w:p w14:paraId="7FA66034" w14:textId="77777777" w:rsidR="00290ACE" w:rsidRPr="004C5D7C" w:rsidRDefault="00290ACE" w:rsidP="00290ACE">
            <w:pPr>
              <w:jc w:val="right"/>
              <w:rPr>
                <w:rFonts w:ascii="Arial" w:hAnsi="Arial" w:cs="Arial"/>
                <w:szCs w:val="24"/>
              </w:rPr>
            </w:pPr>
            <w:r w:rsidRPr="004C5D7C">
              <w:rPr>
                <w:rFonts w:ascii="Arial" w:hAnsi="Arial" w:cs="Arial"/>
                <w:szCs w:val="24"/>
              </w:rPr>
              <w:t xml:space="preserve">      </w:t>
            </w:r>
            <w:r w:rsidR="00BD17B8">
              <w:rPr>
                <w:rFonts w:ascii="Arial" w:hAnsi="Arial" w:cs="Arial"/>
                <w:szCs w:val="24"/>
              </w:rPr>
              <w:t>13,713,394</w:t>
            </w:r>
          </w:p>
        </w:tc>
        <w:tc>
          <w:tcPr>
            <w:tcW w:w="270" w:type="dxa"/>
          </w:tcPr>
          <w:p w14:paraId="2CC5A0E7" w14:textId="77777777" w:rsidR="00290ACE" w:rsidRPr="004C5D7C" w:rsidRDefault="00290ACE" w:rsidP="00290ACE">
            <w:pPr>
              <w:jc w:val="right"/>
              <w:rPr>
                <w:rFonts w:ascii="Arial" w:eastAsia="Calibri" w:hAnsi="Arial" w:cs="Arial"/>
                <w:szCs w:val="24"/>
              </w:rPr>
            </w:pPr>
          </w:p>
        </w:tc>
        <w:tc>
          <w:tcPr>
            <w:tcW w:w="2070" w:type="dxa"/>
            <w:noWrap/>
            <w:vAlign w:val="bottom"/>
          </w:tcPr>
          <w:p w14:paraId="34BA9B0E" w14:textId="77777777" w:rsidR="00290ACE" w:rsidRPr="00216442" w:rsidRDefault="00B733DF" w:rsidP="009316C9">
            <w:pPr>
              <w:tabs>
                <w:tab w:val="decimal" w:pos="1605"/>
              </w:tabs>
              <w:jc w:val="right"/>
              <w:rPr>
                <w:rFonts w:ascii="Arial" w:hAnsi="Arial" w:cs="Arial"/>
                <w:szCs w:val="24"/>
              </w:rPr>
            </w:pPr>
            <w:r>
              <w:rPr>
                <w:rFonts w:ascii="Arial" w:hAnsi="Arial" w:cs="Arial"/>
                <w:szCs w:val="24"/>
              </w:rPr>
              <w:t>14,872,335</w:t>
            </w:r>
          </w:p>
        </w:tc>
        <w:tc>
          <w:tcPr>
            <w:tcW w:w="270" w:type="dxa"/>
          </w:tcPr>
          <w:p w14:paraId="75DB3975" w14:textId="77777777" w:rsidR="00290ACE" w:rsidRPr="004C5D7C" w:rsidRDefault="00290ACE" w:rsidP="00290ACE">
            <w:pPr>
              <w:jc w:val="right"/>
              <w:rPr>
                <w:rFonts w:ascii="Arial" w:eastAsia="Calibri" w:hAnsi="Arial" w:cs="Arial"/>
                <w:szCs w:val="24"/>
              </w:rPr>
            </w:pPr>
          </w:p>
        </w:tc>
        <w:tc>
          <w:tcPr>
            <w:tcW w:w="1890" w:type="dxa"/>
            <w:noWrap/>
            <w:vAlign w:val="bottom"/>
          </w:tcPr>
          <w:p w14:paraId="76382161" w14:textId="77777777" w:rsidR="00290ACE" w:rsidRPr="00216442" w:rsidRDefault="00B733DF" w:rsidP="00006830">
            <w:pPr>
              <w:tabs>
                <w:tab w:val="decimal" w:pos="1605"/>
              </w:tabs>
              <w:rPr>
                <w:rFonts w:ascii="Arial" w:hAnsi="Arial" w:cs="Arial"/>
                <w:szCs w:val="24"/>
              </w:rPr>
            </w:pPr>
            <w:r>
              <w:rPr>
                <w:rFonts w:ascii="Arial" w:hAnsi="Arial" w:cs="Arial"/>
                <w:szCs w:val="24"/>
              </w:rPr>
              <w:t>(1,158,941)</w:t>
            </w:r>
          </w:p>
        </w:tc>
      </w:tr>
      <w:tr w:rsidR="00290ACE" w:rsidRPr="004C5D7C" w14:paraId="028CBCA5" w14:textId="77777777" w:rsidTr="00897C90">
        <w:trPr>
          <w:trHeight w:val="103"/>
        </w:trPr>
        <w:tc>
          <w:tcPr>
            <w:tcW w:w="3078" w:type="dxa"/>
            <w:noWrap/>
          </w:tcPr>
          <w:p w14:paraId="6CA12642" w14:textId="77777777" w:rsidR="00290ACE" w:rsidRPr="004C5D7C" w:rsidRDefault="00290ACE" w:rsidP="00290ACE">
            <w:pPr>
              <w:rPr>
                <w:rFonts w:ascii="Arial" w:hAnsi="Arial" w:cs="Arial"/>
                <w:szCs w:val="24"/>
              </w:rPr>
            </w:pPr>
          </w:p>
        </w:tc>
        <w:tc>
          <w:tcPr>
            <w:tcW w:w="270" w:type="dxa"/>
          </w:tcPr>
          <w:p w14:paraId="7D45B53F" w14:textId="77777777" w:rsidR="00290ACE" w:rsidRPr="004C5D7C" w:rsidRDefault="00290ACE" w:rsidP="00290ACE">
            <w:pPr>
              <w:tabs>
                <w:tab w:val="decimal" w:pos="1524"/>
              </w:tabs>
              <w:rPr>
                <w:rFonts w:ascii="Arial" w:hAnsi="Arial" w:cs="Arial"/>
                <w:szCs w:val="24"/>
              </w:rPr>
            </w:pPr>
          </w:p>
        </w:tc>
        <w:tc>
          <w:tcPr>
            <w:tcW w:w="2070" w:type="dxa"/>
            <w:noWrap/>
          </w:tcPr>
          <w:p w14:paraId="76473B14" w14:textId="77777777" w:rsidR="00290ACE" w:rsidRPr="004C5D7C" w:rsidRDefault="00290ACE" w:rsidP="00290ACE">
            <w:pPr>
              <w:tabs>
                <w:tab w:val="decimal" w:pos="1524"/>
              </w:tabs>
              <w:jc w:val="right"/>
              <w:rPr>
                <w:rFonts w:ascii="Arial" w:hAnsi="Arial" w:cs="Arial"/>
                <w:szCs w:val="24"/>
              </w:rPr>
            </w:pPr>
          </w:p>
        </w:tc>
        <w:tc>
          <w:tcPr>
            <w:tcW w:w="270" w:type="dxa"/>
          </w:tcPr>
          <w:p w14:paraId="25B25E96" w14:textId="77777777" w:rsidR="00290ACE" w:rsidRPr="004C5D7C" w:rsidRDefault="00290ACE" w:rsidP="00290ACE">
            <w:pPr>
              <w:jc w:val="right"/>
              <w:rPr>
                <w:rFonts w:ascii="Arial" w:eastAsia="Calibri" w:hAnsi="Arial" w:cs="Arial"/>
                <w:szCs w:val="24"/>
              </w:rPr>
            </w:pPr>
          </w:p>
        </w:tc>
        <w:tc>
          <w:tcPr>
            <w:tcW w:w="2070" w:type="dxa"/>
            <w:noWrap/>
            <w:vAlign w:val="bottom"/>
          </w:tcPr>
          <w:p w14:paraId="46E35EC2" w14:textId="77777777" w:rsidR="00290ACE" w:rsidRPr="00216442" w:rsidRDefault="00290ACE" w:rsidP="00290ACE">
            <w:pPr>
              <w:tabs>
                <w:tab w:val="decimal" w:pos="1605"/>
              </w:tabs>
              <w:rPr>
                <w:rFonts w:ascii="Arial" w:hAnsi="Arial" w:cs="Arial"/>
                <w:szCs w:val="24"/>
              </w:rPr>
            </w:pPr>
          </w:p>
        </w:tc>
        <w:tc>
          <w:tcPr>
            <w:tcW w:w="270" w:type="dxa"/>
          </w:tcPr>
          <w:p w14:paraId="1BB71025" w14:textId="77777777" w:rsidR="00290ACE" w:rsidRPr="004C5D7C" w:rsidRDefault="00290ACE" w:rsidP="00290ACE">
            <w:pPr>
              <w:jc w:val="right"/>
              <w:rPr>
                <w:rFonts w:ascii="Arial" w:eastAsia="Calibri" w:hAnsi="Arial" w:cs="Arial"/>
                <w:szCs w:val="24"/>
              </w:rPr>
            </w:pPr>
          </w:p>
        </w:tc>
        <w:tc>
          <w:tcPr>
            <w:tcW w:w="1890" w:type="dxa"/>
            <w:noWrap/>
            <w:vAlign w:val="bottom"/>
          </w:tcPr>
          <w:p w14:paraId="58F322D9" w14:textId="77777777" w:rsidR="00290ACE" w:rsidRPr="00216442" w:rsidRDefault="00290ACE" w:rsidP="00290ACE">
            <w:pPr>
              <w:tabs>
                <w:tab w:val="decimal" w:pos="1605"/>
              </w:tabs>
              <w:rPr>
                <w:rFonts w:ascii="Arial" w:hAnsi="Arial" w:cs="Arial"/>
                <w:szCs w:val="24"/>
              </w:rPr>
            </w:pPr>
          </w:p>
        </w:tc>
      </w:tr>
      <w:tr w:rsidR="00290ACE" w:rsidRPr="004C5D7C" w14:paraId="7271DACE" w14:textId="77777777" w:rsidTr="009316C9">
        <w:trPr>
          <w:trHeight w:val="255"/>
        </w:trPr>
        <w:tc>
          <w:tcPr>
            <w:tcW w:w="3078" w:type="dxa"/>
            <w:noWrap/>
          </w:tcPr>
          <w:p w14:paraId="6C2DC94D" w14:textId="77777777" w:rsidR="00290ACE" w:rsidRPr="004C5D7C" w:rsidRDefault="00290ACE" w:rsidP="00290ACE">
            <w:pPr>
              <w:rPr>
                <w:rFonts w:ascii="Arial" w:hAnsi="Arial" w:cs="Arial"/>
                <w:szCs w:val="24"/>
              </w:rPr>
            </w:pPr>
            <w:r>
              <w:rPr>
                <w:rFonts w:ascii="Arial" w:hAnsi="Arial" w:cs="Arial"/>
                <w:szCs w:val="24"/>
              </w:rPr>
              <w:t>Large</w:t>
            </w:r>
            <w:r w:rsidRPr="004C5D7C">
              <w:rPr>
                <w:rFonts w:ascii="Arial" w:hAnsi="Arial" w:cs="Arial"/>
                <w:szCs w:val="24"/>
              </w:rPr>
              <w:t xml:space="preserve"> C&amp;I – </w:t>
            </w:r>
            <w:r>
              <w:rPr>
                <w:rFonts w:ascii="Arial" w:hAnsi="Arial" w:cs="Arial"/>
                <w:szCs w:val="24"/>
              </w:rPr>
              <w:t>Primary</w:t>
            </w:r>
          </w:p>
        </w:tc>
        <w:tc>
          <w:tcPr>
            <w:tcW w:w="270" w:type="dxa"/>
          </w:tcPr>
          <w:p w14:paraId="33907421" w14:textId="77777777" w:rsidR="00290ACE" w:rsidRPr="004C5D7C" w:rsidRDefault="00290ACE" w:rsidP="00290ACE">
            <w:pPr>
              <w:tabs>
                <w:tab w:val="decimal" w:pos="1524"/>
              </w:tabs>
              <w:rPr>
                <w:rFonts w:ascii="Arial" w:hAnsi="Arial" w:cs="Arial"/>
                <w:szCs w:val="24"/>
              </w:rPr>
            </w:pPr>
          </w:p>
        </w:tc>
        <w:tc>
          <w:tcPr>
            <w:tcW w:w="2070" w:type="dxa"/>
            <w:noWrap/>
            <w:vAlign w:val="bottom"/>
          </w:tcPr>
          <w:p w14:paraId="47C3E8C9" w14:textId="77777777" w:rsidR="00290ACE" w:rsidRPr="004C5D7C" w:rsidRDefault="00BD17B8" w:rsidP="00290ACE">
            <w:pPr>
              <w:jc w:val="right"/>
              <w:rPr>
                <w:rFonts w:ascii="Arial" w:hAnsi="Arial" w:cs="Arial"/>
                <w:szCs w:val="24"/>
              </w:rPr>
            </w:pPr>
            <w:r>
              <w:rPr>
                <w:rFonts w:ascii="Arial" w:hAnsi="Arial" w:cs="Arial"/>
                <w:szCs w:val="24"/>
              </w:rPr>
              <w:t>673,396</w:t>
            </w:r>
            <w:r w:rsidR="00290ACE" w:rsidRPr="004C5D7C">
              <w:rPr>
                <w:rFonts w:ascii="Arial" w:hAnsi="Arial" w:cs="Arial"/>
                <w:szCs w:val="24"/>
              </w:rPr>
              <w:t xml:space="preserve">            </w:t>
            </w:r>
          </w:p>
        </w:tc>
        <w:tc>
          <w:tcPr>
            <w:tcW w:w="270" w:type="dxa"/>
          </w:tcPr>
          <w:p w14:paraId="41C635D8" w14:textId="77777777" w:rsidR="00290ACE" w:rsidRPr="004C5D7C" w:rsidRDefault="00290ACE" w:rsidP="00290ACE">
            <w:pPr>
              <w:jc w:val="right"/>
              <w:rPr>
                <w:rFonts w:ascii="Arial" w:eastAsia="Calibri" w:hAnsi="Arial" w:cs="Arial"/>
                <w:szCs w:val="24"/>
              </w:rPr>
            </w:pPr>
          </w:p>
        </w:tc>
        <w:tc>
          <w:tcPr>
            <w:tcW w:w="2070" w:type="dxa"/>
            <w:noWrap/>
            <w:vAlign w:val="bottom"/>
          </w:tcPr>
          <w:p w14:paraId="6C0C7C9A" w14:textId="77777777" w:rsidR="00290ACE" w:rsidRPr="00216442" w:rsidRDefault="00B733DF" w:rsidP="009316C9">
            <w:pPr>
              <w:tabs>
                <w:tab w:val="decimal" w:pos="1605"/>
              </w:tabs>
              <w:jc w:val="right"/>
              <w:rPr>
                <w:rFonts w:ascii="Arial" w:hAnsi="Arial" w:cs="Arial"/>
                <w:szCs w:val="24"/>
              </w:rPr>
            </w:pPr>
            <w:r>
              <w:rPr>
                <w:rFonts w:ascii="Arial" w:hAnsi="Arial" w:cs="Arial"/>
                <w:szCs w:val="24"/>
              </w:rPr>
              <w:t>2,449,628</w:t>
            </w:r>
          </w:p>
        </w:tc>
        <w:tc>
          <w:tcPr>
            <w:tcW w:w="270" w:type="dxa"/>
          </w:tcPr>
          <w:p w14:paraId="361517AF" w14:textId="77777777" w:rsidR="00290ACE" w:rsidRPr="004C5D7C" w:rsidRDefault="00290ACE" w:rsidP="00290ACE">
            <w:pPr>
              <w:jc w:val="right"/>
              <w:rPr>
                <w:rFonts w:ascii="Arial" w:eastAsia="Calibri" w:hAnsi="Arial" w:cs="Arial"/>
                <w:szCs w:val="24"/>
              </w:rPr>
            </w:pPr>
          </w:p>
        </w:tc>
        <w:tc>
          <w:tcPr>
            <w:tcW w:w="1890" w:type="dxa"/>
            <w:noWrap/>
            <w:vAlign w:val="bottom"/>
          </w:tcPr>
          <w:p w14:paraId="623A523D" w14:textId="77777777" w:rsidR="00290ACE" w:rsidRPr="00216442" w:rsidRDefault="00B733DF" w:rsidP="00F1767D">
            <w:pPr>
              <w:tabs>
                <w:tab w:val="decimal" w:pos="1605"/>
              </w:tabs>
              <w:rPr>
                <w:rFonts w:ascii="Arial" w:hAnsi="Arial" w:cs="Arial"/>
                <w:szCs w:val="24"/>
              </w:rPr>
            </w:pPr>
            <w:r>
              <w:rPr>
                <w:rFonts w:ascii="Arial" w:hAnsi="Arial" w:cs="Arial"/>
                <w:szCs w:val="24"/>
              </w:rPr>
              <w:t>(1,776,232</w:t>
            </w:r>
            <w:r w:rsidR="00290ACE">
              <w:rPr>
                <w:rFonts w:ascii="Arial" w:hAnsi="Arial" w:cs="Arial"/>
                <w:szCs w:val="24"/>
              </w:rPr>
              <w:t>)</w:t>
            </w:r>
          </w:p>
        </w:tc>
      </w:tr>
      <w:tr w:rsidR="00290ACE" w:rsidRPr="004C5D7C" w14:paraId="4E839BD5" w14:textId="77777777" w:rsidTr="00897C90">
        <w:trPr>
          <w:trHeight w:val="255"/>
        </w:trPr>
        <w:tc>
          <w:tcPr>
            <w:tcW w:w="3078" w:type="dxa"/>
            <w:noWrap/>
          </w:tcPr>
          <w:p w14:paraId="14E3F937" w14:textId="77777777" w:rsidR="00290ACE" w:rsidRPr="004C5D7C" w:rsidRDefault="00290ACE" w:rsidP="00290ACE">
            <w:pPr>
              <w:jc w:val="center"/>
              <w:rPr>
                <w:rFonts w:ascii="Arial" w:hAnsi="Arial" w:cs="Arial"/>
                <w:szCs w:val="24"/>
                <w:u w:val="single"/>
              </w:rPr>
            </w:pPr>
          </w:p>
        </w:tc>
        <w:tc>
          <w:tcPr>
            <w:tcW w:w="270" w:type="dxa"/>
          </w:tcPr>
          <w:p w14:paraId="08DC6782" w14:textId="77777777" w:rsidR="00290ACE" w:rsidRPr="004C5D7C" w:rsidRDefault="00290ACE" w:rsidP="00290ACE">
            <w:pPr>
              <w:tabs>
                <w:tab w:val="decimal" w:pos="1524"/>
              </w:tabs>
              <w:rPr>
                <w:rFonts w:ascii="Arial" w:hAnsi="Arial" w:cs="Arial"/>
                <w:szCs w:val="24"/>
              </w:rPr>
            </w:pPr>
          </w:p>
        </w:tc>
        <w:tc>
          <w:tcPr>
            <w:tcW w:w="2070" w:type="dxa"/>
            <w:noWrap/>
            <w:vAlign w:val="bottom"/>
          </w:tcPr>
          <w:p w14:paraId="0A7BA65E" w14:textId="77777777" w:rsidR="00290ACE" w:rsidRPr="004C5D7C" w:rsidRDefault="00290ACE" w:rsidP="00290ACE">
            <w:pPr>
              <w:tabs>
                <w:tab w:val="decimal" w:pos="1524"/>
              </w:tabs>
              <w:jc w:val="right"/>
              <w:rPr>
                <w:rFonts w:ascii="Arial" w:hAnsi="Arial" w:cs="Arial"/>
                <w:szCs w:val="24"/>
              </w:rPr>
            </w:pPr>
          </w:p>
        </w:tc>
        <w:tc>
          <w:tcPr>
            <w:tcW w:w="270" w:type="dxa"/>
          </w:tcPr>
          <w:p w14:paraId="44AA2A35" w14:textId="77777777" w:rsidR="00290ACE" w:rsidRPr="004C5D7C" w:rsidRDefault="00290ACE" w:rsidP="00290ACE">
            <w:pPr>
              <w:jc w:val="right"/>
              <w:rPr>
                <w:rFonts w:ascii="Arial" w:eastAsia="Calibri" w:hAnsi="Arial" w:cs="Arial"/>
                <w:szCs w:val="24"/>
              </w:rPr>
            </w:pPr>
          </w:p>
        </w:tc>
        <w:tc>
          <w:tcPr>
            <w:tcW w:w="2070" w:type="dxa"/>
            <w:noWrap/>
            <w:vAlign w:val="bottom"/>
          </w:tcPr>
          <w:p w14:paraId="4F2206B9" w14:textId="77777777" w:rsidR="00290ACE" w:rsidRPr="00216442" w:rsidRDefault="00290ACE" w:rsidP="00290ACE">
            <w:pPr>
              <w:tabs>
                <w:tab w:val="decimal" w:pos="1605"/>
              </w:tabs>
              <w:rPr>
                <w:rFonts w:ascii="Arial" w:hAnsi="Arial" w:cs="Arial"/>
                <w:szCs w:val="24"/>
              </w:rPr>
            </w:pPr>
          </w:p>
        </w:tc>
        <w:tc>
          <w:tcPr>
            <w:tcW w:w="270" w:type="dxa"/>
          </w:tcPr>
          <w:p w14:paraId="6768CE62" w14:textId="77777777" w:rsidR="00290ACE" w:rsidRPr="004C5D7C" w:rsidRDefault="00290ACE" w:rsidP="00290ACE">
            <w:pPr>
              <w:jc w:val="right"/>
              <w:rPr>
                <w:rFonts w:ascii="Arial" w:eastAsia="Calibri" w:hAnsi="Arial" w:cs="Arial"/>
                <w:szCs w:val="24"/>
              </w:rPr>
            </w:pPr>
          </w:p>
        </w:tc>
        <w:tc>
          <w:tcPr>
            <w:tcW w:w="1890" w:type="dxa"/>
            <w:noWrap/>
            <w:vAlign w:val="bottom"/>
          </w:tcPr>
          <w:p w14:paraId="3AC26403" w14:textId="77777777" w:rsidR="00290ACE" w:rsidRPr="00216442" w:rsidRDefault="00290ACE" w:rsidP="00290ACE">
            <w:pPr>
              <w:tabs>
                <w:tab w:val="decimal" w:pos="1605"/>
              </w:tabs>
              <w:rPr>
                <w:rFonts w:ascii="Arial" w:hAnsi="Arial" w:cs="Arial"/>
                <w:szCs w:val="24"/>
              </w:rPr>
            </w:pPr>
          </w:p>
        </w:tc>
      </w:tr>
      <w:tr w:rsidR="00290ACE" w:rsidRPr="004C5D7C" w14:paraId="2AACBFDA" w14:textId="77777777" w:rsidTr="00092321">
        <w:trPr>
          <w:trHeight w:val="255"/>
        </w:trPr>
        <w:tc>
          <w:tcPr>
            <w:tcW w:w="3078" w:type="dxa"/>
            <w:noWrap/>
          </w:tcPr>
          <w:p w14:paraId="29FE24EE" w14:textId="77777777" w:rsidR="00290ACE" w:rsidRPr="004C5D7C" w:rsidRDefault="00BE2C75" w:rsidP="00290ACE">
            <w:pPr>
              <w:rPr>
                <w:rFonts w:ascii="Arial" w:hAnsi="Arial" w:cs="Arial"/>
                <w:szCs w:val="24"/>
              </w:rPr>
            </w:pPr>
            <w:r>
              <w:rPr>
                <w:rFonts w:ascii="Arial" w:hAnsi="Arial" w:cs="Arial"/>
                <w:szCs w:val="24"/>
              </w:rPr>
              <w:t>Large</w:t>
            </w:r>
            <w:r w:rsidR="00290ACE" w:rsidRPr="004C5D7C">
              <w:rPr>
                <w:rFonts w:ascii="Arial" w:hAnsi="Arial" w:cs="Arial"/>
                <w:szCs w:val="24"/>
              </w:rPr>
              <w:t xml:space="preserve"> C&amp;I – </w:t>
            </w:r>
            <w:r w:rsidR="00290ACE">
              <w:rPr>
                <w:rFonts w:ascii="Arial" w:hAnsi="Arial" w:cs="Arial"/>
                <w:szCs w:val="24"/>
              </w:rPr>
              <w:t>Transmission</w:t>
            </w:r>
          </w:p>
        </w:tc>
        <w:tc>
          <w:tcPr>
            <w:tcW w:w="270" w:type="dxa"/>
          </w:tcPr>
          <w:p w14:paraId="15DB7D2E" w14:textId="77777777" w:rsidR="00290ACE" w:rsidRPr="004C5D7C" w:rsidRDefault="00290ACE" w:rsidP="00290ACE">
            <w:pPr>
              <w:tabs>
                <w:tab w:val="decimal" w:pos="1524"/>
              </w:tabs>
              <w:rPr>
                <w:rFonts w:ascii="Arial" w:hAnsi="Arial" w:cs="Arial"/>
                <w:szCs w:val="24"/>
                <w:u w:val="single"/>
              </w:rPr>
            </w:pPr>
          </w:p>
        </w:tc>
        <w:tc>
          <w:tcPr>
            <w:tcW w:w="2070" w:type="dxa"/>
            <w:tcBorders>
              <w:bottom w:val="single" w:sz="4" w:space="0" w:color="auto"/>
            </w:tcBorders>
            <w:noWrap/>
            <w:vAlign w:val="bottom"/>
          </w:tcPr>
          <w:p w14:paraId="205E0276" w14:textId="77777777" w:rsidR="00290ACE" w:rsidRPr="003C2644" w:rsidRDefault="00290ACE" w:rsidP="00290ACE">
            <w:pPr>
              <w:jc w:val="right"/>
              <w:rPr>
                <w:rFonts w:ascii="Arial" w:hAnsi="Arial" w:cs="Arial"/>
                <w:szCs w:val="24"/>
              </w:rPr>
            </w:pPr>
            <w:r w:rsidRPr="003C2644">
              <w:rPr>
                <w:rFonts w:ascii="Arial" w:hAnsi="Arial" w:cs="Arial"/>
                <w:szCs w:val="24"/>
              </w:rPr>
              <w:t xml:space="preserve">    </w:t>
            </w:r>
            <w:r w:rsidR="002A3012" w:rsidRPr="003C2644">
              <w:rPr>
                <w:rFonts w:ascii="Arial" w:hAnsi="Arial" w:cs="Arial"/>
                <w:szCs w:val="24"/>
              </w:rPr>
              <w:t xml:space="preserve"> </w:t>
            </w:r>
            <w:r w:rsidRPr="003C2644">
              <w:rPr>
                <w:rFonts w:ascii="Arial" w:hAnsi="Arial" w:cs="Arial"/>
                <w:szCs w:val="24"/>
              </w:rPr>
              <w:t xml:space="preserve">        </w:t>
            </w:r>
            <w:r w:rsidR="00BD17B8" w:rsidRPr="003C2644">
              <w:rPr>
                <w:rFonts w:ascii="Arial" w:hAnsi="Arial" w:cs="Arial"/>
                <w:szCs w:val="24"/>
              </w:rPr>
              <w:t>185,524</w:t>
            </w:r>
          </w:p>
        </w:tc>
        <w:tc>
          <w:tcPr>
            <w:tcW w:w="270" w:type="dxa"/>
          </w:tcPr>
          <w:p w14:paraId="51913DE9" w14:textId="77777777" w:rsidR="00290ACE" w:rsidRPr="003C2644" w:rsidRDefault="00290ACE" w:rsidP="00290ACE">
            <w:pPr>
              <w:jc w:val="right"/>
              <w:rPr>
                <w:rFonts w:ascii="Arial" w:eastAsia="Calibri" w:hAnsi="Arial" w:cs="Arial"/>
                <w:szCs w:val="24"/>
              </w:rPr>
            </w:pPr>
          </w:p>
        </w:tc>
        <w:tc>
          <w:tcPr>
            <w:tcW w:w="2070" w:type="dxa"/>
            <w:tcBorders>
              <w:bottom w:val="single" w:sz="4" w:space="0" w:color="auto"/>
            </w:tcBorders>
            <w:noWrap/>
            <w:vAlign w:val="bottom"/>
          </w:tcPr>
          <w:p w14:paraId="4C00F3B4" w14:textId="77777777" w:rsidR="00290ACE" w:rsidRPr="003C2644" w:rsidRDefault="00290ACE" w:rsidP="009316C9">
            <w:pPr>
              <w:tabs>
                <w:tab w:val="decimal" w:pos="1605"/>
              </w:tabs>
              <w:jc w:val="right"/>
              <w:rPr>
                <w:rFonts w:ascii="Arial" w:hAnsi="Arial" w:cs="Arial"/>
                <w:szCs w:val="24"/>
              </w:rPr>
            </w:pPr>
            <w:r w:rsidRPr="003C2644">
              <w:rPr>
                <w:rFonts w:ascii="Arial" w:hAnsi="Arial" w:cs="Arial"/>
                <w:szCs w:val="24"/>
              </w:rPr>
              <w:t xml:space="preserve">    </w:t>
            </w:r>
            <w:r w:rsidR="002A3012" w:rsidRPr="003C2644">
              <w:rPr>
                <w:rFonts w:ascii="Arial" w:hAnsi="Arial" w:cs="Arial"/>
                <w:szCs w:val="24"/>
              </w:rPr>
              <w:t xml:space="preserve"> </w:t>
            </w:r>
            <w:r w:rsidRPr="003C2644">
              <w:rPr>
                <w:rFonts w:ascii="Arial" w:hAnsi="Arial" w:cs="Arial"/>
                <w:szCs w:val="24"/>
              </w:rPr>
              <w:t xml:space="preserve">       </w:t>
            </w:r>
            <w:r w:rsidR="00B733DF" w:rsidRPr="003C2644">
              <w:rPr>
                <w:rFonts w:ascii="Arial" w:hAnsi="Arial" w:cs="Arial"/>
                <w:szCs w:val="24"/>
              </w:rPr>
              <w:t>81,558</w:t>
            </w:r>
          </w:p>
        </w:tc>
        <w:tc>
          <w:tcPr>
            <w:tcW w:w="270" w:type="dxa"/>
          </w:tcPr>
          <w:p w14:paraId="5B9214FC" w14:textId="77777777" w:rsidR="00290ACE" w:rsidRPr="003C2644" w:rsidRDefault="00290ACE" w:rsidP="00290ACE">
            <w:pPr>
              <w:jc w:val="right"/>
              <w:rPr>
                <w:rFonts w:ascii="Arial" w:eastAsia="Calibri" w:hAnsi="Arial" w:cs="Arial"/>
                <w:szCs w:val="24"/>
              </w:rPr>
            </w:pPr>
          </w:p>
        </w:tc>
        <w:tc>
          <w:tcPr>
            <w:tcW w:w="1890" w:type="dxa"/>
            <w:tcBorders>
              <w:bottom w:val="single" w:sz="4" w:space="0" w:color="auto"/>
            </w:tcBorders>
            <w:noWrap/>
            <w:vAlign w:val="bottom"/>
          </w:tcPr>
          <w:p w14:paraId="0E3BE429" w14:textId="77777777" w:rsidR="00290ACE" w:rsidRPr="003C2644" w:rsidRDefault="002A3012" w:rsidP="00290ACE">
            <w:pPr>
              <w:tabs>
                <w:tab w:val="decimal" w:pos="1605"/>
              </w:tabs>
              <w:rPr>
                <w:rFonts w:ascii="Arial" w:hAnsi="Arial" w:cs="Arial"/>
                <w:szCs w:val="24"/>
              </w:rPr>
            </w:pPr>
            <w:r w:rsidRPr="003C2644">
              <w:rPr>
                <w:rFonts w:ascii="Arial" w:hAnsi="Arial" w:cs="Arial"/>
                <w:szCs w:val="24"/>
              </w:rPr>
              <w:t xml:space="preserve"> </w:t>
            </w:r>
            <w:r w:rsidR="00290ACE" w:rsidRPr="003C2644">
              <w:rPr>
                <w:rFonts w:ascii="Arial" w:hAnsi="Arial" w:cs="Arial"/>
                <w:szCs w:val="24"/>
              </w:rPr>
              <w:t xml:space="preserve">    </w:t>
            </w:r>
            <w:r w:rsidRPr="003C2644">
              <w:rPr>
                <w:rFonts w:ascii="Arial" w:hAnsi="Arial" w:cs="Arial"/>
                <w:szCs w:val="24"/>
              </w:rPr>
              <w:t xml:space="preserve"> </w:t>
            </w:r>
            <w:r w:rsidR="00290ACE" w:rsidRPr="003C2644">
              <w:rPr>
                <w:rFonts w:ascii="Arial" w:hAnsi="Arial" w:cs="Arial"/>
                <w:szCs w:val="24"/>
              </w:rPr>
              <w:t xml:space="preserve">   </w:t>
            </w:r>
            <w:r w:rsidR="008539BE" w:rsidRPr="003C2644">
              <w:rPr>
                <w:rFonts w:ascii="Arial" w:hAnsi="Arial" w:cs="Arial"/>
                <w:szCs w:val="24"/>
              </w:rPr>
              <w:t>103,966</w:t>
            </w:r>
          </w:p>
        </w:tc>
      </w:tr>
      <w:tr w:rsidR="004C5D7C" w:rsidRPr="004C5D7C" w14:paraId="25C5C78D" w14:textId="77777777" w:rsidTr="00092321">
        <w:trPr>
          <w:trHeight w:val="255"/>
        </w:trPr>
        <w:tc>
          <w:tcPr>
            <w:tcW w:w="3078" w:type="dxa"/>
            <w:noWrap/>
          </w:tcPr>
          <w:p w14:paraId="4048E88F" w14:textId="77777777" w:rsidR="004C5D7C" w:rsidRPr="004C5D7C" w:rsidRDefault="004C5D7C" w:rsidP="004C5D7C">
            <w:pPr>
              <w:rPr>
                <w:rFonts w:ascii="Arial" w:hAnsi="Arial" w:cs="Arial"/>
                <w:szCs w:val="24"/>
              </w:rPr>
            </w:pPr>
          </w:p>
        </w:tc>
        <w:tc>
          <w:tcPr>
            <w:tcW w:w="270" w:type="dxa"/>
          </w:tcPr>
          <w:p w14:paraId="480E9209" w14:textId="77777777" w:rsidR="004C5D7C" w:rsidRPr="004C5D7C" w:rsidRDefault="004C5D7C" w:rsidP="004C5D7C">
            <w:pPr>
              <w:tabs>
                <w:tab w:val="decimal" w:pos="1524"/>
              </w:tabs>
              <w:rPr>
                <w:rFonts w:ascii="Arial" w:hAnsi="Arial" w:cs="Arial"/>
                <w:szCs w:val="24"/>
                <w:u w:val="double"/>
              </w:rPr>
            </w:pPr>
          </w:p>
        </w:tc>
        <w:tc>
          <w:tcPr>
            <w:tcW w:w="2070" w:type="dxa"/>
            <w:tcBorders>
              <w:top w:val="single" w:sz="4" w:space="0" w:color="auto"/>
            </w:tcBorders>
            <w:noWrap/>
            <w:vAlign w:val="bottom"/>
          </w:tcPr>
          <w:p w14:paraId="7205462C" w14:textId="77777777" w:rsidR="004C5D7C" w:rsidRPr="003C2644" w:rsidRDefault="004C5D7C" w:rsidP="00317567">
            <w:pPr>
              <w:tabs>
                <w:tab w:val="decimal" w:pos="1524"/>
              </w:tabs>
              <w:jc w:val="right"/>
              <w:rPr>
                <w:rFonts w:ascii="Arial" w:hAnsi="Arial" w:cs="Arial"/>
                <w:szCs w:val="24"/>
              </w:rPr>
            </w:pPr>
          </w:p>
        </w:tc>
        <w:tc>
          <w:tcPr>
            <w:tcW w:w="270" w:type="dxa"/>
          </w:tcPr>
          <w:p w14:paraId="4F61FD32" w14:textId="77777777" w:rsidR="004C5D7C" w:rsidRPr="003C2644" w:rsidRDefault="004C5D7C" w:rsidP="004C5D7C">
            <w:pPr>
              <w:jc w:val="right"/>
              <w:rPr>
                <w:rFonts w:ascii="Arial" w:eastAsia="Calibri" w:hAnsi="Arial" w:cs="Arial"/>
                <w:szCs w:val="24"/>
              </w:rPr>
            </w:pPr>
          </w:p>
        </w:tc>
        <w:tc>
          <w:tcPr>
            <w:tcW w:w="2070" w:type="dxa"/>
            <w:tcBorders>
              <w:top w:val="single" w:sz="4" w:space="0" w:color="auto"/>
            </w:tcBorders>
            <w:noWrap/>
            <w:vAlign w:val="bottom"/>
          </w:tcPr>
          <w:p w14:paraId="7D3B40B3" w14:textId="77777777" w:rsidR="004C5D7C" w:rsidRPr="003C2644" w:rsidRDefault="004C5D7C" w:rsidP="00317567">
            <w:pPr>
              <w:tabs>
                <w:tab w:val="decimal" w:pos="1605"/>
              </w:tabs>
              <w:jc w:val="right"/>
              <w:rPr>
                <w:rFonts w:ascii="Arial" w:hAnsi="Arial" w:cs="Arial"/>
                <w:szCs w:val="24"/>
              </w:rPr>
            </w:pPr>
          </w:p>
        </w:tc>
        <w:tc>
          <w:tcPr>
            <w:tcW w:w="270" w:type="dxa"/>
          </w:tcPr>
          <w:p w14:paraId="652E158D" w14:textId="77777777" w:rsidR="004C5D7C" w:rsidRPr="003C2644" w:rsidRDefault="004C5D7C" w:rsidP="004C5D7C">
            <w:pPr>
              <w:jc w:val="right"/>
              <w:rPr>
                <w:rFonts w:ascii="Arial" w:eastAsia="Calibri" w:hAnsi="Arial" w:cs="Arial"/>
                <w:szCs w:val="24"/>
              </w:rPr>
            </w:pPr>
          </w:p>
        </w:tc>
        <w:tc>
          <w:tcPr>
            <w:tcW w:w="1890" w:type="dxa"/>
            <w:tcBorders>
              <w:top w:val="single" w:sz="4" w:space="0" w:color="auto"/>
            </w:tcBorders>
            <w:noWrap/>
            <w:vAlign w:val="bottom"/>
          </w:tcPr>
          <w:p w14:paraId="33FDAC3F" w14:textId="77777777" w:rsidR="004C5D7C" w:rsidRPr="003C2644" w:rsidRDefault="004C5D7C" w:rsidP="001822F1">
            <w:pPr>
              <w:jc w:val="both"/>
              <w:rPr>
                <w:rFonts w:ascii="Arial" w:eastAsia="Calibri" w:hAnsi="Arial" w:cs="Arial"/>
                <w:szCs w:val="24"/>
              </w:rPr>
            </w:pPr>
          </w:p>
        </w:tc>
      </w:tr>
      <w:tr w:rsidR="004C5D7C" w:rsidRPr="004C5D7C" w14:paraId="260AD8F1" w14:textId="77777777" w:rsidTr="00092321">
        <w:trPr>
          <w:trHeight w:val="255"/>
        </w:trPr>
        <w:tc>
          <w:tcPr>
            <w:tcW w:w="3078" w:type="dxa"/>
            <w:noWrap/>
          </w:tcPr>
          <w:p w14:paraId="2F853DD2" w14:textId="5DC66832" w:rsidR="004C5D7C" w:rsidRPr="004C5D7C" w:rsidRDefault="004C5D7C" w:rsidP="004C5D7C">
            <w:pPr>
              <w:rPr>
                <w:rFonts w:ascii="Arial" w:hAnsi="Arial" w:cs="Arial"/>
                <w:szCs w:val="24"/>
              </w:rPr>
            </w:pPr>
            <w:r w:rsidRPr="004C5D7C">
              <w:rPr>
                <w:rFonts w:ascii="Arial" w:hAnsi="Arial" w:cs="Arial"/>
                <w:szCs w:val="24"/>
              </w:rPr>
              <w:t xml:space="preserve">     Total</w:t>
            </w:r>
          </w:p>
        </w:tc>
        <w:tc>
          <w:tcPr>
            <w:tcW w:w="270" w:type="dxa"/>
          </w:tcPr>
          <w:p w14:paraId="25A173B6" w14:textId="77777777" w:rsidR="004C5D7C" w:rsidRPr="004C5D7C" w:rsidRDefault="004C5D7C" w:rsidP="004C5D7C">
            <w:pPr>
              <w:tabs>
                <w:tab w:val="decimal" w:pos="1524"/>
              </w:tabs>
              <w:rPr>
                <w:rFonts w:ascii="Arial" w:hAnsi="Arial" w:cs="Arial"/>
                <w:szCs w:val="24"/>
                <w:u w:val="double"/>
              </w:rPr>
            </w:pPr>
          </w:p>
        </w:tc>
        <w:tc>
          <w:tcPr>
            <w:tcW w:w="2070" w:type="dxa"/>
            <w:tcBorders>
              <w:bottom w:val="double" w:sz="4" w:space="0" w:color="auto"/>
            </w:tcBorders>
            <w:noWrap/>
            <w:vAlign w:val="bottom"/>
          </w:tcPr>
          <w:p w14:paraId="3DE0DF77" w14:textId="77777777" w:rsidR="004C5D7C" w:rsidRPr="003C2644" w:rsidRDefault="004C5D7C" w:rsidP="00BD7D62">
            <w:pPr>
              <w:jc w:val="right"/>
              <w:rPr>
                <w:rFonts w:ascii="Arial" w:hAnsi="Arial" w:cs="Arial"/>
                <w:szCs w:val="24"/>
              </w:rPr>
            </w:pPr>
            <w:r w:rsidRPr="003C2644">
              <w:rPr>
                <w:rFonts w:ascii="Arial" w:hAnsi="Arial" w:cs="Arial"/>
                <w:szCs w:val="24"/>
              </w:rPr>
              <w:t xml:space="preserve">  </w:t>
            </w:r>
            <w:proofErr w:type="gramStart"/>
            <w:r w:rsidRPr="003C2644">
              <w:rPr>
                <w:rFonts w:ascii="Arial" w:hAnsi="Arial" w:cs="Arial"/>
                <w:szCs w:val="24"/>
              </w:rPr>
              <w:t>$</w:t>
            </w:r>
            <w:r w:rsidR="002A3012" w:rsidRPr="003C2644">
              <w:rPr>
                <w:rFonts w:ascii="Arial" w:hAnsi="Arial" w:cs="Arial"/>
                <w:szCs w:val="24"/>
              </w:rPr>
              <w:t xml:space="preserve"> </w:t>
            </w:r>
            <w:r w:rsidRPr="003C2644">
              <w:rPr>
                <w:rFonts w:ascii="Arial" w:hAnsi="Arial" w:cs="Arial"/>
                <w:szCs w:val="24"/>
              </w:rPr>
              <w:t xml:space="preserve"> </w:t>
            </w:r>
            <w:r w:rsidR="007D5BCE" w:rsidRPr="003C2644">
              <w:rPr>
                <w:rFonts w:ascii="Arial" w:hAnsi="Arial" w:cs="Arial"/>
                <w:szCs w:val="24"/>
              </w:rPr>
              <w:t>10</w:t>
            </w:r>
            <w:r w:rsidR="00BD17B8" w:rsidRPr="003C2644">
              <w:rPr>
                <w:rFonts w:ascii="Arial" w:hAnsi="Arial" w:cs="Arial"/>
                <w:szCs w:val="24"/>
              </w:rPr>
              <w:t>4</w:t>
            </w:r>
            <w:r w:rsidR="007D5BCE" w:rsidRPr="003C2644">
              <w:rPr>
                <w:rFonts w:ascii="Arial" w:hAnsi="Arial" w:cs="Arial"/>
                <w:szCs w:val="24"/>
              </w:rPr>
              <w:t>,</w:t>
            </w:r>
            <w:r w:rsidR="00BD17B8" w:rsidRPr="003C2644">
              <w:rPr>
                <w:rFonts w:ascii="Arial" w:hAnsi="Arial" w:cs="Arial"/>
                <w:szCs w:val="24"/>
              </w:rPr>
              <w:t>700</w:t>
            </w:r>
            <w:r w:rsidR="007D5BCE" w:rsidRPr="003C2644">
              <w:rPr>
                <w:rFonts w:ascii="Arial" w:hAnsi="Arial" w:cs="Arial"/>
                <w:szCs w:val="24"/>
              </w:rPr>
              <w:t>,0</w:t>
            </w:r>
            <w:r w:rsidR="00BD17B8" w:rsidRPr="003C2644">
              <w:rPr>
                <w:rFonts w:ascii="Arial" w:hAnsi="Arial" w:cs="Arial"/>
                <w:szCs w:val="24"/>
              </w:rPr>
              <w:t>81</w:t>
            </w:r>
            <w:proofErr w:type="gramEnd"/>
          </w:p>
        </w:tc>
        <w:tc>
          <w:tcPr>
            <w:tcW w:w="270" w:type="dxa"/>
          </w:tcPr>
          <w:p w14:paraId="76E9A39B" w14:textId="77777777" w:rsidR="004C5D7C" w:rsidRPr="003C2644" w:rsidRDefault="004C5D7C" w:rsidP="004C5D7C">
            <w:pPr>
              <w:jc w:val="right"/>
              <w:rPr>
                <w:rFonts w:ascii="Arial" w:eastAsia="Calibri" w:hAnsi="Arial" w:cs="Arial"/>
                <w:szCs w:val="24"/>
              </w:rPr>
            </w:pPr>
          </w:p>
        </w:tc>
        <w:tc>
          <w:tcPr>
            <w:tcW w:w="2070" w:type="dxa"/>
            <w:tcBorders>
              <w:bottom w:val="double" w:sz="4" w:space="0" w:color="auto"/>
            </w:tcBorders>
            <w:noWrap/>
            <w:vAlign w:val="bottom"/>
          </w:tcPr>
          <w:p w14:paraId="7C36672B" w14:textId="77777777" w:rsidR="004C5D7C" w:rsidRPr="003C2644" w:rsidRDefault="004C5D7C" w:rsidP="00DC7183">
            <w:pPr>
              <w:tabs>
                <w:tab w:val="decimal" w:pos="1605"/>
              </w:tabs>
              <w:jc w:val="right"/>
              <w:rPr>
                <w:rFonts w:ascii="Arial" w:hAnsi="Arial" w:cs="Arial"/>
                <w:szCs w:val="24"/>
              </w:rPr>
            </w:pPr>
            <w:proofErr w:type="gramStart"/>
            <w:r w:rsidRPr="003C2644">
              <w:rPr>
                <w:rFonts w:ascii="Arial" w:hAnsi="Arial" w:cs="Arial"/>
                <w:szCs w:val="24"/>
              </w:rPr>
              <w:t>$</w:t>
            </w:r>
            <w:r w:rsidR="002A3012" w:rsidRPr="003C2644">
              <w:rPr>
                <w:rFonts w:ascii="Arial" w:hAnsi="Arial" w:cs="Arial"/>
                <w:szCs w:val="24"/>
              </w:rPr>
              <w:t xml:space="preserve"> </w:t>
            </w:r>
            <w:r w:rsidRPr="003C2644">
              <w:rPr>
                <w:rFonts w:ascii="Arial" w:hAnsi="Arial" w:cs="Arial"/>
                <w:szCs w:val="24"/>
              </w:rPr>
              <w:t xml:space="preserve"> </w:t>
            </w:r>
            <w:r w:rsidR="00B733DF" w:rsidRPr="003C2644">
              <w:rPr>
                <w:rFonts w:ascii="Arial" w:hAnsi="Arial" w:cs="Arial"/>
                <w:szCs w:val="24"/>
              </w:rPr>
              <w:t>105,291,910</w:t>
            </w:r>
            <w:proofErr w:type="gramEnd"/>
          </w:p>
        </w:tc>
        <w:tc>
          <w:tcPr>
            <w:tcW w:w="270" w:type="dxa"/>
          </w:tcPr>
          <w:p w14:paraId="4E20D22F" w14:textId="77777777" w:rsidR="004C5D7C" w:rsidRPr="003C2644" w:rsidRDefault="004C5D7C" w:rsidP="004C5D7C">
            <w:pPr>
              <w:jc w:val="right"/>
              <w:rPr>
                <w:rFonts w:ascii="Arial" w:eastAsia="Calibri" w:hAnsi="Arial" w:cs="Arial"/>
                <w:szCs w:val="24"/>
              </w:rPr>
            </w:pPr>
          </w:p>
        </w:tc>
        <w:tc>
          <w:tcPr>
            <w:tcW w:w="1890" w:type="dxa"/>
            <w:tcBorders>
              <w:bottom w:val="double" w:sz="4" w:space="0" w:color="auto"/>
            </w:tcBorders>
            <w:noWrap/>
            <w:vAlign w:val="bottom"/>
          </w:tcPr>
          <w:p w14:paraId="5C2C2EC3" w14:textId="77777777" w:rsidR="004C5D7C" w:rsidRPr="003C2644" w:rsidRDefault="002A3012" w:rsidP="002A3012">
            <w:pPr>
              <w:ind w:right="-108"/>
              <w:jc w:val="both"/>
              <w:rPr>
                <w:rFonts w:ascii="Arial" w:eastAsia="Calibri" w:hAnsi="Arial" w:cs="Arial"/>
                <w:szCs w:val="24"/>
              </w:rPr>
            </w:pPr>
            <w:r w:rsidRPr="003C2644">
              <w:rPr>
                <w:rFonts w:ascii="Arial" w:eastAsia="Calibri" w:hAnsi="Arial" w:cs="Arial"/>
                <w:szCs w:val="24"/>
              </w:rPr>
              <w:t xml:space="preserve">   </w:t>
            </w:r>
            <w:r w:rsidR="00290ACE" w:rsidRPr="003C2644">
              <w:rPr>
                <w:rFonts w:ascii="Arial" w:eastAsia="Calibri" w:hAnsi="Arial" w:cs="Arial"/>
                <w:szCs w:val="24"/>
              </w:rPr>
              <w:t>$</w:t>
            </w:r>
            <w:r w:rsidRPr="003C2644">
              <w:rPr>
                <w:rFonts w:ascii="Arial" w:eastAsia="Calibri" w:hAnsi="Arial" w:cs="Arial"/>
                <w:szCs w:val="24"/>
              </w:rPr>
              <w:t xml:space="preserve"> </w:t>
            </w:r>
            <w:r w:rsidR="00B9117D" w:rsidRPr="003C2644">
              <w:rPr>
                <w:rFonts w:ascii="Arial" w:eastAsia="Calibri" w:hAnsi="Arial" w:cs="Arial"/>
                <w:szCs w:val="24"/>
              </w:rPr>
              <w:t xml:space="preserve"> </w:t>
            </w:r>
            <w:proofErr w:type="gramStart"/>
            <w:r w:rsidR="00B733DF" w:rsidRPr="003C2644">
              <w:rPr>
                <w:rFonts w:ascii="Arial" w:eastAsia="Calibri" w:hAnsi="Arial" w:cs="Arial"/>
                <w:szCs w:val="24"/>
              </w:rPr>
              <w:t xml:space="preserve">   </w:t>
            </w:r>
            <w:r w:rsidR="00B9117D" w:rsidRPr="003C2644">
              <w:rPr>
                <w:rFonts w:ascii="Arial" w:eastAsia="Calibri" w:hAnsi="Arial" w:cs="Arial"/>
                <w:szCs w:val="24"/>
              </w:rPr>
              <w:t>(</w:t>
            </w:r>
            <w:proofErr w:type="gramEnd"/>
            <w:r w:rsidR="00B733DF" w:rsidRPr="003C2644">
              <w:rPr>
                <w:rFonts w:ascii="Arial" w:eastAsia="Calibri" w:hAnsi="Arial" w:cs="Arial"/>
                <w:szCs w:val="24"/>
              </w:rPr>
              <w:t>591,829</w:t>
            </w:r>
            <w:r w:rsidR="00B9117D" w:rsidRPr="003C2644">
              <w:rPr>
                <w:rFonts w:ascii="Arial" w:eastAsia="Calibri" w:hAnsi="Arial" w:cs="Arial"/>
                <w:szCs w:val="24"/>
              </w:rPr>
              <w:t>)</w:t>
            </w:r>
          </w:p>
        </w:tc>
      </w:tr>
      <w:tr w:rsidR="004C5D7C" w:rsidRPr="004C5D7C" w14:paraId="716853B9" w14:textId="77777777" w:rsidTr="00092321">
        <w:trPr>
          <w:trHeight w:val="255"/>
        </w:trPr>
        <w:tc>
          <w:tcPr>
            <w:tcW w:w="3078" w:type="dxa"/>
            <w:noWrap/>
          </w:tcPr>
          <w:p w14:paraId="093150D3" w14:textId="77777777" w:rsidR="004C5D7C" w:rsidRPr="004C5D7C" w:rsidRDefault="004C5D7C" w:rsidP="004C5D7C">
            <w:pPr>
              <w:rPr>
                <w:rFonts w:ascii="Arial" w:hAnsi="Arial" w:cs="Arial"/>
                <w:szCs w:val="24"/>
              </w:rPr>
            </w:pPr>
          </w:p>
        </w:tc>
        <w:tc>
          <w:tcPr>
            <w:tcW w:w="270" w:type="dxa"/>
          </w:tcPr>
          <w:p w14:paraId="43F655C4" w14:textId="77777777" w:rsidR="004C5D7C" w:rsidRPr="004C5D7C" w:rsidRDefault="004C5D7C" w:rsidP="004C5D7C">
            <w:pPr>
              <w:tabs>
                <w:tab w:val="decimal" w:pos="1524"/>
              </w:tabs>
              <w:rPr>
                <w:rFonts w:ascii="Arial" w:hAnsi="Arial" w:cs="Arial"/>
                <w:szCs w:val="24"/>
                <w:u w:val="single"/>
              </w:rPr>
            </w:pPr>
          </w:p>
        </w:tc>
        <w:tc>
          <w:tcPr>
            <w:tcW w:w="2070" w:type="dxa"/>
            <w:tcBorders>
              <w:top w:val="double" w:sz="4" w:space="0" w:color="auto"/>
            </w:tcBorders>
            <w:noWrap/>
            <w:vAlign w:val="bottom"/>
          </w:tcPr>
          <w:p w14:paraId="5C4512FF" w14:textId="77777777" w:rsidR="004C5D7C" w:rsidRPr="003C2644" w:rsidRDefault="004C5D7C" w:rsidP="004C5D7C">
            <w:pPr>
              <w:tabs>
                <w:tab w:val="decimal" w:pos="1524"/>
              </w:tabs>
              <w:rPr>
                <w:rFonts w:ascii="Arial" w:hAnsi="Arial" w:cs="Arial"/>
                <w:szCs w:val="24"/>
              </w:rPr>
            </w:pPr>
          </w:p>
        </w:tc>
        <w:tc>
          <w:tcPr>
            <w:tcW w:w="270" w:type="dxa"/>
          </w:tcPr>
          <w:p w14:paraId="60F6B5D3" w14:textId="77777777" w:rsidR="004C5D7C" w:rsidRPr="003C2644" w:rsidRDefault="004C5D7C" w:rsidP="004C5D7C">
            <w:pPr>
              <w:tabs>
                <w:tab w:val="decimal" w:pos="1605"/>
              </w:tabs>
              <w:rPr>
                <w:rFonts w:ascii="Arial" w:hAnsi="Arial" w:cs="Arial"/>
                <w:szCs w:val="24"/>
              </w:rPr>
            </w:pPr>
          </w:p>
        </w:tc>
        <w:tc>
          <w:tcPr>
            <w:tcW w:w="2070" w:type="dxa"/>
            <w:tcBorders>
              <w:top w:val="double" w:sz="4" w:space="0" w:color="auto"/>
            </w:tcBorders>
            <w:noWrap/>
            <w:vAlign w:val="bottom"/>
          </w:tcPr>
          <w:p w14:paraId="73AA3CC9" w14:textId="77777777" w:rsidR="004C5D7C" w:rsidRPr="003C2644" w:rsidRDefault="004C5D7C" w:rsidP="004C5D7C">
            <w:pPr>
              <w:tabs>
                <w:tab w:val="decimal" w:pos="1605"/>
              </w:tabs>
              <w:rPr>
                <w:rFonts w:ascii="Arial" w:hAnsi="Arial" w:cs="Arial"/>
                <w:szCs w:val="24"/>
              </w:rPr>
            </w:pPr>
          </w:p>
        </w:tc>
        <w:tc>
          <w:tcPr>
            <w:tcW w:w="270" w:type="dxa"/>
          </w:tcPr>
          <w:p w14:paraId="64EAE2C1" w14:textId="77777777" w:rsidR="004C5D7C" w:rsidRPr="003C2644" w:rsidRDefault="004C5D7C" w:rsidP="004C5D7C">
            <w:pPr>
              <w:tabs>
                <w:tab w:val="decimal" w:pos="1605"/>
              </w:tabs>
              <w:rPr>
                <w:rFonts w:ascii="Arial" w:hAnsi="Arial" w:cs="Arial"/>
                <w:szCs w:val="24"/>
              </w:rPr>
            </w:pPr>
          </w:p>
        </w:tc>
        <w:tc>
          <w:tcPr>
            <w:tcW w:w="1890" w:type="dxa"/>
            <w:tcBorders>
              <w:top w:val="double" w:sz="4" w:space="0" w:color="auto"/>
            </w:tcBorders>
            <w:noWrap/>
            <w:vAlign w:val="bottom"/>
          </w:tcPr>
          <w:p w14:paraId="2209EA25" w14:textId="77777777" w:rsidR="004C5D7C" w:rsidRPr="003C2644" w:rsidRDefault="004C5D7C" w:rsidP="002A3012">
            <w:pPr>
              <w:rPr>
                <w:rFonts w:ascii="Arial" w:hAnsi="Arial" w:cs="Arial"/>
                <w:szCs w:val="24"/>
              </w:rPr>
            </w:pPr>
          </w:p>
        </w:tc>
      </w:tr>
    </w:tbl>
    <w:p w14:paraId="4A60C895" w14:textId="77777777" w:rsidR="006F404B" w:rsidRDefault="006F404B" w:rsidP="00A77917">
      <w:pPr>
        <w:jc w:val="both"/>
        <w:rPr>
          <w:rFonts w:ascii="Arial" w:hAnsi="Arial" w:cs="Arial"/>
          <w:szCs w:val="24"/>
        </w:rPr>
      </w:pPr>
    </w:p>
    <w:p w14:paraId="7DFBD703" w14:textId="77777777" w:rsidR="00A06DFC" w:rsidRDefault="00A06DFC" w:rsidP="00A77917">
      <w:pPr>
        <w:jc w:val="both"/>
        <w:rPr>
          <w:rFonts w:ascii="Arial" w:hAnsi="Arial" w:cs="Arial"/>
          <w:szCs w:val="24"/>
        </w:rPr>
      </w:pPr>
    </w:p>
    <w:p w14:paraId="41749AF5" w14:textId="77777777" w:rsidR="00564C48" w:rsidRDefault="00564C48" w:rsidP="00AD42E5">
      <w:pPr>
        <w:jc w:val="center"/>
        <w:rPr>
          <w:rFonts w:ascii="Arial" w:hAnsi="Arial" w:cs="Arial"/>
          <w:b/>
          <w:sz w:val="26"/>
          <w:szCs w:val="26"/>
        </w:rPr>
      </w:pPr>
    </w:p>
    <w:p w14:paraId="31696F10" w14:textId="77777777" w:rsidR="00D82B8D" w:rsidRDefault="00D82B8D">
      <w:pPr>
        <w:rPr>
          <w:rFonts w:ascii="Arial" w:hAnsi="Arial" w:cs="Arial"/>
          <w:b/>
          <w:sz w:val="26"/>
          <w:szCs w:val="26"/>
        </w:rPr>
      </w:pPr>
      <w:r>
        <w:rPr>
          <w:rFonts w:ascii="Arial" w:hAnsi="Arial" w:cs="Arial"/>
          <w:b/>
          <w:sz w:val="26"/>
          <w:szCs w:val="26"/>
        </w:rPr>
        <w:br w:type="page"/>
      </w:r>
    </w:p>
    <w:p w14:paraId="4CCAD44A" w14:textId="77777777" w:rsidR="0002485C" w:rsidRDefault="00AD42E5" w:rsidP="00AD42E5">
      <w:pPr>
        <w:jc w:val="center"/>
        <w:rPr>
          <w:rFonts w:ascii="Arial" w:hAnsi="Arial" w:cs="Arial"/>
          <w:b/>
          <w:sz w:val="26"/>
          <w:szCs w:val="26"/>
        </w:rPr>
      </w:pPr>
      <w:r>
        <w:rPr>
          <w:rFonts w:ascii="Arial" w:hAnsi="Arial" w:cs="Arial"/>
          <w:b/>
          <w:sz w:val="26"/>
          <w:szCs w:val="26"/>
        </w:rPr>
        <w:lastRenderedPageBreak/>
        <w:t xml:space="preserve">Condensed </w:t>
      </w:r>
      <w:r w:rsidRPr="00892401">
        <w:rPr>
          <w:rFonts w:ascii="Arial" w:hAnsi="Arial" w:cs="Arial"/>
          <w:b/>
          <w:sz w:val="26"/>
          <w:szCs w:val="26"/>
        </w:rPr>
        <w:t>Statement</w:t>
      </w:r>
      <w:r w:rsidR="00C605CB">
        <w:rPr>
          <w:rStyle w:val="FootnoteReference"/>
          <w:rFonts w:ascii="Arial" w:hAnsi="Arial" w:cs="Arial"/>
          <w:b/>
          <w:sz w:val="26"/>
          <w:szCs w:val="26"/>
        </w:rPr>
        <w:footnoteReference w:id="3"/>
      </w:r>
      <w:r w:rsidR="00C605CB">
        <w:rPr>
          <w:rFonts w:ascii="Arial" w:hAnsi="Arial" w:cs="Arial"/>
          <w:b/>
          <w:sz w:val="26"/>
          <w:szCs w:val="26"/>
        </w:rPr>
        <w:t xml:space="preserve"> </w:t>
      </w:r>
      <w:r w:rsidR="0002485C">
        <w:rPr>
          <w:rFonts w:ascii="Arial" w:hAnsi="Arial" w:cs="Arial"/>
          <w:b/>
          <w:sz w:val="26"/>
          <w:szCs w:val="26"/>
        </w:rPr>
        <w:t>of</w:t>
      </w:r>
    </w:p>
    <w:p w14:paraId="1C3EEFA1" w14:textId="77777777" w:rsidR="00AD42E5" w:rsidRDefault="00925619" w:rsidP="00AD42E5">
      <w:pPr>
        <w:jc w:val="center"/>
        <w:rPr>
          <w:rFonts w:ascii="Arial" w:hAnsi="Arial" w:cs="Arial"/>
          <w:b/>
          <w:sz w:val="26"/>
          <w:szCs w:val="26"/>
        </w:rPr>
      </w:pPr>
      <w:r>
        <w:rPr>
          <w:rFonts w:ascii="Arial" w:hAnsi="Arial" w:cs="Arial"/>
          <w:b/>
          <w:sz w:val="26"/>
          <w:szCs w:val="26"/>
        </w:rPr>
        <w:t>Transmission Service Charge</w:t>
      </w:r>
      <w:r w:rsidR="00650F45">
        <w:rPr>
          <w:rFonts w:ascii="Arial" w:hAnsi="Arial" w:cs="Arial"/>
          <w:b/>
          <w:sz w:val="26"/>
          <w:szCs w:val="26"/>
        </w:rPr>
        <w:t xml:space="preserve"> (</w:t>
      </w:r>
      <w:r>
        <w:rPr>
          <w:rFonts w:ascii="Arial" w:hAnsi="Arial" w:cs="Arial"/>
          <w:b/>
          <w:sz w:val="26"/>
          <w:szCs w:val="26"/>
        </w:rPr>
        <w:t>TSC</w:t>
      </w:r>
      <w:r w:rsidR="00650F45">
        <w:rPr>
          <w:rFonts w:ascii="Arial" w:hAnsi="Arial" w:cs="Arial"/>
          <w:b/>
          <w:sz w:val="26"/>
          <w:szCs w:val="26"/>
        </w:rPr>
        <w:t>)</w:t>
      </w:r>
      <w:r w:rsidR="00AD42E5" w:rsidRPr="00892401">
        <w:rPr>
          <w:rFonts w:ascii="Arial" w:hAnsi="Arial" w:cs="Arial"/>
          <w:b/>
          <w:sz w:val="26"/>
          <w:szCs w:val="26"/>
        </w:rPr>
        <w:t xml:space="preserve"> </w:t>
      </w:r>
    </w:p>
    <w:p w14:paraId="357BB7AD" w14:textId="77777777" w:rsidR="00AD42E5" w:rsidRDefault="00AD42E5" w:rsidP="00AD42E5">
      <w:pPr>
        <w:jc w:val="center"/>
        <w:rPr>
          <w:rFonts w:ascii="Arial" w:hAnsi="Arial" w:cs="Arial"/>
          <w:b/>
          <w:sz w:val="26"/>
          <w:szCs w:val="26"/>
        </w:rPr>
      </w:pPr>
      <w:r>
        <w:rPr>
          <w:rFonts w:ascii="Arial" w:hAnsi="Arial" w:cs="Arial"/>
          <w:b/>
          <w:sz w:val="26"/>
          <w:szCs w:val="26"/>
        </w:rPr>
        <w:t>Over/(Under)</w:t>
      </w:r>
      <w:r w:rsidRPr="00892401">
        <w:rPr>
          <w:rFonts w:ascii="Arial" w:hAnsi="Arial" w:cs="Arial"/>
          <w:b/>
          <w:sz w:val="26"/>
          <w:szCs w:val="26"/>
        </w:rPr>
        <w:t xml:space="preserve"> Collections (Section 1307(e))</w:t>
      </w:r>
      <w:r>
        <w:rPr>
          <w:rFonts w:ascii="Arial" w:hAnsi="Arial" w:cs="Arial"/>
          <w:b/>
          <w:sz w:val="26"/>
          <w:szCs w:val="26"/>
        </w:rPr>
        <w:t xml:space="preserve"> </w:t>
      </w:r>
    </w:p>
    <w:p w14:paraId="66422690" w14:textId="470FC463" w:rsidR="00AD42E5" w:rsidRDefault="0038597B" w:rsidP="00AD42E5">
      <w:pPr>
        <w:jc w:val="center"/>
        <w:rPr>
          <w:rFonts w:ascii="Arial" w:hAnsi="Arial" w:cs="Arial"/>
          <w:b/>
          <w:sz w:val="26"/>
          <w:szCs w:val="26"/>
        </w:rPr>
      </w:pPr>
      <w:r>
        <w:rPr>
          <w:rFonts w:ascii="Arial" w:hAnsi="Arial" w:cs="Arial"/>
          <w:b/>
          <w:sz w:val="26"/>
          <w:szCs w:val="26"/>
        </w:rPr>
        <w:t>f</w:t>
      </w:r>
      <w:r w:rsidR="00AD42E5" w:rsidRPr="00892401">
        <w:rPr>
          <w:rFonts w:ascii="Arial" w:hAnsi="Arial" w:cs="Arial"/>
          <w:b/>
          <w:sz w:val="26"/>
          <w:szCs w:val="26"/>
        </w:rPr>
        <w:t xml:space="preserve">or </w:t>
      </w:r>
      <w:r>
        <w:rPr>
          <w:rFonts w:ascii="Arial" w:hAnsi="Arial" w:cs="Arial"/>
          <w:b/>
          <w:sz w:val="26"/>
          <w:szCs w:val="26"/>
        </w:rPr>
        <w:t>t</w:t>
      </w:r>
      <w:r w:rsidR="00AD42E5" w:rsidRPr="00892401">
        <w:rPr>
          <w:rFonts w:ascii="Arial" w:hAnsi="Arial" w:cs="Arial"/>
          <w:b/>
          <w:sz w:val="26"/>
          <w:szCs w:val="26"/>
        </w:rPr>
        <w:t xml:space="preserve">he Twelve Months </w:t>
      </w:r>
      <w:r w:rsidR="007A357C">
        <w:rPr>
          <w:rFonts w:ascii="Arial" w:hAnsi="Arial" w:cs="Arial"/>
          <w:b/>
          <w:sz w:val="26"/>
          <w:szCs w:val="26"/>
        </w:rPr>
        <w:t>e</w:t>
      </w:r>
      <w:r w:rsidR="00AD42E5" w:rsidRPr="00892401">
        <w:rPr>
          <w:rFonts w:ascii="Arial" w:hAnsi="Arial" w:cs="Arial"/>
          <w:b/>
          <w:sz w:val="26"/>
          <w:szCs w:val="26"/>
        </w:rPr>
        <w:t xml:space="preserve">nded </w:t>
      </w:r>
      <w:r w:rsidR="00C10015">
        <w:rPr>
          <w:rFonts w:ascii="Arial" w:hAnsi="Arial" w:cs="Arial"/>
          <w:b/>
          <w:sz w:val="26"/>
          <w:szCs w:val="26"/>
        </w:rPr>
        <w:t>March</w:t>
      </w:r>
      <w:r w:rsidR="00FA2EE5">
        <w:rPr>
          <w:rFonts w:ascii="Arial" w:hAnsi="Arial" w:cs="Arial"/>
          <w:b/>
          <w:sz w:val="26"/>
          <w:szCs w:val="26"/>
        </w:rPr>
        <w:t xml:space="preserve"> 3</w:t>
      </w:r>
      <w:r w:rsidR="00C10015">
        <w:rPr>
          <w:rFonts w:ascii="Arial" w:hAnsi="Arial" w:cs="Arial"/>
          <w:b/>
          <w:sz w:val="26"/>
          <w:szCs w:val="26"/>
        </w:rPr>
        <w:t>1</w:t>
      </w:r>
      <w:r w:rsidR="00B0369E">
        <w:rPr>
          <w:rFonts w:ascii="Arial" w:hAnsi="Arial" w:cs="Arial"/>
          <w:b/>
          <w:sz w:val="26"/>
          <w:szCs w:val="26"/>
        </w:rPr>
        <w:t>, 201</w:t>
      </w:r>
      <w:r w:rsidR="00C10015">
        <w:rPr>
          <w:rFonts w:ascii="Arial" w:hAnsi="Arial" w:cs="Arial"/>
          <w:b/>
          <w:sz w:val="26"/>
          <w:szCs w:val="26"/>
        </w:rPr>
        <w:t>6</w:t>
      </w:r>
      <w:r w:rsidR="00C605CB">
        <w:rPr>
          <w:rStyle w:val="FootnoteReference"/>
          <w:rFonts w:ascii="Arial" w:hAnsi="Arial" w:cs="Arial"/>
          <w:b/>
          <w:sz w:val="26"/>
          <w:szCs w:val="26"/>
        </w:rPr>
        <w:footnoteReference w:id="4"/>
      </w:r>
    </w:p>
    <w:p w14:paraId="42EDDB7D" w14:textId="77777777" w:rsidR="00E4218B" w:rsidRPr="00892401" w:rsidRDefault="00E4218B" w:rsidP="00AD42E5">
      <w:pPr>
        <w:jc w:val="center"/>
        <w:rPr>
          <w:rFonts w:ascii="Arial" w:hAnsi="Arial" w:cs="Arial"/>
          <w:b/>
          <w:sz w:val="26"/>
          <w:szCs w:val="26"/>
        </w:rPr>
      </w:pPr>
    </w:p>
    <w:p w14:paraId="12CE3D6E" w14:textId="77777777" w:rsidR="00AD42E5" w:rsidRDefault="00AD42E5" w:rsidP="00AD42E5">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A354DA" w:rsidRPr="004C5D7C" w14:paraId="105F973C" w14:textId="77777777" w:rsidTr="00092321">
        <w:trPr>
          <w:trHeight w:val="729"/>
        </w:trPr>
        <w:tc>
          <w:tcPr>
            <w:tcW w:w="3078" w:type="dxa"/>
            <w:tcBorders>
              <w:bottom w:val="single" w:sz="12" w:space="0" w:color="auto"/>
            </w:tcBorders>
            <w:noWrap/>
            <w:vAlign w:val="bottom"/>
          </w:tcPr>
          <w:p w14:paraId="0D1753A5" w14:textId="77777777" w:rsidR="008224ED" w:rsidRPr="003C2644" w:rsidRDefault="008224ED" w:rsidP="004C5D7C">
            <w:pPr>
              <w:ind w:right="368"/>
              <w:jc w:val="center"/>
              <w:rPr>
                <w:rFonts w:ascii="Arial" w:hAnsi="Arial" w:cs="Arial"/>
                <w:b/>
                <w:szCs w:val="24"/>
              </w:rPr>
            </w:pPr>
          </w:p>
          <w:p w14:paraId="52F09AA3" w14:textId="77777777" w:rsidR="00A354DA" w:rsidRPr="003C2644" w:rsidRDefault="00A354DA" w:rsidP="004C5D7C">
            <w:pPr>
              <w:rPr>
                <w:rFonts w:ascii="Arial" w:hAnsi="Arial" w:cs="Arial"/>
                <w:b/>
                <w:szCs w:val="24"/>
              </w:rPr>
            </w:pPr>
            <w:r w:rsidRPr="003C2644">
              <w:rPr>
                <w:rFonts w:ascii="Arial" w:hAnsi="Arial" w:cs="Arial"/>
                <w:b/>
                <w:szCs w:val="24"/>
              </w:rPr>
              <w:t>Customer Class</w:t>
            </w:r>
          </w:p>
        </w:tc>
        <w:tc>
          <w:tcPr>
            <w:tcW w:w="270" w:type="dxa"/>
          </w:tcPr>
          <w:p w14:paraId="736933CE" w14:textId="77777777" w:rsidR="00A354DA" w:rsidRPr="003C2644" w:rsidRDefault="00A354DA" w:rsidP="004C5D7C">
            <w:pPr>
              <w:jc w:val="center"/>
              <w:rPr>
                <w:rFonts w:ascii="Arial" w:hAnsi="Arial" w:cs="Arial"/>
                <w:szCs w:val="24"/>
              </w:rPr>
            </w:pPr>
          </w:p>
        </w:tc>
        <w:tc>
          <w:tcPr>
            <w:tcW w:w="2070" w:type="dxa"/>
            <w:tcBorders>
              <w:bottom w:val="single" w:sz="12" w:space="0" w:color="auto"/>
            </w:tcBorders>
            <w:noWrap/>
            <w:vAlign w:val="bottom"/>
          </w:tcPr>
          <w:p w14:paraId="25F568D0" w14:textId="77777777" w:rsidR="00A354DA" w:rsidRPr="003C2644" w:rsidRDefault="00A354DA" w:rsidP="00897C90">
            <w:pPr>
              <w:jc w:val="center"/>
              <w:rPr>
                <w:rFonts w:ascii="Arial" w:hAnsi="Arial" w:cs="Arial"/>
                <w:b/>
                <w:szCs w:val="24"/>
              </w:rPr>
            </w:pPr>
            <w:r w:rsidRPr="003C2644">
              <w:rPr>
                <w:rFonts w:ascii="Arial" w:hAnsi="Arial" w:cs="Arial"/>
                <w:b/>
                <w:szCs w:val="24"/>
              </w:rPr>
              <w:t>TSC</w:t>
            </w:r>
          </w:p>
          <w:p w14:paraId="52C2BA85" w14:textId="7B876803" w:rsidR="00A354DA" w:rsidRPr="003C2644" w:rsidRDefault="00A354DA" w:rsidP="00897C90">
            <w:pPr>
              <w:jc w:val="center"/>
              <w:rPr>
                <w:rFonts w:ascii="Arial" w:hAnsi="Arial" w:cs="Arial"/>
                <w:b/>
                <w:szCs w:val="24"/>
              </w:rPr>
            </w:pPr>
            <w:r w:rsidRPr="003C2644">
              <w:rPr>
                <w:rFonts w:ascii="Arial" w:hAnsi="Arial" w:cs="Arial"/>
                <w:b/>
                <w:szCs w:val="24"/>
              </w:rPr>
              <w:t>Revenue</w:t>
            </w:r>
          </w:p>
        </w:tc>
        <w:tc>
          <w:tcPr>
            <w:tcW w:w="270" w:type="dxa"/>
          </w:tcPr>
          <w:p w14:paraId="137A5AAF" w14:textId="77777777" w:rsidR="00A354DA" w:rsidRPr="003C2644" w:rsidRDefault="00A354DA" w:rsidP="004C5D7C">
            <w:pPr>
              <w:ind w:right="2749"/>
              <w:jc w:val="center"/>
              <w:rPr>
                <w:rFonts w:ascii="Arial" w:hAnsi="Arial" w:cs="Arial"/>
                <w:szCs w:val="24"/>
              </w:rPr>
            </w:pPr>
          </w:p>
        </w:tc>
        <w:tc>
          <w:tcPr>
            <w:tcW w:w="2070" w:type="dxa"/>
            <w:tcBorders>
              <w:bottom w:val="single" w:sz="12" w:space="0" w:color="auto"/>
            </w:tcBorders>
            <w:noWrap/>
            <w:vAlign w:val="bottom"/>
          </w:tcPr>
          <w:p w14:paraId="57F5A14C" w14:textId="77777777" w:rsidR="00A354DA" w:rsidRPr="003C2644" w:rsidRDefault="00A354DA" w:rsidP="004C5D7C">
            <w:pPr>
              <w:jc w:val="center"/>
              <w:rPr>
                <w:rFonts w:ascii="Arial" w:hAnsi="Arial" w:cs="Arial"/>
                <w:b/>
                <w:szCs w:val="24"/>
              </w:rPr>
            </w:pPr>
            <w:r w:rsidRPr="003C2644">
              <w:rPr>
                <w:rFonts w:ascii="Arial" w:hAnsi="Arial" w:cs="Arial"/>
                <w:b/>
                <w:szCs w:val="24"/>
              </w:rPr>
              <w:t>TSC</w:t>
            </w:r>
          </w:p>
          <w:p w14:paraId="0539C385" w14:textId="77777777" w:rsidR="00A354DA" w:rsidRPr="003C2644" w:rsidRDefault="00A354DA" w:rsidP="004C5D7C">
            <w:pPr>
              <w:jc w:val="center"/>
              <w:rPr>
                <w:rFonts w:ascii="Arial" w:hAnsi="Arial" w:cs="Arial"/>
                <w:b/>
                <w:szCs w:val="24"/>
              </w:rPr>
            </w:pPr>
            <w:r w:rsidRPr="003C2644">
              <w:rPr>
                <w:rFonts w:ascii="Arial" w:hAnsi="Arial" w:cs="Arial"/>
                <w:b/>
                <w:szCs w:val="24"/>
              </w:rPr>
              <w:t>Expenses</w:t>
            </w:r>
          </w:p>
        </w:tc>
        <w:tc>
          <w:tcPr>
            <w:tcW w:w="270" w:type="dxa"/>
          </w:tcPr>
          <w:p w14:paraId="140E6FCE" w14:textId="77777777" w:rsidR="00A354DA" w:rsidRPr="003C2644" w:rsidRDefault="00A354DA" w:rsidP="004C5D7C">
            <w:pPr>
              <w:jc w:val="center"/>
              <w:rPr>
                <w:rFonts w:ascii="Arial" w:hAnsi="Arial" w:cs="Arial"/>
                <w:szCs w:val="24"/>
              </w:rPr>
            </w:pPr>
          </w:p>
        </w:tc>
        <w:tc>
          <w:tcPr>
            <w:tcW w:w="1890" w:type="dxa"/>
            <w:tcBorders>
              <w:bottom w:val="single" w:sz="12" w:space="0" w:color="auto"/>
            </w:tcBorders>
            <w:noWrap/>
            <w:vAlign w:val="bottom"/>
          </w:tcPr>
          <w:p w14:paraId="08E3E4F1" w14:textId="77777777" w:rsidR="00A354DA" w:rsidRPr="003C2644" w:rsidRDefault="00A354DA" w:rsidP="004C5D7C">
            <w:pPr>
              <w:jc w:val="center"/>
              <w:rPr>
                <w:rFonts w:ascii="Arial" w:hAnsi="Arial" w:cs="Arial"/>
                <w:b/>
                <w:szCs w:val="24"/>
              </w:rPr>
            </w:pPr>
            <w:r w:rsidRPr="003C2644">
              <w:rPr>
                <w:rFonts w:ascii="Arial" w:hAnsi="Arial" w:cs="Arial"/>
                <w:b/>
                <w:szCs w:val="24"/>
              </w:rPr>
              <w:t>Over/(Under)</w:t>
            </w:r>
          </w:p>
          <w:p w14:paraId="29D2A062" w14:textId="77777777" w:rsidR="00A354DA" w:rsidRPr="003C2644" w:rsidRDefault="00A354DA" w:rsidP="004C5D7C">
            <w:pPr>
              <w:jc w:val="center"/>
              <w:rPr>
                <w:rFonts w:ascii="Arial" w:hAnsi="Arial" w:cs="Arial"/>
                <w:b/>
                <w:szCs w:val="24"/>
              </w:rPr>
            </w:pPr>
            <w:r w:rsidRPr="003C2644">
              <w:rPr>
                <w:rFonts w:ascii="Arial" w:hAnsi="Arial" w:cs="Arial"/>
                <w:b/>
                <w:szCs w:val="24"/>
              </w:rPr>
              <w:t>Collections</w:t>
            </w:r>
          </w:p>
        </w:tc>
      </w:tr>
      <w:tr w:rsidR="004C5D7C" w:rsidRPr="004C5D7C" w14:paraId="68468B9E" w14:textId="77777777" w:rsidTr="00092321">
        <w:trPr>
          <w:trHeight w:val="300"/>
        </w:trPr>
        <w:tc>
          <w:tcPr>
            <w:tcW w:w="3078" w:type="dxa"/>
            <w:tcBorders>
              <w:top w:val="single" w:sz="12" w:space="0" w:color="auto"/>
            </w:tcBorders>
            <w:noWrap/>
            <w:vAlign w:val="bottom"/>
          </w:tcPr>
          <w:p w14:paraId="3E39A526" w14:textId="77777777" w:rsidR="004C5D7C" w:rsidRPr="003C2644" w:rsidRDefault="004C5D7C" w:rsidP="004C5D7C">
            <w:pPr>
              <w:ind w:right="368"/>
              <w:jc w:val="center"/>
              <w:rPr>
                <w:rFonts w:ascii="Arial" w:hAnsi="Arial" w:cs="Arial"/>
                <w:b/>
                <w:szCs w:val="24"/>
              </w:rPr>
            </w:pPr>
          </w:p>
        </w:tc>
        <w:tc>
          <w:tcPr>
            <w:tcW w:w="270" w:type="dxa"/>
          </w:tcPr>
          <w:p w14:paraId="4481802A" w14:textId="77777777" w:rsidR="004C5D7C" w:rsidRPr="003C2644" w:rsidRDefault="004C5D7C" w:rsidP="004C5D7C">
            <w:pPr>
              <w:jc w:val="center"/>
              <w:rPr>
                <w:rFonts w:ascii="Arial" w:hAnsi="Arial" w:cs="Arial"/>
                <w:szCs w:val="24"/>
              </w:rPr>
            </w:pPr>
          </w:p>
        </w:tc>
        <w:tc>
          <w:tcPr>
            <w:tcW w:w="2070" w:type="dxa"/>
            <w:tcBorders>
              <w:top w:val="single" w:sz="12" w:space="0" w:color="auto"/>
            </w:tcBorders>
            <w:noWrap/>
            <w:vAlign w:val="bottom"/>
          </w:tcPr>
          <w:p w14:paraId="371EB189" w14:textId="77777777" w:rsidR="004C5D7C" w:rsidRPr="00C60BCA" w:rsidRDefault="004C5D7C" w:rsidP="004C5D7C">
            <w:pPr>
              <w:jc w:val="center"/>
              <w:rPr>
                <w:rFonts w:ascii="Arial" w:hAnsi="Arial" w:cs="Arial"/>
                <w:sz w:val="20"/>
              </w:rPr>
            </w:pPr>
            <w:r w:rsidRPr="00C60BCA">
              <w:rPr>
                <w:rFonts w:ascii="Arial" w:hAnsi="Arial" w:cs="Arial"/>
                <w:sz w:val="20"/>
              </w:rPr>
              <w:t>(1)</w:t>
            </w:r>
          </w:p>
        </w:tc>
        <w:tc>
          <w:tcPr>
            <w:tcW w:w="270" w:type="dxa"/>
          </w:tcPr>
          <w:p w14:paraId="2F8DAC49" w14:textId="77777777" w:rsidR="004C5D7C" w:rsidRPr="00C60BCA" w:rsidRDefault="004C5D7C" w:rsidP="004C5D7C">
            <w:pPr>
              <w:ind w:right="2749"/>
              <w:jc w:val="center"/>
              <w:rPr>
                <w:rFonts w:ascii="Arial" w:hAnsi="Arial" w:cs="Arial"/>
                <w:sz w:val="20"/>
              </w:rPr>
            </w:pPr>
          </w:p>
        </w:tc>
        <w:tc>
          <w:tcPr>
            <w:tcW w:w="2070" w:type="dxa"/>
            <w:tcBorders>
              <w:top w:val="single" w:sz="12" w:space="0" w:color="auto"/>
            </w:tcBorders>
            <w:noWrap/>
            <w:vAlign w:val="bottom"/>
          </w:tcPr>
          <w:p w14:paraId="69174C5A" w14:textId="77777777" w:rsidR="004C5D7C" w:rsidRPr="00C60BCA" w:rsidRDefault="004C5D7C" w:rsidP="004C5D7C">
            <w:pPr>
              <w:jc w:val="center"/>
              <w:rPr>
                <w:rFonts w:ascii="Arial" w:hAnsi="Arial" w:cs="Arial"/>
                <w:sz w:val="20"/>
              </w:rPr>
            </w:pPr>
            <w:r w:rsidRPr="00C60BCA">
              <w:rPr>
                <w:rFonts w:ascii="Arial" w:hAnsi="Arial" w:cs="Arial"/>
                <w:sz w:val="20"/>
              </w:rPr>
              <w:t>(2)</w:t>
            </w:r>
          </w:p>
        </w:tc>
        <w:tc>
          <w:tcPr>
            <w:tcW w:w="270" w:type="dxa"/>
          </w:tcPr>
          <w:p w14:paraId="3DD8FEC0" w14:textId="77777777" w:rsidR="004C5D7C" w:rsidRPr="00C60BCA" w:rsidRDefault="004C5D7C" w:rsidP="004C5D7C">
            <w:pPr>
              <w:jc w:val="center"/>
              <w:rPr>
                <w:rFonts w:ascii="Arial" w:hAnsi="Arial" w:cs="Arial"/>
                <w:sz w:val="20"/>
              </w:rPr>
            </w:pPr>
          </w:p>
        </w:tc>
        <w:tc>
          <w:tcPr>
            <w:tcW w:w="1890" w:type="dxa"/>
            <w:tcBorders>
              <w:top w:val="single" w:sz="12" w:space="0" w:color="auto"/>
            </w:tcBorders>
            <w:noWrap/>
            <w:vAlign w:val="bottom"/>
          </w:tcPr>
          <w:p w14:paraId="48B1CE5C" w14:textId="77777777" w:rsidR="004C5D7C" w:rsidRPr="00C60BCA" w:rsidRDefault="004C5D7C" w:rsidP="004C5D7C">
            <w:pPr>
              <w:jc w:val="center"/>
              <w:rPr>
                <w:rFonts w:ascii="Arial" w:hAnsi="Arial" w:cs="Arial"/>
                <w:sz w:val="20"/>
              </w:rPr>
            </w:pPr>
            <w:r w:rsidRPr="00C60BCA">
              <w:rPr>
                <w:rFonts w:ascii="Arial" w:hAnsi="Arial" w:cs="Arial"/>
                <w:sz w:val="20"/>
              </w:rPr>
              <w:t>(3)</w:t>
            </w:r>
            <w:r w:rsidR="00E86271" w:rsidRPr="00C60BCA">
              <w:rPr>
                <w:rFonts w:ascii="Arial" w:hAnsi="Arial" w:cs="Arial"/>
                <w:sz w:val="20"/>
              </w:rPr>
              <w:t xml:space="preserve"> </w:t>
            </w:r>
            <w:r w:rsidRPr="00C60BCA">
              <w:rPr>
                <w:rFonts w:ascii="Arial" w:hAnsi="Arial" w:cs="Arial"/>
                <w:sz w:val="20"/>
              </w:rPr>
              <w:t>=</w:t>
            </w:r>
            <w:r w:rsidR="00E86271" w:rsidRPr="00C60BCA">
              <w:rPr>
                <w:rFonts w:ascii="Arial" w:hAnsi="Arial" w:cs="Arial"/>
                <w:sz w:val="20"/>
              </w:rPr>
              <w:t xml:space="preserve"> </w:t>
            </w:r>
            <w:r w:rsidRPr="00C60BCA">
              <w:rPr>
                <w:rFonts w:ascii="Arial" w:hAnsi="Arial" w:cs="Arial"/>
                <w:sz w:val="20"/>
              </w:rPr>
              <w:t>(1)</w:t>
            </w:r>
            <w:r w:rsidR="00E86271" w:rsidRPr="00C60BCA">
              <w:rPr>
                <w:rFonts w:ascii="Arial" w:hAnsi="Arial" w:cs="Arial"/>
                <w:sz w:val="20"/>
              </w:rPr>
              <w:t xml:space="preserve"> </w:t>
            </w:r>
            <w:r w:rsidRPr="00C60BCA">
              <w:rPr>
                <w:rFonts w:ascii="Arial" w:hAnsi="Arial" w:cs="Arial"/>
                <w:sz w:val="20"/>
              </w:rPr>
              <w:t>-</w:t>
            </w:r>
            <w:r w:rsidR="00E86271" w:rsidRPr="00C60BCA">
              <w:rPr>
                <w:rFonts w:ascii="Arial" w:hAnsi="Arial" w:cs="Arial"/>
                <w:sz w:val="20"/>
              </w:rPr>
              <w:t xml:space="preserve"> </w:t>
            </w:r>
            <w:r w:rsidRPr="00C60BCA">
              <w:rPr>
                <w:rFonts w:ascii="Arial" w:hAnsi="Arial" w:cs="Arial"/>
                <w:sz w:val="20"/>
              </w:rPr>
              <w:t>(2)</w:t>
            </w:r>
          </w:p>
        </w:tc>
      </w:tr>
      <w:tr w:rsidR="004C5D7C" w:rsidRPr="004C5D7C" w14:paraId="03345F05" w14:textId="77777777" w:rsidTr="00897C90">
        <w:trPr>
          <w:trHeight w:val="427"/>
        </w:trPr>
        <w:tc>
          <w:tcPr>
            <w:tcW w:w="3078" w:type="dxa"/>
            <w:noWrap/>
          </w:tcPr>
          <w:p w14:paraId="4B2C832D" w14:textId="77777777" w:rsidR="004C5D7C" w:rsidRPr="004C5D7C" w:rsidRDefault="004C5D7C" w:rsidP="004C5D7C">
            <w:pPr>
              <w:rPr>
                <w:rFonts w:ascii="Arial" w:hAnsi="Arial" w:cs="Arial"/>
                <w:szCs w:val="24"/>
              </w:rPr>
            </w:pPr>
          </w:p>
          <w:p w14:paraId="05B128AC" w14:textId="77777777" w:rsidR="004C5D7C" w:rsidRPr="004C5D7C" w:rsidRDefault="004C5D7C" w:rsidP="004C5D7C">
            <w:pPr>
              <w:rPr>
                <w:rFonts w:ascii="Arial" w:hAnsi="Arial" w:cs="Arial"/>
                <w:szCs w:val="24"/>
              </w:rPr>
            </w:pPr>
            <w:r w:rsidRPr="004C5D7C">
              <w:rPr>
                <w:rFonts w:ascii="Arial" w:hAnsi="Arial" w:cs="Arial"/>
                <w:szCs w:val="24"/>
              </w:rPr>
              <w:t>Residential</w:t>
            </w:r>
          </w:p>
        </w:tc>
        <w:tc>
          <w:tcPr>
            <w:tcW w:w="270" w:type="dxa"/>
          </w:tcPr>
          <w:p w14:paraId="7872015C" w14:textId="77777777" w:rsidR="004C5D7C" w:rsidRPr="004C5D7C" w:rsidRDefault="004C5D7C" w:rsidP="004C5D7C">
            <w:pPr>
              <w:tabs>
                <w:tab w:val="decimal" w:pos="1524"/>
              </w:tabs>
              <w:rPr>
                <w:rFonts w:ascii="Arial" w:hAnsi="Arial" w:cs="Arial"/>
                <w:szCs w:val="24"/>
              </w:rPr>
            </w:pPr>
          </w:p>
        </w:tc>
        <w:tc>
          <w:tcPr>
            <w:tcW w:w="2070" w:type="dxa"/>
            <w:noWrap/>
          </w:tcPr>
          <w:p w14:paraId="48AB0D13" w14:textId="77777777" w:rsidR="00517E1A" w:rsidRDefault="00517E1A" w:rsidP="00194014">
            <w:pPr>
              <w:tabs>
                <w:tab w:val="decimal" w:pos="1524"/>
              </w:tabs>
              <w:jc w:val="right"/>
              <w:rPr>
                <w:rFonts w:ascii="Arial" w:hAnsi="Arial" w:cs="Arial"/>
                <w:szCs w:val="24"/>
              </w:rPr>
            </w:pPr>
          </w:p>
          <w:p w14:paraId="6521660B" w14:textId="77777777" w:rsidR="004C5D7C" w:rsidRPr="005B4446" w:rsidRDefault="004C5D7C" w:rsidP="00194014">
            <w:pPr>
              <w:tabs>
                <w:tab w:val="decimal" w:pos="1524"/>
              </w:tabs>
              <w:jc w:val="right"/>
              <w:rPr>
                <w:rFonts w:ascii="Arial" w:hAnsi="Arial" w:cs="Arial"/>
                <w:szCs w:val="24"/>
              </w:rPr>
            </w:pPr>
            <w:r w:rsidRPr="005B4446">
              <w:rPr>
                <w:rFonts w:ascii="Arial" w:hAnsi="Arial" w:cs="Arial"/>
                <w:szCs w:val="24"/>
              </w:rPr>
              <w:t xml:space="preserve">  $  </w:t>
            </w:r>
            <w:r w:rsidR="0023043A" w:rsidRPr="005B4446">
              <w:rPr>
                <w:rFonts w:ascii="Arial" w:hAnsi="Arial" w:cs="Arial"/>
                <w:szCs w:val="24"/>
              </w:rPr>
              <w:t xml:space="preserve"> </w:t>
            </w:r>
            <w:r w:rsidR="00C71C1B">
              <w:rPr>
                <w:rFonts w:ascii="Arial" w:hAnsi="Arial" w:cs="Arial"/>
                <w:szCs w:val="24"/>
              </w:rPr>
              <w:t>71,430,501</w:t>
            </w:r>
          </w:p>
        </w:tc>
        <w:tc>
          <w:tcPr>
            <w:tcW w:w="270" w:type="dxa"/>
          </w:tcPr>
          <w:p w14:paraId="4D54B386" w14:textId="77777777" w:rsidR="004C5D7C" w:rsidRPr="007D542C" w:rsidRDefault="004C5D7C" w:rsidP="004C5D7C">
            <w:pPr>
              <w:jc w:val="right"/>
              <w:rPr>
                <w:rFonts w:ascii="Arial" w:eastAsia="Calibri" w:hAnsi="Arial" w:cs="Arial"/>
                <w:szCs w:val="24"/>
                <w:highlight w:val="yellow"/>
              </w:rPr>
            </w:pPr>
          </w:p>
        </w:tc>
        <w:tc>
          <w:tcPr>
            <w:tcW w:w="2070" w:type="dxa"/>
            <w:noWrap/>
            <w:vAlign w:val="bottom"/>
          </w:tcPr>
          <w:p w14:paraId="4577FB5D" w14:textId="77777777" w:rsidR="004C5D7C" w:rsidRPr="009D60DD" w:rsidRDefault="004C5D7C" w:rsidP="00194014">
            <w:pPr>
              <w:tabs>
                <w:tab w:val="decimal" w:pos="1692"/>
              </w:tabs>
              <w:rPr>
                <w:rFonts w:ascii="Arial" w:hAnsi="Arial" w:cs="Arial"/>
                <w:szCs w:val="24"/>
              </w:rPr>
            </w:pPr>
            <w:r w:rsidRPr="009D60DD">
              <w:rPr>
                <w:rFonts w:ascii="Arial" w:hAnsi="Arial" w:cs="Arial"/>
                <w:szCs w:val="24"/>
              </w:rPr>
              <w:t xml:space="preserve">$ </w:t>
            </w:r>
            <w:r w:rsidR="009C1714" w:rsidRPr="009D60DD">
              <w:rPr>
                <w:rFonts w:ascii="Arial" w:hAnsi="Arial" w:cs="Arial"/>
                <w:szCs w:val="24"/>
              </w:rPr>
              <w:t xml:space="preserve"> </w:t>
            </w:r>
            <w:r w:rsidR="0023043A" w:rsidRPr="009D60DD">
              <w:rPr>
                <w:rFonts w:ascii="Arial" w:hAnsi="Arial" w:cs="Arial"/>
                <w:szCs w:val="24"/>
              </w:rPr>
              <w:t xml:space="preserve"> </w:t>
            </w:r>
            <w:r w:rsidR="00B700BB">
              <w:rPr>
                <w:rFonts w:ascii="Arial" w:hAnsi="Arial" w:cs="Arial"/>
                <w:szCs w:val="24"/>
              </w:rPr>
              <w:t>79,373,817</w:t>
            </w:r>
          </w:p>
        </w:tc>
        <w:tc>
          <w:tcPr>
            <w:tcW w:w="270" w:type="dxa"/>
          </w:tcPr>
          <w:p w14:paraId="26F2F6E7" w14:textId="77777777" w:rsidR="004C5D7C" w:rsidRPr="007D542C" w:rsidRDefault="004C5D7C" w:rsidP="009C1714">
            <w:pPr>
              <w:rPr>
                <w:rFonts w:ascii="Arial" w:eastAsia="Calibri" w:hAnsi="Arial" w:cs="Arial"/>
                <w:szCs w:val="24"/>
                <w:highlight w:val="yellow"/>
              </w:rPr>
            </w:pPr>
          </w:p>
        </w:tc>
        <w:tc>
          <w:tcPr>
            <w:tcW w:w="1890" w:type="dxa"/>
            <w:noWrap/>
            <w:vAlign w:val="bottom"/>
          </w:tcPr>
          <w:p w14:paraId="51F6C6C5" w14:textId="77777777" w:rsidR="004C5D7C" w:rsidRPr="00DC3DD7" w:rsidRDefault="00194014" w:rsidP="00194014">
            <w:pPr>
              <w:rPr>
                <w:rFonts w:ascii="Arial" w:eastAsia="Calibri" w:hAnsi="Arial" w:cs="Arial"/>
                <w:szCs w:val="24"/>
              </w:rPr>
            </w:pPr>
            <w:r>
              <w:rPr>
                <w:rFonts w:ascii="Arial" w:eastAsia="Calibri" w:hAnsi="Arial" w:cs="Arial"/>
                <w:szCs w:val="24"/>
              </w:rPr>
              <w:t xml:space="preserve"> </w:t>
            </w:r>
            <w:r w:rsidR="00D12C31" w:rsidRPr="00DC3DD7">
              <w:rPr>
                <w:rFonts w:ascii="Arial" w:eastAsia="Calibri" w:hAnsi="Arial" w:cs="Arial"/>
                <w:szCs w:val="24"/>
              </w:rPr>
              <w:t>$</w:t>
            </w:r>
            <w:proofErr w:type="gramStart"/>
            <w:r w:rsidR="00D12C31" w:rsidRPr="00DC3DD7">
              <w:rPr>
                <w:rFonts w:ascii="Arial" w:eastAsia="Calibri" w:hAnsi="Arial" w:cs="Arial"/>
                <w:szCs w:val="24"/>
              </w:rPr>
              <w:t xml:space="preserve">   (</w:t>
            </w:r>
            <w:proofErr w:type="gramEnd"/>
            <w:r w:rsidR="00DD45C8">
              <w:rPr>
                <w:rFonts w:ascii="Arial" w:eastAsia="Calibri" w:hAnsi="Arial" w:cs="Arial"/>
                <w:szCs w:val="24"/>
              </w:rPr>
              <w:t>7,943,316</w:t>
            </w:r>
            <w:r w:rsidR="004C5D7C" w:rsidRPr="00DC3DD7">
              <w:rPr>
                <w:rFonts w:ascii="Arial" w:eastAsia="Calibri" w:hAnsi="Arial" w:cs="Arial"/>
                <w:szCs w:val="24"/>
              </w:rPr>
              <w:t>)</w:t>
            </w:r>
          </w:p>
        </w:tc>
      </w:tr>
      <w:tr w:rsidR="004C5D7C" w:rsidRPr="004C5D7C" w14:paraId="0CC7BFB6" w14:textId="77777777" w:rsidTr="00897C90">
        <w:trPr>
          <w:trHeight w:val="81"/>
        </w:trPr>
        <w:tc>
          <w:tcPr>
            <w:tcW w:w="3078" w:type="dxa"/>
            <w:noWrap/>
          </w:tcPr>
          <w:p w14:paraId="0B2DE211" w14:textId="77777777" w:rsidR="004C5D7C" w:rsidRPr="004C5D7C" w:rsidRDefault="004C5D7C" w:rsidP="004C5D7C">
            <w:pPr>
              <w:jc w:val="center"/>
              <w:rPr>
                <w:rFonts w:ascii="Arial" w:hAnsi="Arial" w:cs="Arial"/>
                <w:szCs w:val="24"/>
                <w:u w:val="single"/>
              </w:rPr>
            </w:pPr>
          </w:p>
        </w:tc>
        <w:tc>
          <w:tcPr>
            <w:tcW w:w="270" w:type="dxa"/>
          </w:tcPr>
          <w:p w14:paraId="7A464FD6" w14:textId="77777777" w:rsidR="004C5D7C" w:rsidRPr="004C5D7C" w:rsidRDefault="004C5D7C" w:rsidP="004C5D7C">
            <w:pPr>
              <w:tabs>
                <w:tab w:val="decimal" w:pos="1524"/>
              </w:tabs>
              <w:rPr>
                <w:rFonts w:ascii="Arial" w:hAnsi="Arial" w:cs="Arial"/>
                <w:szCs w:val="24"/>
              </w:rPr>
            </w:pPr>
          </w:p>
        </w:tc>
        <w:tc>
          <w:tcPr>
            <w:tcW w:w="2070" w:type="dxa"/>
            <w:noWrap/>
          </w:tcPr>
          <w:p w14:paraId="7671B546" w14:textId="77777777" w:rsidR="004C5D7C" w:rsidRPr="005B4446" w:rsidRDefault="004C5D7C" w:rsidP="0023043A">
            <w:pPr>
              <w:tabs>
                <w:tab w:val="decimal" w:pos="1524"/>
              </w:tabs>
              <w:jc w:val="right"/>
              <w:rPr>
                <w:rFonts w:ascii="Arial" w:hAnsi="Arial" w:cs="Arial"/>
                <w:szCs w:val="24"/>
              </w:rPr>
            </w:pPr>
          </w:p>
        </w:tc>
        <w:tc>
          <w:tcPr>
            <w:tcW w:w="270" w:type="dxa"/>
          </w:tcPr>
          <w:p w14:paraId="034428C2" w14:textId="77777777" w:rsidR="004C5D7C" w:rsidRPr="007D542C" w:rsidRDefault="004C5D7C" w:rsidP="004C5D7C">
            <w:pPr>
              <w:jc w:val="right"/>
              <w:rPr>
                <w:rFonts w:ascii="Arial" w:eastAsia="Calibri" w:hAnsi="Arial" w:cs="Arial"/>
                <w:szCs w:val="24"/>
                <w:highlight w:val="yellow"/>
              </w:rPr>
            </w:pPr>
          </w:p>
        </w:tc>
        <w:tc>
          <w:tcPr>
            <w:tcW w:w="2070" w:type="dxa"/>
            <w:noWrap/>
            <w:vAlign w:val="bottom"/>
          </w:tcPr>
          <w:p w14:paraId="68DC445C" w14:textId="77777777" w:rsidR="004C5D7C" w:rsidRPr="009D60DD" w:rsidRDefault="004C5D7C" w:rsidP="009C1714">
            <w:pPr>
              <w:tabs>
                <w:tab w:val="decimal" w:pos="1605"/>
              </w:tabs>
              <w:rPr>
                <w:rFonts w:ascii="Arial" w:hAnsi="Arial" w:cs="Arial"/>
                <w:szCs w:val="24"/>
              </w:rPr>
            </w:pPr>
          </w:p>
        </w:tc>
        <w:tc>
          <w:tcPr>
            <w:tcW w:w="270" w:type="dxa"/>
          </w:tcPr>
          <w:p w14:paraId="65376BDE" w14:textId="77777777" w:rsidR="004C5D7C" w:rsidRPr="007D542C" w:rsidRDefault="004C5D7C" w:rsidP="009C1714">
            <w:pPr>
              <w:rPr>
                <w:rFonts w:ascii="Arial" w:eastAsia="Calibri" w:hAnsi="Arial" w:cs="Arial"/>
                <w:szCs w:val="24"/>
                <w:highlight w:val="yellow"/>
              </w:rPr>
            </w:pPr>
          </w:p>
        </w:tc>
        <w:tc>
          <w:tcPr>
            <w:tcW w:w="1890" w:type="dxa"/>
            <w:noWrap/>
            <w:vAlign w:val="bottom"/>
          </w:tcPr>
          <w:p w14:paraId="1A320A74" w14:textId="77777777" w:rsidR="004C5D7C" w:rsidRPr="00DC3DD7" w:rsidRDefault="004C5D7C" w:rsidP="009C1714">
            <w:pPr>
              <w:rPr>
                <w:rFonts w:ascii="Arial" w:eastAsia="Calibri" w:hAnsi="Arial" w:cs="Arial"/>
                <w:szCs w:val="24"/>
              </w:rPr>
            </w:pPr>
          </w:p>
        </w:tc>
      </w:tr>
      <w:tr w:rsidR="00B13AF4" w:rsidRPr="004C5D7C" w14:paraId="39B180F5" w14:textId="77777777" w:rsidTr="0009305F">
        <w:trPr>
          <w:trHeight w:val="255"/>
        </w:trPr>
        <w:tc>
          <w:tcPr>
            <w:tcW w:w="3078" w:type="dxa"/>
            <w:noWrap/>
          </w:tcPr>
          <w:p w14:paraId="66126C1A" w14:textId="77777777" w:rsidR="00B13AF4" w:rsidRPr="004C5D7C" w:rsidRDefault="00B13AF4" w:rsidP="00897C90">
            <w:pPr>
              <w:rPr>
                <w:rFonts w:ascii="Arial" w:hAnsi="Arial" w:cs="Arial"/>
                <w:szCs w:val="24"/>
              </w:rPr>
            </w:pPr>
            <w:r w:rsidRPr="004C5D7C">
              <w:rPr>
                <w:rFonts w:ascii="Arial" w:hAnsi="Arial" w:cs="Arial"/>
                <w:szCs w:val="24"/>
              </w:rPr>
              <w:t xml:space="preserve">Small C&amp;I </w:t>
            </w:r>
          </w:p>
        </w:tc>
        <w:tc>
          <w:tcPr>
            <w:tcW w:w="270" w:type="dxa"/>
          </w:tcPr>
          <w:p w14:paraId="6BCA0A1E" w14:textId="77777777" w:rsidR="00B13AF4" w:rsidRPr="004C5D7C" w:rsidRDefault="00B13AF4" w:rsidP="004C5D7C">
            <w:pPr>
              <w:tabs>
                <w:tab w:val="decimal" w:pos="1524"/>
              </w:tabs>
              <w:rPr>
                <w:rFonts w:ascii="Arial" w:hAnsi="Arial" w:cs="Arial"/>
                <w:szCs w:val="24"/>
              </w:rPr>
            </w:pPr>
          </w:p>
        </w:tc>
        <w:tc>
          <w:tcPr>
            <w:tcW w:w="2070" w:type="dxa"/>
            <w:noWrap/>
            <w:vAlign w:val="bottom"/>
          </w:tcPr>
          <w:p w14:paraId="40F31796" w14:textId="77777777" w:rsidR="00B13AF4" w:rsidRPr="005B4446" w:rsidRDefault="005B4446" w:rsidP="00F20D68">
            <w:pPr>
              <w:jc w:val="right"/>
              <w:rPr>
                <w:rFonts w:ascii="Arial" w:hAnsi="Arial" w:cs="Arial"/>
                <w:szCs w:val="24"/>
              </w:rPr>
            </w:pPr>
            <w:r w:rsidRPr="005B4446">
              <w:rPr>
                <w:rFonts w:ascii="Arial" w:hAnsi="Arial" w:cs="Arial"/>
                <w:szCs w:val="24"/>
              </w:rPr>
              <w:t xml:space="preserve">         </w:t>
            </w:r>
            <w:r w:rsidR="00C71C1B">
              <w:rPr>
                <w:rFonts w:ascii="Arial" w:hAnsi="Arial" w:cs="Arial"/>
                <w:szCs w:val="24"/>
              </w:rPr>
              <w:t>12,055,775</w:t>
            </w:r>
          </w:p>
        </w:tc>
        <w:tc>
          <w:tcPr>
            <w:tcW w:w="270" w:type="dxa"/>
          </w:tcPr>
          <w:p w14:paraId="48DCA48B" w14:textId="77777777" w:rsidR="00B13AF4" w:rsidRPr="007D542C" w:rsidRDefault="00B13AF4" w:rsidP="004C5D7C">
            <w:pPr>
              <w:jc w:val="right"/>
              <w:rPr>
                <w:rFonts w:ascii="Arial" w:eastAsia="Calibri" w:hAnsi="Arial" w:cs="Arial"/>
                <w:szCs w:val="24"/>
                <w:highlight w:val="yellow"/>
              </w:rPr>
            </w:pPr>
          </w:p>
        </w:tc>
        <w:tc>
          <w:tcPr>
            <w:tcW w:w="2070" w:type="dxa"/>
            <w:noWrap/>
            <w:vAlign w:val="bottom"/>
          </w:tcPr>
          <w:p w14:paraId="53A1342C" w14:textId="77777777" w:rsidR="00B13AF4" w:rsidRPr="009D60DD" w:rsidRDefault="00DA08E2" w:rsidP="00027D0F">
            <w:pPr>
              <w:tabs>
                <w:tab w:val="decimal" w:pos="1605"/>
              </w:tabs>
              <w:rPr>
                <w:rFonts w:ascii="Arial" w:hAnsi="Arial" w:cs="Arial"/>
                <w:szCs w:val="24"/>
              </w:rPr>
            </w:pPr>
            <w:r w:rsidRPr="009D60DD">
              <w:rPr>
                <w:rFonts w:ascii="Arial" w:hAnsi="Arial" w:cs="Arial"/>
                <w:szCs w:val="24"/>
              </w:rPr>
              <w:t xml:space="preserve">       </w:t>
            </w:r>
            <w:r w:rsidR="00027D0F" w:rsidRPr="009D60DD">
              <w:rPr>
                <w:rFonts w:ascii="Arial" w:hAnsi="Arial" w:cs="Arial"/>
                <w:szCs w:val="24"/>
              </w:rPr>
              <w:t>1</w:t>
            </w:r>
            <w:r w:rsidR="00B700BB">
              <w:rPr>
                <w:rFonts w:ascii="Arial" w:hAnsi="Arial" w:cs="Arial"/>
                <w:szCs w:val="24"/>
              </w:rPr>
              <w:t>3,888,779</w:t>
            </w:r>
          </w:p>
        </w:tc>
        <w:tc>
          <w:tcPr>
            <w:tcW w:w="270" w:type="dxa"/>
          </w:tcPr>
          <w:p w14:paraId="6A5B675B" w14:textId="77777777" w:rsidR="00B13AF4" w:rsidRPr="007D542C" w:rsidRDefault="00B13AF4" w:rsidP="009C1714">
            <w:pPr>
              <w:rPr>
                <w:rFonts w:ascii="Arial" w:eastAsia="Calibri" w:hAnsi="Arial" w:cs="Arial"/>
                <w:szCs w:val="24"/>
                <w:highlight w:val="yellow"/>
              </w:rPr>
            </w:pPr>
          </w:p>
        </w:tc>
        <w:tc>
          <w:tcPr>
            <w:tcW w:w="1890" w:type="dxa"/>
            <w:noWrap/>
            <w:vAlign w:val="bottom"/>
          </w:tcPr>
          <w:p w14:paraId="4F98F310" w14:textId="77777777" w:rsidR="00B13AF4" w:rsidRPr="00DC3DD7" w:rsidRDefault="00AB4444" w:rsidP="009E3079">
            <w:pPr>
              <w:tabs>
                <w:tab w:val="left" w:pos="1152"/>
              </w:tabs>
              <w:ind w:right="-288"/>
              <w:jc w:val="center"/>
              <w:rPr>
                <w:rFonts w:ascii="Arial" w:eastAsia="Calibri" w:hAnsi="Arial" w:cs="Arial"/>
                <w:szCs w:val="24"/>
              </w:rPr>
            </w:pPr>
            <w:r>
              <w:rPr>
                <w:rFonts w:ascii="Arial" w:eastAsia="Calibri" w:hAnsi="Arial" w:cs="Arial"/>
                <w:szCs w:val="24"/>
              </w:rPr>
              <w:t xml:space="preserve"> </w:t>
            </w:r>
            <w:r w:rsidR="00DD45C8">
              <w:rPr>
                <w:rFonts w:ascii="Arial" w:eastAsia="Calibri" w:hAnsi="Arial" w:cs="Arial"/>
                <w:szCs w:val="24"/>
              </w:rPr>
              <w:t>(1,833,004)</w:t>
            </w:r>
          </w:p>
        </w:tc>
      </w:tr>
      <w:tr w:rsidR="004C5D7C" w:rsidRPr="004C5D7C" w14:paraId="53205373" w14:textId="77777777" w:rsidTr="00897C90">
        <w:trPr>
          <w:trHeight w:val="255"/>
        </w:trPr>
        <w:tc>
          <w:tcPr>
            <w:tcW w:w="3078" w:type="dxa"/>
            <w:noWrap/>
          </w:tcPr>
          <w:p w14:paraId="69AD102B" w14:textId="77777777" w:rsidR="004C5D7C" w:rsidRPr="004C5D7C" w:rsidRDefault="004C5D7C" w:rsidP="004C5D7C">
            <w:pPr>
              <w:rPr>
                <w:rFonts w:ascii="Arial" w:hAnsi="Arial" w:cs="Arial"/>
                <w:szCs w:val="24"/>
              </w:rPr>
            </w:pPr>
          </w:p>
        </w:tc>
        <w:tc>
          <w:tcPr>
            <w:tcW w:w="270" w:type="dxa"/>
          </w:tcPr>
          <w:p w14:paraId="2F52214E" w14:textId="77777777" w:rsidR="004C5D7C" w:rsidRPr="004C5D7C" w:rsidRDefault="004C5D7C" w:rsidP="004C5D7C">
            <w:pPr>
              <w:tabs>
                <w:tab w:val="decimal" w:pos="1524"/>
              </w:tabs>
              <w:rPr>
                <w:rFonts w:ascii="Arial" w:hAnsi="Arial" w:cs="Arial"/>
                <w:szCs w:val="24"/>
              </w:rPr>
            </w:pPr>
          </w:p>
        </w:tc>
        <w:tc>
          <w:tcPr>
            <w:tcW w:w="2070" w:type="dxa"/>
            <w:noWrap/>
          </w:tcPr>
          <w:p w14:paraId="7CD48573" w14:textId="77777777" w:rsidR="004C5D7C" w:rsidRPr="005B4446" w:rsidRDefault="004C5D7C" w:rsidP="0023043A">
            <w:pPr>
              <w:tabs>
                <w:tab w:val="decimal" w:pos="1524"/>
              </w:tabs>
              <w:jc w:val="right"/>
              <w:rPr>
                <w:rFonts w:ascii="Arial" w:hAnsi="Arial" w:cs="Arial"/>
                <w:szCs w:val="24"/>
              </w:rPr>
            </w:pPr>
          </w:p>
        </w:tc>
        <w:tc>
          <w:tcPr>
            <w:tcW w:w="270" w:type="dxa"/>
          </w:tcPr>
          <w:p w14:paraId="00107E00" w14:textId="77777777" w:rsidR="004C5D7C" w:rsidRPr="007D542C" w:rsidRDefault="004C5D7C" w:rsidP="004C5D7C">
            <w:pPr>
              <w:jc w:val="right"/>
              <w:rPr>
                <w:rFonts w:ascii="Arial" w:eastAsia="Calibri" w:hAnsi="Arial" w:cs="Arial"/>
                <w:szCs w:val="24"/>
                <w:highlight w:val="yellow"/>
              </w:rPr>
            </w:pPr>
          </w:p>
        </w:tc>
        <w:tc>
          <w:tcPr>
            <w:tcW w:w="2070" w:type="dxa"/>
            <w:noWrap/>
            <w:vAlign w:val="bottom"/>
          </w:tcPr>
          <w:p w14:paraId="13BE64CC" w14:textId="77777777" w:rsidR="004C5D7C" w:rsidRPr="009D60DD" w:rsidRDefault="004C5D7C" w:rsidP="009C1714">
            <w:pPr>
              <w:tabs>
                <w:tab w:val="decimal" w:pos="1605"/>
              </w:tabs>
              <w:rPr>
                <w:rFonts w:ascii="Arial" w:hAnsi="Arial" w:cs="Arial"/>
                <w:szCs w:val="24"/>
              </w:rPr>
            </w:pPr>
          </w:p>
        </w:tc>
        <w:tc>
          <w:tcPr>
            <w:tcW w:w="270" w:type="dxa"/>
          </w:tcPr>
          <w:p w14:paraId="0A2DB2B1" w14:textId="77777777" w:rsidR="004C5D7C" w:rsidRPr="007D542C" w:rsidRDefault="004C5D7C" w:rsidP="009C1714">
            <w:pPr>
              <w:rPr>
                <w:rFonts w:ascii="Arial" w:eastAsia="Calibri" w:hAnsi="Arial" w:cs="Arial"/>
                <w:szCs w:val="24"/>
                <w:highlight w:val="yellow"/>
              </w:rPr>
            </w:pPr>
          </w:p>
        </w:tc>
        <w:tc>
          <w:tcPr>
            <w:tcW w:w="1890" w:type="dxa"/>
            <w:noWrap/>
            <w:vAlign w:val="bottom"/>
          </w:tcPr>
          <w:p w14:paraId="162CE380" w14:textId="77777777" w:rsidR="004C5D7C" w:rsidRPr="00DC3DD7" w:rsidRDefault="004C5D7C" w:rsidP="009C1714">
            <w:pPr>
              <w:rPr>
                <w:rFonts w:ascii="Arial" w:eastAsia="Calibri" w:hAnsi="Arial" w:cs="Arial"/>
                <w:szCs w:val="24"/>
              </w:rPr>
            </w:pPr>
          </w:p>
        </w:tc>
      </w:tr>
      <w:tr w:rsidR="00B13AF4" w:rsidRPr="004C5D7C" w14:paraId="55239639" w14:textId="77777777" w:rsidTr="00897C90">
        <w:trPr>
          <w:trHeight w:val="255"/>
        </w:trPr>
        <w:tc>
          <w:tcPr>
            <w:tcW w:w="3078" w:type="dxa"/>
            <w:noWrap/>
          </w:tcPr>
          <w:p w14:paraId="1A2E4208" w14:textId="77777777" w:rsidR="00B13AF4" w:rsidRPr="004C5D7C" w:rsidRDefault="00B13AF4" w:rsidP="00897C90">
            <w:pPr>
              <w:rPr>
                <w:rFonts w:ascii="Arial" w:hAnsi="Arial" w:cs="Arial"/>
                <w:szCs w:val="24"/>
              </w:rPr>
            </w:pPr>
            <w:r>
              <w:rPr>
                <w:rFonts w:ascii="Arial" w:hAnsi="Arial" w:cs="Arial"/>
                <w:szCs w:val="24"/>
              </w:rPr>
              <w:t>Large</w:t>
            </w:r>
            <w:r w:rsidRPr="004C5D7C">
              <w:rPr>
                <w:rFonts w:ascii="Arial" w:hAnsi="Arial" w:cs="Arial"/>
                <w:szCs w:val="24"/>
              </w:rPr>
              <w:t xml:space="preserve"> C&amp;I – </w:t>
            </w:r>
            <w:r>
              <w:rPr>
                <w:rFonts w:ascii="Arial" w:hAnsi="Arial" w:cs="Arial"/>
                <w:szCs w:val="24"/>
              </w:rPr>
              <w:t>Primary</w:t>
            </w:r>
          </w:p>
        </w:tc>
        <w:tc>
          <w:tcPr>
            <w:tcW w:w="270" w:type="dxa"/>
          </w:tcPr>
          <w:p w14:paraId="7BA7F9B4" w14:textId="77777777" w:rsidR="00B13AF4" w:rsidRPr="004C5D7C" w:rsidRDefault="00B13AF4" w:rsidP="004C5D7C">
            <w:pPr>
              <w:tabs>
                <w:tab w:val="decimal" w:pos="1524"/>
              </w:tabs>
              <w:rPr>
                <w:rFonts w:ascii="Arial" w:hAnsi="Arial" w:cs="Arial"/>
                <w:szCs w:val="24"/>
              </w:rPr>
            </w:pPr>
          </w:p>
        </w:tc>
        <w:tc>
          <w:tcPr>
            <w:tcW w:w="2070" w:type="dxa"/>
            <w:noWrap/>
            <w:vAlign w:val="bottom"/>
          </w:tcPr>
          <w:p w14:paraId="7623758F" w14:textId="77777777" w:rsidR="00B13AF4" w:rsidRPr="005B4446" w:rsidRDefault="00B13AF4" w:rsidP="005B4446">
            <w:pPr>
              <w:jc w:val="right"/>
              <w:rPr>
                <w:rFonts w:ascii="Arial" w:hAnsi="Arial" w:cs="Arial"/>
                <w:szCs w:val="24"/>
              </w:rPr>
            </w:pPr>
            <w:r w:rsidRPr="005B4446">
              <w:rPr>
                <w:rFonts w:ascii="Arial" w:hAnsi="Arial" w:cs="Arial"/>
                <w:szCs w:val="24"/>
              </w:rPr>
              <w:t xml:space="preserve">           </w:t>
            </w:r>
            <w:r w:rsidR="005B4446" w:rsidRPr="005B4446">
              <w:rPr>
                <w:rFonts w:ascii="Arial" w:hAnsi="Arial" w:cs="Arial"/>
                <w:szCs w:val="24"/>
              </w:rPr>
              <w:t>1,</w:t>
            </w:r>
            <w:r w:rsidR="00C71C1B">
              <w:rPr>
                <w:rFonts w:ascii="Arial" w:hAnsi="Arial" w:cs="Arial"/>
                <w:szCs w:val="24"/>
              </w:rPr>
              <w:t>120,434</w:t>
            </w:r>
          </w:p>
        </w:tc>
        <w:tc>
          <w:tcPr>
            <w:tcW w:w="270" w:type="dxa"/>
          </w:tcPr>
          <w:p w14:paraId="4961E2DD" w14:textId="77777777" w:rsidR="00B13AF4" w:rsidRPr="007D542C" w:rsidRDefault="00B13AF4" w:rsidP="004C5D7C">
            <w:pPr>
              <w:jc w:val="right"/>
              <w:rPr>
                <w:rFonts w:ascii="Arial" w:eastAsia="Calibri" w:hAnsi="Arial" w:cs="Arial"/>
                <w:szCs w:val="24"/>
                <w:highlight w:val="yellow"/>
              </w:rPr>
            </w:pPr>
          </w:p>
        </w:tc>
        <w:tc>
          <w:tcPr>
            <w:tcW w:w="2070" w:type="dxa"/>
            <w:noWrap/>
            <w:vAlign w:val="bottom"/>
          </w:tcPr>
          <w:p w14:paraId="4B491220" w14:textId="77777777" w:rsidR="00B13AF4" w:rsidRPr="009D60DD" w:rsidRDefault="00B13AF4" w:rsidP="009D60DD">
            <w:pPr>
              <w:tabs>
                <w:tab w:val="decimal" w:pos="1605"/>
              </w:tabs>
              <w:rPr>
                <w:rFonts w:ascii="Arial" w:hAnsi="Arial" w:cs="Arial"/>
                <w:szCs w:val="24"/>
              </w:rPr>
            </w:pPr>
            <w:r w:rsidRPr="009D60DD">
              <w:rPr>
                <w:rFonts w:ascii="Arial" w:hAnsi="Arial" w:cs="Arial"/>
                <w:szCs w:val="24"/>
              </w:rPr>
              <w:t xml:space="preserve">         </w:t>
            </w:r>
            <w:r w:rsidR="009D60DD">
              <w:rPr>
                <w:rFonts w:ascii="Arial" w:hAnsi="Arial" w:cs="Arial"/>
                <w:szCs w:val="24"/>
              </w:rPr>
              <w:t>1,</w:t>
            </w:r>
            <w:r w:rsidR="00B700BB">
              <w:rPr>
                <w:rFonts w:ascii="Arial" w:hAnsi="Arial" w:cs="Arial"/>
                <w:szCs w:val="24"/>
              </w:rPr>
              <w:t>815,545</w:t>
            </w:r>
          </w:p>
        </w:tc>
        <w:tc>
          <w:tcPr>
            <w:tcW w:w="270" w:type="dxa"/>
          </w:tcPr>
          <w:p w14:paraId="4D49274C" w14:textId="77777777" w:rsidR="00B13AF4" w:rsidRPr="007D542C" w:rsidRDefault="00B13AF4" w:rsidP="009C1714">
            <w:pPr>
              <w:rPr>
                <w:rFonts w:ascii="Arial" w:eastAsia="Calibri" w:hAnsi="Arial" w:cs="Arial"/>
                <w:szCs w:val="24"/>
                <w:highlight w:val="yellow"/>
              </w:rPr>
            </w:pPr>
          </w:p>
        </w:tc>
        <w:tc>
          <w:tcPr>
            <w:tcW w:w="1890" w:type="dxa"/>
            <w:noWrap/>
            <w:vAlign w:val="bottom"/>
          </w:tcPr>
          <w:p w14:paraId="0A756801" w14:textId="77777777" w:rsidR="00B13AF4" w:rsidRPr="00DC3DD7" w:rsidRDefault="0009305F" w:rsidP="0009305F">
            <w:pPr>
              <w:rPr>
                <w:rFonts w:ascii="Arial" w:eastAsia="Calibri" w:hAnsi="Arial" w:cs="Arial"/>
                <w:szCs w:val="24"/>
              </w:rPr>
            </w:pPr>
            <w:r w:rsidRPr="00DC3DD7">
              <w:rPr>
                <w:rFonts w:ascii="Arial" w:eastAsia="Calibri" w:hAnsi="Arial" w:cs="Arial"/>
                <w:szCs w:val="24"/>
              </w:rPr>
              <w:t xml:space="preserve">         (</w:t>
            </w:r>
            <w:r w:rsidR="00AB4444">
              <w:rPr>
                <w:rFonts w:ascii="Arial" w:eastAsia="Calibri" w:hAnsi="Arial" w:cs="Arial"/>
                <w:szCs w:val="24"/>
              </w:rPr>
              <w:t>695,111</w:t>
            </w:r>
            <w:r w:rsidRPr="00DC3DD7">
              <w:rPr>
                <w:rFonts w:ascii="Arial" w:eastAsia="Calibri" w:hAnsi="Arial" w:cs="Arial"/>
                <w:szCs w:val="24"/>
              </w:rPr>
              <w:t>)</w:t>
            </w:r>
          </w:p>
        </w:tc>
      </w:tr>
      <w:tr w:rsidR="004C5D7C" w:rsidRPr="004C5D7C" w14:paraId="1680D1FB" w14:textId="77777777" w:rsidTr="00897C90">
        <w:trPr>
          <w:trHeight w:val="255"/>
        </w:trPr>
        <w:tc>
          <w:tcPr>
            <w:tcW w:w="3078" w:type="dxa"/>
            <w:noWrap/>
          </w:tcPr>
          <w:p w14:paraId="5146FAD2" w14:textId="77777777" w:rsidR="004C5D7C" w:rsidRPr="004C5D7C" w:rsidRDefault="004C5D7C" w:rsidP="004C5D7C">
            <w:pPr>
              <w:rPr>
                <w:rFonts w:ascii="Arial" w:hAnsi="Arial" w:cs="Arial"/>
                <w:szCs w:val="24"/>
              </w:rPr>
            </w:pPr>
          </w:p>
        </w:tc>
        <w:tc>
          <w:tcPr>
            <w:tcW w:w="270" w:type="dxa"/>
          </w:tcPr>
          <w:p w14:paraId="2B113CA2" w14:textId="77777777" w:rsidR="004C5D7C" w:rsidRPr="004C5D7C" w:rsidRDefault="004C5D7C" w:rsidP="004C5D7C">
            <w:pPr>
              <w:tabs>
                <w:tab w:val="decimal" w:pos="1524"/>
              </w:tabs>
              <w:rPr>
                <w:rFonts w:ascii="Arial" w:hAnsi="Arial" w:cs="Arial"/>
                <w:szCs w:val="24"/>
              </w:rPr>
            </w:pPr>
          </w:p>
        </w:tc>
        <w:tc>
          <w:tcPr>
            <w:tcW w:w="2070" w:type="dxa"/>
            <w:noWrap/>
          </w:tcPr>
          <w:p w14:paraId="4F4FCD5F" w14:textId="77777777" w:rsidR="004C5D7C" w:rsidRPr="005B4446" w:rsidRDefault="004C5D7C" w:rsidP="0023043A">
            <w:pPr>
              <w:tabs>
                <w:tab w:val="decimal" w:pos="1524"/>
              </w:tabs>
              <w:jc w:val="right"/>
              <w:rPr>
                <w:rFonts w:ascii="Arial" w:hAnsi="Arial" w:cs="Arial"/>
                <w:szCs w:val="24"/>
              </w:rPr>
            </w:pPr>
          </w:p>
        </w:tc>
        <w:tc>
          <w:tcPr>
            <w:tcW w:w="270" w:type="dxa"/>
          </w:tcPr>
          <w:p w14:paraId="43868A08" w14:textId="77777777" w:rsidR="004C5D7C" w:rsidRPr="007D542C" w:rsidRDefault="004C5D7C" w:rsidP="004C5D7C">
            <w:pPr>
              <w:jc w:val="right"/>
              <w:rPr>
                <w:rFonts w:ascii="Arial" w:eastAsia="Calibri" w:hAnsi="Arial" w:cs="Arial"/>
                <w:szCs w:val="24"/>
                <w:highlight w:val="yellow"/>
              </w:rPr>
            </w:pPr>
          </w:p>
        </w:tc>
        <w:tc>
          <w:tcPr>
            <w:tcW w:w="2070" w:type="dxa"/>
            <w:noWrap/>
            <w:vAlign w:val="bottom"/>
          </w:tcPr>
          <w:p w14:paraId="1B6A2A8D" w14:textId="77777777" w:rsidR="004C5D7C" w:rsidRPr="009D60DD" w:rsidRDefault="004C5D7C" w:rsidP="009C1714">
            <w:pPr>
              <w:tabs>
                <w:tab w:val="decimal" w:pos="1605"/>
              </w:tabs>
              <w:rPr>
                <w:rFonts w:ascii="Arial" w:hAnsi="Arial" w:cs="Arial"/>
                <w:szCs w:val="24"/>
              </w:rPr>
            </w:pPr>
          </w:p>
        </w:tc>
        <w:tc>
          <w:tcPr>
            <w:tcW w:w="270" w:type="dxa"/>
          </w:tcPr>
          <w:p w14:paraId="52EF2E4D" w14:textId="77777777" w:rsidR="004C5D7C" w:rsidRPr="007D542C" w:rsidRDefault="004C5D7C" w:rsidP="009C1714">
            <w:pPr>
              <w:rPr>
                <w:rFonts w:ascii="Arial" w:eastAsia="Calibri" w:hAnsi="Arial" w:cs="Arial"/>
                <w:szCs w:val="24"/>
                <w:highlight w:val="yellow"/>
              </w:rPr>
            </w:pPr>
          </w:p>
        </w:tc>
        <w:tc>
          <w:tcPr>
            <w:tcW w:w="1890" w:type="dxa"/>
            <w:noWrap/>
            <w:vAlign w:val="bottom"/>
          </w:tcPr>
          <w:p w14:paraId="3CD019F6" w14:textId="77777777" w:rsidR="004C5D7C" w:rsidRPr="00DC3DD7" w:rsidRDefault="004C5D7C" w:rsidP="009C1714">
            <w:pPr>
              <w:rPr>
                <w:rFonts w:ascii="Arial" w:eastAsia="Calibri" w:hAnsi="Arial" w:cs="Arial"/>
                <w:szCs w:val="24"/>
              </w:rPr>
            </w:pPr>
          </w:p>
        </w:tc>
      </w:tr>
      <w:tr w:rsidR="00BE2C75" w:rsidRPr="004C5D7C" w14:paraId="7EB60830" w14:textId="77777777" w:rsidTr="00092321">
        <w:trPr>
          <w:trHeight w:val="255"/>
        </w:trPr>
        <w:tc>
          <w:tcPr>
            <w:tcW w:w="3078" w:type="dxa"/>
            <w:noWrap/>
          </w:tcPr>
          <w:p w14:paraId="670434F7" w14:textId="77777777" w:rsidR="00BE2C75" w:rsidRPr="004C5D7C" w:rsidRDefault="00BE2C75" w:rsidP="00897C90">
            <w:pPr>
              <w:rPr>
                <w:rFonts w:ascii="Arial" w:hAnsi="Arial" w:cs="Arial"/>
                <w:szCs w:val="24"/>
              </w:rPr>
            </w:pPr>
            <w:r>
              <w:rPr>
                <w:rFonts w:ascii="Arial" w:hAnsi="Arial" w:cs="Arial"/>
                <w:szCs w:val="24"/>
              </w:rPr>
              <w:t>Large</w:t>
            </w:r>
            <w:r w:rsidRPr="004C5D7C">
              <w:rPr>
                <w:rFonts w:ascii="Arial" w:hAnsi="Arial" w:cs="Arial"/>
                <w:szCs w:val="24"/>
              </w:rPr>
              <w:t xml:space="preserve"> C&amp;I – </w:t>
            </w:r>
            <w:r>
              <w:rPr>
                <w:rFonts w:ascii="Arial" w:hAnsi="Arial" w:cs="Arial"/>
                <w:szCs w:val="24"/>
              </w:rPr>
              <w:t>Transmission</w:t>
            </w:r>
          </w:p>
        </w:tc>
        <w:tc>
          <w:tcPr>
            <w:tcW w:w="270" w:type="dxa"/>
          </w:tcPr>
          <w:p w14:paraId="2770DD12" w14:textId="77777777" w:rsidR="00BE2C75" w:rsidRPr="004C5D7C" w:rsidRDefault="00BE2C75" w:rsidP="004C5D7C">
            <w:pPr>
              <w:tabs>
                <w:tab w:val="decimal" w:pos="1524"/>
              </w:tabs>
              <w:rPr>
                <w:rFonts w:ascii="Arial" w:hAnsi="Arial" w:cs="Arial"/>
                <w:szCs w:val="24"/>
                <w:u w:val="single"/>
              </w:rPr>
            </w:pPr>
          </w:p>
        </w:tc>
        <w:tc>
          <w:tcPr>
            <w:tcW w:w="2070" w:type="dxa"/>
            <w:tcBorders>
              <w:bottom w:val="single" w:sz="4" w:space="0" w:color="auto"/>
            </w:tcBorders>
            <w:noWrap/>
            <w:vAlign w:val="bottom"/>
          </w:tcPr>
          <w:p w14:paraId="2FDDC040" w14:textId="77777777" w:rsidR="00BE2C75" w:rsidRPr="003C2644" w:rsidRDefault="00BE2C75" w:rsidP="005B4446">
            <w:pPr>
              <w:jc w:val="right"/>
              <w:rPr>
                <w:rFonts w:ascii="Arial" w:hAnsi="Arial" w:cs="Arial"/>
                <w:szCs w:val="24"/>
              </w:rPr>
            </w:pPr>
            <w:r w:rsidRPr="003C2644">
              <w:rPr>
                <w:rFonts w:ascii="Arial" w:hAnsi="Arial" w:cs="Arial"/>
                <w:szCs w:val="24"/>
              </w:rPr>
              <w:t xml:space="preserve">              </w:t>
            </w:r>
            <w:r w:rsidR="00E5272B" w:rsidRPr="003C2644">
              <w:rPr>
                <w:rFonts w:ascii="Arial" w:hAnsi="Arial" w:cs="Arial"/>
                <w:szCs w:val="24"/>
              </w:rPr>
              <w:t>101,015</w:t>
            </w:r>
          </w:p>
        </w:tc>
        <w:tc>
          <w:tcPr>
            <w:tcW w:w="270" w:type="dxa"/>
          </w:tcPr>
          <w:p w14:paraId="69252061" w14:textId="77777777" w:rsidR="00BE2C75" w:rsidRPr="003C2644" w:rsidRDefault="00BE2C75" w:rsidP="004C5D7C">
            <w:pPr>
              <w:jc w:val="right"/>
              <w:rPr>
                <w:rFonts w:ascii="Arial" w:eastAsia="Calibri" w:hAnsi="Arial" w:cs="Arial"/>
                <w:szCs w:val="24"/>
                <w:highlight w:val="yellow"/>
              </w:rPr>
            </w:pPr>
          </w:p>
        </w:tc>
        <w:tc>
          <w:tcPr>
            <w:tcW w:w="2070" w:type="dxa"/>
            <w:tcBorders>
              <w:bottom w:val="single" w:sz="4" w:space="0" w:color="auto"/>
            </w:tcBorders>
            <w:noWrap/>
            <w:vAlign w:val="bottom"/>
          </w:tcPr>
          <w:p w14:paraId="50580DDE" w14:textId="77777777" w:rsidR="00BE2C75" w:rsidRPr="003C2644" w:rsidRDefault="00BE2C75" w:rsidP="009D60DD">
            <w:pPr>
              <w:rPr>
                <w:rFonts w:ascii="Arial" w:hAnsi="Arial" w:cs="Arial"/>
                <w:szCs w:val="24"/>
              </w:rPr>
            </w:pPr>
            <w:r w:rsidRPr="003C2644">
              <w:rPr>
                <w:rFonts w:ascii="Arial" w:hAnsi="Arial" w:cs="Arial"/>
                <w:szCs w:val="24"/>
              </w:rPr>
              <w:t xml:space="preserve">       </w:t>
            </w:r>
            <w:r w:rsidR="00DA08E2" w:rsidRPr="003C2644">
              <w:rPr>
                <w:rFonts w:ascii="Arial" w:hAnsi="Arial" w:cs="Arial"/>
                <w:szCs w:val="24"/>
              </w:rPr>
              <w:t xml:space="preserve">  </w:t>
            </w:r>
            <w:r w:rsidR="009D60DD" w:rsidRPr="003C2644">
              <w:rPr>
                <w:rFonts w:ascii="Arial" w:hAnsi="Arial" w:cs="Arial"/>
                <w:szCs w:val="24"/>
              </w:rPr>
              <w:t xml:space="preserve">   </w:t>
            </w:r>
            <w:r w:rsidR="00B700BB" w:rsidRPr="003C2644">
              <w:rPr>
                <w:rFonts w:ascii="Arial" w:hAnsi="Arial" w:cs="Arial"/>
                <w:szCs w:val="24"/>
              </w:rPr>
              <w:t>104,266</w:t>
            </w:r>
          </w:p>
        </w:tc>
        <w:tc>
          <w:tcPr>
            <w:tcW w:w="270" w:type="dxa"/>
          </w:tcPr>
          <w:p w14:paraId="5D18D550" w14:textId="77777777" w:rsidR="00BE2C75" w:rsidRPr="003C2644" w:rsidRDefault="00BE2C75" w:rsidP="009C1714">
            <w:pPr>
              <w:rPr>
                <w:rFonts w:ascii="Arial" w:eastAsia="Calibri" w:hAnsi="Arial" w:cs="Arial"/>
                <w:szCs w:val="24"/>
                <w:highlight w:val="yellow"/>
              </w:rPr>
            </w:pPr>
          </w:p>
        </w:tc>
        <w:tc>
          <w:tcPr>
            <w:tcW w:w="1890" w:type="dxa"/>
            <w:tcBorders>
              <w:bottom w:val="single" w:sz="4" w:space="0" w:color="auto"/>
            </w:tcBorders>
            <w:noWrap/>
            <w:vAlign w:val="bottom"/>
          </w:tcPr>
          <w:p w14:paraId="1CBC4BD6" w14:textId="77777777" w:rsidR="00BE2C75" w:rsidRPr="003C2644" w:rsidRDefault="00BE2C75" w:rsidP="00BA50D9">
            <w:pPr>
              <w:rPr>
                <w:rFonts w:ascii="Arial" w:eastAsia="Calibri" w:hAnsi="Arial" w:cs="Arial"/>
                <w:szCs w:val="24"/>
              </w:rPr>
            </w:pPr>
            <w:r w:rsidRPr="003C2644">
              <w:rPr>
                <w:rFonts w:ascii="Arial" w:eastAsia="Calibri" w:hAnsi="Arial" w:cs="Arial"/>
                <w:szCs w:val="24"/>
              </w:rPr>
              <w:t xml:space="preserve">          </w:t>
            </w:r>
            <w:r w:rsidR="00BA50D9" w:rsidRPr="003C2644">
              <w:rPr>
                <w:rFonts w:ascii="Arial" w:eastAsia="Calibri" w:hAnsi="Arial" w:cs="Arial"/>
                <w:szCs w:val="24"/>
              </w:rPr>
              <w:t xml:space="preserve">   (3</w:t>
            </w:r>
            <w:r w:rsidRPr="003C2644">
              <w:rPr>
                <w:rFonts w:ascii="Arial" w:eastAsia="Calibri" w:hAnsi="Arial" w:cs="Arial"/>
                <w:szCs w:val="24"/>
              </w:rPr>
              <w:t>,</w:t>
            </w:r>
            <w:r w:rsidR="00AB4444" w:rsidRPr="003C2644">
              <w:rPr>
                <w:rFonts w:ascii="Arial" w:eastAsia="Calibri" w:hAnsi="Arial" w:cs="Arial"/>
                <w:szCs w:val="24"/>
              </w:rPr>
              <w:t>251</w:t>
            </w:r>
            <w:r w:rsidR="00BA50D9" w:rsidRPr="003C2644">
              <w:rPr>
                <w:rFonts w:ascii="Arial" w:eastAsia="Calibri" w:hAnsi="Arial" w:cs="Arial"/>
                <w:szCs w:val="24"/>
              </w:rPr>
              <w:t>)</w:t>
            </w:r>
          </w:p>
        </w:tc>
      </w:tr>
      <w:tr w:rsidR="004C5D7C" w:rsidRPr="004C5D7C" w14:paraId="77DDDEF3" w14:textId="77777777" w:rsidTr="00092321">
        <w:trPr>
          <w:trHeight w:val="255"/>
        </w:trPr>
        <w:tc>
          <w:tcPr>
            <w:tcW w:w="3078" w:type="dxa"/>
            <w:noWrap/>
          </w:tcPr>
          <w:p w14:paraId="2865032A" w14:textId="77777777" w:rsidR="004C5D7C" w:rsidRPr="004C5D7C" w:rsidRDefault="004C5D7C" w:rsidP="004C5D7C">
            <w:pPr>
              <w:rPr>
                <w:rFonts w:ascii="Arial" w:hAnsi="Arial" w:cs="Arial"/>
                <w:szCs w:val="24"/>
              </w:rPr>
            </w:pPr>
          </w:p>
        </w:tc>
        <w:tc>
          <w:tcPr>
            <w:tcW w:w="270" w:type="dxa"/>
          </w:tcPr>
          <w:p w14:paraId="4637211F" w14:textId="77777777" w:rsidR="004C5D7C" w:rsidRPr="004C5D7C" w:rsidRDefault="004C5D7C" w:rsidP="004C5D7C">
            <w:pPr>
              <w:tabs>
                <w:tab w:val="decimal" w:pos="1524"/>
              </w:tabs>
              <w:rPr>
                <w:rFonts w:ascii="Arial" w:hAnsi="Arial" w:cs="Arial"/>
                <w:szCs w:val="24"/>
                <w:u w:val="double"/>
              </w:rPr>
            </w:pPr>
          </w:p>
        </w:tc>
        <w:tc>
          <w:tcPr>
            <w:tcW w:w="2070" w:type="dxa"/>
            <w:tcBorders>
              <w:top w:val="single" w:sz="4" w:space="0" w:color="auto"/>
            </w:tcBorders>
            <w:noWrap/>
            <w:vAlign w:val="bottom"/>
          </w:tcPr>
          <w:p w14:paraId="4BFE8B50" w14:textId="77777777" w:rsidR="004C5D7C" w:rsidRPr="003C2644" w:rsidRDefault="004C5D7C" w:rsidP="0023043A">
            <w:pPr>
              <w:tabs>
                <w:tab w:val="decimal" w:pos="1524"/>
              </w:tabs>
              <w:jc w:val="right"/>
              <w:rPr>
                <w:rFonts w:ascii="Arial" w:hAnsi="Arial" w:cs="Arial"/>
                <w:szCs w:val="24"/>
              </w:rPr>
            </w:pPr>
          </w:p>
        </w:tc>
        <w:tc>
          <w:tcPr>
            <w:tcW w:w="270" w:type="dxa"/>
          </w:tcPr>
          <w:p w14:paraId="7F3348DC" w14:textId="77777777" w:rsidR="004C5D7C" w:rsidRPr="003C2644" w:rsidRDefault="004C5D7C" w:rsidP="004C5D7C">
            <w:pPr>
              <w:jc w:val="right"/>
              <w:rPr>
                <w:rFonts w:ascii="Arial" w:eastAsia="Calibri" w:hAnsi="Arial" w:cs="Arial"/>
                <w:szCs w:val="24"/>
                <w:highlight w:val="yellow"/>
              </w:rPr>
            </w:pPr>
          </w:p>
        </w:tc>
        <w:tc>
          <w:tcPr>
            <w:tcW w:w="2070" w:type="dxa"/>
            <w:tcBorders>
              <w:top w:val="single" w:sz="4" w:space="0" w:color="auto"/>
            </w:tcBorders>
            <w:noWrap/>
            <w:vAlign w:val="bottom"/>
          </w:tcPr>
          <w:p w14:paraId="6D7F2717" w14:textId="77777777" w:rsidR="004C5D7C" w:rsidRPr="003C2644" w:rsidRDefault="004C5D7C" w:rsidP="009C1714">
            <w:pPr>
              <w:tabs>
                <w:tab w:val="decimal" w:pos="1605"/>
              </w:tabs>
              <w:rPr>
                <w:rFonts w:ascii="Arial" w:hAnsi="Arial" w:cs="Arial"/>
                <w:szCs w:val="24"/>
              </w:rPr>
            </w:pPr>
          </w:p>
        </w:tc>
        <w:tc>
          <w:tcPr>
            <w:tcW w:w="270" w:type="dxa"/>
          </w:tcPr>
          <w:p w14:paraId="420B9145" w14:textId="77777777" w:rsidR="004C5D7C" w:rsidRPr="003C2644" w:rsidRDefault="004C5D7C" w:rsidP="009C1714">
            <w:pPr>
              <w:rPr>
                <w:rFonts w:ascii="Arial" w:eastAsia="Calibri" w:hAnsi="Arial" w:cs="Arial"/>
                <w:szCs w:val="24"/>
                <w:highlight w:val="yellow"/>
              </w:rPr>
            </w:pPr>
          </w:p>
        </w:tc>
        <w:tc>
          <w:tcPr>
            <w:tcW w:w="1890" w:type="dxa"/>
            <w:tcBorders>
              <w:top w:val="single" w:sz="4" w:space="0" w:color="auto"/>
            </w:tcBorders>
            <w:noWrap/>
            <w:vAlign w:val="bottom"/>
          </w:tcPr>
          <w:p w14:paraId="50D0DDE8" w14:textId="77777777" w:rsidR="004C5D7C" w:rsidRPr="003C2644" w:rsidRDefault="004C5D7C" w:rsidP="009C1714">
            <w:pPr>
              <w:rPr>
                <w:rFonts w:ascii="Arial" w:eastAsia="Calibri" w:hAnsi="Arial" w:cs="Arial"/>
                <w:szCs w:val="24"/>
              </w:rPr>
            </w:pPr>
          </w:p>
        </w:tc>
      </w:tr>
      <w:tr w:rsidR="004C5D7C" w:rsidRPr="004C5D7C" w14:paraId="41EC0EFB" w14:textId="77777777" w:rsidTr="00092321">
        <w:trPr>
          <w:trHeight w:val="255"/>
        </w:trPr>
        <w:tc>
          <w:tcPr>
            <w:tcW w:w="3078" w:type="dxa"/>
            <w:noWrap/>
          </w:tcPr>
          <w:p w14:paraId="15BF1008" w14:textId="3F3E8D7A" w:rsidR="004C5D7C" w:rsidRPr="004C5D7C" w:rsidRDefault="004C5D7C" w:rsidP="004C5D7C">
            <w:pPr>
              <w:rPr>
                <w:rFonts w:ascii="Arial" w:hAnsi="Arial" w:cs="Arial"/>
                <w:szCs w:val="24"/>
              </w:rPr>
            </w:pPr>
            <w:r w:rsidRPr="004C5D7C">
              <w:rPr>
                <w:rFonts w:ascii="Arial" w:hAnsi="Arial" w:cs="Arial"/>
                <w:szCs w:val="24"/>
              </w:rPr>
              <w:t xml:space="preserve">     Total</w:t>
            </w:r>
          </w:p>
        </w:tc>
        <w:tc>
          <w:tcPr>
            <w:tcW w:w="270" w:type="dxa"/>
          </w:tcPr>
          <w:p w14:paraId="5DD6D134" w14:textId="77777777" w:rsidR="004C5D7C" w:rsidRPr="004C5D7C" w:rsidRDefault="004C5D7C" w:rsidP="004C5D7C">
            <w:pPr>
              <w:tabs>
                <w:tab w:val="decimal" w:pos="1524"/>
              </w:tabs>
              <w:rPr>
                <w:rFonts w:ascii="Arial" w:hAnsi="Arial" w:cs="Arial"/>
                <w:szCs w:val="24"/>
                <w:u w:val="double"/>
              </w:rPr>
            </w:pPr>
          </w:p>
        </w:tc>
        <w:tc>
          <w:tcPr>
            <w:tcW w:w="2070" w:type="dxa"/>
            <w:tcBorders>
              <w:bottom w:val="double" w:sz="4" w:space="0" w:color="auto"/>
            </w:tcBorders>
            <w:noWrap/>
            <w:vAlign w:val="bottom"/>
          </w:tcPr>
          <w:p w14:paraId="1524B0FA" w14:textId="77777777" w:rsidR="004C5D7C" w:rsidRPr="003C2644" w:rsidRDefault="004C5D7C" w:rsidP="00F20D68">
            <w:pPr>
              <w:jc w:val="right"/>
              <w:rPr>
                <w:rFonts w:ascii="Arial" w:hAnsi="Arial" w:cs="Arial"/>
                <w:szCs w:val="24"/>
              </w:rPr>
            </w:pPr>
            <w:r w:rsidRPr="003C2644">
              <w:rPr>
                <w:rFonts w:ascii="Arial" w:hAnsi="Arial" w:cs="Arial"/>
                <w:szCs w:val="24"/>
              </w:rPr>
              <w:t xml:space="preserve">  $  </w:t>
            </w:r>
            <w:r w:rsidR="00194014" w:rsidRPr="003C2644">
              <w:rPr>
                <w:rFonts w:ascii="Arial" w:hAnsi="Arial" w:cs="Arial"/>
                <w:szCs w:val="24"/>
              </w:rPr>
              <w:t xml:space="preserve"> </w:t>
            </w:r>
            <w:r w:rsidR="00B700BB" w:rsidRPr="003C2644">
              <w:rPr>
                <w:rFonts w:ascii="Arial" w:hAnsi="Arial" w:cs="Arial"/>
                <w:szCs w:val="24"/>
              </w:rPr>
              <w:t>84,707,725</w:t>
            </w:r>
          </w:p>
        </w:tc>
        <w:tc>
          <w:tcPr>
            <w:tcW w:w="270" w:type="dxa"/>
          </w:tcPr>
          <w:p w14:paraId="3BA62EAD" w14:textId="77777777" w:rsidR="004C5D7C" w:rsidRPr="003C2644" w:rsidRDefault="004C5D7C" w:rsidP="004C5D7C">
            <w:pPr>
              <w:jc w:val="right"/>
              <w:rPr>
                <w:rFonts w:ascii="Arial" w:eastAsia="Calibri" w:hAnsi="Arial" w:cs="Arial"/>
                <w:szCs w:val="24"/>
                <w:highlight w:val="yellow"/>
              </w:rPr>
            </w:pPr>
          </w:p>
        </w:tc>
        <w:tc>
          <w:tcPr>
            <w:tcW w:w="2070" w:type="dxa"/>
            <w:tcBorders>
              <w:bottom w:val="double" w:sz="4" w:space="0" w:color="auto"/>
            </w:tcBorders>
            <w:noWrap/>
            <w:vAlign w:val="bottom"/>
          </w:tcPr>
          <w:p w14:paraId="7159841A" w14:textId="77777777" w:rsidR="004C5D7C" w:rsidRPr="003C2644" w:rsidRDefault="004C5D7C" w:rsidP="008F67E3">
            <w:pPr>
              <w:tabs>
                <w:tab w:val="decimal" w:pos="1692"/>
              </w:tabs>
              <w:rPr>
                <w:rFonts w:ascii="Arial" w:hAnsi="Arial" w:cs="Arial"/>
                <w:szCs w:val="24"/>
              </w:rPr>
            </w:pPr>
            <w:r w:rsidRPr="003C2644">
              <w:rPr>
                <w:rFonts w:ascii="Arial" w:hAnsi="Arial" w:cs="Arial"/>
                <w:szCs w:val="24"/>
              </w:rPr>
              <w:t xml:space="preserve">$ </w:t>
            </w:r>
            <w:r w:rsidR="00194014" w:rsidRPr="003C2644">
              <w:rPr>
                <w:rFonts w:ascii="Arial" w:hAnsi="Arial" w:cs="Arial"/>
                <w:szCs w:val="24"/>
              </w:rPr>
              <w:t xml:space="preserve"> </w:t>
            </w:r>
            <w:r w:rsidR="00DA08E2" w:rsidRPr="003C2644">
              <w:rPr>
                <w:rFonts w:ascii="Arial" w:hAnsi="Arial" w:cs="Arial"/>
                <w:szCs w:val="24"/>
              </w:rPr>
              <w:t xml:space="preserve"> </w:t>
            </w:r>
            <w:r w:rsidR="00B700BB" w:rsidRPr="003C2644">
              <w:rPr>
                <w:rFonts w:ascii="Arial" w:hAnsi="Arial" w:cs="Arial"/>
                <w:szCs w:val="24"/>
              </w:rPr>
              <w:t>95,182,407</w:t>
            </w:r>
          </w:p>
        </w:tc>
        <w:tc>
          <w:tcPr>
            <w:tcW w:w="270" w:type="dxa"/>
          </w:tcPr>
          <w:p w14:paraId="122DD0CF" w14:textId="77777777" w:rsidR="004C5D7C" w:rsidRPr="003C2644" w:rsidRDefault="004C5D7C" w:rsidP="009C1714">
            <w:pPr>
              <w:rPr>
                <w:rFonts w:ascii="Arial" w:eastAsia="Calibri" w:hAnsi="Arial" w:cs="Arial"/>
                <w:szCs w:val="24"/>
                <w:highlight w:val="yellow"/>
              </w:rPr>
            </w:pPr>
          </w:p>
        </w:tc>
        <w:tc>
          <w:tcPr>
            <w:tcW w:w="1890" w:type="dxa"/>
            <w:tcBorders>
              <w:bottom w:val="double" w:sz="4" w:space="0" w:color="auto"/>
            </w:tcBorders>
            <w:noWrap/>
            <w:vAlign w:val="bottom"/>
          </w:tcPr>
          <w:p w14:paraId="02B05651" w14:textId="77777777" w:rsidR="004C5D7C" w:rsidRPr="003C2644" w:rsidRDefault="00194014" w:rsidP="00194014">
            <w:pPr>
              <w:rPr>
                <w:rFonts w:ascii="Arial" w:eastAsia="Calibri" w:hAnsi="Arial" w:cs="Arial"/>
                <w:szCs w:val="24"/>
              </w:rPr>
            </w:pPr>
            <w:r w:rsidRPr="003C2644">
              <w:rPr>
                <w:rFonts w:ascii="Arial" w:eastAsia="Calibri" w:hAnsi="Arial" w:cs="Arial"/>
                <w:szCs w:val="24"/>
              </w:rPr>
              <w:t xml:space="preserve"> </w:t>
            </w:r>
            <w:r w:rsidR="004C5D7C" w:rsidRPr="003C2644">
              <w:rPr>
                <w:rFonts w:ascii="Arial" w:eastAsia="Calibri" w:hAnsi="Arial" w:cs="Arial"/>
                <w:szCs w:val="24"/>
              </w:rPr>
              <w:t>$</w:t>
            </w:r>
            <w:r w:rsidR="00BA50D9" w:rsidRPr="003C2644">
              <w:rPr>
                <w:rFonts w:ascii="Arial" w:eastAsia="Calibri" w:hAnsi="Arial" w:cs="Arial"/>
                <w:szCs w:val="24"/>
              </w:rPr>
              <w:t xml:space="preserve"> </w:t>
            </w:r>
            <w:r w:rsidR="004C5D7C" w:rsidRPr="003C2644">
              <w:rPr>
                <w:rFonts w:ascii="Arial" w:eastAsia="Calibri" w:hAnsi="Arial" w:cs="Arial"/>
                <w:szCs w:val="24"/>
              </w:rPr>
              <w:t>(</w:t>
            </w:r>
            <w:r w:rsidR="00AB4444" w:rsidRPr="003C2644">
              <w:rPr>
                <w:rFonts w:ascii="Arial" w:eastAsia="Calibri" w:hAnsi="Arial" w:cs="Arial"/>
                <w:szCs w:val="24"/>
              </w:rPr>
              <w:t>10,474,682</w:t>
            </w:r>
            <w:r w:rsidR="004C5D7C" w:rsidRPr="003C2644">
              <w:rPr>
                <w:rFonts w:ascii="Arial" w:eastAsia="Calibri" w:hAnsi="Arial" w:cs="Arial"/>
                <w:szCs w:val="24"/>
              </w:rPr>
              <w:t>)</w:t>
            </w:r>
          </w:p>
        </w:tc>
      </w:tr>
      <w:tr w:rsidR="004C5D7C" w:rsidRPr="004C5D7C" w14:paraId="67AD5717" w14:textId="77777777" w:rsidTr="00092321">
        <w:trPr>
          <w:trHeight w:val="255"/>
        </w:trPr>
        <w:tc>
          <w:tcPr>
            <w:tcW w:w="3078" w:type="dxa"/>
            <w:noWrap/>
          </w:tcPr>
          <w:p w14:paraId="18079DD0" w14:textId="77777777" w:rsidR="004C5D7C" w:rsidRPr="004C5D7C" w:rsidRDefault="004C5D7C" w:rsidP="004C5D7C">
            <w:pPr>
              <w:rPr>
                <w:rFonts w:ascii="Arial" w:hAnsi="Arial" w:cs="Arial"/>
                <w:szCs w:val="24"/>
              </w:rPr>
            </w:pPr>
          </w:p>
        </w:tc>
        <w:tc>
          <w:tcPr>
            <w:tcW w:w="270" w:type="dxa"/>
          </w:tcPr>
          <w:p w14:paraId="773DEAE2" w14:textId="77777777" w:rsidR="004C5D7C" w:rsidRPr="004C5D7C" w:rsidRDefault="004C5D7C" w:rsidP="004C5D7C">
            <w:pPr>
              <w:tabs>
                <w:tab w:val="decimal" w:pos="1524"/>
              </w:tabs>
              <w:rPr>
                <w:rFonts w:ascii="Arial" w:hAnsi="Arial" w:cs="Arial"/>
                <w:szCs w:val="24"/>
                <w:u w:val="single"/>
              </w:rPr>
            </w:pPr>
          </w:p>
        </w:tc>
        <w:tc>
          <w:tcPr>
            <w:tcW w:w="2070" w:type="dxa"/>
            <w:tcBorders>
              <w:top w:val="double" w:sz="4" w:space="0" w:color="auto"/>
            </w:tcBorders>
            <w:noWrap/>
            <w:vAlign w:val="bottom"/>
          </w:tcPr>
          <w:p w14:paraId="1D68D465" w14:textId="77777777" w:rsidR="004C5D7C" w:rsidRPr="003C2644" w:rsidRDefault="004C5D7C" w:rsidP="004C5D7C">
            <w:pPr>
              <w:tabs>
                <w:tab w:val="decimal" w:pos="1524"/>
              </w:tabs>
              <w:rPr>
                <w:rFonts w:ascii="Arial" w:hAnsi="Arial" w:cs="Arial"/>
                <w:szCs w:val="24"/>
              </w:rPr>
            </w:pPr>
          </w:p>
        </w:tc>
        <w:tc>
          <w:tcPr>
            <w:tcW w:w="270" w:type="dxa"/>
          </w:tcPr>
          <w:p w14:paraId="59A8D692" w14:textId="77777777" w:rsidR="004C5D7C" w:rsidRPr="003C2644" w:rsidRDefault="004C5D7C" w:rsidP="004C5D7C">
            <w:pPr>
              <w:tabs>
                <w:tab w:val="decimal" w:pos="1605"/>
              </w:tabs>
              <w:rPr>
                <w:rFonts w:ascii="Arial" w:hAnsi="Arial" w:cs="Arial"/>
                <w:szCs w:val="24"/>
              </w:rPr>
            </w:pPr>
          </w:p>
        </w:tc>
        <w:tc>
          <w:tcPr>
            <w:tcW w:w="2070" w:type="dxa"/>
            <w:tcBorders>
              <w:top w:val="double" w:sz="4" w:space="0" w:color="auto"/>
            </w:tcBorders>
            <w:noWrap/>
            <w:vAlign w:val="bottom"/>
          </w:tcPr>
          <w:p w14:paraId="3D3C7B80" w14:textId="77777777" w:rsidR="004C5D7C" w:rsidRPr="003C2644" w:rsidRDefault="004C5D7C" w:rsidP="004C5D7C">
            <w:pPr>
              <w:tabs>
                <w:tab w:val="decimal" w:pos="1605"/>
              </w:tabs>
              <w:rPr>
                <w:rFonts w:ascii="Arial" w:hAnsi="Arial" w:cs="Arial"/>
                <w:szCs w:val="24"/>
              </w:rPr>
            </w:pPr>
          </w:p>
        </w:tc>
        <w:tc>
          <w:tcPr>
            <w:tcW w:w="270" w:type="dxa"/>
          </w:tcPr>
          <w:p w14:paraId="545ABCE2" w14:textId="77777777" w:rsidR="004C5D7C" w:rsidRPr="003C2644" w:rsidRDefault="004C5D7C" w:rsidP="004C5D7C">
            <w:pPr>
              <w:tabs>
                <w:tab w:val="decimal" w:pos="1605"/>
              </w:tabs>
              <w:rPr>
                <w:rFonts w:ascii="Arial" w:hAnsi="Arial" w:cs="Arial"/>
                <w:szCs w:val="24"/>
              </w:rPr>
            </w:pPr>
          </w:p>
        </w:tc>
        <w:tc>
          <w:tcPr>
            <w:tcW w:w="1890" w:type="dxa"/>
            <w:tcBorders>
              <w:top w:val="double" w:sz="4" w:space="0" w:color="auto"/>
            </w:tcBorders>
            <w:noWrap/>
            <w:vAlign w:val="bottom"/>
          </w:tcPr>
          <w:p w14:paraId="380D0CB5" w14:textId="77777777" w:rsidR="004C5D7C" w:rsidRPr="003C2644" w:rsidRDefault="004C5D7C" w:rsidP="0023043A">
            <w:pPr>
              <w:tabs>
                <w:tab w:val="decimal" w:pos="1605"/>
              </w:tabs>
              <w:jc w:val="right"/>
              <w:rPr>
                <w:rFonts w:ascii="Arial" w:hAnsi="Arial" w:cs="Arial"/>
                <w:szCs w:val="24"/>
              </w:rPr>
            </w:pPr>
          </w:p>
        </w:tc>
      </w:tr>
    </w:tbl>
    <w:p w14:paraId="7FF2F74D" w14:textId="77777777" w:rsidR="00AD42E5" w:rsidRDefault="00AD42E5" w:rsidP="00AD42E5">
      <w:pPr>
        <w:jc w:val="both"/>
        <w:rPr>
          <w:rFonts w:ascii="Arial" w:hAnsi="Arial" w:cs="Arial"/>
          <w:szCs w:val="24"/>
        </w:rPr>
      </w:pPr>
    </w:p>
    <w:p w14:paraId="27063F08" w14:textId="77777777" w:rsidR="00437198" w:rsidRDefault="00437198" w:rsidP="00AD42E5">
      <w:pPr>
        <w:jc w:val="both"/>
        <w:rPr>
          <w:rFonts w:ascii="Arial" w:hAnsi="Arial" w:cs="Arial"/>
          <w:szCs w:val="24"/>
        </w:rPr>
      </w:pPr>
    </w:p>
    <w:p w14:paraId="35ACEBB3" w14:textId="77777777" w:rsidR="00437198" w:rsidRDefault="00437198" w:rsidP="00AD42E5">
      <w:pPr>
        <w:jc w:val="both"/>
        <w:rPr>
          <w:rFonts w:ascii="Arial" w:hAnsi="Arial" w:cs="Arial"/>
          <w:szCs w:val="24"/>
        </w:rPr>
      </w:pPr>
    </w:p>
    <w:p w14:paraId="45DB0B0B" w14:textId="77777777" w:rsidR="00437198" w:rsidRDefault="00437198" w:rsidP="00AD42E5">
      <w:pPr>
        <w:jc w:val="both"/>
        <w:rPr>
          <w:rFonts w:ascii="Arial" w:hAnsi="Arial" w:cs="Arial"/>
          <w:szCs w:val="24"/>
        </w:rPr>
      </w:pPr>
    </w:p>
    <w:p w14:paraId="7F4376BD" w14:textId="77777777" w:rsidR="00AD42E5" w:rsidRDefault="00AD42E5" w:rsidP="00AD42E5">
      <w:pPr>
        <w:jc w:val="both"/>
        <w:rPr>
          <w:rFonts w:ascii="Arial" w:hAnsi="Arial" w:cs="Arial"/>
          <w:szCs w:val="24"/>
        </w:rPr>
      </w:pPr>
    </w:p>
    <w:p w14:paraId="5A2F3761" w14:textId="77777777" w:rsidR="00D82B8D" w:rsidRDefault="00D82B8D">
      <w:pPr>
        <w:rPr>
          <w:rFonts w:ascii="Arial" w:hAnsi="Arial" w:cs="Arial"/>
          <w:b/>
          <w:sz w:val="26"/>
          <w:szCs w:val="26"/>
        </w:rPr>
      </w:pPr>
      <w:r>
        <w:rPr>
          <w:rFonts w:ascii="Arial" w:hAnsi="Arial" w:cs="Arial"/>
          <w:b/>
          <w:sz w:val="26"/>
          <w:szCs w:val="26"/>
        </w:rPr>
        <w:br w:type="page"/>
      </w:r>
    </w:p>
    <w:p w14:paraId="14E8ED57" w14:textId="77777777" w:rsidR="00603A6A" w:rsidRPr="004B713A" w:rsidRDefault="00A102E2" w:rsidP="002C6FE9">
      <w:pPr>
        <w:jc w:val="center"/>
        <w:rPr>
          <w:rFonts w:ascii="Arial" w:hAnsi="Arial" w:cs="Arial"/>
          <w:b/>
          <w:sz w:val="26"/>
          <w:szCs w:val="26"/>
        </w:rPr>
      </w:pPr>
      <w:r w:rsidRPr="004B713A">
        <w:rPr>
          <w:rFonts w:ascii="Arial" w:hAnsi="Arial" w:cs="Arial"/>
          <w:b/>
          <w:sz w:val="26"/>
          <w:szCs w:val="26"/>
        </w:rPr>
        <w:lastRenderedPageBreak/>
        <w:t xml:space="preserve">Notes </w:t>
      </w:r>
      <w:r w:rsidR="0038597B">
        <w:rPr>
          <w:rFonts w:ascii="Arial" w:hAnsi="Arial" w:cs="Arial"/>
          <w:b/>
          <w:sz w:val="26"/>
          <w:szCs w:val="26"/>
        </w:rPr>
        <w:t>t</w:t>
      </w:r>
      <w:r w:rsidRPr="004B713A">
        <w:rPr>
          <w:rFonts w:ascii="Arial" w:hAnsi="Arial" w:cs="Arial"/>
          <w:b/>
          <w:sz w:val="26"/>
          <w:szCs w:val="26"/>
        </w:rPr>
        <w:t xml:space="preserve">o </w:t>
      </w:r>
      <w:r w:rsidR="0038597B">
        <w:rPr>
          <w:rFonts w:ascii="Arial" w:hAnsi="Arial" w:cs="Arial"/>
          <w:b/>
          <w:sz w:val="26"/>
          <w:szCs w:val="26"/>
        </w:rPr>
        <w:t>t</w:t>
      </w:r>
      <w:r w:rsidR="00603A6A" w:rsidRPr="004B713A">
        <w:rPr>
          <w:rFonts w:ascii="Arial" w:hAnsi="Arial" w:cs="Arial"/>
          <w:b/>
          <w:sz w:val="26"/>
          <w:szCs w:val="26"/>
        </w:rPr>
        <w:t>he Financial Statement</w:t>
      </w:r>
      <w:r w:rsidR="00AC2934">
        <w:rPr>
          <w:rFonts w:ascii="Arial" w:hAnsi="Arial" w:cs="Arial"/>
          <w:b/>
          <w:sz w:val="26"/>
          <w:szCs w:val="26"/>
        </w:rPr>
        <w:t>s</w:t>
      </w:r>
    </w:p>
    <w:p w14:paraId="46E5EFA2" w14:textId="77777777" w:rsidR="00603A6A" w:rsidRPr="00274C7B" w:rsidRDefault="00603A6A" w:rsidP="002C6FE9">
      <w:pPr>
        <w:jc w:val="center"/>
        <w:rPr>
          <w:rFonts w:ascii="Arial" w:hAnsi="Arial" w:cs="Arial"/>
          <w:b/>
          <w:szCs w:val="24"/>
          <w:u w:val="single"/>
        </w:rPr>
      </w:pPr>
    </w:p>
    <w:p w14:paraId="7E26E932" w14:textId="77777777" w:rsidR="002C6FE9" w:rsidRPr="00274C7B" w:rsidRDefault="002C6FE9" w:rsidP="002C6FE9">
      <w:pPr>
        <w:jc w:val="center"/>
        <w:rPr>
          <w:rFonts w:ascii="Arial" w:hAnsi="Arial" w:cs="Arial"/>
          <w:b/>
          <w:szCs w:val="24"/>
          <w:u w:val="single"/>
        </w:rPr>
      </w:pPr>
    </w:p>
    <w:p w14:paraId="35CD3114" w14:textId="77777777" w:rsidR="00A872CB" w:rsidRDefault="00A872CB" w:rsidP="002C6FE9">
      <w:pPr>
        <w:rPr>
          <w:rFonts w:ascii="Arial" w:hAnsi="Arial" w:cs="Arial"/>
          <w:b/>
          <w:szCs w:val="24"/>
          <w:u w:val="single"/>
        </w:rPr>
      </w:pPr>
      <w:r>
        <w:rPr>
          <w:rFonts w:ascii="Arial" w:hAnsi="Arial" w:cs="Arial"/>
          <w:b/>
          <w:szCs w:val="24"/>
          <w:u w:val="single"/>
        </w:rPr>
        <w:t>1 – Condensed Statement</w:t>
      </w:r>
      <w:r w:rsidR="00AC2934">
        <w:rPr>
          <w:rFonts w:ascii="Arial" w:hAnsi="Arial" w:cs="Arial"/>
          <w:b/>
          <w:szCs w:val="24"/>
          <w:u w:val="single"/>
        </w:rPr>
        <w:t>s</w:t>
      </w:r>
    </w:p>
    <w:p w14:paraId="1BE0A74E" w14:textId="77777777" w:rsidR="00A872CB" w:rsidRDefault="00A872CB" w:rsidP="002C6FE9">
      <w:pPr>
        <w:rPr>
          <w:rFonts w:ascii="Arial" w:hAnsi="Arial" w:cs="Arial"/>
          <w:b/>
          <w:szCs w:val="24"/>
          <w:u w:val="single"/>
        </w:rPr>
      </w:pPr>
    </w:p>
    <w:p w14:paraId="147F296A" w14:textId="64BF07BE" w:rsidR="00A872CB" w:rsidRPr="00A872CB" w:rsidRDefault="00A872CB" w:rsidP="00A872CB">
      <w:pPr>
        <w:tabs>
          <w:tab w:val="left" w:pos="360"/>
        </w:tabs>
        <w:ind w:left="360"/>
        <w:rPr>
          <w:rFonts w:ascii="Arial" w:hAnsi="Arial" w:cs="Arial"/>
          <w:szCs w:val="24"/>
        </w:rPr>
      </w:pPr>
      <w:r>
        <w:rPr>
          <w:rFonts w:ascii="Arial" w:hAnsi="Arial" w:cs="Arial"/>
          <w:szCs w:val="24"/>
        </w:rPr>
        <w:t>The Statement</w:t>
      </w:r>
      <w:r w:rsidR="0019411C">
        <w:rPr>
          <w:rFonts w:ascii="Arial" w:hAnsi="Arial" w:cs="Arial"/>
          <w:szCs w:val="24"/>
        </w:rPr>
        <w:t>s</w:t>
      </w:r>
      <w:r>
        <w:rPr>
          <w:rFonts w:ascii="Arial" w:hAnsi="Arial" w:cs="Arial"/>
          <w:szCs w:val="24"/>
        </w:rPr>
        <w:t xml:space="preserve"> of </w:t>
      </w:r>
      <w:r w:rsidR="00925619">
        <w:rPr>
          <w:rFonts w:ascii="Arial" w:hAnsi="Arial" w:cs="Arial"/>
          <w:szCs w:val="24"/>
        </w:rPr>
        <w:t>Transmission Service Charge</w:t>
      </w:r>
      <w:r w:rsidR="00650F45">
        <w:rPr>
          <w:rFonts w:ascii="Arial" w:hAnsi="Arial" w:cs="Arial"/>
          <w:szCs w:val="24"/>
        </w:rPr>
        <w:t xml:space="preserve"> (</w:t>
      </w:r>
      <w:r w:rsidR="00925619">
        <w:rPr>
          <w:rFonts w:ascii="Arial" w:hAnsi="Arial" w:cs="Arial"/>
          <w:szCs w:val="24"/>
        </w:rPr>
        <w:t>TSC</w:t>
      </w:r>
      <w:r w:rsidR="00650F45">
        <w:rPr>
          <w:rFonts w:ascii="Arial" w:hAnsi="Arial" w:cs="Arial"/>
          <w:szCs w:val="24"/>
        </w:rPr>
        <w:t>)</w:t>
      </w:r>
      <w:r>
        <w:rPr>
          <w:rFonts w:ascii="Arial" w:hAnsi="Arial" w:cs="Arial"/>
          <w:szCs w:val="24"/>
        </w:rPr>
        <w:t xml:space="preserve"> Over/(Under) Collect</w:t>
      </w:r>
      <w:r w:rsidR="0019411C">
        <w:rPr>
          <w:rFonts w:ascii="Arial" w:hAnsi="Arial" w:cs="Arial"/>
          <w:szCs w:val="24"/>
        </w:rPr>
        <w:t>ions presented in this report are</w:t>
      </w:r>
      <w:r>
        <w:rPr>
          <w:rFonts w:ascii="Arial" w:hAnsi="Arial" w:cs="Arial"/>
          <w:szCs w:val="24"/>
        </w:rPr>
        <w:t xml:space="preserve"> condensed from the officially filed statement</w:t>
      </w:r>
      <w:r w:rsidR="0019411C">
        <w:rPr>
          <w:rFonts w:ascii="Arial" w:hAnsi="Arial" w:cs="Arial"/>
          <w:szCs w:val="24"/>
        </w:rPr>
        <w:t>s</w:t>
      </w:r>
      <w:r>
        <w:rPr>
          <w:rFonts w:ascii="Arial" w:hAnsi="Arial" w:cs="Arial"/>
          <w:szCs w:val="24"/>
        </w:rPr>
        <w:t xml:space="preserve"> </w:t>
      </w:r>
      <w:proofErr w:type="gramStart"/>
      <w:r>
        <w:rPr>
          <w:rFonts w:ascii="Arial" w:hAnsi="Arial" w:cs="Arial"/>
          <w:szCs w:val="24"/>
        </w:rPr>
        <w:t>for the purpose of</w:t>
      </w:r>
      <w:proofErr w:type="gramEnd"/>
      <w:r>
        <w:rPr>
          <w:rFonts w:ascii="Arial" w:hAnsi="Arial" w:cs="Arial"/>
          <w:szCs w:val="24"/>
        </w:rPr>
        <w:t xml:space="preserve"> clarity.  The audit was conducted on </w:t>
      </w:r>
      <w:r w:rsidR="009C7A49">
        <w:rPr>
          <w:rFonts w:ascii="Arial" w:hAnsi="Arial" w:cs="Arial"/>
          <w:szCs w:val="24"/>
        </w:rPr>
        <w:t>PPL E</w:t>
      </w:r>
      <w:r w:rsidR="00DB7D54">
        <w:rPr>
          <w:rFonts w:ascii="Arial" w:hAnsi="Arial" w:cs="Arial"/>
          <w:szCs w:val="24"/>
        </w:rPr>
        <w:t>lectric Utilities Corporation</w:t>
      </w:r>
      <w:r>
        <w:rPr>
          <w:rFonts w:ascii="Arial" w:hAnsi="Arial" w:cs="Arial"/>
          <w:szCs w:val="24"/>
        </w:rPr>
        <w:t>’s (</w:t>
      </w:r>
      <w:r w:rsidR="00DB7D54">
        <w:rPr>
          <w:rFonts w:ascii="Arial" w:hAnsi="Arial" w:cs="Arial"/>
          <w:szCs w:val="24"/>
        </w:rPr>
        <w:t>PPL</w:t>
      </w:r>
      <w:r>
        <w:rPr>
          <w:rFonts w:ascii="Arial" w:hAnsi="Arial" w:cs="Arial"/>
          <w:szCs w:val="24"/>
        </w:rPr>
        <w:t xml:space="preserve">) officially filed 1307(e) </w:t>
      </w:r>
      <w:r w:rsidR="006A5CAD">
        <w:rPr>
          <w:rFonts w:ascii="Arial" w:hAnsi="Arial" w:cs="Arial"/>
          <w:szCs w:val="24"/>
        </w:rPr>
        <w:t>s</w:t>
      </w:r>
      <w:r>
        <w:rPr>
          <w:rFonts w:ascii="Arial" w:hAnsi="Arial" w:cs="Arial"/>
          <w:szCs w:val="24"/>
        </w:rPr>
        <w:t>tatement</w:t>
      </w:r>
      <w:r w:rsidR="0019411C">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AA7D3D">
        <w:rPr>
          <w:rFonts w:ascii="Arial" w:hAnsi="Arial" w:cs="Arial"/>
          <w:szCs w:val="24"/>
        </w:rPr>
        <w:t xml:space="preserve">in accordance with Section </w:t>
      </w:r>
      <w:r w:rsidR="00AA7D3D" w:rsidRPr="00E729D3">
        <w:rPr>
          <w:rFonts w:ascii="Arial" w:hAnsi="Arial" w:cs="Arial"/>
          <w:szCs w:val="24"/>
        </w:rPr>
        <w:t>1307(</w:t>
      </w:r>
      <w:r w:rsidR="00AA7D3D">
        <w:rPr>
          <w:rFonts w:ascii="Arial" w:hAnsi="Arial" w:cs="Arial"/>
          <w:szCs w:val="24"/>
        </w:rPr>
        <w:t>e</w:t>
      </w:r>
      <w:r w:rsidR="00AA7D3D" w:rsidRPr="00E729D3">
        <w:rPr>
          <w:rFonts w:ascii="Arial" w:hAnsi="Arial" w:cs="Arial"/>
          <w:szCs w:val="24"/>
        </w:rPr>
        <w:t>)</w:t>
      </w:r>
      <w:r w:rsidR="007F49CA">
        <w:rPr>
          <w:rFonts w:ascii="Arial" w:hAnsi="Arial" w:cs="Arial"/>
          <w:szCs w:val="24"/>
        </w:rPr>
        <w:t>(1)</w:t>
      </w:r>
      <w:r w:rsidR="00AA7D3D" w:rsidRPr="00E729D3">
        <w:rPr>
          <w:rFonts w:ascii="Arial" w:hAnsi="Arial" w:cs="Arial"/>
          <w:szCs w:val="24"/>
        </w:rPr>
        <w:t xml:space="preserve"> </w:t>
      </w:r>
      <w:r w:rsidR="00AA7D3D">
        <w:rPr>
          <w:rFonts w:ascii="Arial" w:hAnsi="Arial" w:cs="Arial"/>
          <w:szCs w:val="24"/>
        </w:rPr>
        <w:t xml:space="preserve">of the Public Utility Code </w:t>
      </w:r>
      <w:r>
        <w:rPr>
          <w:rFonts w:ascii="Arial" w:hAnsi="Arial" w:cs="Arial"/>
          <w:szCs w:val="24"/>
        </w:rPr>
        <w:t xml:space="preserve">on </w:t>
      </w:r>
      <w:r w:rsidR="00254B1A">
        <w:rPr>
          <w:rFonts w:ascii="Arial" w:hAnsi="Arial" w:cs="Arial"/>
          <w:szCs w:val="24"/>
        </w:rPr>
        <w:t>April 28, 2017</w:t>
      </w:r>
      <w:r w:rsidR="00087B16" w:rsidRPr="00223812">
        <w:rPr>
          <w:rFonts w:ascii="Arial" w:hAnsi="Arial" w:cs="Arial"/>
          <w:szCs w:val="24"/>
        </w:rPr>
        <w:t xml:space="preserve"> and </w:t>
      </w:r>
      <w:r w:rsidR="00254B1A">
        <w:rPr>
          <w:rFonts w:ascii="Arial" w:hAnsi="Arial" w:cs="Arial"/>
          <w:szCs w:val="24"/>
        </w:rPr>
        <w:t>April 29, 2016</w:t>
      </w:r>
      <w:r w:rsidR="00B13D69">
        <w:rPr>
          <w:rFonts w:ascii="Arial" w:hAnsi="Arial" w:cs="Arial"/>
          <w:szCs w:val="24"/>
        </w:rPr>
        <w:t xml:space="preserve">.  </w:t>
      </w:r>
      <w:r w:rsidR="00D0218E">
        <w:rPr>
          <w:rFonts w:ascii="Arial" w:hAnsi="Arial" w:cs="Arial"/>
          <w:szCs w:val="26"/>
        </w:rPr>
        <w:t>The statements are available on the PUC’s website (</w:t>
      </w:r>
      <w:hyperlink r:id="rId23" w:history="1">
        <w:r w:rsidR="00D0218E" w:rsidRPr="00B6099A">
          <w:rPr>
            <w:rStyle w:val="Hyperlink"/>
            <w:rFonts w:ascii="Arial" w:hAnsi="Arial" w:cs="Arial"/>
            <w:szCs w:val="26"/>
          </w:rPr>
          <w:t>http://wwww.puc.pa.gov</w:t>
        </w:r>
      </w:hyperlink>
      <w:r w:rsidR="00D0218E">
        <w:rPr>
          <w:rFonts w:ascii="Arial" w:hAnsi="Arial" w:cs="Arial"/>
          <w:szCs w:val="26"/>
        </w:rPr>
        <w:t>) at Docket Nos.</w:t>
      </w:r>
      <w:r w:rsidR="00933D25">
        <w:rPr>
          <w:rFonts w:ascii="Arial" w:hAnsi="Arial" w:cs="Arial"/>
          <w:szCs w:val="26"/>
        </w:rPr>
        <w:t xml:space="preserve"> </w:t>
      </w:r>
      <w:r w:rsidRPr="00BB70B4">
        <w:rPr>
          <w:rFonts w:ascii="Arial" w:hAnsi="Arial" w:cs="Arial"/>
          <w:szCs w:val="24"/>
        </w:rPr>
        <w:t>M</w:t>
      </w:r>
      <w:r w:rsidR="0019642C" w:rsidRPr="00BB70B4">
        <w:rPr>
          <w:rFonts w:ascii="Arial" w:hAnsi="Arial" w:cs="Arial"/>
          <w:szCs w:val="24"/>
        </w:rPr>
        <w:noBreakHyphen/>
      </w:r>
      <w:r w:rsidRPr="00BB70B4">
        <w:rPr>
          <w:rFonts w:ascii="Arial" w:hAnsi="Arial" w:cs="Arial"/>
          <w:szCs w:val="24"/>
        </w:rPr>
        <w:t>201</w:t>
      </w:r>
      <w:r w:rsidR="00254B1A">
        <w:rPr>
          <w:rFonts w:ascii="Arial" w:hAnsi="Arial" w:cs="Arial"/>
          <w:szCs w:val="24"/>
        </w:rPr>
        <w:t>7</w:t>
      </w:r>
      <w:r w:rsidR="0019642C" w:rsidRPr="00BB70B4">
        <w:rPr>
          <w:rFonts w:ascii="Arial" w:hAnsi="Arial" w:cs="Arial"/>
          <w:szCs w:val="24"/>
        </w:rPr>
        <w:noBreakHyphen/>
      </w:r>
      <w:r w:rsidR="00254B1A">
        <w:rPr>
          <w:rFonts w:ascii="Arial" w:hAnsi="Arial" w:cs="Arial"/>
          <w:szCs w:val="24"/>
        </w:rPr>
        <w:t>2601693</w:t>
      </w:r>
      <w:r w:rsidR="00DB7D54">
        <w:rPr>
          <w:rFonts w:ascii="Arial" w:hAnsi="Arial" w:cs="Arial"/>
          <w:szCs w:val="24"/>
        </w:rPr>
        <w:t xml:space="preserve"> and </w:t>
      </w:r>
      <w:r w:rsidR="00B84F69">
        <w:rPr>
          <w:rFonts w:ascii="Arial" w:hAnsi="Arial" w:cs="Arial"/>
          <w:szCs w:val="24"/>
        </w:rPr>
        <w:t>M</w:t>
      </w:r>
      <w:r w:rsidR="00B84F69">
        <w:rPr>
          <w:rFonts w:ascii="Arial" w:hAnsi="Arial" w:cs="Arial"/>
          <w:szCs w:val="24"/>
        </w:rPr>
        <w:noBreakHyphen/>
        <w:t>201</w:t>
      </w:r>
      <w:r w:rsidR="00254B1A">
        <w:rPr>
          <w:rFonts w:ascii="Arial" w:hAnsi="Arial" w:cs="Arial"/>
          <w:szCs w:val="24"/>
        </w:rPr>
        <w:t>6</w:t>
      </w:r>
      <w:r w:rsidR="00B84F69">
        <w:rPr>
          <w:rFonts w:ascii="Arial" w:hAnsi="Arial" w:cs="Arial"/>
          <w:szCs w:val="24"/>
        </w:rPr>
        <w:noBreakHyphen/>
      </w:r>
      <w:r w:rsidR="00254B1A">
        <w:rPr>
          <w:rFonts w:ascii="Arial" w:hAnsi="Arial" w:cs="Arial"/>
          <w:szCs w:val="24"/>
        </w:rPr>
        <w:t>2542973</w:t>
      </w:r>
      <w:r w:rsidR="00933D25">
        <w:rPr>
          <w:rFonts w:ascii="Arial" w:hAnsi="Arial" w:cs="Arial"/>
          <w:szCs w:val="24"/>
        </w:rPr>
        <w:t>.</w:t>
      </w:r>
    </w:p>
    <w:p w14:paraId="6D648552" w14:textId="77777777" w:rsidR="00A872CB" w:rsidRDefault="00A872CB" w:rsidP="002C6FE9">
      <w:pPr>
        <w:rPr>
          <w:rFonts w:ascii="Arial" w:hAnsi="Arial" w:cs="Arial"/>
          <w:b/>
          <w:szCs w:val="24"/>
          <w:u w:val="single"/>
        </w:rPr>
      </w:pPr>
    </w:p>
    <w:p w14:paraId="445B955F" w14:textId="4BAAA9B3" w:rsidR="00574D7F" w:rsidRPr="008452A6" w:rsidRDefault="00E67CB3" w:rsidP="00574D7F">
      <w:pPr>
        <w:tabs>
          <w:tab w:val="decimal" w:pos="6120"/>
          <w:tab w:val="decimal" w:pos="7560"/>
        </w:tabs>
        <w:ind w:left="634" w:hanging="634"/>
        <w:rPr>
          <w:rFonts w:ascii="Arial" w:hAnsi="Arial" w:cs="Arial"/>
          <w:b/>
          <w:szCs w:val="24"/>
          <w:u w:val="single"/>
        </w:rPr>
      </w:pPr>
      <w:r w:rsidRPr="008452A6">
        <w:rPr>
          <w:rFonts w:ascii="Arial" w:hAnsi="Arial" w:cs="Arial"/>
          <w:b/>
          <w:szCs w:val="24"/>
          <w:u w:val="single"/>
        </w:rPr>
        <w:t>2</w:t>
      </w:r>
      <w:r w:rsidR="00574D7F" w:rsidRPr="008452A6">
        <w:rPr>
          <w:rFonts w:ascii="Arial" w:hAnsi="Arial" w:cs="Arial"/>
          <w:b/>
          <w:szCs w:val="24"/>
          <w:u w:val="single"/>
        </w:rPr>
        <w:t xml:space="preserve"> </w:t>
      </w:r>
      <w:r w:rsidR="002E27B4" w:rsidRPr="008452A6">
        <w:rPr>
          <w:rFonts w:ascii="Arial" w:hAnsi="Arial" w:cs="Arial"/>
          <w:b/>
          <w:szCs w:val="24"/>
          <w:u w:val="single"/>
        </w:rPr>
        <w:t>–</w:t>
      </w:r>
      <w:r w:rsidR="00574D7F" w:rsidRPr="008452A6">
        <w:rPr>
          <w:rFonts w:ascii="Arial" w:hAnsi="Arial" w:cs="Arial"/>
          <w:b/>
          <w:szCs w:val="24"/>
          <w:u w:val="single"/>
        </w:rPr>
        <w:t xml:space="preserve"> </w:t>
      </w:r>
      <w:r w:rsidR="00925619">
        <w:rPr>
          <w:rFonts w:ascii="Arial" w:hAnsi="Arial" w:cs="Arial"/>
          <w:b/>
          <w:szCs w:val="24"/>
          <w:u w:val="single"/>
        </w:rPr>
        <w:t>TSC</w:t>
      </w:r>
      <w:r w:rsidR="00574D7F" w:rsidRPr="008452A6">
        <w:rPr>
          <w:rFonts w:ascii="Arial" w:hAnsi="Arial" w:cs="Arial"/>
          <w:b/>
          <w:szCs w:val="24"/>
          <w:u w:val="single"/>
        </w:rPr>
        <w:t xml:space="preserve"> Revenue</w:t>
      </w:r>
    </w:p>
    <w:p w14:paraId="087E3DA6" w14:textId="77777777" w:rsidR="00574D7F" w:rsidRPr="008452A6" w:rsidRDefault="00574D7F" w:rsidP="00574D7F">
      <w:pPr>
        <w:tabs>
          <w:tab w:val="decimal" w:pos="6120"/>
          <w:tab w:val="decimal" w:pos="7560"/>
        </w:tabs>
        <w:jc w:val="both"/>
        <w:rPr>
          <w:rFonts w:ascii="Arial" w:hAnsi="Arial" w:cs="Arial"/>
          <w:szCs w:val="24"/>
        </w:rPr>
      </w:pPr>
    </w:p>
    <w:p w14:paraId="6E0FBE80" w14:textId="4414FB6F" w:rsidR="00574D7F" w:rsidRPr="0013542D" w:rsidRDefault="00E225DA" w:rsidP="00357226">
      <w:pPr>
        <w:ind w:left="360"/>
        <w:rPr>
          <w:rFonts w:ascii="Arial" w:hAnsi="Arial" w:cs="Arial"/>
          <w:szCs w:val="24"/>
          <w:highlight w:val="yellow"/>
        </w:rPr>
      </w:pPr>
      <w:bookmarkStart w:id="0" w:name="_GoBack"/>
      <w:bookmarkEnd w:id="0"/>
      <w:r w:rsidRPr="002D0A9C">
        <w:rPr>
          <w:rFonts w:ascii="Arial" w:hAnsi="Arial" w:cs="Arial"/>
          <w:szCs w:val="24"/>
        </w:rPr>
        <w:t>TSC Revenue</w:t>
      </w:r>
      <w:r w:rsidR="00096ED4">
        <w:rPr>
          <w:rFonts w:ascii="Arial" w:hAnsi="Arial" w:cs="Arial"/>
          <w:szCs w:val="24"/>
        </w:rPr>
        <w:t xml:space="preserve"> is </w:t>
      </w:r>
      <w:r w:rsidR="008F0D67" w:rsidRPr="002D0A9C">
        <w:rPr>
          <w:rFonts w:ascii="Arial" w:hAnsi="Arial" w:cs="Arial"/>
          <w:szCs w:val="24"/>
        </w:rPr>
        <w:t>derived by</w:t>
      </w:r>
      <w:r w:rsidR="008A5EDE" w:rsidRPr="002D0A9C">
        <w:rPr>
          <w:rFonts w:ascii="Arial" w:hAnsi="Arial" w:cs="Arial"/>
          <w:szCs w:val="24"/>
        </w:rPr>
        <w:t xml:space="preserve"> multiplying the sales volumes billed during the month by the applicable </w:t>
      </w:r>
      <w:r w:rsidR="006F35C9" w:rsidRPr="002D0A9C">
        <w:rPr>
          <w:rFonts w:ascii="Arial" w:hAnsi="Arial" w:cs="Arial"/>
          <w:szCs w:val="24"/>
        </w:rPr>
        <w:t>TSC rate</w:t>
      </w:r>
      <w:r w:rsidRPr="002D0A9C">
        <w:rPr>
          <w:rFonts w:ascii="Arial" w:hAnsi="Arial" w:cs="Arial"/>
          <w:szCs w:val="24"/>
        </w:rPr>
        <w:t>, excluding E-Factor</w:t>
      </w:r>
      <w:r w:rsidR="006F35C9" w:rsidRPr="002D0A9C">
        <w:rPr>
          <w:rFonts w:ascii="Arial" w:hAnsi="Arial" w:cs="Arial"/>
          <w:szCs w:val="24"/>
        </w:rPr>
        <w:t>,</w:t>
      </w:r>
      <w:r w:rsidRPr="002D0A9C">
        <w:rPr>
          <w:rFonts w:ascii="Arial" w:hAnsi="Arial" w:cs="Arial"/>
          <w:szCs w:val="24"/>
        </w:rPr>
        <w:t xml:space="preserve"> to each kilowatt-hour (kWh) of energy or kilowatt (kW) of demand supplied to customers who receive </w:t>
      </w:r>
      <w:r w:rsidR="00357226">
        <w:rPr>
          <w:rFonts w:ascii="Arial" w:hAnsi="Arial" w:cs="Arial"/>
          <w:szCs w:val="24"/>
        </w:rPr>
        <w:t xml:space="preserve">default service from </w:t>
      </w:r>
      <w:r w:rsidR="00353FF1">
        <w:rPr>
          <w:rFonts w:ascii="Arial" w:hAnsi="Arial" w:cs="Arial"/>
          <w:szCs w:val="24"/>
        </w:rPr>
        <w:t>PPL.</w:t>
      </w:r>
      <w:r w:rsidRPr="00F51FF0">
        <w:rPr>
          <w:rFonts w:ascii="Arial" w:hAnsi="Arial" w:cs="Arial"/>
          <w:szCs w:val="24"/>
        </w:rPr>
        <w:t xml:space="preserve">  </w:t>
      </w:r>
    </w:p>
    <w:p w14:paraId="6D0C335A" w14:textId="77777777" w:rsidR="00574D7F" w:rsidRPr="00274C7B" w:rsidRDefault="00574D7F" w:rsidP="00574D7F">
      <w:pPr>
        <w:tabs>
          <w:tab w:val="decimal" w:pos="6120"/>
          <w:tab w:val="decimal" w:pos="7560"/>
        </w:tabs>
        <w:rPr>
          <w:rFonts w:ascii="Arial" w:hAnsi="Arial" w:cs="Arial"/>
          <w:szCs w:val="24"/>
        </w:rPr>
      </w:pPr>
    </w:p>
    <w:p w14:paraId="081AF178" w14:textId="77777777" w:rsidR="007E3F5B" w:rsidRPr="007E3F5B" w:rsidRDefault="00517F9D" w:rsidP="007E3F5B">
      <w:pPr>
        <w:tabs>
          <w:tab w:val="left" w:pos="360"/>
        </w:tabs>
        <w:overflowPunct w:val="0"/>
        <w:autoSpaceDE w:val="0"/>
        <w:autoSpaceDN w:val="0"/>
        <w:adjustRightInd w:val="0"/>
        <w:jc w:val="both"/>
        <w:textAlignment w:val="baseline"/>
        <w:rPr>
          <w:rFonts w:ascii="Arial" w:hAnsi="Arial" w:cs="Arial"/>
          <w:b/>
          <w:szCs w:val="24"/>
          <w:u w:val="single"/>
        </w:rPr>
      </w:pPr>
      <w:r>
        <w:rPr>
          <w:rFonts w:ascii="Arial" w:hAnsi="Arial" w:cs="Arial"/>
          <w:b/>
          <w:szCs w:val="24"/>
          <w:u w:val="single"/>
        </w:rPr>
        <w:t xml:space="preserve">3 </w:t>
      </w:r>
      <w:r w:rsidRPr="008452A6">
        <w:rPr>
          <w:rFonts w:ascii="Arial" w:hAnsi="Arial" w:cs="Arial"/>
          <w:b/>
          <w:szCs w:val="24"/>
          <w:u w:val="single"/>
        </w:rPr>
        <w:t>–</w:t>
      </w:r>
      <w:r w:rsidR="007E3F5B" w:rsidRPr="007E3F5B">
        <w:rPr>
          <w:rFonts w:ascii="Arial" w:hAnsi="Arial" w:cs="Arial"/>
          <w:b/>
          <w:szCs w:val="24"/>
          <w:u w:val="single"/>
        </w:rPr>
        <w:t xml:space="preserve"> </w:t>
      </w:r>
      <w:r w:rsidR="00925619">
        <w:rPr>
          <w:rFonts w:ascii="Arial" w:hAnsi="Arial" w:cs="Arial"/>
          <w:b/>
          <w:szCs w:val="24"/>
          <w:u w:val="single"/>
        </w:rPr>
        <w:t>TSC</w:t>
      </w:r>
      <w:r w:rsidR="007E3F5B" w:rsidRPr="007E3F5B">
        <w:rPr>
          <w:rFonts w:ascii="Arial" w:hAnsi="Arial" w:cs="Arial"/>
          <w:b/>
          <w:szCs w:val="24"/>
          <w:u w:val="single"/>
        </w:rPr>
        <w:t xml:space="preserve"> Expenses</w:t>
      </w:r>
    </w:p>
    <w:p w14:paraId="0CAE401E" w14:textId="77777777" w:rsidR="007E3F5B" w:rsidRPr="007E3F5B" w:rsidRDefault="007E3F5B" w:rsidP="007E3F5B">
      <w:pPr>
        <w:tabs>
          <w:tab w:val="left" w:pos="-720"/>
        </w:tabs>
        <w:suppressAutoHyphens/>
        <w:overflowPunct w:val="0"/>
        <w:autoSpaceDE w:val="0"/>
        <w:autoSpaceDN w:val="0"/>
        <w:adjustRightInd w:val="0"/>
        <w:textAlignment w:val="baseline"/>
        <w:rPr>
          <w:rFonts w:ascii="Arial" w:hAnsi="Arial" w:cs="Arial"/>
          <w:sz w:val="22"/>
          <w:szCs w:val="22"/>
          <w:highlight w:val="yellow"/>
        </w:rPr>
      </w:pPr>
    </w:p>
    <w:p w14:paraId="13DE893B" w14:textId="5F9326AE" w:rsidR="00E225DA" w:rsidRPr="00F51FF0" w:rsidRDefault="00E225DA" w:rsidP="00E225DA">
      <w:pPr>
        <w:tabs>
          <w:tab w:val="left" w:pos="360"/>
        </w:tabs>
        <w:ind w:left="360"/>
        <w:rPr>
          <w:rFonts w:ascii="Arial" w:hAnsi="Arial" w:cs="Arial"/>
          <w:szCs w:val="24"/>
        </w:rPr>
      </w:pPr>
      <w:r>
        <w:rPr>
          <w:rFonts w:ascii="Arial" w:hAnsi="Arial" w:cs="Arial"/>
          <w:szCs w:val="24"/>
        </w:rPr>
        <w:t>The TSC</w:t>
      </w:r>
      <w:r w:rsidRPr="00F51FF0">
        <w:rPr>
          <w:rFonts w:ascii="Arial" w:hAnsi="Arial" w:cs="Arial"/>
          <w:szCs w:val="24"/>
        </w:rPr>
        <w:t xml:space="preserve"> Expenses are the applicable charges</w:t>
      </w:r>
      <w:r>
        <w:rPr>
          <w:rFonts w:ascii="Arial" w:hAnsi="Arial" w:cs="Arial"/>
          <w:szCs w:val="24"/>
        </w:rPr>
        <w:t xml:space="preserve"> incurred</w:t>
      </w:r>
      <w:r w:rsidRPr="00F51FF0">
        <w:rPr>
          <w:rFonts w:ascii="Arial" w:hAnsi="Arial" w:cs="Arial"/>
          <w:szCs w:val="24"/>
        </w:rPr>
        <w:t xml:space="preserve"> by </w:t>
      </w:r>
      <w:r w:rsidR="003B7411">
        <w:rPr>
          <w:rFonts w:ascii="Arial" w:hAnsi="Arial" w:cs="Arial"/>
          <w:szCs w:val="24"/>
        </w:rPr>
        <w:t>PPL</w:t>
      </w:r>
      <w:r w:rsidRPr="00F51FF0">
        <w:rPr>
          <w:rFonts w:ascii="Arial" w:hAnsi="Arial" w:cs="Arial"/>
          <w:szCs w:val="24"/>
        </w:rPr>
        <w:t xml:space="preserve"> to acquire transmission service (including all ancillary service charges) on behalf of </w:t>
      </w:r>
      <w:r w:rsidR="006D006C">
        <w:rPr>
          <w:rFonts w:ascii="Arial" w:hAnsi="Arial" w:cs="Arial"/>
          <w:szCs w:val="24"/>
        </w:rPr>
        <w:t xml:space="preserve">default service </w:t>
      </w:r>
      <w:r w:rsidRPr="00F51FF0">
        <w:rPr>
          <w:rFonts w:ascii="Arial" w:hAnsi="Arial" w:cs="Arial"/>
          <w:szCs w:val="24"/>
        </w:rPr>
        <w:t xml:space="preserve">customers under the </w:t>
      </w:r>
      <w:r>
        <w:rPr>
          <w:rFonts w:ascii="Arial" w:hAnsi="Arial" w:cs="Arial"/>
          <w:szCs w:val="24"/>
        </w:rPr>
        <w:t xml:space="preserve">PJM </w:t>
      </w:r>
      <w:r w:rsidRPr="00F51FF0">
        <w:rPr>
          <w:rFonts w:ascii="Arial" w:hAnsi="Arial" w:cs="Arial"/>
          <w:szCs w:val="24"/>
        </w:rPr>
        <w:t>O</w:t>
      </w:r>
      <w:r>
        <w:rPr>
          <w:rFonts w:ascii="Arial" w:hAnsi="Arial" w:cs="Arial"/>
          <w:szCs w:val="24"/>
        </w:rPr>
        <w:t xml:space="preserve">pen </w:t>
      </w:r>
      <w:r w:rsidRPr="00F51FF0">
        <w:rPr>
          <w:rFonts w:ascii="Arial" w:hAnsi="Arial" w:cs="Arial"/>
          <w:szCs w:val="24"/>
        </w:rPr>
        <w:t>A</w:t>
      </w:r>
      <w:r>
        <w:rPr>
          <w:rFonts w:ascii="Arial" w:hAnsi="Arial" w:cs="Arial"/>
          <w:szCs w:val="24"/>
        </w:rPr>
        <w:t xml:space="preserve">ccess </w:t>
      </w:r>
      <w:r w:rsidRPr="00F51FF0">
        <w:rPr>
          <w:rFonts w:ascii="Arial" w:hAnsi="Arial" w:cs="Arial"/>
          <w:szCs w:val="24"/>
        </w:rPr>
        <w:t>T</w:t>
      </w:r>
      <w:r>
        <w:rPr>
          <w:rFonts w:ascii="Arial" w:hAnsi="Arial" w:cs="Arial"/>
          <w:szCs w:val="24"/>
        </w:rPr>
        <w:t xml:space="preserve">ransmission </w:t>
      </w:r>
      <w:r w:rsidRPr="00F51FF0">
        <w:rPr>
          <w:rFonts w:ascii="Arial" w:hAnsi="Arial" w:cs="Arial"/>
          <w:szCs w:val="24"/>
        </w:rPr>
        <w:t>T</w:t>
      </w:r>
      <w:r>
        <w:rPr>
          <w:rFonts w:ascii="Arial" w:hAnsi="Arial" w:cs="Arial"/>
          <w:szCs w:val="24"/>
        </w:rPr>
        <w:t>ariff</w:t>
      </w:r>
      <w:r w:rsidRPr="00F51FF0">
        <w:rPr>
          <w:rFonts w:ascii="Arial" w:hAnsi="Arial" w:cs="Arial"/>
          <w:szCs w:val="24"/>
        </w:rPr>
        <w:t xml:space="preserve"> </w:t>
      </w:r>
      <w:r>
        <w:rPr>
          <w:rFonts w:ascii="Arial" w:hAnsi="Arial" w:cs="Arial"/>
          <w:szCs w:val="24"/>
        </w:rPr>
        <w:t xml:space="preserve">(OATT) as </w:t>
      </w:r>
      <w:r w:rsidRPr="00F51FF0">
        <w:rPr>
          <w:rFonts w:ascii="Arial" w:hAnsi="Arial" w:cs="Arial"/>
          <w:szCs w:val="24"/>
        </w:rPr>
        <w:t>approved by the Federal Energy Regulatory Commission.</w:t>
      </w:r>
    </w:p>
    <w:p w14:paraId="5B43571A" w14:textId="77777777" w:rsidR="00702AE9" w:rsidRDefault="00702AE9" w:rsidP="00A61F83">
      <w:pPr>
        <w:pStyle w:val="BlockText"/>
        <w:ind w:left="375" w:right="0" w:hanging="634"/>
        <w:rPr>
          <w:rFonts w:ascii="Arial" w:hAnsi="Arial" w:cs="Arial"/>
          <w:szCs w:val="24"/>
        </w:rPr>
      </w:pPr>
    </w:p>
    <w:p w14:paraId="417162E7" w14:textId="77777777" w:rsidR="00A61F83" w:rsidRPr="00274C7B" w:rsidRDefault="00A61F83" w:rsidP="00A61F83">
      <w:pPr>
        <w:pStyle w:val="BlockText"/>
        <w:ind w:left="0" w:right="0" w:firstLine="0"/>
        <w:rPr>
          <w:rFonts w:ascii="Arial" w:hAnsi="Arial" w:cs="Arial"/>
          <w:b/>
          <w:szCs w:val="24"/>
          <w:u w:val="single"/>
        </w:rPr>
      </w:pPr>
      <w:r>
        <w:rPr>
          <w:rFonts w:ascii="Arial" w:hAnsi="Arial" w:cs="Arial"/>
          <w:b/>
          <w:szCs w:val="24"/>
          <w:u w:val="single"/>
        </w:rPr>
        <w:t>4</w:t>
      </w:r>
      <w:r w:rsidRPr="00274C7B">
        <w:rPr>
          <w:rFonts w:ascii="Arial" w:hAnsi="Arial" w:cs="Arial"/>
          <w:b/>
          <w:szCs w:val="24"/>
          <w:u w:val="single"/>
        </w:rPr>
        <w:t xml:space="preserve"> </w:t>
      </w:r>
      <w:r>
        <w:rPr>
          <w:rFonts w:ascii="Arial" w:hAnsi="Arial" w:cs="Arial"/>
          <w:b/>
          <w:szCs w:val="24"/>
          <w:u w:val="single"/>
        </w:rPr>
        <w:t>–</w:t>
      </w:r>
      <w:r w:rsidRPr="00274C7B">
        <w:rPr>
          <w:rFonts w:ascii="Arial" w:hAnsi="Arial" w:cs="Arial"/>
          <w:b/>
          <w:szCs w:val="24"/>
          <w:u w:val="single"/>
        </w:rPr>
        <w:t xml:space="preserve"> Over/(Under) Collections</w:t>
      </w:r>
    </w:p>
    <w:p w14:paraId="35EC0552" w14:textId="77777777" w:rsidR="00A61F83" w:rsidRPr="00274C7B" w:rsidRDefault="00A61F83" w:rsidP="00A61F83">
      <w:pPr>
        <w:tabs>
          <w:tab w:val="decimal" w:pos="6120"/>
          <w:tab w:val="decimal" w:pos="7560"/>
        </w:tabs>
        <w:rPr>
          <w:rFonts w:ascii="Arial" w:hAnsi="Arial" w:cs="Arial"/>
          <w:szCs w:val="24"/>
          <w:u w:val="single"/>
        </w:rPr>
      </w:pPr>
    </w:p>
    <w:p w14:paraId="3A94E69E" w14:textId="515B792C" w:rsidR="00717806" w:rsidRDefault="00717806" w:rsidP="00717806">
      <w:pPr>
        <w:tabs>
          <w:tab w:val="left" w:pos="360"/>
        </w:tabs>
        <w:ind w:left="360"/>
        <w:rPr>
          <w:rFonts w:ascii="Arial" w:hAnsi="Arial" w:cs="Arial"/>
          <w:szCs w:val="24"/>
        </w:rPr>
      </w:pPr>
      <w:r w:rsidRPr="00F51FF0">
        <w:rPr>
          <w:rFonts w:ascii="Arial" w:hAnsi="Arial" w:cs="Arial"/>
          <w:szCs w:val="24"/>
        </w:rPr>
        <w:t>The Over/(Under) Collection</w:t>
      </w:r>
      <w:r w:rsidR="00B11863">
        <w:rPr>
          <w:rFonts w:ascii="Arial" w:hAnsi="Arial" w:cs="Arial"/>
          <w:szCs w:val="24"/>
        </w:rPr>
        <w:t xml:space="preserve"> is</w:t>
      </w:r>
      <w:r w:rsidRPr="00F51FF0">
        <w:rPr>
          <w:rFonts w:ascii="Arial" w:hAnsi="Arial" w:cs="Arial"/>
          <w:szCs w:val="24"/>
        </w:rPr>
        <w:t xml:space="preserve"> the difference between the TSC </w:t>
      </w:r>
      <w:r>
        <w:rPr>
          <w:rFonts w:ascii="Arial" w:hAnsi="Arial" w:cs="Arial"/>
          <w:szCs w:val="24"/>
        </w:rPr>
        <w:t>R</w:t>
      </w:r>
      <w:r w:rsidRPr="00F51FF0">
        <w:rPr>
          <w:rFonts w:ascii="Arial" w:hAnsi="Arial" w:cs="Arial"/>
          <w:szCs w:val="24"/>
        </w:rPr>
        <w:t xml:space="preserve">evenue and TSC </w:t>
      </w:r>
      <w:r>
        <w:rPr>
          <w:rFonts w:ascii="Arial" w:hAnsi="Arial" w:cs="Arial"/>
          <w:szCs w:val="24"/>
        </w:rPr>
        <w:t>E</w:t>
      </w:r>
      <w:r w:rsidRPr="00F51FF0">
        <w:rPr>
          <w:rFonts w:ascii="Arial" w:hAnsi="Arial" w:cs="Arial"/>
          <w:szCs w:val="24"/>
        </w:rPr>
        <w:t>xpenses</w:t>
      </w:r>
      <w:r>
        <w:rPr>
          <w:rFonts w:ascii="Arial" w:hAnsi="Arial" w:cs="Arial"/>
          <w:szCs w:val="24"/>
        </w:rPr>
        <w:t>.</w:t>
      </w:r>
      <w:r w:rsidRPr="00F51FF0">
        <w:rPr>
          <w:rFonts w:ascii="Arial" w:hAnsi="Arial" w:cs="Arial"/>
          <w:szCs w:val="24"/>
        </w:rPr>
        <w:t xml:space="preserve"> </w:t>
      </w:r>
      <w:r>
        <w:rPr>
          <w:rFonts w:ascii="Arial" w:hAnsi="Arial" w:cs="Arial"/>
          <w:szCs w:val="24"/>
        </w:rPr>
        <w:t xml:space="preserve"> The resulting amounts represent the portion of TSC Revenue refundable to or TSC Expenses recoverable from customers through subsequent TSC </w:t>
      </w:r>
      <w:r w:rsidR="00DA61C3">
        <w:rPr>
          <w:rFonts w:ascii="Arial" w:hAnsi="Arial" w:cs="Arial"/>
          <w:szCs w:val="24"/>
        </w:rPr>
        <w:t>rate</w:t>
      </w:r>
      <w:r>
        <w:rPr>
          <w:rFonts w:ascii="Arial" w:hAnsi="Arial" w:cs="Arial"/>
          <w:szCs w:val="24"/>
        </w:rPr>
        <w:t>s.</w:t>
      </w:r>
      <w:r w:rsidR="00F05865">
        <w:rPr>
          <w:rFonts w:ascii="Arial" w:hAnsi="Arial" w:cs="Arial"/>
          <w:szCs w:val="24"/>
        </w:rPr>
        <w:t xml:space="preserve"> </w:t>
      </w:r>
      <w:r>
        <w:rPr>
          <w:rFonts w:ascii="Arial" w:hAnsi="Arial" w:cs="Arial"/>
          <w:szCs w:val="24"/>
        </w:rPr>
        <w:t>Differences arise for two primary reasons:</w:t>
      </w:r>
    </w:p>
    <w:p w14:paraId="7D600E57" w14:textId="77777777" w:rsidR="00717806" w:rsidRDefault="00717806" w:rsidP="00717806">
      <w:pPr>
        <w:tabs>
          <w:tab w:val="left" w:pos="360"/>
        </w:tabs>
        <w:ind w:left="360"/>
        <w:rPr>
          <w:rFonts w:ascii="Arial" w:hAnsi="Arial" w:cs="Arial"/>
          <w:szCs w:val="24"/>
        </w:rPr>
      </w:pPr>
    </w:p>
    <w:p w14:paraId="691322BA" w14:textId="641267F8" w:rsidR="00717806" w:rsidRPr="00810BDC" w:rsidRDefault="00717806" w:rsidP="00717806">
      <w:pPr>
        <w:pStyle w:val="ListParagraph"/>
        <w:numPr>
          <w:ilvl w:val="0"/>
          <w:numId w:val="3"/>
        </w:numPr>
        <w:overflowPunct w:val="0"/>
        <w:autoSpaceDE w:val="0"/>
        <w:autoSpaceDN w:val="0"/>
        <w:adjustRightInd w:val="0"/>
        <w:ind w:left="1080"/>
        <w:contextualSpacing w:val="0"/>
        <w:textAlignment w:val="baseline"/>
        <w:rPr>
          <w:rFonts w:ascii="Arial" w:hAnsi="Arial" w:cs="Arial"/>
          <w:szCs w:val="24"/>
        </w:rPr>
      </w:pPr>
      <w:r w:rsidRPr="00810BDC">
        <w:rPr>
          <w:rFonts w:ascii="Arial" w:hAnsi="Arial" w:cs="Arial"/>
          <w:szCs w:val="24"/>
        </w:rPr>
        <w:t>Variation between the actual volumes billed to customers and</w:t>
      </w:r>
      <w:r>
        <w:rPr>
          <w:rFonts w:ascii="Arial" w:hAnsi="Arial" w:cs="Arial"/>
          <w:szCs w:val="24"/>
        </w:rPr>
        <w:t xml:space="preserve"> the </w:t>
      </w:r>
      <w:r w:rsidRPr="00810BDC">
        <w:rPr>
          <w:rFonts w:ascii="Arial" w:hAnsi="Arial" w:cs="Arial"/>
          <w:szCs w:val="24"/>
        </w:rPr>
        <w:t>estimates</w:t>
      </w:r>
      <w:r>
        <w:rPr>
          <w:rFonts w:ascii="Arial" w:hAnsi="Arial" w:cs="Arial"/>
          <w:szCs w:val="24"/>
        </w:rPr>
        <w:t xml:space="preserve"> </w:t>
      </w:r>
      <w:r w:rsidRPr="00810BDC">
        <w:rPr>
          <w:rFonts w:ascii="Arial" w:hAnsi="Arial" w:cs="Arial"/>
          <w:szCs w:val="24"/>
        </w:rPr>
        <w:t>used to determine the TSC rates</w:t>
      </w:r>
      <w:r w:rsidR="005E76BE">
        <w:rPr>
          <w:rFonts w:ascii="Arial" w:hAnsi="Arial" w:cs="Arial"/>
          <w:szCs w:val="24"/>
        </w:rPr>
        <w:t>; and,</w:t>
      </w:r>
    </w:p>
    <w:p w14:paraId="1E2834FB" w14:textId="77777777" w:rsidR="00717806" w:rsidRDefault="00717806" w:rsidP="00717806">
      <w:pPr>
        <w:pStyle w:val="ListParagraph"/>
        <w:tabs>
          <w:tab w:val="left" w:pos="360"/>
        </w:tabs>
        <w:ind w:left="1080"/>
        <w:rPr>
          <w:rFonts w:ascii="Arial" w:hAnsi="Arial" w:cs="Arial"/>
          <w:szCs w:val="24"/>
        </w:rPr>
      </w:pPr>
    </w:p>
    <w:p w14:paraId="07853AE2" w14:textId="36923B62" w:rsidR="00717806" w:rsidRPr="0034096D" w:rsidRDefault="00717806" w:rsidP="00717806">
      <w:pPr>
        <w:pStyle w:val="ListParagraph"/>
        <w:numPr>
          <w:ilvl w:val="0"/>
          <w:numId w:val="4"/>
        </w:numPr>
        <w:overflowPunct w:val="0"/>
        <w:autoSpaceDE w:val="0"/>
        <w:autoSpaceDN w:val="0"/>
        <w:adjustRightInd w:val="0"/>
        <w:contextualSpacing w:val="0"/>
        <w:textAlignment w:val="baseline"/>
        <w:rPr>
          <w:rFonts w:ascii="Arial" w:hAnsi="Arial" w:cs="Arial"/>
          <w:szCs w:val="24"/>
        </w:rPr>
      </w:pPr>
      <w:r>
        <w:rPr>
          <w:rFonts w:ascii="Arial" w:hAnsi="Arial" w:cs="Arial"/>
          <w:szCs w:val="24"/>
        </w:rPr>
        <w:t>Variation between the actual TSC Expenses and the estimates used to determine the TSC rates.</w:t>
      </w:r>
    </w:p>
    <w:p w14:paraId="1D309E56" w14:textId="77777777" w:rsidR="00867BCA" w:rsidRPr="00A872CB" w:rsidRDefault="00867BCA" w:rsidP="00867BCA">
      <w:pPr>
        <w:jc w:val="center"/>
        <w:rPr>
          <w:rFonts w:ascii="Arial" w:hAnsi="Arial" w:cs="Arial"/>
          <w:b/>
          <w:szCs w:val="24"/>
        </w:rPr>
      </w:pPr>
    </w:p>
    <w:p w14:paraId="6D36FF7D" w14:textId="77777777" w:rsidR="00A102E2" w:rsidRDefault="00A102E2" w:rsidP="00872410">
      <w:pPr>
        <w:tabs>
          <w:tab w:val="left" w:pos="8640"/>
        </w:tabs>
        <w:rPr>
          <w:rFonts w:ascii="Arial" w:hAnsi="Arial" w:cs="Arial"/>
          <w:b/>
          <w:sz w:val="40"/>
          <w:szCs w:val="40"/>
          <w:u w:val="single"/>
        </w:rPr>
      </w:pPr>
    </w:p>
    <w:p w14:paraId="71F44BBA" w14:textId="77777777" w:rsidR="00D82B8D" w:rsidRDefault="00D82B8D">
      <w:pPr>
        <w:rPr>
          <w:rFonts w:ascii="Arial" w:hAnsi="Arial" w:cs="Arial"/>
          <w:b/>
          <w:sz w:val="26"/>
          <w:szCs w:val="26"/>
        </w:rPr>
      </w:pPr>
      <w:r>
        <w:rPr>
          <w:rFonts w:ascii="Arial" w:hAnsi="Arial" w:cs="Arial"/>
          <w:b/>
          <w:sz w:val="26"/>
          <w:szCs w:val="26"/>
        </w:rPr>
        <w:br w:type="page"/>
      </w:r>
    </w:p>
    <w:p w14:paraId="006F1356" w14:textId="77777777" w:rsidR="007800F2" w:rsidRPr="004B713A" w:rsidRDefault="00585CB5" w:rsidP="002C6FE9">
      <w:pPr>
        <w:jc w:val="center"/>
        <w:rPr>
          <w:rFonts w:ascii="Arial" w:hAnsi="Arial" w:cs="Arial"/>
          <w:b/>
          <w:sz w:val="26"/>
          <w:szCs w:val="26"/>
        </w:rPr>
      </w:pPr>
      <w:r w:rsidRPr="004B713A">
        <w:rPr>
          <w:rFonts w:ascii="Arial" w:hAnsi="Arial" w:cs="Arial"/>
          <w:b/>
          <w:sz w:val="26"/>
          <w:szCs w:val="26"/>
        </w:rPr>
        <w:lastRenderedPageBreak/>
        <w:t>Background</w:t>
      </w:r>
    </w:p>
    <w:p w14:paraId="404570FB" w14:textId="77777777" w:rsidR="007800F2" w:rsidRPr="00BA0701" w:rsidRDefault="007800F2" w:rsidP="008A5900">
      <w:pPr>
        <w:tabs>
          <w:tab w:val="left" w:pos="1170"/>
          <w:tab w:val="decimal" w:pos="6120"/>
          <w:tab w:val="decimal" w:pos="7560"/>
        </w:tabs>
        <w:rPr>
          <w:rFonts w:ascii="Arial" w:hAnsi="Arial" w:cs="Arial"/>
          <w:b/>
          <w:sz w:val="26"/>
          <w:szCs w:val="26"/>
          <w:u w:val="single"/>
        </w:rPr>
      </w:pPr>
    </w:p>
    <w:p w14:paraId="430C2381" w14:textId="77777777" w:rsidR="00E61CF3" w:rsidRDefault="00E61CF3" w:rsidP="00E61CF3">
      <w:pPr>
        <w:ind w:firstLine="720"/>
        <w:rPr>
          <w:rFonts w:ascii="Arial" w:hAnsi="Arial" w:cs="Arial"/>
          <w:szCs w:val="24"/>
        </w:rPr>
      </w:pPr>
    </w:p>
    <w:p w14:paraId="43BAD465" w14:textId="77777777" w:rsidR="00E61CF3" w:rsidRDefault="00E61CF3" w:rsidP="00E61CF3">
      <w:pPr>
        <w:ind w:firstLine="720"/>
        <w:rPr>
          <w:rFonts w:ascii="Arial" w:hAnsi="Arial" w:cs="Arial"/>
          <w:szCs w:val="24"/>
        </w:rPr>
      </w:pPr>
      <w:r>
        <w:rPr>
          <w:rFonts w:ascii="Arial" w:hAnsi="Arial" w:cs="Arial"/>
          <w:szCs w:val="24"/>
        </w:rPr>
        <w:t xml:space="preserve">This section was developed from unaudited data </w:t>
      </w:r>
      <w:r w:rsidR="00D72D2F">
        <w:rPr>
          <w:rFonts w:ascii="Arial" w:hAnsi="Arial" w:cs="Arial"/>
          <w:szCs w:val="24"/>
        </w:rPr>
        <w:t>provided by</w:t>
      </w:r>
      <w:r>
        <w:rPr>
          <w:rFonts w:ascii="Arial" w:hAnsi="Arial" w:cs="Arial"/>
          <w:szCs w:val="24"/>
        </w:rPr>
        <w:t xml:space="preserve"> </w:t>
      </w:r>
      <w:r w:rsidR="00A70BBA">
        <w:rPr>
          <w:rFonts w:ascii="Arial" w:hAnsi="Arial" w:cs="Arial"/>
          <w:szCs w:val="24"/>
        </w:rPr>
        <w:t>PPL</w:t>
      </w:r>
      <w:r>
        <w:rPr>
          <w:rFonts w:ascii="Arial" w:hAnsi="Arial" w:cs="Arial"/>
          <w:szCs w:val="24"/>
        </w:rPr>
        <w:t xml:space="preserve"> and is presented solely for informational purposes.  </w:t>
      </w:r>
    </w:p>
    <w:p w14:paraId="7172F9EF" w14:textId="77777777" w:rsidR="00E61CF3" w:rsidRDefault="00E61CF3" w:rsidP="00A97788">
      <w:pPr>
        <w:pStyle w:val="BodyText"/>
        <w:ind w:right="0"/>
        <w:rPr>
          <w:rFonts w:ascii="Arial" w:hAnsi="Arial" w:cs="Arial"/>
          <w:sz w:val="26"/>
          <w:szCs w:val="26"/>
          <w:lang w:val="en-US"/>
        </w:rPr>
      </w:pPr>
    </w:p>
    <w:p w14:paraId="62EB3E75" w14:textId="36F29D66" w:rsidR="00811BEC" w:rsidRPr="00860F48" w:rsidRDefault="00E61CF3" w:rsidP="002D0A9C">
      <w:pPr>
        <w:pStyle w:val="BodyText"/>
        <w:ind w:right="0"/>
        <w:rPr>
          <w:rFonts w:ascii="Arial" w:hAnsi="Arial" w:cs="Arial"/>
          <w:szCs w:val="24"/>
        </w:rPr>
      </w:pPr>
      <w:r>
        <w:rPr>
          <w:rFonts w:ascii="Arial" w:hAnsi="Arial" w:cs="Arial"/>
          <w:szCs w:val="24"/>
          <w:lang w:val="en-US"/>
        </w:rPr>
        <w:tab/>
      </w:r>
      <w:r w:rsidR="00282054">
        <w:rPr>
          <w:rFonts w:ascii="Arial" w:hAnsi="Arial" w:cs="Arial"/>
          <w:szCs w:val="24"/>
        </w:rPr>
        <w:t>PPL is a wholly</w:t>
      </w:r>
      <w:r w:rsidR="00282054">
        <w:rPr>
          <w:rFonts w:ascii="Arial" w:hAnsi="Arial" w:cs="Arial"/>
          <w:szCs w:val="24"/>
          <w:lang w:val="en-US"/>
        </w:rPr>
        <w:t>-</w:t>
      </w:r>
      <w:r w:rsidR="00811BEC" w:rsidRPr="00860F48">
        <w:rPr>
          <w:rFonts w:ascii="Arial" w:hAnsi="Arial" w:cs="Arial"/>
          <w:szCs w:val="24"/>
        </w:rPr>
        <w:t xml:space="preserve">owned subsidiary of PPL Corporation that furnishes electric distribution, transmission, and default supply services to approximately 1.4 million customers throughout </w:t>
      </w:r>
      <w:r w:rsidR="00EE6B52">
        <w:rPr>
          <w:rFonts w:ascii="Arial" w:hAnsi="Arial" w:cs="Arial"/>
          <w:szCs w:val="24"/>
          <w:lang w:val="en-US"/>
        </w:rPr>
        <w:t>29</w:t>
      </w:r>
      <w:r w:rsidR="00811BEC" w:rsidRPr="00860F48">
        <w:rPr>
          <w:rFonts w:ascii="Arial" w:hAnsi="Arial" w:cs="Arial"/>
          <w:szCs w:val="24"/>
        </w:rPr>
        <w:t xml:space="preserve"> counties in eastern and central Pennsylvania.  According to PPL’s annual reports filed wit</w:t>
      </w:r>
      <w:r w:rsidR="00773161">
        <w:rPr>
          <w:rFonts w:ascii="Arial" w:hAnsi="Arial" w:cs="Arial"/>
          <w:szCs w:val="24"/>
        </w:rPr>
        <w:t>h the PUC, for the years of 201</w:t>
      </w:r>
      <w:r w:rsidR="00C71500">
        <w:rPr>
          <w:rFonts w:ascii="Arial" w:hAnsi="Arial" w:cs="Arial"/>
          <w:szCs w:val="24"/>
          <w:lang w:val="en-US"/>
        </w:rPr>
        <w:t>6</w:t>
      </w:r>
      <w:r w:rsidR="00773161">
        <w:rPr>
          <w:rFonts w:ascii="Arial" w:hAnsi="Arial" w:cs="Arial"/>
          <w:szCs w:val="24"/>
        </w:rPr>
        <w:t xml:space="preserve"> and 201</w:t>
      </w:r>
      <w:r w:rsidR="00C71500">
        <w:rPr>
          <w:rFonts w:ascii="Arial" w:hAnsi="Arial" w:cs="Arial"/>
          <w:szCs w:val="24"/>
          <w:lang w:val="en-US"/>
        </w:rPr>
        <w:t>5</w:t>
      </w:r>
      <w:r w:rsidR="00811BEC" w:rsidRPr="00860F48">
        <w:rPr>
          <w:rFonts w:ascii="Arial" w:hAnsi="Arial" w:cs="Arial"/>
          <w:szCs w:val="24"/>
        </w:rPr>
        <w:t>, PPL’s total electric distribution revenues from residential, commercial, and industrial customers was $</w:t>
      </w:r>
      <w:r w:rsidR="00C71500">
        <w:rPr>
          <w:rFonts w:ascii="Arial" w:hAnsi="Arial" w:cs="Arial"/>
          <w:szCs w:val="24"/>
          <w:lang w:val="en-US"/>
        </w:rPr>
        <w:t>1,737,700,558</w:t>
      </w:r>
      <w:r w:rsidR="003B78B7">
        <w:rPr>
          <w:rFonts w:ascii="Arial" w:hAnsi="Arial" w:cs="Arial"/>
          <w:szCs w:val="24"/>
          <w:lang w:val="en-US"/>
        </w:rPr>
        <w:t xml:space="preserve"> and $</w:t>
      </w:r>
      <w:r w:rsidR="00C71500">
        <w:rPr>
          <w:rFonts w:ascii="Arial" w:hAnsi="Arial" w:cs="Arial"/>
          <w:szCs w:val="24"/>
          <w:lang w:val="en-US"/>
        </w:rPr>
        <w:t>1,803,262,583</w:t>
      </w:r>
      <w:r w:rsidR="00103D8E">
        <w:rPr>
          <w:rFonts w:ascii="Arial" w:hAnsi="Arial" w:cs="Arial"/>
          <w:szCs w:val="24"/>
          <w:lang w:val="en-US"/>
        </w:rPr>
        <w:t>;</w:t>
      </w:r>
      <w:r w:rsidR="003B78B7">
        <w:rPr>
          <w:rFonts w:ascii="Arial" w:hAnsi="Arial" w:cs="Arial"/>
          <w:szCs w:val="24"/>
          <w:lang w:val="en-US"/>
        </w:rPr>
        <w:t xml:space="preserve"> respectively</w:t>
      </w:r>
      <w:r w:rsidR="00811BEC" w:rsidRPr="00860F48">
        <w:rPr>
          <w:rFonts w:ascii="Arial" w:hAnsi="Arial" w:cs="Arial"/>
          <w:szCs w:val="24"/>
        </w:rPr>
        <w:t>.</w:t>
      </w:r>
    </w:p>
    <w:p w14:paraId="75C7F96C" w14:textId="77777777" w:rsidR="00811BEC" w:rsidRPr="00860F48" w:rsidRDefault="00811BEC" w:rsidP="00811BEC">
      <w:pPr>
        <w:pStyle w:val="BodyText"/>
        <w:rPr>
          <w:rFonts w:ascii="Arial" w:hAnsi="Arial" w:cs="Arial"/>
          <w:szCs w:val="24"/>
        </w:rPr>
      </w:pPr>
    </w:p>
    <w:p w14:paraId="13B8AC28" w14:textId="77777777" w:rsidR="00E225DA" w:rsidRPr="009F4A49" w:rsidRDefault="00E225DA" w:rsidP="00E225DA">
      <w:pPr>
        <w:tabs>
          <w:tab w:val="left" w:pos="-1440"/>
          <w:tab w:val="left" w:pos="-720"/>
        </w:tabs>
        <w:suppressAutoHyphens/>
        <w:rPr>
          <w:rFonts w:ascii="Arial" w:hAnsi="Arial" w:cs="Arial"/>
          <w:szCs w:val="24"/>
        </w:rPr>
      </w:pPr>
      <w:r w:rsidRPr="009F4A49">
        <w:rPr>
          <w:rFonts w:ascii="Arial" w:hAnsi="Arial" w:cs="Arial"/>
          <w:szCs w:val="24"/>
        </w:rPr>
        <w:tab/>
        <w:t>On December 3, 1996</w:t>
      </w:r>
      <w:r>
        <w:rPr>
          <w:rFonts w:ascii="Arial" w:hAnsi="Arial" w:cs="Arial"/>
          <w:szCs w:val="24"/>
        </w:rPr>
        <w:t>,</w:t>
      </w:r>
      <w:r w:rsidRPr="009F4A49">
        <w:rPr>
          <w:rFonts w:ascii="Arial" w:hAnsi="Arial" w:cs="Arial"/>
          <w:szCs w:val="24"/>
        </w:rPr>
        <w:t xml:space="preserve"> the </w:t>
      </w:r>
      <w:r w:rsidRPr="009F4A49">
        <w:rPr>
          <w:rFonts w:ascii="Arial" w:hAnsi="Arial" w:cs="Arial"/>
          <w:i/>
          <w:szCs w:val="24"/>
        </w:rPr>
        <w:t>Electricity Generation Customer Choice and Competition Act (</w:t>
      </w:r>
      <w:r w:rsidRPr="009F4A49">
        <w:rPr>
          <w:rFonts w:ascii="Arial" w:hAnsi="Arial" w:cs="Arial"/>
          <w:szCs w:val="24"/>
        </w:rPr>
        <w:t>Act) was signed into law.  Pursuant to the Act, all electric utilities were required to file restructuring plans with the PUC</w:t>
      </w:r>
      <w:r>
        <w:rPr>
          <w:rFonts w:ascii="Arial" w:hAnsi="Arial" w:cs="Arial"/>
          <w:szCs w:val="24"/>
        </w:rPr>
        <w:t>,</w:t>
      </w:r>
      <w:r w:rsidRPr="009F4A49">
        <w:rPr>
          <w:rFonts w:ascii="Arial" w:hAnsi="Arial" w:cs="Arial"/>
          <w:szCs w:val="24"/>
        </w:rPr>
        <w:t xml:space="preserve"> which included unbundled prices for electric generation, transmission and distribution</w:t>
      </w:r>
      <w:r>
        <w:rPr>
          <w:rFonts w:ascii="Arial" w:hAnsi="Arial" w:cs="Arial"/>
          <w:szCs w:val="24"/>
        </w:rPr>
        <w:t xml:space="preserve"> service</w:t>
      </w:r>
      <w:r w:rsidRPr="009F4A49">
        <w:rPr>
          <w:rFonts w:ascii="Arial" w:hAnsi="Arial" w:cs="Arial"/>
          <w:szCs w:val="24"/>
        </w:rPr>
        <w:t xml:space="preserve">.  </w:t>
      </w:r>
    </w:p>
    <w:p w14:paraId="2EB14131" w14:textId="77777777" w:rsidR="00E225DA" w:rsidRPr="009F4A49" w:rsidRDefault="00E225DA" w:rsidP="00E225DA">
      <w:pPr>
        <w:tabs>
          <w:tab w:val="left" w:pos="-1440"/>
          <w:tab w:val="left" w:pos="-720"/>
        </w:tabs>
        <w:suppressAutoHyphens/>
        <w:rPr>
          <w:rFonts w:ascii="Arial" w:hAnsi="Arial" w:cs="Arial"/>
          <w:szCs w:val="24"/>
        </w:rPr>
      </w:pPr>
    </w:p>
    <w:p w14:paraId="611EB34A" w14:textId="66F36B6A" w:rsidR="00B84ECC" w:rsidRDefault="00E225DA" w:rsidP="001C608C">
      <w:pPr>
        <w:rPr>
          <w:rFonts w:ascii="Arial" w:hAnsi="Arial" w:cs="Arial"/>
        </w:rPr>
      </w:pPr>
      <w:r w:rsidRPr="009F4A49">
        <w:rPr>
          <w:rFonts w:ascii="Arial" w:hAnsi="Arial" w:cs="Arial"/>
          <w:szCs w:val="24"/>
        </w:rPr>
        <w:tab/>
        <w:t>In its Opinion and Order</w:t>
      </w:r>
      <w:r>
        <w:rPr>
          <w:rFonts w:ascii="Arial" w:hAnsi="Arial" w:cs="Arial"/>
          <w:szCs w:val="24"/>
        </w:rPr>
        <w:t>,</w:t>
      </w:r>
      <w:r w:rsidRPr="009F4A49">
        <w:rPr>
          <w:rFonts w:ascii="Arial" w:hAnsi="Arial" w:cs="Arial"/>
          <w:szCs w:val="24"/>
        </w:rPr>
        <w:t xml:space="preserve"> entered on December 22, 2004</w:t>
      </w:r>
      <w:r>
        <w:rPr>
          <w:rFonts w:ascii="Arial" w:hAnsi="Arial" w:cs="Arial"/>
          <w:szCs w:val="24"/>
        </w:rPr>
        <w:t>,</w:t>
      </w:r>
      <w:r w:rsidRPr="009F4A49">
        <w:rPr>
          <w:rFonts w:ascii="Arial" w:hAnsi="Arial" w:cs="Arial"/>
          <w:szCs w:val="24"/>
        </w:rPr>
        <w:t xml:space="preserve"> at Docket No. R</w:t>
      </w:r>
      <w:r>
        <w:rPr>
          <w:rFonts w:ascii="Arial" w:hAnsi="Arial" w:cs="Arial"/>
          <w:szCs w:val="24"/>
        </w:rPr>
        <w:noBreakHyphen/>
      </w:r>
      <w:r w:rsidRPr="009F4A49">
        <w:rPr>
          <w:rFonts w:ascii="Arial" w:hAnsi="Arial" w:cs="Arial"/>
          <w:szCs w:val="24"/>
        </w:rPr>
        <w:t xml:space="preserve">00049255, the </w:t>
      </w:r>
      <w:r>
        <w:rPr>
          <w:rFonts w:ascii="Arial" w:hAnsi="Arial" w:cs="Arial"/>
          <w:szCs w:val="24"/>
        </w:rPr>
        <w:t>PUC</w:t>
      </w:r>
      <w:r w:rsidRPr="009F4A49">
        <w:rPr>
          <w:rFonts w:ascii="Arial" w:hAnsi="Arial" w:cs="Arial"/>
          <w:szCs w:val="24"/>
        </w:rPr>
        <w:t xml:space="preserve"> approved </w:t>
      </w:r>
      <w:r>
        <w:rPr>
          <w:rFonts w:ascii="Arial" w:hAnsi="Arial" w:cs="Arial"/>
          <w:szCs w:val="24"/>
        </w:rPr>
        <w:t>P</w:t>
      </w:r>
      <w:r w:rsidRPr="009F4A49">
        <w:rPr>
          <w:rFonts w:ascii="Arial" w:hAnsi="Arial" w:cs="Arial"/>
          <w:szCs w:val="24"/>
        </w:rPr>
        <w:t>PL</w:t>
      </w:r>
      <w:r>
        <w:rPr>
          <w:rFonts w:ascii="Arial" w:hAnsi="Arial" w:cs="Arial"/>
          <w:szCs w:val="24"/>
        </w:rPr>
        <w:t>’s</w:t>
      </w:r>
      <w:r w:rsidRPr="009F4A49">
        <w:rPr>
          <w:rFonts w:ascii="Arial" w:hAnsi="Arial" w:cs="Arial"/>
          <w:szCs w:val="24"/>
        </w:rPr>
        <w:t xml:space="preserve"> request to establish a TSC </w:t>
      </w:r>
      <w:r>
        <w:rPr>
          <w:rFonts w:ascii="Arial" w:hAnsi="Arial" w:cs="Arial"/>
          <w:szCs w:val="24"/>
        </w:rPr>
        <w:t>R</w:t>
      </w:r>
      <w:r w:rsidRPr="009F4A49">
        <w:rPr>
          <w:rFonts w:ascii="Arial" w:hAnsi="Arial" w:cs="Arial"/>
          <w:szCs w:val="24"/>
        </w:rPr>
        <w:t>ider</w:t>
      </w:r>
      <w:r>
        <w:rPr>
          <w:rFonts w:ascii="Arial" w:hAnsi="Arial" w:cs="Arial"/>
          <w:szCs w:val="24"/>
        </w:rPr>
        <w:t xml:space="preserve"> </w:t>
      </w:r>
      <w:r w:rsidRPr="009F4A49">
        <w:rPr>
          <w:rFonts w:ascii="Arial" w:hAnsi="Arial" w:cs="Arial"/>
          <w:szCs w:val="24"/>
        </w:rPr>
        <w:t>effective</w:t>
      </w:r>
      <w:r>
        <w:rPr>
          <w:rFonts w:ascii="Arial" w:hAnsi="Arial" w:cs="Arial"/>
          <w:szCs w:val="24"/>
        </w:rPr>
        <w:t xml:space="preserve"> on</w:t>
      </w:r>
      <w:r w:rsidRPr="009F4A49">
        <w:rPr>
          <w:rFonts w:ascii="Arial" w:hAnsi="Arial" w:cs="Arial"/>
          <w:szCs w:val="24"/>
        </w:rPr>
        <w:t xml:space="preserve"> January 1, 2005.  The </w:t>
      </w:r>
      <w:r>
        <w:rPr>
          <w:rFonts w:ascii="Arial" w:hAnsi="Arial" w:cs="Arial"/>
          <w:szCs w:val="24"/>
        </w:rPr>
        <w:t>TSC Rider permits</w:t>
      </w:r>
      <w:r w:rsidRPr="009F4A49">
        <w:rPr>
          <w:rFonts w:ascii="Arial" w:hAnsi="Arial" w:cs="Arial"/>
          <w:szCs w:val="24"/>
        </w:rPr>
        <w:t xml:space="preserve"> PPL to recover from its retail energy customers</w:t>
      </w:r>
      <w:r w:rsidR="00282054">
        <w:rPr>
          <w:rFonts w:ascii="Arial" w:hAnsi="Arial" w:cs="Arial"/>
          <w:szCs w:val="24"/>
        </w:rPr>
        <w:t>,</w:t>
      </w:r>
      <w:r w:rsidRPr="009F4A49">
        <w:rPr>
          <w:rFonts w:ascii="Arial" w:hAnsi="Arial" w:cs="Arial"/>
          <w:szCs w:val="24"/>
        </w:rPr>
        <w:t xml:space="preserve"> all transmission service</w:t>
      </w:r>
      <w:r>
        <w:rPr>
          <w:rFonts w:ascii="Arial" w:hAnsi="Arial" w:cs="Arial"/>
          <w:szCs w:val="24"/>
        </w:rPr>
        <w:t>-</w:t>
      </w:r>
      <w:r w:rsidRPr="009F4A49">
        <w:rPr>
          <w:rFonts w:ascii="Arial" w:hAnsi="Arial" w:cs="Arial"/>
          <w:szCs w:val="24"/>
        </w:rPr>
        <w:t>related charges incurred on behalf of th</w:t>
      </w:r>
      <w:r>
        <w:rPr>
          <w:rFonts w:ascii="Arial" w:hAnsi="Arial" w:cs="Arial"/>
          <w:szCs w:val="24"/>
        </w:rPr>
        <w:t>o</w:t>
      </w:r>
      <w:r w:rsidRPr="009F4A49">
        <w:rPr>
          <w:rFonts w:ascii="Arial" w:hAnsi="Arial" w:cs="Arial"/>
          <w:szCs w:val="24"/>
        </w:rPr>
        <w:t xml:space="preserve">se customers, under provisions of the FERC approved </w:t>
      </w:r>
      <w:r w:rsidR="00E97C1D" w:rsidRPr="00F51FF0">
        <w:rPr>
          <w:rFonts w:ascii="Arial" w:hAnsi="Arial" w:cs="Arial"/>
          <w:szCs w:val="24"/>
        </w:rPr>
        <w:t>O</w:t>
      </w:r>
      <w:r w:rsidR="00E97C1D">
        <w:rPr>
          <w:rFonts w:ascii="Arial" w:hAnsi="Arial" w:cs="Arial"/>
          <w:szCs w:val="24"/>
        </w:rPr>
        <w:t xml:space="preserve">pen </w:t>
      </w:r>
      <w:r w:rsidR="00E97C1D" w:rsidRPr="00F51FF0">
        <w:rPr>
          <w:rFonts w:ascii="Arial" w:hAnsi="Arial" w:cs="Arial"/>
          <w:szCs w:val="24"/>
        </w:rPr>
        <w:t>A</w:t>
      </w:r>
      <w:r w:rsidR="00E97C1D">
        <w:rPr>
          <w:rFonts w:ascii="Arial" w:hAnsi="Arial" w:cs="Arial"/>
          <w:szCs w:val="24"/>
        </w:rPr>
        <w:t xml:space="preserve">ccess </w:t>
      </w:r>
      <w:r w:rsidR="00E97C1D" w:rsidRPr="00F51FF0">
        <w:rPr>
          <w:rFonts w:ascii="Arial" w:hAnsi="Arial" w:cs="Arial"/>
          <w:szCs w:val="24"/>
        </w:rPr>
        <w:t>T</w:t>
      </w:r>
      <w:r w:rsidR="00E97C1D">
        <w:rPr>
          <w:rFonts w:ascii="Arial" w:hAnsi="Arial" w:cs="Arial"/>
          <w:szCs w:val="24"/>
        </w:rPr>
        <w:t xml:space="preserve">ransmission </w:t>
      </w:r>
      <w:r w:rsidR="00E97C1D" w:rsidRPr="00F51FF0">
        <w:rPr>
          <w:rFonts w:ascii="Arial" w:hAnsi="Arial" w:cs="Arial"/>
          <w:szCs w:val="24"/>
        </w:rPr>
        <w:t>T</w:t>
      </w:r>
      <w:r w:rsidR="00E97C1D">
        <w:rPr>
          <w:rFonts w:ascii="Arial" w:hAnsi="Arial" w:cs="Arial"/>
          <w:szCs w:val="24"/>
        </w:rPr>
        <w:t xml:space="preserve">ariff </w:t>
      </w:r>
      <w:r>
        <w:rPr>
          <w:rFonts w:ascii="Arial" w:hAnsi="Arial" w:cs="Arial"/>
          <w:szCs w:val="24"/>
        </w:rPr>
        <w:t>with PJM</w:t>
      </w:r>
      <w:r w:rsidRPr="009F4A49">
        <w:rPr>
          <w:rFonts w:ascii="Arial" w:hAnsi="Arial" w:cs="Arial"/>
          <w:szCs w:val="24"/>
        </w:rPr>
        <w:t xml:space="preserve">, the transmission service provider.  </w:t>
      </w:r>
    </w:p>
    <w:p w14:paraId="71D10A74" w14:textId="77777777" w:rsidR="00B92B31" w:rsidRDefault="00B92B31" w:rsidP="00B92B31">
      <w:pPr>
        <w:jc w:val="center"/>
        <w:rPr>
          <w:rFonts w:ascii="Arial" w:hAnsi="Arial" w:cs="Arial"/>
          <w:b/>
          <w:sz w:val="26"/>
          <w:szCs w:val="26"/>
        </w:rPr>
      </w:pPr>
    </w:p>
    <w:p w14:paraId="7B8AE58B" w14:textId="77777777" w:rsidR="00B92B31" w:rsidRDefault="00B92B31" w:rsidP="002C6FE9">
      <w:pPr>
        <w:pStyle w:val="BodyTextIndent2"/>
        <w:ind w:right="0" w:firstLine="0"/>
        <w:jc w:val="center"/>
        <w:rPr>
          <w:rFonts w:ascii="Arial" w:hAnsi="Arial" w:cs="Arial"/>
          <w:b/>
          <w:sz w:val="26"/>
          <w:szCs w:val="26"/>
          <w:lang w:val="en-US"/>
        </w:rPr>
      </w:pPr>
    </w:p>
    <w:p w14:paraId="1A950ACC" w14:textId="53108F67" w:rsidR="00603A6A" w:rsidRPr="00B92B31" w:rsidRDefault="00603A6A" w:rsidP="002C6FE9">
      <w:pPr>
        <w:pStyle w:val="BodyTextIndent2"/>
        <w:ind w:right="0" w:firstLine="0"/>
        <w:jc w:val="center"/>
        <w:rPr>
          <w:rFonts w:ascii="Arial" w:hAnsi="Arial" w:cs="Arial"/>
          <w:b/>
          <w:sz w:val="26"/>
          <w:szCs w:val="26"/>
          <w:lang w:val="en-US"/>
        </w:rPr>
      </w:pPr>
      <w:r w:rsidRPr="004656A9">
        <w:rPr>
          <w:rFonts w:ascii="Arial" w:hAnsi="Arial" w:cs="Arial"/>
          <w:b/>
          <w:sz w:val="26"/>
          <w:szCs w:val="26"/>
        </w:rPr>
        <w:t>A</w:t>
      </w:r>
      <w:r w:rsidR="00B92B31">
        <w:rPr>
          <w:rFonts w:ascii="Arial" w:hAnsi="Arial" w:cs="Arial"/>
          <w:b/>
          <w:sz w:val="26"/>
          <w:szCs w:val="26"/>
          <w:lang w:val="en-US"/>
        </w:rPr>
        <w:t>cknowledgement</w:t>
      </w:r>
    </w:p>
    <w:p w14:paraId="62CBECFA" w14:textId="77777777" w:rsidR="00603A6A" w:rsidRPr="00BA0701" w:rsidRDefault="00603A6A" w:rsidP="002C6FE9">
      <w:pPr>
        <w:pStyle w:val="BodyTextIndent2"/>
        <w:tabs>
          <w:tab w:val="left" w:pos="4320"/>
        </w:tabs>
        <w:ind w:right="0" w:firstLine="0"/>
        <w:rPr>
          <w:rFonts w:ascii="Arial" w:hAnsi="Arial" w:cs="Arial"/>
          <w:b/>
          <w:sz w:val="26"/>
          <w:szCs w:val="26"/>
          <w:u w:val="single"/>
        </w:rPr>
      </w:pPr>
    </w:p>
    <w:p w14:paraId="444F2DDA" w14:textId="77777777" w:rsidR="002C6FE9" w:rsidRPr="00BA0701" w:rsidRDefault="002C6FE9" w:rsidP="002C6FE9">
      <w:pPr>
        <w:pStyle w:val="BodyTextIndent2"/>
        <w:tabs>
          <w:tab w:val="left" w:pos="4320"/>
        </w:tabs>
        <w:ind w:right="0" w:firstLine="0"/>
        <w:rPr>
          <w:rFonts w:ascii="Arial" w:hAnsi="Arial" w:cs="Arial"/>
          <w:b/>
          <w:sz w:val="26"/>
          <w:szCs w:val="26"/>
          <w:u w:val="single"/>
        </w:rPr>
      </w:pPr>
    </w:p>
    <w:p w14:paraId="2C9EE7C7" w14:textId="63A9B572" w:rsidR="00603A6A" w:rsidRDefault="00603A6A" w:rsidP="004F3D6A">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We wish to express our appreciati</w:t>
      </w:r>
      <w:r w:rsidR="00A92072">
        <w:rPr>
          <w:rFonts w:ascii="Arial" w:hAnsi="Arial" w:cs="Arial"/>
          <w:szCs w:val="24"/>
        </w:rPr>
        <w:t xml:space="preserve">on to the officers and staff of </w:t>
      </w:r>
      <w:r w:rsidR="009C7A49">
        <w:rPr>
          <w:rFonts w:ascii="Arial" w:hAnsi="Arial" w:cs="Arial"/>
          <w:szCs w:val="24"/>
        </w:rPr>
        <w:t xml:space="preserve">PPL </w:t>
      </w:r>
      <w:r w:rsidR="007374E2">
        <w:rPr>
          <w:rFonts w:ascii="Arial" w:hAnsi="Arial" w:cs="Arial"/>
          <w:szCs w:val="24"/>
          <w:lang w:val="en-US"/>
        </w:rPr>
        <w:t>Electric Utilities Corporation</w:t>
      </w:r>
      <w:r w:rsidRPr="00454049">
        <w:rPr>
          <w:rFonts w:ascii="Arial" w:hAnsi="Arial" w:cs="Arial"/>
          <w:szCs w:val="24"/>
        </w:rPr>
        <w:t xml:space="preserve"> for the</w:t>
      </w:r>
      <w:r w:rsidR="00B017E8">
        <w:rPr>
          <w:rFonts w:ascii="Arial" w:hAnsi="Arial" w:cs="Arial"/>
          <w:szCs w:val="24"/>
          <w:lang w:val="en-US"/>
        </w:rPr>
        <w:t>ir</w:t>
      </w:r>
      <w:r w:rsidRPr="00454049">
        <w:rPr>
          <w:rFonts w:ascii="Arial" w:hAnsi="Arial" w:cs="Arial"/>
          <w:szCs w:val="24"/>
        </w:rPr>
        <w:t xml:space="preserve"> cooperation and assistance.  The audit was conducted by </w:t>
      </w:r>
      <w:r w:rsidR="00C71500">
        <w:rPr>
          <w:rFonts w:ascii="Arial" w:hAnsi="Arial" w:cs="Arial"/>
          <w:szCs w:val="24"/>
          <w:lang w:val="en-US"/>
        </w:rPr>
        <w:t>Michael B. Daley</w:t>
      </w:r>
      <w:r w:rsidR="008E21A3">
        <w:rPr>
          <w:rFonts w:ascii="Arial" w:hAnsi="Arial" w:cs="Arial"/>
          <w:szCs w:val="24"/>
          <w:lang w:val="en-US"/>
        </w:rPr>
        <w:t xml:space="preserve">, assisted by </w:t>
      </w:r>
      <w:r w:rsidR="007374E2">
        <w:rPr>
          <w:rFonts w:ascii="Arial" w:hAnsi="Arial" w:cs="Arial"/>
          <w:szCs w:val="24"/>
          <w:lang w:val="en-US"/>
        </w:rPr>
        <w:t xml:space="preserve">Xuequn </w:t>
      </w:r>
      <w:r w:rsidR="007B0E7C">
        <w:rPr>
          <w:rFonts w:ascii="Arial" w:hAnsi="Arial" w:cs="Arial"/>
          <w:szCs w:val="24"/>
          <w:lang w:val="en-US"/>
        </w:rPr>
        <w:t xml:space="preserve">(Michelle) </w:t>
      </w:r>
      <w:r w:rsidR="007374E2">
        <w:rPr>
          <w:rFonts w:ascii="Arial" w:hAnsi="Arial" w:cs="Arial"/>
          <w:szCs w:val="24"/>
          <w:lang w:val="en-US"/>
        </w:rPr>
        <w:t>Wu, CPA</w:t>
      </w:r>
      <w:r w:rsidR="00F77CAB">
        <w:rPr>
          <w:rFonts w:ascii="Arial" w:hAnsi="Arial" w:cs="Arial"/>
          <w:szCs w:val="24"/>
        </w:rPr>
        <w:t xml:space="preserve">. </w:t>
      </w:r>
    </w:p>
    <w:p w14:paraId="672E8020" w14:textId="77777777" w:rsidR="00543B93" w:rsidRPr="00454049" w:rsidRDefault="00543B93" w:rsidP="004F3D6A">
      <w:pPr>
        <w:pStyle w:val="BodyTextIndent2"/>
        <w:tabs>
          <w:tab w:val="clear" w:pos="720"/>
          <w:tab w:val="clear" w:pos="1170"/>
          <w:tab w:val="clear" w:pos="6120"/>
          <w:tab w:val="clear" w:pos="7560"/>
        </w:tabs>
        <w:ind w:right="0" w:firstLine="0"/>
        <w:rPr>
          <w:rFonts w:ascii="Arial" w:hAnsi="Arial" w:cs="Arial"/>
          <w:szCs w:val="24"/>
        </w:rPr>
      </w:pPr>
    </w:p>
    <w:sectPr w:rsidR="00543B93" w:rsidRPr="00454049" w:rsidSect="002109BE">
      <w:headerReference w:type="even" r:id="rId24"/>
      <w:headerReference w:type="default" r:id="rId25"/>
      <w:headerReference w:type="first" r:id="rId26"/>
      <w:pgSz w:w="12240" w:h="15840" w:code="1"/>
      <w:pgMar w:top="1440" w:right="1440" w:bottom="1440" w:left="1440" w:header="720" w:footer="720" w:gutter="0"/>
      <w:pgNumType w:fmt="numberInDash" w:start="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A80AD" w14:textId="77777777" w:rsidR="003266CB" w:rsidRDefault="003266CB">
      <w:r>
        <w:separator/>
      </w:r>
    </w:p>
  </w:endnote>
  <w:endnote w:type="continuationSeparator" w:id="0">
    <w:p w14:paraId="3AC81E1D" w14:textId="77777777" w:rsidR="003266CB" w:rsidRDefault="0032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D9C1" w14:textId="77777777" w:rsidR="00897C90" w:rsidRDefault="00897C90" w:rsidP="0066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B13A046" w14:textId="77777777" w:rsidR="00897C90" w:rsidRDefault="0089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B8B1" w14:textId="77777777" w:rsidR="00897C90" w:rsidRPr="006D6CFD" w:rsidRDefault="00897C90" w:rsidP="006D6CFD">
    <w:pPr>
      <w:pStyle w:val="Footer"/>
      <w:tabs>
        <w:tab w:val="clear" w:pos="4320"/>
        <w:tab w:val="clear" w:pos="86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315790743"/>
      <w:docPartObj>
        <w:docPartGallery w:val="Page Numbers (Bottom of Page)"/>
        <w:docPartUnique/>
      </w:docPartObj>
    </w:sdtPr>
    <w:sdtEndPr>
      <w:rPr>
        <w:rFonts w:ascii="Book Antiqua" w:hAnsi="Book Antiqua" w:cs="Times New Roman"/>
        <w:noProof/>
      </w:rPr>
    </w:sdtEndPr>
    <w:sdtContent>
      <w:p w14:paraId="6228B50A" w14:textId="77777777" w:rsidR="00B32A35" w:rsidRDefault="005867C0" w:rsidP="00CA4441">
        <w:pPr>
          <w:pStyle w:val="Footer"/>
          <w:jc w:val="center"/>
        </w:pPr>
        <w:r w:rsidRPr="00762644">
          <w:rPr>
            <w:rFonts w:ascii="Arial" w:hAnsi="Arial" w:cs="Arial"/>
          </w:rPr>
          <w:t xml:space="preserve">- </w:t>
        </w:r>
        <w:r w:rsidR="001476D1" w:rsidRPr="00762644">
          <w:rPr>
            <w:rFonts w:ascii="Arial" w:hAnsi="Arial" w:cs="Arial"/>
            <w:lang w:val="en-US"/>
          </w:rPr>
          <w:t>5</w:t>
        </w:r>
        <w:r w:rsidRPr="00762644">
          <w:rPr>
            <w:rFonts w:ascii="Arial" w:hAnsi="Arial" w:cs="Arial"/>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F863" w14:textId="77777777" w:rsidR="00897C90" w:rsidRPr="00745CE2" w:rsidRDefault="00897C90" w:rsidP="00745C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427489"/>
      <w:docPartObj>
        <w:docPartGallery w:val="Page Numbers (Bottom of Page)"/>
        <w:docPartUnique/>
      </w:docPartObj>
    </w:sdtPr>
    <w:sdtEndPr>
      <w:rPr>
        <w:rFonts w:ascii="Arial" w:hAnsi="Arial" w:cs="Arial"/>
        <w:noProof/>
      </w:rPr>
    </w:sdtEndPr>
    <w:sdtContent>
      <w:p w14:paraId="53627B4E" w14:textId="77777777" w:rsidR="00897C90" w:rsidRPr="00B84ECC" w:rsidRDefault="00897C90" w:rsidP="009B7188">
        <w:pPr>
          <w:pStyle w:val="Footer"/>
          <w:jc w:val="center"/>
          <w:rPr>
            <w:rFonts w:ascii="Arial" w:hAnsi="Arial" w:cs="Arial"/>
          </w:rPr>
        </w:pPr>
        <w:r w:rsidRPr="00762644">
          <w:rPr>
            <w:rFonts w:ascii="Arial" w:hAnsi="Arial" w:cs="Arial"/>
          </w:rPr>
          <w:fldChar w:fldCharType="begin"/>
        </w:r>
        <w:r w:rsidRPr="00762644">
          <w:rPr>
            <w:rFonts w:ascii="Arial" w:hAnsi="Arial" w:cs="Arial"/>
          </w:rPr>
          <w:instrText xml:space="preserve"> PAGE   \* MERGEFORMAT </w:instrText>
        </w:r>
        <w:r w:rsidRPr="00762644">
          <w:rPr>
            <w:rFonts w:ascii="Arial" w:hAnsi="Arial" w:cs="Arial"/>
          </w:rPr>
          <w:fldChar w:fldCharType="separate"/>
        </w:r>
        <w:r w:rsidR="006E7219" w:rsidRPr="00762644">
          <w:rPr>
            <w:rFonts w:ascii="Arial" w:hAnsi="Arial" w:cs="Arial"/>
            <w:noProof/>
          </w:rPr>
          <w:t>- 6 -</w:t>
        </w:r>
        <w:r w:rsidRPr="00762644">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E8B42" w14:textId="77777777" w:rsidR="003266CB" w:rsidRDefault="003266CB">
      <w:r>
        <w:separator/>
      </w:r>
    </w:p>
  </w:footnote>
  <w:footnote w:type="continuationSeparator" w:id="0">
    <w:p w14:paraId="7C91FD1A" w14:textId="77777777" w:rsidR="003266CB" w:rsidRDefault="003266CB">
      <w:r>
        <w:continuationSeparator/>
      </w:r>
    </w:p>
  </w:footnote>
  <w:footnote w:id="1">
    <w:p w14:paraId="50468573" w14:textId="77777777" w:rsidR="002A7ED3" w:rsidRPr="00C60BCA" w:rsidRDefault="00C605CB" w:rsidP="00722386">
      <w:pPr>
        <w:pStyle w:val="FootnoteText"/>
        <w:spacing w:line="480" w:lineRule="auto"/>
        <w:rPr>
          <w:rFonts w:ascii="Arial" w:hAnsi="Arial" w:cs="Arial"/>
          <w:sz w:val="16"/>
          <w:szCs w:val="16"/>
          <w:lang w:val="en-US"/>
        </w:rPr>
      </w:pPr>
      <w:r w:rsidRPr="00C60BCA">
        <w:rPr>
          <w:rStyle w:val="FootnoteReference"/>
          <w:rFonts w:ascii="Arial" w:hAnsi="Arial" w:cs="Arial"/>
          <w:sz w:val="16"/>
          <w:szCs w:val="16"/>
        </w:rPr>
        <w:footnoteRef/>
      </w:r>
      <w:r w:rsidRPr="00C60BCA">
        <w:rPr>
          <w:rFonts w:ascii="Arial" w:hAnsi="Arial" w:cs="Arial"/>
          <w:sz w:val="16"/>
          <w:szCs w:val="16"/>
        </w:rPr>
        <w:t xml:space="preserve"> </w:t>
      </w:r>
      <w:r w:rsidR="002A7ED3" w:rsidRPr="00C60BCA">
        <w:rPr>
          <w:rFonts w:ascii="Arial" w:hAnsi="Arial" w:cs="Arial"/>
          <w:sz w:val="16"/>
          <w:szCs w:val="16"/>
        </w:rPr>
        <w:t>As reported to the Commission at Docket No. M-2017-2601693.</w:t>
      </w:r>
    </w:p>
  </w:footnote>
  <w:footnote w:id="2">
    <w:p w14:paraId="3C7A7993" w14:textId="56DB3524" w:rsidR="00C605CB" w:rsidRPr="00C605CB" w:rsidRDefault="00C605CB" w:rsidP="00722386">
      <w:pPr>
        <w:pStyle w:val="FootnoteText"/>
        <w:spacing w:line="480" w:lineRule="auto"/>
        <w:rPr>
          <w:lang w:val="en-US"/>
        </w:rPr>
      </w:pPr>
      <w:r w:rsidRPr="00C60BCA">
        <w:rPr>
          <w:rStyle w:val="FootnoteReference"/>
          <w:rFonts w:ascii="Arial" w:hAnsi="Arial" w:cs="Arial"/>
          <w:sz w:val="16"/>
          <w:szCs w:val="16"/>
        </w:rPr>
        <w:footnoteRef/>
      </w:r>
      <w:r w:rsidR="00861E05">
        <w:rPr>
          <w:rFonts w:ascii="Arial" w:hAnsi="Arial" w:cs="Arial"/>
          <w:sz w:val="16"/>
          <w:szCs w:val="16"/>
          <w:lang w:val="en-US"/>
        </w:rPr>
        <w:t xml:space="preserve"> </w:t>
      </w:r>
      <w:r w:rsidR="002A7ED3" w:rsidRPr="00C60BCA">
        <w:rPr>
          <w:rFonts w:ascii="Arial" w:hAnsi="Arial" w:cs="Arial"/>
          <w:sz w:val="16"/>
          <w:szCs w:val="16"/>
          <w:lang w:val="en-US"/>
        </w:rPr>
        <w:t>Notes to the Financial Statements are an integral part of this report.</w:t>
      </w:r>
      <w:r w:rsidR="002A7ED3">
        <w:rPr>
          <w:lang w:val="en-US"/>
        </w:rPr>
        <w:t xml:space="preserve"> </w:t>
      </w:r>
      <w:r>
        <w:t xml:space="preserve"> </w:t>
      </w:r>
    </w:p>
  </w:footnote>
  <w:footnote w:id="3">
    <w:p w14:paraId="4196CC5A" w14:textId="77777777" w:rsidR="00C605CB" w:rsidRPr="00C60BCA" w:rsidRDefault="00C605CB" w:rsidP="00722386">
      <w:pPr>
        <w:pStyle w:val="FootnoteText"/>
        <w:spacing w:line="480" w:lineRule="auto"/>
        <w:rPr>
          <w:rFonts w:ascii="Arial" w:hAnsi="Arial" w:cs="Arial"/>
          <w:sz w:val="16"/>
          <w:szCs w:val="16"/>
          <w:lang w:val="en-US"/>
        </w:rPr>
      </w:pPr>
      <w:r w:rsidRPr="00C60BCA">
        <w:rPr>
          <w:rStyle w:val="FootnoteReference"/>
          <w:rFonts w:ascii="Arial" w:hAnsi="Arial" w:cs="Arial"/>
          <w:sz w:val="16"/>
          <w:szCs w:val="16"/>
        </w:rPr>
        <w:footnoteRef/>
      </w:r>
      <w:r w:rsidRPr="00C60BCA">
        <w:rPr>
          <w:rFonts w:ascii="Arial" w:hAnsi="Arial" w:cs="Arial"/>
          <w:sz w:val="16"/>
          <w:szCs w:val="16"/>
        </w:rPr>
        <w:t xml:space="preserve"> </w:t>
      </w:r>
      <w:r w:rsidR="00CF28E3" w:rsidRPr="00C60BCA">
        <w:rPr>
          <w:rFonts w:ascii="Arial" w:hAnsi="Arial" w:cs="Arial"/>
          <w:sz w:val="16"/>
          <w:szCs w:val="16"/>
        </w:rPr>
        <w:t>As reported to the Commission at Docket No. M-2016-2542973.</w:t>
      </w:r>
    </w:p>
  </w:footnote>
  <w:footnote w:id="4">
    <w:p w14:paraId="512A6B44" w14:textId="77777777" w:rsidR="00C605CB" w:rsidRPr="00C605CB" w:rsidRDefault="00C605CB" w:rsidP="00722386">
      <w:pPr>
        <w:pStyle w:val="FootnoteText"/>
        <w:spacing w:line="480" w:lineRule="auto"/>
        <w:rPr>
          <w:lang w:val="en-US"/>
        </w:rPr>
      </w:pPr>
      <w:r w:rsidRPr="00C60BCA">
        <w:rPr>
          <w:rStyle w:val="FootnoteReference"/>
          <w:rFonts w:ascii="Arial" w:hAnsi="Arial" w:cs="Arial"/>
          <w:sz w:val="16"/>
          <w:szCs w:val="16"/>
        </w:rPr>
        <w:footnoteRef/>
      </w:r>
      <w:r w:rsidRPr="00C60BCA">
        <w:rPr>
          <w:rFonts w:ascii="Arial" w:hAnsi="Arial" w:cs="Arial"/>
          <w:sz w:val="16"/>
          <w:szCs w:val="16"/>
        </w:rPr>
        <w:t xml:space="preserve"> </w:t>
      </w:r>
      <w:r w:rsidR="00CF28E3" w:rsidRPr="00C60BCA">
        <w:rPr>
          <w:rFonts w:ascii="Arial" w:hAnsi="Arial" w:cs="Arial"/>
          <w:sz w:val="16"/>
          <w:szCs w:val="16"/>
        </w:rPr>
        <w:t>Notes to the Financial Statements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B7EA" w14:textId="7C8B2D98" w:rsidR="00D35117" w:rsidRDefault="00D351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3EDB" w14:textId="3A146218" w:rsidR="00D35117" w:rsidRDefault="00D351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8CC" w14:textId="3B0406A4" w:rsidR="008842F3" w:rsidRPr="00A872CB" w:rsidRDefault="008842F3" w:rsidP="008842F3">
    <w:pPr>
      <w:jc w:val="center"/>
      <w:rPr>
        <w:rFonts w:ascii="Arial" w:hAnsi="Arial" w:cs="Arial"/>
        <w:sz w:val="26"/>
        <w:szCs w:val="26"/>
      </w:rPr>
    </w:pPr>
    <w:r>
      <w:rPr>
        <w:rFonts w:ascii="Arial" w:hAnsi="Arial" w:cs="Arial"/>
        <w:b/>
        <w:sz w:val="26"/>
        <w:szCs w:val="26"/>
      </w:rPr>
      <w:t>PPL ELECTRIC UTILITIES CORPORATION</w:t>
    </w:r>
  </w:p>
  <w:p w14:paraId="2EABE053" w14:textId="77777777" w:rsidR="008842F3" w:rsidRDefault="008842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CAD7" w14:textId="25E0BF37" w:rsidR="00D35117" w:rsidRDefault="00D35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942C8" w14:textId="026121A0" w:rsidR="00D35117" w:rsidRDefault="00D35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8D69A" w14:textId="0B31475B" w:rsidR="00D35117" w:rsidRDefault="00D351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D386" w14:textId="1A043BCC" w:rsidR="00897C90" w:rsidRDefault="00897C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796D" w14:textId="2F76C1D9" w:rsidR="00A15722" w:rsidRPr="00C2508B" w:rsidRDefault="00A15722" w:rsidP="00A15722">
    <w:pPr>
      <w:jc w:val="center"/>
      <w:rPr>
        <w:rFonts w:ascii="Arial" w:hAnsi="Arial" w:cs="Arial"/>
        <w:b/>
        <w:sz w:val="26"/>
        <w:szCs w:val="26"/>
      </w:rPr>
    </w:pPr>
    <w:r>
      <w:rPr>
        <w:rFonts w:ascii="Arial" w:hAnsi="Arial" w:cs="Arial"/>
        <w:b/>
        <w:sz w:val="26"/>
        <w:szCs w:val="26"/>
      </w:rPr>
      <w:t>PPL ELECTRIC UTILITIES CORPORATION</w:t>
    </w:r>
  </w:p>
  <w:p w14:paraId="6FE12459" w14:textId="4A203470" w:rsidR="00897C90" w:rsidRPr="00F16CBF" w:rsidRDefault="00897C90" w:rsidP="00F16C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1677" w14:textId="63539EE9" w:rsidR="00897C90" w:rsidRDefault="00897C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4A88" w14:textId="25F44B4C" w:rsidR="00897C90" w:rsidRDefault="00897C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6811" w14:textId="27F96692" w:rsidR="00897C90" w:rsidRDefault="00897C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5ACE" w14:textId="79F77945" w:rsidR="00897C90" w:rsidRDefault="00897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2B0"/>
    <w:multiLevelType w:val="hybridMultilevel"/>
    <w:tmpl w:val="485C425E"/>
    <w:lvl w:ilvl="0" w:tplc="FD847AF4">
      <w:start w:val="3"/>
      <w:numFmt w:val="bullet"/>
      <w:lvlText w:val="-"/>
      <w:lvlJc w:val="left"/>
      <w:pPr>
        <w:ind w:left="821" w:hanging="360"/>
      </w:pPr>
      <w:rPr>
        <w:rFonts w:ascii="Arial" w:eastAsia="Times New Roman"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861257"/>
    <w:multiLevelType w:val="hybridMultilevel"/>
    <w:tmpl w:val="7B90B72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6A"/>
    <w:rsid w:val="0000003F"/>
    <w:rsid w:val="00000DBA"/>
    <w:rsid w:val="0000435B"/>
    <w:rsid w:val="000044BA"/>
    <w:rsid w:val="00004C2F"/>
    <w:rsid w:val="00004CA4"/>
    <w:rsid w:val="00006830"/>
    <w:rsid w:val="00007433"/>
    <w:rsid w:val="000113A6"/>
    <w:rsid w:val="000121EF"/>
    <w:rsid w:val="000121FF"/>
    <w:rsid w:val="00013916"/>
    <w:rsid w:val="000139AC"/>
    <w:rsid w:val="00013E33"/>
    <w:rsid w:val="0001603D"/>
    <w:rsid w:val="0001787C"/>
    <w:rsid w:val="0002059A"/>
    <w:rsid w:val="000205F6"/>
    <w:rsid w:val="00020903"/>
    <w:rsid w:val="000218B3"/>
    <w:rsid w:val="00021A4A"/>
    <w:rsid w:val="00021D0E"/>
    <w:rsid w:val="00023070"/>
    <w:rsid w:val="00023C49"/>
    <w:rsid w:val="00023D6C"/>
    <w:rsid w:val="000245D1"/>
    <w:rsid w:val="0002485C"/>
    <w:rsid w:val="00024D1B"/>
    <w:rsid w:val="00026320"/>
    <w:rsid w:val="00026407"/>
    <w:rsid w:val="000273E3"/>
    <w:rsid w:val="00027D0F"/>
    <w:rsid w:val="00032921"/>
    <w:rsid w:val="00032D59"/>
    <w:rsid w:val="00033B6F"/>
    <w:rsid w:val="000341BF"/>
    <w:rsid w:val="0003605F"/>
    <w:rsid w:val="00037805"/>
    <w:rsid w:val="00037B6E"/>
    <w:rsid w:val="00040916"/>
    <w:rsid w:val="00043FB8"/>
    <w:rsid w:val="00044085"/>
    <w:rsid w:val="0005099E"/>
    <w:rsid w:val="00050E61"/>
    <w:rsid w:val="000520F5"/>
    <w:rsid w:val="00060F95"/>
    <w:rsid w:val="00062018"/>
    <w:rsid w:val="00063D24"/>
    <w:rsid w:val="00064772"/>
    <w:rsid w:val="0006485F"/>
    <w:rsid w:val="0006620B"/>
    <w:rsid w:val="00066DE9"/>
    <w:rsid w:val="00067076"/>
    <w:rsid w:val="0006791A"/>
    <w:rsid w:val="00070202"/>
    <w:rsid w:val="0007061A"/>
    <w:rsid w:val="0007135A"/>
    <w:rsid w:val="0007246E"/>
    <w:rsid w:val="000729CE"/>
    <w:rsid w:val="00073634"/>
    <w:rsid w:val="00073C23"/>
    <w:rsid w:val="000755F3"/>
    <w:rsid w:val="0007587B"/>
    <w:rsid w:val="00075A09"/>
    <w:rsid w:val="00076D68"/>
    <w:rsid w:val="00077ACC"/>
    <w:rsid w:val="000800B8"/>
    <w:rsid w:val="000801C6"/>
    <w:rsid w:val="00081FE6"/>
    <w:rsid w:val="00084C85"/>
    <w:rsid w:val="00085CC9"/>
    <w:rsid w:val="00086242"/>
    <w:rsid w:val="00086899"/>
    <w:rsid w:val="000872F3"/>
    <w:rsid w:val="00087B16"/>
    <w:rsid w:val="00090FB4"/>
    <w:rsid w:val="00091123"/>
    <w:rsid w:val="00092321"/>
    <w:rsid w:val="00092642"/>
    <w:rsid w:val="00092DB6"/>
    <w:rsid w:val="0009303F"/>
    <w:rsid w:val="0009305F"/>
    <w:rsid w:val="00093611"/>
    <w:rsid w:val="00095285"/>
    <w:rsid w:val="000957CE"/>
    <w:rsid w:val="00096D2A"/>
    <w:rsid w:val="00096ED4"/>
    <w:rsid w:val="000975B5"/>
    <w:rsid w:val="0009762E"/>
    <w:rsid w:val="000A01C6"/>
    <w:rsid w:val="000A0A1E"/>
    <w:rsid w:val="000A1FB4"/>
    <w:rsid w:val="000A2869"/>
    <w:rsid w:val="000A567E"/>
    <w:rsid w:val="000A619D"/>
    <w:rsid w:val="000A62FF"/>
    <w:rsid w:val="000A778C"/>
    <w:rsid w:val="000B0557"/>
    <w:rsid w:val="000B0764"/>
    <w:rsid w:val="000B0780"/>
    <w:rsid w:val="000B1C77"/>
    <w:rsid w:val="000B1F38"/>
    <w:rsid w:val="000B2024"/>
    <w:rsid w:val="000B2DC0"/>
    <w:rsid w:val="000B33F3"/>
    <w:rsid w:val="000B53F3"/>
    <w:rsid w:val="000B5A70"/>
    <w:rsid w:val="000B7627"/>
    <w:rsid w:val="000B7815"/>
    <w:rsid w:val="000C13A6"/>
    <w:rsid w:val="000C21A3"/>
    <w:rsid w:val="000C37FB"/>
    <w:rsid w:val="000C5A40"/>
    <w:rsid w:val="000C6906"/>
    <w:rsid w:val="000C7BD3"/>
    <w:rsid w:val="000D0E08"/>
    <w:rsid w:val="000D3B57"/>
    <w:rsid w:val="000D43DE"/>
    <w:rsid w:val="000D5374"/>
    <w:rsid w:val="000D7573"/>
    <w:rsid w:val="000E243A"/>
    <w:rsid w:val="000E3A95"/>
    <w:rsid w:val="000E5B2F"/>
    <w:rsid w:val="000E680B"/>
    <w:rsid w:val="000E683E"/>
    <w:rsid w:val="000E6DA4"/>
    <w:rsid w:val="000E7079"/>
    <w:rsid w:val="000E79C5"/>
    <w:rsid w:val="000F0DB3"/>
    <w:rsid w:val="000F1C31"/>
    <w:rsid w:val="000F1F78"/>
    <w:rsid w:val="000F21F5"/>
    <w:rsid w:val="000F2B86"/>
    <w:rsid w:val="000F42BA"/>
    <w:rsid w:val="000F471E"/>
    <w:rsid w:val="000F4FD3"/>
    <w:rsid w:val="000F5128"/>
    <w:rsid w:val="000F5ADB"/>
    <w:rsid w:val="000F604A"/>
    <w:rsid w:val="000F7F9C"/>
    <w:rsid w:val="000F7FB6"/>
    <w:rsid w:val="00100CBC"/>
    <w:rsid w:val="00101113"/>
    <w:rsid w:val="00101AEE"/>
    <w:rsid w:val="00102650"/>
    <w:rsid w:val="0010288F"/>
    <w:rsid w:val="00103C65"/>
    <w:rsid w:val="00103D8E"/>
    <w:rsid w:val="00104433"/>
    <w:rsid w:val="00104C7C"/>
    <w:rsid w:val="00107B86"/>
    <w:rsid w:val="00107D1C"/>
    <w:rsid w:val="001100E2"/>
    <w:rsid w:val="00110192"/>
    <w:rsid w:val="001113B2"/>
    <w:rsid w:val="00112259"/>
    <w:rsid w:val="00112ACE"/>
    <w:rsid w:val="001134C2"/>
    <w:rsid w:val="00114BFB"/>
    <w:rsid w:val="001153AC"/>
    <w:rsid w:val="00115EBC"/>
    <w:rsid w:val="00117B56"/>
    <w:rsid w:val="001200DF"/>
    <w:rsid w:val="00120DB0"/>
    <w:rsid w:val="001214A1"/>
    <w:rsid w:val="00122823"/>
    <w:rsid w:val="0012331C"/>
    <w:rsid w:val="00124AA1"/>
    <w:rsid w:val="00125323"/>
    <w:rsid w:val="00125499"/>
    <w:rsid w:val="00127342"/>
    <w:rsid w:val="00127A20"/>
    <w:rsid w:val="00127AA9"/>
    <w:rsid w:val="00127B3C"/>
    <w:rsid w:val="00127DFB"/>
    <w:rsid w:val="00130093"/>
    <w:rsid w:val="00130848"/>
    <w:rsid w:val="00131AA1"/>
    <w:rsid w:val="00132710"/>
    <w:rsid w:val="00133F42"/>
    <w:rsid w:val="00134529"/>
    <w:rsid w:val="00134718"/>
    <w:rsid w:val="00134D56"/>
    <w:rsid w:val="0013542D"/>
    <w:rsid w:val="00135D1D"/>
    <w:rsid w:val="001362D0"/>
    <w:rsid w:val="00136C93"/>
    <w:rsid w:val="001372AC"/>
    <w:rsid w:val="00137B4A"/>
    <w:rsid w:val="0014145E"/>
    <w:rsid w:val="00141E2D"/>
    <w:rsid w:val="00142905"/>
    <w:rsid w:val="00144699"/>
    <w:rsid w:val="00144A0A"/>
    <w:rsid w:val="001476D1"/>
    <w:rsid w:val="001514EB"/>
    <w:rsid w:val="001526A2"/>
    <w:rsid w:val="001544DA"/>
    <w:rsid w:val="0015494B"/>
    <w:rsid w:val="00155428"/>
    <w:rsid w:val="00156871"/>
    <w:rsid w:val="00156C4F"/>
    <w:rsid w:val="001600CD"/>
    <w:rsid w:val="0016040A"/>
    <w:rsid w:val="00160558"/>
    <w:rsid w:val="0016077E"/>
    <w:rsid w:val="00160C99"/>
    <w:rsid w:val="00161952"/>
    <w:rsid w:val="00162668"/>
    <w:rsid w:val="0016301C"/>
    <w:rsid w:val="001636CB"/>
    <w:rsid w:val="001641FD"/>
    <w:rsid w:val="00164A09"/>
    <w:rsid w:val="001653F0"/>
    <w:rsid w:val="00165554"/>
    <w:rsid w:val="001656CA"/>
    <w:rsid w:val="00165E42"/>
    <w:rsid w:val="00165F3E"/>
    <w:rsid w:val="00167BDB"/>
    <w:rsid w:val="0017116D"/>
    <w:rsid w:val="00171857"/>
    <w:rsid w:val="00171C73"/>
    <w:rsid w:val="00173807"/>
    <w:rsid w:val="00173EBF"/>
    <w:rsid w:val="00174069"/>
    <w:rsid w:val="00174374"/>
    <w:rsid w:val="00176F2E"/>
    <w:rsid w:val="00177AC4"/>
    <w:rsid w:val="0018083D"/>
    <w:rsid w:val="00180DD2"/>
    <w:rsid w:val="00181F1C"/>
    <w:rsid w:val="001822F1"/>
    <w:rsid w:val="00182996"/>
    <w:rsid w:val="00183222"/>
    <w:rsid w:val="001849D3"/>
    <w:rsid w:val="00184FC8"/>
    <w:rsid w:val="00190D54"/>
    <w:rsid w:val="00191B75"/>
    <w:rsid w:val="00191CD9"/>
    <w:rsid w:val="00191DE9"/>
    <w:rsid w:val="001938E4"/>
    <w:rsid w:val="00194014"/>
    <w:rsid w:val="0019411C"/>
    <w:rsid w:val="00194A52"/>
    <w:rsid w:val="0019642C"/>
    <w:rsid w:val="001A554F"/>
    <w:rsid w:val="001A73EE"/>
    <w:rsid w:val="001A74CF"/>
    <w:rsid w:val="001A7AEB"/>
    <w:rsid w:val="001B1714"/>
    <w:rsid w:val="001B1718"/>
    <w:rsid w:val="001B189C"/>
    <w:rsid w:val="001B3DEB"/>
    <w:rsid w:val="001B53BB"/>
    <w:rsid w:val="001B53DE"/>
    <w:rsid w:val="001B7064"/>
    <w:rsid w:val="001B7BF4"/>
    <w:rsid w:val="001C0282"/>
    <w:rsid w:val="001C1F79"/>
    <w:rsid w:val="001C489C"/>
    <w:rsid w:val="001C586B"/>
    <w:rsid w:val="001C596B"/>
    <w:rsid w:val="001C608C"/>
    <w:rsid w:val="001C7A18"/>
    <w:rsid w:val="001C7DDC"/>
    <w:rsid w:val="001D0131"/>
    <w:rsid w:val="001D2094"/>
    <w:rsid w:val="001D29EF"/>
    <w:rsid w:val="001D3DD3"/>
    <w:rsid w:val="001D586A"/>
    <w:rsid w:val="001D5AAC"/>
    <w:rsid w:val="001D5FDC"/>
    <w:rsid w:val="001D65A8"/>
    <w:rsid w:val="001E0438"/>
    <w:rsid w:val="001E0DBF"/>
    <w:rsid w:val="001E2986"/>
    <w:rsid w:val="001E321B"/>
    <w:rsid w:val="001E3B80"/>
    <w:rsid w:val="001E5A12"/>
    <w:rsid w:val="001E65CD"/>
    <w:rsid w:val="001E725C"/>
    <w:rsid w:val="001E7B96"/>
    <w:rsid w:val="001F02FF"/>
    <w:rsid w:val="001F0CF2"/>
    <w:rsid w:val="001F0D69"/>
    <w:rsid w:val="001F21EB"/>
    <w:rsid w:val="001F42D7"/>
    <w:rsid w:val="001F42FF"/>
    <w:rsid w:val="001F4EEA"/>
    <w:rsid w:val="001F5AD4"/>
    <w:rsid w:val="00200446"/>
    <w:rsid w:val="00200EFE"/>
    <w:rsid w:val="00200F5F"/>
    <w:rsid w:val="002010C5"/>
    <w:rsid w:val="0020197F"/>
    <w:rsid w:val="00202583"/>
    <w:rsid w:val="00202DEB"/>
    <w:rsid w:val="00202F56"/>
    <w:rsid w:val="002032E8"/>
    <w:rsid w:val="00203DFF"/>
    <w:rsid w:val="002045D4"/>
    <w:rsid w:val="0020499A"/>
    <w:rsid w:val="00204B69"/>
    <w:rsid w:val="00204C75"/>
    <w:rsid w:val="002051B4"/>
    <w:rsid w:val="0020524E"/>
    <w:rsid w:val="002053A1"/>
    <w:rsid w:val="00205CFE"/>
    <w:rsid w:val="0020789D"/>
    <w:rsid w:val="00207BC2"/>
    <w:rsid w:val="002109BE"/>
    <w:rsid w:val="00211FE2"/>
    <w:rsid w:val="002126A0"/>
    <w:rsid w:val="00214AAB"/>
    <w:rsid w:val="00215815"/>
    <w:rsid w:val="0021588B"/>
    <w:rsid w:val="00215AF5"/>
    <w:rsid w:val="002167D6"/>
    <w:rsid w:val="002174B6"/>
    <w:rsid w:val="002174F2"/>
    <w:rsid w:val="00217B2D"/>
    <w:rsid w:val="00220112"/>
    <w:rsid w:val="00220713"/>
    <w:rsid w:val="00220C91"/>
    <w:rsid w:val="002214DE"/>
    <w:rsid w:val="0022240E"/>
    <w:rsid w:val="00222543"/>
    <w:rsid w:val="002228B5"/>
    <w:rsid w:val="0022335A"/>
    <w:rsid w:val="00223812"/>
    <w:rsid w:val="00225C3F"/>
    <w:rsid w:val="002261F2"/>
    <w:rsid w:val="00226C71"/>
    <w:rsid w:val="00226E00"/>
    <w:rsid w:val="002276C3"/>
    <w:rsid w:val="00227708"/>
    <w:rsid w:val="002302F5"/>
    <w:rsid w:val="0023043A"/>
    <w:rsid w:val="0023046A"/>
    <w:rsid w:val="0023151D"/>
    <w:rsid w:val="00231877"/>
    <w:rsid w:val="00231F5D"/>
    <w:rsid w:val="00233C92"/>
    <w:rsid w:val="002340F0"/>
    <w:rsid w:val="002346D4"/>
    <w:rsid w:val="00235911"/>
    <w:rsid w:val="00235F15"/>
    <w:rsid w:val="002360D1"/>
    <w:rsid w:val="00236413"/>
    <w:rsid w:val="0023645D"/>
    <w:rsid w:val="00236491"/>
    <w:rsid w:val="0024004F"/>
    <w:rsid w:val="002402BE"/>
    <w:rsid w:val="00240BF4"/>
    <w:rsid w:val="002415EF"/>
    <w:rsid w:val="002431B3"/>
    <w:rsid w:val="00243425"/>
    <w:rsid w:val="0024376F"/>
    <w:rsid w:val="002442D9"/>
    <w:rsid w:val="00244619"/>
    <w:rsid w:val="002459E3"/>
    <w:rsid w:val="00250416"/>
    <w:rsid w:val="00250512"/>
    <w:rsid w:val="00250BEC"/>
    <w:rsid w:val="00251AE8"/>
    <w:rsid w:val="00252162"/>
    <w:rsid w:val="00252976"/>
    <w:rsid w:val="00252C4A"/>
    <w:rsid w:val="00254B1A"/>
    <w:rsid w:val="00256947"/>
    <w:rsid w:val="00257491"/>
    <w:rsid w:val="0025787C"/>
    <w:rsid w:val="0026157F"/>
    <w:rsid w:val="00261D12"/>
    <w:rsid w:val="002659A0"/>
    <w:rsid w:val="002668BF"/>
    <w:rsid w:val="002675D2"/>
    <w:rsid w:val="0026786B"/>
    <w:rsid w:val="00270B62"/>
    <w:rsid w:val="00271574"/>
    <w:rsid w:val="002722B7"/>
    <w:rsid w:val="002733BD"/>
    <w:rsid w:val="00273587"/>
    <w:rsid w:val="00274824"/>
    <w:rsid w:val="00274C7B"/>
    <w:rsid w:val="00275092"/>
    <w:rsid w:val="00275DE1"/>
    <w:rsid w:val="002762D5"/>
    <w:rsid w:val="00276BBC"/>
    <w:rsid w:val="002777CB"/>
    <w:rsid w:val="00280A1C"/>
    <w:rsid w:val="00282054"/>
    <w:rsid w:val="002822DE"/>
    <w:rsid w:val="00282823"/>
    <w:rsid w:val="002837DD"/>
    <w:rsid w:val="00285097"/>
    <w:rsid w:val="00286EEF"/>
    <w:rsid w:val="00286FC7"/>
    <w:rsid w:val="00287B77"/>
    <w:rsid w:val="00290ACE"/>
    <w:rsid w:val="00290CBE"/>
    <w:rsid w:val="00294BC2"/>
    <w:rsid w:val="00297C27"/>
    <w:rsid w:val="002A05FA"/>
    <w:rsid w:val="002A112A"/>
    <w:rsid w:val="002A1350"/>
    <w:rsid w:val="002A17BE"/>
    <w:rsid w:val="002A3012"/>
    <w:rsid w:val="002A430A"/>
    <w:rsid w:val="002A46D9"/>
    <w:rsid w:val="002A52FE"/>
    <w:rsid w:val="002A63A0"/>
    <w:rsid w:val="002A683C"/>
    <w:rsid w:val="002A7ED3"/>
    <w:rsid w:val="002B2069"/>
    <w:rsid w:val="002B31F3"/>
    <w:rsid w:val="002B33C2"/>
    <w:rsid w:val="002B46FD"/>
    <w:rsid w:val="002B4861"/>
    <w:rsid w:val="002B4D0A"/>
    <w:rsid w:val="002B704C"/>
    <w:rsid w:val="002B7BBF"/>
    <w:rsid w:val="002C0472"/>
    <w:rsid w:val="002C094A"/>
    <w:rsid w:val="002C0F1A"/>
    <w:rsid w:val="002C2B78"/>
    <w:rsid w:val="002C3793"/>
    <w:rsid w:val="002C4DE2"/>
    <w:rsid w:val="002C6059"/>
    <w:rsid w:val="002C615D"/>
    <w:rsid w:val="002C6BDC"/>
    <w:rsid w:val="002C6FE9"/>
    <w:rsid w:val="002C7A73"/>
    <w:rsid w:val="002C7BB8"/>
    <w:rsid w:val="002D00C5"/>
    <w:rsid w:val="002D07E4"/>
    <w:rsid w:val="002D0A9C"/>
    <w:rsid w:val="002D20DC"/>
    <w:rsid w:val="002D2160"/>
    <w:rsid w:val="002D2A89"/>
    <w:rsid w:val="002D4706"/>
    <w:rsid w:val="002D69B2"/>
    <w:rsid w:val="002D6F2D"/>
    <w:rsid w:val="002E063D"/>
    <w:rsid w:val="002E27B4"/>
    <w:rsid w:val="002E28CC"/>
    <w:rsid w:val="002E32C7"/>
    <w:rsid w:val="002E47C0"/>
    <w:rsid w:val="002E6266"/>
    <w:rsid w:val="002E658D"/>
    <w:rsid w:val="002F0791"/>
    <w:rsid w:val="002F1DAD"/>
    <w:rsid w:val="002F3B8B"/>
    <w:rsid w:val="002F3D9F"/>
    <w:rsid w:val="002F434B"/>
    <w:rsid w:val="002F5562"/>
    <w:rsid w:val="002F74A8"/>
    <w:rsid w:val="0030039A"/>
    <w:rsid w:val="003046F1"/>
    <w:rsid w:val="00306F55"/>
    <w:rsid w:val="003070AE"/>
    <w:rsid w:val="00307A98"/>
    <w:rsid w:val="00307B59"/>
    <w:rsid w:val="003116E5"/>
    <w:rsid w:val="00311CC5"/>
    <w:rsid w:val="00311E3C"/>
    <w:rsid w:val="00312248"/>
    <w:rsid w:val="00312F3B"/>
    <w:rsid w:val="003144B0"/>
    <w:rsid w:val="0031467A"/>
    <w:rsid w:val="003152B6"/>
    <w:rsid w:val="00315FE4"/>
    <w:rsid w:val="00316AEC"/>
    <w:rsid w:val="00316F74"/>
    <w:rsid w:val="003170E4"/>
    <w:rsid w:val="00317567"/>
    <w:rsid w:val="003176A3"/>
    <w:rsid w:val="00317FAA"/>
    <w:rsid w:val="00320342"/>
    <w:rsid w:val="00321356"/>
    <w:rsid w:val="0032421B"/>
    <w:rsid w:val="00324BEF"/>
    <w:rsid w:val="003252A0"/>
    <w:rsid w:val="00325A77"/>
    <w:rsid w:val="00325C60"/>
    <w:rsid w:val="003266CB"/>
    <w:rsid w:val="00326A2F"/>
    <w:rsid w:val="003278F2"/>
    <w:rsid w:val="00327996"/>
    <w:rsid w:val="00327BF4"/>
    <w:rsid w:val="0033021B"/>
    <w:rsid w:val="00331A7B"/>
    <w:rsid w:val="00332C89"/>
    <w:rsid w:val="0033425E"/>
    <w:rsid w:val="0033432E"/>
    <w:rsid w:val="00335252"/>
    <w:rsid w:val="00337589"/>
    <w:rsid w:val="00340566"/>
    <w:rsid w:val="003412E5"/>
    <w:rsid w:val="0034157F"/>
    <w:rsid w:val="00344F76"/>
    <w:rsid w:val="0034755D"/>
    <w:rsid w:val="00351695"/>
    <w:rsid w:val="00351D1B"/>
    <w:rsid w:val="00352FC6"/>
    <w:rsid w:val="00353540"/>
    <w:rsid w:val="00353FF1"/>
    <w:rsid w:val="00354F80"/>
    <w:rsid w:val="00356E86"/>
    <w:rsid w:val="00357226"/>
    <w:rsid w:val="0035729D"/>
    <w:rsid w:val="003647E7"/>
    <w:rsid w:val="00364A22"/>
    <w:rsid w:val="00365150"/>
    <w:rsid w:val="0036545F"/>
    <w:rsid w:val="00366087"/>
    <w:rsid w:val="003700C2"/>
    <w:rsid w:val="0037096F"/>
    <w:rsid w:val="0037130A"/>
    <w:rsid w:val="00375B51"/>
    <w:rsid w:val="003768AF"/>
    <w:rsid w:val="00380936"/>
    <w:rsid w:val="00382551"/>
    <w:rsid w:val="003848DC"/>
    <w:rsid w:val="0038597B"/>
    <w:rsid w:val="00387BE6"/>
    <w:rsid w:val="003901BB"/>
    <w:rsid w:val="0039075F"/>
    <w:rsid w:val="0039136E"/>
    <w:rsid w:val="00391529"/>
    <w:rsid w:val="00392E12"/>
    <w:rsid w:val="00393679"/>
    <w:rsid w:val="003937C5"/>
    <w:rsid w:val="00394CA5"/>
    <w:rsid w:val="00394D61"/>
    <w:rsid w:val="003952B2"/>
    <w:rsid w:val="003952CF"/>
    <w:rsid w:val="00395304"/>
    <w:rsid w:val="003A0885"/>
    <w:rsid w:val="003A19DA"/>
    <w:rsid w:val="003A1ACD"/>
    <w:rsid w:val="003A227A"/>
    <w:rsid w:val="003A2489"/>
    <w:rsid w:val="003A31EF"/>
    <w:rsid w:val="003A355A"/>
    <w:rsid w:val="003A5371"/>
    <w:rsid w:val="003A571F"/>
    <w:rsid w:val="003A6161"/>
    <w:rsid w:val="003A667B"/>
    <w:rsid w:val="003A7DEF"/>
    <w:rsid w:val="003B098F"/>
    <w:rsid w:val="003B4D36"/>
    <w:rsid w:val="003B6287"/>
    <w:rsid w:val="003B66CB"/>
    <w:rsid w:val="003B6F71"/>
    <w:rsid w:val="003B7411"/>
    <w:rsid w:val="003B78A7"/>
    <w:rsid w:val="003B78B7"/>
    <w:rsid w:val="003B78D3"/>
    <w:rsid w:val="003B7EE7"/>
    <w:rsid w:val="003C2644"/>
    <w:rsid w:val="003C30C9"/>
    <w:rsid w:val="003C5289"/>
    <w:rsid w:val="003C70AD"/>
    <w:rsid w:val="003C71D0"/>
    <w:rsid w:val="003D0171"/>
    <w:rsid w:val="003D122C"/>
    <w:rsid w:val="003D14BD"/>
    <w:rsid w:val="003D1E44"/>
    <w:rsid w:val="003D24DD"/>
    <w:rsid w:val="003D2CE3"/>
    <w:rsid w:val="003D4700"/>
    <w:rsid w:val="003D517B"/>
    <w:rsid w:val="003D5488"/>
    <w:rsid w:val="003D6E5E"/>
    <w:rsid w:val="003D7478"/>
    <w:rsid w:val="003E0A0F"/>
    <w:rsid w:val="003E1B51"/>
    <w:rsid w:val="003E2803"/>
    <w:rsid w:val="003E2824"/>
    <w:rsid w:val="003E45E6"/>
    <w:rsid w:val="003E4CD2"/>
    <w:rsid w:val="003E5FAC"/>
    <w:rsid w:val="003E61CF"/>
    <w:rsid w:val="003E72B1"/>
    <w:rsid w:val="003F0CA7"/>
    <w:rsid w:val="003F2548"/>
    <w:rsid w:val="003F2706"/>
    <w:rsid w:val="003F34D9"/>
    <w:rsid w:val="003F37FC"/>
    <w:rsid w:val="003F5020"/>
    <w:rsid w:val="003F51CA"/>
    <w:rsid w:val="003F52B1"/>
    <w:rsid w:val="003F62B4"/>
    <w:rsid w:val="003F6358"/>
    <w:rsid w:val="003F7122"/>
    <w:rsid w:val="003F78BB"/>
    <w:rsid w:val="003F7A2F"/>
    <w:rsid w:val="0040067C"/>
    <w:rsid w:val="00401247"/>
    <w:rsid w:val="004017E2"/>
    <w:rsid w:val="004025CC"/>
    <w:rsid w:val="004031DD"/>
    <w:rsid w:val="00403EC3"/>
    <w:rsid w:val="0040424A"/>
    <w:rsid w:val="004061AE"/>
    <w:rsid w:val="00407464"/>
    <w:rsid w:val="00407CBC"/>
    <w:rsid w:val="004104A9"/>
    <w:rsid w:val="0041272E"/>
    <w:rsid w:val="004134C3"/>
    <w:rsid w:val="00415568"/>
    <w:rsid w:val="004158C9"/>
    <w:rsid w:val="0041646C"/>
    <w:rsid w:val="00416ACD"/>
    <w:rsid w:val="004209B2"/>
    <w:rsid w:val="0042203E"/>
    <w:rsid w:val="004221F7"/>
    <w:rsid w:val="00423141"/>
    <w:rsid w:val="00423BA0"/>
    <w:rsid w:val="004247A6"/>
    <w:rsid w:val="00425206"/>
    <w:rsid w:val="00426617"/>
    <w:rsid w:val="00426A90"/>
    <w:rsid w:val="00426B52"/>
    <w:rsid w:val="004272FF"/>
    <w:rsid w:val="004274D2"/>
    <w:rsid w:val="004341A1"/>
    <w:rsid w:val="00434429"/>
    <w:rsid w:val="004362C1"/>
    <w:rsid w:val="0043648D"/>
    <w:rsid w:val="00437198"/>
    <w:rsid w:val="004373D1"/>
    <w:rsid w:val="00437F7F"/>
    <w:rsid w:val="00440726"/>
    <w:rsid w:val="00440755"/>
    <w:rsid w:val="00440D20"/>
    <w:rsid w:val="00440FAB"/>
    <w:rsid w:val="00441623"/>
    <w:rsid w:val="004417E0"/>
    <w:rsid w:val="00443640"/>
    <w:rsid w:val="00444B0E"/>
    <w:rsid w:val="00445AEC"/>
    <w:rsid w:val="00446FA7"/>
    <w:rsid w:val="004479D9"/>
    <w:rsid w:val="00451747"/>
    <w:rsid w:val="00451C99"/>
    <w:rsid w:val="00454049"/>
    <w:rsid w:val="00455A87"/>
    <w:rsid w:val="00456707"/>
    <w:rsid w:val="00456735"/>
    <w:rsid w:val="004600B4"/>
    <w:rsid w:val="00461399"/>
    <w:rsid w:val="00462586"/>
    <w:rsid w:val="0046284E"/>
    <w:rsid w:val="004641A1"/>
    <w:rsid w:val="004656A9"/>
    <w:rsid w:val="00466AE2"/>
    <w:rsid w:val="00470EBD"/>
    <w:rsid w:val="00471AE0"/>
    <w:rsid w:val="00471CD2"/>
    <w:rsid w:val="004735EA"/>
    <w:rsid w:val="00475E3A"/>
    <w:rsid w:val="00476F8A"/>
    <w:rsid w:val="0047731C"/>
    <w:rsid w:val="00477D03"/>
    <w:rsid w:val="00480DE8"/>
    <w:rsid w:val="0048178E"/>
    <w:rsid w:val="004819A9"/>
    <w:rsid w:val="00481ABF"/>
    <w:rsid w:val="004824BE"/>
    <w:rsid w:val="00482B81"/>
    <w:rsid w:val="00482FD2"/>
    <w:rsid w:val="00483521"/>
    <w:rsid w:val="00484B32"/>
    <w:rsid w:val="00484EB6"/>
    <w:rsid w:val="004853A7"/>
    <w:rsid w:val="004856F9"/>
    <w:rsid w:val="004862BC"/>
    <w:rsid w:val="00486B09"/>
    <w:rsid w:val="00490E31"/>
    <w:rsid w:val="00490E83"/>
    <w:rsid w:val="00490F56"/>
    <w:rsid w:val="004910E2"/>
    <w:rsid w:val="00491B28"/>
    <w:rsid w:val="004943D8"/>
    <w:rsid w:val="004954AD"/>
    <w:rsid w:val="00495565"/>
    <w:rsid w:val="00497111"/>
    <w:rsid w:val="00497AE8"/>
    <w:rsid w:val="004A0391"/>
    <w:rsid w:val="004A22B0"/>
    <w:rsid w:val="004A4EA3"/>
    <w:rsid w:val="004B0195"/>
    <w:rsid w:val="004B05B7"/>
    <w:rsid w:val="004B28D8"/>
    <w:rsid w:val="004B40CC"/>
    <w:rsid w:val="004B6F0B"/>
    <w:rsid w:val="004B713A"/>
    <w:rsid w:val="004C30BC"/>
    <w:rsid w:val="004C392C"/>
    <w:rsid w:val="004C3A56"/>
    <w:rsid w:val="004C5BEE"/>
    <w:rsid w:val="004C5D7C"/>
    <w:rsid w:val="004C5EC6"/>
    <w:rsid w:val="004C6702"/>
    <w:rsid w:val="004D0F1B"/>
    <w:rsid w:val="004D212C"/>
    <w:rsid w:val="004D22DD"/>
    <w:rsid w:val="004D27AE"/>
    <w:rsid w:val="004D28EE"/>
    <w:rsid w:val="004D2AF3"/>
    <w:rsid w:val="004D4BDA"/>
    <w:rsid w:val="004D51A5"/>
    <w:rsid w:val="004D73F3"/>
    <w:rsid w:val="004D775D"/>
    <w:rsid w:val="004D7993"/>
    <w:rsid w:val="004E31EC"/>
    <w:rsid w:val="004E365D"/>
    <w:rsid w:val="004E38C1"/>
    <w:rsid w:val="004E3923"/>
    <w:rsid w:val="004E39AC"/>
    <w:rsid w:val="004E51B1"/>
    <w:rsid w:val="004E73A8"/>
    <w:rsid w:val="004E7A72"/>
    <w:rsid w:val="004F04EB"/>
    <w:rsid w:val="004F074C"/>
    <w:rsid w:val="004F1459"/>
    <w:rsid w:val="004F148E"/>
    <w:rsid w:val="004F1BB5"/>
    <w:rsid w:val="004F2F67"/>
    <w:rsid w:val="004F338D"/>
    <w:rsid w:val="004F3D1E"/>
    <w:rsid w:val="004F3D6A"/>
    <w:rsid w:val="004F4084"/>
    <w:rsid w:val="004F419F"/>
    <w:rsid w:val="004F4239"/>
    <w:rsid w:val="004F49A8"/>
    <w:rsid w:val="004F549F"/>
    <w:rsid w:val="004F56F6"/>
    <w:rsid w:val="004F60B2"/>
    <w:rsid w:val="004F630C"/>
    <w:rsid w:val="004F702B"/>
    <w:rsid w:val="0050099A"/>
    <w:rsid w:val="005027B6"/>
    <w:rsid w:val="0050329D"/>
    <w:rsid w:val="00503C12"/>
    <w:rsid w:val="005062FF"/>
    <w:rsid w:val="00506812"/>
    <w:rsid w:val="00510142"/>
    <w:rsid w:val="00510F30"/>
    <w:rsid w:val="005117C9"/>
    <w:rsid w:val="00511B6E"/>
    <w:rsid w:val="00511BB9"/>
    <w:rsid w:val="00514499"/>
    <w:rsid w:val="005149DA"/>
    <w:rsid w:val="005155C0"/>
    <w:rsid w:val="0051751F"/>
    <w:rsid w:val="00517E1A"/>
    <w:rsid w:val="00517EE4"/>
    <w:rsid w:val="00517F9D"/>
    <w:rsid w:val="00520331"/>
    <w:rsid w:val="00520C83"/>
    <w:rsid w:val="00521DC2"/>
    <w:rsid w:val="0052271C"/>
    <w:rsid w:val="00523189"/>
    <w:rsid w:val="005253AA"/>
    <w:rsid w:val="0052667F"/>
    <w:rsid w:val="005303D6"/>
    <w:rsid w:val="00532013"/>
    <w:rsid w:val="00532CF5"/>
    <w:rsid w:val="00533F20"/>
    <w:rsid w:val="005343B2"/>
    <w:rsid w:val="00543B93"/>
    <w:rsid w:val="00543E11"/>
    <w:rsid w:val="00543E95"/>
    <w:rsid w:val="0054747F"/>
    <w:rsid w:val="0054778C"/>
    <w:rsid w:val="005477C7"/>
    <w:rsid w:val="0055013A"/>
    <w:rsid w:val="00552349"/>
    <w:rsid w:val="00556458"/>
    <w:rsid w:val="005610BC"/>
    <w:rsid w:val="00562488"/>
    <w:rsid w:val="00563474"/>
    <w:rsid w:val="00564C48"/>
    <w:rsid w:val="00564E42"/>
    <w:rsid w:val="00565C5E"/>
    <w:rsid w:val="00566BD7"/>
    <w:rsid w:val="005673C4"/>
    <w:rsid w:val="0057027F"/>
    <w:rsid w:val="00570A82"/>
    <w:rsid w:val="005711A2"/>
    <w:rsid w:val="00571C1B"/>
    <w:rsid w:val="005735A0"/>
    <w:rsid w:val="00573B4E"/>
    <w:rsid w:val="00574D7F"/>
    <w:rsid w:val="005752BE"/>
    <w:rsid w:val="00575CE0"/>
    <w:rsid w:val="00576F3D"/>
    <w:rsid w:val="00581637"/>
    <w:rsid w:val="0058190E"/>
    <w:rsid w:val="00581BAD"/>
    <w:rsid w:val="00582DA8"/>
    <w:rsid w:val="00585AE4"/>
    <w:rsid w:val="00585CB5"/>
    <w:rsid w:val="00585EDC"/>
    <w:rsid w:val="005867C0"/>
    <w:rsid w:val="0059197B"/>
    <w:rsid w:val="0059332A"/>
    <w:rsid w:val="005944B3"/>
    <w:rsid w:val="005958E2"/>
    <w:rsid w:val="00596491"/>
    <w:rsid w:val="005968F8"/>
    <w:rsid w:val="00596E7E"/>
    <w:rsid w:val="0059750C"/>
    <w:rsid w:val="0059782B"/>
    <w:rsid w:val="005A00E6"/>
    <w:rsid w:val="005A126F"/>
    <w:rsid w:val="005A1AE1"/>
    <w:rsid w:val="005A1D27"/>
    <w:rsid w:val="005A2984"/>
    <w:rsid w:val="005A3C2E"/>
    <w:rsid w:val="005A4625"/>
    <w:rsid w:val="005A54BF"/>
    <w:rsid w:val="005A6B87"/>
    <w:rsid w:val="005A7F54"/>
    <w:rsid w:val="005B4446"/>
    <w:rsid w:val="005B4804"/>
    <w:rsid w:val="005B4AFB"/>
    <w:rsid w:val="005B5BEB"/>
    <w:rsid w:val="005B7848"/>
    <w:rsid w:val="005B7EBC"/>
    <w:rsid w:val="005C07CE"/>
    <w:rsid w:val="005C12C2"/>
    <w:rsid w:val="005C150B"/>
    <w:rsid w:val="005C1A1F"/>
    <w:rsid w:val="005C3C13"/>
    <w:rsid w:val="005C5844"/>
    <w:rsid w:val="005C7DE6"/>
    <w:rsid w:val="005D0DD5"/>
    <w:rsid w:val="005D1BB9"/>
    <w:rsid w:val="005D3534"/>
    <w:rsid w:val="005D35CC"/>
    <w:rsid w:val="005D382D"/>
    <w:rsid w:val="005D3AD0"/>
    <w:rsid w:val="005D4C61"/>
    <w:rsid w:val="005D59DC"/>
    <w:rsid w:val="005D74B9"/>
    <w:rsid w:val="005E0281"/>
    <w:rsid w:val="005E2E69"/>
    <w:rsid w:val="005E30F4"/>
    <w:rsid w:val="005E345F"/>
    <w:rsid w:val="005E410F"/>
    <w:rsid w:val="005E58D3"/>
    <w:rsid w:val="005E5A6D"/>
    <w:rsid w:val="005E6846"/>
    <w:rsid w:val="005E76BE"/>
    <w:rsid w:val="005F039E"/>
    <w:rsid w:val="005F08C7"/>
    <w:rsid w:val="005F103D"/>
    <w:rsid w:val="005F119B"/>
    <w:rsid w:val="005F135F"/>
    <w:rsid w:val="005F16AF"/>
    <w:rsid w:val="005F3703"/>
    <w:rsid w:val="005F37E1"/>
    <w:rsid w:val="005F3D4B"/>
    <w:rsid w:val="005F4698"/>
    <w:rsid w:val="005F4FCE"/>
    <w:rsid w:val="005F5986"/>
    <w:rsid w:val="005F5BAF"/>
    <w:rsid w:val="005F7276"/>
    <w:rsid w:val="005F78AA"/>
    <w:rsid w:val="0060133F"/>
    <w:rsid w:val="00601FFD"/>
    <w:rsid w:val="006022F8"/>
    <w:rsid w:val="00602508"/>
    <w:rsid w:val="00603A6A"/>
    <w:rsid w:val="00605ED3"/>
    <w:rsid w:val="006075AB"/>
    <w:rsid w:val="006107B5"/>
    <w:rsid w:val="006116D0"/>
    <w:rsid w:val="006148B7"/>
    <w:rsid w:val="00614F05"/>
    <w:rsid w:val="0061669C"/>
    <w:rsid w:val="00616B90"/>
    <w:rsid w:val="00616BC8"/>
    <w:rsid w:val="00623635"/>
    <w:rsid w:val="00623DE6"/>
    <w:rsid w:val="00624EA7"/>
    <w:rsid w:val="00625091"/>
    <w:rsid w:val="00625822"/>
    <w:rsid w:val="00625BEB"/>
    <w:rsid w:val="00627993"/>
    <w:rsid w:val="00627B33"/>
    <w:rsid w:val="00632334"/>
    <w:rsid w:val="006328ED"/>
    <w:rsid w:val="00634A76"/>
    <w:rsid w:val="00636D0E"/>
    <w:rsid w:val="0063748D"/>
    <w:rsid w:val="00637731"/>
    <w:rsid w:val="006402F4"/>
    <w:rsid w:val="00641688"/>
    <w:rsid w:val="00641CF6"/>
    <w:rsid w:val="00641ED4"/>
    <w:rsid w:val="00641FA5"/>
    <w:rsid w:val="0064344D"/>
    <w:rsid w:val="00643DDB"/>
    <w:rsid w:val="00644535"/>
    <w:rsid w:val="00644BF9"/>
    <w:rsid w:val="0064644C"/>
    <w:rsid w:val="00650F45"/>
    <w:rsid w:val="00651238"/>
    <w:rsid w:val="00651535"/>
    <w:rsid w:val="006519B2"/>
    <w:rsid w:val="00651D9B"/>
    <w:rsid w:val="00653FF5"/>
    <w:rsid w:val="00655A1F"/>
    <w:rsid w:val="00657383"/>
    <w:rsid w:val="006602BE"/>
    <w:rsid w:val="00660803"/>
    <w:rsid w:val="00660E4B"/>
    <w:rsid w:val="00661687"/>
    <w:rsid w:val="00662A48"/>
    <w:rsid w:val="006640D5"/>
    <w:rsid w:val="006641F7"/>
    <w:rsid w:val="00665726"/>
    <w:rsid w:val="00665938"/>
    <w:rsid w:val="00665D12"/>
    <w:rsid w:val="006661F1"/>
    <w:rsid w:val="0066665C"/>
    <w:rsid w:val="00666F26"/>
    <w:rsid w:val="00667740"/>
    <w:rsid w:val="00667AD7"/>
    <w:rsid w:val="00667C44"/>
    <w:rsid w:val="00670A26"/>
    <w:rsid w:val="00671A95"/>
    <w:rsid w:val="00672E57"/>
    <w:rsid w:val="00673039"/>
    <w:rsid w:val="00673DA1"/>
    <w:rsid w:val="006751FC"/>
    <w:rsid w:val="00675B5B"/>
    <w:rsid w:val="00675F04"/>
    <w:rsid w:val="006763A0"/>
    <w:rsid w:val="00677436"/>
    <w:rsid w:val="00682D93"/>
    <w:rsid w:val="00682DB6"/>
    <w:rsid w:val="00682E87"/>
    <w:rsid w:val="00684C8E"/>
    <w:rsid w:val="006853D0"/>
    <w:rsid w:val="006871BB"/>
    <w:rsid w:val="00687A7F"/>
    <w:rsid w:val="00687C09"/>
    <w:rsid w:val="00687DFA"/>
    <w:rsid w:val="00691067"/>
    <w:rsid w:val="0069111B"/>
    <w:rsid w:val="006914FB"/>
    <w:rsid w:val="00693909"/>
    <w:rsid w:val="00694438"/>
    <w:rsid w:val="00696673"/>
    <w:rsid w:val="00696C48"/>
    <w:rsid w:val="00697219"/>
    <w:rsid w:val="00697A55"/>
    <w:rsid w:val="006A040B"/>
    <w:rsid w:val="006A13EA"/>
    <w:rsid w:val="006A1CA9"/>
    <w:rsid w:val="006A47C9"/>
    <w:rsid w:val="006A54AF"/>
    <w:rsid w:val="006A5CAD"/>
    <w:rsid w:val="006A708B"/>
    <w:rsid w:val="006B0723"/>
    <w:rsid w:val="006B0BDC"/>
    <w:rsid w:val="006B16B4"/>
    <w:rsid w:val="006B1DC2"/>
    <w:rsid w:val="006B369C"/>
    <w:rsid w:val="006B6F38"/>
    <w:rsid w:val="006B713E"/>
    <w:rsid w:val="006B7457"/>
    <w:rsid w:val="006C0223"/>
    <w:rsid w:val="006C5D60"/>
    <w:rsid w:val="006C6769"/>
    <w:rsid w:val="006C7689"/>
    <w:rsid w:val="006C7E12"/>
    <w:rsid w:val="006D006C"/>
    <w:rsid w:val="006D0403"/>
    <w:rsid w:val="006D05AF"/>
    <w:rsid w:val="006D0D7C"/>
    <w:rsid w:val="006D1167"/>
    <w:rsid w:val="006D174D"/>
    <w:rsid w:val="006D225E"/>
    <w:rsid w:val="006D3C2F"/>
    <w:rsid w:val="006D3F06"/>
    <w:rsid w:val="006D491A"/>
    <w:rsid w:val="006D4A53"/>
    <w:rsid w:val="006D6CFD"/>
    <w:rsid w:val="006D7B2C"/>
    <w:rsid w:val="006E1CD1"/>
    <w:rsid w:val="006E2856"/>
    <w:rsid w:val="006E2BF0"/>
    <w:rsid w:val="006E3B0F"/>
    <w:rsid w:val="006E5899"/>
    <w:rsid w:val="006E601B"/>
    <w:rsid w:val="006E7219"/>
    <w:rsid w:val="006E73C0"/>
    <w:rsid w:val="006E7937"/>
    <w:rsid w:val="006F09F2"/>
    <w:rsid w:val="006F12E1"/>
    <w:rsid w:val="006F187A"/>
    <w:rsid w:val="006F1B21"/>
    <w:rsid w:val="006F1D4F"/>
    <w:rsid w:val="006F2088"/>
    <w:rsid w:val="006F35C9"/>
    <w:rsid w:val="006F404B"/>
    <w:rsid w:val="006F6A64"/>
    <w:rsid w:val="006F75A6"/>
    <w:rsid w:val="00701B57"/>
    <w:rsid w:val="00701B93"/>
    <w:rsid w:val="00702111"/>
    <w:rsid w:val="0070231A"/>
    <w:rsid w:val="00702AE9"/>
    <w:rsid w:val="0070418D"/>
    <w:rsid w:val="00704A33"/>
    <w:rsid w:val="00705BDB"/>
    <w:rsid w:val="0070621F"/>
    <w:rsid w:val="0070657A"/>
    <w:rsid w:val="007065C6"/>
    <w:rsid w:val="007067AC"/>
    <w:rsid w:val="0070716E"/>
    <w:rsid w:val="00707EB3"/>
    <w:rsid w:val="0071079C"/>
    <w:rsid w:val="00710899"/>
    <w:rsid w:val="00710DD6"/>
    <w:rsid w:val="00711488"/>
    <w:rsid w:val="0071189C"/>
    <w:rsid w:val="00712815"/>
    <w:rsid w:val="00713390"/>
    <w:rsid w:val="00713B31"/>
    <w:rsid w:val="00713FD3"/>
    <w:rsid w:val="00714BD7"/>
    <w:rsid w:val="00714F93"/>
    <w:rsid w:val="00716151"/>
    <w:rsid w:val="00717806"/>
    <w:rsid w:val="00717C62"/>
    <w:rsid w:val="00717DA4"/>
    <w:rsid w:val="00721877"/>
    <w:rsid w:val="00722347"/>
    <w:rsid w:val="00722386"/>
    <w:rsid w:val="00722881"/>
    <w:rsid w:val="00722EC1"/>
    <w:rsid w:val="00724781"/>
    <w:rsid w:val="007248CE"/>
    <w:rsid w:val="00724903"/>
    <w:rsid w:val="00724B91"/>
    <w:rsid w:val="00724C77"/>
    <w:rsid w:val="00724E09"/>
    <w:rsid w:val="00726818"/>
    <w:rsid w:val="00727CA2"/>
    <w:rsid w:val="007305BC"/>
    <w:rsid w:val="00730A01"/>
    <w:rsid w:val="00731A39"/>
    <w:rsid w:val="0073252D"/>
    <w:rsid w:val="00734BB3"/>
    <w:rsid w:val="00735411"/>
    <w:rsid w:val="0073571A"/>
    <w:rsid w:val="00735963"/>
    <w:rsid w:val="007374E2"/>
    <w:rsid w:val="00737B9F"/>
    <w:rsid w:val="007427DB"/>
    <w:rsid w:val="007438B1"/>
    <w:rsid w:val="00743904"/>
    <w:rsid w:val="0074390A"/>
    <w:rsid w:val="00743A53"/>
    <w:rsid w:val="00744131"/>
    <w:rsid w:val="00744322"/>
    <w:rsid w:val="00744D19"/>
    <w:rsid w:val="00745337"/>
    <w:rsid w:val="0074598F"/>
    <w:rsid w:val="007459B9"/>
    <w:rsid w:val="00745CE2"/>
    <w:rsid w:val="007466E7"/>
    <w:rsid w:val="007470C0"/>
    <w:rsid w:val="00747BFB"/>
    <w:rsid w:val="00750721"/>
    <w:rsid w:val="007520DA"/>
    <w:rsid w:val="00752362"/>
    <w:rsid w:val="00752574"/>
    <w:rsid w:val="00752763"/>
    <w:rsid w:val="007538F7"/>
    <w:rsid w:val="00754921"/>
    <w:rsid w:val="00754BA8"/>
    <w:rsid w:val="0075604D"/>
    <w:rsid w:val="00756DC3"/>
    <w:rsid w:val="00760D45"/>
    <w:rsid w:val="00762644"/>
    <w:rsid w:val="00763678"/>
    <w:rsid w:val="00764C74"/>
    <w:rsid w:val="00765A54"/>
    <w:rsid w:val="00767070"/>
    <w:rsid w:val="00767701"/>
    <w:rsid w:val="007679BD"/>
    <w:rsid w:val="00767F3D"/>
    <w:rsid w:val="00770E06"/>
    <w:rsid w:val="00770F06"/>
    <w:rsid w:val="007717A8"/>
    <w:rsid w:val="00771AC1"/>
    <w:rsid w:val="00772CFF"/>
    <w:rsid w:val="00773161"/>
    <w:rsid w:val="007741F6"/>
    <w:rsid w:val="00775CED"/>
    <w:rsid w:val="007800F2"/>
    <w:rsid w:val="007804B1"/>
    <w:rsid w:val="0078175F"/>
    <w:rsid w:val="0078217D"/>
    <w:rsid w:val="00782F03"/>
    <w:rsid w:val="00783837"/>
    <w:rsid w:val="0078504C"/>
    <w:rsid w:val="00785170"/>
    <w:rsid w:val="00785DCA"/>
    <w:rsid w:val="007865BB"/>
    <w:rsid w:val="007871A5"/>
    <w:rsid w:val="00790180"/>
    <w:rsid w:val="00790365"/>
    <w:rsid w:val="00792F02"/>
    <w:rsid w:val="007930AC"/>
    <w:rsid w:val="0079430C"/>
    <w:rsid w:val="00794DF0"/>
    <w:rsid w:val="007955F2"/>
    <w:rsid w:val="00796A55"/>
    <w:rsid w:val="007A0BD5"/>
    <w:rsid w:val="007A0DA3"/>
    <w:rsid w:val="007A336E"/>
    <w:rsid w:val="007A357C"/>
    <w:rsid w:val="007A4358"/>
    <w:rsid w:val="007A5362"/>
    <w:rsid w:val="007A61F2"/>
    <w:rsid w:val="007A673B"/>
    <w:rsid w:val="007A71E5"/>
    <w:rsid w:val="007A73B2"/>
    <w:rsid w:val="007A7443"/>
    <w:rsid w:val="007B0707"/>
    <w:rsid w:val="007B0E7C"/>
    <w:rsid w:val="007B2269"/>
    <w:rsid w:val="007B24B7"/>
    <w:rsid w:val="007B36A8"/>
    <w:rsid w:val="007B36DE"/>
    <w:rsid w:val="007B5031"/>
    <w:rsid w:val="007B5B7D"/>
    <w:rsid w:val="007B659A"/>
    <w:rsid w:val="007C1DA2"/>
    <w:rsid w:val="007C2875"/>
    <w:rsid w:val="007C2BC0"/>
    <w:rsid w:val="007C4AE9"/>
    <w:rsid w:val="007C55FC"/>
    <w:rsid w:val="007C735E"/>
    <w:rsid w:val="007C7949"/>
    <w:rsid w:val="007D0884"/>
    <w:rsid w:val="007D1671"/>
    <w:rsid w:val="007D21F8"/>
    <w:rsid w:val="007D28AE"/>
    <w:rsid w:val="007D52DF"/>
    <w:rsid w:val="007D542C"/>
    <w:rsid w:val="007D542D"/>
    <w:rsid w:val="007D55CA"/>
    <w:rsid w:val="007D5608"/>
    <w:rsid w:val="007D5BCE"/>
    <w:rsid w:val="007D686D"/>
    <w:rsid w:val="007D70A8"/>
    <w:rsid w:val="007E0164"/>
    <w:rsid w:val="007E12A7"/>
    <w:rsid w:val="007E2BE8"/>
    <w:rsid w:val="007E3504"/>
    <w:rsid w:val="007E3F5B"/>
    <w:rsid w:val="007E43B6"/>
    <w:rsid w:val="007E65CD"/>
    <w:rsid w:val="007E7265"/>
    <w:rsid w:val="007E7C5C"/>
    <w:rsid w:val="007E7EEF"/>
    <w:rsid w:val="007E7FE2"/>
    <w:rsid w:val="007F019A"/>
    <w:rsid w:val="007F0A3E"/>
    <w:rsid w:val="007F0EAA"/>
    <w:rsid w:val="007F2602"/>
    <w:rsid w:val="007F2834"/>
    <w:rsid w:val="007F2B4E"/>
    <w:rsid w:val="007F4500"/>
    <w:rsid w:val="007F46A8"/>
    <w:rsid w:val="007F49CA"/>
    <w:rsid w:val="007F5740"/>
    <w:rsid w:val="008012AB"/>
    <w:rsid w:val="00801C19"/>
    <w:rsid w:val="00801D66"/>
    <w:rsid w:val="00801FC0"/>
    <w:rsid w:val="00802A1C"/>
    <w:rsid w:val="008038D0"/>
    <w:rsid w:val="008050EC"/>
    <w:rsid w:val="00805F24"/>
    <w:rsid w:val="0080742D"/>
    <w:rsid w:val="0081069E"/>
    <w:rsid w:val="0081074C"/>
    <w:rsid w:val="00811BEC"/>
    <w:rsid w:val="00811DFD"/>
    <w:rsid w:val="00812C60"/>
    <w:rsid w:val="0081452D"/>
    <w:rsid w:val="008149AB"/>
    <w:rsid w:val="00815670"/>
    <w:rsid w:val="00816304"/>
    <w:rsid w:val="00816F7D"/>
    <w:rsid w:val="00817C8D"/>
    <w:rsid w:val="00817ED9"/>
    <w:rsid w:val="00820797"/>
    <w:rsid w:val="00821375"/>
    <w:rsid w:val="008224ED"/>
    <w:rsid w:val="00822BA1"/>
    <w:rsid w:val="00824997"/>
    <w:rsid w:val="00824C80"/>
    <w:rsid w:val="0082525F"/>
    <w:rsid w:val="00825425"/>
    <w:rsid w:val="0082664D"/>
    <w:rsid w:val="00830A3A"/>
    <w:rsid w:val="008311FB"/>
    <w:rsid w:val="00831314"/>
    <w:rsid w:val="00831802"/>
    <w:rsid w:val="00832164"/>
    <w:rsid w:val="0083276A"/>
    <w:rsid w:val="008330E5"/>
    <w:rsid w:val="00833D24"/>
    <w:rsid w:val="00841639"/>
    <w:rsid w:val="00841E22"/>
    <w:rsid w:val="00842CCC"/>
    <w:rsid w:val="008452A6"/>
    <w:rsid w:val="008459B2"/>
    <w:rsid w:val="00847108"/>
    <w:rsid w:val="008473BC"/>
    <w:rsid w:val="008473EE"/>
    <w:rsid w:val="00847E7A"/>
    <w:rsid w:val="00851064"/>
    <w:rsid w:val="00851F85"/>
    <w:rsid w:val="00852ADD"/>
    <w:rsid w:val="0085381D"/>
    <w:rsid w:val="008539BE"/>
    <w:rsid w:val="00853B96"/>
    <w:rsid w:val="00854B62"/>
    <w:rsid w:val="00854CD2"/>
    <w:rsid w:val="0085754C"/>
    <w:rsid w:val="00860F48"/>
    <w:rsid w:val="00861305"/>
    <w:rsid w:val="00861348"/>
    <w:rsid w:val="00861657"/>
    <w:rsid w:val="00861C32"/>
    <w:rsid w:val="00861E05"/>
    <w:rsid w:val="0086381C"/>
    <w:rsid w:val="00864495"/>
    <w:rsid w:val="008650C7"/>
    <w:rsid w:val="00865C16"/>
    <w:rsid w:val="008661B6"/>
    <w:rsid w:val="0086662F"/>
    <w:rsid w:val="00866B40"/>
    <w:rsid w:val="00867119"/>
    <w:rsid w:val="00867BCA"/>
    <w:rsid w:val="00867EA0"/>
    <w:rsid w:val="008708E0"/>
    <w:rsid w:val="00872410"/>
    <w:rsid w:val="00872DBC"/>
    <w:rsid w:val="00872EB6"/>
    <w:rsid w:val="0087481E"/>
    <w:rsid w:val="00874A8D"/>
    <w:rsid w:val="0087568A"/>
    <w:rsid w:val="0087587E"/>
    <w:rsid w:val="008767C8"/>
    <w:rsid w:val="008769FB"/>
    <w:rsid w:val="0087746D"/>
    <w:rsid w:val="00880143"/>
    <w:rsid w:val="008804F0"/>
    <w:rsid w:val="008807C7"/>
    <w:rsid w:val="00880FC5"/>
    <w:rsid w:val="0088180F"/>
    <w:rsid w:val="00882840"/>
    <w:rsid w:val="0088418E"/>
    <w:rsid w:val="008842F3"/>
    <w:rsid w:val="00885C66"/>
    <w:rsid w:val="00886AEF"/>
    <w:rsid w:val="00887922"/>
    <w:rsid w:val="00887951"/>
    <w:rsid w:val="00890E5E"/>
    <w:rsid w:val="00892368"/>
    <w:rsid w:val="00892401"/>
    <w:rsid w:val="00892FDB"/>
    <w:rsid w:val="0089372C"/>
    <w:rsid w:val="00893C6F"/>
    <w:rsid w:val="00893CCC"/>
    <w:rsid w:val="00895167"/>
    <w:rsid w:val="008956AA"/>
    <w:rsid w:val="00897C90"/>
    <w:rsid w:val="008A3A78"/>
    <w:rsid w:val="008A513B"/>
    <w:rsid w:val="008A5900"/>
    <w:rsid w:val="008A5EDE"/>
    <w:rsid w:val="008A625B"/>
    <w:rsid w:val="008A6ADC"/>
    <w:rsid w:val="008A78C2"/>
    <w:rsid w:val="008B2B45"/>
    <w:rsid w:val="008B32CA"/>
    <w:rsid w:val="008B3A11"/>
    <w:rsid w:val="008B3CA2"/>
    <w:rsid w:val="008B3DB4"/>
    <w:rsid w:val="008B42FC"/>
    <w:rsid w:val="008B4555"/>
    <w:rsid w:val="008B4D20"/>
    <w:rsid w:val="008B52AD"/>
    <w:rsid w:val="008B57FE"/>
    <w:rsid w:val="008B77B8"/>
    <w:rsid w:val="008C165C"/>
    <w:rsid w:val="008C22BD"/>
    <w:rsid w:val="008C4299"/>
    <w:rsid w:val="008C528C"/>
    <w:rsid w:val="008C6D3F"/>
    <w:rsid w:val="008C7183"/>
    <w:rsid w:val="008D0CE5"/>
    <w:rsid w:val="008D1623"/>
    <w:rsid w:val="008D1C8A"/>
    <w:rsid w:val="008D5C54"/>
    <w:rsid w:val="008D6778"/>
    <w:rsid w:val="008D69BD"/>
    <w:rsid w:val="008D7525"/>
    <w:rsid w:val="008D78AA"/>
    <w:rsid w:val="008E055E"/>
    <w:rsid w:val="008E15E2"/>
    <w:rsid w:val="008E21A3"/>
    <w:rsid w:val="008E454B"/>
    <w:rsid w:val="008E4744"/>
    <w:rsid w:val="008E47D0"/>
    <w:rsid w:val="008E5DDE"/>
    <w:rsid w:val="008F08D7"/>
    <w:rsid w:val="008F0B1D"/>
    <w:rsid w:val="008F0D67"/>
    <w:rsid w:val="008F2ED1"/>
    <w:rsid w:val="008F2F17"/>
    <w:rsid w:val="008F361E"/>
    <w:rsid w:val="008F3EA1"/>
    <w:rsid w:val="008F67E3"/>
    <w:rsid w:val="008F73B3"/>
    <w:rsid w:val="008F75DC"/>
    <w:rsid w:val="00901AE6"/>
    <w:rsid w:val="009030A7"/>
    <w:rsid w:val="0090369B"/>
    <w:rsid w:val="0090408B"/>
    <w:rsid w:val="00904098"/>
    <w:rsid w:val="00904298"/>
    <w:rsid w:val="00904784"/>
    <w:rsid w:val="00904DA0"/>
    <w:rsid w:val="00905A2E"/>
    <w:rsid w:val="00905DB8"/>
    <w:rsid w:val="00907662"/>
    <w:rsid w:val="009107A9"/>
    <w:rsid w:val="00910F3F"/>
    <w:rsid w:val="0091100F"/>
    <w:rsid w:val="009113EE"/>
    <w:rsid w:val="0091181D"/>
    <w:rsid w:val="00911CB4"/>
    <w:rsid w:val="00911D87"/>
    <w:rsid w:val="00913068"/>
    <w:rsid w:val="00913108"/>
    <w:rsid w:val="00915DCC"/>
    <w:rsid w:val="00915EBD"/>
    <w:rsid w:val="00916672"/>
    <w:rsid w:val="0092012F"/>
    <w:rsid w:val="00920BFB"/>
    <w:rsid w:val="009218D3"/>
    <w:rsid w:val="00921CB6"/>
    <w:rsid w:val="00922EB1"/>
    <w:rsid w:val="00923D60"/>
    <w:rsid w:val="00924C5E"/>
    <w:rsid w:val="00925619"/>
    <w:rsid w:val="00926296"/>
    <w:rsid w:val="00927DE6"/>
    <w:rsid w:val="009306D8"/>
    <w:rsid w:val="009309D8"/>
    <w:rsid w:val="009316C9"/>
    <w:rsid w:val="00931A4A"/>
    <w:rsid w:val="00933D25"/>
    <w:rsid w:val="0093582F"/>
    <w:rsid w:val="00935A25"/>
    <w:rsid w:val="00936125"/>
    <w:rsid w:val="00936E59"/>
    <w:rsid w:val="0093794E"/>
    <w:rsid w:val="009409E7"/>
    <w:rsid w:val="00940A87"/>
    <w:rsid w:val="00941610"/>
    <w:rsid w:val="00941633"/>
    <w:rsid w:val="00941B6E"/>
    <w:rsid w:val="00943427"/>
    <w:rsid w:val="0094421B"/>
    <w:rsid w:val="0094494A"/>
    <w:rsid w:val="00944E78"/>
    <w:rsid w:val="009461B4"/>
    <w:rsid w:val="00947B64"/>
    <w:rsid w:val="009505C3"/>
    <w:rsid w:val="00950F5C"/>
    <w:rsid w:val="00951A27"/>
    <w:rsid w:val="00951C43"/>
    <w:rsid w:val="00955A93"/>
    <w:rsid w:val="00956E22"/>
    <w:rsid w:val="00960B97"/>
    <w:rsid w:val="00961265"/>
    <w:rsid w:val="00961E0B"/>
    <w:rsid w:val="00963937"/>
    <w:rsid w:val="00963C82"/>
    <w:rsid w:val="009649F5"/>
    <w:rsid w:val="00964F0A"/>
    <w:rsid w:val="00966413"/>
    <w:rsid w:val="009719D2"/>
    <w:rsid w:val="009723BC"/>
    <w:rsid w:val="00972479"/>
    <w:rsid w:val="0097249C"/>
    <w:rsid w:val="0097308D"/>
    <w:rsid w:val="009732E2"/>
    <w:rsid w:val="00973DD1"/>
    <w:rsid w:val="009754AD"/>
    <w:rsid w:val="00975A81"/>
    <w:rsid w:val="00975EB0"/>
    <w:rsid w:val="00976B69"/>
    <w:rsid w:val="00977081"/>
    <w:rsid w:val="00977B69"/>
    <w:rsid w:val="00977E9F"/>
    <w:rsid w:val="009801D6"/>
    <w:rsid w:val="00981241"/>
    <w:rsid w:val="00982207"/>
    <w:rsid w:val="00982801"/>
    <w:rsid w:val="00984586"/>
    <w:rsid w:val="009859F6"/>
    <w:rsid w:val="009878C5"/>
    <w:rsid w:val="0099127B"/>
    <w:rsid w:val="009912A7"/>
    <w:rsid w:val="00992AF7"/>
    <w:rsid w:val="00992BA2"/>
    <w:rsid w:val="00993212"/>
    <w:rsid w:val="009940EB"/>
    <w:rsid w:val="00994F01"/>
    <w:rsid w:val="009953E8"/>
    <w:rsid w:val="00995781"/>
    <w:rsid w:val="00997CB4"/>
    <w:rsid w:val="009A0E85"/>
    <w:rsid w:val="009A18DC"/>
    <w:rsid w:val="009A1C0E"/>
    <w:rsid w:val="009A2381"/>
    <w:rsid w:val="009A25C9"/>
    <w:rsid w:val="009A26C6"/>
    <w:rsid w:val="009A2725"/>
    <w:rsid w:val="009A27FC"/>
    <w:rsid w:val="009A338B"/>
    <w:rsid w:val="009A4123"/>
    <w:rsid w:val="009A596E"/>
    <w:rsid w:val="009A6C8D"/>
    <w:rsid w:val="009A6D22"/>
    <w:rsid w:val="009A7731"/>
    <w:rsid w:val="009A7A97"/>
    <w:rsid w:val="009A7D85"/>
    <w:rsid w:val="009B06AB"/>
    <w:rsid w:val="009B0730"/>
    <w:rsid w:val="009B0D12"/>
    <w:rsid w:val="009B242B"/>
    <w:rsid w:val="009B30FF"/>
    <w:rsid w:val="009B5B9C"/>
    <w:rsid w:val="009B69E1"/>
    <w:rsid w:val="009B7188"/>
    <w:rsid w:val="009C00EF"/>
    <w:rsid w:val="009C0330"/>
    <w:rsid w:val="009C0E17"/>
    <w:rsid w:val="009C1714"/>
    <w:rsid w:val="009C1B8B"/>
    <w:rsid w:val="009C2C7A"/>
    <w:rsid w:val="009C3461"/>
    <w:rsid w:val="009C390C"/>
    <w:rsid w:val="009C421D"/>
    <w:rsid w:val="009C4CE3"/>
    <w:rsid w:val="009C5761"/>
    <w:rsid w:val="009C591A"/>
    <w:rsid w:val="009C618A"/>
    <w:rsid w:val="009C66E5"/>
    <w:rsid w:val="009C743C"/>
    <w:rsid w:val="009C7615"/>
    <w:rsid w:val="009C78A4"/>
    <w:rsid w:val="009C7A49"/>
    <w:rsid w:val="009C7CE3"/>
    <w:rsid w:val="009D029E"/>
    <w:rsid w:val="009D046D"/>
    <w:rsid w:val="009D1054"/>
    <w:rsid w:val="009D2580"/>
    <w:rsid w:val="009D2B95"/>
    <w:rsid w:val="009D5148"/>
    <w:rsid w:val="009D60DD"/>
    <w:rsid w:val="009D7B2B"/>
    <w:rsid w:val="009E069B"/>
    <w:rsid w:val="009E1AD0"/>
    <w:rsid w:val="009E2560"/>
    <w:rsid w:val="009E2CF4"/>
    <w:rsid w:val="009E3079"/>
    <w:rsid w:val="009E354C"/>
    <w:rsid w:val="009E40F9"/>
    <w:rsid w:val="009E5086"/>
    <w:rsid w:val="009E51F4"/>
    <w:rsid w:val="009E530E"/>
    <w:rsid w:val="009E630F"/>
    <w:rsid w:val="009E66C6"/>
    <w:rsid w:val="009E704E"/>
    <w:rsid w:val="009E72A6"/>
    <w:rsid w:val="009E73ED"/>
    <w:rsid w:val="009E7F57"/>
    <w:rsid w:val="009F1686"/>
    <w:rsid w:val="009F2A23"/>
    <w:rsid w:val="009F3087"/>
    <w:rsid w:val="009F32CC"/>
    <w:rsid w:val="009F47F6"/>
    <w:rsid w:val="009F5323"/>
    <w:rsid w:val="009F5A44"/>
    <w:rsid w:val="009F640F"/>
    <w:rsid w:val="009F7834"/>
    <w:rsid w:val="00A00E4D"/>
    <w:rsid w:val="00A011B0"/>
    <w:rsid w:val="00A01327"/>
    <w:rsid w:val="00A01EE3"/>
    <w:rsid w:val="00A02596"/>
    <w:rsid w:val="00A02F91"/>
    <w:rsid w:val="00A038DC"/>
    <w:rsid w:val="00A03F53"/>
    <w:rsid w:val="00A040C9"/>
    <w:rsid w:val="00A05851"/>
    <w:rsid w:val="00A06831"/>
    <w:rsid w:val="00A06B69"/>
    <w:rsid w:val="00A06DFC"/>
    <w:rsid w:val="00A07C41"/>
    <w:rsid w:val="00A102E2"/>
    <w:rsid w:val="00A11321"/>
    <w:rsid w:val="00A11631"/>
    <w:rsid w:val="00A13B42"/>
    <w:rsid w:val="00A14270"/>
    <w:rsid w:val="00A149B0"/>
    <w:rsid w:val="00A15722"/>
    <w:rsid w:val="00A1631F"/>
    <w:rsid w:val="00A21240"/>
    <w:rsid w:val="00A21BAC"/>
    <w:rsid w:val="00A22D28"/>
    <w:rsid w:val="00A23722"/>
    <w:rsid w:val="00A237B3"/>
    <w:rsid w:val="00A26C73"/>
    <w:rsid w:val="00A27C57"/>
    <w:rsid w:val="00A3064A"/>
    <w:rsid w:val="00A31464"/>
    <w:rsid w:val="00A34707"/>
    <w:rsid w:val="00A34749"/>
    <w:rsid w:val="00A354DA"/>
    <w:rsid w:val="00A36F4F"/>
    <w:rsid w:val="00A37021"/>
    <w:rsid w:val="00A37528"/>
    <w:rsid w:val="00A402BA"/>
    <w:rsid w:val="00A411A3"/>
    <w:rsid w:val="00A42C68"/>
    <w:rsid w:val="00A43C3A"/>
    <w:rsid w:val="00A44403"/>
    <w:rsid w:val="00A45E23"/>
    <w:rsid w:val="00A45FF1"/>
    <w:rsid w:val="00A471C6"/>
    <w:rsid w:val="00A47282"/>
    <w:rsid w:val="00A50C44"/>
    <w:rsid w:val="00A51A8F"/>
    <w:rsid w:val="00A51CD2"/>
    <w:rsid w:val="00A51E79"/>
    <w:rsid w:val="00A54578"/>
    <w:rsid w:val="00A54841"/>
    <w:rsid w:val="00A54BE6"/>
    <w:rsid w:val="00A54D3D"/>
    <w:rsid w:val="00A559C9"/>
    <w:rsid w:val="00A571EE"/>
    <w:rsid w:val="00A617AF"/>
    <w:rsid w:val="00A61E9E"/>
    <w:rsid w:val="00A61F83"/>
    <w:rsid w:val="00A62B77"/>
    <w:rsid w:val="00A6321A"/>
    <w:rsid w:val="00A6350B"/>
    <w:rsid w:val="00A64B53"/>
    <w:rsid w:val="00A66770"/>
    <w:rsid w:val="00A70087"/>
    <w:rsid w:val="00A70BBA"/>
    <w:rsid w:val="00A70E52"/>
    <w:rsid w:val="00A716EE"/>
    <w:rsid w:val="00A723D9"/>
    <w:rsid w:val="00A73004"/>
    <w:rsid w:val="00A73814"/>
    <w:rsid w:val="00A757D9"/>
    <w:rsid w:val="00A75933"/>
    <w:rsid w:val="00A75C36"/>
    <w:rsid w:val="00A76570"/>
    <w:rsid w:val="00A76F88"/>
    <w:rsid w:val="00A77917"/>
    <w:rsid w:val="00A80756"/>
    <w:rsid w:val="00A822F2"/>
    <w:rsid w:val="00A8269A"/>
    <w:rsid w:val="00A82B4E"/>
    <w:rsid w:val="00A82D04"/>
    <w:rsid w:val="00A83441"/>
    <w:rsid w:val="00A83754"/>
    <w:rsid w:val="00A83F55"/>
    <w:rsid w:val="00A853A2"/>
    <w:rsid w:val="00A872CB"/>
    <w:rsid w:val="00A90664"/>
    <w:rsid w:val="00A90DB2"/>
    <w:rsid w:val="00A91A2E"/>
    <w:rsid w:val="00A91AC0"/>
    <w:rsid w:val="00A92072"/>
    <w:rsid w:val="00A92797"/>
    <w:rsid w:val="00A93FEB"/>
    <w:rsid w:val="00A9498F"/>
    <w:rsid w:val="00A96E21"/>
    <w:rsid w:val="00A97327"/>
    <w:rsid w:val="00A97788"/>
    <w:rsid w:val="00A97915"/>
    <w:rsid w:val="00AA0677"/>
    <w:rsid w:val="00AA0D69"/>
    <w:rsid w:val="00AA2140"/>
    <w:rsid w:val="00AA3137"/>
    <w:rsid w:val="00AA34DF"/>
    <w:rsid w:val="00AA4E8F"/>
    <w:rsid w:val="00AA6565"/>
    <w:rsid w:val="00AA6D9C"/>
    <w:rsid w:val="00AA7D3D"/>
    <w:rsid w:val="00AB054F"/>
    <w:rsid w:val="00AB0C92"/>
    <w:rsid w:val="00AB22B2"/>
    <w:rsid w:val="00AB4423"/>
    <w:rsid w:val="00AB4444"/>
    <w:rsid w:val="00AB4A23"/>
    <w:rsid w:val="00AB73B0"/>
    <w:rsid w:val="00AC0BE6"/>
    <w:rsid w:val="00AC0F26"/>
    <w:rsid w:val="00AC0FA7"/>
    <w:rsid w:val="00AC2934"/>
    <w:rsid w:val="00AC3395"/>
    <w:rsid w:val="00AC3930"/>
    <w:rsid w:val="00AC4A93"/>
    <w:rsid w:val="00AC5BA5"/>
    <w:rsid w:val="00AC66DD"/>
    <w:rsid w:val="00AC6C24"/>
    <w:rsid w:val="00AC6E09"/>
    <w:rsid w:val="00AC7CA8"/>
    <w:rsid w:val="00AC7E8D"/>
    <w:rsid w:val="00AD0238"/>
    <w:rsid w:val="00AD072C"/>
    <w:rsid w:val="00AD0E57"/>
    <w:rsid w:val="00AD1368"/>
    <w:rsid w:val="00AD16B2"/>
    <w:rsid w:val="00AD3B3E"/>
    <w:rsid w:val="00AD42E5"/>
    <w:rsid w:val="00AD4332"/>
    <w:rsid w:val="00AD516F"/>
    <w:rsid w:val="00AE1513"/>
    <w:rsid w:val="00AE1B23"/>
    <w:rsid w:val="00AE24BF"/>
    <w:rsid w:val="00AE30FE"/>
    <w:rsid w:val="00AE370F"/>
    <w:rsid w:val="00AE5431"/>
    <w:rsid w:val="00AE5537"/>
    <w:rsid w:val="00AE57AD"/>
    <w:rsid w:val="00AE5DEE"/>
    <w:rsid w:val="00AE6812"/>
    <w:rsid w:val="00AE7AC0"/>
    <w:rsid w:val="00AE7EE2"/>
    <w:rsid w:val="00AF0030"/>
    <w:rsid w:val="00AF1D04"/>
    <w:rsid w:val="00AF2457"/>
    <w:rsid w:val="00AF3037"/>
    <w:rsid w:val="00AF421E"/>
    <w:rsid w:val="00AF5049"/>
    <w:rsid w:val="00B017E8"/>
    <w:rsid w:val="00B01DAF"/>
    <w:rsid w:val="00B022E3"/>
    <w:rsid w:val="00B02A73"/>
    <w:rsid w:val="00B0369E"/>
    <w:rsid w:val="00B061F9"/>
    <w:rsid w:val="00B07375"/>
    <w:rsid w:val="00B07E6A"/>
    <w:rsid w:val="00B100AF"/>
    <w:rsid w:val="00B1078A"/>
    <w:rsid w:val="00B1144D"/>
    <w:rsid w:val="00B11863"/>
    <w:rsid w:val="00B123A6"/>
    <w:rsid w:val="00B12594"/>
    <w:rsid w:val="00B1289D"/>
    <w:rsid w:val="00B12F10"/>
    <w:rsid w:val="00B13AF4"/>
    <w:rsid w:val="00B13D69"/>
    <w:rsid w:val="00B13F05"/>
    <w:rsid w:val="00B17C3B"/>
    <w:rsid w:val="00B20012"/>
    <w:rsid w:val="00B203A1"/>
    <w:rsid w:val="00B20F91"/>
    <w:rsid w:val="00B21250"/>
    <w:rsid w:val="00B220FC"/>
    <w:rsid w:val="00B25F94"/>
    <w:rsid w:val="00B2645B"/>
    <w:rsid w:val="00B26BF9"/>
    <w:rsid w:val="00B27091"/>
    <w:rsid w:val="00B305EF"/>
    <w:rsid w:val="00B3201E"/>
    <w:rsid w:val="00B32596"/>
    <w:rsid w:val="00B32A35"/>
    <w:rsid w:val="00B332AD"/>
    <w:rsid w:val="00B34505"/>
    <w:rsid w:val="00B360B2"/>
    <w:rsid w:val="00B36E75"/>
    <w:rsid w:val="00B400C7"/>
    <w:rsid w:val="00B401C2"/>
    <w:rsid w:val="00B4032F"/>
    <w:rsid w:val="00B40C51"/>
    <w:rsid w:val="00B416D0"/>
    <w:rsid w:val="00B4219D"/>
    <w:rsid w:val="00B43940"/>
    <w:rsid w:val="00B44EC8"/>
    <w:rsid w:val="00B45A28"/>
    <w:rsid w:val="00B47332"/>
    <w:rsid w:val="00B47A0D"/>
    <w:rsid w:val="00B512D6"/>
    <w:rsid w:val="00B51612"/>
    <w:rsid w:val="00B51BCF"/>
    <w:rsid w:val="00B5221C"/>
    <w:rsid w:val="00B52546"/>
    <w:rsid w:val="00B52874"/>
    <w:rsid w:val="00B55E57"/>
    <w:rsid w:val="00B563FE"/>
    <w:rsid w:val="00B5646D"/>
    <w:rsid w:val="00B56A49"/>
    <w:rsid w:val="00B56BD0"/>
    <w:rsid w:val="00B56EC8"/>
    <w:rsid w:val="00B5784A"/>
    <w:rsid w:val="00B57CB4"/>
    <w:rsid w:val="00B61B6F"/>
    <w:rsid w:val="00B62787"/>
    <w:rsid w:val="00B62B7A"/>
    <w:rsid w:val="00B62EE2"/>
    <w:rsid w:val="00B631A8"/>
    <w:rsid w:val="00B700BB"/>
    <w:rsid w:val="00B70C57"/>
    <w:rsid w:val="00B72808"/>
    <w:rsid w:val="00B733DF"/>
    <w:rsid w:val="00B74600"/>
    <w:rsid w:val="00B74802"/>
    <w:rsid w:val="00B74BDA"/>
    <w:rsid w:val="00B74F7E"/>
    <w:rsid w:val="00B75EDD"/>
    <w:rsid w:val="00B774FB"/>
    <w:rsid w:val="00B77F02"/>
    <w:rsid w:val="00B8024C"/>
    <w:rsid w:val="00B80AD2"/>
    <w:rsid w:val="00B80DCD"/>
    <w:rsid w:val="00B80E11"/>
    <w:rsid w:val="00B80EC4"/>
    <w:rsid w:val="00B814F6"/>
    <w:rsid w:val="00B81623"/>
    <w:rsid w:val="00B81A10"/>
    <w:rsid w:val="00B83CAC"/>
    <w:rsid w:val="00B84ECC"/>
    <w:rsid w:val="00B84F69"/>
    <w:rsid w:val="00B85656"/>
    <w:rsid w:val="00B8682A"/>
    <w:rsid w:val="00B87B84"/>
    <w:rsid w:val="00B9117D"/>
    <w:rsid w:val="00B91CB3"/>
    <w:rsid w:val="00B91EF5"/>
    <w:rsid w:val="00B92B31"/>
    <w:rsid w:val="00B9340F"/>
    <w:rsid w:val="00B93414"/>
    <w:rsid w:val="00B9388C"/>
    <w:rsid w:val="00B94CDE"/>
    <w:rsid w:val="00B95D00"/>
    <w:rsid w:val="00B96F59"/>
    <w:rsid w:val="00B97377"/>
    <w:rsid w:val="00B97973"/>
    <w:rsid w:val="00BA0701"/>
    <w:rsid w:val="00BA115E"/>
    <w:rsid w:val="00BA1777"/>
    <w:rsid w:val="00BA1ACC"/>
    <w:rsid w:val="00BA3655"/>
    <w:rsid w:val="00BA3AE3"/>
    <w:rsid w:val="00BA47A6"/>
    <w:rsid w:val="00BA50D9"/>
    <w:rsid w:val="00BA7733"/>
    <w:rsid w:val="00BA7CEE"/>
    <w:rsid w:val="00BB3A97"/>
    <w:rsid w:val="00BB4368"/>
    <w:rsid w:val="00BB5441"/>
    <w:rsid w:val="00BB6D95"/>
    <w:rsid w:val="00BB70B4"/>
    <w:rsid w:val="00BB7EF0"/>
    <w:rsid w:val="00BC1906"/>
    <w:rsid w:val="00BC27BA"/>
    <w:rsid w:val="00BC4456"/>
    <w:rsid w:val="00BC6415"/>
    <w:rsid w:val="00BC6991"/>
    <w:rsid w:val="00BD01AA"/>
    <w:rsid w:val="00BD06CF"/>
    <w:rsid w:val="00BD17B8"/>
    <w:rsid w:val="00BD2181"/>
    <w:rsid w:val="00BD47A6"/>
    <w:rsid w:val="00BD4BD4"/>
    <w:rsid w:val="00BD4D64"/>
    <w:rsid w:val="00BD5BAB"/>
    <w:rsid w:val="00BD5BE5"/>
    <w:rsid w:val="00BD6358"/>
    <w:rsid w:val="00BD667E"/>
    <w:rsid w:val="00BD716C"/>
    <w:rsid w:val="00BD72DC"/>
    <w:rsid w:val="00BD739F"/>
    <w:rsid w:val="00BD7732"/>
    <w:rsid w:val="00BD7D62"/>
    <w:rsid w:val="00BE0A89"/>
    <w:rsid w:val="00BE1A8C"/>
    <w:rsid w:val="00BE2313"/>
    <w:rsid w:val="00BE2935"/>
    <w:rsid w:val="00BE2C75"/>
    <w:rsid w:val="00BE3628"/>
    <w:rsid w:val="00BE38CA"/>
    <w:rsid w:val="00BE52E2"/>
    <w:rsid w:val="00BE66D7"/>
    <w:rsid w:val="00BE7630"/>
    <w:rsid w:val="00BF0283"/>
    <w:rsid w:val="00BF02BF"/>
    <w:rsid w:val="00BF11E4"/>
    <w:rsid w:val="00BF2483"/>
    <w:rsid w:val="00BF25F5"/>
    <w:rsid w:val="00BF46B0"/>
    <w:rsid w:val="00BF4781"/>
    <w:rsid w:val="00BF4801"/>
    <w:rsid w:val="00BF5263"/>
    <w:rsid w:val="00BF6C99"/>
    <w:rsid w:val="00C00107"/>
    <w:rsid w:val="00C007DA"/>
    <w:rsid w:val="00C0104B"/>
    <w:rsid w:val="00C01BE9"/>
    <w:rsid w:val="00C03DDD"/>
    <w:rsid w:val="00C05ECC"/>
    <w:rsid w:val="00C06AD8"/>
    <w:rsid w:val="00C06DBF"/>
    <w:rsid w:val="00C075A4"/>
    <w:rsid w:val="00C10015"/>
    <w:rsid w:val="00C10119"/>
    <w:rsid w:val="00C10472"/>
    <w:rsid w:val="00C10CFA"/>
    <w:rsid w:val="00C11899"/>
    <w:rsid w:val="00C126BD"/>
    <w:rsid w:val="00C134BB"/>
    <w:rsid w:val="00C14323"/>
    <w:rsid w:val="00C146A2"/>
    <w:rsid w:val="00C14EB6"/>
    <w:rsid w:val="00C15440"/>
    <w:rsid w:val="00C160B6"/>
    <w:rsid w:val="00C21C04"/>
    <w:rsid w:val="00C22151"/>
    <w:rsid w:val="00C23EE5"/>
    <w:rsid w:val="00C248FF"/>
    <w:rsid w:val="00C2508B"/>
    <w:rsid w:val="00C26C2A"/>
    <w:rsid w:val="00C30AFE"/>
    <w:rsid w:val="00C30BF0"/>
    <w:rsid w:val="00C30F93"/>
    <w:rsid w:val="00C32440"/>
    <w:rsid w:val="00C32746"/>
    <w:rsid w:val="00C35E45"/>
    <w:rsid w:val="00C36945"/>
    <w:rsid w:val="00C40240"/>
    <w:rsid w:val="00C43481"/>
    <w:rsid w:val="00C43B9C"/>
    <w:rsid w:val="00C43E65"/>
    <w:rsid w:val="00C4423A"/>
    <w:rsid w:val="00C44C21"/>
    <w:rsid w:val="00C454B3"/>
    <w:rsid w:val="00C45A01"/>
    <w:rsid w:val="00C46158"/>
    <w:rsid w:val="00C4655C"/>
    <w:rsid w:val="00C46718"/>
    <w:rsid w:val="00C477D9"/>
    <w:rsid w:val="00C479D8"/>
    <w:rsid w:val="00C50DB1"/>
    <w:rsid w:val="00C5173D"/>
    <w:rsid w:val="00C51C3B"/>
    <w:rsid w:val="00C51E41"/>
    <w:rsid w:val="00C5346B"/>
    <w:rsid w:val="00C5418E"/>
    <w:rsid w:val="00C54A5C"/>
    <w:rsid w:val="00C55287"/>
    <w:rsid w:val="00C56062"/>
    <w:rsid w:val="00C5662F"/>
    <w:rsid w:val="00C5683B"/>
    <w:rsid w:val="00C56C89"/>
    <w:rsid w:val="00C56DDC"/>
    <w:rsid w:val="00C5700C"/>
    <w:rsid w:val="00C605CB"/>
    <w:rsid w:val="00C60BCA"/>
    <w:rsid w:val="00C623B5"/>
    <w:rsid w:val="00C64054"/>
    <w:rsid w:val="00C6495E"/>
    <w:rsid w:val="00C64F90"/>
    <w:rsid w:val="00C650D4"/>
    <w:rsid w:val="00C65883"/>
    <w:rsid w:val="00C666A5"/>
    <w:rsid w:val="00C66C90"/>
    <w:rsid w:val="00C67331"/>
    <w:rsid w:val="00C70782"/>
    <w:rsid w:val="00C71500"/>
    <w:rsid w:val="00C71911"/>
    <w:rsid w:val="00C71AC4"/>
    <w:rsid w:val="00C71C1B"/>
    <w:rsid w:val="00C73134"/>
    <w:rsid w:val="00C74B5B"/>
    <w:rsid w:val="00C74CA8"/>
    <w:rsid w:val="00C77DE8"/>
    <w:rsid w:val="00C817A2"/>
    <w:rsid w:val="00C82705"/>
    <w:rsid w:val="00C831AA"/>
    <w:rsid w:val="00C842F4"/>
    <w:rsid w:val="00C85B05"/>
    <w:rsid w:val="00C86F0A"/>
    <w:rsid w:val="00C87B1A"/>
    <w:rsid w:val="00C9021E"/>
    <w:rsid w:val="00C9051B"/>
    <w:rsid w:val="00C90A2D"/>
    <w:rsid w:val="00C91234"/>
    <w:rsid w:val="00C92104"/>
    <w:rsid w:val="00C921F2"/>
    <w:rsid w:val="00C92575"/>
    <w:rsid w:val="00C930D2"/>
    <w:rsid w:val="00C93452"/>
    <w:rsid w:val="00C93E64"/>
    <w:rsid w:val="00C9491A"/>
    <w:rsid w:val="00C94C7F"/>
    <w:rsid w:val="00C96A61"/>
    <w:rsid w:val="00C96D6F"/>
    <w:rsid w:val="00CA01DA"/>
    <w:rsid w:val="00CA02B0"/>
    <w:rsid w:val="00CA06F2"/>
    <w:rsid w:val="00CA149A"/>
    <w:rsid w:val="00CA16E6"/>
    <w:rsid w:val="00CA1B88"/>
    <w:rsid w:val="00CA2493"/>
    <w:rsid w:val="00CA4441"/>
    <w:rsid w:val="00CA4AAA"/>
    <w:rsid w:val="00CA4DBE"/>
    <w:rsid w:val="00CA5666"/>
    <w:rsid w:val="00CA6607"/>
    <w:rsid w:val="00CA73D9"/>
    <w:rsid w:val="00CA78CB"/>
    <w:rsid w:val="00CB3F8F"/>
    <w:rsid w:val="00CB5A06"/>
    <w:rsid w:val="00CB6237"/>
    <w:rsid w:val="00CB6586"/>
    <w:rsid w:val="00CB7667"/>
    <w:rsid w:val="00CC16C3"/>
    <w:rsid w:val="00CC1765"/>
    <w:rsid w:val="00CC3E14"/>
    <w:rsid w:val="00CC50AA"/>
    <w:rsid w:val="00CC5F47"/>
    <w:rsid w:val="00CC6816"/>
    <w:rsid w:val="00CD093C"/>
    <w:rsid w:val="00CD2466"/>
    <w:rsid w:val="00CD252D"/>
    <w:rsid w:val="00CD2564"/>
    <w:rsid w:val="00CD336C"/>
    <w:rsid w:val="00CD3391"/>
    <w:rsid w:val="00CD39D7"/>
    <w:rsid w:val="00CD4D1F"/>
    <w:rsid w:val="00CD6745"/>
    <w:rsid w:val="00CD6F3E"/>
    <w:rsid w:val="00CE29A6"/>
    <w:rsid w:val="00CE446E"/>
    <w:rsid w:val="00CE66C3"/>
    <w:rsid w:val="00CE6E1B"/>
    <w:rsid w:val="00CE7BEE"/>
    <w:rsid w:val="00CE7E6D"/>
    <w:rsid w:val="00CF0F4E"/>
    <w:rsid w:val="00CF25C5"/>
    <w:rsid w:val="00CF28E3"/>
    <w:rsid w:val="00CF29F2"/>
    <w:rsid w:val="00CF2C55"/>
    <w:rsid w:val="00CF341F"/>
    <w:rsid w:val="00CF4EE0"/>
    <w:rsid w:val="00CF5756"/>
    <w:rsid w:val="00CF5FEE"/>
    <w:rsid w:val="00CF64E6"/>
    <w:rsid w:val="00CF7877"/>
    <w:rsid w:val="00CF7FA9"/>
    <w:rsid w:val="00D01C14"/>
    <w:rsid w:val="00D01E10"/>
    <w:rsid w:val="00D020E3"/>
    <w:rsid w:val="00D0218E"/>
    <w:rsid w:val="00D02CF5"/>
    <w:rsid w:val="00D02D26"/>
    <w:rsid w:val="00D04146"/>
    <w:rsid w:val="00D05A45"/>
    <w:rsid w:val="00D07400"/>
    <w:rsid w:val="00D1049C"/>
    <w:rsid w:val="00D10F1E"/>
    <w:rsid w:val="00D118C9"/>
    <w:rsid w:val="00D128BE"/>
    <w:rsid w:val="00D12C31"/>
    <w:rsid w:val="00D13923"/>
    <w:rsid w:val="00D15B6B"/>
    <w:rsid w:val="00D21193"/>
    <w:rsid w:val="00D227A9"/>
    <w:rsid w:val="00D227E7"/>
    <w:rsid w:val="00D24ED6"/>
    <w:rsid w:val="00D26E40"/>
    <w:rsid w:val="00D26FE3"/>
    <w:rsid w:val="00D3240A"/>
    <w:rsid w:val="00D32571"/>
    <w:rsid w:val="00D3294F"/>
    <w:rsid w:val="00D32C94"/>
    <w:rsid w:val="00D35117"/>
    <w:rsid w:val="00D36F2A"/>
    <w:rsid w:val="00D37168"/>
    <w:rsid w:val="00D3745C"/>
    <w:rsid w:val="00D406DC"/>
    <w:rsid w:val="00D409C3"/>
    <w:rsid w:val="00D41BE7"/>
    <w:rsid w:val="00D448E6"/>
    <w:rsid w:val="00D46EA3"/>
    <w:rsid w:val="00D471AB"/>
    <w:rsid w:val="00D4735A"/>
    <w:rsid w:val="00D47E9A"/>
    <w:rsid w:val="00D5244D"/>
    <w:rsid w:val="00D52450"/>
    <w:rsid w:val="00D5400B"/>
    <w:rsid w:val="00D541E0"/>
    <w:rsid w:val="00D5456C"/>
    <w:rsid w:val="00D54C8A"/>
    <w:rsid w:val="00D562D4"/>
    <w:rsid w:val="00D5687A"/>
    <w:rsid w:val="00D57EE0"/>
    <w:rsid w:val="00D63CE7"/>
    <w:rsid w:val="00D64873"/>
    <w:rsid w:val="00D64B95"/>
    <w:rsid w:val="00D64D50"/>
    <w:rsid w:val="00D65322"/>
    <w:rsid w:val="00D66B88"/>
    <w:rsid w:val="00D671FD"/>
    <w:rsid w:val="00D67336"/>
    <w:rsid w:val="00D678CC"/>
    <w:rsid w:val="00D67DC2"/>
    <w:rsid w:val="00D67DD1"/>
    <w:rsid w:val="00D70268"/>
    <w:rsid w:val="00D70460"/>
    <w:rsid w:val="00D7143A"/>
    <w:rsid w:val="00D71674"/>
    <w:rsid w:val="00D7183C"/>
    <w:rsid w:val="00D728A2"/>
    <w:rsid w:val="00D7296F"/>
    <w:rsid w:val="00D72D2F"/>
    <w:rsid w:val="00D736DE"/>
    <w:rsid w:val="00D75147"/>
    <w:rsid w:val="00D75C3F"/>
    <w:rsid w:val="00D7637F"/>
    <w:rsid w:val="00D77716"/>
    <w:rsid w:val="00D77A1D"/>
    <w:rsid w:val="00D8155B"/>
    <w:rsid w:val="00D815DE"/>
    <w:rsid w:val="00D82B8D"/>
    <w:rsid w:val="00D82D04"/>
    <w:rsid w:val="00D82D36"/>
    <w:rsid w:val="00D83760"/>
    <w:rsid w:val="00D83D3F"/>
    <w:rsid w:val="00D841AC"/>
    <w:rsid w:val="00D856FE"/>
    <w:rsid w:val="00D8576B"/>
    <w:rsid w:val="00D858C4"/>
    <w:rsid w:val="00D90CF9"/>
    <w:rsid w:val="00D90F53"/>
    <w:rsid w:val="00D90FC5"/>
    <w:rsid w:val="00D926C1"/>
    <w:rsid w:val="00D92754"/>
    <w:rsid w:val="00D92DE7"/>
    <w:rsid w:val="00D92F0F"/>
    <w:rsid w:val="00D93DEB"/>
    <w:rsid w:val="00D967FF"/>
    <w:rsid w:val="00D97085"/>
    <w:rsid w:val="00DA08E2"/>
    <w:rsid w:val="00DA1061"/>
    <w:rsid w:val="00DA3882"/>
    <w:rsid w:val="00DA3DCE"/>
    <w:rsid w:val="00DA4244"/>
    <w:rsid w:val="00DA49BA"/>
    <w:rsid w:val="00DA4F4F"/>
    <w:rsid w:val="00DA61C3"/>
    <w:rsid w:val="00DA72F8"/>
    <w:rsid w:val="00DB031C"/>
    <w:rsid w:val="00DB08BC"/>
    <w:rsid w:val="00DB0A71"/>
    <w:rsid w:val="00DB0B5C"/>
    <w:rsid w:val="00DB1B5F"/>
    <w:rsid w:val="00DB1F9E"/>
    <w:rsid w:val="00DB327D"/>
    <w:rsid w:val="00DB4A5C"/>
    <w:rsid w:val="00DB4DB6"/>
    <w:rsid w:val="00DB51F8"/>
    <w:rsid w:val="00DB5359"/>
    <w:rsid w:val="00DB53BE"/>
    <w:rsid w:val="00DB742D"/>
    <w:rsid w:val="00DB783D"/>
    <w:rsid w:val="00DB7D54"/>
    <w:rsid w:val="00DB7F6F"/>
    <w:rsid w:val="00DC05C7"/>
    <w:rsid w:val="00DC0CA0"/>
    <w:rsid w:val="00DC13D5"/>
    <w:rsid w:val="00DC2F37"/>
    <w:rsid w:val="00DC3DD7"/>
    <w:rsid w:val="00DC43A5"/>
    <w:rsid w:val="00DC4C25"/>
    <w:rsid w:val="00DC5247"/>
    <w:rsid w:val="00DC5289"/>
    <w:rsid w:val="00DC5660"/>
    <w:rsid w:val="00DC68C9"/>
    <w:rsid w:val="00DC6D7A"/>
    <w:rsid w:val="00DC7183"/>
    <w:rsid w:val="00DC79AD"/>
    <w:rsid w:val="00DD0094"/>
    <w:rsid w:val="00DD2DB4"/>
    <w:rsid w:val="00DD355C"/>
    <w:rsid w:val="00DD3934"/>
    <w:rsid w:val="00DD3B17"/>
    <w:rsid w:val="00DD45C8"/>
    <w:rsid w:val="00DD50DB"/>
    <w:rsid w:val="00DD5D4B"/>
    <w:rsid w:val="00DD6212"/>
    <w:rsid w:val="00DD7092"/>
    <w:rsid w:val="00DE2AE3"/>
    <w:rsid w:val="00DE2B5A"/>
    <w:rsid w:val="00DE3586"/>
    <w:rsid w:val="00DE433C"/>
    <w:rsid w:val="00DE4683"/>
    <w:rsid w:val="00DE782D"/>
    <w:rsid w:val="00DE7EEE"/>
    <w:rsid w:val="00DF1555"/>
    <w:rsid w:val="00DF1881"/>
    <w:rsid w:val="00DF18A9"/>
    <w:rsid w:val="00DF18F0"/>
    <w:rsid w:val="00DF3356"/>
    <w:rsid w:val="00DF4F9B"/>
    <w:rsid w:val="00DF50A7"/>
    <w:rsid w:val="00DF51E9"/>
    <w:rsid w:val="00DF5CDF"/>
    <w:rsid w:val="00E008F7"/>
    <w:rsid w:val="00E01EE8"/>
    <w:rsid w:val="00E02355"/>
    <w:rsid w:val="00E028D9"/>
    <w:rsid w:val="00E030EF"/>
    <w:rsid w:val="00E03CF8"/>
    <w:rsid w:val="00E049EE"/>
    <w:rsid w:val="00E06741"/>
    <w:rsid w:val="00E108E3"/>
    <w:rsid w:val="00E10E98"/>
    <w:rsid w:val="00E11D22"/>
    <w:rsid w:val="00E11EFF"/>
    <w:rsid w:val="00E1213A"/>
    <w:rsid w:val="00E16D91"/>
    <w:rsid w:val="00E16F42"/>
    <w:rsid w:val="00E17C69"/>
    <w:rsid w:val="00E17DE4"/>
    <w:rsid w:val="00E203B0"/>
    <w:rsid w:val="00E20FA6"/>
    <w:rsid w:val="00E2127D"/>
    <w:rsid w:val="00E225DA"/>
    <w:rsid w:val="00E242CC"/>
    <w:rsid w:val="00E25E13"/>
    <w:rsid w:val="00E26017"/>
    <w:rsid w:val="00E27342"/>
    <w:rsid w:val="00E27F47"/>
    <w:rsid w:val="00E30DCC"/>
    <w:rsid w:val="00E3140D"/>
    <w:rsid w:val="00E3220D"/>
    <w:rsid w:val="00E3239F"/>
    <w:rsid w:val="00E32448"/>
    <w:rsid w:val="00E324B9"/>
    <w:rsid w:val="00E32A94"/>
    <w:rsid w:val="00E32B46"/>
    <w:rsid w:val="00E3341E"/>
    <w:rsid w:val="00E3382E"/>
    <w:rsid w:val="00E350DB"/>
    <w:rsid w:val="00E35DAF"/>
    <w:rsid w:val="00E35E01"/>
    <w:rsid w:val="00E36261"/>
    <w:rsid w:val="00E36FAA"/>
    <w:rsid w:val="00E373DE"/>
    <w:rsid w:val="00E4062D"/>
    <w:rsid w:val="00E4218B"/>
    <w:rsid w:val="00E42784"/>
    <w:rsid w:val="00E42C22"/>
    <w:rsid w:val="00E42D0E"/>
    <w:rsid w:val="00E43030"/>
    <w:rsid w:val="00E449F5"/>
    <w:rsid w:val="00E4539C"/>
    <w:rsid w:val="00E46CE2"/>
    <w:rsid w:val="00E47FDD"/>
    <w:rsid w:val="00E503DF"/>
    <w:rsid w:val="00E508A6"/>
    <w:rsid w:val="00E509D3"/>
    <w:rsid w:val="00E50F7B"/>
    <w:rsid w:val="00E5272B"/>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4DC8"/>
    <w:rsid w:val="00E65640"/>
    <w:rsid w:val="00E65995"/>
    <w:rsid w:val="00E65BBA"/>
    <w:rsid w:val="00E66AE6"/>
    <w:rsid w:val="00E6719F"/>
    <w:rsid w:val="00E67CB3"/>
    <w:rsid w:val="00E71A4A"/>
    <w:rsid w:val="00E73EDA"/>
    <w:rsid w:val="00E74262"/>
    <w:rsid w:val="00E7495B"/>
    <w:rsid w:val="00E77A2A"/>
    <w:rsid w:val="00E77ACB"/>
    <w:rsid w:val="00E77E2C"/>
    <w:rsid w:val="00E80C8A"/>
    <w:rsid w:val="00E81B52"/>
    <w:rsid w:val="00E81BF4"/>
    <w:rsid w:val="00E81C12"/>
    <w:rsid w:val="00E8551E"/>
    <w:rsid w:val="00E858E3"/>
    <w:rsid w:val="00E86271"/>
    <w:rsid w:val="00E8630B"/>
    <w:rsid w:val="00E86501"/>
    <w:rsid w:val="00E902D2"/>
    <w:rsid w:val="00E904C6"/>
    <w:rsid w:val="00E90C0F"/>
    <w:rsid w:val="00E9100A"/>
    <w:rsid w:val="00E919F0"/>
    <w:rsid w:val="00E92304"/>
    <w:rsid w:val="00E93FB0"/>
    <w:rsid w:val="00E940A7"/>
    <w:rsid w:val="00E97C1D"/>
    <w:rsid w:val="00EA0842"/>
    <w:rsid w:val="00EA1BA7"/>
    <w:rsid w:val="00EA1ED8"/>
    <w:rsid w:val="00EA3A72"/>
    <w:rsid w:val="00EA40BC"/>
    <w:rsid w:val="00EA496C"/>
    <w:rsid w:val="00EA5A7B"/>
    <w:rsid w:val="00EA6898"/>
    <w:rsid w:val="00EA6B7F"/>
    <w:rsid w:val="00EA7251"/>
    <w:rsid w:val="00EA78E7"/>
    <w:rsid w:val="00EB0009"/>
    <w:rsid w:val="00EB1783"/>
    <w:rsid w:val="00EB1C32"/>
    <w:rsid w:val="00EB4404"/>
    <w:rsid w:val="00EB4B8E"/>
    <w:rsid w:val="00EB552D"/>
    <w:rsid w:val="00EC09BF"/>
    <w:rsid w:val="00EC0BB5"/>
    <w:rsid w:val="00EC1CA1"/>
    <w:rsid w:val="00EC2690"/>
    <w:rsid w:val="00EC40C6"/>
    <w:rsid w:val="00EC4313"/>
    <w:rsid w:val="00EC51E3"/>
    <w:rsid w:val="00EC7804"/>
    <w:rsid w:val="00ED04A0"/>
    <w:rsid w:val="00ED1220"/>
    <w:rsid w:val="00ED220D"/>
    <w:rsid w:val="00ED3B61"/>
    <w:rsid w:val="00ED3F1F"/>
    <w:rsid w:val="00ED3FFE"/>
    <w:rsid w:val="00ED5A33"/>
    <w:rsid w:val="00ED734E"/>
    <w:rsid w:val="00EE04B7"/>
    <w:rsid w:val="00EE3654"/>
    <w:rsid w:val="00EE477D"/>
    <w:rsid w:val="00EE4F36"/>
    <w:rsid w:val="00EE646D"/>
    <w:rsid w:val="00EE6B52"/>
    <w:rsid w:val="00EE79BE"/>
    <w:rsid w:val="00EF0792"/>
    <w:rsid w:val="00EF0B2B"/>
    <w:rsid w:val="00EF2091"/>
    <w:rsid w:val="00EF2F61"/>
    <w:rsid w:val="00EF3455"/>
    <w:rsid w:val="00EF39F2"/>
    <w:rsid w:val="00EF3EAA"/>
    <w:rsid w:val="00EF4077"/>
    <w:rsid w:val="00EF41F7"/>
    <w:rsid w:val="00EF4429"/>
    <w:rsid w:val="00EF5E7A"/>
    <w:rsid w:val="00EF68E6"/>
    <w:rsid w:val="00EF7179"/>
    <w:rsid w:val="00EF7B48"/>
    <w:rsid w:val="00F029E0"/>
    <w:rsid w:val="00F0305D"/>
    <w:rsid w:val="00F05865"/>
    <w:rsid w:val="00F06C02"/>
    <w:rsid w:val="00F0755C"/>
    <w:rsid w:val="00F07CD0"/>
    <w:rsid w:val="00F107C0"/>
    <w:rsid w:val="00F10DBB"/>
    <w:rsid w:val="00F11061"/>
    <w:rsid w:val="00F11A97"/>
    <w:rsid w:val="00F1202F"/>
    <w:rsid w:val="00F1328C"/>
    <w:rsid w:val="00F1378D"/>
    <w:rsid w:val="00F140E8"/>
    <w:rsid w:val="00F140F2"/>
    <w:rsid w:val="00F1421E"/>
    <w:rsid w:val="00F145DC"/>
    <w:rsid w:val="00F1547B"/>
    <w:rsid w:val="00F16CBF"/>
    <w:rsid w:val="00F16F88"/>
    <w:rsid w:val="00F17114"/>
    <w:rsid w:val="00F1767D"/>
    <w:rsid w:val="00F17A0F"/>
    <w:rsid w:val="00F17EE3"/>
    <w:rsid w:val="00F20D68"/>
    <w:rsid w:val="00F21319"/>
    <w:rsid w:val="00F225EC"/>
    <w:rsid w:val="00F26459"/>
    <w:rsid w:val="00F311E9"/>
    <w:rsid w:val="00F31BC2"/>
    <w:rsid w:val="00F3291A"/>
    <w:rsid w:val="00F32AC2"/>
    <w:rsid w:val="00F331AA"/>
    <w:rsid w:val="00F3408F"/>
    <w:rsid w:val="00F346A4"/>
    <w:rsid w:val="00F34861"/>
    <w:rsid w:val="00F34BFF"/>
    <w:rsid w:val="00F37015"/>
    <w:rsid w:val="00F37D7D"/>
    <w:rsid w:val="00F40602"/>
    <w:rsid w:val="00F40E5C"/>
    <w:rsid w:val="00F412FD"/>
    <w:rsid w:val="00F41646"/>
    <w:rsid w:val="00F41803"/>
    <w:rsid w:val="00F41BF2"/>
    <w:rsid w:val="00F42B7B"/>
    <w:rsid w:val="00F42C0B"/>
    <w:rsid w:val="00F43115"/>
    <w:rsid w:val="00F435B7"/>
    <w:rsid w:val="00F446A8"/>
    <w:rsid w:val="00F447C7"/>
    <w:rsid w:val="00F46DB5"/>
    <w:rsid w:val="00F479D6"/>
    <w:rsid w:val="00F47A57"/>
    <w:rsid w:val="00F51138"/>
    <w:rsid w:val="00F51D41"/>
    <w:rsid w:val="00F53D58"/>
    <w:rsid w:val="00F53F8B"/>
    <w:rsid w:val="00F54579"/>
    <w:rsid w:val="00F54726"/>
    <w:rsid w:val="00F564F3"/>
    <w:rsid w:val="00F56AA4"/>
    <w:rsid w:val="00F56E6C"/>
    <w:rsid w:val="00F570A4"/>
    <w:rsid w:val="00F571A3"/>
    <w:rsid w:val="00F5735C"/>
    <w:rsid w:val="00F61966"/>
    <w:rsid w:val="00F61AAD"/>
    <w:rsid w:val="00F62744"/>
    <w:rsid w:val="00F63233"/>
    <w:rsid w:val="00F633AD"/>
    <w:rsid w:val="00F64504"/>
    <w:rsid w:val="00F65CB3"/>
    <w:rsid w:val="00F67346"/>
    <w:rsid w:val="00F70E71"/>
    <w:rsid w:val="00F7122A"/>
    <w:rsid w:val="00F71354"/>
    <w:rsid w:val="00F716F7"/>
    <w:rsid w:val="00F71BFB"/>
    <w:rsid w:val="00F71D14"/>
    <w:rsid w:val="00F71F7A"/>
    <w:rsid w:val="00F7208A"/>
    <w:rsid w:val="00F72294"/>
    <w:rsid w:val="00F7471A"/>
    <w:rsid w:val="00F75143"/>
    <w:rsid w:val="00F7569D"/>
    <w:rsid w:val="00F75700"/>
    <w:rsid w:val="00F7728E"/>
    <w:rsid w:val="00F77CAB"/>
    <w:rsid w:val="00F80340"/>
    <w:rsid w:val="00F80C54"/>
    <w:rsid w:val="00F8313B"/>
    <w:rsid w:val="00F834DB"/>
    <w:rsid w:val="00F84277"/>
    <w:rsid w:val="00F85143"/>
    <w:rsid w:val="00F85BC1"/>
    <w:rsid w:val="00F87DF1"/>
    <w:rsid w:val="00F90D8F"/>
    <w:rsid w:val="00F91BD4"/>
    <w:rsid w:val="00F92A4A"/>
    <w:rsid w:val="00F94609"/>
    <w:rsid w:val="00F94BCD"/>
    <w:rsid w:val="00F95AF0"/>
    <w:rsid w:val="00F964A3"/>
    <w:rsid w:val="00F96D79"/>
    <w:rsid w:val="00FA03EF"/>
    <w:rsid w:val="00FA17D2"/>
    <w:rsid w:val="00FA1CDE"/>
    <w:rsid w:val="00FA1E64"/>
    <w:rsid w:val="00FA292A"/>
    <w:rsid w:val="00FA2EE5"/>
    <w:rsid w:val="00FA3684"/>
    <w:rsid w:val="00FA49E0"/>
    <w:rsid w:val="00FA551F"/>
    <w:rsid w:val="00FA5EDE"/>
    <w:rsid w:val="00FB11FA"/>
    <w:rsid w:val="00FB182F"/>
    <w:rsid w:val="00FB1C64"/>
    <w:rsid w:val="00FB218C"/>
    <w:rsid w:val="00FB375A"/>
    <w:rsid w:val="00FB3C68"/>
    <w:rsid w:val="00FB3CAD"/>
    <w:rsid w:val="00FB4251"/>
    <w:rsid w:val="00FB4C6A"/>
    <w:rsid w:val="00FB582A"/>
    <w:rsid w:val="00FB6E98"/>
    <w:rsid w:val="00FB702B"/>
    <w:rsid w:val="00FB78A3"/>
    <w:rsid w:val="00FC0038"/>
    <w:rsid w:val="00FC118E"/>
    <w:rsid w:val="00FC25C6"/>
    <w:rsid w:val="00FC4454"/>
    <w:rsid w:val="00FC514C"/>
    <w:rsid w:val="00FC5F01"/>
    <w:rsid w:val="00FC6163"/>
    <w:rsid w:val="00FC7B4F"/>
    <w:rsid w:val="00FC7CEB"/>
    <w:rsid w:val="00FC7E9B"/>
    <w:rsid w:val="00FD01B8"/>
    <w:rsid w:val="00FD1443"/>
    <w:rsid w:val="00FD16A3"/>
    <w:rsid w:val="00FD3657"/>
    <w:rsid w:val="00FD4DD0"/>
    <w:rsid w:val="00FD6710"/>
    <w:rsid w:val="00FD76C5"/>
    <w:rsid w:val="00FD7780"/>
    <w:rsid w:val="00FE0065"/>
    <w:rsid w:val="00FE013E"/>
    <w:rsid w:val="00FE173E"/>
    <w:rsid w:val="00FE1CAB"/>
    <w:rsid w:val="00FE23A1"/>
    <w:rsid w:val="00FE251E"/>
    <w:rsid w:val="00FE2833"/>
    <w:rsid w:val="00FE2EBF"/>
    <w:rsid w:val="00FE3189"/>
    <w:rsid w:val="00FE35DE"/>
    <w:rsid w:val="00FE3A80"/>
    <w:rsid w:val="00FE4041"/>
    <w:rsid w:val="00FE6E32"/>
    <w:rsid w:val="00FE7711"/>
    <w:rsid w:val="00FE7D73"/>
    <w:rsid w:val="00FF0892"/>
    <w:rsid w:val="00FF0C59"/>
    <w:rsid w:val="00FF18BE"/>
    <w:rsid w:val="00FF2582"/>
    <w:rsid w:val="00FF309D"/>
    <w:rsid w:val="00FF38BE"/>
    <w:rsid w:val="00FF4499"/>
    <w:rsid w:val="00FF4EC7"/>
    <w:rsid w:val="00FF55B6"/>
    <w:rsid w:val="00FF6D2F"/>
    <w:rsid w:val="00FF6F87"/>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D1C9C"/>
  <w15:docId w15:val="{617D472D-7562-4B42-A210-650A6864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puc.pa.gov"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C5C7-5215-404D-917B-1B5AC661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58</TotalTime>
  <Pages>8</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Burger, Lori</cp:lastModifiedBy>
  <cp:revision>79</cp:revision>
  <cp:lastPrinted>2018-03-13T20:04:00Z</cp:lastPrinted>
  <dcterms:created xsi:type="dcterms:W3CDTF">2018-03-14T11:09:00Z</dcterms:created>
  <dcterms:modified xsi:type="dcterms:W3CDTF">2018-07-18T14:46:00Z</dcterms:modified>
</cp:coreProperties>
</file>