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47" w:rsidRPr="008E6B14" w:rsidRDefault="007B68B3" w:rsidP="007B68B3">
      <w:pPr>
        <w:jc w:val="center"/>
        <w:rPr>
          <w:b/>
        </w:rPr>
      </w:pPr>
      <w:r w:rsidRPr="008E6B14">
        <w:rPr>
          <w:b/>
        </w:rPr>
        <w:t>BEFORE THE</w:t>
      </w:r>
    </w:p>
    <w:p w:rsidR="007B68B3" w:rsidRPr="008E6B14" w:rsidRDefault="007B68B3" w:rsidP="007B68B3">
      <w:pPr>
        <w:jc w:val="center"/>
        <w:rPr>
          <w:b/>
        </w:rPr>
      </w:pPr>
      <w:r w:rsidRPr="008E6B14">
        <w:rPr>
          <w:b/>
        </w:rPr>
        <w:t>PENNSYLVANIA PUBLIC UTILITY COMMISSION</w:t>
      </w:r>
    </w:p>
    <w:p w:rsidR="00C36234" w:rsidRDefault="00C36234" w:rsidP="003664D0">
      <w:pPr>
        <w:tabs>
          <w:tab w:val="left" w:pos="-720"/>
        </w:tabs>
        <w:suppressAutoHyphens/>
        <w:rPr>
          <w:spacing w:val="-3"/>
        </w:rPr>
      </w:pPr>
    </w:p>
    <w:p w:rsidR="003664D0" w:rsidRDefault="003664D0" w:rsidP="003664D0">
      <w:pPr>
        <w:tabs>
          <w:tab w:val="left" w:pos="-720"/>
        </w:tabs>
        <w:suppressAutoHyphens/>
        <w:rPr>
          <w:spacing w:val="-3"/>
        </w:rPr>
      </w:pPr>
      <w:r>
        <w:rPr>
          <w:spacing w:val="-3"/>
        </w:rPr>
        <w:tab/>
      </w:r>
      <w:r>
        <w:rPr>
          <w:spacing w:val="-3"/>
        </w:rPr>
        <w:tab/>
      </w:r>
      <w:r>
        <w:rPr>
          <w:spacing w:val="-3"/>
        </w:rPr>
        <w:tab/>
      </w:r>
      <w:r>
        <w:rPr>
          <w:spacing w:val="-3"/>
        </w:rPr>
        <w:tab/>
      </w:r>
      <w:r>
        <w:rPr>
          <w:spacing w:val="-3"/>
        </w:rPr>
        <w:tab/>
      </w:r>
      <w:r w:rsidRPr="00146B7D">
        <w:rPr>
          <w:spacing w:val="-3"/>
        </w:rPr>
        <w:tab/>
      </w:r>
      <w:r w:rsidRPr="00146B7D">
        <w:rPr>
          <w:spacing w:val="-3"/>
        </w:rPr>
        <w:tab/>
      </w:r>
    </w:p>
    <w:p w:rsidR="00EB5CBE" w:rsidRPr="00146B7D" w:rsidRDefault="00EB5CBE" w:rsidP="003664D0">
      <w:pPr>
        <w:tabs>
          <w:tab w:val="left" w:pos="-720"/>
        </w:tabs>
        <w:suppressAutoHyphens/>
        <w:rPr>
          <w:spacing w:val="-3"/>
        </w:rPr>
      </w:pPr>
    </w:p>
    <w:p w:rsidR="003664D0" w:rsidRPr="00305EFD" w:rsidRDefault="003664D0" w:rsidP="003664D0">
      <w:pPr>
        <w:tabs>
          <w:tab w:val="left" w:pos="-720"/>
        </w:tabs>
        <w:suppressAutoHyphens/>
        <w:rPr>
          <w:spacing w:val="-3"/>
        </w:rPr>
      </w:pPr>
      <w:r>
        <w:rPr>
          <w:spacing w:val="-3"/>
        </w:rPr>
        <w:t>Joel Royer</w:t>
      </w:r>
      <w:r>
        <w:rPr>
          <w:spacing w:val="-3"/>
        </w:rPr>
        <w:tab/>
      </w:r>
      <w:r w:rsidRPr="00305EFD">
        <w:rPr>
          <w:spacing w:val="-3"/>
        </w:rPr>
        <w:t xml:space="preserve"> </w:t>
      </w:r>
      <w:r w:rsidRPr="00305EFD">
        <w:rPr>
          <w:spacing w:val="-3"/>
        </w:rPr>
        <w:tab/>
      </w:r>
      <w:r w:rsidRPr="00305EFD">
        <w:rPr>
          <w:spacing w:val="-3"/>
        </w:rPr>
        <w:tab/>
      </w:r>
      <w:r w:rsidRPr="00305EFD">
        <w:rPr>
          <w:spacing w:val="-3"/>
        </w:rPr>
        <w:tab/>
      </w:r>
      <w:r w:rsidRPr="00305EFD">
        <w:rPr>
          <w:spacing w:val="-3"/>
        </w:rPr>
        <w:tab/>
      </w:r>
      <w:r w:rsidRPr="00305EFD">
        <w:rPr>
          <w:spacing w:val="-3"/>
        </w:rPr>
        <w:tab/>
        <w:t>:</w:t>
      </w:r>
    </w:p>
    <w:p w:rsidR="003664D0" w:rsidRPr="00305EFD" w:rsidRDefault="003664D0" w:rsidP="003664D0">
      <w:pPr>
        <w:tabs>
          <w:tab w:val="left" w:pos="-720"/>
        </w:tabs>
        <w:suppressAutoHyphens/>
        <w:rPr>
          <w:spacing w:val="-3"/>
        </w:rPr>
      </w:pPr>
      <w:r w:rsidRPr="00305EFD">
        <w:rPr>
          <w:spacing w:val="-3"/>
        </w:rPr>
        <w:tab/>
      </w:r>
      <w:r w:rsidRPr="00305EFD">
        <w:rPr>
          <w:spacing w:val="-3"/>
        </w:rPr>
        <w:tab/>
      </w:r>
      <w:r w:rsidRPr="00305EFD">
        <w:rPr>
          <w:spacing w:val="-3"/>
        </w:rPr>
        <w:tab/>
      </w:r>
      <w:r w:rsidRPr="00305EFD">
        <w:rPr>
          <w:spacing w:val="-3"/>
        </w:rPr>
        <w:tab/>
      </w:r>
      <w:r w:rsidRPr="00305EFD">
        <w:rPr>
          <w:spacing w:val="-3"/>
        </w:rPr>
        <w:tab/>
      </w:r>
      <w:r w:rsidRPr="00305EFD">
        <w:rPr>
          <w:spacing w:val="-3"/>
        </w:rPr>
        <w:tab/>
      </w:r>
      <w:r w:rsidRPr="00305EFD">
        <w:rPr>
          <w:spacing w:val="-3"/>
        </w:rPr>
        <w:tab/>
        <w:t>:</w:t>
      </w:r>
    </w:p>
    <w:p w:rsidR="003664D0" w:rsidRPr="00305EFD" w:rsidRDefault="003664D0" w:rsidP="003664D0">
      <w:pPr>
        <w:tabs>
          <w:tab w:val="left" w:pos="-720"/>
        </w:tabs>
        <w:suppressAutoHyphens/>
        <w:rPr>
          <w:spacing w:val="-3"/>
        </w:rPr>
      </w:pPr>
      <w:r w:rsidRPr="00305EFD">
        <w:rPr>
          <w:spacing w:val="-3"/>
        </w:rPr>
        <w:tab/>
        <w:t>v.</w:t>
      </w:r>
      <w:r w:rsidRPr="00305EFD">
        <w:rPr>
          <w:spacing w:val="-3"/>
        </w:rPr>
        <w:tab/>
      </w:r>
      <w:r w:rsidRPr="00305EFD">
        <w:rPr>
          <w:spacing w:val="-3"/>
        </w:rPr>
        <w:tab/>
      </w:r>
      <w:r w:rsidRPr="00305EFD">
        <w:rPr>
          <w:spacing w:val="-3"/>
        </w:rPr>
        <w:tab/>
      </w:r>
      <w:r w:rsidRPr="00305EFD">
        <w:rPr>
          <w:spacing w:val="-3"/>
        </w:rPr>
        <w:tab/>
      </w:r>
      <w:r w:rsidRPr="00305EFD">
        <w:rPr>
          <w:spacing w:val="-3"/>
        </w:rPr>
        <w:tab/>
      </w:r>
      <w:r w:rsidRPr="00305EFD">
        <w:rPr>
          <w:spacing w:val="-3"/>
        </w:rPr>
        <w:tab/>
        <w:t>:</w:t>
      </w:r>
      <w:r w:rsidRPr="00305EFD">
        <w:rPr>
          <w:spacing w:val="-3"/>
        </w:rPr>
        <w:tab/>
      </w:r>
      <w:r w:rsidRPr="00305EFD">
        <w:rPr>
          <w:spacing w:val="-3"/>
        </w:rPr>
        <w:tab/>
        <w:t>C-2016-25</w:t>
      </w:r>
      <w:r>
        <w:rPr>
          <w:spacing w:val="-3"/>
        </w:rPr>
        <w:t>80970</w:t>
      </w:r>
    </w:p>
    <w:p w:rsidR="003664D0" w:rsidRPr="00305EFD" w:rsidRDefault="003664D0" w:rsidP="003664D0">
      <w:pPr>
        <w:tabs>
          <w:tab w:val="left" w:pos="-720"/>
        </w:tabs>
        <w:suppressAutoHyphens/>
        <w:rPr>
          <w:spacing w:val="-3"/>
        </w:rPr>
      </w:pPr>
      <w:r w:rsidRPr="00305EFD">
        <w:rPr>
          <w:spacing w:val="-3"/>
        </w:rPr>
        <w:tab/>
      </w:r>
      <w:r w:rsidRPr="00305EFD">
        <w:rPr>
          <w:spacing w:val="-3"/>
        </w:rPr>
        <w:tab/>
      </w:r>
      <w:r w:rsidRPr="00305EFD">
        <w:rPr>
          <w:spacing w:val="-3"/>
        </w:rPr>
        <w:tab/>
      </w:r>
      <w:r w:rsidRPr="00305EFD">
        <w:rPr>
          <w:spacing w:val="-3"/>
        </w:rPr>
        <w:tab/>
      </w:r>
      <w:r w:rsidRPr="00305EFD">
        <w:rPr>
          <w:spacing w:val="-3"/>
        </w:rPr>
        <w:tab/>
      </w:r>
      <w:r w:rsidRPr="00305EFD">
        <w:rPr>
          <w:spacing w:val="-3"/>
        </w:rPr>
        <w:tab/>
      </w:r>
      <w:r w:rsidRPr="00305EFD">
        <w:rPr>
          <w:spacing w:val="-3"/>
        </w:rPr>
        <w:tab/>
        <w:t>:</w:t>
      </w:r>
    </w:p>
    <w:p w:rsidR="003664D0" w:rsidRPr="00305EFD" w:rsidRDefault="003664D0" w:rsidP="003664D0">
      <w:pPr>
        <w:tabs>
          <w:tab w:val="left" w:pos="-720"/>
        </w:tabs>
        <w:suppressAutoHyphens/>
        <w:rPr>
          <w:spacing w:val="-3"/>
        </w:rPr>
      </w:pPr>
      <w:r w:rsidRPr="00305EFD">
        <w:rPr>
          <w:spacing w:val="-3"/>
        </w:rPr>
        <w:t>B</w:t>
      </w:r>
      <w:r>
        <w:rPr>
          <w:spacing w:val="-3"/>
        </w:rPr>
        <w:t>uffalo &amp; Pittsburgh Railroad, Inc.</w:t>
      </w:r>
      <w:r>
        <w:rPr>
          <w:spacing w:val="-3"/>
        </w:rPr>
        <w:tab/>
      </w:r>
      <w:r w:rsidRPr="00305EFD">
        <w:rPr>
          <w:spacing w:val="-3"/>
        </w:rPr>
        <w:tab/>
      </w:r>
      <w:r w:rsidRPr="00305EFD">
        <w:rPr>
          <w:spacing w:val="-3"/>
        </w:rPr>
        <w:tab/>
        <w:t>:</w:t>
      </w:r>
    </w:p>
    <w:p w:rsidR="003664D0" w:rsidRPr="00305EFD" w:rsidRDefault="003664D0" w:rsidP="003664D0">
      <w:pPr>
        <w:tabs>
          <w:tab w:val="left" w:pos="-720"/>
        </w:tabs>
        <w:suppressAutoHyphens/>
        <w:rPr>
          <w:spacing w:val="-3"/>
        </w:rPr>
      </w:pPr>
      <w:r w:rsidRPr="00305EFD">
        <w:rPr>
          <w:spacing w:val="-3"/>
        </w:rPr>
        <w:t>Pennsylvania Department of Transportation</w:t>
      </w:r>
      <w:r w:rsidRPr="00305EFD">
        <w:rPr>
          <w:spacing w:val="-3"/>
        </w:rPr>
        <w:tab/>
      </w:r>
      <w:r w:rsidRPr="00305EFD">
        <w:rPr>
          <w:spacing w:val="-3"/>
        </w:rPr>
        <w:tab/>
        <w:t>:</w:t>
      </w:r>
    </w:p>
    <w:p w:rsidR="003664D0" w:rsidRDefault="003664D0" w:rsidP="00EB5CBE">
      <w:pPr>
        <w:tabs>
          <w:tab w:val="left" w:pos="-720"/>
        </w:tabs>
        <w:suppressAutoHyphens/>
        <w:rPr>
          <w:spacing w:val="-3"/>
        </w:rPr>
      </w:pPr>
      <w:r>
        <w:rPr>
          <w:spacing w:val="-3"/>
        </w:rPr>
        <w:t>Indiana Borough and Indiana County</w:t>
      </w:r>
      <w:r>
        <w:rPr>
          <w:spacing w:val="-3"/>
        </w:rPr>
        <w:tab/>
      </w:r>
      <w:r>
        <w:rPr>
          <w:spacing w:val="-3"/>
        </w:rPr>
        <w:tab/>
      </w:r>
      <w:r>
        <w:rPr>
          <w:spacing w:val="-3"/>
        </w:rPr>
        <w:tab/>
        <w:t>:</w:t>
      </w:r>
    </w:p>
    <w:p w:rsidR="003664D0" w:rsidRDefault="003664D0" w:rsidP="00EB5CBE">
      <w:pPr>
        <w:rPr>
          <w:b/>
        </w:rPr>
      </w:pPr>
    </w:p>
    <w:p w:rsidR="00EB5CBE" w:rsidRDefault="00EB5CBE" w:rsidP="00EB5CBE">
      <w:pPr>
        <w:rPr>
          <w:b/>
        </w:rPr>
      </w:pPr>
    </w:p>
    <w:p w:rsidR="00EB5CBE" w:rsidRDefault="00EB5CBE" w:rsidP="00EB5CBE">
      <w:pPr>
        <w:rPr>
          <w:b/>
        </w:rPr>
      </w:pPr>
    </w:p>
    <w:p w:rsidR="007B68B3" w:rsidRPr="008E6B14" w:rsidRDefault="007B68B3" w:rsidP="00EB5CBE">
      <w:pPr>
        <w:jc w:val="center"/>
        <w:rPr>
          <w:b/>
        </w:rPr>
      </w:pPr>
      <w:r w:rsidRPr="008E6B14">
        <w:rPr>
          <w:b/>
        </w:rPr>
        <w:t>PREHEARING ORDER</w:t>
      </w:r>
      <w:r w:rsidR="00DE4BC8" w:rsidRPr="008E6B14">
        <w:rPr>
          <w:b/>
        </w:rPr>
        <w:t xml:space="preserve"> #</w:t>
      </w:r>
      <w:r w:rsidR="00F73DF8">
        <w:rPr>
          <w:b/>
        </w:rPr>
        <w:t>2</w:t>
      </w:r>
    </w:p>
    <w:p w:rsidR="00AD0436" w:rsidRPr="0003612F" w:rsidRDefault="00AD0436" w:rsidP="00AD0436">
      <w:pPr>
        <w:spacing w:line="360" w:lineRule="auto"/>
        <w:ind w:firstLine="1440"/>
      </w:pPr>
    </w:p>
    <w:p w:rsidR="00347575" w:rsidRDefault="00AD0436" w:rsidP="00591C34">
      <w:pPr>
        <w:spacing w:line="360" w:lineRule="auto"/>
        <w:ind w:firstLine="1440"/>
        <w:rPr>
          <w:spacing w:val="-3"/>
        </w:rPr>
      </w:pPr>
      <w:r w:rsidRPr="0003612F">
        <w:rPr>
          <w:color w:val="000000"/>
          <w:szCs w:val="23"/>
        </w:rPr>
        <w:t xml:space="preserve">I conducted a </w:t>
      </w:r>
      <w:r w:rsidR="00DF3742">
        <w:rPr>
          <w:color w:val="000000"/>
          <w:szCs w:val="23"/>
        </w:rPr>
        <w:t xml:space="preserve">telephonic </w:t>
      </w:r>
      <w:r w:rsidRPr="0003612F">
        <w:rPr>
          <w:color w:val="000000"/>
          <w:szCs w:val="23"/>
        </w:rPr>
        <w:t xml:space="preserve">prehearing conference in this case on </w:t>
      </w:r>
      <w:r w:rsidR="00DF3742">
        <w:rPr>
          <w:color w:val="000000"/>
          <w:szCs w:val="23"/>
        </w:rPr>
        <w:t xml:space="preserve">August </w:t>
      </w:r>
      <w:r w:rsidR="00C36234">
        <w:rPr>
          <w:color w:val="000000"/>
          <w:szCs w:val="23"/>
        </w:rPr>
        <w:t>2</w:t>
      </w:r>
      <w:r w:rsidR="00DF3742">
        <w:rPr>
          <w:color w:val="000000"/>
          <w:szCs w:val="23"/>
        </w:rPr>
        <w:t>, 2018</w:t>
      </w:r>
      <w:r w:rsidRPr="0003612F">
        <w:rPr>
          <w:color w:val="000000"/>
          <w:szCs w:val="23"/>
        </w:rPr>
        <w:t xml:space="preserve">.  Present were </w:t>
      </w:r>
      <w:r w:rsidR="00DF3742">
        <w:rPr>
          <w:color w:val="000000"/>
          <w:szCs w:val="23"/>
        </w:rPr>
        <w:t xml:space="preserve">Joel Royer (Complainant), </w:t>
      </w:r>
      <w:r w:rsidRPr="0003612F">
        <w:rPr>
          <w:color w:val="000000"/>
          <w:szCs w:val="23"/>
        </w:rPr>
        <w:t xml:space="preserve">counsel for </w:t>
      </w:r>
      <w:r w:rsidR="002E61D2">
        <w:rPr>
          <w:szCs w:val="26"/>
        </w:rPr>
        <w:t xml:space="preserve">the </w:t>
      </w:r>
      <w:r w:rsidR="00B47287">
        <w:rPr>
          <w:szCs w:val="26"/>
        </w:rPr>
        <w:t xml:space="preserve">Pennsylvania Department of Transportation (DOT), </w:t>
      </w:r>
      <w:r w:rsidR="00D65B17">
        <w:rPr>
          <w:szCs w:val="26"/>
        </w:rPr>
        <w:t xml:space="preserve">the </w:t>
      </w:r>
      <w:r w:rsidR="002E61D2">
        <w:rPr>
          <w:szCs w:val="26"/>
        </w:rPr>
        <w:t>Commission’s Bureau of Investigation and Enforcement (</w:t>
      </w:r>
      <w:r w:rsidR="0095239C">
        <w:rPr>
          <w:szCs w:val="26"/>
        </w:rPr>
        <w:t>I&amp;E</w:t>
      </w:r>
      <w:r w:rsidR="002E61D2">
        <w:rPr>
          <w:szCs w:val="26"/>
        </w:rPr>
        <w:t>)</w:t>
      </w:r>
      <w:r w:rsidR="0095239C">
        <w:rPr>
          <w:szCs w:val="26"/>
        </w:rPr>
        <w:t>,</w:t>
      </w:r>
      <w:r w:rsidR="00B47287">
        <w:rPr>
          <w:szCs w:val="26"/>
        </w:rPr>
        <w:t xml:space="preserve"> </w:t>
      </w:r>
      <w:r w:rsidR="00DF3742">
        <w:rPr>
          <w:szCs w:val="26"/>
        </w:rPr>
        <w:t>Indiana County (County), Indiana Borough (Borough) and Buffalo and Pittsburgh Railroad, Inc. (B&amp;P)</w:t>
      </w:r>
      <w:r w:rsidR="00FC7669">
        <w:rPr>
          <w:szCs w:val="26"/>
        </w:rPr>
        <w:t xml:space="preserve">. </w:t>
      </w:r>
      <w:r w:rsidR="0095239C">
        <w:rPr>
          <w:szCs w:val="26"/>
        </w:rPr>
        <w:t xml:space="preserve"> </w:t>
      </w:r>
      <w:r w:rsidR="00DF3742">
        <w:rPr>
          <w:szCs w:val="26"/>
        </w:rPr>
        <w:t>T</w:t>
      </w:r>
      <w:r w:rsidR="002E61D2" w:rsidRPr="00861F1C">
        <w:t xml:space="preserve">his order sets forth the procedural matters addressed at the </w:t>
      </w:r>
      <w:r w:rsidR="00DF3742">
        <w:t xml:space="preserve">telephonic </w:t>
      </w:r>
      <w:r w:rsidR="002E61D2" w:rsidRPr="00861F1C">
        <w:t>prehearing conference.</w:t>
      </w:r>
    </w:p>
    <w:p w:rsidR="001C5FC1" w:rsidRPr="008E6B14" w:rsidRDefault="008F289B" w:rsidP="00591C34">
      <w:pPr>
        <w:spacing w:line="360" w:lineRule="auto"/>
        <w:ind w:firstLine="1440"/>
      </w:pPr>
      <w:r w:rsidRPr="008E6B14">
        <w:rPr>
          <w:spacing w:val="-3"/>
        </w:rPr>
        <w:t xml:space="preserve"> </w:t>
      </w:r>
    </w:p>
    <w:p w:rsidR="00917400" w:rsidRPr="008E6B14" w:rsidRDefault="00917400" w:rsidP="00917400">
      <w:pPr>
        <w:spacing w:line="360" w:lineRule="auto"/>
        <w:ind w:firstLine="1440"/>
      </w:pPr>
      <w:r w:rsidRPr="008E6B14">
        <w:t>THEREFORE,</w:t>
      </w:r>
    </w:p>
    <w:p w:rsidR="00917400" w:rsidRPr="008E6B14" w:rsidRDefault="00917400" w:rsidP="00917400">
      <w:pPr>
        <w:tabs>
          <w:tab w:val="left" w:pos="2205"/>
        </w:tabs>
        <w:spacing w:line="360" w:lineRule="auto"/>
        <w:ind w:firstLine="1440"/>
      </w:pPr>
      <w:r w:rsidRPr="008E6B14">
        <w:tab/>
      </w:r>
    </w:p>
    <w:p w:rsidR="00917400" w:rsidRDefault="00917400" w:rsidP="00917400">
      <w:pPr>
        <w:spacing w:line="360" w:lineRule="auto"/>
        <w:ind w:firstLine="1440"/>
      </w:pPr>
      <w:r w:rsidRPr="008E6B14">
        <w:t>IT IS ORDERED:</w:t>
      </w:r>
    </w:p>
    <w:p w:rsidR="00C36234" w:rsidRDefault="00C36234" w:rsidP="00917400">
      <w:pPr>
        <w:spacing w:line="360" w:lineRule="auto"/>
        <w:ind w:firstLine="1440"/>
      </w:pPr>
    </w:p>
    <w:p w:rsidR="00231BE9" w:rsidRPr="00861F1C" w:rsidRDefault="00231BE9" w:rsidP="00231BE9">
      <w:pPr>
        <w:spacing w:line="360" w:lineRule="auto"/>
        <w:ind w:firstLine="1440"/>
      </w:pPr>
      <w:r>
        <w:t>1</w:t>
      </w:r>
      <w:r w:rsidRPr="00861F1C">
        <w:t>.</w:t>
      </w:r>
      <w:r w:rsidRPr="00861F1C">
        <w:tab/>
        <w:t xml:space="preserve">That, pursuant to 52 Pa.Code §1.55, each party shall be limited to </w:t>
      </w:r>
      <w:r>
        <w:t>one</w:t>
      </w:r>
      <w:r w:rsidRPr="00861F1C">
        <w:t xml:space="preserve"> entr</w:t>
      </w:r>
      <w:r>
        <w:t>y</w:t>
      </w:r>
      <w:r w:rsidRPr="00861F1C">
        <w:t xml:space="preserve"> on the </w:t>
      </w:r>
      <w:r>
        <w:t xml:space="preserve">service </w:t>
      </w:r>
      <w:r w:rsidRPr="00861F1C">
        <w:t>list.  Any changes should be communicated to me, via e-mail (dsalapa@</w:t>
      </w:r>
      <w:r>
        <w:t>pa.gov</w:t>
      </w:r>
      <w:r w:rsidRPr="00861F1C">
        <w:t xml:space="preserve">) or in writing as soon as possible.    </w:t>
      </w:r>
    </w:p>
    <w:tbl>
      <w:tblPr>
        <w:tblW w:w="8550" w:type="dxa"/>
        <w:tblInd w:w="558" w:type="dxa"/>
        <w:tblLayout w:type="fixed"/>
        <w:tblLook w:val="01E0" w:firstRow="1" w:lastRow="1" w:firstColumn="1" w:lastColumn="1" w:noHBand="0" w:noVBand="0"/>
      </w:tblPr>
      <w:tblGrid>
        <w:gridCol w:w="2520"/>
        <w:gridCol w:w="2610"/>
        <w:gridCol w:w="3420"/>
      </w:tblGrid>
      <w:tr w:rsidR="00231BE9" w:rsidRPr="00861F1C" w:rsidTr="00927032">
        <w:tc>
          <w:tcPr>
            <w:tcW w:w="2520" w:type="dxa"/>
          </w:tcPr>
          <w:p w:rsidR="00231BE9" w:rsidRPr="00861F1C" w:rsidRDefault="00231BE9" w:rsidP="00927032">
            <w:pPr>
              <w:jc w:val="both"/>
              <w:rPr>
                <w:b/>
              </w:rPr>
            </w:pPr>
            <w:r w:rsidRPr="00861F1C">
              <w:rPr>
                <w:b/>
              </w:rPr>
              <w:t>Party</w:t>
            </w:r>
          </w:p>
        </w:tc>
        <w:tc>
          <w:tcPr>
            <w:tcW w:w="2610" w:type="dxa"/>
          </w:tcPr>
          <w:p w:rsidR="00231BE9" w:rsidRPr="00861F1C" w:rsidRDefault="00231BE9" w:rsidP="00927032">
            <w:pPr>
              <w:spacing w:line="360" w:lineRule="auto"/>
              <w:jc w:val="both"/>
              <w:rPr>
                <w:b/>
              </w:rPr>
            </w:pPr>
            <w:r w:rsidRPr="00861F1C">
              <w:rPr>
                <w:b/>
              </w:rPr>
              <w:t>Counsel</w:t>
            </w:r>
          </w:p>
        </w:tc>
        <w:tc>
          <w:tcPr>
            <w:tcW w:w="3420" w:type="dxa"/>
          </w:tcPr>
          <w:p w:rsidR="00231BE9" w:rsidRPr="00861F1C" w:rsidRDefault="00231BE9" w:rsidP="00927032">
            <w:pPr>
              <w:spacing w:line="360" w:lineRule="auto"/>
              <w:jc w:val="both"/>
              <w:rPr>
                <w:b/>
              </w:rPr>
            </w:pPr>
            <w:r w:rsidRPr="00861F1C">
              <w:rPr>
                <w:b/>
              </w:rPr>
              <w:t>E-Mail</w:t>
            </w:r>
          </w:p>
        </w:tc>
      </w:tr>
      <w:tr w:rsidR="00231BE9" w:rsidRPr="00861F1C" w:rsidTr="00927032">
        <w:tc>
          <w:tcPr>
            <w:tcW w:w="2520" w:type="dxa"/>
          </w:tcPr>
          <w:p w:rsidR="00231BE9" w:rsidRPr="00861F1C" w:rsidRDefault="00B47287" w:rsidP="00927032">
            <w:pPr>
              <w:jc w:val="both"/>
            </w:pPr>
            <w:r>
              <w:t>DOT</w:t>
            </w:r>
          </w:p>
        </w:tc>
        <w:tc>
          <w:tcPr>
            <w:tcW w:w="2610" w:type="dxa"/>
          </w:tcPr>
          <w:p w:rsidR="00231BE9" w:rsidRPr="00861F1C" w:rsidRDefault="00B47287" w:rsidP="00927032">
            <w:r>
              <w:t>Gina M. D’Alfonso</w:t>
            </w:r>
          </w:p>
        </w:tc>
        <w:tc>
          <w:tcPr>
            <w:tcW w:w="3420" w:type="dxa"/>
          </w:tcPr>
          <w:p w:rsidR="00231BE9" w:rsidRPr="00861F1C" w:rsidRDefault="00141AB3" w:rsidP="00927032">
            <w:pPr>
              <w:jc w:val="both"/>
            </w:pPr>
            <w:hyperlink r:id="rId8" w:history="1">
              <w:r w:rsidR="00B47287" w:rsidRPr="00173181">
                <w:rPr>
                  <w:rStyle w:val="Hyperlink"/>
                </w:rPr>
                <w:t>gdalfonso@pa.gov</w:t>
              </w:r>
            </w:hyperlink>
            <w:r w:rsidR="00E22FAA">
              <w:t xml:space="preserve"> </w:t>
            </w:r>
          </w:p>
        </w:tc>
      </w:tr>
      <w:tr w:rsidR="00231BE9" w:rsidRPr="00861F1C" w:rsidTr="00927032">
        <w:tc>
          <w:tcPr>
            <w:tcW w:w="2520" w:type="dxa"/>
          </w:tcPr>
          <w:p w:rsidR="00231BE9" w:rsidRPr="00861F1C" w:rsidRDefault="00B47287" w:rsidP="00927032">
            <w:r>
              <w:t>I&amp;E</w:t>
            </w:r>
          </w:p>
        </w:tc>
        <w:tc>
          <w:tcPr>
            <w:tcW w:w="2610" w:type="dxa"/>
          </w:tcPr>
          <w:p w:rsidR="00231BE9" w:rsidRPr="001366FB" w:rsidRDefault="00B47287" w:rsidP="00927032">
            <w:r>
              <w:t xml:space="preserve">Bradley R. </w:t>
            </w:r>
            <w:proofErr w:type="spellStart"/>
            <w:r>
              <w:t>Gortner</w:t>
            </w:r>
            <w:proofErr w:type="spellEnd"/>
          </w:p>
        </w:tc>
        <w:tc>
          <w:tcPr>
            <w:tcW w:w="3420" w:type="dxa"/>
          </w:tcPr>
          <w:p w:rsidR="00231BE9" w:rsidRPr="001366FB" w:rsidRDefault="00141AB3" w:rsidP="00927032">
            <w:pPr>
              <w:jc w:val="both"/>
            </w:pPr>
            <w:hyperlink r:id="rId9" w:history="1">
              <w:r w:rsidR="00B47287" w:rsidRPr="00173181">
                <w:rPr>
                  <w:rStyle w:val="Hyperlink"/>
                </w:rPr>
                <w:t>bgortner@pa.gov</w:t>
              </w:r>
            </w:hyperlink>
            <w:r w:rsidR="00B47287">
              <w:t xml:space="preserve">  </w:t>
            </w:r>
          </w:p>
        </w:tc>
      </w:tr>
      <w:tr w:rsidR="00231BE9" w:rsidRPr="00861F1C" w:rsidTr="00927032">
        <w:tc>
          <w:tcPr>
            <w:tcW w:w="2520" w:type="dxa"/>
          </w:tcPr>
          <w:p w:rsidR="00231BE9" w:rsidRPr="00861F1C" w:rsidRDefault="00DF3742" w:rsidP="00927032">
            <w:r>
              <w:t>County</w:t>
            </w:r>
          </w:p>
        </w:tc>
        <w:tc>
          <w:tcPr>
            <w:tcW w:w="2610" w:type="dxa"/>
          </w:tcPr>
          <w:p w:rsidR="00231BE9" w:rsidRPr="00861F1C" w:rsidRDefault="00DF3742" w:rsidP="00927032">
            <w:r>
              <w:t xml:space="preserve">Matthew </w:t>
            </w:r>
            <w:proofErr w:type="spellStart"/>
            <w:r>
              <w:t>Budash</w:t>
            </w:r>
            <w:proofErr w:type="spellEnd"/>
          </w:p>
        </w:tc>
        <w:tc>
          <w:tcPr>
            <w:tcW w:w="3420" w:type="dxa"/>
          </w:tcPr>
          <w:p w:rsidR="00231BE9" w:rsidRPr="00861F1C" w:rsidRDefault="00DF3742" w:rsidP="00927032">
            <w:pPr>
              <w:jc w:val="both"/>
            </w:pPr>
            <w:r>
              <w:rPr>
                <w:rStyle w:val="Hyperlink"/>
              </w:rPr>
              <w:t>mtb@bwlaw120.com</w:t>
            </w:r>
          </w:p>
        </w:tc>
      </w:tr>
      <w:tr w:rsidR="00E22FAA" w:rsidRPr="00861F1C" w:rsidTr="00927032">
        <w:tc>
          <w:tcPr>
            <w:tcW w:w="2520" w:type="dxa"/>
          </w:tcPr>
          <w:p w:rsidR="00E22FAA" w:rsidRDefault="00DF3742" w:rsidP="00927032">
            <w:r>
              <w:t>B&amp;P</w:t>
            </w:r>
          </w:p>
        </w:tc>
        <w:tc>
          <w:tcPr>
            <w:tcW w:w="2610" w:type="dxa"/>
          </w:tcPr>
          <w:p w:rsidR="00E22FAA" w:rsidRDefault="00DF3742" w:rsidP="00927032">
            <w:r>
              <w:t xml:space="preserve">Eric </w:t>
            </w:r>
            <w:proofErr w:type="spellStart"/>
            <w:r>
              <w:t>Hocky</w:t>
            </w:r>
            <w:proofErr w:type="spellEnd"/>
          </w:p>
        </w:tc>
        <w:tc>
          <w:tcPr>
            <w:tcW w:w="3420" w:type="dxa"/>
          </w:tcPr>
          <w:p w:rsidR="00E22FAA" w:rsidRDefault="00141AB3" w:rsidP="00E22FAA">
            <w:pPr>
              <w:jc w:val="both"/>
            </w:pPr>
            <w:hyperlink r:id="rId10" w:history="1">
              <w:r w:rsidR="00DF3742">
                <w:rPr>
                  <w:rStyle w:val="Hyperlink"/>
                </w:rPr>
                <w:t>ehock</w:t>
              </w:r>
            </w:hyperlink>
            <w:r w:rsidR="00DF3742">
              <w:rPr>
                <w:rStyle w:val="Hyperlink"/>
              </w:rPr>
              <w:t>y@clarkhill.com</w:t>
            </w:r>
          </w:p>
        </w:tc>
      </w:tr>
      <w:tr w:rsidR="00E22FAA" w:rsidRPr="00861F1C" w:rsidTr="00927032">
        <w:tc>
          <w:tcPr>
            <w:tcW w:w="2520" w:type="dxa"/>
          </w:tcPr>
          <w:p w:rsidR="00E22FAA" w:rsidRDefault="00DF3742" w:rsidP="00927032">
            <w:r>
              <w:t>Borough</w:t>
            </w:r>
          </w:p>
        </w:tc>
        <w:tc>
          <w:tcPr>
            <w:tcW w:w="2610" w:type="dxa"/>
          </w:tcPr>
          <w:p w:rsidR="00E22FAA" w:rsidRDefault="00DF3742" w:rsidP="00927032">
            <w:r>
              <w:t xml:space="preserve">Neva </w:t>
            </w:r>
            <w:proofErr w:type="spellStart"/>
            <w:r>
              <w:t>Stotler</w:t>
            </w:r>
            <w:proofErr w:type="spellEnd"/>
          </w:p>
        </w:tc>
        <w:tc>
          <w:tcPr>
            <w:tcW w:w="3420" w:type="dxa"/>
          </w:tcPr>
          <w:p w:rsidR="00E22FAA" w:rsidRDefault="00DC4CEE" w:rsidP="00927032">
            <w:pPr>
              <w:jc w:val="both"/>
            </w:pPr>
            <w:r>
              <w:rPr>
                <w:rStyle w:val="Hyperlink"/>
              </w:rPr>
              <w:t>nstotler@cfwws.com</w:t>
            </w:r>
          </w:p>
        </w:tc>
      </w:tr>
      <w:tr w:rsidR="00E22FAA" w:rsidRPr="00861F1C" w:rsidTr="00927032">
        <w:tc>
          <w:tcPr>
            <w:tcW w:w="2520" w:type="dxa"/>
          </w:tcPr>
          <w:p w:rsidR="00E22FAA" w:rsidRDefault="00DC4CEE" w:rsidP="00927032">
            <w:r>
              <w:t>Complainant</w:t>
            </w:r>
          </w:p>
        </w:tc>
        <w:tc>
          <w:tcPr>
            <w:tcW w:w="2610" w:type="dxa"/>
          </w:tcPr>
          <w:p w:rsidR="00E22FAA" w:rsidRDefault="00E22FAA" w:rsidP="00927032"/>
        </w:tc>
        <w:tc>
          <w:tcPr>
            <w:tcW w:w="3420" w:type="dxa"/>
          </w:tcPr>
          <w:p w:rsidR="00E22FAA" w:rsidRDefault="00141AB3" w:rsidP="00927032">
            <w:pPr>
              <w:jc w:val="both"/>
            </w:pPr>
            <w:hyperlink r:id="rId11" w:history="1">
              <w:r w:rsidR="00DC4CEE" w:rsidRPr="002D64CD">
                <w:rPr>
                  <w:rStyle w:val="Hyperlink"/>
                </w:rPr>
                <w:t>joelhroyer@hotmail.com</w:t>
              </w:r>
            </w:hyperlink>
          </w:p>
        </w:tc>
      </w:tr>
      <w:tr w:rsidR="00231BE9" w:rsidRPr="00861F1C" w:rsidTr="00927032">
        <w:tc>
          <w:tcPr>
            <w:tcW w:w="2520" w:type="dxa"/>
          </w:tcPr>
          <w:p w:rsidR="00231BE9" w:rsidRPr="00861F1C" w:rsidRDefault="00C36234" w:rsidP="00927032">
            <w:pPr>
              <w:jc w:val="both"/>
            </w:pPr>
            <w:r w:rsidRPr="00861F1C">
              <w:t>ALJ Salapa</w:t>
            </w:r>
          </w:p>
        </w:tc>
        <w:tc>
          <w:tcPr>
            <w:tcW w:w="2610" w:type="dxa"/>
          </w:tcPr>
          <w:p w:rsidR="00231BE9" w:rsidRPr="00861F1C" w:rsidRDefault="00231BE9" w:rsidP="00927032"/>
        </w:tc>
        <w:tc>
          <w:tcPr>
            <w:tcW w:w="3420" w:type="dxa"/>
          </w:tcPr>
          <w:p w:rsidR="00231BE9" w:rsidRPr="00861F1C" w:rsidRDefault="00141AB3" w:rsidP="00927032">
            <w:pPr>
              <w:jc w:val="both"/>
            </w:pPr>
            <w:hyperlink r:id="rId12" w:history="1">
              <w:r w:rsidR="00231BE9" w:rsidRPr="004D5D89">
                <w:rPr>
                  <w:rStyle w:val="Hyperlink"/>
                </w:rPr>
                <w:t>dsalapa@pa.gov</w:t>
              </w:r>
            </w:hyperlink>
          </w:p>
        </w:tc>
      </w:tr>
    </w:tbl>
    <w:p w:rsidR="00EB5CBE" w:rsidRDefault="00231BE9" w:rsidP="00231BE9">
      <w:pPr>
        <w:spacing w:line="360" w:lineRule="auto"/>
        <w:rPr>
          <w:b/>
          <w:szCs w:val="32"/>
        </w:rPr>
        <w:sectPr w:rsidR="00EB5CBE" w:rsidSect="00EB5CBE">
          <w:footerReference w:type="default" r:id="rId13"/>
          <w:footerReference w:type="first" r:id="rId14"/>
          <w:pgSz w:w="12240" w:h="15840"/>
          <w:pgMar w:top="1296" w:right="1440" w:bottom="1296" w:left="1440" w:header="720" w:footer="720" w:gutter="0"/>
          <w:cols w:space="720"/>
          <w:titlePg/>
          <w:docGrid w:linePitch="360"/>
        </w:sectPr>
      </w:pPr>
      <w:r w:rsidRPr="00861F1C">
        <w:rPr>
          <w:b/>
          <w:szCs w:val="32"/>
        </w:rPr>
        <w:tab/>
      </w:r>
    </w:p>
    <w:p w:rsidR="00231BE9" w:rsidRPr="00861F1C" w:rsidRDefault="00231BE9" w:rsidP="00231BE9">
      <w:pPr>
        <w:spacing w:line="360" w:lineRule="auto"/>
        <w:rPr>
          <w:b/>
          <w:szCs w:val="32"/>
        </w:rPr>
      </w:pPr>
    </w:p>
    <w:p w:rsidR="00DF261A" w:rsidRDefault="00231BE9" w:rsidP="00231BE9">
      <w:pPr>
        <w:spacing w:line="360" w:lineRule="auto"/>
      </w:pPr>
      <w:r w:rsidRPr="00861F1C">
        <w:rPr>
          <w:b/>
          <w:szCs w:val="32"/>
        </w:rPr>
        <w:tab/>
      </w:r>
      <w:r w:rsidRPr="00861F1C">
        <w:rPr>
          <w:b/>
          <w:szCs w:val="32"/>
        </w:rPr>
        <w:tab/>
      </w:r>
      <w:r w:rsidRPr="004E7DC3">
        <w:rPr>
          <w:szCs w:val="32"/>
        </w:rPr>
        <w:t>2</w:t>
      </w:r>
      <w:r w:rsidRPr="00861F1C">
        <w:t>.</w:t>
      </w:r>
      <w:r w:rsidRPr="00861F1C">
        <w:tab/>
        <w:t xml:space="preserve">That the above parties shall receive all documents and shall copy all other parties on documents they file with the Commission or serve on me.  The above parties are expected to conduct discovery, attend hearings, or present or cross-examine witnesses.  </w:t>
      </w:r>
      <w:r>
        <w:t xml:space="preserve"> </w:t>
      </w:r>
    </w:p>
    <w:p w:rsidR="00231BE9" w:rsidRPr="008E6B14" w:rsidRDefault="00231BE9" w:rsidP="00231BE9">
      <w:pPr>
        <w:spacing w:line="360" w:lineRule="auto"/>
      </w:pPr>
    </w:p>
    <w:p w:rsidR="009B4218" w:rsidRPr="008E6B14" w:rsidRDefault="00DC4CEE" w:rsidP="00917400">
      <w:pPr>
        <w:spacing w:line="360" w:lineRule="auto"/>
        <w:ind w:firstLine="1440"/>
      </w:pPr>
      <w:r>
        <w:t>3</w:t>
      </w:r>
      <w:r w:rsidR="00FC6394" w:rsidRPr="008E6B14">
        <w:t>.</w:t>
      </w:r>
      <w:r w:rsidR="00FC6394" w:rsidRPr="008E6B14">
        <w:tab/>
        <w:t>That the following schedule is adopted:</w:t>
      </w:r>
    </w:p>
    <w:p w:rsidR="001E05BF" w:rsidRPr="008E6B14" w:rsidRDefault="001E05BF" w:rsidP="001E05BF"/>
    <w:p w:rsidR="00FC6394" w:rsidRDefault="00C777F0" w:rsidP="008E6B14">
      <w:r w:rsidRPr="008E6B14">
        <w:rPr>
          <w:spacing w:val="-3"/>
        </w:rPr>
        <w:tab/>
      </w:r>
      <w:r w:rsidRPr="008E6B14">
        <w:rPr>
          <w:spacing w:val="-3"/>
        </w:rPr>
        <w:tab/>
      </w:r>
      <w:r w:rsidR="00067634">
        <w:rPr>
          <w:spacing w:val="-3"/>
        </w:rPr>
        <w:t>Prehearing conference</w:t>
      </w:r>
      <w:r w:rsidR="00FC6394" w:rsidRPr="008E6B14">
        <w:tab/>
      </w:r>
      <w:r w:rsidR="00FC6394" w:rsidRPr="008E6B14">
        <w:tab/>
      </w:r>
      <w:r w:rsidR="00E22FAA">
        <w:tab/>
      </w:r>
      <w:r w:rsidR="00DC4CEE">
        <w:t>August 2, 2018</w:t>
      </w:r>
    </w:p>
    <w:p w:rsidR="00AC0C3F" w:rsidRPr="008E6B14" w:rsidRDefault="00AC0C3F" w:rsidP="00AC0C3F">
      <w:r>
        <w:tab/>
      </w:r>
      <w:r>
        <w:tab/>
      </w:r>
      <w:r w:rsidR="00EB5041">
        <w:t>D</w:t>
      </w:r>
      <w:r w:rsidR="00067634">
        <w:t>irect t</w:t>
      </w:r>
      <w:r w:rsidRPr="008E6B14">
        <w:t xml:space="preserve">estimony </w:t>
      </w:r>
      <w:r w:rsidRPr="008E6B14">
        <w:tab/>
      </w:r>
      <w:r w:rsidR="00EB5041">
        <w:tab/>
      </w:r>
      <w:r w:rsidR="00EB5041">
        <w:tab/>
      </w:r>
      <w:r w:rsidR="00DC4CEE">
        <w:t>October 19, 2018</w:t>
      </w:r>
    </w:p>
    <w:p w:rsidR="00FC6394" w:rsidRPr="008E6B14" w:rsidRDefault="00AC0C3F" w:rsidP="008E6B14">
      <w:r w:rsidRPr="008E6B14">
        <w:tab/>
      </w:r>
      <w:r w:rsidRPr="008E6B14">
        <w:tab/>
      </w:r>
      <w:r w:rsidR="00EB5041">
        <w:t>R</w:t>
      </w:r>
      <w:r w:rsidR="00FC6394" w:rsidRPr="008E6B14">
        <w:t>ebuttal testimony</w:t>
      </w:r>
      <w:r w:rsidR="00FC6394" w:rsidRPr="008E6B14">
        <w:tab/>
      </w:r>
      <w:r w:rsidR="00EB5041">
        <w:tab/>
      </w:r>
      <w:r w:rsidR="00EB5041">
        <w:tab/>
      </w:r>
      <w:r w:rsidR="00DC4CEE">
        <w:t>November 2, 2018</w:t>
      </w:r>
    </w:p>
    <w:p w:rsidR="00FC6394" w:rsidRPr="008E6B14" w:rsidRDefault="00FC6394" w:rsidP="00DC4CEE">
      <w:r w:rsidRPr="008E6B14">
        <w:tab/>
      </w:r>
      <w:r w:rsidRPr="008E6B14">
        <w:tab/>
        <w:t>Evidentiary hearings</w:t>
      </w:r>
      <w:r w:rsidRPr="008E6B14">
        <w:tab/>
      </w:r>
      <w:r w:rsidRPr="008E6B14">
        <w:tab/>
      </w:r>
      <w:r w:rsidRPr="008E6B14">
        <w:tab/>
      </w:r>
      <w:r w:rsidR="00DC4CEE">
        <w:t>November 13, 2018</w:t>
      </w:r>
    </w:p>
    <w:p w:rsidR="00FC6394" w:rsidRDefault="00503F46" w:rsidP="00067634">
      <w:r w:rsidRPr="008E6B14">
        <w:tab/>
      </w:r>
      <w:r w:rsidRPr="008E6B14">
        <w:tab/>
      </w:r>
    </w:p>
    <w:p w:rsidR="00067634" w:rsidRPr="008E6B14" w:rsidRDefault="00067634" w:rsidP="00067634"/>
    <w:p w:rsidR="00C777F0" w:rsidRPr="008E6B14" w:rsidRDefault="00C777F0" w:rsidP="00FC6394">
      <w:pPr>
        <w:spacing w:line="360" w:lineRule="auto"/>
        <w:rPr>
          <w:spacing w:val="-3"/>
        </w:rPr>
      </w:pPr>
      <w:r w:rsidRPr="008E6B14">
        <w:rPr>
          <w:spacing w:val="-3"/>
        </w:rPr>
        <w:tab/>
      </w:r>
      <w:r w:rsidRPr="008E6B14">
        <w:rPr>
          <w:spacing w:val="-3"/>
        </w:rPr>
        <w:tab/>
      </w:r>
      <w:r w:rsidR="00DC4CEE">
        <w:rPr>
          <w:spacing w:val="-3"/>
        </w:rPr>
        <w:t>4</w:t>
      </w:r>
      <w:r w:rsidR="00E22FAA">
        <w:rPr>
          <w:spacing w:val="-3"/>
        </w:rPr>
        <w:t>.</w:t>
      </w:r>
      <w:r w:rsidR="00FC6394" w:rsidRPr="008E6B14">
        <w:rPr>
          <w:spacing w:val="-3"/>
        </w:rPr>
        <w:tab/>
        <w:t xml:space="preserve">That in accordance with the schedule set forth in paragraph </w:t>
      </w:r>
      <w:r w:rsidR="00C36234">
        <w:rPr>
          <w:spacing w:val="-3"/>
        </w:rPr>
        <w:t>3</w:t>
      </w:r>
      <w:r w:rsidR="00FC6394" w:rsidRPr="008E6B14">
        <w:rPr>
          <w:spacing w:val="-3"/>
        </w:rPr>
        <w:t xml:space="preserve"> above and 52 Pa. Code §5.412, the parties shall serve the documents listed above so that the documents are received in-hand by the parties and presiding officer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D40D91" w:rsidRPr="008E6B14" w:rsidRDefault="00642208" w:rsidP="00D40D91">
      <w:pPr>
        <w:spacing w:line="360" w:lineRule="auto"/>
      </w:pPr>
      <w:r w:rsidRPr="008E6B14">
        <w:rPr>
          <w:spacing w:val="-3"/>
        </w:rPr>
        <w:tab/>
      </w:r>
      <w:r w:rsidRPr="008E6B14">
        <w:rPr>
          <w:spacing w:val="-3"/>
        </w:rPr>
        <w:tab/>
      </w:r>
    </w:p>
    <w:p w:rsidR="00D40D91" w:rsidRDefault="00D40D91" w:rsidP="00D40D91">
      <w:pPr>
        <w:spacing w:line="360" w:lineRule="auto"/>
      </w:pPr>
      <w:r w:rsidRPr="008E6B14">
        <w:tab/>
      </w:r>
      <w:r w:rsidRPr="008E6B14">
        <w:tab/>
      </w:r>
      <w:r w:rsidR="00DC4CEE">
        <w:t>5</w:t>
      </w:r>
      <w:r w:rsidRPr="008E6B14">
        <w:t>.</w:t>
      </w:r>
      <w:r w:rsidRPr="008E6B14">
        <w:tab/>
        <w:t xml:space="preserve">That written testimony shall comply with the requirements of 52 Pa. Code §5.412 and shall be marked with numerical, sequential statement numbers. </w:t>
      </w:r>
      <w:r w:rsidR="006A6146">
        <w:t xml:space="preserve"> </w:t>
      </w:r>
      <w:r w:rsidRPr="008E6B14">
        <w:t>Oral direct</w:t>
      </w:r>
      <w:r w:rsidR="00C36234">
        <w:t xml:space="preserve"> or</w:t>
      </w:r>
      <w:r w:rsidRPr="008E6B14">
        <w:t xml:space="preserve"> rebuttal testimony shall not be permitted, except by permission of the presiding officer for good cause.</w:t>
      </w:r>
    </w:p>
    <w:p w:rsidR="00B11735" w:rsidRDefault="00B11735" w:rsidP="00D40D91">
      <w:pPr>
        <w:spacing w:line="360" w:lineRule="auto"/>
      </w:pPr>
    </w:p>
    <w:p w:rsidR="00B11735" w:rsidRDefault="00DC4CEE" w:rsidP="00B11735">
      <w:pPr>
        <w:tabs>
          <w:tab w:val="left" w:pos="-720"/>
          <w:tab w:val="left" w:pos="2160"/>
        </w:tabs>
        <w:suppressAutoHyphens/>
        <w:spacing w:line="360" w:lineRule="auto"/>
        <w:ind w:firstLine="1440"/>
      </w:pPr>
      <w:r>
        <w:t>6</w:t>
      </w:r>
      <w:r w:rsidR="00B11735">
        <w:t>.</w:t>
      </w:r>
      <w:r w:rsidR="00B11735">
        <w:tab/>
        <w:t>That the parties shall provide information in their written testimony responding to the list of Questions and Procedure prepared by the Commission’s Bureau of Technical Utility Services attached to this prehearing order.</w:t>
      </w:r>
    </w:p>
    <w:p w:rsidR="00464349" w:rsidRPr="008E6B14" w:rsidRDefault="00464349" w:rsidP="00D40D91">
      <w:pPr>
        <w:spacing w:line="360" w:lineRule="auto"/>
      </w:pPr>
    </w:p>
    <w:p w:rsidR="00231BE9" w:rsidRDefault="00DC4CEE" w:rsidP="00723133">
      <w:pPr>
        <w:spacing w:line="360" w:lineRule="auto"/>
        <w:ind w:firstLine="1440"/>
      </w:pPr>
      <w:r>
        <w:t>7</w:t>
      </w:r>
      <w:r w:rsidR="00D40D91" w:rsidRPr="008E6B14">
        <w:t>.</w:t>
      </w:r>
      <w:r w:rsidR="00D40D91" w:rsidRPr="008E6B14">
        <w:tab/>
      </w:r>
      <w:r w:rsidR="00464349" w:rsidRPr="008E6B14">
        <w:t xml:space="preserve">That </w:t>
      </w:r>
      <w:r w:rsidR="00D40D91" w:rsidRPr="008E6B14">
        <w:t xml:space="preserve">the parties shall conduct discovery pursuant to 52 Pa. Code §§5.321-5.373.  I encourage the parties to cooperate and exchange information on an informal basis.  </w:t>
      </w:r>
      <w:r w:rsidR="00347575">
        <w:t>T</w:t>
      </w:r>
      <w:r w:rsidR="00D40D91" w:rsidRPr="008E6B14">
        <w:t xml:space="preserve">he parties </w:t>
      </w:r>
      <w:r w:rsidR="00347575">
        <w:t xml:space="preserve">shall </w:t>
      </w:r>
      <w:r w:rsidR="00D40D91" w:rsidRPr="008E6B14">
        <w:t xml:space="preserve">cooperate rather than engage in numerous or protracted discovery disagreements that require my participation to resolve.  All motions to compel shall contain a certification by counsel setting forth the specific actions the parties have undertaken to resolve their discovery </w:t>
      </w:r>
      <w:r w:rsidR="00D40D91" w:rsidRPr="008E6B14">
        <w:lastRenderedPageBreak/>
        <w:t>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8E41A4" w:rsidRPr="008E6B14" w:rsidRDefault="00231BE9" w:rsidP="00D40D91">
      <w:pPr>
        <w:spacing w:line="360" w:lineRule="auto"/>
      </w:pPr>
      <w:r w:rsidRPr="008E6B14">
        <w:t xml:space="preserve"> </w:t>
      </w:r>
    </w:p>
    <w:p w:rsidR="00D40D91" w:rsidRPr="008E6B14" w:rsidRDefault="00C36234" w:rsidP="004F17C1">
      <w:pPr>
        <w:spacing w:line="360" w:lineRule="auto"/>
        <w:ind w:firstLine="1440"/>
      </w:pPr>
      <w:r>
        <w:t>8</w:t>
      </w:r>
      <w:r w:rsidR="00D40D91" w:rsidRPr="008E6B14">
        <w:t>.</w:t>
      </w:r>
      <w:r w:rsidR="00D40D91" w:rsidRPr="008E6B14">
        <w:tab/>
        <w:t>That any provision of this prehearing order may be modified upon motion and good cause shown by any party in interest in accordance with 52 Pa. Code §5.223(a).</w:t>
      </w:r>
    </w:p>
    <w:p w:rsidR="009A2CA1" w:rsidRDefault="009A2CA1" w:rsidP="00915F09"/>
    <w:p w:rsidR="00912A34" w:rsidRPr="008E6B14" w:rsidRDefault="00912A34" w:rsidP="00915F09"/>
    <w:p w:rsidR="009A2CA1" w:rsidRPr="008E6B14" w:rsidRDefault="009A2CA1" w:rsidP="00F946D2">
      <w:r w:rsidRPr="008E6B14">
        <w:t>Dated:</w:t>
      </w:r>
      <w:r w:rsidRPr="008E6B14">
        <w:tab/>
        <w:t xml:space="preserve"> </w:t>
      </w:r>
      <w:r w:rsidR="00DC4CEE">
        <w:rPr>
          <w:u w:val="single"/>
        </w:rPr>
        <w:t>August 3, 2018</w:t>
      </w:r>
      <w:r w:rsidR="008E6B14" w:rsidRPr="008E6B14">
        <w:tab/>
      </w:r>
      <w:r w:rsidR="00F946D2" w:rsidRPr="008E6B14">
        <w:tab/>
      </w:r>
      <w:r w:rsidR="00154BBD">
        <w:tab/>
      </w:r>
      <w:r w:rsidRPr="008E6B14">
        <w:t>______________________________</w:t>
      </w:r>
    </w:p>
    <w:p w:rsidR="009A2CA1" w:rsidRPr="008E6B14" w:rsidRDefault="009A2CA1" w:rsidP="00F946D2">
      <w:r w:rsidRPr="008E6B14">
        <w:tab/>
      </w:r>
      <w:r w:rsidRPr="008E6B14">
        <w:tab/>
      </w:r>
      <w:r w:rsidRPr="008E6B14">
        <w:tab/>
      </w:r>
      <w:r w:rsidRPr="008E6B14">
        <w:tab/>
      </w:r>
      <w:r w:rsidRPr="008E6B14">
        <w:tab/>
      </w:r>
      <w:r w:rsidR="00F946D2" w:rsidRPr="008E6B14">
        <w:tab/>
      </w:r>
      <w:r w:rsidRPr="008E6B14">
        <w:t>David A. Salapa</w:t>
      </w:r>
    </w:p>
    <w:p w:rsidR="009A2CA1" w:rsidRDefault="009A2CA1" w:rsidP="00F946D2">
      <w:r w:rsidRPr="008E6B14">
        <w:tab/>
      </w:r>
      <w:r w:rsidRPr="008E6B14">
        <w:tab/>
      </w:r>
      <w:r w:rsidRPr="008E6B14">
        <w:tab/>
      </w:r>
      <w:r w:rsidRPr="008E6B14">
        <w:tab/>
      </w:r>
      <w:r w:rsidRPr="008E6B14">
        <w:tab/>
      </w:r>
      <w:r w:rsidR="00F946D2" w:rsidRPr="008E6B14">
        <w:tab/>
      </w:r>
      <w:r w:rsidRPr="008E6B14">
        <w:t>Administrative Law Judge</w:t>
      </w:r>
    </w:p>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C36234" w:rsidRDefault="00C36234" w:rsidP="00F946D2"/>
    <w:p w:rsidR="00EB5CBE" w:rsidRDefault="00EB5CBE" w:rsidP="00F946D2"/>
    <w:p w:rsidR="00EB5CBE" w:rsidRDefault="00EB5CBE" w:rsidP="00F946D2"/>
    <w:p w:rsidR="00EB5CBE" w:rsidRDefault="00EB5CBE" w:rsidP="00F946D2"/>
    <w:p w:rsidR="00EB5CBE" w:rsidRDefault="00EB5CBE" w:rsidP="00F946D2"/>
    <w:p w:rsidR="00EB5CBE" w:rsidRDefault="00EB5CBE" w:rsidP="00F946D2"/>
    <w:p w:rsidR="00C36234" w:rsidRDefault="00C36234" w:rsidP="00F946D2"/>
    <w:p w:rsidR="00C36234" w:rsidRDefault="00C36234" w:rsidP="00F946D2"/>
    <w:p w:rsidR="00C36234" w:rsidRDefault="00C36234" w:rsidP="00C36234">
      <w:pPr>
        <w:pStyle w:val="Default"/>
      </w:pPr>
    </w:p>
    <w:p w:rsidR="00C36234" w:rsidRPr="00C36234" w:rsidRDefault="00C36234" w:rsidP="00C36234">
      <w:pPr>
        <w:pStyle w:val="Default"/>
        <w:jc w:val="center"/>
        <w:rPr>
          <w:szCs w:val="23"/>
          <w:u w:val="single"/>
        </w:rPr>
      </w:pPr>
      <w:r w:rsidRPr="00C36234">
        <w:rPr>
          <w:szCs w:val="23"/>
          <w:u w:val="single"/>
        </w:rPr>
        <w:lastRenderedPageBreak/>
        <w:t>QUESTIONS AND PROCEDURE</w:t>
      </w:r>
    </w:p>
    <w:p w:rsidR="00C36234" w:rsidRPr="00C36234" w:rsidRDefault="00C36234" w:rsidP="00C36234">
      <w:pPr>
        <w:pStyle w:val="Default"/>
        <w:rPr>
          <w:szCs w:val="23"/>
        </w:rPr>
      </w:pPr>
      <w:r w:rsidRPr="00C36234">
        <w:rPr>
          <w:szCs w:val="23"/>
        </w:rPr>
        <w:t xml:space="preserve">C-2016-2580970 </w:t>
      </w:r>
      <w:r w:rsidRPr="00C36234">
        <w:rPr>
          <w:szCs w:val="23"/>
        </w:rPr>
        <w:tab/>
      </w:r>
      <w:r w:rsidRPr="00C36234">
        <w:rPr>
          <w:szCs w:val="23"/>
        </w:rPr>
        <w:tab/>
      </w:r>
      <w:r w:rsidRPr="00C36234">
        <w:rPr>
          <w:szCs w:val="23"/>
        </w:rPr>
        <w:tab/>
      </w:r>
      <w:r w:rsidRPr="00C36234">
        <w:rPr>
          <w:szCs w:val="23"/>
        </w:rPr>
        <w:tab/>
      </w:r>
      <w:r w:rsidRPr="00C36234">
        <w:rPr>
          <w:szCs w:val="23"/>
        </w:rPr>
        <w:tab/>
      </w:r>
      <w:r w:rsidRPr="00C36234">
        <w:rPr>
          <w:szCs w:val="23"/>
        </w:rPr>
        <w:tab/>
      </w:r>
      <w:r w:rsidRPr="00C36234">
        <w:rPr>
          <w:szCs w:val="23"/>
        </w:rPr>
        <w:tab/>
        <w:t xml:space="preserve">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 Complainant submit testimony stating the basis of the complaint and minimum work required to resolve the complaint.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 Complainant submit testimony indicating if you believe the transition between the subject railroad crossing surfaces and the Oakland Avenue and Grant Street roadway approaches are in a smooth, safe and satisfactory condition.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 Complainant submit testimony indicating if you believe the subject railroad crossing surfaces and the Oakland Avenue and Grant Street roadway approaches are in an un-safe condition.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 Complainant submit testimony and evidence as to any damages, accidents and/or incidents that have occurred at the subject public crossings that you are aware of.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5. Complainant submit any additional testimony or evidence you feel relevant for this proceeding. </w:t>
      </w:r>
    </w:p>
    <w:p w:rsidR="00C36234" w:rsidRPr="00C36234" w:rsidRDefault="00C36234" w:rsidP="00C36234">
      <w:pPr>
        <w:pStyle w:val="Default"/>
        <w:rPr>
          <w:szCs w:val="23"/>
        </w:rPr>
      </w:pPr>
    </w:p>
    <w:p w:rsidR="00C36234" w:rsidRPr="00C36234" w:rsidRDefault="00C36234" w:rsidP="00C36234">
      <w:pPr>
        <w:pStyle w:val="Default"/>
        <w:spacing w:after="241"/>
        <w:rPr>
          <w:szCs w:val="23"/>
        </w:rPr>
      </w:pPr>
      <w:r w:rsidRPr="00C36234">
        <w:rPr>
          <w:szCs w:val="23"/>
        </w:rPr>
        <w:t xml:space="preserve">6. Department of Transportation of the Commonwealth of Pennsylvania (Department) shall submit testimony describing the general location of the railroad-highway at-grade crossings involved in this proceeding. </w:t>
      </w:r>
    </w:p>
    <w:p w:rsidR="00C36234" w:rsidRPr="00C36234" w:rsidRDefault="00C36234" w:rsidP="00C36234">
      <w:pPr>
        <w:pStyle w:val="Default"/>
        <w:rPr>
          <w:szCs w:val="23"/>
        </w:rPr>
      </w:pPr>
      <w:r w:rsidRPr="00C36234">
        <w:rPr>
          <w:szCs w:val="23"/>
        </w:rPr>
        <w:t xml:space="preserve">7. Department submit testimony as to whether it has maintenance responsibility at the public crossings (DOT 148 850 C) and (DOT 148 851 J) for the existing roadway approaches up to the high-type concrete crossing surfaces located along SR 0286 (Oakland Avenue) and Grant Street as defined by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8. Department submit testimony as to whether it has had to respond to any other formal complaints through the Commission regarding the subject public crossings and their corresponding roadway approaches since the beginning of 2015.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9. Department submit testimony as to whether it has received any additional complaints internal to the Department regarding the subject public crossings and their corresponding roadway approaches since the beginning of 2015. </w:t>
      </w:r>
    </w:p>
    <w:p w:rsidR="00C36234" w:rsidRPr="00C36234" w:rsidRDefault="00C36234" w:rsidP="00C36234">
      <w:pPr>
        <w:pStyle w:val="Default"/>
        <w:rPr>
          <w:szCs w:val="23"/>
        </w:rPr>
      </w:pPr>
    </w:p>
    <w:p w:rsidR="00C36234" w:rsidRPr="00C36234" w:rsidRDefault="00C36234" w:rsidP="00C36234">
      <w:pPr>
        <w:pStyle w:val="Default"/>
        <w:spacing w:after="241"/>
        <w:rPr>
          <w:szCs w:val="23"/>
        </w:rPr>
      </w:pPr>
      <w:r w:rsidRPr="00C36234">
        <w:rPr>
          <w:szCs w:val="23"/>
        </w:rPr>
        <w:t xml:space="preserve">10. Department submit testimony as to what maintenance and improvements it has performed on the roadway approaches along Oakland Avenue and Grant Street directly adjacent to and abutting the railroads crossing surface since its reconstruction in 2006. </w:t>
      </w:r>
    </w:p>
    <w:p w:rsidR="00C36234" w:rsidRDefault="00C36234" w:rsidP="00C36234">
      <w:pPr>
        <w:pStyle w:val="Default"/>
        <w:rPr>
          <w:szCs w:val="23"/>
        </w:rPr>
      </w:pPr>
      <w:r w:rsidRPr="00C36234">
        <w:rPr>
          <w:szCs w:val="23"/>
        </w:rPr>
        <w:t xml:space="preserve">11. Department submit testimony as to Oakland Avenue’s functional classification and ADT at the public crossing and whether the concrete section of the roadway approach to the crossing was built to the Department’s guidelines for thickness, steel reinforcement and subgrade preparation as outlined in its Roadway Construction Standards and/or Design Manual 2 for rigid concrete pavement. </w:t>
      </w:r>
    </w:p>
    <w:p w:rsidR="00EB5CBE" w:rsidRPr="00C36234" w:rsidRDefault="00EB5CBE" w:rsidP="00C36234">
      <w:pPr>
        <w:pStyle w:val="Default"/>
        <w:rPr>
          <w:szCs w:val="23"/>
        </w:rPr>
      </w:pPr>
    </w:p>
    <w:p w:rsidR="00C36234" w:rsidRPr="00C36234" w:rsidRDefault="00C36234" w:rsidP="00C36234">
      <w:pPr>
        <w:pStyle w:val="Default"/>
        <w:rPr>
          <w:szCs w:val="23"/>
        </w:rPr>
      </w:pPr>
      <w:r w:rsidRPr="00C36234">
        <w:rPr>
          <w:szCs w:val="23"/>
        </w:rPr>
        <w:t xml:space="preserve">12. Department submit testimony as to whether the concrete roadway approaches were built as per plans submitted and approved by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13. Department submit testimony and evidence of any as-built construction surveys that were performed that details the finished vertical elevations of the railroad crossing panels, concrete approaches along Oakland Avenue, Grant Street and inlet grates 3,4,8,9,21,22,23 after the construction of the high-type railroad crossing surface and roadway approaches as detailed on sheet 11 of 36 of the construction plans that was approved under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14. Department submit testimony and evidence of any surveys that were performed that details the as-is existing vertical elevations of the railroad crossing panels, concrete approaches along Oakland Avenue and Grant Street performed by the Department and/or its designee for informational purposes and/or </w:t>
      </w:r>
      <w:proofErr w:type="gramStart"/>
      <w:r w:rsidRPr="00C36234">
        <w:rPr>
          <w:szCs w:val="23"/>
        </w:rPr>
        <w:t>as a result of</w:t>
      </w:r>
      <w:proofErr w:type="gramEnd"/>
      <w:r w:rsidRPr="00C36234">
        <w:rPr>
          <w:szCs w:val="23"/>
        </w:rPr>
        <w:t xml:space="preserve"> the complaint docket C-2016-2580970 being filed.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15. Department submit testimony and evidence of the location of the nearest survey bench mark(s) that were utilized in the surveys performed in paragraph’s 13 or 14.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16. Department submit testimony and evidence of any pictures of the work completed under the Commission’s Order A-00117322 and if the finished approach roadway surface elevations were built to the same elevations of the finished high-type railroad crossing surface.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17. Department submit testimony as to what it believes the problem is if any with the subject public crossing and its roadway approaches and what its recommendation would be to mediate or correct the problem if any.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18. Department submit testimony indicating if it believes the transition between the subject railroad crossing surfaces and the Oakland Avenue and Grant Street roadway approaches are in a smooth, safe and satisfactory condition as prescribed in paragraph’s 19, 21 and 22 of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19. Department submit for evidence a cost estimate to reconstruct the existing Oakland Avenue and Grant Street roadway approaches to provide a smooth transition to the railroad crossing surface with no less than a ½ inch of vertical displacement between the two surfaces.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20. Department submit testimony indicating what portion of the work it will agree to perform and bear to rehabilitate and/or reconstruct the existing Oakland Avenue and Grant Street roadway approaches to the railroad crossing surfaces to provide no more than a ½ inch vertical displacement between the two surfaces.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21. Indiana Borough (Borough) submit testimony as to whether it has maintenance responsibility at the public crossings (DOT 148 850 C) and (DOT 148 851 J) for the existing roadway approaches up to the high-type concrete crossing surfaces located along Oakland Avenue and Grant Street as defined by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22. Borough submit testimony as to what maintenance and improvements it has performed on the roadway approaches along Grant Street directly adjacent to and abutting the railroads crossing surface since its reconstruction in 2006.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lastRenderedPageBreak/>
        <w:t xml:space="preserve">23. Borough submit testimony as to whether it has had to respond to any other formal complaints through the Commission regarding the subject public crossings and their corresponding roadway approaches since the beginning of 2015.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24. Borough submit testimony as to whether it has received any additional complaints internal to the Borough regarding the subject public crossing and its roadway approaches both at Grant Street and Oakland Avenue since the beginning of 2015.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25. Borough submit testimony as to whether it has had any issues or problems with its Grant Street roadway pavement adjoining the Departments rigid concrete pavement on either of the Grant Street approaches to the subject public crossing.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26. Borough submit testimony as to what it believes the problem is if any with the subject public crossings and its Grant Street and Oakland Avenue roadway approaches and what its recommendation would be to mediate or correct the problem if any.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27. Borough submit testimony indicating if it believes the transition between the subject railroad crossing surfaces and the Oakland Avenue and Grant Street roadway approaches are in a smooth, safe and satisfactory condition.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28. Borough submit testimony and evidence of any pictures of the work completed under the Commission’s Order A-00117322 and if the finished approach roadway surface elevations were built to the same elevations of the finished high-type railroad crossing surface.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29. Borough submit testimony indicating what portion of the work it will agree to perform and bear to rehabilitate and/or reconstruct the existing Oakland Avenue and Grant Street roadway approaches to the railroad crossing surfaces to provide no more than a ½ inch vertical displacement between the two surfaces.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30. Buffalo &amp; Pittsburgh Railroad (B&amp;P) submit testimony as to the exact corporate name of the owner and operator of the line of railroad at the subject crossing.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31. B&amp;P submit testimony as to how many trains per day use the subject public crossings (DOT 148 850 C) and (DOT 148 851 J) and the designated train speed through this corridor.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32. B&amp;P submit testimony as to whether it has maintenance responsibility at the public crossings (DOT 148 850 C) and (DOT 148 851 J) for the railroad crossing surfaces. </w:t>
      </w:r>
    </w:p>
    <w:p w:rsidR="00C36234" w:rsidRPr="00C36234" w:rsidRDefault="00C36234" w:rsidP="00C36234">
      <w:pPr>
        <w:pStyle w:val="Default"/>
        <w:rPr>
          <w:szCs w:val="23"/>
        </w:rPr>
      </w:pPr>
      <w:r w:rsidRPr="00C36234">
        <w:rPr>
          <w:szCs w:val="23"/>
        </w:rPr>
        <w:t xml:space="preserve">33. B&amp;P submit testimony as to whether it has had to respond to any other formal complaints through the Commission regarding the subject public crossings since the beginning of 2015.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34. B&amp;P submit testimony as to what maintenance and improvements it has performed on the subject crossings since its reconstruction in 2006.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35. B&amp;P submit testimony as to whether it has received any additional complaints internal to B&amp;P regarding the subject public crossings since the beginning of 2015.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lastRenderedPageBreak/>
        <w:t xml:space="preserve">36. B&amp;P submit testimony as to what it believes the problem is if any with the subject public crossing and its roadway approaches and what its recommendation would be to mediate or correct the problem if any.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37. B&amp;P submit testimony indicating if it believes the transition between the subject railroad crossing surfaces and the Oakland Avenue and Grant Street roadway approaches are in a smooth, safe and satisfactory condition.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38. B&amp;P submit testimony and evidence of any pictures of the work completed under the Commission’s Order A-00117322 and if the finished high-type railroad crossing surface was built to the same elevations of the finished approach roadway surface elevations directly adjacent to the railroad crossing surface.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39. B&amp;P submit for evidence a cost estimate to reconstruct the existing high-type railroad crossing surface to provide a smooth transition to the existing Oakland Avenue and Grant Street roadway approaches with no less than a ½ inch of vertical displacement between the roadway and railroad surfaces.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40. B&amp;P submit testimony indicating what portion of the work it will agree to perform and bear to rehabilitate and/or reconstruct the existing high-type railroad crossing surface to provide no more than a ½ inch vertical displacement between the existing Oakland Avenue and Grant Street roadway approaches and the railroad crossing surface.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41. Indiana County (County) submit testimony as to whether it has maintenance responsibility at the public crossings (DOT 148 850 C) and (DOT 148 851 J) for the existing roadway approaches up to the high-type concrete crossing surfaces located along Oakland Avenue and Grant Street as defined by the Commission’s Order A-00117322.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42. County submit testimony as to whether Federal, State or County funds would be available for any improvement or replacement of the subject crossing or funds allocated through the regions local planning organization. </w:t>
      </w:r>
    </w:p>
    <w:p w:rsidR="00C36234" w:rsidRPr="00C36234" w:rsidRDefault="00C36234" w:rsidP="00C36234">
      <w:pPr>
        <w:pStyle w:val="Default"/>
        <w:rPr>
          <w:szCs w:val="23"/>
        </w:rPr>
      </w:pPr>
    </w:p>
    <w:p w:rsidR="00C36234" w:rsidRDefault="00C36234" w:rsidP="00C36234">
      <w:pPr>
        <w:pStyle w:val="Default"/>
        <w:rPr>
          <w:szCs w:val="23"/>
        </w:rPr>
      </w:pPr>
      <w:r w:rsidRPr="00C36234">
        <w:rPr>
          <w:szCs w:val="23"/>
        </w:rPr>
        <w:t xml:space="preserve">43. County submit testimony as to what portion if any it would contribute to reconstruct the Oakland Avenue and Grant Street roadway approaches and/or railroad crossing surface. Responses should be specific as to percentage of allocations suggested and should include the reasons for such allocations. </w:t>
      </w:r>
    </w:p>
    <w:p w:rsidR="00EB5CBE" w:rsidRPr="00C36234" w:rsidRDefault="00EB5CBE" w:rsidP="00C36234">
      <w:pPr>
        <w:pStyle w:val="Default"/>
        <w:rPr>
          <w:szCs w:val="23"/>
        </w:rPr>
      </w:pPr>
    </w:p>
    <w:p w:rsidR="00C36234" w:rsidRPr="00C36234" w:rsidRDefault="00C36234" w:rsidP="00C36234">
      <w:pPr>
        <w:pStyle w:val="Default"/>
        <w:rPr>
          <w:szCs w:val="23"/>
        </w:rPr>
      </w:pPr>
      <w:r w:rsidRPr="00C36234">
        <w:rPr>
          <w:szCs w:val="23"/>
        </w:rPr>
        <w:t xml:space="preserve">44. Non-carrier public utility companies each, if they are seeking reimbursement of costs incurred, submit into record a detailed plan indicating specific location of facilities prior to start of the crossing improvement and as altered or relocated to accommodate the project, noting the type and size of each involved facility.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45. Non-carrier public utility companies each, if they are seeking reimbursement of costs incurred, identify when prior existing facilities were installed and under what provisions or authority; state the anticipated service life of the prior existing facilities when they were installed; state the expected life of the altered or relocated facilities and give comparisons of prior existing facilities vs. altered or relocated facilities as to specific increases or decreases in capacity of each.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46. Non-carrier public utility companies each state whether its relocated facilities were placed in public or private right-of-way and state what benefits or costs incurred to it by such placement. </w:t>
      </w:r>
    </w:p>
    <w:p w:rsidR="00C36234" w:rsidRPr="00C36234" w:rsidRDefault="00C36234" w:rsidP="00C36234">
      <w:pPr>
        <w:pStyle w:val="Default"/>
        <w:rPr>
          <w:szCs w:val="23"/>
        </w:rPr>
      </w:pPr>
    </w:p>
    <w:p w:rsidR="00C36234" w:rsidRPr="00C36234" w:rsidRDefault="00C36234" w:rsidP="00C36234">
      <w:pPr>
        <w:pStyle w:val="Default"/>
        <w:rPr>
          <w:szCs w:val="23"/>
        </w:rPr>
      </w:pPr>
      <w:r w:rsidRPr="00C36234">
        <w:rPr>
          <w:szCs w:val="23"/>
        </w:rPr>
        <w:t xml:space="preserve">47. Non-carrier public utility companies each state which items of costs incurred, if any, it agrees to bear and which party or parties it suggests should bear the remaining costs, stating the basis for such suggested assignment of costs. </w:t>
      </w:r>
    </w:p>
    <w:p w:rsidR="00C36234" w:rsidRPr="00C36234" w:rsidRDefault="00C36234" w:rsidP="00C36234">
      <w:pPr>
        <w:pStyle w:val="Default"/>
        <w:rPr>
          <w:szCs w:val="23"/>
        </w:rPr>
      </w:pPr>
    </w:p>
    <w:p w:rsidR="00B11735" w:rsidRPr="00C36234" w:rsidRDefault="00C36234" w:rsidP="00C36234">
      <w:pPr>
        <w:pStyle w:val="Default"/>
      </w:pPr>
      <w:r w:rsidRPr="00C36234">
        <w:rPr>
          <w:szCs w:val="23"/>
        </w:rPr>
        <w:t xml:space="preserve">48. Query whether any party in interest, or any other party, desires to submit any additional relevant testimony. </w:t>
      </w:r>
    </w:p>
    <w:p w:rsidR="00912A34" w:rsidRPr="00C36234" w:rsidRDefault="00912A34"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DC4CEE" w:rsidRPr="00C36234" w:rsidRDefault="00DC4CEE" w:rsidP="00F946D2"/>
    <w:p w:rsidR="00912A34" w:rsidRPr="00C36234" w:rsidRDefault="00912A34" w:rsidP="00F946D2"/>
    <w:p w:rsidR="00912A34" w:rsidRPr="00C36234" w:rsidRDefault="00912A34" w:rsidP="00F946D2"/>
    <w:p w:rsidR="00912A34" w:rsidRPr="00C36234" w:rsidRDefault="00912A34" w:rsidP="00F946D2"/>
    <w:p w:rsidR="00912A34" w:rsidRPr="00C36234" w:rsidRDefault="00912A34" w:rsidP="00F946D2"/>
    <w:p w:rsidR="00912A34" w:rsidRPr="00C36234" w:rsidRDefault="00912A34" w:rsidP="00F946D2"/>
    <w:p w:rsidR="00912A34" w:rsidRPr="00C36234" w:rsidRDefault="00912A34" w:rsidP="00F946D2"/>
    <w:p w:rsidR="00912A34" w:rsidRPr="00C36234" w:rsidRDefault="00912A34" w:rsidP="00F946D2"/>
    <w:p w:rsidR="00912A34" w:rsidRPr="00C36234" w:rsidRDefault="00912A34" w:rsidP="00F946D2"/>
    <w:p w:rsidR="00EB5CBE" w:rsidRDefault="00EB5CBE" w:rsidP="00F946D2">
      <w:pPr>
        <w:sectPr w:rsidR="00EB5CBE" w:rsidSect="00EB5CBE">
          <w:footerReference w:type="first" r:id="rId15"/>
          <w:pgSz w:w="12240" w:h="15840"/>
          <w:pgMar w:top="1296" w:right="1440" w:bottom="1296" w:left="1440" w:header="720" w:footer="720" w:gutter="0"/>
          <w:cols w:space="720"/>
          <w:titlePg/>
          <w:docGrid w:linePitch="360"/>
        </w:sectPr>
      </w:pPr>
    </w:p>
    <w:p w:rsidR="00EB5CBE" w:rsidRDefault="00EB5CBE" w:rsidP="00EB5CB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C-2016-2580970 - JOEL ROYER v. BUFFALO &amp; PITTSBURGH RAILROAD, INC.</w:t>
      </w:r>
    </w:p>
    <w:p w:rsidR="00EB5CBE" w:rsidRDefault="00EB5CBE" w:rsidP="00EB5CBE">
      <w:pPr>
        <w:rPr>
          <w:rFonts w:ascii="Microsoft Sans Serif" w:eastAsia="Microsoft Sans Serif" w:hAnsi="Microsoft Sans Serif" w:cs="Microsoft Sans Serif"/>
          <w:b/>
          <w:u w:val="single"/>
        </w:rPr>
      </w:pPr>
    </w:p>
    <w:p w:rsidR="00EB5CBE" w:rsidRDefault="00EB5CBE" w:rsidP="00EB5CBE">
      <w:pPr>
        <w:rPr>
          <w:rFonts w:ascii="Microsoft Sans Serif" w:eastAsia="Microsoft Sans Serif" w:hAnsi="Microsoft Sans Serif" w:cs="Microsoft Sans Serif"/>
          <w:b/>
          <w:u w:val="single"/>
        </w:rPr>
        <w:sectPr w:rsidR="00EB5CBE">
          <w:pgSz w:w="12240" w:h="15840"/>
          <w:pgMar w:top="1440" w:right="1440" w:bottom="1440" w:left="1440" w:header="720" w:footer="720" w:gutter="0"/>
          <w:cols w:space="720"/>
        </w:sect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JOEL ROYER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991 BARCLAY RD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724.463.3179</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DAVE C BAER CHIEF ENGINEER</w:t>
      </w:r>
      <w:r>
        <w:rPr>
          <w:rFonts w:ascii="Microsoft Sans Serif" w:eastAsia="Microsoft Sans Serif" w:hAnsi="Microsoft Sans Serif" w:cs="Microsoft Sans Serif"/>
        </w:rPr>
        <w:br/>
        <w:t>BUFFALO &amp; PITTSBURGH RAILROAD INC</w:t>
      </w:r>
      <w:r>
        <w:rPr>
          <w:rFonts w:ascii="Microsoft Sans Serif" w:eastAsia="Microsoft Sans Serif" w:hAnsi="Microsoft Sans Serif" w:cs="Microsoft Sans Serif"/>
        </w:rPr>
        <w:br/>
        <w:t xml:space="preserve">201 NORTH PENN STREET </w:t>
      </w:r>
      <w:r>
        <w:rPr>
          <w:rFonts w:ascii="Microsoft Sans Serif" w:eastAsia="Microsoft Sans Serif" w:hAnsi="Microsoft Sans Serif" w:cs="Microsoft Sans Serif"/>
        </w:rPr>
        <w:br/>
        <w:t>PO BOX 477</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PUNXSUTAWNEY PA  15767</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BRADLEY R GORTER ESQUIRE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PA PUC BUREAU OF INVESTIGATION AND ENFORCEMENT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PO BOX 3265</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17105-3265</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717.783.6150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MATTHEW T BUDASH ESQUIRE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BUDASH &amp; WELCH LLP</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120 SOUTH SEVENTH STREET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724.463.6050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NEVA L STOTLER ESQUIRE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CAFARDI FERGUSON WYRICK WEIS STOTLER LLC</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2605 NICHOLSON ROAD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SUITE 2201</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SEWICKLEY PA  15143</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412.515.8900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t>MIKE FOWKES</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VERIZON PENNSYLVANIA LLC</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508 OLD FRANKSTOWN ROAD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MONROEVILLE PA  15146</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GINA M D'ALFONSO ESQUIRE</w:t>
      </w:r>
      <w:r>
        <w:rPr>
          <w:rFonts w:ascii="Microsoft Sans Serif" w:eastAsia="Microsoft Sans Serif" w:hAnsi="Microsoft Sans Serif" w:cs="Microsoft Sans Serif"/>
        </w:rPr>
        <w:br/>
        <w:t xml:space="preserve">JENNIFER BROWN SWEENEY ESQUIRE </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PENNDOT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OFFICE OF CHIEF COUNSEL</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PO BOX 8212</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17105-8212</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717.787.3128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AMANDA OLBETER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PENNDOT DISTRICT 10-0</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2550 OAKLAND AVENUE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15701-0429</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MICHAEL CLARK</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COUNTY SOLICITOR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825 PHILADELPHIA STREET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ERIC M HOCKY ESQUIRE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CLARK HILL THORP REED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ONE COMMERCE SQUARE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2005 MARKET ST SUITE 1000</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215.640.8523</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br/>
        <w:t>CATHERINE PUSHCHAK</w:t>
      </w:r>
      <w:r>
        <w:rPr>
          <w:rFonts w:ascii="Microsoft Sans Serif" w:eastAsia="Microsoft Sans Serif" w:hAnsi="Microsoft Sans Serif" w:cs="Microsoft Sans Serif"/>
        </w:rPr>
        <w:br/>
        <w:t>20 WEST AVENUE</w:t>
      </w:r>
      <w:r>
        <w:rPr>
          <w:rFonts w:ascii="Microsoft Sans Serif" w:eastAsia="Microsoft Sans Serif" w:hAnsi="Microsoft Sans Serif" w:cs="Microsoft Sans Serif"/>
        </w:rPr>
        <w:br/>
        <w:t>DARIEN CT 06820</w:t>
      </w:r>
      <w:r>
        <w:rPr>
          <w:rFonts w:ascii="Microsoft Sans Serif" w:eastAsia="Microsoft Sans Serif" w:hAnsi="Microsoft Sans Serif" w:cs="Microsoft Sans Serif"/>
        </w:rPr>
        <w:br/>
      </w:r>
      <w:r>
        <w:rPr>
          <w:rFonts w:ascii="Microsoft Sans Serif" w:eastAsia="Microsoft Sans Serif" w:hAnsi="Microsoft Sans Serif" w:cs="Microsoft Sans Serif"/>
          <w:b/>
        </w:rPr>
        <w:t>203.202.8915</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rPr>
        <w:br/>
        <w:t>JAMES BARNETT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PEOPLES GAS COMPANY LLC</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205 NORTH MAIN STREET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BUTLER PA  16001</w:t>
      </w:r>
      <w:r>
        <w:rPr>
          <w:rFonts w:ascii="Microsoft Sans Serif" w:eastAsia="Microsoft Sans Serif" w:hAnsi="Microsoft Sans Serif" w:cs="Microsoft Sans Serif"/>
        </w:rPr>
        <w:br/>
      </w:r>
      <w:r>
        <w:rPr>
          <w:rFonts w:ascii="Microsoft Sans Serif" w:eastAsia="Microsoft Sans Serif" w:hAnsi="Microsoft Sans Serif" w:cs="Microsoft Sans Serif"/>
        </w:rPr>
        <w:br/>
        <w:t>STEPHEN PUTT ENGINEER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CENTURYLINK </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200 TECHNOLOGY DRIVE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15219</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DOUG OLSZEWSKI</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COMCAST </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ONE COMCAST DRIVE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BLAIRSVILLE PA  15717</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KEITH GARDNER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PENELEC</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311 INDUSTRIAL PARK ROAD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JOHNSTOWN PA  15904</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814.269.6678</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MILTON J LADY MANAGER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WHITE TOWNSHIP</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950 INDIAN SPRINGS ROAD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724.463.8585</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SAMMIE MEDIVITZ</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PENNSYLVANIA AMERICAN WATER</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1909 OAKLAND AVENUE</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724.463.9830 EXT 2</w:t>
      </w:r>
    </w:p>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DAVID FAIRMAN</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BOROUGH DEPARTMENT OF PUBLIC WORKS</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1180 CHURCH STREET</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rPr>
          <w:rFonts w:ascii="Microsoft Sans Serif" w:eastAsia="Microsoft Sans Serif" w:hAnsi="Microsoft Sans Serif" w:cs="Microsoft Sans Serif"/>
        </w:rPr>
      </w:pPr>
      <w:bookmarkStart w:id="0" w:name="_GoBack"/>
      <w:r>
        <w:rPr>
          <w:rFonts w:ascii="Microsoft Sans Serif" w:eastAsia="Microsoft Sans Serif" w:hAnsi="Microsoft Sans Serif" w:cs="Microsoft Sans Serif"/>
          <w:b/>
        </w:rPr>
        <w:t>724.465.6512</w:t>
      </w:r>
    </w:p>
    <w:bookmarkEnd w:id="0"/>
    <w:p w:rsidR="00EB5CBE" w:rsidRDefault="00EB5CBE" w:rsidP="00EB5CBE">
      <w:pPr>
        <w:contextualSpacing/>
        <w:rPr>
          <w:rFonts w:ascii="Microsoft Sans Serif" w:eastAsia="Microsoft Sans Serif" w:hAnsi="Microsoft Sans Serif" w:cs="Microsoft Sans Serif"/>
        </w:rPr>
      </w:pP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JORDAN HAINES</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EXOTIC OIL AND GAS LLC</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ONE INDIANA SPRINGS ROAD</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PO BOX 114</w:t>
      </w:r>
    </w:p>
    <w:p w:rsidR="00EB5CBE" w:rsidRDefault="00EB5CBE" w:rsidP="00EB5CB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rsidR="00EB5CBE" w:rsidRDefault="00EB5CBE" w:rsidP="00EB5CBE">
      <w:pPr>
        <w:contextualSpacing/>
      </w:pPr>
      <w:r>
        <w:rPr>
          <w:rFonts w:ascii="Microsoft Sans Serif" w:eastAsia="Microsoft Sans Serif" w:hAnsi="Microsoft Sans Serif" w:cs="Microsoft Sans Serif"/>
          <w:b/>
        </w:rPr>
        <w:t>724.751.7051</w:t>
      </w:r>
    </w:p>
    <w:p w:rsidR="00EB5CBE" w:rsidRPr="00164184" w:rsidRDefault="00EB5CBE" w:rsidP="00EB5CBE"/>
    <w:p w:rsidR="00912A34" w:rsidRPr="00C36234" w:rsidRDefault="00912A34" w:rsidP="00F946D2"/>
    <w:sectPr w:rsidR="00912A34" w:rsidRPr="00C36234" w:rsidSect="00164184">
      <w:footerReference w:type="default" r:id="rId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AB3" w:rsidRDefault="00141AB3">
      <w:r>
        <w:separator/>
      </w:r>
    </w:p>
  </w:endnote>
  <w:endnote w:type="continuationSeparator" w:id="0">
    <w:p w:rsidR="00141AB3" w:rsidRDefault="0014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849547"/>
      <w:docPartObj>
        <w:docPartGallery w:val="Page Numbers (Bottom of Page)"/>
        <w:docPartUnique/>
      </w:docPartObj>
    </w:sdtPr>
    <w:sdtEndPr>
      <w:rPr>
        <w:noProof/>
      </w:rPr>
    </w:sdtEndPr>
    <w:sdtContent>
      <w:p w:rsidR="00C36234" w:rsidRDefault="00C362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F78" w:rsidRDefault="009C7F78" w:rsidP="00EB5C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479419"/>
      <w:docPartObj>
        <w:docPartGallery w:val="Page Numbers (Bottom of Page)"/>
        <w:docPartUnique/>
      </w:docPartObj>
    </w:sdtPr>
    <w:sdtEndPr>
      <w:rPr>
        <w:noProof/>
        <w:sz w:val="20"/>
        <w:szCs w:val="20"/>
      </w:rPr>
    </w:sdtEndPr>
    <w:sdtContent>
      <w:p w:rsidR="00EB5CBE" w:rsidRPr="00EB5CBE" w:rsidRDefault="00EB5CBE">
        <w:pPr>
          <w:pStyle w:val="Footer"/>
          <w:jc w:val="center"/>
          <w:rPr>
            <w:sz w:val="20"/>
            <w:szCs w:val="20"/>
          </w:rPr>
        </w:pPr>
        <w:r w:rsidRPr="00EB5CBE">
          <w:rPr>
            <w:sz w:val="20"/>
            <w:szCs w:val="20"/>
          </w:rPr>
          <w:fldChar w:fldCharType="begin"/>
        </w:r>
        <w:r w:rsidRPr="00EB5CBE">
          <w:rPr>
            <w:sz w:val="20"/>
            <w:szCs w:val="20"/>
          </w:rPr>
          <w:instrText xml:space="preserve"> PAGE   \* MERGEFORMAT </w:instrText>
        </w:r>
        <w:r w:rsidRPr="00EB5CBE">
          <w:rPr>
            <w:sz w:val="20"/>
            <w:szCs w:val="20"/>
          </w:rPr>
          <w:fldChar w:fldCharType="separate"/>
        </w:r>
        <w:r w:rsidRPr="00EB5CBE">
          <w:rPr>
            <w:noProof/>
            <w:sz w:val="20"/>
            <w:szCs w:val="20"/>
          </w:rPr>
          <w:t>2</w:t>
        </w:r>
        <w:r w:rsidRPr="00EB5CBE">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CBE" w:rsidRDefault="00EB5C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AB3" w:rsidRDefault="00141AB3">
      <w:r>
        <w:separator/>
      </w:r>
    </w:p>
  </w:footnote>
  <w:footnote w:type="continuationSeparator" w:id="0">
    <w:p w:rsidR="00141AB3" w:rsidRDefault="00141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2857DE4"/>
    <w:multiLevelType w:val="hybridMultilevel"/>
    <w:tmpl w:val="ECFC1BB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01A2242"/>
    <w:multiLevelType w:val="hybridMultilevel"/>
    <w:tmpl w:val="3C44737C"/>
    <w:lvl w:ilvl="0" w:tplc="4C6C23E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67634"/>
    <w:rsid w:val="0007460B"/>
    <w:rsid w:val="0007524A"/>
    <w:rsid w:val="000757AD"/>
    <w:rsid w:val="00076C46"/>
    <w:rsid w:val="00077E32"/>
    <w:rsid w:val="00082CA4"/>
    <w:rsid w:val="000831AA"/>
    <w:rsid w:val="0008432C"/>
    <w:rsid w:val="000844DD"/>
    <w:rsid w:val="000845F2"/>
    <w:rsid w:val="00085155"/>
    <w:rsid w:val="00085C0D"/>
    <w:rsid w:val="000868D6"/>
    <w:rsid w:val="000901CB"/>
    <w:rsid w:val="00092024"/>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0E2"/>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1AB3"/>
    <w:rsid w:val="00142279"/>
    <w:rsid w:val="00142920"/>
    <w:rsid w:val="00142C54"/>
    <w:rsid w:val="001435C4"/>
    <w:rsid w:val="00143719"/>
    <w:rsid w:val="00143DCC"/>
    <w:rsid w:val="00144856"/>
    <w:rsid w:val="0014491A"/>
    <w:rsid w:val="00146443"/>
    <w:rsid w:val="00151911"/>
    <w:rsid w:val="00152302"/>
    <w:rsid w:val="00152391"/>
    <w:rsid w:val="00152ADD"/>
    <w:rsid w:val="00154BB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1BE9"/>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9782C"/>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1D2"/>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47575"/>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664D0"/>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4DE"/>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0A6"/>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5BA"/>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33"/>
    <w:rsid w:val="00723174"/>
    <w:rsid w:val="007238AB"/>
    <w:rsid w:val="007243DB"/>
    <w:rsid w:val="00724502"/>
    <w:rsid w:val="0072657D"/>
    <w:rsid w:val="007269F9"/>
    <w:rsid w:val="00726A0E"/>
    <w:rsid w:val="00726EDE"/>
    <w:rsid w:val="0072794D"/>
    <w:rsid w:val="00727999"/>
    <w:rsid w:val="00730591"/>
    <w:rsid w:val="00730DDB"/>
    <w:rsid w:val="007312F6"/>
    <w:rsid w:val="0073193D"/>
    <w:rsid w:val="00735029"/>
    <w:rsid w:val="00735E8B"/>
    <w:rsid w:val="0073653C"/>
    <w:rsid w:val="00736917"/>
    <w:rsid w:val="00737FEC"/>
    <w:rsid w:val="0074066D"/>
    <w:rsid w:val="00743C40"/>
    <w:rsid w:val="00743DD3"/>
    <w:rsid w:val="007453B1"/>
    <w:rsid w:val="007466C6"/>
    <w:rsid w:val="0075097C"/>
    <w:rsid w:val="00750D18"/>
    <w:rsid w:val="00751F22"/>
    <w:rsid w:val="00752331"/>
    <w:rsid w:val="007527A5"/>
    <w:rsid w:val="00753152"/>
    <w:rsid w:val="00753F89"/>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1B26"/>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A34"/>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239C"/>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C7F78"/>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D45"/>
    <w:rsid w:val="00A36D91"/>
    <w:rsid w:val="00A3736C"/>
    <w:rsid w:val="00A3775E"/>
    <w:rsid w:val="00A4025C"/>
    <w:rsid w:val="00A408D7"/>
    <w:rsid w:val="00A40DD7"/>
    <w:rsid w:val="00A435B6"/>
    <w:rsid w:val="00A44919"/>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0436"/>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07D"/>
    <w:rsid w:val="00AF5A08"/>
    <w:rsid w:val="00AF6B25"/>
    <w:rsid w:val="00AF79FC"/>
    <w:rsid w:val="00B04219"/>
    <w:rsid w:val="00B04268"/>
    <w:rsid w:val="00B0780B"/>
    <w:rsid w:val="00B07A6C"/>
    <w:rsid w:val="00B07B2E"/>
    <w:rsid w:val="00B07F6A"/>
    <w:rsid w:val="00B11735"/>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223C"/>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287"/>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6506"/>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6234"/>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337"/>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06B6"/>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5B17"/>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B72"/>
    <w:rsid w:val="00DB6F9D"/>
    <w:rsid w:val="00DC0281"/>
    <w:rsid w:val="00DC058A"/>
    <w:rsid w:val="00DC1363"/>
    <w:rsid w:val="00DC3317"/>
    <w:rsid w:val="00DC3E54"/>
    <w:rsid w:val="00DC4CEE"/>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742"/>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2FAA"/>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02D"/>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3ECD"/>
    <w:rsid w:val="00E9565B"/>
    <w:rsid w:val="00EA00D4"/>
    <w:rsid w:val="00EA01A8"/>
    <w:rsid w:val="00EA1C30"/>
    <w:rsid w:val="00EA2550"/>
    <w:rsid w:val="00EA3982"/>
    <w:rsid w:val="00EA3D52"/>
    <w:rsid w:val="00EA5035"/>
    <w:rsid w:val="00EA53BC"/>
    <w:rsid w:val="00EB1169"/>
    <w:rsid w:val="00EB3B29"/>
    <w:rsid w:val="00EB3FF7"/>
    <w:rsid w:val="00EB5041"/>
    <w:rsid w:val="00EB5CBE"/>
    <w:rsid w:val="00EB6E59"/>
    <w:rsid w:val="00EB782E"/>
    <w:rsid w:val="00EC0DF2"/>
    <w:rsid w:val="00EC11BA"/>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3DF8"/>
    <w:rsid w:val="00F74857"/>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669"/>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E30"/>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D2479"/>
  <w15:docId w15:val="{ABB34DE7-9589-442E-9742-379AEA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styleId="ListParagraph">
    <w:name w:val="List Paragraph"/>
    <w:basedOn w:val="Normal"/>
    <w:uiPriority w:val="34"/>
    <w:qFormat/>
    <w:rsid w:val="00BB6506"/>
    <w:pPr>
      <w:ind w:left="720"/>
      <w:contextualSpacing/>
    </w:pPr>
  </w:style>
  <w:style w:type="paragraph" w:customStyle="1" w:styleId="Style">
    <w:name w:val="Style"/>
    <w:rsid w:val="0095239C"/>
    <w:pPr>
      <w:widowControl w:val="0"/>
      <w:autoSpaceDE w:val="0"/>
      <w:autoSpaceDN w:val="0"/>
      <w:adjustRightInd w:val="0"/>
    </w:pPr>
    <w:rPr>
      <w:sz w:val="24"/>
      <w:szCs w:val="24"/>
    </w:rPr>
  </w:style>
  <w:style w:type="paragraph" w:styleId="BodyTextIndent">
    <w:name w:val="Body Text Indent"/>
    <w:basedOn w:val="Normal"/>
    <w:link w:val="BodyTextIndentChar"/>
    <w:unhideWhenUsed/>
    <w:rsid w:val="00231BE9"/>
    <w:pPr>
      <w:spacing w:after="120"/>
      <w:ind w:left="360"/>
    </w:pPr>
  </w:style>
  <w:style w:type="character" w:customStyle="1" w:styleId="BodyTextIndentChar">
    <w:name w:val="Body Text Indent Char"/>
    <w:basedOn w:val="DefaultParagraphFont"/>
    <w:link w:val="BodyTextIndent"/>
    <w:rsid w:val="00231BE9"/>
    <w:rPr>
      <w:sz w:val="24"/>
      <w:szCs w:val="24"/>
    </w:rPr>
  </w:style>
  <w:style w:type="character" w:styleId="UnresolvedMention">
    <w:name w:val="Unresolved Mention"/>
    <w:basedOn w:val="DefaultParagraphFont"/>
    <w:uiPriority w:val="99"/>
    <w:semiHidden/>
    <w:unhideWhenUsed/>
    <w:rsid w:val="00DC4CEE"/>
    <w:rPr>
      <w:color w:val="605E5C"/>
      <w:shd w:val="clear" w:color="auto" w:fill="E1DFDD"/>
    </w:rPr>
  </w:style>
  <w:style w:type="paragraph" w:customStyle="1" w:styleId="Default">
    <w:name w:val="Default"/>
    <w:rsid w:val="00C3623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49406">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666288">
      <w:bodyDiv w:val="1"/>
      <w:marLeft w:val="0"/>
      <w:marRight w:val="0"/>
      <w:marTop w:val="0"/>
      <w:marBottom w:val="0"/>
      <w:divBdr>
        <w:top w:val="none" w:sz="0" w:space="0" w:color="auto"/>
        <w:left w:val="none" w:sz="0" w:space="0" w:color="auto"/>
        <w:bottom w:val="none" w:sz="0" w:space="0" w:color="auto"/>
        <w:right w:val="none" w:sz="0" w:space="0" w:color="auto"/>
      </w:divBdr>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414011480">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alfonso@p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alapa@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hroyer@hot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litwin@epix.net" TargetMode="External"/><Relationship Id="rId4" Type="http://schemas.openxmlformats.org/officeDocument/2006/relationships/settings" Target="settings.xml"/><Relationship Id="rId9" Type="http://schemas.openxmlformats.org/officeDocument/2006/relationships/hyperlink" Target="mailto:bgortner@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8EFD-6CE3-4809-B223-E43CA496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2013-03-13T14:26:00Z</cp:lastPrinted>
  <dcterms:created xsi:type="dcterms:W3CDTF">2018-08-06T15:06:00Z</dcterms:created>
  <dcterms:modified xsi:type="dcterms:W3CDTF">2018-08-06T15:06:00Z</dcterms:modified>
</cp:coreProperties>
</file>