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887" w:rsidRPr="00303887" w:rsidRDefault="00303887" w:rsidP="00303887">
      <w:pPr>
        <w:tabs>
          <w:tab w:val="left" w:pos="0"/>
        </w:tabs>
        <w:spacing w:line="233" w:lineRule="auto"/>
        <w:jc w:val="center"/>
        <w:rPr>
          <w:rFonts w:eastAsia="Times New Roman"/>
          <w:b/>
        </w:rPr>
      </w:pPr>
      <w:r w:rsidRPr="00303887">
        <w:rPr>
          <w:rFonts w:eastAsia="Times New Roman"/>
          <w:b/>
        </w:rPr>
        <w:t>BEFORE THE</w:t>
      </w:r>
    </w:p>
    <w:p w:rsidR="00303887" w:rsidRPr="00303887" w:rsidRDefault="00303887" w:rsidP="00303887">
      <w:pPr>
        <w:tabs>
          <w:tab w:val="left" w:pos="0"/>
        </w:tabs>
        <w:spacing w:line="233" w:lineRule="auto"/>
        <w:jc w:val="center"/>
        <w:rPr>
          <w:rFonts w:eastAsia="Times New Roman"/>
          <w:b/>
        </w:rPr>
      </w:pPr>
      <w:smartTag w:uri="urn:schemas-microsoft-com:office:smarttags" w:element="place">
        <w:smartTag w:uri="urn:schemas-microsoft-com:office:smarttags" w:element="State">
          <w:r w:rsidRPr="00303887">
            <w:rPr>
              <w:rFonts w:eastAsia="Times New Roman"/>
              <w:b/>
            </w:rPr>
            <w:t>PENNSYLVANIA</w:t>
          </w:r>
        </w:smartTag>
      </w:smartTag>
      <w:r w:rsidRPr="00303887">
        <w:rPr>
          <w:rFonts w:eastAsia="Times New Roman"/>
          <w:b/>
        </w:rPr>
        <w:t xml:space="preserve"> PUBLIC UTILITY COMMISSION</w:t>
      </w:r>
    </w:p>
    <w:p w:rsidR="00303887" w:rsidRPr="00303887" w:rsidRDefault="00303887" w:rsidP="00303887">
      <w:pPr>
        <w:tabs>
          <w:tab w:val="left" w:pos="0"/>
        </w:tabs>
        <w:spacing w:line="233" w:lineRule="auto"/>
        <w:jc w:val="both"/>
        <w:rPr>
          <w:rFonts w:eastAsia="Times New Roman"/>
          <w:b/>
        </w:rPr>
      </w:pPr>
    </w:p>
    <w:p w:rsidR="00303887" w:rsidRPr="00303887" w:rsidRDefault="00303887" w:rsidP="00303887">
      <w:pPr>
        <w:tabs>
          <w:tab w:val="left" w:pos="0"/>
        </w:tabs>
        <w:spacing w:line="233" w:lineRule="auto"/>
        <w:jc w:val="both"/>
        <w:rPr>
          <w:rFonts w:eastAsia="Times New Roman"/>
          <w:b/>
        </w:rPr>
      </w:pPr>
    </w:p>
    <w:p w:rsidR="00303887" w:rsidRPr="00303887" w:rsidRDefault="00303887" w:rsidP="00303887">
      <w:pPr>
        <w:tabs>
          <w:tab w:val="left" w:pos="0"/>
        </w:tabs>
        <w:spacing w:line="233" w:lineRule="auto"/>
        <w:jc w:val="both"/>
        <w:rPr>
          <w:rFonts w:eastAsia="Times New Roman"/>
          <w:b/>
        </w:rPr>
      </w:pPr>
    </w:p>
    <w:p w:rsidR="00303887" w:rsidRPr="00303887" w:rsidRDefault="00303887" w:rsidP="00303887">
      <w:pPr>
        <w:tabs>
          <w:tab w:val="left" w:pos="0"/>
        </w:tabs>
        <w:spacing w:line="233" w:lineRule="auto"/>
        <w:jc w:val="both"/>
        <w:rPr>
          <w:rFonts w:eastAsia="Times New Roman"/>
          <w:b/>
        </w:rPr>
      </w:pPr>
      <w:r>
        <w:rPr>
          <w:rFonts w:eastAsia="Times New Roman"/>
        </w:rPr>
        <w:t>Sharon Snyder</w:t>
      </w:r>
      <w:r w:rsidRPr="00303887">
        <w:rPr>
          <w:rFonts w:eastAsia="Times New Roman"/>
        </w:rPr>
        <w:tab/>
      </w:r>
      <w:r w:rsidRPr="00303887">
        <w:rPr>
          <w:rFonts w:eastAsia="Times New Roman"/>
        </w:rPr>
        <w:tab/>
      </w:r>
      <w:r w:rsidRPr="00303887">
        <w:rPr>
          <w:rFonts w:eastAsia="Times New Roman"/>
        </w:rPr>
        <w:tab/>
      </w:r>
      <w:r w:rsidRPr="00303887">
        <w:rPr>
          <w:rFonts w:eastAsia="Times New Roman"/>
        </w:rPr>
        <w:tab/>
      </w:r>
      <w:r w:rsidRPr="00303887">
        <w:rPr>
          <w:rFonts w:eastAsia="Times New Roman"/>
        </w:rPr>
        <w:tab/>
      </w:r>
      <w:r w:rsidRPr="00303887">
        <w:rPr>
          <w:rFonts w:eastAsia="Times New Roman"/>
        </w:rPr>
        <w:tab/>
        <w:t>:</w:t>
      </w:r>
    </w:p>
    <w:p w:rsidR="00303887" w:rsidRPr="00303887" w:rsidRDefault="00303887" w:rsidP="00303887">
      <w:pPr>
        <w:tabs>
          <w:tab w:val="left" w:pos="0"/>
        </w:tabs>
        <w:spacing w:line="233" w:lineRule="auto"/>
        <w:jc w:val="both"/>
        <w:rPr>
          <w:rFonts w:eastAsia="Times New Roman"/>
        </w:rPr>
      </w:pPr>
      <w:r w:rsidRPr="00303887">
        <w:rPr>
          <w:rFonts w:eastAsia="Times New Roman"/>
          <w:b/>
        </w:rPr>
        <w:tab/>
      </w:r>
      <w:r w:rsidRPr="00303887">
        <w:rPr>
          <w:rFonts w:eastAsia="Times New Roman"/>
          <w:b/>
        </w:rPr>
        <w:tab/>
      </w:r>
      <w:r w:rsidRPr="00303887">
        <w:rPr>
          <w:rFonts w:eastAsia="Times New Roman"/>
          <w:b/>
        </w:rPr>
        <w:tab/>
      </w:r>
      <w:r w:rsidRPr="00303887">
        <w:rPr>
          <w:rFonts w:eastAsia="Times New Roman"/>
          <w:b/>
        </w:rPr>
        <w:tab/>
      </w:r>
      <w:r w:rsidRPr="00303887">
        <w:rPr>
          <w:rFonts w:eastAsia="Times New Roman"/>
          <w:b/>
        </w:rPr>
        <w:tab/>
      </w:r>
      <w:r w:rsidRPr="00303887">
        <w:rPr>
          <w:rFonts w:eastAsia="Times New Roman"/>
          <w:b/>
        </w:rPr>
        <w:tab/>
      </w:r>
      <w:r w:rsidRPr="00303887">
        <w:rPr>
          <w:rFonts w:eastAsia="Times New Roman"/>
          <w:b/>
        </w:rPr>
        <w:tab/>
      </w:r>
      <w:r w:rsidRPr="00303887">
        <w:rPr>
          <w:rFonts w:eastAsia="Times New Roman"/>
        </w:rPr>
        <w:t>:</w:t>
      </w:r>
    </w:p>
    <w:p w:rsidR="00303887" w:rsidRPr="00303887" w:rsidRDefault="00303887" w:rsidP="00303887">
      <w:pPr>
        <w:tabs>
          <w:tab w:val="left" w:pos="0"/>
        </w:tabs>
        <w:spacing w:line="233" w:lineRule="auto"/>
        <w:jc w:val="both"/>
        <w:rPr>
          <w:rFonts w:eastAsia="Times New Roman"/>
        </w:rPr>
      </w:pPr>
      <w:r w:rsidRPr="00303887">
        <w:rPr>
          <w:rFonts w:eastAsia="Times New Roman"/>
        </w:rPr>
        <w:tab/>
        <w:t>v.</w:t>
      </w:r>
      <w:r w:rsidRPr="00303887">
        <w:rPr>
          <w:rFonts w:eastAsia="Times New Roman"/>
        </w:rPr>
        <w:tab/>
      </w:r>
      <w:r w:rsidRPr="00303887">
        <w:rPr>
          <w:rFonts w:eastAsia="Times New Roman"/>
        </w:rPr>
        <w:tab/>
      </w:r>
      <w:r w:rsidRPr="00303887">
        <w:rPr>
          <w:rFonts w:eastAsia="Times New Roman"/>
        </w:rPr>
        <w:tab/>
      </w:r>
      <w:r w:rsidRPr="00303887">
        <w:rPr>
          <w:rFonts w:eastAsia="Times New Roman"/>
        </w:rPr>
        <w:tab/>
      </w:r>
      <w:r w:rsidRPr="00303887">
        <w:rPr>
          <w:rFonts w:eastAsia="Times New Roman"/>
        </w:rPr>
        <w:tab/>
      </w:r>
      <w:r w:rsidRPr="00303887">
        <w:rPr>
          <w:rFonts w:eastAsia="Times New Roman"/>
        </w:rPr>
        <w:tab/>
        <w:t>:</w:t>
      </w:r>
      <w:r w:rsidRPr="00303887">
        <w:rPr>
          <w:rFonts w:eastAsia="Times New Roman"/>
          <w:b/>
        </w:rPr>
        <w:tab/>
      </w:r>
      <w:r w:rsidRPr="00303887">
        <w:rPr>
          <w:rFonts w:eastAsia="Times New Roman"/>
          <w:b/>
        </w:rPr>
        <w:tab/>
      </w:r>
      <w:r w:rsidRPr="00303887">
        <w:rPr>
          <w:rFonts w:eastAsia="Times New Roman"/>
        </w:rPr>
        <w:t>C-2018-3003129</w:t>
      </w:r>
    </w:p>
    <w:p w:rsidR="00303887" w:rsidRPr="00303887" w:rsidRDefault="00303887" w:rsidP="00303887">
      <w:pPr>
        <w:tabs>
          <w:tab w:val="left" w:pos="0"/>
        </w:tabs>
        <w:spacing w:line="233" w:lineRule="auto"/>
        <w:jc w:val="both"/>
        <w:rPr>
          <w:rFonts w:eastAsia="Times New Roman"/>
        </w:rPr>
      </w:pPr>
      <w:r w:rsidRPr="00303887">
        <w:rPr>
          <w:rFonts w:eastAsia="Times New Roman"/>
        </w:rPr>
        <w:tab/>
      </w:r>
      <w:r w:rsidRPr="00303887">
        <w:rPr>
          <w:rFonts w:eastAsia="Times New Roman"/>
        </w:rPr>
        <w:tab/>
      </w:r>
      <w:r w:rsidRPr="00303887">
        <w:rPr>
          <w:rFonts w:eastAsia="Times New Roman"/>
        </w:rPr>
        <w:tab/>
      </w:r>
      <w:r w:rsidRPr="00303887">
        <w:rPr>
          <w:rFonts w:eastAsia="Times New Roman"/>
        </w:rPr>
        <w:tab/>
      </w:r>
      <w:r w:rsidRPr="00303887">
        <w:rPr>
          <w:rFonts w:eastAsia="Times New Roman"/>
        </w:rPr>
        <w:tab/>
      </w:r>
      <w:r w:rsidRPr="00303887">
        <w:rPr>
          <w:rFonts w:eastAsia="Times New Roman"/>
        </w:rPr>
        <w:tab/>
      </w:r>
      <w:r w:rsidRPr="00303887">
        <w:rPr>
          <w:rFonts w:eastAsia="Times New Roman"/>
        </w:rPr>
        <w:tab/>
        <w:t>:</w:t>
      </w:r>
    </w:p>
    <w:p w:rsidR="00303887" w:rsidRPr="00303887" w:rsidRDefault="00303887" w:rsidP="00303887">
      <w:pPr>
        <w:tabs>
          <w:tab w:val="left" w:pos="0"/>
        </w:tabs>
        <w:spacing w:line="233" w:lineRule="auto"/>
        <w:jc w:val="both"/>
        <w:rPr>
          <w:rFonts w:eastAsia="Times New Roman"/>
        </w:rPr>
      </w:pPr>
      <w:r>
        <w:rPr>
          <w:rFonts w:eastAsia="Times New Roman"/>
        </w:rPr>
        <w:t>Windstream Communications, Inc.</w:t>
      </w:r>
      <w:r w:rsidRPr="00303887">
        <w:rPr>
          <w:rFonts w:eastAsia="Times New Roman"/>
        </w:rPr>
        <w:tab/>
      </w:r>
      <w:r w:rsidRPr="00303887">
        <w:rPr>
          <w:rFonts w:eastAsia="Times New Roman"/>
        </w:rPr>
        <w:tab/>
      </w:r>
      <w:r w:rsidRPr="00303887">
        <w:rPr>
          <w:rFonts w:eastAsia="Times New Roman"/>
        </w:rPr>
        <w:tab/>
        <w:t>:</w:t>
      </w:r>
    </w:p>
    <w:p w:rsidR="00792796" w:rsidRDefault="00792796" w:rsidP="00303887">
      <w:pPr>
        <w:spacing w:line="240" w:lineRule="auto"/>
      </w:pPr>
    </w:p>
    <w:p w:rsidR="009304FB" w:rsidRDefault="009304FB" w:rsidP="00303887">
      <w:pPr>
        <w:spacing w:line="240" w:lineRule="auto"/>
      </w:pPr>
    </w:p>
    <w:p w:rsidR="00F733FB" w:rsidRDefault="00F733FB" w:rsidP="00303887">
      <w:pPr>
        <w:spacing w:line="240" w:lineRule="auto"/>
      </w:pPr>
    </w:p>
    <w:p w:rsidR="00F733FB" w:rsidRPr="000A7E6E" w:rsidRDefault="00F733FB" w:rsidP="000A7E6E">
      <w:pPr>
        <w:spacing w:line="240" w:lineRule="auto"/>
        <w:jc w:val="center"/>
        <w:rPr>
          <w:b/>
        </w:rPr>
      </w:pPr>
      <w:r w:rsidRPr="000A7E6E">
        <w:rPr>
          <w:b/>
        </w:rPr>
        <w:t>INTERIM ORDER</w:t>
      </w:r>
    </w:p>
    <w:p w:rsidR="00F733FB" w:rsidRPr="000A7E6E" w:rsidRDefault="00F733FB" w:rsidP="000A7E6E">
      <w:pPr>
        <w:spacing w:line="240" w:lineRule="auto"/>
        <w:jc w:val="center"/>
        <w:rPr>
          <w:b/>
          <w:u w:val="single"/>
        </w:rPr>
      </w:pPr>
      <w:r w:rsidRPr="000A7E6E">
        <w:rPr>
          <w:b/>
          <w:u w:val="single"/>
        </w:rPr>
        <w:t>REQUIRING REPRESENTATION</w:t>
      </w:r>
    </w:p>
    <w:p w:rsidR="00F733FB" w:rsidRDefault="00F733FB"/>
    <w:p w:rsidR="00F733FB" w:rsidRDefault="00F733FB">
      <w:r>
        <w:tab/>
      </w:r>
      <w:r>
        <w:tab/>
        <w:t>On June 19, 2018, Sharon Snyder filed a formal complaint against Windstream Communications, Inc. (Windstream).  The Commission’s Secretary’s Bureau served the complaint on Windstream on July 2, 2018.  An answer and preliminary objections were filed on behalf of Windstream by James Lloyd, counsel for Windstream Communications, LLC</w:t>
      </w:r>
      <w:r w:rsidR="00697DB1">
        <w:t xml:space="preserve"> on July</w:t>
      </w:r>
      <w:r w:rsidR="00AB2925">
        <w:t> </w:t>
      </w:r>
      <w:r w:rsidR="00697DB1">
        <w:t>10, 2018</w:t>
      </w:r>
      <w:r>
        <w:t>.</w:t>
      </w:r>
      <w:r w:rsidR="00697DB1">
        <w:t xml:space="preserve">  This matter was assigned to me</w:t>
      </w:r>
      <w:r w:rsidR="000B6090">
        <w:t xml:space="preserve"> for disposition on August 7, 2018.</w:t>
      </w:r>
    </w:p>
    <w:p w:rsidR="00F733FB" w:rsidRDefault="00F733FB"/>
    <w:p w:rsidR="00F733FB" w:rsidRDefault="00F733FB" w:rsidP="00F733FB">
      <w:pPr>
        <w:ind w:right="288" w:firstLine="1440"/>
        <w:rPr>
          <w:color w:val="000000"/>
          <w:szCs w:val="24"/>
        </w:rPr>
      </w:pPr>
      <w:r>
        <w:t>Mr. Lloyd did not file a notice of appearance along with the answer and preliminary objections.  His mailing address is in Little Rock, Arkansas.  He did not identify himself as an attorney licensed to practice law in the Commonwealth of Pennsylvania</w:t>
      </w:r>
      <w:r w:rsidR="003F0BFC">
        <w:t xml:space="preserve">.  </w:t>
      </w:r>
      <w:r w:rsidRPr="00D03A90">
        <w:rPr>
          <w:szCs w:val="24"/>
        </w:rPr>
        <w:t>The Commission’s regulations provide that only an individual may represent themselves.</w:t>
      </w:r>
      <w:r w:rsidRPr="00D03A90">
        <w:rPr>
          <w:rStyle w:val="FootnoteReference"/>
          <w:szCs w:val="24"/>
        </w:rPr>
        <w:footnoteReference w:id="1"/>
      </w:r>
      <w:r w:rsidRPr="00D03A90">
        <w:rPr>
          <w:szCs w:val="24"/>
        </w:rPr>
        <w:t xml:space="preserve">  </w:t>
      </w:r>
      <w:r>
        <w:rPr>
          <w:szCs w:val="24"/>
        </w:rPr>
        <w:t>These regulations are consistent with the rules of the Pennsylvania Supreme Court and may not be waived.</w:t>
      </w:r>
      <w:r>
        <w:rPr>
          <w:rStyle w:val="FootnoteReference"/>
          <w:szCs w:val="24"/>
        </w:rPr>
        <w:footnoteReference w:id="2"/>
      </w:r>
      <w:bookmarkStart w:id="0" w:name="_GoBack"/>
      <w:bookmarkEnd w:id="0"/>
      <w:r>
        <w:rPr>
          <w:szCs w:val="24"/>
        </w:rPr>
        <w:t xml:space="preserve">  </w:t>
      </w:r>
      <w:r w:rsidRPr="00F733FB">
        <w:rPr>
          <w:szCs w:val="24"/>
        </w:rPr>
        <w:t>Pennsylvania courts have ruled that a corporation can only act through its agents and an agent representing it in court must be an attorney admitted to practice.</w:t>
      </w:r>
      <w:r>
        <w:rPr>
          <w:rStyle w:val="FootnoteReference"/>
          <w:szCs w:val="24"/>
        </w:rPr>
        <w:footnoteReference w:id="3"/>
      </w:r>
      <w:r w:rsidR="00AB2925">
        <w:rPr>
          <w:szCs w:val="24"/>
        </w:rPr>
        <w:t xml:space="preserve"> </w:t>
      </w:r>
      <w:r w:rsidRPr="00F733FB">
        <w:rPr>
          <w:szCs w:val="24"/>
        </w:rPr>
        <w:t xml:space="preserve"> </w:t>
      </w:r>
      <w:r w:rsidRPr="00D03A90">
        <w:rPr>
          <w:szCs w:val="24"/>
        </w:rPr>
        <w:t xml:space="preserve">Accordingly, in order to participate further in these proceedings, </w:t>
      </w:r>
      <w:r>
        <w:rPr>
          <w:szCs w:val="24"/>
        </w:rPr>
        <w:t xml:space="preserve">Windstream, which appears to be a corporation, </w:t>
      </w:r>
      <w:r w:rsidRPr="00D03A90">
        <w:rPr>
          <w:szCs w:val="24"/>
        </w:rPr>
        <w:t>must be represented by counsel</w:t>
      </w:r>
      <w:r>
        <w:rPr>
          <w:szCs w:val="24"/>
        </w:rPr>
        <w:t xml:space="preserve"> licensed to practice law in the Commonwealth.</w:t>
      </w:r>
      <w:bookmarkStart w:id="1" w:name="SearchTerm"/>
      <w:r w:rsidRPr="001142D1">
        <w:rPr>
          <w:rStyle w:val="FootnoteReference"/>
          <w:iCs/>
          <w:color w:val="000000"/>
          <w:szCs w:val="24"/>
        </w:rPr>
        <w:t xml:space="preserve"> </w:t>
      </w:r>
      <w:r w:rsidRPr="00FD74A6">
        <w:rPr>
          <w:rStyle w:val="FootnoteReference"/>
          <w:iCs/>
          <w:color w:val="000000"/>
          <w:szCs w:val="24"/>
        </w:rPr>
        <w:footnoteReference w:id="4"/>
      </w:r>
      <w:r>
        <w:rPr>
          <w:color w:val="000000"/>
          <w:szCs w:val="24"/>
        </w:rPr>
        <w:t xml:space="preserve"> </w:t>
      </w:r>
      <w:r w:rsidRPr="00D51E42">
        <w:rPr>
          <w:color w:val="000000"/>
          <w:szCs w:val="24"/>
        </w:rPr>
        <w:t xml:space="preserve"> </w:t>
      </w:r>
      <w:bookmarkEnd w:id="1"/>
    </w:p>
    <w:p w:rsidR="00697DB1" w:rsidRDefault="00697DB1" w:rsidP="00F733FB">
      <w:pPr>
        <w:ind w:right="288" w:firstLine="1440"/>
        <w:rPr>
          <w:color w:val="000000"/>
          <w:szCs w:val="24"/>
        </w:rPr>
      </w:pPr>
      <w:r>
        <w:rPr>
          <w:color w:val="000000"/>
          <w:szCs w:val="24"/>
        </w:rPr>
        <w:lastRenderedPageBreak/>
        <w:t>In the ordering paragraphs below, a ruling on the preliminary objections shall be held in abeyance until Windstream is appropriately represented.</w:t>
      </w:r>
      <w:r w:rsidR="00187596" w:rsidRPr="00187596">
        <w:rPr>
          <w:rStyle w:val="FootnoteReference"/>
        </w:rPr>
        <w:t xml:space="preserve"> </w:t>
      </w:r>
      <w:r w:rsidR="00187596">
        <w:rPr>
          <w:rStyle w:val="FootnoteReference"/>
        </w:rPr>
        <w:footnoteReference w:id="5"/>
      </w:r>
      <w:r w:rsidR="00187596">
        <w:t xml:space="preserve"> </w:t>
      </w:r>
      <w:r>
        <w:rPr>
          <w:color w:val="000000"/>
          <w:szCs w:val="24"/>
        </w:rPr>
        <w:t xml:space="preserve">  In the event that no appearance is filed as set forth below, the preliminary objections shall be </w:t>
      </w:r>
      <w:r w:rsidR="009304FB">
        <w:rPr>
          <w:color w:val="000000"/>
          <w:szCs w:val="24"/>
        </w:rPr>
        <w:t>stricken,</w:t>
      </w:r>
      <w:r>
        <w:rPr>
          <w:color w:val="000000"/>
          <w:szCs w:val="24"/>
        </w:rPr>
        <w:t xml:space="preserve"> and the complaint will be set for hearing.</w:t>
      </w:r>
    </w:p>
    <w:p w:rsidR="00697DB1" w:rsidRDefault="00697DB1" w:rsidP="00F733FB">
      <w:pPr>
        <w:ind w:right="288" w:firstLine="1440"/>
        <w:rPr>
          <w:color w:val="000000"/>
          <w:szCs w:val="24"/>
        </w:rPr>
      </w:pPr>
    </w:p>
    <w:p w:rsidR="00F733FB" w:rsidRDefault="00F733FB" w:rsidP="00F733FB">
      <w:pPr>
        <w:ind w:right="288" w:firstLine="1440"/>
      </w:pPr>
      <w:r>
        <w:t>THEREFORE</w:t>
      </w:r>
    </w:p>
    <w:p w:rsidR="00F733FB" w:rsidRDefault="00F733FB" w:rsidP="00F733FB">
      <w:pPr>
        <w:ind w:right="288" w:firstLine="1440"/>
      </w:pPr>
    </w:p>
    <w:p w:rsidR="00F733FB" w:rsidRDefault="00F733FB" w:rsidP="00F733FB">
      <w:pPr>
        <w:ind w:right="288" w:firstLine="1440"/>
      </w:pPr>
      <w:r>
        <w:t>IT IS ORDERED:</w:t>
      </w:r>
    </w:p>
    <w:p w:rsidR="00F733FB" w:rsidRDefault="00F733FB"/>
    <w:p w:rsidR="00F733FB" w:rsidRDefault="00F733FB">
      <w:r>
        <w:tab/>
      </w:r>
      <w:r>
        <w:tab/>
        <w:t>1.</w:t>
      </w:r>
      <w:r>
        <w:tab/>
      </w:r>
      <w:r w:rsidR="00697DB1">
        <w:t xml:space="preserve">That Windstream Communications, Inc. shall cause an attorney to enter an appearance in accordance with 52 Pa.Code §§ 1.21-1.25, on or before </w:t>
      </w:r>
      <w:r w:rsidR="008D632E" w:rsidRPr="008D632E">
        <w:rPr>
          <w:b/>
          <w:u w:val="single"/>
        </w:rPr>
        <w:t>August 24, 2018</w:t>
      </w:r>
      <w:r w:rsidR="008D632E">
        <w:t>.</w:t>
      </w:r>
    </w:p>
    <w:p w:rsidR="008D632E" w:rsidRDefault="008D632E"/>
    <w:p w:rsidR="008D632E" w:rsidRDefault="008D632E">
      <w:r>
        <w:tab/>
      </w:r>
      <w:r>
        <w:tab/>
        <w:t>2.</w:t>
      </w:r>
      <w:r>
        <w:tab/>
        <w:t>That a ruling on the preliminary objections filed on July 10, 2018 by Windstream Communications, Inc. is held in abeyance pending the entry of appearance of counsel as set forth in Paragraph 1 of this order.</w:t>
      </w:r>
    </w:p>
    <w:p w:rsidR="008D632E" w:rsidRDefault="008D632E"/>
    <w:p w:rsidR="008D632E" w:rsidRDefault="008D632E">
      <w:r>
        <w:tab/>
      </w:r>
      <w:r>
        <w:tab/>
        <w:t>3.</w:t>
      </w:r>
      <w:r>
        <w:tab/>
        <w:t xml:space="preserve">In the event that no entry of appearance is filed by August 24, 2018, the preliminary objections of Windstream Communications, Inc. will be </w:t>
      </w:r>
      <w:r w:rsidR="009304FB">
        <w:t>stricken,</w:t>
      </w:r>
      <w:r>
        <w:t xml:space="preserve"> and this matter will be scheduled for a hearing.</w:t>
      </w:r>
    </w:p>
    <w:p w:rsidR="008017C7" w:rsidRDefault="008017C7"/>
    <w:p w:rsidR="008017C7" w:rsidRDefault="008017C7"/>
    <w:p w:rsidR="008017C7" w:rsidRPr="008017C7" w:rsidRDefault="008017C7" w:rsidP="008017C7">
      <w:pPr>
        <w:spacing w:line="240" w:lineRule="auto"/>
        <w:rPr>
          <w:rFonts w:eastAsia="Times New Roman"/>
          <w:szCs w:val="24"/>
        </w:rPr>
      </w:pPr>
      <w:bookmarkStart w:id="3" w:name="_Hlk505862083"/>
      <w:r w:rsidRPr="008017C7">
        <w:rPr>
          <w:rFonts w:eastAsia="Times New Roman"/>
          <w:szCs w:val="24"/>
        </w:rPr>
        <w:t xml:space="preserve">Date:  </w:t>
      </w:r>
      <w:r>
        <w:rPr>
          <w:rFonts w:eastAsia="Times New Roman"/>
          <w:szCs w:val="24"/>
          <w:u w:val="single"/>
        </w:rPr>
        <w:t>August 8, 2018</w:t>
      </w:r>
      <w:r>
        <w:rPr>
          <w:rFonts w:eastAsia="Times New Roman"/>
          <w:szCs w:val="24"/>
        </w:rPr>
        <w:tab/>
      </w:r>
      <w:r w:rsidRPr="008017C7">
        <w:rPr>
          <w:rFonts w:eastAsia="Times New Roman"/>
          <w:szCs w:val="24"/>
        </w:rPr>
        <w:tab/>
      </w:r>
      <w:r w:rsidRPr="008017C7">
        <w:rPr>
          <w:rFonts w:eastAsia="Times New Roman"/>
          <w:szCs w:val="24"/>
        </w:rPr>
        <w:tab/>
      </w:r>
      <w:r w:rsidRPr="008017C7">
        <w:rPr>
          <w:rFonts w:eastAsia="Times New Roman"/>
          <w:szCs w:val="24"/>
        </w:rPr>
        <w:tab/>
      </w:r>
      <w:r w:rsidRPr="008017C7">
        <w:rPr>
          <w:rFonts w:eastAsia="Times New Roman"/>
          <w:szCs w:val="24"/>
        </w:rPr>
        <w:tab/>
      </w:r>
      <w:r w:rsidRPr="008017C7">
        <w:rPr>
          <w:rFonts w:eastAsia="Times New Roman"/>
          <w:szCs w:val="24"/>
          <w:u w:val="single"/>
        </w:rPr>
        <w:tab/>
      </w:r>
      <w:r w:rsidRPr="008017C7">
        <w:rPr>
          <w:rFonts w:eastAsia="Times New Roman"/>
          <w:szCs w:val="24"/>
          <w:u w:val="single"/>
        </w:rPr>
        <w:tab/>
        <w:t>/s/</w:t>
      </w:r>
      <w:r w:rsidRPr="008017C7">
        <w:rPr>
          <w:rFonts w:eastAsia="Times New Roman"/>
          <w:szCs w:val="24"/>
          <w:u w:val="single"/>
        </w:rPr>
        <w:tab/>
      </w:r>
      <w:r w:rsidRPr="008017C7">
        <w:rPr>
          <w:rFonts w:eastAsia="Times New Roman"/>
          <w:szCs w:val="24"/>
          <w:u w:val="single"/>
        </w:rPr>
        <w:tab/>
      </w:r>
      <w:r w:rsidRPr="008017C7">
        <w:rPr>
          <w:rFonts w:eastAsia="Times New Roman"/>
          <w:szCs w:val="24"/>
          <w:u w:val="single"/>
        </w:rPr>
        <w:tab/>
      </w:r>
      <w:r w:rsidRPr="008017C7">
        <w:rPr>
          <w:rFonts w:eastAsia="Times New Roman"/>
          <w:szCs w:val="24"/>
          <w:u w:val="single"/>
        </w:rPr>
        <w:tab/>
      </w:r>
    </w:p>
    <w:p w:rsidR="008017C7" w:rsidRPr="008017C7" w:rsidRDefault="008017C7" w:rsidP="008017C7">
      <w:pPr>
        <w:spacing w:line="240" w:lineRule="auto"/>
        <w:rPr>
          <w:rFonts w:eastAsia="Times New Roman"/>
          <w:szCs w:val="24"/>
        </w:rPr>
      </w:pPr>
      <w:r w:rsidRPr="008017C7">
        <w:rPr>
          <w:rFonts w:eastAsia="Times New Roman"/>
          <w:szCs w:val="24"/>
        </w:rPr>
        <w:tab/>
      </w:r>
      <w:r w:rsidRPr="008017C7">
        <w:rPr>
          <w:rFonts w:eastAsia="Times New Roman"/>
          <w:szCs w:val="24"/>
        </w:rPr>
        <w:tab/>
      </w:r>
      <w:r w:rsidRPr="008017C7">
        <w:rPr>
          <w:rFonts w:eastAsia="Times New Roman"/>
          <w:szCs w:val="24"/>
        </w:rPr>
        <w:tab/>
      </w:r>
      <w:r w:rsidRPr="008017C7">
        <w:rPr>
          <w:rFonts w:eastAsia="Times New Roman"/>
          <w:szCs w:val="24"/>
        </w:rPr>
        <w:tab/>
      </w:r>
      <w:r w:rsidRPr="008017C7">
        <w:rPr>
          <w:rFonts w:eastAsia="Times New Roman"/>
          <w:szCs w:val="24"/>
        </w:rPr>
        <w:tab/>
      </w:r>
      <w:r w:rsidRPr="008017C7">
        <w:rPr>
          <w:rFonts w:eastAsia="Times New Roman"/>
          <w:szCs w:val="24"/>
        </w:rPr>
        <w:tab/>
      </w:r>
      <w:r w:rsidRPr="008017C7">
        <w:rPr>
          <w:rFonts w:eastAsia="Times New Roman"/>
          <w:szCs w:val="24"/>
        </w:rPr>
        <w:tab/>
        <w:t>Mary D. Long</w:t>
      </w:r>
    </w:p>
    <w:p w:rsidR="008017C7" w:rsidRPr="008017C7" w:rsidRDefault="008017C7" w:rsidP="008017C7">
      <w:pPr>
        <w:spacing w:line="240" w:lineRule="auto"/>
        <w:rPr>
          <w:rFonts w:eastAsia="Times New Roman"/>
          <w:szCs w:val="24"/>
        </w:rPr>
      </w:pPr>
      <w:r w:rsidRPr="008017C7">
        <w:rPr>
          <w:rFonts w:eastAsia="Times New Roman"/>
          <w:szCs w:val="24"/>
        </w:rPr>
        <w:tab/>
      </w:r>
      <w:r w:rsidRPr="008017C7">
        <w:rPr>
          <w:rFonts w:eastAsia="Times New Roman"/>
          <w:szCs w:val="24"/>
        </w:rPr>
        <w:tab/>
      </w:r>
      <w:r w:rsidRPr="008017C7">
        <w:rPr>
          <w:rFonts w:eastAsia="Times New Roman"/>
          <w:szCs w:val="24"/>
        </w:rPr>
        <w:tab/>
      </w:r>
      <w:r w:rsidRPr="008017C7">
        <w:rPr>
          <w:rFonts w:eastAsia="Times New Roman"/>
          <w:szCs w:val="24"/>
        </w:rPr>
        <w:tab/>
      </w:r>
      <w:r w:rsidRPr="008017C7">
        <w:rPr>
          <w:rFonts w:eastAsia="Times New Roman"/>
          <w:szCs w:val="24"/>
        </w:rPr>
        <w:tab/>
      </w:r>
      <w:r w:rsidRPr="008017C7">
        <w:rPr>
          <w:rFonts w:eastAsia="Times New Roman"/>
          <w:szCs w:val="24"/>
        </w:rPr>
        <w:tab/>
      </w:r>
      <w:r w:rsidRPr="008017C7">
        <w:rPr>
          <w:rFonts w:eastAsia="Times New Roman"/>
          <w:szCs w:val="24"/>
        </w:rPr>
        <w:tab/>
        <w:t>Administrative Law Judge</w:t>
      </w:r>
    </w:p>
    <w:bookmarkEnd w:id="3"/>
    <w:p w:rsidR="008017C7" w:rsidRPr="008017C7" w:rsidRDefault="008017C7" w:rsidP="008017C7">
      <w:pPr>
        <w:spacing w:line="240" w:lineRule="auto"/>
        <w:rPr>
          <w:rFonts w:eastAsia="Times New Roman"/>
          <w:szCs w:val="24"/>
        </w:rPr>
      </w:pPr>
    </w:p>
    <w:p w:rsidR="008017C7" w:rsidRDefault="008017C7">
      <w:pPr>
        <w:sectPr w:rsidR="008017C7" w:rsidSect="007407AC">
          <w:pgSz w:w="12240" w:h="15840"/>
          <w:pgMar w:top="1440" w:right="1440" w:bottom="1440" w:left="1440" w:header="720" w:footer="720" w:gutter="0"/>
          <w:cols w:space="720"/>
          <w:docGrid w:linePitch="360"/>
        </w:sectPr>
      </w:pPr>
    </w:p>
    <w:p w:rsidR="008017C7" w:rsidRPr="008017C7" w:rsidRDefault="008017C7" w:rsidP="008017C7">
      <w:pPr>
        <w:spacing w:line="240" w:lineRule="auto"/>
        <w:rPr>
          <w:rFonts w:ascii="Microsoft Sans Serif" w:eastAsia="Microsoft Sans Serif" w:hAnsi="Microsoft Sans Serif" w:cs="Microsoft Sans Serif"/>
          <w:szCs w:val="22"/>
        </w:rPr>
      </w:pPr>
      <w:r w:rsidRPr="008017C7">
        <w:rPr>
          <w:rFonts w:ascii="Microsoft Sans Serif" w:eastAsia="Microsoft Sans Serif" w:hAnsi="Microsoft Sans Serif" w:cs="Microsoft Sans Serif"/>
          <w:b/>
          <w:szCs w:val="22"/>
          <w:u w:val="single"/>
        </w:rPr>
        <w:lastRenderedPageBreak/>
        <w:t>C-2018-3003129 - SHARON SNYDER v. WINDSTREAM COMMUNICATIONS, INC</w:t>
      </w:r>
      <w:r w:rsidRPr="008017C7">
        <w:rPr>
          <w:rFonts w:ascii="Microsoft Sans Serif" w:eastAsia="Microsoft Sans Serif" w:hAnsi="Microsoft Sans Serif" w:cs="Microsoft Sans Serif"/>
          <w:b/>
          <w:szCs w:val="22"/>
          <w:u w:val="single"/>
        </w:rPr>
        <w:cr/>
      </w:r>
      <w:r w:rsidRPr="008017C7">
        <w:rPr>
          <w:rFonts w:ascii="Microsoft Sans Serif" w:eastAsia="Microsoft Sans Serif" w:hAnsi="Microsoft Sans Serif" w:cs="Microsoft Sans Serif"/>
          <w:b/>
          <w:szCs w:val="22"/>
          <w:u w:val="single"/>
        </w:rPr>
        <w:cr/>
      </w:r>
      <w:r w:rsidRPr="008017C7">
        <w:rPr>
          <w:rFonts w:ascii="Microsoft Sans Serif" w:eastAsia="Microsoft Sans Serif" w:hAnsi="Microsoft Sans Serif" w:cs="Microsoft Sans Serif"/>
          <w:szCs w:val="22"/>
        </w:rPr>
        <w:t xml:space="preserve">SHARON L SNYDER </w:t>
      </w:r>
    </w:p>
    <w:p w:rsidR="008017C7" w:rsidRPr="008017C7" w:rsidRDefault="008017C7" w:rsidP="008017C7">
      <w:pPr>
        <w:spacing w:line="240" w:lineRule="auto"/>
        <w:rPr>
          <w:rFonts w:ascii="Microsoft Sans Serif" w:eastAsia="Microsoft Sans Serif" w:hAnsi="Microsoft Sans Serif" w:cs="Microsoft Sans Serif"/>
          <w:b/>
          <w:szCs w:val="22"/>
        </w:rPr>
      </w:pPr>
      <w:r w:rsidRPr="008017C7">
        <w:rPr>
          <w:rFonts w:ascii="Microsoft Sans Serif" w:eastAsia="Microsoft Sans Serif" w:hAnsi="Microsoft Sans Serif" w:cs="Microsoft Sans Serif"/>
          <w:szCs w:val="22"/>
        </w:rPr>
        <w:t>533 RINGGOLD TIMBLIN ROAD</w:t>
      </w:r>
      <w:r w:rsidRPr="008017C7">
        <w:rPr>
          <w:rFonts w:ascii="Microsoft Sans Serif" w:eastAsia="Microsoft Sans Serif" w:hAnsi="Microsoft Sans Serif" w:cs="Microsoft Sans Serif"/>
          <w:szCs w:val="22"/>
        </w:rPr>
        <w:cr/>
        <w:t>TIMBLIN PA  15778</w:t>
      </w:r>
      <w:r w:rsidRPr="008017C7">
        <w:rPr>
          <w:rFonts w:ascii="Microsoft Sans Serif" w:eastAsia="Microsoft Sans Serif" w:hAnsi="Microsoft Sans Serif" w:cs="Microsoft Sans Serif"/>
          <w:szCs w:val="22"/>
        </w:rPr>
        <w:cr/>
      </w:r>
      <w:r w:rsidRPr="008017C7">
        <w:rPr>
          <w:rFonts w:ascii="Microsoft Sans Serif" w:eastAsia="Microsoft Sans Serif" w:hAnsi="Microsoft Sans Serif" w:cs="Microsoft Sans Serif"/>
          <w:b/>
          <w:szCs w:val="22"/>
        </w:rPr>
        <w:t>814.256.3324</w:t>
      </w:r>
      <w:r w:rsidRPr="008017C7">
        <w:rPr>
          <w:rFonts w:ascii="Microsoft Sans Serif" w:eastAsia="Microsoft Sans Serif" w:hAnsi="Microsoft Sans Serif" w:cs="Microsoft Sans Serif"/>
          <w:b/>
          <w:szCs w:val="22"/>
        </w:rPr>
        <w:cr/>
      </w:r>
      <w:r w:rsidRPr="008017C7">
        <w:rPr>
          <w:rFonts w:ascii="Microsoft Sans Serif" w:eastAsia="Microsoft Sans Serif" w:hAnsi="Microsoft Sans Serif" w:cs="Microsoft Sans Serif"/>
          <w:b/>
          <w:i/>
          <w:szCs w:val="22"/>
          <w:u w:val="single"/>
        </w:rPr>
        <w:t>ACCEPTS E-SERVICE</w:t>
      </w:r>
    </w:p>
    <w:p w:rsidR="008017C7" w:rsidRPr="008017C7" w:rsidRDefault="008017C7" w:rsidP="008017C7">
      <w:pPr>
        <w:spacing w:after="160" w:line="259" w:lineRule="auto"/>
        <w:rPr>
          <w:rFonts w:ascii="Calibri" w:eastAsia="Times New Roman" w:hAnsi="Calibri"/>
          <w:sz w:val="22"/>
          <w:szCs w:val="22"/>
        </w:rPr>
      </w:pPr>
      <w:r w:rsidRPr="008017C7">
        <w:rPr>
          <w:rFonts w:ascii="Microsoft Sans Serif" w:eastAsia="Microsoft Sans Serif" w:hAnsi="Microsoft Sans Serif" w:cs="Microsoft Sans Serif"/>
          <w:szCs w:val="22"/>
        </w:rPr>
        <w:cr/>
        <w:t>JAMES LLOYD ESQUIRE</w:t>
      </w:r>
      <w:r w:rsidRPr="008017C7">
        <w:rPr>
          <w:rFonts w:ascii="Microsoft Sans Serif" w:eastAsia="Microsoft Sans Serif" w:hAnsi="Microsoft Sans Serif" w:cs="Microsoft Sans Serif"/>
          <w:szCs w:val="22"/>
        </w:rPr>
        <w:cr/>
        <w:t>WINDSTREAM COMMUNICATIONS LLC</w:t>
      </w:r>
      <w:r w:rsidRPr="008017C7">
        <w:rPr>
          <w:rFonts w:ascii="Microsoft Sans Serif" w:eastAsia="Microsoft Sans Serif" w:hAnsi="Microsoft Sans Serif" w:cs="Microsoft Sans Serif"/>
          <w:szCs w:val="22"/>
        </w:rPr>
        <w:cr/>
        <w:t>4001 NORTH RODNEY PARHAM ROAD</w:t>
      </w:r>
      <w:r w:rsidRPr="008017C7">
        <w:rPr>
          <w:rFonts w:ascii="Microsoft Sans Serif" w:eastAsia="Microsoft Sans Serif" w:hAnsi="Microsoft Sans Serif" w:cs="Microsoft Sans Serif"/>
          <w:szCs w:val="22"/>
        </w:rPr>
        <w:cr/>
        <w:t>LITTLE ROCK AR  72212</w:t>
      </w:r>
      <w:r w:rsidRPr="008017C7">
        <w:rPr>
          <w:rFonts w:ascii="Microsoft Sans Serif" w:eastAsia="Microsoft Sans Serif" w:hAnsi="Microsoft Sans Serif" w:cs="Microsoft Sans Serif"/>
          <w:szCs w:val="22"/>
        </w:rPr>
        <w:cr/>
      </w:r>
      <w:r w:rsidRPr="008017C7">
        <w:rPr>
          <w:rFonts w:ascii="Microsoft Sans Serif" w:eastAsia="Microsoft Sans Serif" w:hAnsi="Microsoft Sans Serif" w:cs="Microsoft Sans Serif"/>
          <w:b/>
          <w:szCs w:val="22"/>
        </w:rPr>
        <w:t>501.748.4804</w:t>
      </w:r>
      <w:r w:rsidRPr="008017C7">
        <w:rPr>
          <w:rFonts w:ascii="Microsoft Sans Serif" w:eastAsia="Microsoft Sans Serif" w:hAnsi="Microsoft Sans Serif" w:cs="Microsoft Sans Serif"/>
          <w:b/>
          <w:szCs w:val="22"/>
        </w:rPr>
        <w:cr/>
      </w:r>
    </w:p>
    <w:p w:rsidR="008017C7" w:rsidRDefault="008017C7"/>
    <w:sectPr w:rsidR="008017C7" w:rsidSect="007407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B97" w:rsidRDefault="00740B97" w:rsidP="00F733FB">
      <w:pPr>
        <w:spacing w:line="240" w:lineRule="auto"/>
      </w:pPr>
      <w:r>
        <w:separator/>
      </w:r>
    </w:p>
  </w:endnote>
  <w:endnote w:type="continuationSeparator" w:id="0">
    <w:p w:rsidR="00740B97" w:rsidRDefault="00740B97" w:rsidP="00F733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B97" w:rsidRDefault="00740B97" w:rsidP="00F733FB">
      <w:pPr>
        <w:spacing w:line="240" w:lineRule="auto"/>
      </w:pPr>
      <w:r>
        <w:separator/>
      </w:r>
    </w:p>
  </w:footnote>
  <w:footnote w:type="continuationSeparator" w:id="0">
    <w:p w:rsidR="00740B97" w:rsidRDefault="00740B97" w:rsidP="00F733FB">
      <w:pPr>
        <w:spacing w:line="240" w:lineRule="auto"/>
      </w:pPr>
      <w:r>
        <w:continuationSeparator/>
      </w:r>
    </w:p>
  </w:footnote>
  <w:footnote w:id="1">
    <w:p w:rsidR="008017C7" w:rsidRDefault="00F733FB" w:rsidP="008017C7">
      <w:pPr>
        <w:pStyle w:val="FootnoteText"/>
      </w:pPr>
      <w:r w:rsidRPr="00D03A90">
        <w:rPr>
          <w:rStyle w:val="FootnoteReference"/>
        </w:rPr>
        <w:footnoteRef/>
      </w:r>
      <w:r w:rsidRPr="00D03A90">
        <w:t xml:space="preserve"> </w:t>
      </w:r>
      <w:r w:rsidRPr="00D03A90">
        <w:tab/>
        <w:t>52 Pa</w:t>
      </w:r>
      <w:r>
        <w:t xml:space="preserve">.Code </w:t>
      </w:r>
      <w:r w:rsidRPr="00D03A90">
        <w:t>§ 1.22(a).</w:t>
      </w:r>
      <w:r w:rsidR="00500CA2">
        <w:t xml:space="preserve"> </w:t>
      </w:r>
    </w:p>
    <w:p w:rsidR="00F733FB" w:rsidRPr="00D03A90" w:rsidRDefault="00500CA2" w:rsidP="008017C7">
      <w:pPr>
        <w:pStyle w:val="FootnoteText"/>
      </w:pPr>
      <w:r>
        <w:t xml:space="preserve"> </w:t>
      </w:r>
    </w:p>
  </w:footnote>
  <w:footnote w:id="2">
    <w:p w:rsidR="00F733FB" w:rsidRDefault="00F733FB" w:rsidP="008017C7">
      <w:pPr>
        <w:pStyle w:val="FootnoteText"/>
      </w:pPr>
      <w:r>
        <w:rPr>
          <w:rStyle w:val="FootnoteReference"/>
        </w:rPr>
        <w:footnoteRef/>
      </w:r>
      <w:r>
        <w:t xml:space="preserve"> </w:t>
      </w:r>
      <w:r w:rsidR="00500CA2">
        <w:t xml:space="preserve"> </w:t>
      </w:r>
      <w:r w:rsidR="00500CA2">
        <w:tab/>
      </w:r>
      <w:r w:rsidRPr="00500CA2">
        <w:rPr>
          <w:i/>
        </w:rPr>
        <w:t>Smaha v. Landy</w:t>
      </w:r>
      <w:r w:rsidRPr="00F733FB">
        <w:t>, 638 A.2d 392 (Pa.Cmwlth</w:t>
      </w:r>
      <w:proofErr w:type="gramStart"/>
      <w:r w:rsidRPr="00F733FB">
        <w:t xml:space="preserve">. </w:t>
      </w:r>
      <w:proofErr w:type="gramEnd"/>
      <w:r w:rsidRPr="00F733FB">
        <w:t>1994).</w:t>
      </w:r>
    </w:p>
    <w:p w:rsidR="008017C7" w:rsidRDefault="008017C7" w:rsidP="008017C7">
      <w:pPr>
        <w:pStyle w:val="FootnoteText"/>
      </w:pPr>
    </w:p>
  </w:footnote>
  <w:footnote w:id="3">
    <w:p w:rsidR="00F733FB" w:rsidRDefault="00F733FB" w:rsidP="008017C7">
      <w:pPr>
        <w:pStyle w:val="FootnoteText"/>
      </w:pPr>
      <w:r>
        <w:rPr>
          <w:rStyle w:val="FootnoteReference"/>
        </w:rPr>
        <w:footnoteRef/>
      </w:r>
      <w:r>
        <w:t xml:space="preserve"> </w:t>
      </w:r>
      <w:r w:rsidR="00500CA2">
        <w:t xml:space="preserve"> </w:t>
      </w:r>
      <w:r w:rsidR="00500CA2">
        <w:tab/>
      </w:r>
      <w:r w:rsidRPr="00500CA2">
        <w:rPr>
          <w:i/>
        </w:rPr>
        <w:t>Walcavge v. Excell</w:t>
      </w:r>
      <w:r w:rsidRPr="00F733FB">
        <w:t xml:space="preserve"> 2000, Inc., 480 A.2d 281 (Pa.Super 1984).</w:t>
      </w:r>
    </w:p>
    <w:p w:rsidR="008017C7" w:rsidRDefault="008017C7" w:rsidP="008017C7">
      <w:pPr>
        <w:pStyle w:val="FootnoteText"/>
      </w:pPr>
    </w:p>
  </w:footnote>
  <w:footnote w:id="4">
    <w:p w:rsidR="00F733FB" w:rsidRDefault="00F733FB" w:rsidP="008017C7">
      <w:pPr>
        <w:pStyle w:val="FootnoteText"/>
      </w:pPr>
      <w:r>
        <w:rPr>
          <w:rStyle w:val="FootnoteReference"/>
        </w:rPr>
        <w:footnoteRef/>
      </w:r>
      <w:r>
        <w:t xml:space="preserve"> </w:t>
      </w:r>
      <w:r>
        <w:tab/>
      </w:r>
      <w:bookmarkStart w:id="2" w:name="_Hlk521485945"/>
      <w:r w:rsidRPr="00D51E42">
        <w:rPr>
          <w:i/>
          <w:iCs/>
        </w:rPr>
        <w:t xml:space="preserve">Cars </w:t>
      </w:r>
      <w:r>
        <w:rPr>
          <w:i/>
          <w:iCs/>
        </w:rPr>
        <w:t>R Us c/o Holman Copeland v. PGW</w:t>
      </w:r>
      <w:r w:rsidRPr="00D51E42">
        <w:t>,</w:t>
      </w:r>
      <w:r>
        <w:t xml:space="preserve"> </w:t>
      </w:r>
      <w:r w:rsidRPr="00D51E42">
        <w:t>Docket No. C-2008-2033437 (Order entered February 4, 2010)</w:t>
      </w:r>
      <w:bookmarkEnd w:id="2"/>
      <w:r>
        <w:t>.</w:t>
      </w:r>
    </w:p>
  </w:footnote>
  <w:footnote w:id="5">
    <w:p w:rsidR="00187596" w:rsidRPr="00500CA2" w:rsidRDefault="00187596" w:rsidP="008017C7">
      <w:pPr>
        <w:pStyle w:val="FootnoteText"/>
      </w:pPr>
      <w:r>
        <w:rPr>
          <w:rStyle w:val="FootnoteReference"/>
        </w:rPr>
        <w:footnoteRef/>
      </w:r>
      <w:r>
        <w:t xml:space="preserve">  </w:t>
      </w:r>
      <w:r>
        <w:tab/>
        <w:t xml:space="preserve">The Commission has on occasion admitted out-of-state attorneys </w:t>
      </w:r>
      <w:r>
        <w:rPr>
          <w:i/>
        </w:rPr>
        <w:t>pro hac vice</w:t>
      </w:r>
      <w:r>
        <w:t xml:space="preserve"> in accordance with the Pennsylvania Rules of Civil Procedure, the rule is not intended to permit a practitioner who intends to practice in the Commonwealth on a regular basis to avoid admission to the Pennsylvania Bar.  </w:t>
      </w:r>
      <w:r w:rsidRPr="00AB2925">
        <w:rPr>
          <w:i/>
        </w:rPr>
        <w:t xml:space="preserve">See </w:t>
      </w:r>
      <w:r w:rsidRPr="002A0F00">
        <w:t>Pa.R.C.P. No. 1012.1(e), note (5).</w:t>
      </w:r>
      <w:r w:rsidR="00B758C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FB"/>
    <w:rsid w:val="00004C37"/>
    <w:rsid w:val="00066D87"/>
    <w:rsid w:val="000A7E6E"/>
    <w:rsid w:val="000B6090"/>
    <w:rsid w:val="000E3EDE"/>
    <w:rsid w:val="00107E82"/>
    <w:rsid w:val="00187596"/>
    <w:rsid w:val="001A21B6"/>
    <w:rsid w:val="001B1CBA"/>
    <w:rsid w:val="001D2AF7"/>
    <w:rsid w:val="00207743"/>
    <w:rsid w:val="00213167"/>
    <w:rsid w:val="002400BF"/>
    <w:rsid w:val="002512F9"/>
    <w:rsid w:val="00303887"/>
    <w:rsid w:val="003145FA"/>
    <w:rsid w:val="00367A41"/>
    <w:rsid w:val="003756E8"/>
    <w:rsid w:val="00393C92"/>
    <w:rsid w:val="003A3E09"/>
    <w:rsid w:val="003F0BFC"/>
    <w:rsid w:val="004D523C"/>
    <w:rsid w:val="00500CA2"/>
    <w:rsid w:val="005A1C17"/>
    <w:rsid w:val="005A2ABA"/>
    <w:rsid w:val="005D180A"/>
    <w:rsid w:val="005E7B69"/>
    <w:rsid w:val="0061775F"/>
    <w:rsid w:val="00696C0D"/>
    <w:rsid w:val="00697DB1"/>
    <w:rsid w:val="006F0329"/>
    <w:rsid w:val="00700807"/>
    <w:rsid w:val="00712E58"/>
    <w:rsid w:val="007407AC"/>
    <w:rsid w:val="00740B97"/>
    <w:rsid w:val="00755D72"/>
    <w:rsid w:val="00792796"/>
    <w:rsid w:val="00796B64"/>
    <w:rsid w:val="007E6779"/>
    <w:rsid w:val="008017C7"/>
    <w:rsid w:val="00820B4C"/>
    <w:rsid w:val="0083239D"/>
    <w:rsid w:val="008529D2"/>
    <w:rsid w:val="0088105E"/>
    <w:rsid w:val="008D632E"/>
    <w:rsid w:val="00917DCA"/>
    <w:rsid w:val="009304FB"/>
    <w:rsid w:val="00A47096"/>
    <w:rsid w:val="00AA2EC5"/>
    <w:rsid w:val="00AB2925"/>
    <w:rsid w:val="00AB4C73"/>
    <w:rsid w:val="00AE6F47"/>
    <w:rsid w:val="00B758CC"/>
    <w:rsid w:val="00B91E47"/>
    <w:rsid w:val="00BC6B21"/>
    <w:rsid w:val="00C87E57"/>
    <w:rsid w:val="00CF6143"/>
    <w:rsid w:val="00DD5C37"/>
    <w:rsid w:val="00E4239A"/>
    <w:rsid w:val="00EB027A"/>
    <w:rsid w:val="00EC1CBA"/>
    <w:rsid w:val="00EE7801"/>
    <w:rsid w:val="00F11A19"/>
    <w:rsid w:val="00F16554"/>
    <w:rsid w:val="00F544E1"/>
    <w:rsid w:val="00F733FB"/>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FEB2888"/>
  <w15:chartTrackingRefBased/>
  <w15:docId w15:val="{8852087E-0FEE-4772-B0C9-23701FE0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autoRedefine/>
    <w:unhideWhenUsed/>
    <w:qFormat/>
    <w:rsid w:val="008017C7"/>
    <w:pPr>
      <w:spacing w:line="240" w:lineRule="auto"/>
    </w:pPr>
    <w:rPr>
      <w:sz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8017C7"/>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aliases w:val="o,fr"/>
    <w:basedOn w:val="DefaultParagraphFont"/>
    <w:uiPriority w:val="99"/>
    <w:unhideWhenUsed/>
    <w:rsid w:val="00F73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3</cp:revision>
  <dcterms:created xsi:type="dcterms:W3CDTF">2018-08-08T13:59:00Z</dcterms:created>
  <dcterms:modified xsi:type="dcterms:W3CDTF">2018-08-08T14:09:00Z</dcterms:modified>
</cp:coreProperties>
</file>