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87"/>
        <w:gridCol w:w="1440"/>
      </w:tblGrid>
      <w:tr w:rsidR="00C74A51" w14:paraId="7A3786B2" w14:textId="77777777">
        <w:trPr>
          <w:trHeight w:val="990"/>
        </w:trPr>
        <w:tc>
          <w:tcPr>
            <w:tcW w:w="1363" w:type="dxa"/>
          </w:tcPr>
          <w:p w14:paraId="7928729E" w14:textId="77777777" w:rsidR="00C74A51" w:rsidRDefault="007934FB">
            <w:pPr>
              <w:rPr>
                <w:sz w:val="24"/>
              </w:rPr>
            </w:pPr>
            <w:r>
              <w:rPr>
                <w:noProof/>
                <w:spacing w:val="-2"/>
              </w:rPr>
              <w:drawing>
                <wp:inline distT="0" distB="0" distL="0" distR="0" wp14:anchorId="17AF483D" wp14:editId="3A731511">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87" w:type="dxa"/>
          </w:tcPr>
          <w:p w14:paraId="1FC1FDD4" w14:textId="77777777" w:rsidR="00C74A51" w:rsidRDefault="00C74A51">
            <w:pPr>
              <w:suppressAutoHyphens/>
              <w:spacing w:line="204" w:lineRule="auto"/>
              <w:jc w:val="center"/>
              <w:rPr>
                <w:rFonts w:ascii="Arial" w:hAnsi="Arial"/>
                <w:color w:val="000080"/>
                <w:spacing w:val="-3"/>
                <w:sz w:val="26"/>
              </w:rPr>
            </w:pPr>
          </w:p>
          <w:p w14:paraId="70336D2D"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FF05C44"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310A5E6" w14:textId="77777777"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14:paraId="70B93282" w14:textId="77777777" w:rsidR="00C74A51" w:rsidRDefault="00C74A51">
            <w:pPr>
              <w:rPr>
                <w:rFonts w:ascii="Arial" w:hAnsi="Arial"/>
                <w:sz w:val="12"/>
              </w:rPr>
            </w:pPr>
          </w:p>
          <w:p w14:paraId="0BD389C9" w14:textId="77777777" w:rsidR="00C74A51" w:rsidRDefault="00C74A51">
            <w:pPr>
              <w:rPr>
                <w:rFonts w:ascii="Arial" w:hAnsi="Arial"/>
                <w:sz w:val="12"/>
              </w:rPr>
            </w:pPr>
          </w:p>
          <w:p w14:paraId="4D598E81" w14:textId="77777777" w:rsidR="002B1FCD" w:rsidRDefault="002B1FCD">
            <w:pPr>
              <w:jc w:val="right"/>
              <w:rPr>
                <w:rFonts w:ascii="Arial" w:hAnsi="Arial"/>
                <w:b/>
                <w:spacing w:val="-1"/>
                <w:sz w:val="12"/>
              </w:rPr>
            </w:pPr>
          </w:p>
          <w:p w14:paraId="7FBCC453" w14:textId="77777777" w:rsidR="002B1FCD" w:rsidRDefault="002B1FCD">
            <w:pPr>
              <w:jc w:val="right"/>
              <w:rPr>
                <w:rFonts w:ascii="Arial" w:hAnsi="Arial"/>
                <w:b/>
                <w:spacing w:val="-1"/>
                <w:sz w:val="12"/>
              </w:rPr>
            </w:pPr>
          </w:p>
          <w:p w14:paraId="07C49FB6"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1D2FD0D3" w14:textId="77777777" w:rsidR="004F32B3" w:rsidRDefault="004F32B3">
            <w:pPr>
              <w:jc w:val="right"/>
              <w:rPr>
                <w:sz w:val="16"/>
                <w:szCs w:val="16"/>
              </w:rPr>
            </w:pPr>
          </w:p>
          <w:p w14:paraId="4E6B01F9" w14:textId="77777777" w:rsidR="003569E8" w:rsidRPr="00170283" w:rsidRDefault="00FA244D" w:rsidP="00EE1C74">
            <w:pPr>
              <w:jc w:val="right"/>
              <w:rPr>
                <w:rFonts w:ascii="Arial" w:hAnsi="Arial"/>
                <w:sz w:val="16"/>
                <w:szCs w:val="16"/>
              </w:rPr>
            </w:pPr>
            <w:r>
              <w:rPr>
                <w:sz w:val="16"/>
                <w:szCs w:val="16"/>
              </w:rPr>
              <w:t xml:space="preserve">     </w:t>
            </w:r>
          </w:p>
        </w:tc>
      </w:tr>
    </w:tbl>
    <w:p w14:paraId="3F374151" w14:textId="77777777" w:rsidR="00C74A51" w:rsidRDefault="00C74A51">
      <w:pPr>
        <w:rPr>
          <w:sz w:val="24"/>
        </w:rPr>
        <w:sectPr w:rsidR="00C74A51" w:rsidSect="00884BE7">
          <w:footerReference w:type="even" r:id="rId9"/>
          <w:footerReference w:type="default" r:id="rId10"/>
          <w:footerReference w:type="first" r:id="rId11"/>
          <w:pgSz w:w="12240" w:h="15840"/>
          <w:pgMar w:top="504" w:right="1440" w:bottom="1440" w:left="1440" w:header="720" w:footer="720" w:gutter="0"/>
          <w:cols w:space="720"/>
          <w:titlePg/>
          <w:docGrid w:linePitch="272"/>
        </w:sectPr>
      </w:pPr>
    </w:p>
    <w:p w14:paraId="45D19492" w14:textId="77777777" w:rsidR="001E1BF3" w:rsidRPr="003C56E2" w:rsidRDefault="001E1BF3" w:rsidP="00FA0E37">
      <w:pPr>
        <w:jc w:val="center"/>
        <w:rPr>
          <w:b/>
          <w:sz w:val="26"/>
          <w:szCs w:val="26"/>
        </w:rPr>
      </w:pPr>
    </w:p>
    <w:p w14:paraId="143D7E35" w14:textId="65064916" w:rsidR="001F2EDC" w:rsidRPr="00884BE7" w:rsidRDefault="00884BE7" w:rsidP="002B1FCD">
      <w:pPr>
        <w:jc w:val="center"/>
        <w:rPr>
          <w:sz w:val="26"/>
          <w:szCs w:val="26"/>
        </w:rPr>
      </w:pPr>
      <w:r w:rsidRPr="00884BE7">
        <w:rPr>
          <w:sz w:val="26"/>
          <w:szCs w:val="26"/>
        </w:rPr>
        <w:t>August 9, 2018</w:t>
      </w:r>
    </w:p>
    <w:p w14:paraId="161F7094" w14:textId="77777777" w:rsidR="003C56E2" w:rsidRDefault="003C56E2" w:rsidP="00FA0E37">
      <w:pPr>
        <w:jc w:val="center"/>
        <w:rPr>
          <w:b/>
          <w:sz w:val="26"/>
          <w:szCs w:val="26"/>
        </w:rPr>
      </w:pPr>
    </w:p>
    <w:p w14:paraId="105BB70C" w14:textId="77777777" w:rsidR="00D82D39" w:rsidRDefault="00D82D39" w:rsidP="004466E5">
      <w:pPr>
        <w:jc w:val="right"/>
        <w:rPr>
          <w:sz w:val="26"/>
          <w:szCs w:val="26"/>
        </w:rPr>
      </w:pPr>
    </w:p>
    <w:p w14:paraId="4F2E8F84" w14:textId="7DF7393C" w:rsidR="001F2EDC" w:rsidRDefault="00500D82" w:rsidP="004466E5">
      <w:pPr>
        <w:jc w:val="right"/>
        <w:rPr>
          <w:sz w:val="26"/>
          <w:szCs w:val="26"/>
        </w:rPr>
      </w:pPr>
      <w:r w:rsidRPr="00D53A1E">
        <w:rPr>
          <w:sz w:val="26"/>
          <w:szCs w:val="26"/>
        </w:rPr>
        <w:t>M-2018-2641242</w:t>
      </w:r>
    </w:p>
    <w:p w14:paraId="30D84DD7" w14:textId="77777777" w:rsidR="00D82D39" w:rsidRDefault="00D82D39" w:rsidP="00EE1C74">
      <w:pPr>
        <w:ind w:left="1440" w:hanging="720"/>
        <w:rPr>
          <w:b/>
          <w:sz w:val="26"/>
          <w:szCs w:val="26"/>
        </w:rPr>
      </w:pPr>
    </w:p>
    <w:p w14:paraId="29702FD4" w14:textId="77777777" w:rsidR="00D82D39" w:rsidRPr="00884BE7" w:rsidRDefault="00D82D39" w:rsidP="00EE1C74">
      <w:pPr>
        <w:ind w:left="1440" w:hanging="720"/>
        <w:rPr>
          <w:b/>
          <w:sz w:val="26"/>
          <w:szCs w:val="26"/>
        </w:rPr>
      </w:pPr>
    </w:p>
    <w:p w14:paraId="4844AC2B" w14:textId="752F0F70" w:rsidR="00930003" w:rsidRPr="00884BE7" w:rsidRDefault="00930003" w:rsidP="00EE1C74">
      <w:pPr>
        <w:ind w:left="1440" w:hanging="720"/>
        <w:rPr>
          <w:b/>
          <w:sz w:val="26"/>
          <w:szCs w:val="26"/>
        </w:rPr>
      </w:pPr>
      <w:r w:rsidRPr="00884BE7">
        <w:rPr>
          <w:b/>
          <w:sz w:val="26"/>
          <w:szCs w:val="26"/>
        </w:rPr>
        <w:t>Re:</w:t>
      </w:r>
      <w:r w:rsidR="002B1FCD" w:rsidRPr="00884BE7">
        <w:rPr>
          <w:b/>
          <w:sz w:val="26"/>
          <w:szCs w:val="26"/>
        </w:rPr>
        <w:tab/>
      </w:r>
      <w:r w:rsidR="006850A4" w:rsidRPr="00884BE7">
        <w:rPr>
          <w:b/>
          <w:sz w:val="26"/>
          <w:szCs w:val="26"/>
        </w:rPr>
        <w:t>Tax Cuts and Jobs Ac</w:t>
      </w:r>
      <w:r w:rsidR="009D365D" w:rsidRPr="00884BE7">
        <w:rPr>
          <w:b/>
          <w:sz w:val="26"/>
          <w:szCs w:val="26"/>
        </w:rPr>
        <w:t>t of 2017</w:t>
      </w:r>
      <w:r w:rsidR="00FA244D" w:rsidRPr="00884BE7">
        <w:rPr>
          <w:b/>
          <w:sz w:val="26"/>
          <w:szCs w:val="26"/>
        </w:rPr>
        <w:t xml:space="preserve">  </w:t>
      </w:r>
    </w:p>
    <w:p w14:paraId="0D8DD912" w14:textId="77777777" w:rsidR="001F2EDC" w:rsidRPr="00AB263D" w:rsidRDefault="001F2EDC" w:rsidP="00930003">
      <w:pPr>
        <w:rPr>
          <w:sz w:val="26"/>
          <w:szCs w:val="26"/>
        </w:rPr>
      </w:pPr>
    </w:p>
    <w:p w14:paraId="4D02C2C7" w14:textId="77777777" w:rsidR="00D82D39" w:rsidRDefault="00D82D39" w:rsidP="00930003">
      <w:pPr>
        <w:rPr>
          <w:sz w:val="26"/>
          <w:szCs w:val="26"/>
        </w:rPr>
      </w:pPr>
    </w:p>
    <w:p w14:paraId="00157AD5" w14:textId="77777777" w:rsidR="00930003" w:rsidRPr="00AB263D" w:rsidRDefault="002B1FCD" w:rsidP="00930003">
      <w:pPr>
        <w:rPr>
          <w:sz w:val="26"/>
          <w:szCs w:val="26"/>
        </w:rPr>
      </w:pPr>
      <w:r w:rsidRPr="00AB263D">
        <w:rPr>
          <w:sz w:val="26"/>
          <w:szCs w:val="26"/>
        </w:rPr>
        <w:t xml:space="preserve">To </w:t>
      </w:r>
      <w:bookmarkStart w:id="0" w:name="_Hlk521572548"/>
      <w:r w:rsidRPr="00AB263D">
        <w:rPr>
          <w:sz w:val="26"/>
          <w:szCs w:val="26"/>
        </w:rPr>
        <w:t xml:space="preserve">All </w:t>
      </w:r>
      <w:r w:rsidR="00D61384" w:rsidRPr="00AB263D">
        <w:rPr>
          <w:sz w:val="26"/>
          <w:szCs w:val="26"/>
        </w:rPr>
        <w:t xml:space="preserve">Affected Pennsylvania </w:t>
      </w:r>
      <w:r w:rsidR="00EF2E87" w:rsidRPr="00AB263D">
        <w:rPr>
          <w:sz w:val="26"/>
          <w:szCs w:val="26"/>
        </w:rPr>
        <w:t>Telecommunications Carriers</w:t>
      </w:r>
      <w:bookmarkEnd w:id="0"/>
      <w:r w:rsidRPr="00AB263D">
        <w:rPr>
          <w:sz w:val="26"/>
          <w:szCs w:val="26"/>
        </w:rPr>
        <w:t>:</w:t>
      </w:r>
    </w:p>
    <w:p w14:paraId="5315F08E" w14:textId="77777777" w:rsidR="00AB263D" w:rsidRPr="00AB263D" w:rsidRDefault="00AB263D" w:rsidP="00930003">
      <w:pPr>
        <w:rPr>
          <w:sz w:val="26"/>
          <w:szCs w:val="26"/>
        </w:rPr>
      </w:pPr>
    </w:p>
    <w:p w14:paraId="0BBA53C1" w14:textId="52EDB637" w:rsidR="00AB263D" w:rsidRPr="00AB263D" w:rsidRDefault="00AB263D" w:rsidP="00AB263D">
      <w:pPr>
        <w:ind w:firstLine="720"/>
        <w:rPr>
          <w:sz w:val="26"/>
          <w:szCs w:val="26"/>
        </w:rPr>
      </w:pPr>
      <w:r w:rsidRPr="00AB263D">
        <w:rPr>
          <w:sz w:val="26"/>
          <w:szCs w:val="26"/>
        </w:rPr>
        <w:t xml:space="preserve">The Commission’s March 2, 2018 Secretarial Letter directed </w:t>
      </w:r>
      <w:r>
        <w:rPr>
          <w:sz w:val="26"/>
          <w:szCs w:val="26"/>
        </w:rPr>
        <w:t>Incumbent Local Exchange Companies (</w:t>
      </w:r>
      <w:r w:rsidRPr="00AB263D">
        <w:rPr>
          <w:sz w:val="26"/>
          <w:szCs w:val="26"/>
        </w:rPr>
        <w:t>ILECs</w:t>
      </w:r>
      <w:r>
        <w:rPr>
          <w:sz w:val="26"/>
          <w:szCs w:val="26"/>
        </w:rPr>
        <w:t>)</w:t>
      </w:r>
      <w:r w:rsidRPr="00AB263D">
        <w:rPr>
          <w:sz w:val="26"/>
          <w:szCs w:val="26"/>
        </w:rPr>
        <w:t xml:space="preserve"> to submit comments and respond to data requests to address whether their </w:t>
      </w:r>
      <w:r>
        <w:rPr>
          <w:sz w:val="26"/>
          <w:szCs w:val="26"/>
        </w:rPr>
        <w:t xml:space="preserve">retail and wholesale </w:t>
      </w:r>
      <w:r w:rsidRPr="00AB263D">
        <w:rPr>
          <w:sz w:val="26"/>
          <w:szCs w:val="26"/>
        </w:rPr>
        <w:t xml:space="preserve">rates should be adjusted to reflect the effects of the tax rate changes and reductions from the TCJA.  </w:t>
      </w:r>
      <w:r w:rsidR="00DA1458">
        <w:rPr>
          <w:sz w:val="26"/>
          <w:szCs w:val="26"/>
        </w:rPr>
        <w:t>Two</w:t>
      </w:r>
      <w:r w:rsidR="00DA1458" w:rsidRPr="00AB263D">
        <w:rPr>
          <w:sz w:val="26"/>
          <w:szCs w:val="26"/>
        </w:rPr>
        <w:t xml:space="preserve"> </w:t>
      </w:r>
      <w:r w:rsidRPr="00AB263D">
        <w:rPr>
          <w:sz w:val="26"/>
          <w:szCs w:val="26"/>
        </w:rPr>
        <w:t>key issue</w:t>
      </w:r>
      <w:r w:rsidR="00DA1458">
        <w:rPr>
          <w:sz w:val="26"/>
          <w:szCs w:val="26"/>
        </w:rPr>
        <w:t>s</w:t>
      </w:r>
      <w:r w:rsidRPr="00AB263D">
        <w:rPr>
          <w:sz w:val="26"/>
          <w:szCs w:val="26"/>
        </w:rPr>
        <w:t xml:space="preserve"> </w:t>
      </w:r>
      <w:r w:rsidR="00DA1458">
        <w:rPr>
          <w:sz w:val="26"/>
          <w:szCs w:val="26"/>
        </w:rPr>
        <w:t>in the Commission’s March 2018 Secretarial Letter were</w:t>
      </w:r>
      <w:r w:rsidRPr="00AB263D">
        <w:rPr>
          <w:sz w:val="26"/>
          <w:szCs w:val="26"/>
        </w:rPr>
        <w:t xml:space="preserve"> the tax rate reductions</w:t>
      </w:r>
      <w:r w:rsidR="00DA1458">
        <w:rPr>
          <w:sz w:val="26"/>
          <w:szCs w:val="26"/>
        </w:rPr>
        <w:t>’</w:t>
      </w:r>
      <w:r w:rsidRPr="00AB263D">
        <w:rPr>
          <w:sz w:val="26"/>
          <w:szCs w:val="26"/>
        </w:rPr>
        <w:t xml:space="preserve"> </w:t>
      </w:r>
      <w:r w:rsidR="00DA1458">
        <w:rPr>
          <w:sz w:val="26"/>
          <w:szCs w:val="26"/>
        </w:rPr>
        <w:t xml:space="preserve">potential </w:t>
      </w:r>
      <w:r w:rsidRPr="00AB263D">
        <w:rPr>
          <w:sz w:val="26"/>
          <w:szCs w:val="26"/>
        </w:rPr>
        <w:t>qualif</w:t>
      </w:r>
      <w:r w:rsidR="00DA1458">
        <w:rPr>
          <w:sz w:val="26"/>
          <w:szCs w:val="26"/>
        </w:rPr>
        <w:t xml:space="preserve">ications </w:t>
      </w:r>
      <w:r w:rsidRPr="00AB263D">
        <w:rPr>
          <w:sz w:val="26"/>
          <w:szCs w:val="26"/>
        </w:rPr>
        <w:t>as so-called “exogenous events” pursuant to the ILECs’ various Chapter 30 plans</w:t>
      </w:r>
      <w:r w:rsidR="00DA1458">
        <w:rPr>
          <w:sz w:val="26"/>
          <w:szCs w:val="26"/>
        </w:rPr>
        <w:t xml:space="preserve"> and the Commission’s maintenance of just and reasonable rates in light of those tax rate reductions</w:t>
      </w:r>
      <w:r w:rsidRPr="00AB263D">
        <w:rPr>
          <w:sz w:val="26"/>
          <w:szCs w:val="26"/>
        </w:rPr>
        <w:t>.</w:t>
      </w:r>
    </w:p>
    <w:p w14:paraId="062BBDE7" w14:textId="77777777" w:rsidR="00AB263D" w:rsidRPr="00AB263D" w:rsidRDefault="00AB263D" w:rsidP="00AB263D">
      <w:pPr>
        <w:ind w:firstLine="720"/>
        <w:rPr>
          <w:sz w:val="26"/>
          <w:szCs w:val="26"/>
        </w:rPr>
      </w:pPr>
    </w:p>
    <w:p w14:paraId="5720EF87" w14:textId="396B2FD1" w:rsidR="00AB263D" w:rsidRPr="00AB263D" w:rsidRDefault="00AB263D" w:rsidP="00AB263D">
      <w:pPr>
        <w:ind w:firstLine="720"/>
        <w:rPr>
          <w:sz w:val="26"/>
          <w:szCs w:val="26"/>
        </w:rPr>
      </w:pPr>
      <w:r w:rsidRPr="00AB263D">
        <w:rPr>
          <w:sz w:val="26"/>
          <w:szCs w:val="26"/>
        </w:rPr>
        <w:t>In addition to the receipt of public comments and responses to these data request</w:t>
      </w:r>
      <w:r w:rsidR="00DA1458">
        <w:rPr>
          <w:sz w:val="26"/>
          <w:szCs w:val="26"/>
        </w:rPr>
        <w:t>s filed in the Commission’s own inquiry</w:t>
      </w:r>
      <w:r w:rsidRPr="00AB263D">
        <w:rPr>
          <w:sz w:val="26"/>
          <w:szCs w:val="26"/>
        </w:rPr>
        <w:t>, the Office of Consumer Advocate (OCA)</w:t>
      </w:r>
      <w:r>
        <w:rPr>
          <w:sz w:val="26"/>
          <w:szCs w:val="26"/>
        </w:rPr>
        <w:t xml:space="preserve"> </w:t>
      </w:r>
      <w:r w:rsidRPr="00AB263D">
        <w:rPr>
          <w:sz w:val="26"/>
          <w:szCs w:val="26"/>
        </w:rPr>
        <w:t xml:space="preserve">filed formal complaints with the Commission against </w:t>
      </w:r>
      <w:r>
        <w:rPr>
          <w:sz w:val="26"/>
          <w:szCs w:val="26"/>
        </w:rPr>
        <w:t xml:space="preserve">ten </w:t>
      </w:r>
      <w:r w:rsidRPr="00AB263D">
        <w:rPr>
          <w:sz w:val="26"/>
          <w:szCs w:val="26"/>
        </w:rPr>
        <w:t>ILECs</w:t>
      </w:r>
      <w:r w:rsidR="00DA1458">
        <w:rPr>
          <w:sz w:val="26"/>
          <w:szCs w:val="26"/>
        </w:rPr>
        <w:t xml:space="preserve">’ 2018 Chapter 30 Price Stability Mechanism filings alleging that their current retail rates for non-competitive services may be unjust and unreasonable because the filings did not account for the savings in tax expense from the TCJA as an exogenous event. </w:t>
      </w:r>
      <w:r w:rsidR="00F0504F">
        <w:rPr>
          <w:sz w:val="26"/>
          <w:szCs w:val="26"/>
        </w:rPr>
        <w:t xml:space="preserve"> </w:t>
      </w:r>
      <w:r w:rsidR="00DA1458">
        <w:rPr>
          <w:i/>
          <w:sz w:val="26"/>
          <w:szCs w:val="26"/>
        </w:rPr>
        <w:t>S</w:t>
      </w:r>
      <w:r w:rsidRPr="00AB263D">
        <w:rPr>
          <w:i/>
          <w:sz w:val="26"/>
          <w:szCs w:val="26"/>
        </w:rPr>
        <w:t>ee</w:t>
      </w:r>
      <w:r w:rsidRPr="00AB263D">
        <w:rPr>
          <w:sz w:val="26"/>
          <w:szCs w:val="26"/>
        </w:rPr>
        <w:t xml:space="preserve"> Attachment A</w:t>
      </w:r>
      <w:r>
        <w:rPr>
          <w:sz w:val="26"/>
          <w:szCs w:val="26"/>
        </w:rPr>
        <w:t xml:space="preserve"> (List of Complaint Dockets)</w:t>
      </w:r>
      <w:r w:rsidRPr="00AB263D">
        <w:rPr>
          <w:sz w:val="26"/>
          <w:szCs w:val="26"/>
        </w:rPr>
        <w:t>.</w:t>
      </w:r>
    </w:p>
    <w:p w14:paraId="2591F91E" w14:textId="77777777" w:rsidR="00AB263D" w:rsidRPr="00AB263D" w:rsidRDefault="00AB263D" w:rsidP="00AB263D">
      <w:pPr>
        <w:ind w:firstLine="720"/>
        <w:rPr>
          <w:sz w:val="26"/>
          <w:szCs w:val="26"/>
        </w:rPr>
      </w:pPr>
    </w:p>
    <w:p w14:paraId="6C0EBD07" w14:textId="4BCD492A" w:rsidR="00AB263D" w:rsidRPr="00AB263D" w:rsidRDefault="00AB263D" w:rsidP="00AB263D">
      <w:pPr>
        <w:ind w:firstLine="720"/>
        <w:rPr>
          <w:sz w:val="26"/>
          <w:szCs w:val="26"/>
        </w:rPr>
      </w:pPr>
      <w:r w:rsidRPr="00AB263D">
        <w:rPr>
          <w:sz w:val="26"/>
          <w:szCs w:val="26"/>
        </w:rPr>
        <w:t xml:space="preserve">Since the issue of whether any TCJA tax savings should be accounted for </w:t>
      </w:r>
      <w:r w:rsidR="00DA1458">
        <w:rPr>
          <w:sz w:val="26"/>
          <w:szCs w:val="26"/>
        </w:rPr>
        <w:t xml:space="preserve">under </w:t>
      </w:r>
      <w:r w:rsidRPr="00AB263D">
        <w:rPr>
          <w:sz w:val="26"/>
          <w:szCs w:val="26"/>
        </w:rPr>
        <w:t>these ILECs</w:t>
      </w:r>
      <w:r w:rsidR="00DA1458">
        <w:rPr>
          <w:sz w:val="26"/>
          <w:szCs w:val="26"/>
        </w:rPr>
        <w:t>’</w:t>
      </w:r>
      <w:r w:rsidRPr="00AB263D">
        <w:rPr>
          <w:sz w:val="26"/>
          <w:szCs w:val="26"/>
        </w:rPr>
        <w:t xml:space="preserve"> Chapter 30 </w:t>
      </w:r>
      <w:r w:rsidR="00DA1458">
        <w:rPr>
          <w:sz w:val="26"/>
          <w:szCs w:val="26"/>
        </w:rPr>
        <w:t>forms of alternative regulation</w:t>
      </w:r>
      <w:r w:rsidRPr="00AB263D">
        <w:rPr>
          <w:sz w:val="26"/>
          <w:szCs w:val="26"/>
        </w:rPr>
        <w:t xml:space="preserve"> is presently in litigation before OALJ, the Commission will </w:t>
      </w:r>
      <w:r w:rsidR="00DA1458">
        <w:rPr>
          <w:sz w:val="26"/>
          <w:szCs w:val="26"/>
        </w:rPr>
        <w:t xml:space="preserve">temporarily stay its own inquiry undertaken in is March 2018 Secretarial Letter </w:t>
      </w:r>
      <w:r w:rsidRPr="00AB263D">
        <w:rPr>
          <w:sz w:val="26"/>
          <w:szCs w:val="26"/>
        </w:rPr>
        <w:t xml:space="preserve">pending </w:t>
      </w:r>
      <w:r w:rsidR="00DA1458">
        <w:rPr>
          <w:sz w:val="26"/>
          <w:szCs w:val="26"/>
        </w:rPr>
        <w:t xml:space="preserve">the parties’ full litigation and the Commission’s </w:t>
      </w:r>
      <w:r w:rsidRPr="00AB263D">
        <w:rPr>
          <w:sz w:val="26"/>
          <w:szCs w:val="26"/>
        </w:rPr>
        <w:t xml:space="preserve">final adjudication of these </w:t>
      </w:r>
      <w:r w:rsidR="00DA1458">
        <w:rPr>
          <w:sz w:val="26"/>
          <w:szCs w:val="26"/>
        </w:rPr>
        <w:t>ten</w:t>
      </w:r>
      <w:r w:rsidRPr="00AB263D">
        <w:rPr>
          <w:sz w:val="26"/>
          <w:szCs w:val="26"/>
        </w:rPr>
        <w:t xml:space="preserve"> complaints.  In this fashion, the Commission </w:t>
      </w:r>
      <w:r w:rsidR="00DA1458">
        <w:rPr>
          <w:sz w:val="26"/>
          <w:szCs w:val="26"/>
        </w:rPr>
        <w:t>will avoid any prejudgment of an</w:t>
      </w:r>
      <w:r w:rsidR="004857C8">
        <w:rPr>
          <w:sz w:val="26"/>
          <w:szCs w:val="26"/>
        </w:rPr>
        <w:t>y</w:t>
      </w:r>
      <w:r w:rsidR="00DA1458">
        <w:rPr>
          <w:sz w:val="26"/>
          <w:szCs w:val="26"/>
        </w:rPr>
        <w:t xml:space="preserve"> issue</w:t>
      </w:r>
      <w:r w:rsidR="00DB195D">
        <w:rPr>
          <w:sz w:val="26"/>
          <w:szCs w:val="26"/>
        </w:rPr>
        <w:t>s</w:t>
      </w:r>
      <w:r w:rsidR="00DA1458">
        <w:rPr>
          <w:sz w:val="26"/>
          <w:szCs w:val="26"/>
        </w:rPr>
        <w:t xml:space="preserve"> that remain pending before it and </w:t>
      </w:r>
      <w:r w:rsidRPr="00AB263D">
        <w:rPr>
          <w:sz w:val="26"/>
          <w:szCs w:val="26"/>
        </w:rPr>
        <w:t xml:space="preserve">will have the benefit of a fully developed </w:t>
      </w:r>
      <w:r w:rsidR="00356358">
        <w:rPr>
          <w:sz w:val="26"/>
          <w:szCs w:val="26"/>
        </w:rPr>
        <w:t xml:space="preserve">evidentiary </w:t>
      </w:r>
      <w:r w:rsidRPr="00AB263D">
        <w:rPr>
          <w:sz w:val="26"/>
          <w:szCs w:val="26"/>
        </w:rPr>
        <w:t>record, the parties’ briefs and the presiding ALJ’s recommended decision before any final decision is rendered.</w:t>
      </w:r>
    </w:p>
    <w:p w14:paraId="0C769A2D" w14:textId="77777777" w:rsidR="00AB263D" w:rsidRPr="00AB263D" w:rsidRDefault="00AB263D" w:rsidP="00AB263D">
      <w:pPr>
        <w:ind w:firstLine="720"/>
        <w:rPr>
          <w:sz w:val="26"/>
          <w:szCs w:val="26"/>
        </w:rPr>
      </w:pPr>
    </w:p>
    <w:p w14:paraId="3D0561BA" w14:textId="54092212" w:rsidR="00AB263D" w:rsidRPr="00AB263D" w:rsidRDefault="00AB263D" w:rsidP="00AB263D">
      <w:pPr>
        <w:ind w:firstLine="720"/>
        <w:rPr>
          <w:sz w:val="26"/>
          <w:szCs w:val="26"/>
        </w:rPr>
      </w:pPr>
      <w:r w:rsidRPr="00AB263D">
        <w:rPr>
          <w:sz w:val="26"/>
          <w:szCs w:val="26"/>
        </w:rPr>
        <w:t xml:space="preserve">That said, </w:t>
      </w:r>
      <w:r w:rsidR="00DA1458">
        <w:rPr>
          <w:sz w:val="26"/>
          <w:szCs w:val="26"/>
        </w:rPr>
        <w:t xml:space="preserve">all issues, including </w:t>
      </w:r>
      <w:r w:rsidRPr="00AB263D">
        <w:rPr>
          <w:sz w:val="26"/>
          <w:szCs w:val="26"/>
        </w:rPr>
        <w:t xml:space="preserve">whether the tax savings from the TCJA should be accounted for in the ILECs’ Interconnection Agreements and their </w:t>
      </w:r>
      <w:r w:rsidR="00356358">
        <w:rPr>
          <w:sz w:val="26"/>
          <w:szCs w:val="26"/>
        </w:rPr>
        <w:t xml:space="preserve">relevant </w:t>
      </w:r>
      <w:r w:rsidRPr="00AB263D">
        <w:rPr>
          <w:sz w:val="26"/>
          <w:szCs w:val="26"/>
        </w:rPr>
        <w:t xml:space="preserve">wholesale </w:t>
      </w:r>
      <w:r w:rsidR="00356358">
        <w:rPr>
          <w:sz w:val="26"/>
          <w:szCs w:val="26"/>
        </w:rPr>
        <w:t xml:space="preserve">interconnection </w:t>
      </w:r>
      <w:r w:rsidRPr="00AB263D">
        <w:rPr>
          <w:sz w:val="26"/>
          <w:szCs w:val="26"/>
        </w:rPr>
        <w:t>rates</w:t>
      </w:r>
      <w:r w:rsidR="00DA1458">
        <w:rPr>
          <w:sz w:val="26"/>
          <w:szCs w:val="26"/>
        </w:rPr>
        <w:t>,</w:t>
      </w:r>
      <w:r w:rsidRPr="00AB263D">
        <w:rPr>
          <w:sz w:val="26"/>
          <w:szCs w:val="26"/>
        </w:rPr>
        <w:t xml:space="preserve"> remain under review at this docket.</w:t>
      </w:r>
    </w:p>
    <w:p w14:paraId="437C1F9A" w14:textId="0DFB9AD1" w:rsidR="0028374F" w:rsidRPr="00AB263D" w:rsidRDefault="0028374F" w:rsidP="009134B1">
      <w:pPr>
        <w:ind w:firstLine="720"/>
        <w:rPr>
          <w:sz w:val="26"/>
          <w:szCs w:val="26"/>
        </w:rPr>
      </w:pPr>
      <w:r w:rsidRPr="00AB263D">
        <w:rPr>
          <w:sz w:val="26"/>
          <w:szCs w:val="26"/>
        </w:rPr>
        <w:lastRenderedPageBreak/>
        <w:t>Please direct a</w:t>
      </w:r>
      <w:r w:rsidR="00933976" w:rsidRPr="00AB263D">
        <w:rPr>
          <w:sz w:val="26"/>
          <w:szCs w:val="26"/>
        </w:rPr>
        <w:t>n</w:t>
      </w:r>
      <w:r w:rsidRPr="00AB263D">
        <w:rPr>
          <w:sz w:val="26"/>
          <w:szCs w:val="26"/>
        </w:rPr>
        <w:t xml:space="preserve">y questions concerning this Secretarial Letter to Erin Laudenslager (elaudensla@pa.gov) and/or </w:t>
      </w:r>
      <w:r w:rsidR="00D53A1E" w:rsidRPr="00AB263D">
        <w:rPr>
          <w:sz w:val="26"/>
          <w:szCs w:val="26"/>
        </w:rPr>
        <w:t>Colin W. Scott</w:t>
      </w:r>
      <w:r w:rsidRPr="00AB263D">
        <w:rPr>
          <w:sz w:val="26"/>
          <w:szCs w:val="26"/>
        </w:rPr>
        <w:t xml:space="preserve"> (</w:t>
      </w:r>
      <w:r w:rsidR="00D53A1E" w:rsidRPr="00AB263D">
        <w:rPr>
          <w:sz w:val="26"/>
          <w:szCs w:val="26"/>
        </w:rPr>
        <w:t>colinscott</w:t>
      </w:r>
      <w:r w:rsidRPr="00AB263D">
        <w:rPr>
          <w:sz w:val="26"/>
          <w:szCs w:val="26"/>
        </w:rPr>
        <w:t>@pa.gov).</w:t>
      </w:r>
    </w:p>
    <w:p w14:paraId="0BD5410C" w14:textId="77777777" w:rsidR="00225A3A" w:rsidRPr="00195103" w:rsidRDefault="00225A3A" w:rsidP="009134B1">
      <w:pPr>
        <w:ind w:firstLine="720"/>
        <w:rPr>
          <w:sz w:val="26"/>
          <w:szCs w:val="26"/>
        </w:rPr>
      </w:pPr>
    </w:p>
    <w:p w14:paraId="0F2D24A2" w14:textId="77777777" w:rsidR="00930003" w:rsidRDefault="004C1038" w:rsidP="00930003">
      <w:pPr>
        <w:tabs>
          <w:tab w:val="left" w:pos="720"/>
          <w:tab w:val="left" w:pos="5040"/>
        </w:tabs>
        <w:rPr>
          <w:sz w:val="26"/>
          <w:szCs w:val="26"/>
        </w:rPr>
      </w:pPr>
      <w:r w:rsidRPr="009F01BA">
        <w:rPr>
          <w:b/>
          <w:noProof/>
        </w:rPr>
        <w:drawing>
          <wp:anchor distT="0" distB="0" distL="114300" distR="114300" simplePos="0" relativeHeight="251659264" behindDoc="1" locked="0" layoutInCell="1" allowOverlap="1" wp14:anchorId="6BFBFCE6" wp14:editId="3D21E796">
            <wp:simplePos x="0" y="0"/>
            <wp:positionH relativeFrom="column">
              <wp:posOffset>2752725</wp:posOffset>
            </wp:positionH>
            <wp:positionV relativeFrom="paragraph">
              <wp:posOffset>65405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30003" w:rsidRPr="002B1FCD">
        <w:rPr>
          <w:sz w:val="26"/>
          <w:szCs w:val="26"/>
        </w:rPr>
        <w:tab/>
      </w:r>
      <w:r w:rsidR="00930003" w:rsidRPr="002B1FCD">
        <w:rPr>
          <w:sz w:val="26"/>
          <w:szCs w:val="26"/>
        </w:rPr>
        <w:tab/>
        <w:t>Sincerely,</w:t>
      </w:r>
    </w:p>
    <w:p w14:paraId="51E301F7" w14:textId="77777777" w:rsidR="00225A3A" w:rsidRDefault="00225A3A" w:rsidP="00930003">
      <w:pPr>
        <w:tabs>
          <w:tab w:val="left" w:pos="720"/>
          <w:tab w:val="left" w:pos="5040"/>
        </w:tabs>
        <w:rPr>
          <w:sz w:val="26"/>
          <w:szCs w:val="26"/>
        </w:rPr>
      </w:pPr>
    </w:p>
    <w:p w14:paraId="0CCF3388" w14:textId="77777777" w:rsidR="004466E5" w:rsidRPr="002B1FCD" w:rsidRDefault="004466E5" w:rsidP="00930003">
      <w:pPr>
        <w:tabs>
          <w:tab w:val="left" w:pos="720"/>
          <w:tab w:val="left" w:pos="5040"/>
        </w:tabs>
        <w:rPr>
          <w:sz w:val="26"/>
          <w:szCs w:val="26"/>
        </w:rPr>
      </w:pPr>
    </w:p>
    <w:p w14:paraId="03F890DF" w14:textId="77777777" w:rsidR="00930003" w:rsidRPr="002B1FCD" w:rsidRDefault="00930003" w:rsidP="00930003">
      <w:pPr>
        <w:tabs>
          <w:tab w:val="left" w:pos="720"/>
          <w:tab w:val="left" w:pos="5040"/>
        </w:tabs>
        <w:rPr>
          <w:sz w:val="26"/>
          <w:szCs w:val="26"/>
        </w:rPr>
      </w:pPr>
    </w:p>
    <w:p w14:paraId="71DA71C8" w14:textId="77777777" w:rsidR="00930003" w:rsidRPr="002B1FCD" w:rsidRDefault="00930003" w:rsidP="00930003">
      <w:pPr>
        <w:pStyle w:val="Heading1"/>
        <w:rPr>
          <w:sz w:val="26"/>
          <w:szCs w:val="26"/>
        </w:rPr>
      </w:pPr>
      <w:r w:rsidRPr="002B1FCD">
        <w:rPr>
          <w:sz w:val="26"/>
          <w:szCs w:val="26"/>
        </w:rPr>
        <w:tab/>
      </w:r>
      <w:r w:rsidRPr="002B1FCD">
        <w:rPr>
          <w:sz w:val="26"/>
          <w:szCs w:val="26"/>
        </w:rPr>
        <w:tab/>
      </w:r>
      <w:r w:rsidRPr="002B1FCD">
        <w:rPr>
          <w:sz w:val="26"/>
          <w:szCs w:val="26"/>
        </w:rPr>
        <w:tab/>
      </w:r>
      <w:r w:rsidR="001F2EDC" w:rsidRPr="002B1FCD">
        <w:rPr>
          <w:sz w:val="26"/>
          <w:szCs w:val="26"/>
        </w:rPr>
        <w:tab/>
      </w:r>
      <w:r w:rsidR="001F2EDC" w:rsidRPr="002B1FCD">
        <w:rPr>
          <w:sz w:val="26"/>
          <w:szCs w:val="26"/>
        </w:rPr>
        <w:tab/>
      </w:r>
      <w:r w:rsidR="001F2EDC" w:rsidRPr="002B1FCD">
        <w:rPr>
          <w:sz w:val="26"/>
          <w:szCs w:val="26"/>
        </w:rPr>
        <w:tab/>
      </w:r>
      <w:r w:rsidR="001F2EDC" w:rsidRPr="002B1FCD">
        <w:rPr>
          <w:sz w:val="26"/>
          <w:szCs w:val="26"/>
        </w:rPr>
        <w:tab/>
      </w:r>
      <w:r w:rsidR="00335A29" w:rsidRPr="002B1FCD">
        <w:rPr>
          <w:sz w:val="26"/>
          <w:szCs w:val="26"/>
        </w:rPr>
        <w:t>Rosemary Chiavetta</w:t>
      </w:r>
    </w:p>
    <w:p w14:paraId="644BFD64" w14:textId="77777777" w:rsidR="00930003" w:rsidRDefault="00930003" w:rsidP="00930003">
      <w:pPr>
        <w:tabs>
          <w:tab w:val="left" w:pos="720"/>
          <w:tab w:val="left" w:pos="5040"/>
        </w:tabs>
        <w:rPr>
          <w:sz w:val="26"/>
          <w:szCs w:val="26"/>
        </w:rPr>
      </w:pPr>
      <w:r w:rsidRPr="002B1FCD">
        <w:rPr>
          <w:sz w:val="26"/>
          <w:szCs w:val="26"/>
        </w:rPr>
        <w:tab/>
      </w:r>
      <w:r w:rsidRPr="002B1FCD">
        <w:rPr>
          <w:sz w:val="26"/>
          <w:szCs w:val="26"/>
        </w:rPr>
        <w:tab/>
        <w:t>Secretary</w:t>
      </w:r>
    </w:p>
    <w:p w14:paraId="5244C95B" w14:textId="50C7D0C2" w:rsidR="007A09CE" w:rsidRDefault="007A09CE" w:rsidP="00930003">
      <w:pPr>
        <w:tabs>
          <w:tab w:val="left" w:pos="720"/>
          <w:tab w:val="left" w:pos="5040"/>
        </w:tabs>
        <w:rPr>
          <w:sz w:val="26"/>
          <w:szCs w:val="26"/>
        </w:rPr>
      </w:pPr>
    </w:p>
    <w:p w14:paraId="1CA0841C" w14:textId="77777777" w:rsidR="006F6C5E" w:rsidRDefault="006F6C5E" w:rsidP="00930003">
      <w:pPr>
        <w:tabs>
          <w:tab w:val="left" w:pos="720"/>
          <w:tab w:val="left" w:pos="5040"/>
        </w:tabs>
        <w:rPr>
          <w:sz w:val="26"/>
          <w:szCs w:val="26"/>
        </w:rPr>
      </w:pPr>
    </w:p>
    <w:p w14:paraId="33ED94B5" w14:textId="77777777" w:rsidR="007A09CE" w:rsidRDefault="007A09CE" w:rsidP="00930003">
      <w:pPr>
        <w:tabs>
          <w:tab w:val="left" w:pos="720"/>
          <w:tab w:val="left" w:pos="5040"/>
        </w:tabs>
        <w:rPr>
          <w:sz w:val="26"/>
          <w:szCs w:val="26"/>
        </w:rPr>
      </w:pPr>
    </w:p>
    <w:p w14:paraId="3C6EA5C4" w14:textId="77777777" w:rsidR="007A09CE" w:rsidRDefault="007A09CE" w:rsidP="00930003">
      <w:pPr>
        <w:tabs>
          <w:tab w:val="left" w:pos="720"/>
          <w:tab w:val="left" w:pos="5040"/>
        </w:tabs>
        <w:rPr>
          <w:sz w:val="26"/>
          <w:szCs w:val="26"/>
        </w:rPr>
      </w:pPr>
      <w:r>
        <w:rPr>
          <w:sz w:val="26"/>
          <w:szCs w:val="26"/>
        </w:rPr>
        <w:t>cc:</w:t>
      </w:r>
      <w:r>
        <w:rPr>
          <w:sz w:val="26"/>
          <w:szCs w:val="26"/>
        </w:rPr>
        <w:tab/>
        <w:t>Pennsylvania Office of Consumer Advocate</w:t>
      </w:r>
    </w:p>
    <w:p w14:paraId="7BDA2B03" w14:textId="77777777" w:rsidR="007A09CE" w:rsidRDefault="007A09CE" w:rsidP="00930003">
      <w:pPr>
        <w:tabs>
          <w:tab w:val="left" w:pos="720"/>
          <w:tab w:val="left" w:pos="5040"/>
        </w:tabs>
        <w:rPr>
          <w:sz w:val="26"/>
          <w:szCs w:val="26"/>
        </w:rPr>
      </w:pPr>
      <w:r>
        <w:rPr>
          <w:sz w:val="26"/>
          <w:szCs w:val="26"/>
        </w:rPr>
        <w:tab/>
        <w:t>Pennsylvania Office of Small Business Advocate</w:t>
      </w:r>
    </w:p>
    <w:p w14:paraId="7BB117FC" w14:textId="568F803F" w:rsidR="003B650C" w:rsidRDefault="00D53A1E" w:rsidP="00930003">
      <w:pPr>
        <w:tabs>
          <w:tab w:val="left" w:pos="720"/>
          <w:tab w:val="left" w:pos="5040"/>
        </w:tabs>
        <w:rPr>
          <w:sz w:val="26"/>
          <w:szCs w:val="26"/>
        </w:rPr>
      </w:pPr>
      <w:r>
        <w:rPr>
          <w:sz w:val="26"/>
          <w:szCs w:val="26"/>
        </w:rPr>
        <w:tab/>
      </w:r>
      <w:r w:rsidR="003B650C">
        <w:rPr>
          <w:sz w:val="26"/>
          <w:szCs w:val="26"/>
        </w:rPr>
        <w:t>P</w:t>
      </w:r>
      <w:r w:rsidR="00180A9A">
        <w:rPr>
          <w:sz w:val="26"/>
          <w:szCs w:val="26"/>
        </w:rPr>
        <w:t>ennsylvania</w:t>
      </w:r>
      <w:r w:rsidR="003B650C">
        <w:rPr>
          <w:sz w:val="26"/>
          <w:szCs w:val="26"/>
        </w:rPr>
        <w:t xml:space="preserve"> Tele</w:t>
      </w:r>
      <w:r w:rsidR="00180A9A">
        <w:rPr>
          <w:sz w:val="26"/>
          <w:szCs w:val="26"/>
        </w:rPr>
        <w:t>phone</w:t>
      </w:r>
      <w:r w:rsidR="003B650C">
        <w:rPr>
          <w:sz w:val="26"/>
          <w:szCs w:val="26"/>
        </w:rPr>
        <w:t xml:space="preserve"> Association </w:t>
      </w:r>
    </w:p>
    <w:p w14:paraId="53F20F2A" w14:textId="2FC4E133" w:rsidR="0093008E" w:rsidRDefault="0093008E" w:rsidP="00930003">
      <w:pPr>
        <w:tabs>
          <w:tab w:val="left" w:pos="720"/>
          <w:tab w:val="left" w:pos="5040"/>
        </w:tabs>
        <w:rPr>
          <w:sz w:val="26"/>
          <w:szCs w:val="26"/>
        </w:rPr>
      </w:pPr>
      <w:r>
        <w:rPr>
          <w:sz w:val="26"/>
          <w:szCs w:val="26"/>
        </w:rPr>
        <w:tab/>
      </w:r>
      <w:r w:rsidR="003512EF">
        <w:rPr>
          <w:sz w:val="26"/>
          <w:szCs w:val="26"/>
        </w:rPr>
        <w:t>Philip J</w:t>
      </w:r>
      <w:r w:rsidR="000932B9">
        <w:rPr>
          <w:sz w:val="26"/>
          <w:szCs w:val="26"/>
        </w:rPr>
        <w:t>.</w:t>
      </w:r>
      <w:r w:rsidR="003512EF">
        <w:rPr>
          <w:sz w:val="26"/>
          <w:szCs w:val="26"/>
        </w:rPr>
        <w:t xml:space="preserve"> Wood, Verizon Pennsylvania LLC</w:t>
      </w:r>
      <w:r w:rsidR="00180A9A">
        <w:rPr>
          <w:sz w:val="26"/>
          <w:szCs w:val="26"/>
        </w:rPr>
        <w:t xml:space="preserve"> &amp; Verizon North LLC</w:t>
      </w:r>
    </w:p>
    <w:p w14:paraId="16207223" w14:textId="20187970" w:rsidR="00EB6073" w:rsidRDefault="0093008E" w:rsidP="00930003">
      <w:pPr>
        <w:tabs>
          <w:tab w:val="left" w:pos="720"/>
          <w:tab w:val="left" w:pos="5040"/>
        </w:tabs>
        <w:rPr>
          <w:sz w:val="26"/>
          <w:szCs w:val="26"/>
        </w:rPr>
      </w:pPr>
      <w:r>
        <w:rPr>
          <w:sz w:val="26"/>
          <w:szCs w:val="26"/>
        </w:rPr>
        <w:tab/>
      </w:r>
      <w:bookmarkStart w:id="1" w:name="_GoBack"/>
      <w:r w:rsidR="003512EF">
        <w:rPr>
          <w:sz w:val="26"/>
          <w:szCs w:val="26"/>
        </w:rPr>
        <w:t xml:space="preserve">Carl </w:t>
      </w:r>
      <w:proofErr w:type="spellStart"/>
      <w:r w:rsidR="003512EF">
        <w:rPr>
          <w:sz w:val="26"/>
          <w:szCs w:val="26"/>
        </w:rPr>
        <w:t>Yastremski</w:t>
      </w:r>
      <w:bookmarkEnd w:id="1"/>
      <w:proofErr w:type="spellEnd"/>
      <w:r w:rsidR="003512EF">
        <w:rPr>
          <w:sz w:val="26"/>
          <w:szCs w:val="26"/>
        </w:rPr>
        <w:t>, Frontier Communications</w:t>
      </w:r>
    </w:p>
    <w:p w14:paraId="65F7871E" w14:textId="74417BA1" w:rsidR="00806EB2" w:rsidRDefault="00806EB2" w:rsidP="00930003">
      <w:pPr>
        <w:tabs>
          <w:tab w:val="left" w:pos="720"/>
          <w:tab w:val="left" w:pos="5040"/>
        </w:tabs>
        <w:rPr>
          <w:sz w:val="26"/>
          <w:szCs w:val="26"/>
        </w:rPr>
      </w:pPr>
      <w:r>
        <w:rPr>
          <w:sz w:val="26"/>
          <w:szCs w:val="26"/>
        </w:rPr>
        <w:tab/>
        <w:t>ALJ Steven Haas</w:t>
      </w:r>
    </w:p>
    <w:p w14:paraId="0CDAF11F" w14:textId="77777777" w:rsidR="00303B1D" w:rsidRDefault="00806EB2" w:rsidP="00930003">
      <w:pPr>
        <w:tabs>
          <w:tab w:val="left" w:pos="720"/>
          <w:tab w:val="left" w:pos="5040"/>
        </w:tabs>
        <w:rPr>
          <w:sz w:val="26"/>
          <w:szCs w:val="26"/>
        </w:rPr>
        <w:sectPr w:rsidR="00303B1D" w:rsidSect="002B1FCD">
          <w:footerReference w:type="even" r:id="rId13"/>
          <w:footerReference w:type="default" r:id="rId14"/>
          <w:type w:val="continuous"/>
          <w:pgSz w:w="12240" w:h="15840"/>
          <w:pgMar w:top="1440" w:right="1440" w:bottom="1440" w:left="1440" w:header="720" w:footer="720" w:gutter="0"/>
          <w:cols w:space="720"/>
          <w:titlePg/>
          <w:docGrid w:linePitch="272"/>
        </w:sectPr>
      </w:pPr>
      <w:r>
        <w:rPr>
          <w:sz w:val="26"/>
          <w:szCs w:val="26"/>
        </w:rPr>
        <w:tab/>
        <w:t>Parties of Record at Dockets Listed in Attachment A</w:t>
      </w:r>
    </w:p>
    <w:tbl>
      <w:tblPr>
        <w:tblStyle w:val="TableGrid"/>
        <w:tblW w:w="0" w:type="auto"/>
        <w:tblLook w:val="04A0" w:firstRow="1" w:lastRow="0" w:firstColumn="1" w:lastColumn="0" w:noHBand="0" w:noVBand="1"/>
      </w:tblPr>
      <w:tblGrid>
        <w:gridCol w:w="4315"/>
        <w:gridCol w:w="2520"/>
        <w:gridCol w:w="2515"/>
      </w:tblGrid>
      <w:tr w:rsidR="00303B1D" w14:paraId="49C6D007" w14:textId="77777777" w:rsidTr="0011767C">
        <w:tc>
          <w:tcPr>
            <w:tcW w:w="4315" w:type="dxa"/>
            <w:shd w:val="clear" w:color="auto" w:fill="000000" w:themeFill="text1"/>
          </w:tcPr>
          <w:p w14:paraId="78A4CA91" w14:textId="15774E0B" w:rsidR="00303B1D" w:rsidRPr="00303B1D" w:rsidRDefault="00303B1D" w:rsidP="00303B1D">
            <w:pPr>
              <w:tabs>
                <w:tab w:val="left" w:pos="720"/>
                <w:tab w:val="left" w:pos="5040"/>
              </w:tabs>
              <w:jc w:val="center"/>
              <w:rPr>
                <w:b/>
                <w:color w:val="FFFFFF" w:themeColor="background1"/>
                <w:sz w:val="26"/>
                <w:szCs w:val="26"/>
              </w:rPr>
            </w:pPr>
            <w:r w:rsidRPr="00303B1D">
              <w:rPr>
                <w:b/>
                <w:color w:val="FFFFFF" w:themeColor="background1"/>
                <w:sz w:val="26"/>
                <w:szCs w:val="26"/>
              </w:rPr>
              <w:lastRenderedPageBreak/>
              <w:t>Case Name</w:t>
            </w:r>
          </w:p>
        </w:tc>
        <w:tc>
          <w:tcPr>
            <w:tcW w:w="2520" w:type="dxa"/>
            <w:shd w:val="clear" w:color="auto" w:fill="000000" w:themeFill="text1"/>
          </w:tcPr>
          <w:p w14:paraId="64FC1648" w14:textId="1B6BD08D" w:rsidR="00303B1D" w:rsidRPr="00303B1D" w:rsidRDefault="00303B1D" w:rsidP="00303B1D">
            <w:pPr>
              <w:tabs>
                <w:tab w:val="left" w:pos="720"/>
                <w:tab w:val="left" w:pos="5040"/>
              </w:tabs>
              <w:jc w:val="center"/>
              <w:rPr>
                <w:b/>
                <w:color w:val="FFFFFF" w:themeColor="background1"/>
                <w:sz w:val="26"/>
                <w:szCs w:val="26"/>
              </w:rPr>
            </w:pPr>
            <w:r w:rsidRPr="00303B1D">
              <w:rPr>
                <w:b/>
                <w:color w:val="FFFFFF" w:themeColor="background1"/>
                <w:sz w:val="26"/>
                <w:szCs w:val="26"/>
              </w:rPr>
              <w:t>Docket Numbers</w:t>
            </w:r>
          </w:p>
        </w:tc>
        <w:tc>
          <w:tcPr>
            <w:tcW w:w="2515" w:type="dxa"/>
            <w:shd w:val="clear" w:color="auto" w:fill="000000" w:themeFill="text1"/>
          </w:tcPr>
          <w:p w14:paraId="35EFC0DE" w14:textId="08828E6F" w:rsidR="00303B1D" w:rsidRPr="00303B1D" w:rsidRDefault="00303B1D" w:rsidP="00303B1D">
            <w:pPr>
              <w:tabs>
                <w:tab w:val="left" w:pos="720"/>
                <w:tab w:val="left" w:pos="5040"/>
              </w:tabs>
              <w:jc w:val="center"/>
              <w:rPr>
                <w:b/>
                <w:color w:val="FFFFFF" w:themeColor="background1"/>
                <w:sz w:val="26"/>
                <w:szCs w:val="26"/>
              </w:rPr>
            </w:pPr>
            <w:r w:rsidRPr="00303B1D">
              <w:rPr>
                <w:b/>
                <w:color w:val="FFFFFF" w:themeColor="background1"/>
                <w:sz w:val="26"/>
                <w:szCs w:val="26"/>
              </w:rPr>
              <w:t>OCA Complaint</w:t>
            </w:r>
          </w:p>
        </w:tc>
      </w:tr>
      <w:tr w:rsidR="00303B1D" w14:paraId="2611DF89" w14:textId="77777777" w:rsidTr="0011767C">
        <w:tc>
          <w:tcPr>
            <w:tcW w:w="4315" w:type="dxa"/>
            <w:shd w:val="clear" w:color="auto" w:fill="D9D9D9" w:themeFill="background1" w:themeFillShade="D9"/>
            <w:vAlign w:val="center"/>
          </w:tcPr>
          <w:p w14:paraId="33FD4F3E" w14:textId="77777777" w:rsidR="00303B1D" w:rsidRDefault="00303B1D" w:rsidP="00303B1D">
            <w:pPr>
              <w:tabs>
                <w:tab w:val="left" w:pos="720"/>
                <w:tab w:val="left" w:pos="5040"/>
              </w:tabs>
              <w:spacing w:before="40" w:after="40"/>
              <w:rPr>
                <w:sz w:val="26"/>
                <w:szCs w:val="26"/>
              </w:rPr>
            </w:pPr>
            <w:r>
              <w:rPr>
                <w:sz w:val="26"/>
                <w:szCs w:val="26"/>
              </w:rPr>
              <w:t xml:space="preserve">OCA v. </w:t>
            </w:r>
            <w:proofErr w:type="spellStart"/>
            <w:r>
              <w:rPr>
                <w:sz w:val="26"/>
                <w:szCs w:val="26"/>
              </w:rPr>
              <w:t>Lackawaxen</w:t>
            </w:r>
            <w:proofErr w:type="spellEnd"/>
          </w:p>
          <w:p w14:paraId="6B276C0A" w14:textId="0E6FD0D8" w:rsidR="00303B1D" w:rsidRDefault="00303B1D" w:rsidP="00303B1D">
            <w:pPr>
              <w:tabs>
                <w:tab w:val="left" w:pos="720"/>
                <w:tab w:val="left" w:pos="5040"/>
              </w:tabs>
              <w:spacing w:before="40" w:after="40"/>
              <w:rPr>
                <w:sz w:val="26"/>
                <w:szCs w:val="26"/>
              </w:rPr>
            </w:pPr>
            <w:r>
              <w:rPr>
                <w:sz w:val="26"/>
                <w:szCs w:val="26"/>
              </w:rPr>
              <w:t>Telecommunication Services, Inc.</w:t>
            </w:r>
          </w:p>
        </w:tc>
        <w:tc>
          <w:tcPr>
            <w:tcW w:w="2520" w:type="dxa"/>
            <w:shd w:val="clear" w:color="auto" w:fill="D9D9D9" w:themeFill="background1" w:themeFillShade="D9"/>
            <w:vAlign w:val="center"/>
          </w:tcPr>
          <w:p w14:paraId="5029BC16" w14:textId="77777777" w:rsidR="00303B1D" w:rsidRDefault="00303B1D" w:rsidP="0011767C">
            <w:pPr>
              <w:tabs>
                <w:tab w:val="left" w:pos="720"/>
                <w:tab w:val="left" w:pos="5040"/>
              </w:tabs>
              <w:spacing w:before="40" w:after="40"/>
              <w:rPr>
                <w:sz w:val="26"/>
                <w:szCs w:val="26"/>
              </w:rPr>
            </w:pPr>
            <w:r>
              <w:rPr>
                <w:sz w:val="26"/>
                <w:szCs w:val="26"/>
              </w:rPr>
              <w:t>C-2018-3001913</w:t>
            </w:r>
          </w:p>
          <w:p w14:paraId="6268B11E" w14:textId="7B5D4F8A" w:rsidR="00303B1D" w:rsidRDefault="00303B1D" w:rsidP="0011767C">
            <w:pPr>
              <w:tabs>
                <w:tab w:val="left" w:pos="720"/>
                <w:tab w:val="left" w:pos="5040"/>
              </w:tabs>
              <w:spacing w:before="40" w:after="40"/>
              <w:rPr>
                <w:sz w:val="26"/>
                <w:szCs w:val="26"/>
              </w:rPr>
            </w:pPr>
            <w:r>
              <w:rPr>
                <w:sz w:val="26"/>
                <w:szCs w:val="26"/>
              </w:rPr>
              <w:t>R-2018-3001199</w:t>
            </w:r>
          </w:p>
        </w:tc>
        <w:tc>
          <w:tcPr>
            <w:tcW w:w="2515" w:type="dxa"/>
            <w:shd w:val="clear" w:color="auto" w:fill="D9D9D9" w:themeFill="background1" w:themeFillShade="D9"/>
          </w:tcPr>
          <w:p w14:paraId="655FC4E8" w14:textId="6A012C63" w:rsidR="00303B1D" w:rsidRDefault="00303B1D" w:rsidP="0011767C">
            <w:pPr>
              <w:tabs>
                <w:tab w:val="left" w:pos="720"/>
                <w:tab w:val="left" w:pos="5040"/>
              </w:tabs>
              <w:spacing w:before="40" w:after="40"/>
              <w:rPr>
                <w:sz w:val="26"/>
                <w:szCs w:val="26"/>
              </w:rPr>
            </w:pPr>
            <w:r>
              <w:rPr>
                <w:sz w:val="26"/>
                <w:szCs w:val="26"/>
              </w:rPr>
              <w:t>16-May-18</w:t>
            </w:r>
          </w:p>
        </w:tc>
      </w:tr>
      <w:tr w:rsidR="00303B1D" w14:paraId="3E41EA0F" w14:textId="77777777" w:rsidTr="0011767C">
        <w:tc>
          <w:tcPr>
            <w:tcW w:w="4315" w:type="dxa"/>
            <w:vAlign w:val="center"/>
          </w:tcPr>
          <w:p w14:paraId="214F69F8" w14:textId="77777777" w:rsidR="00303B1D" w:rsidRDefault="00303B1D" w:rsidP="00303B1D">
            <w:pPr>
              <w:tabs>
                <w:tab w:val="left" w:pos="720"/>
                <w:tab w:val="left" w:pos="5040"/>
              </w:tabs>
              <w:spacing w:before="40" w:after="40"/>
              <w:rPr>
                <w:sz w:val="26"/>
                <w:szCs w:val="26"/>
              </w:rPr>
            </w:pPr>
            <w:r>
              <w:rPr>
                <w:sz w:val="26"/>
                <w:szCs w:val="26"/>
              </w:rPr>
              <w:t>OCA v. Bentleyville</w:t>
            </w:r>
          </w:p>
          <w:p w14:paraId="16B949C9" w14:textId="492084A7" w:rsidR="00303B1D" w:rsidRDefault="00303B1D" w:rsidP="00303B1D">
            <w:pPr>
              <w:tabs>
                <w:tab w:val="left" w:pos="720"/>
                <w:tab w:val="left" w:pos="5040"/>
              </w:tabs>
              <w:spacing w:before="40" w:after="40"/>
              <w:rPr>
                <w:sz w:val="26"/>
                <w:szCs w:val="26"/>
              </w:rPr>
            </w:pPr>
            <w:r>
              <w:rPr>
                <w:sz w:val="26"/>
                <w:szCs w:val="26"/>
              </w:rPr>
              <w:t>Communications Corporation</w:t>
            </w:r>
          </w:p>
        </w:tc>
        <w:tc>
          <w:tcPr>
            <w:tcW w:w="2520" w:type="dxa"/>
            <w:vAlign w:val="center"/>
          </w:tcPr>
          <w:p w14:paraId="287560A3" w14:textId="77777777" w:rsidR="00303B1D" w:rsidRDefault="00303B1D" w:rsidP="0011767C">
            <w:pPr>
              <w:tabs>
                <w:tab w:val="left" w:pos="720"/>
                <w:tab w:val="left" w:pos="5040"/>
              </w:tabs>
              <w:spacing w:before="40" w:after="40"/>
              <w:rPr>
                <w:sz w:val="26"/>
                <w:szCs w:val="26"/>
              </w:rPr>
            </w:pPr>
            <w:r>
              <w:rPr>
                <w:sz w:val="26"/>
                <w:szCs w:val="26"/>
              </w:rPr>
              <w:t>C-2018-3001916</w:t>
            </w:r>
          </w:p>
          <w:p w14:paraId="5D5074A4" w14:textId="777EE978" w:rsidR="00303B1D" w:rsidRDefault="00303B1D" w:rsidP="0011767C">
            <w:pPr>
              <w:tabs>
                <w:tab w:val="left" w:pos="720"/>
                <w:tab w:val="left" w:pos="5040"/>
              </w:tabs>
              <w:spacing w:before="40" w:after="40"/>
              <w:rPr>
                <w:sz w:val="26"/>
                <w:szCs w:val="26"/>
              </w:rPr>
            </w:pPr>
            <w:r>
              <w:rPr>
                <w:sz w:val="26"/>
                <w:szCs w:val="26"/>
              </w:rPr>
              <w:t>R-2018-3001213</w:t>
            </w:r>
          </w:p>
        </w:tc>
        <w:tc>
          <w:tcPr>
            <w:tcW w:w="2515" w:type="dxa"/>
          </w:tcPr>
          <w:p w14:paraId="7297A27F" w14:textId="73A64E72" w:rsidR="00303B1D" w:rsidRDefault="00303B1D" w:rsidP="0011767C">
            <w:pPr>
              <w:tabs>
                <w:tab w:val="left" w:pos="720"/>
                <w:tab w:val="left" w:pos="5040"/>
              </w:tabs>
              <w:spacing w:before="40" w:after="40"/>
              <w:rPr>
                <w:sz w:val="26"/>
                <w:szCs w:val="26"/>
              </w:rPr>
            </w:pPr>
            <w:r>
              <w:rPr>
                <w:sz w:val="26"/>
                <w:szCs w:val="26"/>
              </w:rPr>
              <w:t>16-May-18</w:t>
            </w:r>
          </w:p>
        </w:tc>
      </w:tr>
      <w:tr w:rsidR="00303B1D" w14:paraId="45DE7724" w14:textId="77777777" w:rsidTr="0011767C">
        <w:tc>
          <w:tcPr>
            <w:tcW w:w="4315" w:type="dxa"/>
            <w:shd w:val="clear" w:color="auto" w:fill="D9D9D9" w:themeFill="background1" w:themeFillShade="D9"/>
            <w:vAlign w:val="center"/>
          </w:tcPr>
          <w:p w14:paraId="38009312" w14:textId="77777777" w:rsidR="00303B1D" w:rsidRDefault="00303B1D" w:rsidP="00303B1D">
            <w:pPr>
              <w:tabs>
                <w:tab w:val="left" w:pos="720"/>
                <w:tab w:val="left" w:pos="5040"/>
              </w:tabs>
              <w:spacing w:before="40" w:after="40"/>
              <w:rPr>
                <w:sz w:val="26"/>
                <w:szCs w:val="26"/>
              </w:rPr>
            </w:pPr>
            <w:r>
              <w:rPr>
                <w:sz w:val="26"/>
                <w:szCs w:val="26"/>
              </w:rPr>
              <w:t>OCA v. Hickory Telephone</w:t>
            </w:r>
          </w:p>
          <w:p w14:paraId="01BD081C" w14:textId="413B264B" w:rsidR="003827FB" w:rsidRDefault="003827FB" w:rsidP="00303B1D">
            <w:pPr>
              <w:tabs>
                <w:tab w:val="left" w:pos="720"/>
                <w:tab w:val="left" w:pos="5040"/>
              </w:tabs>
              <w:spacing w:before="40" w:after="40"/>
              <w:rPr>
                <w:sz w:val="26"/>
                <w:szCs w:val="26"/>
              </w:rPr>
            </w:pPr>
            <w:r>
              <w:rPr>
                <w:sz w:val="26"/>
                <w:szCs w:val="26"/>
              </w:rPr>
              <w:t>Company</w:t>
            </w:r>
          </w:p>
        </w:tc>
        <w:tc>
          <w:tcPr>
            <w:tcW w:w="2520" w:type="dxa"/>
            <w:shd w:val="clear" w:color="auto" w:fill="D9D9D9" w:themeFill="background1" w:themeFillShade="D9"/>
            <w:vAlign w:val="center"/>
          </w:tcPr>
          <w:p w14:paraId="26FD3441" w14:textId="31A847B1" w:rsidR="00303B1D" w:rsidRDefault="00303B1D" w:rsidP="0011767C">
            <w:pPr>
              <w:tabs>
                <w:tab w:val="left" w:pos="720"/>
                <w:tab w:val="left" w:pos="5040"/>
              </w:tabs>
              <w:spacing w:before="40" w:after="40"/>
              <w:rPr>
                <w:sz w:val="26"/>
                <w:szCs w:val="26"/>
              </w:rPr>
            </w:pPr>
            <w:r>
              <w:rPr>
                <w:sz w:val="26"/>
                <w:szCs w:val="26"/>
              </w:rPr>
              <w:t>C-2018-3001917</w:t>
            </w:r>
          </w:p>
          <w:p w14:paraId="4BECD8A9" w14:textId="4D438092" w:rsidR="00303B1D" w:rsidRDefault="00303B1D" w:rsidP="0011767C">
            <w:pPr>
              <w:tabs>
                <w:tab w:val="left" w:pos="720"/>
                <w:tab w:val="left" w:pos="5040"/>
              </w:tabs>
              <w:spacing w:before="40" w:after="40"/>
              <w:rPr>
                <w:sz w:val="26"/>
                <w:szCs w:val="26"/>
              </w:rPr>
            </w:pPr>
            <w:r>
              <w:rPr>
                <w:sz w:val="26"/>
                <w:szCs w:val="26"/>
              </w:rPr>
              <w:t>R-2018-3001217</w:t>
            </w:r>
          </w:p>
        </w:tc>
        <w:tc>
          <w:tcPr>
            <w:tcW w:w="2515" w:type="dxa"/>
            <w:shd w:val="clear" w:color="auto" w:fill="D9D9D9" w:themeFill="background1" w:themeFillShade="D9"/>
          </w:tcPr>
          <w:p w14:paraId="5840B7F8" w14:textId="0BFB3988" w:rsidR="00303B1D" w:rsidRDefault="0011767C" w:rsidP="0011767C">
            <w:pPr>
              <w:tabs>
                <w:tab w:val="left" w:pos="720"/>
                <w:tab w:val="left" w:pos="5040"/>
              </w:tabs>
              <w:spacing w:before="40" w:after="40"/>
              <w:rPr>
                <w:sz w:val="26"/>
                <w:szCs w:val="26"/>
              </w:rPr>
            </w:pPr>
            <w:r>
              <w:rPr>
                <w:sz w:val="26"/>
                <w:szCs w:val="26"/>
              </w:rPr>
              <w:t>16-May-18</w:t>
            </w:r>
          </w:p>
        </w:tc>
      </w:tr>
      <w:tr w:rsidR="00303B1D" w14:paraId="3C14B170" w14:textId="77777777" w:rsidTr="0011767C">
        <w:tc>
          <w:tcPr>
            <w:tcW w:w="4315" w:type="dxa"/>
            <w:vAlign w:val="center"/>
          </w:tcPr>
          <w:p w14:paraId="7E546EB1" w14:textId="77777777" w:rsidR="00303B1D" w:rsidRDefault="003827FB" w:rsidP="00303B1D">
            <w:pPr>
              <w:tabs>
                <w:tab w:val="left" w:pos="720"/>
                <w:tab w:val="left" w:pos="5040"/>
              </w:tabs>
              <w:spacing w:before="40" w:after="40"/>
              <w:rPr>
                <w:sz w:val="26"/>
                <w:szCs w:val="26"/>
              </w:rPr>
            </w:pPr>
            <w:r>
              <w:rPr>
                <w:sz w:val="26"/>
                <w:szCs w:val="26"/>
              </w:rPr>
              <w:t>OCA v. Marianna and Scenery</w:t>
            </w:r>
          </w:p>
          <w:p w14:paraId="028D75F3" w14:textId="054EFB96" w:rsidR="003827FB" w:rsidRDefault="003827FB" w:rsidP="00303B1D">
            <w:pPr>
              <w:tabs>
                <w:tab w:val="left" w:pos="720"/>
                <w:tab w:val="left" w:pos="5040"/>
              </w:tabs>
              <w:spacing w:before="40" w:after="40"/>
              <w:rPr>
                <w:sz w:val="26"/>
                <w:szCs w:val="26"/>
              </w:rPr>
            </w:pPr>
            <w:r>
              <w:rPr>
                <w:sz w:val="26"/>
                <w:szCs w:val="26"/>
              </w:rPr>
              <w:t>Hill Telephone Company</w:t>
            </w:r>
          </w:p>
        </w:tc>
        <w:tc>
          <w:tcPr>
            <w:tcW w:w="2520" w:type="dxa"/>
            <w:vAlign w:val="center"/>
          </w:tcPr>
          <w:p w14:paraId="2699F60E" w14:textId="77777777" w:rsidR="00303B1D" w:rsidRDefault="003827FB" w:rsidP="0011767C">
            <w:pPr>
              <w:tabs>
                <w:tab w:val="left" w:pos="720"/>
                <w:tab w:val="left" w:pos="5040"/>
              </w:tabs>
              <w:spacing w:before="40" w:after="40"/>
              <w:rPr>
                <w:sz w:val="26"/>
                <w:szCs w:val="26"/>
              </w:rPr>
            </w:pPr>
            <w:r>
              <w:rPr>
                <w:sz w:val="26"/>
                <w:szCs w:val="26"/>
              </w:rPr>
              <w:t>C-2018-3001912</w:t>
            </w:r>
          </w:p>
          <w:p w14:paraId="07F2A4E7" w14:textId="6A91E44D" w:rsidR="003827FB" w:rsidRDefault="003827FB" w:rsidP="0011767C">
            <w:pPr>
              <w:tabs>
                <w:tab w:val="left" w:pos="720"/>
                <w:tab w:val="left" w:pos="5040"/>
              </w:tabs>
              <w:spacing w:before="40" w:after="40"/>
              <w:rPr>
                <w:sz w:val="26"/>
                <w:szCs w:val="26"/>
              </w:rPr>
            </w:pPr>
            <w:r>
              <w:rPr>
                <w:sz w:val="26"/>
                <w:szCs w:val="26"/>
              </w:rPr>
              <w:t>R-2018-3001201</w:t>
            </w:r>
          </w:p>
        </w:tc>
        <w:tc>
          <w:tcPr>
            <w:tcW w:w="2515" w:type="dxa"/>
          </w:tcPr>
          <w:p w14:paraId="02ACD930" w14:textId="3FDAC264" w:rsidR="00303B1D" w:rsidRDefault="0011767C" w:rsidP="0011767C">
            <w:pPr>
              <w:tabs>
                <w:tab w:val="left" w:pos="720"/>
                <w:tab w:val="left" w:pos="5040"/>
              </w:tabs>
              <w:spacing w:before="40" w:after="40"/>
              <w:rPr>
                <w:sz w:val="26"/>
                <w:szCs w:val="26"/>
              </w:rPr>
            </w:pPr>
            <w:r>
              <w:rPr>
                <w:sz w:val="26"/>
                <w:szCs w:val="26"/>
              </w:rPr>
              <w:t>16-May-18</w:t>
            </w:r>
          </w:p>
        </w:tc>
      </w:tr>
      <w:tr w:rsidR="00303B1D" w14:paraId="24B3E641" w14:textId="77777777" w:rsidTr="0011767C">
        <w:tc>
          <w:tcPr>
            <w:tcW w:w="4315" w:type="dxa"/>
            <w:shd w:val="clear" w:color="auto" w:fill="D9D9D9" w:themeFill="background1" w:themeFillShade="D9"/>
            <w:vAlign w:val="center"/>
          </w:tcPr>
          <w:p w14:paraId="1EBB33BE" w14:textId="77777777" w:rsidR="00303B1D" w:rsidRDefault="003827FB" w:rsidP="00303B1D">
            <w:pPr>
              <w:tabs>
                <w:tab w:val="left" w:pos="720"/>
                <w:tab w:val="left" w:pos="5040"/>
              </w:tabs>
              <w:spacing w:before="40" w:after="40"/>
              <w:rPr>
                <w:sz w:val="26"/>
                <w:szCs w:val="26"/>
              </w:rPr>
            </w:pPr>
            <w:r>
              <w:rPr>
                <w:sz w:val="26"/>
                <w:szCs w:val="26"/>
              </w:rPr>
              <w:t>OCA v. North-Eastern</w:t>
            </w:r>
          </w:p>
          <w:p w14:paraId="00E7EA51" w14:textId="45D92E4D" w:rsidR="003827FB" w:rsidRDefault="003827FB" w:rsidP="00303B1D">
            <w:pPr>
              <w:tabs>
                <w:tab w:val="left" w:pos="720"/>
                <w:tab w:val="left" w:pos="5040"/>
              </w:tabs>
              <w:spacing w:before="40" w:after="40"/>
              <w:rPr>
                <w:sz w:val="26"/>
                <w:szCs w:val="26"/>
              </w:rPr>
            </w:pPr>
            <w:r>
              <w:rPr>
                <w:sz w:val="26"/>
                <w:szCs w:val="26"/>
              </w:rPr>
              <w:t>Pennsylvania Telephone Company</w:t>
            </w:r>
          </w:p>
        </w:tc>
        <w:tc>
          <w:tcPr>
            <w:tcW w:w="2520" w:type="dxa"/>
            <w:shd w:val="clear" w:color="auto" w:fill="D9D9D9" w:themeFill="background1" w:themeFillShade="D9"/>
            <w:vAlign w:val="center"/>
          </w:tcPr>
          <w:p w14:paraId="206993C4" w14:textId="77777777" w:rsidR="00303B1D" w:rsidRDefault="003827FB" w:rsidP="0011767C">
            <w:pPr>
              <w:tabs>
                <w:tab w:val="left" w:pos="720"/>
                <w:tab w:val="left" w:pos="5040"/>
              </w:tabs>
              <w:spacing w:before="40" w:after="40"/>
              <w:rPr>
                <w:sz w:val="26"/>
                <w:szCs w:val="26"/>
              </w:rPr>
            </w:pPr>
            <w:r>
              <w:rPr>
                <w:sz w:val="26"/>
                <w:szCs w:val="26"/>
              </w:rPr>
              <w:t>C-2018-3001915</w:t>
            </w:r>
          </w:p>
          <w:p w14:paraId="5C14D3BB" w14:textId="4599CFB2" w:rsidR="003827FB" w:rsidRDefault="003827FB" w:rsidP="0011767C">
            <w:pPr>
              <w:tabs>
                <w:tab w:val="left" w:pos="720"/>
                <w:tab w:val="left" w:pos="5040"/>
              </w:tabs>
              <w:spacing w:before="40" w:after="40"/>
              <w:rPr>
                <w:sz w:val="26"/>
                <w:szCs w:val="26"/>
              </w:rPr>
            </w:pPr>
            <w:r>
              <w:rPr>
                <w:sz w:val="26"/>
                <w:szCs w:val="26"/>
              </w:rPr>
              <w:t>R-2018-3001197</w:t>
            </w:r>
          </w:p>
        </w:tc>
        <w:tc>
          <w:tcPr>
            <w:tcW w:w="2515" w:type="dxa"/>
            <w:shd w:val="clear" w:color="auto" w:fill="D9D9D9" w:themeFill="background1" w:themeFillShade="D9"/>
          </w:tcPr>
          <w:p w14:paraId="260B9084" w14:textId="466041B5" w:rsidR="00303B1D" w:rsidRDefault="0011767C" w:rsidP="0011767C">
            <w:pPr>
              <w:tabs>
                <w:tab w:val="left" w:pos="720"/>
                <w:tab w:val="left" w:pos="5040"/>
              </w:tabs>
              <w:spacing w:before="40" w:after="40"/>
              <w:rPr>
                <w:sz w:val="26"/>
                <w:szCs w:val="26"/>
              </w:rPr>
            </w:pPr>
            <w:r>
              <w:rPr>
                <w:sz w:val="26"/>
                <w:szCs w:val="26"/>
              </w:rPr>
              <w:t>16-May-18</w:t>
            </w:r>
          </w:p>
        </w:tc>
      </w:tr>
      <w:tr w:rsidR="00303B1D" w14:paraId="27A3D39B" w14:textId="77777777" w:rsidTr="0011767C">
        <w:tc>
          <w:tcPr>
            <w:tcW w:w="4315" w:type="dxa"/>
            <w:vAlign w:val="center"/>
          </w:tcPr>
          <w:p w14:paraId="45B2D8A2" w14:textId="77777777" w:rsidR="00303B1D" w:rsidRDefault="003827FB" w:rsidP="00303B1D">
            <w:pPr>
              <w:tabs>
                <w:tab w:val="left" w:pos="720"/>
                <w:tab w:val="left" w:pos="5040"/>
              </w:tabs>
              <w:spacing w:before="40" w:after="40"/>
              <w:rPr>
                <w:sz w:val="26"/>
                <w:szCs w:val="26"/>
              </w:rPr>
            </w:pPr>
            <w:r>
              <w:rPr>
                <w:sz w:val="26"/>
                <w:szCs w:val="26"/>
              </w:rPr>
              <w:t>OCA v. Windstream Buffalo</w:t>
            </w:r>
          </w:p>
          <w:p w14:paraId="24951E56" w14:textId="79226A7A" w:rsidR="003827FB" w:rsidRDefault="003827FB" w:rsidP="00303B1D">
            <w:pPr>
              <w:tabs>
                <w:tab w:val="left" w:pos="720"/>
                <w:tab w:val="left" w:pos="5040"/>
              </w:tabs>
              <w:spacing w:before="40" w:after="40"/>
              <w:rPr>
                <w:sz w:val="26"/>
                <w:szCs w:val="26"/>
              </w:rPr>
            </w:pPr>
            <w:r>
              <w:rPr>
                <w:sz w:val="26"/>
                <w:szCs w:val="26"/>
              </w:rPr>
              <w:t>Valley, Inc.</w:t>
            </w:r>
          </w:p>
        </w:tc>
        <w:tc>
          <w:tcPr>
            <w:tcW w:w="2520" w:type="dxa"/>
            <w:vAlign w:val="center"/>
          </w:tcPr>
          <w:p w14:paraId="743A07F7" w14:textId="77777777" w:rsidR="00303B1D" w:rsidRDefault="003827FB" w:rsidP="0011767C">
            <w:pPr>
              <w:tabs>
                <w:tab w:val="left" w:pos="720"/>
                <w:tab w:val="left" w:pos="5040"/>
              </w:tabs>
              <w:spacing w:before="40" w:after="40"/>
              <w:rPr>
                <w:sz w:val="26"/>
                <w:szCs w:val="26"/>
              </w:rPr>
            </w:pPr>
            <w:r>
              <w:rPr>
                <w:sz w:val="26"/>
                <w:szCs w:val="26"/>
              </w:rPr>
              <w:t>C-2018-3001865</w:t>
            </w:r>
          </w:p>
          <w:p w14:paraId="07B9911A" w14:textId="706721A6" w:rsidR="003827FB" w:rsidRDefault="003827FB" w:rsidP="0011767C">
            <w:pPr>
              <w:tabs>
                <w:tab w:val="left" w:pos="720"/>
                <w:tab w:val="left" w:pos="5040"/>
              </w:tabs>
              <w:spacing w:before="40" w:after="40"/>
              <w:rPr>
                <w:sz w:val="26"/>
                <w:szCs w:val="26"/>
              </w:rPr>
            </w:pPr>
            <w:r>
              <w:rPr>
                <w:sz w:val="26"/>
                <w:szCs w:val="26"/>
              </w:rPr>
              <w:t>R-201</w:t>
            </w:r>
            <w:r w:rsidR="00BF0612">
              <w:rPr>
                <w:sz w:val="26"/>
                <w:szCs w:val="26"/>
              </w:rPr>
              <w:t>8</w:t>
            </w:r>
            <w:r>
              <w:rPr>
                <w:sz w:val="26"/>
                <w:szCs w:val="26"/>
              </w:rPr>
              <w:t>-3001132</w:t>
            </w:r>
          </w:p>
        </w:tc>
        <w:tc>
          <w:tcPr>
            <w:tcW w:w="2515" w:type="dxa"/>
          </w:tcPr>
          <w:p w14:paraId="75004D56" w14:textId="0F98ED4F" w:rsidR="00303B1D" w:rsidRDefault="0011767C" w:rsidP="0011767C">
            <w:pPr>
              <w:tabs>
                <w:tab w:val="left" w:pos="720"/>
                <w:tab w:val="left" w:pos="5040"/>
              </w:tabs>
              <w:spacing w:before="40" w:after="40"/>
              <w:rPr>
                <w:sz w:val="26"/>
                <w:szCs w:val="26"/>
              </w:rPr>
            </w:pPr>
            <w:r>
              <w:rPr>
                <w:sz w:val="26"/>
                <w:szCs w:val="26"/>
              </w:rPr>
              <w:t>14-May-18</w:t>
            </w:r>
          </w:p>
        </w:tc>
      </w:tr>
      <w:tr w:rsidR="003827FB" w14:paraId="32392056" w14:textId="77777777" w:rsidTr="0011767C">
        <w:tc>
          <w:tcPr>
            <w:tcW w:w="4315" w:type="dxa"/>
            <w:shd w:val="clear" w:color="auto" w:fill="D9D9D9" w:themeFill="background1" w:themeFillShade="D9"/>
          </w:tcPr>
          <w:p w14:paraId="66ABF1D4" w14:textId="35AAFBE0" w:rsidR="003827FB" w:rsidRDefault="003827FB" w:rsidP="0011767C">
            <w:pPr>
              <w:tabs>
                <w:tab w:val="left" w:pos="720"/>
                <w:tab w:val="left" w:pos="5040"/>
              </w:tabs>
              <w:spacing w:before="40" w:after="40"/>
              <w:rPr>
                <w:sz w:val="26"/>
                <w:szCs w:val="26"/>
              </w:rPr>
            </w:pPr>
            <w:r>
              <w:rPr>
                <w:sz w:val="26"/>
                <w:szCs w:val="26"/>
              </w:rPr>
              <w:t>OCA v. Windstream Conestoga, Inc.</w:t>
            </w:r>
          </w:p>
        </w:tc>
        <w:tc>
          <w:tcPr>
            <w:tcW w:w="2520" w:type="dxa"/>
            <w:shd w:val="clear" w:color="auto" w:fill="D9D9D9" w:themeFill="background1" w:themeFillShade="D9"/>
            <w:vAlign w:val="center"/>
          </w:tcPr>
          <w:p w14:paraId="5A69BD9B" w14:textId="77777777" w:rsidR="003827FB" w:rsidRDefault="003827FB" w:rsidP="0011767C">
            <w:pPr>
              <w:tabs>
                <w:tab w:val="left" w:pos="720"/>
                <w:tab w:val="left" w:pos="5040"/>
              </w:tabs>
              <w:spacing w:before="40" w:after="40"/>
              <w:rPr>
                <w:sz w:val="26"/>
                <w:szCs w:val="26"/>
              </w:rPr>
            </w:pPr>
            <w:r>
              <w:rPr>
                <w:sz w:val="26"/>
                <w:szCs w:val="26"/>
              </w:rPr>
              <w:t>C-2018-3001864</w:t>
            </w:r>
          </w:p>
          <w:p w14:paraId="6D6947A7" w14:textId="6144237A" w:rsidR="003827FB" w:rsidRDefault="003827FB" w:rsidP="0011767C">
            <w:pPr>
              <w:tabs>
                <w:tab w:val="left" w:pos="720"/>
                <w:tab w:val="left" w:pos="5040"/>
              </w:tabs>
              <w:spacing w:before="40" w:after="40"/>
              <w:rPr>
                <w:sz w:val="26"/>
                <w:szCs w:val="26"/>
              </w:rPr>
            </w:pPr>
            <w:r>
              <w:rPr>
                <w:sz w:val="26"/>
                <w:szCs w:val="26"/>
              </w:rPr>
              <w:t>R-2018-3001135</w:t>
            </w:r>
          </w:p>
        </w:tc>
        <w:tc>
          <w:tcPr>
            <w:tcW w:w="2515" w:type="dxa"/>
            <w:shd w:val="clear" w:color="auto" w:fill="D9D9D9" w:themeFill="background1" w:themeFillShade="D9"/>
          </w:tcPr>
          <w:p w14:paraId="7AEEB23F" w14:textId="6C0FEEB5" w:rsidR="003827FB" w:rsidRDefault="0011767C" w:rsidP="0011767C">
            <w:pPr>
              <w:tabs>
                <w:tab w:val="left" w:pos="720"/>
                <w:tab w:val="left" w:pos="5040"/>
              </w:tabs>
              <w:spacing w:before="40" w:after="40"/>
              <w:rPr>
                <w:sz w:val="26"/>
                <w:szCs w:val="26"/>
              </w:rPr>
            </w:pPr>
            <w:r>
              <w:rPr>
                <w:sz w:val="26"/>
                <w:szCs w:val="26"/>
              </w:rPr>
              <w:t>14-May-18</w:t>
            </w:r>
          </w:p>
        </w:tc>
      </w:tr>
      <w:tr w:rsidR="003827FB" w14:paraId="7FE6A34D" w14:textId="77777777" w:rsidTr="0011767C">
        <w:tc>
          <w:tcPr>
            <w:tcW w:w="4315" w:type="dxa"/>
            <w:shd w:val="clear" w:color="auto" w:fill="FFFFFF" w:themeFill="background1"/>
          </w:tcPr>
          <w:p w14:paraId="3B000662" w14:textId="1A7DA588" w:rsidR="003827FB" w:rsidRDefault="003827FB" w:rsidP="003827FB">
            <w:pPr>
              <w:tabs>
                <w:tab w:val="left" w:pos="720"/>
                <w:tab w:val="left" w:pos="5040"/>
              </w:tabs>
              <w:spacing w:before="40" w:after="40"/>
              <w:rPr>
                <w:sz w:val="26"/>
                <w:szCs w:val="26"/>
              </w:rPr>
            </w:pPr>
            <w:r>
              <w:rPr>
                <w:sz w:val="26"/>
                <w:szCs w:val="26"/>
              </w:rPr>
              <w:t>OCA v. Windstream D&amp;E, Inc.</w:t>
            </w:r>
          </w:p>
        </w:tc>
        <w:tc>
          <w:tcPr>
            <w:tcW w:w="2520" w:type="dxa"/>
            <w:shd w:val="clear" w:color="auto" w:fill="FFFFFF" w:themeFill="background1"/>
            <w:vAlign w:val="center"/>
          </w:tcPr>
          <w:p w14:paraId="666AD1E5" w14:textId="77777777" w:rsidR="003827FB" w:rsidRDefault="003827FB" w:rsidP="0011767C">
            <w:pPr>
              <w:tabs>
                <w:tab w:val="left" w:pos="720"/>
                <w:tab w:val="left" w:pos="5040"/>
              </w:tabs>
              <w:spacing w:before="40" w:after="40"/>
              <w:rPr>
                <w:sz w:val="26"/>
                <w:szCs w:val="26"/>
              </w:rPr>
            </w:pPr>
            <w:r>
              <w:rPr>
                <w:sz w:val="26"/>
                <w:szCs w:val="26"/>
              </w:rPr>
              <w:t>C-2018-3001870</w:t>
            </w:r>
          </w:p>
          <w:p w14:paraId="0B01C29C" w14:textId="700C3B32" w:rsidR="003827FB" w:rsidRDefault="003827FB" w:rsidP="0011767C">
            <w:pPr>
              <w:tabs>
                <w:tab w:val="left" w:pos="720"/>
                <w:tab w:val="left" w:pos="5040"/>
              </w:tabs>
              <w:spacing w:before="40" w:after="40"/>
              <w:rPr>
                <w:sz w:val="26"/>
                <w:szCs w:val="26"/>
              </w:rPr>
            </w:pPr>
            <w:r>
              <w:rPr>
                <w:sz w:val="26"/>
                <w:szCs w:val="26"/>
              </w:rPr>
              <w:t>R-2018-3001133</w:t>
            </w:r>
          </w:p>
        </w:tc>
        <w:tc>
          <w:tcPr>
            <w:tcW w:w="2515" w:type="dxa"/>
            <w:shd w:val="clear" w:color="auto" w:fill="FFFFFF" w:themeFill="background1"/>
          </w:tcPr>
          <w:p w14:paraId="5D938874" w14:textId="5A6F2A1F" w:rsidR="003827FB" w:rsidRDefault="0011767C" w:rsidP="0011767C">
            <w:pPr>
              <w:tabs>
                <w:tab w:val="left" w:pos="720"/>
                <w:tab w:val="left" w:pos="5040"/>
              </w:tabs>
              <w:spacing w:before="40" w:after="40"/>
              <w:rPr>
                <w:sz w:val="26"/>
                <w:szCs w:val="26"/>
              </w:rPr>
            </w:pPr>
            <w:r>
              <w:rPr>
                <w:sz w:val="26"/>
                <w:szCs w:val="26"/>
              </w:rPr>
              <w:t>14-May-18</w:t>
            </w:r>
          </w:p>
        </w:tc>
      </w:tr>
      <w:tr w:rsidR="003827FB" w14:paraId="41619616" w14:textId="77777777" w:rsidTr="0011767C">
        <w:tc>
          <w:tcPr>
            <w:tcW w:w="4315" w:type="dxa"/>
            <w:shd w:val="clear" w:color="auto" w:fill="D9D9D9" w:themeFill="background1" w:themeFillShade="D9"/>
          </w:tcPr>
          <w:p w14:paraId="155507B4" w14:textId="3C7C7802" w:rsidR="003827FB" w:rsidRDefault="003827FB" w:rsidP="003827FB">
            <w:pPr>
              <w:tabs>
                <w:tab w:val="left" w:pos="720"/>
                <w:tab w:val="left" w:pos="5040"/>
              </w:tabs>
              <w:spacing w:before="40" w:after="40"/>
              <w:rPr>
                <w:sz w:val="26"/>
                <w:szCs w:val="26"/>
              </w:rPr>
            </w:pPr>
            <w:r>
              <w:rPr>
                <w:sz w:val="26"/>
                <w:szCs w:val="26"/>
              </w:rPr>
              <w:t>OCA v. Windstream Pennsylvania, LLC</w:t>
            </w:r>
          </w:p>
        </w:tc>
        <w:tc>
          <w:tcPr>
            <w:tcW w:w="2520" w:type="dxa"/>
            <w:shd w:val="clear" w:color="auto" w:fill="D9D9D9" w:themeFill="background1" w:themeFillShade="D9"/>
            <w:vAlign w:val="center"/>
          </w:tcPr>
          <w:p w14:paraId="14B814AA" w14:textId="77777777" w:rsidR="003827FB" w:rsidRDefault="003827FB" w:rsidP="0011767C">
            <w:pPr>
              <w:tabs>
                <w:tab w:val="left" w:pos="720"/>
                <w:tab w:val="left" w:pos="5040"/>
              </w:tabs>
              <w:spacing w:before="40" w:after="40"/>
              <w:rPr>
                <w:sz w:val="26"/>
                <w:szCs w:val="26"/>
              </w:rPr>
            </w:pPr>
            <w:r>
              <w:rPr>
                <w:sz w:val="26"/>
                <w:szCs w:val="26"/>
              </w:rPr>
              <w:t>C-2018-3001871</w:t>
            </w:r>
          </w:p>
          <w:p w14:paraId="7A1549D9" w14:textId="7F247A25" w:rsidR="003827FB" w:rsidRDefault="003827FB" w:rsidP="0011767C">
            <w:pPr>
              <w:tabs>
                <w:tab w:val="left" w:pos="720"/>
                <w:tab w:val="left" w:pos="5040"/>
              </w:tabs>
              <w:spacing w:before="40" w:after="40"/>
              <w:rPr>
                <w:sz w:val="26"/>
                <w:szCs w:val="26"/>
              </w:rPr>
            </w:pPr>
            <w:r>
              <w:rPr>
                <w:sz w:val="26"/>
                <w:szCs w:val="26"/>
              </w:rPr>
              <w:t>R-2018-3001150</w:t>
            </w:r>
          </w:p>
        </w:tc>
        <w:tc>
          <w:tcPr>
            <w:tcW w:w="2515" w:type="dxa"/>
            <w:shd w:val="clear" w:color="auto" w:fill="D9D9D9" w:themeFill="background1" w:themeFillShade="D9"/>
          </w:tcPr>
          <w:p w14:paraId="1DBEF249" w14:textId="0721C9B2" w:rsidR="003827FB" w:rsidRDefault="0011767C" w:rsidP="0011767C">
            <w:pPr>
              <w:tabs>
                <w:tab w:val="left" w:pos="720"/>
                <w:tab w:val="left" w:pos="5040"/>
              </w:tabs>
              <w:spacing w:before="40" w:after="40"/>
              <w:rPr>
                <w:sz w:val="26"/>
                <w:szCs w:val="26"/>
              </w:rPr>
            </w:pPr>
            <w:r>
              <w:rPr>
                <w:sz w:val="26"/>
                <w:szCs w:val="26"/>
              </w:rPr>
              <w:t>14-May-18</w:t>
            </w:r>
          </w:p>
        </w:tc>
      </w:tr>
      <w:tr w:rsidR="003827FB" w14:paraId="4EDC74E9" w14:textId="77777777" w:rsidTr="0011767C">
        <w:tc>
          <w:tcPr>
            <w:tcW w:w="4315" w:type="dxa"/>
          </w:tcPr>
          <w:p w14:paraId="63B6B2B5" w14:textId="7452C219" w:rsidR="003827FB" w:rsidRDefault="003827FB" w:rsidP="003827FB">
            <w:pPr>
              <w:tabs>
                <w:tab w:val="left" w:pos="720"/>
                <w:tab w:val="left" w:pos="5040"/>
              </w:tabs>
              <w:spacing w:before="40" w:after="40"/>
              <w:rPr>
                <w:sz w:val="26"/>
                <w:szCs w:val="26"/>
              </w:rPr>
            </w:pPr>
            <w:r>
              <w:rPr>
                <w:sz w:val="26"/>
                <w:szCs w:val="26"/>
              </w:rPr>
              <w:t>OCA v. Consolidated Communications of Pennsylvania Company</w:t>
            </w:r>
          </w:p>
        </w:tc>
        <w:tc>
          <w:tcPr>
            <w:tcW w:w="2520" w:type="dxa"/>
            <w:vAlign w:val="center"/>
          </w:tcPr>
          <w:p w14:paraId="63F49118" w14:textId="77777777" w:rsidR="003827FB" w:rsidRDefault="003827FB" w:rsidP="0011767C">
            <w:pPr>
              <w:tabs>
                <w:tab w:val="left" w:pos="720"/>
                <w:tab w:val="left" w:pos="5040"/>
              </w:tabs>
              <w:spacing w:before="40" w:after="40"/>
              <w:rPr>
                <w:sz w:val="26"/>
                <w:szCs w:val="26"/>
              </w:rPr>
            </w:pPr>
            <w:r>
              <w:rPr>
                <w:sz w:val="26"/>
                <w:szCs w:val="26"/>
              </w:rPr>
              <w:t>C-2018-3001863</w:t>
            </w:r>
          </w:p>
          <w:p w14:paraId="72F2B44D" w14:textId="18BD1202" w:rsidR="003827FB" w:rsidRDefault="003827FB" w:rsidP="0011767C">
            <w:pPr>
              <w:tabs>
                <w:tab w:val="left" w:pos="720"/>
                <w:tab w:val="left" w:pos="5040"/>
              </w:tabs>
              <w:spacing w:before="40" w:after="40"/>
              <w:rPr>
                <w:sz w:val="26"/>
                <w:szCs w:val="26"/>
              </w:rPr>
            </w:pPr>
            <w:r>
              <w:rPr>
                <w:sz w:val="26"/>
                <w:szCs w:val="26"/>
              </w:rPr>
              <w:t>R-2018-3</w:t>
            </w:r>
            <w:r w:rsidR="0011767C">
              <w:rPr>
                <w:sz w:val="26"/>
                <w:szCs w:val="26"/>
              </w:rPr>
              <w:t>001104</w:t>
            </w:r>
          </w:p>
        </w:tc>
        <w:tc>
          <w:tcPr>
            <w:tcW w:w="2515" w:type="dxa"/>
          </w:tcPr>
          <w:p w14:paraId="63FBD30D" w14:textId="5878C203" w:rsidR="003827FB" w:rsidRDefault="0011767C" w:rsidP="0011767C">
            <w:pPr>
              <w:tabs>
                <w:tab w:val="left" w:pos="720"/>
                <w:tab w:val="left" w:pos="5040"/>
              </w:tabs>
              <w:spacing w:before="40" w:after="40"/>
              <w:rPr>
                <w:sz w:val="26"/>
                <w:szCs w:val="26"/>
              </w:rPr>
            </w:pPr>
            <w:r>
              <w:rPr>
                <w:sz w:val="26"/>
                <w:szCs w:val="26"/>
              </w:rPr>
              <w:t>11-May-18</w:t>
            </w:r>
          </w:p>
        </w:tc>
      </w:tr>
    </w:tbl>
    <w:p w14:paraId="62F8C3CB" w14:textId="0427FB28" w:rsidR="00806EB2" w:rsidRPr="003C56E2" w:rsidRDefault="00806EB2" w:rsidP="00930003">
      <w:pPr>
        <w:tabs>
          <w:tab w:val="left" w:pos="720"/>
          <w:tab w:val="left" w:pos="5040"/>
        </w:tabs>
        <w:rPr>
          <w:sz w:val="26"/>
          <w:szCs w:val="26"/>
        </w:rPr>
      </w:pPr>
    </w:p>
    <w:sectPr w:rsidR="00806EB2" w:rsidRPr="003C56E2" w:rsidSect="00303B1D">
      <w:headerReference w:type="first" r:id="rId15"/>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51660" w14:textId="77777777" w:rsidR="00281918" w:rsidRDefault="00281918">
      <w:r>
        <w:separator/>
      </w:r>
    </w:p>
  </w:endnote>
  <w:endnote w:type="continuationSeparator" w:id="0">
    <w:p w14:paraId="37F8703A" w14:textId="77777777" w:rsidR="00281918" w:rsidRDefault="0028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0C13A" w14:textId="77777777" w:rsidR="009134B1" w:rsidRDefault="009134B1"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61ADFB" w14:textId="77777777" w:rsidR="009134B1" w:rsidRDefault="00913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6E8F6" w14:textId="41AC1107" w:rsidR="009134B1" w:rsidRDefault="009134B1"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4BE7">
      <w:rPr>
        <w:rStyle w:val="PageNumber"/>
        <w:noProof/>
      </w:rPr>
      <w:t>1</w:t>
    </w:r>
    <w:r>
      <w:rPr>
        <w:rStyle w:val="PageNumber"/>
      </w:rPr>
      <w:fldChar w:fldCharType="end"/>
    </w:r>
  </w:p>
  <w:p w14:paraId="1C73EBBA" w14:textId="77777777" w:rsidR="009134B1" w:rsidRDefault="00913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5BF97" w14:textId="77777777" w:rsidR="0011767C" w:rsidRDefault="001176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982EA" w14:textId="77777777" w:rsidR="009134B1" w:rsidRDefault="00913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002AEA" w14:textId="77777777" w:rsidR="009134B1" w:rsidRDefault="009134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43179" w14:textId="77777777" w:rsidR="009134B1" w:rsidRPr="00884BE7" w:rsidRDefault="009134B1" w:rsidP="002B1FCD">
    <w:pPr>
      <w:pStyle w:val="Footer"/>
      <w:jc w:val="center"/>
      <w:rPr>
        <w:noProof/>
        <w:sz w:val="22"/>
        <w:szCs w:val="22"/>
      </w:rPr>
    </w:pPr>
    <w:r w:rsidRPr="00884BE7">
      <w:rPr>
        <w:sz w:val="22"/>
        <w:szCs w:val="22"/>
      </w:rPr>
      <w:fldChar w:fldCharType="begin"/>
    </w:r>
    <w:r w:rsidRPr="00884BE7">
      <w:rPr>
        <w:sz w:val="22"/>
        <w:szCs w:val="22"/>
      </w:rPr>
      <w:instrText xml:space="preserve"> PAGE   \* MERGEFORMAT </w:instrText>
    </w:r>
    <w:r w:rsidRPr="00884BE7">
      <w:rPr>
        <w:sz w:val="22"/>
        <w:szCs w:val="22"/>
      </w:rPr>
      <w:fldChar w:fldCharType="separate"/>
    </w:r>
    <w:r w:rsidR="004C1038" w:rsidRPr="00884BE7">
      <w:rPr>
        <w:noProof/>
        <w:sz w:val="22"/>
        <w:szCs w:val="22"/>
      </w:rPr>
      <w:t>2</w:t>
    </w:r>
    <w:r w:rsidRPr="00884BE7">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BAD92" w14:textId="77777777" w:rsidR="00281918" w:rsidRDefault="00281918">
      <w:r>
        <w:separator/>
      </w:r>
    </w:p>
  </w:footnote>
  <w:footnote w:type="continuationSeparator" w:id="0">
    <w:p w14:paraId="02B5F4C2" w14:textId="77777777" w:rsidR="00281918" w:rsidRDefault="00281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AE4B" w14:textId="6C0CB83B" w:rsidR="0011767C" w:rsidRPr="0011767C" w:rsidRDefault="0011767C" w:rsidP="0011767C">
    <w:pPr>
      <w:pStyle w:val="Header"/>
      <w:jc w:val="center"/>
      <w:rPr>
        <w:b/>
        <w:sz w:val="28"/>
        <w:szCs w:val="28"/>
      </w:rPr>
    </w:pPr>
    <w:r w:rsidRPr="0011767C">
      <w:rPr>
        <w:b/>
        <w:sz w:val="28"/>
        <w:szCs w:val="28"/>
      </w:rP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60B4"/>
    <w:rsid w:val="000243F4"/>
    <w:rsid w:val="00034796"/>
    <w:rsid w:val="00034DA1"/>
    <w:rsid w:val="000402D0"/>
    <w:rsid w:val="00056DFA"/>
    <w:rsid w:val="00060502"/>
    <w:rsid w:val="0006085A"/>
    <w:rsid w:val="00067B3B"/>
    <w:rsid w:val="00067F2B"/>
    <w:rsid w:val="00075539"/>
    <w:rsid w:val="00076B03"/>
    <w:rsid w:val="00076F23"/>
    <w:rsid w:val="000855B0"/>
    <w:rsid w:val="000857ED"/>
    <w:rsid w:val="00091504"/>
    <w:rsid w:val="000925AC"/>
    <w:rsid w:val="000932B9"/>
    <w:rsid w:val="0009340C"/>
    <w:rsid w:val="00094150"/>
    <w:rsid w:val="00096907"/>
    <w:rsid w:val="000B145B"/>
    <w:rsid w:val="000C01F2"/>
    <w:rsid w:val="000C74B4"/>
    <w:rsid w:val="000D1982"/>
    <w:rsid w:val="000E4C77"/>
    <w:rsid w:val="000E75BA"/>
    <w:rsid w:val="00110750"/>
    <w:rsid w:val="0011767C"/>
    <w:rsid w:val="001209F1"/>
    <w:rsid w:val="0012404A"/>
    <w:rsid w:val="00124DD5"/>
    <w:rsid w:val="001474C9"/>
    <w:rsid w:val="001519E2"/>
    <w:rsid w:val="00152F72"/>
    <w:rsid w:val="00170283"/>
    <w:rsid w:val="001743D0"/>
    <w:rsid w:val="00180A9A"/>
    <w:rsid w:val="00195103"/>
    <w:rsid w:val="001B60FC"/>
    <w:rsid w:val="001D2414"/>
    <w:rsid w:val="001D3BC8"/>
    <w:rsid w:val="001D5DBB"/>
    <w:rsid w:val="001E1BF3"/>
    <w:rsid w:val="001F1A3A"/>
    <w:rsid w:val="001F2EDC"/>
    <w:rsid w:val="001F69E8"/>
    <w:rsid w:val="00202276"/>
    <w:rsid w:val="00203418"/>
    <w:rsid w:val="00206F2B"/>
    <w:rsid w:val="002229C3"/>
    <w:rsid w:val="00225A3A"/>
    <w:rsid w:val="0025446A"/>
    <w:rsid w:val="002647EA"/>
    <w:rsid w:val="00271884"/>
    <w:rsid w:val="00280E91"/>
    <w:rsid w:val="00281918"/>
    <w:rsid w:val="0028374F"/>
    <w:rsid w:val="00284E35"/>
    <w:rsid w:val="00285461"/>
    <w:rsid w:val="00292374"/>
    <w:rsid w:val="0029471C"/>
    <w:rsid w:val="002951D7"/>
    <w:rsid w:val="002A3F1A"/>
    <w:rsid w:val="002A52A0"/>
    <w:rsid w:val="002A650D"/>
    <w:rsid w:val="002B1FCD"/>
    <w:rsid w:val="002B55E9"/>
    <w:rsid w:val="002C08FE"/>
    <w:rsid w:val="002D01A5"/>
    <w:rsid w:val="002D7E7D"/>
    <w:rsid w:val="002E2C53"/>
    <w:rsid w:val="002F0138"/>
    <w:rsid w:val="00301A6D"/>
    <w:rsid w:val="00303B1D"/>
    <w:rsid w:val="00303D80"/>
    <w:rsid w:val="00304803"/>
    <w:rsid w:val="00307FF2"/>
    <w:rsid w:val="003100FE"/>
    <w:rsid w:val="003139DE"/>
    <w:rsid w:val="00313F77"/>
    <w:rsid w:val="0031429F"/>
    <w:rsid w:val="00320502"/>
    <w:rsid w:val="0032677D"/>
    <w:rsid w:val="00331069"/>
    <w:rsid w:val="00335A29"/>
    <w:rsid w:val="0034221C"/>
    <w:rsid w:val="00345522"/>
    <w:rsid w:val="00347A10"/>
    <w:rsid w:val="003512EF"/>
    <w:rsid w:val="003516A6"/>
    <w:rsid w:val="00351A60"/>
    <w:rsid w:val="00353111"/>
    <w:rsid w:val="00356358"/>
    <w:rsid w:val="003569E8"/>
    <w:rsid w:val="00366A65"/>
    <w:rsid w:val="00371C34"/>
    <w:rsid w:val="003827FB"/>
    <w:rsid w:val="003875F6"/>
    <w:rsid w:val="003A2AE1"/>
    <w:rsid w:val="003B1AEC"/>
    <w:rsid w:val="003B26C3"/>
    <w:rsid w:val="003B6057"/>
    <w:rsid w:val="003B650C"/>
    <w:rsid w:val="003C102A"/>
    <w:rsid w:val="003C55FC"/>
    <w:rsid w:val="003C56E2"/>
    <w:rsid w:val="003C74FF"/>
    <w:rsid w:val="003D39C9"/>
    <w:rsid w:val="003E4B39"/>
    <w:rsid w:val="0040323E"/>
    <w:rsid w:val="00405D03"/>
    <w:rsid w:val="0042140E"/>
    <w:rsid w:val="004246D9"/>
    <w:rsid w:val="00446694"/>
    <w:rsid w:val="004466E5"/>
    <w:rsid w:val="0045176B"/>
    <w:rsid w:val="00455F78"/>
    <w:rsid w:val="00457DA7"/>
    <w:rsid w:val="0047423B"/>
    <w:rsid w:val="00476FE8"/>
    <w:rsid w:val="00477974"/>
    <w:rsid w:val="00481001"/>
    <w:rsid w:val="004857C8"/>
    <w:rsid w:val="00494538"/>
    <w:rsid w:val="004A1767"/>
    <w:rsid w:val="004A614E"/>
    <w:rsid w:val="004A6442"/>
    <w:rsid w:val="004C1038"/>
    <w:rsid w:val="004C4FEC"/>
    <w:rsid w:val="004C6901"/>
    <w:rsid w:val="004D2698"/>
    <w:rsid w:val="004F32B3"/>
    <w:rsid w:val="004F5AAA"/>
    <w:rsid w:val="00500D82"/>
    <w:rsid w:val="00513DCA"/>
    <w:rsid w:val="00514EA3"/>
    <w:rsid w:val="0051639C"/>
    <w:rsid w:val="0052537F"/>
    <w:rsid w:val="00525823"/>
    <w:rsid w:val="00526ADA"/>
    <w:rsid w:val="00526F31"/>
    <w:rsid w:val="005302B0"/>
    <w:rsid w:val="00537C14"/>
    <w:rsid w:val="00584C01"/>
    <w:rsid w:val="00594390"/>
    <w:rsid w:val="005A0955"/>
    <w:rsid w:val="005B3262"/>
    <w:rsid w:val="005B58B7"/>
    <w:rsid w:val="005B6FAA"/>
    <w:rsid w:val="005C03C4"/>
    <w:rsid w:val="005D122B"/>
    <w:rsid w:val="005E25C5"/>
    <w:rsid w:val="005E3690"/>
    <w:rsid w:val="005E672F"/>
    <w:rsid w:val="005F3D24"/>
    <w:rsid w:val="005F5514"/>
    <w:rsid w:val="00634E81"/>
    <w:rsid w:val="00660BE8"/>
    <w:rsid w:val="00672262"/>
    <w:rsid w:val="006755C0"/>
    <w:rsid w:val="00683271"/>
    <w:rsid w:val="00683F7E"/>
    <w:rsid w:val="006850A4"/>
    <w:rsid w:val="00695B09"/>
    <w:rsid w:val="006A1D3F"/>
    <w:rsid w:val="006A7148"/>
    <w:rsid w:val="006B760D"/>
    <w:rsid w:val="006C5C47"/>
    <w:rsid w:val="006D6779"/>
    <w:rsid w:val="006E1A84"/>
    <w:rsid w:val="006F05C6"/>
    <w:rsid w:val="006F6C5E"/>
    <w:rsid w:val="00700501"/>
    <w:rsid w:val="00701ED5"/>
    <w:rsid w:val="007166C6"/>
    <w:rsid w:val="007203DC"/>
    <w:rsid w:val="00720C39"/>
    <w:rsid w:val="00721FA8"/>
    <w:rsid w:val="00730409"/>
    <w:rsid w:val="00747B70"/>
    <w:rsid w:val="0075019A"/>
    <w:rsid w:val="00752F0E"/>
    <w:rsid w:val="007617B1"/>
    <w:rsid w:val="0077210F"/>
    <w:rsid w:val="00772716"/>
    <w:rsid w:val="00773F47"/>
    <w:rsid w:val="00774744"/>
    <w:rsid w:val="007934FB"/>
    <w:rsid w:val="00794208"/>
    <w:rsid w:val="00794E58"/>
    <w:rsid w:val="007A09CE"/>
    <w:rsid w:val="007A16AE"/>
    <w:rsid w:val="007A687C"/>
    <w:rsid w:val="007B1598"/>
    <w:rsid w:val="007B4B1A"/>
    <w:rsid w:val="007C7A6B"/>
    <w:rsid w:val="007D511F"/>
    <w:rsid w:val="007E16C7"/>
    <w:rsid w:val="007E64B5"/>
    <w:rsid w:val="007F0775"/>
    <w:rsid w:val="007F41CA"/>
    <w:rsid w:val="007F55F1"/>
    <w:rsid w:val="007F5756"/>
    <w:rsid w:val="00806EB2"/>
    <w:rsid w:val="0080792C"/>
    <w:rsid w:val="00807CAF"/>
    <w:rsid w:val="0082144A"/>
    <w:rsid w:val="00826EEA"/>
    <w:rsid w:val="00837634"/>
    <w:rsid w:val="0084218B"/>
    <w:rsid w:val="008476A6"/>
    <w:rsid w:val="00854E0C"/>
    <w:rsid w:val="0086604E"/>
    <w:rsid w:val="00866FAC"/>
    <w:rsid w:val="00870919"/>
    <w:rsid w:val="00870D1C"/>
    <w:rsid w:val="00883D4D"/>
    <w:rsid w:val="00884BE7"/>
    <w:rsid w:val="00893784"/>
    <w:rsid w:val="0089421A"/>
    <w:rsid w:val="008A2241"/>
    <w:rsid w:val="008B6A35"/>
    <w:rsid w:val="008D749F"/>
    <w:rsid w:val="008E5EA0"/>
    <w:rsid w:val="008F4EB5"/>
    <w:rsid w:val="008F78AA"/>
    <w:rsid w:val="00906766"/>
    <w:rsid w:val="009134B1"/>
    <w:rsid w:val="00927022"/>
    <w:rsid w:val="00930003"/>
    <w:rsid w:val="0093008E"/>
    <w:rsid w:val="00930867"/>
    <w:rsid w:val="0093258F"/>
    <w:rsid w:val="00933976"/>
    <w:rsid w:val="00953872"/>
    <w:rsid w:val="0095795E"/>
    <w:rsid w:val="009705A0"/>
    <w:rsid w:val="00974EFE"/>
    <w:rsid w:val="00984274"/>
    <w:rsid w:val="0099767B"/>
    <w:rsid w:val="009A1144"/>
    <w:rsid w:val="009A589C"/>
    <w:rsid w:val="009A5A76"/>
    <w:rsid w:val="009B1956"/>
    <w:rsid w:val="009B23D8"/>
    <w:rsid w:val="009B2E39"/>
    <w:rsid w:val="009B36CB"/>
    <w:rsid w:val="009B5F17"/>
    <w:rsid w:val="009D08E2"/>
    <w:rsid w:val="009D365D"/>
    <w:rsid w:val="009E26F5"/>
    <w:rsid w:val="009E40EC"/>
    <w:rsid w:val="009E65F6"/>
    <w:rsid w:val="009E7E5D"/>
    <w:rsid w:val="009F4BCB"/>
    <w:rsid w:val="009F5F66"/>
    <w:rsid w:val="00A0270A"/>
    <w:rsid w:val="00A0792A"/>
    <w:rsid w:val="00A21FAC"/>
    <w:rsid w:val="00A33B39"/>
    <w:rsid w:val="00A4231F"/>
    <w:rsid w:val="00A52D21"/>
    <w:rsid w:val="00A62131"/>
    <w:rsid w:val="00A66D1F"/>
    <w:rsid w:val="00A82C28"/>
    <w:rsid w:val="00A84644"/>
    <w:rsid w:val="00A84699"/>
    <w:rsid w:val="00A955FA"/>
    <w:rsid w:val="00AA0347"/>
    <w:rsid w:val="00AA6F16"/>
    <w:rsid w:val="00AB04E7"/>
    <w:rsid w:val="00AB263D"/>
    <w:rsid w:val="00AB36A9"/>
    <w:rsid w:val="00AB7325"/>
    <w:rsid w:val="00AC152E"/>
    <w:rsid w:val="00AD6503"/>
    <w:rsid w:val="00AD77EE"/>
    <w:rsid w:val="00AE0ACA"/>
    <w:rsid w:val="00AE792C"/>
    <w:rsid w:val="00AF16AC"/>
    <w:rsid w:val="00B00393"/>
    <w:rsid w:val="00B12277"/>
    <w:rsid w:val="00B21A02"/>
    <w:rsid w:val="00B22792"/>
    <w:rsid w:val="00B31B02"/>
    <w:rsid w:val="00B3551A"/>
    <w:rsid w:val="00B44A1E"/>
    <w:rsid w:val="00B62D45"/>
    <w:rsid w:val="00B719AA"/>
    <w:rsid w:val="00B72D58"/>
    <w:rsid w:val="00B738D1"/>
    <w:rsid w:val="00B77D14"/>
    <w:rsid w:val="00B8186E"/>
    <w:rsid w:val="00B95240"/>
    <w:rsid w:val="00B97014"/>
    <w:rsid w:val="00BA6168"/>
    <w:rsid w:val="00BB3072"/>
    <w:rsid w:val="00BC37E1"/>
    <w:rsid w:val="00BC3A3C"/>
    <w:rsid w:val="00BC7ABE"/>
    <w:rsid w:val="00BD3A5C"/>
    <w:rsid w:val="00BD752E"/>
    <w:rsid w:val="00BE37AE"/>
    <w:rsid w:val="00BE4A72"/>
    <w:rsid w:val="00BE5119"/>
    <w:rsid w:val="00BF0612"/>
    <w:rsid w:val="00BF66A8"/>
    <w:rsid w:val="00BF6D7C"/>
    <w:rsid w:val="00BF6F03"/>
    <w:rsid w:val="00C140D5"/>
    <w:rsid w:val="00C17CD5"/>
    <w:rsid w:val="00C35E20"/>
    <w:rsid w:val="00C36BC1"/>
    <w:rsid w:val="00C74A51"/>
    <w:rsid w:val="00C76477"/>
    <w:rsid w:val="00C7728C"/>
    <w:rsid w:val="00C77C13"/>
    <w:rsid w:val="00C77F29"/>
    <w:rsid w:val="00C90506"/>
    <w:rsid w:val="00C916C6"/>
    <w:rsid w:val="00C93162"/>
    <w:rsid w:val="00C95F36"/>
    <w:rsid w:val="00C96CF9"/>
    <w:rsid w:val="00CA44B2"/>
    <w:rsid w:val="00CB5738"/>
    <w:rsid w:val="00CE14A7"/>
    <w:rsid w:val="00CE25F2"/>
    <w:rsid w:val="00CE2A65"/>
    <w:rsid w:val="00CF047C"/>
    <w:rsid w:val="00CF41B7"/>
    <w:rsid w:val="00CF7990"/>
    <w:rsid w:val="00CF7B16"/>
    <w:rsid w:val="00D3208E"/>
    <w:rsid w:val="00D3366A"/>
    <w:rsid w:val="00D355DB"/>
    <w:rsid w:val="00D37F03"/>
    <w:rsid w:val="00D400E3"/>
    <w:rsid w:val="00D53A1E"/>
    <w:rsid w:val="00D55E96"/>
    <w:rsid w:val="00D5758E"/>
    <w:rsid w:val="00D61384"/>
    <w:rsid w:val="00D63049"/>
    <w:rsid w:val="00D64F9B"/>
    <w:rsid w:val="00D82D39"/>
    <w:rsid w:val="00DA1458"/>
    <w:rsid w:val="00DA4D87"/>
    <w:rsid w:val="00DA51F2"/>
    <w:rsid w:val="00DB195D"/>
    <w:rsid w:val="00DB3D0F"/>
    <w:rsid w:val="00DB5E2D"/>
    <w:rsid w:val="00DC35C5"/>
    <w:rsid w:val="00DC5C38"/>
    <w:rsid w:val="00DD1A19"/>
    <w:rsid w:val="00DD7880"/>
    <w:rsid w:val="00DE3C6A"/>
    <w:rsid w:val="00DE4076"/>
    <w:rsid w:val="00DF378C"/>
    <w:rsid w:val="00DF7608"/>
    <w:rsid w:val="00E0077D"/>
    <w:rsid w:val="00E00E91"/>
    <w:rsid w:val="00E01F1C"/>
    <w:rsid w:val="00E029B2"/>
    <w:rsid w:val="00E02BA0"/>
    <w:rsid w:val="00E17221"/>
    <w:rsid w:val="00E21231"/>
    <w:rsid w:val="00E236E3"/>
    <w:rsid w:val="00E349DA"/>
    <w:rsid w:val="00E37EFC"/>
    <w:rsid w:val="00E67C9C"/>
    <w:rsid w:val="00E913DB"/>
    <w:rsid w:val="00E93258"/>
    <w:rsid w:val="00E96616"/>
    <w:rsid w:val="00EB1B62"/>
    <w:rsid w:val="00EB6073"/>
    <w:rsid w:val="00EC0F0A"/>
    <w:rsid w:val="00EC71DD"/>
    <w:rsid w:val="00EC7A49"/>
    <w:rsid w:val="00EC7ADB"/>
    <w:rsid w:val="00ED0CF8"/>
    <w:rsid w:val="00ED1CDA"/>
    <w:rsid w:val="00ED54CC"/>
    <w:rsid w:val="00ED57C8"/>
    <w:rsid w:val="00ED74D2"/>
    <w:rsid w:val="00EE1C74"/>
    <w:rsid w:val="00EF008B"/>
    <w:rsid w:val="00EF2E87"/>
    <w:rsid w:val="00EF3367"/>
    <w:rsid w:val="00F0504F"/>
    <w:rsid w:val="00F10A2D"/>
    <w:rsid w:val="00F11A81"/>
    <w:rsid w:val="00F21E57"/>
    <w:rsid w:val="00F25B7F"/>
    <w:rsid w:val="00F30F2D"/>
    <w:rsid w:val="00F41E96"/>
    <w:rsid w:val="00F64B4B"/>
    <w:rsid w:val="00F7094C"/>
    <w:rsid w:val="00F73DBA"/>
    <w:rsid w:val="00F77BEA"/>
    <w:rsid w:val="00F8030D"/>
    <w:rsid w:val="00F8663B"/>
    <w:rsid w:val="00F90527"/>
    <w:rsid w:val="00F91B33"/>
    <w:rsid w:val="00F95F30"/>
    <w:rsid w:val="00FA0631"/>
    <w:rsid w:val="00FA0E37"/>
    <w:rsid w:val="00FA1DBE"/>
    <w:rsid w:val="00FA244D"/>
    <w:rsid w:val="00FA2FCC"/>
    <w:rsid w:val="00FB3208"/>
    <w:rsid w:val="00FB3D01"/>
    <w:rsid w:val="00FC1D6A"/>
    <w:rsid w:val="00FC3DF7"/>
    <w:rsid w:val="00FE738F"/>
    <w:rsid w:val="00FF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14:docId w14:val="39B59551"/>
  <w15:chartTrackingRefBased/>
  <w15:docId w15:val="{3B69B9D4-3995-4445-8E5A-C5ECC33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TBG Style,FOOTNOTE"/>
    <w:basedOn w:val="Normal"/>
    <w:link w:val="FootnoteTextChar"/>
    <w:uiPriority w:val="99"/>
    <w:qFormat/>
    <w:rsid w:val="002B1FCD"/>
    <w:rPr>
      <w:rFonts w:ascii="Courier New" w:hAnsi="Courier New"/>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TBG Style Char"/>
    <w:link w:val="FootnoteText"/>
    <w:uiPriority w:val="99"/>
    <w:rsid w:val="002B1FCD"/>
    <w:rPr>
      <w:rFonts w:ascii="Courier New" w:hAnsi="Courier New"/>
    </w:rPr>
  </w:style>
  <w:style w:type="character" w:styleId="FootnoteReference">
    <w:name w:val="footnote reference"/>
    <w:aliases w:val="o,fr,o1,fr1,o2,fr2,o3,fr3,Style 13,Style 12,Style 15,Style 17,Style 9,Style 18,(NECG) Footnote Reference,Style 20,Style 7,Style 8,Styl,Style 19,Style 28,Style 11,Style 16"/>
    <w:uiPriority w:val="99"/>
    <w:rsid w:val="002B1FCD"/>
    <w:rPr>
      <w:vertAlign w:val="superscript"/>
    </w:rPr>
  </w:style>
  <w:style w:type="character" w:customStyle="1" w:styleId="term1">
    <w:name w:val="term1"/>
    <w:rsid w:val="002B1FCD"/>
    <w:rPr>
      <w:b/>
      <w:bCs/>
    </w:rPr>
  </w:style>
  <w:style w:type="character" w:customStyle="1" w:styleId="FooterChar">
    <w:name w:val="Footer Char"/>
    <w:link w:val="Footer"/>
    <w:uiPriority w:val="99"/>
    <w:rsid w:val="002B1FCD"/>
  </w:style>
  <w:style w:type="paragraph" w:styleId="HTMLPreformatted">
    <w:name w:val="HTML Preformatted"/>
    <w:basedOn w:val="Normal"/>
    <w:link w:val="HTMLPreformattedChar"/>
    <w:uiPriority w:val="99"/>
    <w:unhideWhenUsed/>
    <w:rsid w:val="00D6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PreformattedChar">
    <w:name w:val="HTML Preformatted Char"/>
    <w:link w:val="HTMLPreformatted"/>
    <w:uiPriority w:val="99"/>
    <w:rsid w:val="00D61384"/>
    <w:rPr>
      <w:rFonts w:ascii="Courier New" w:hAnsi="Courier New" w:cs="Courier New"/>
      <w:sz w:val="24"/>
      <w:szCs w:val="24"/>
    </w:rPr>
  </w:style>
  <w:style w:type="character" w:styleId="CommentReference">
    <w:name w:val="annotation reference"/>
    <w:rsid w:val="007E16C7"/>
    <w:rPr>
      <w:sz w:val="16"/>
      <w:szCs w:val="16"/>
    </w:rPr>
  </w:style>
  <w:style w:type="paragraph" w:styleId="CommentText">
    <w:name w:val="annotation text"/>
    <w:basedOn w:val="Normal"/>
    <w:link w:val="CommentTextChar"/>
    <w:rsid w:val="007E16C7"/>
  </w:style>
  <w:style w:type="character" w:customStyle="1" w:styleId="CommentTextChar">
    <w:name w:val="Comment Text Char"/>
    <w:basedOn w:val="DefaultParagraphFont"/>
    <w:link w:val="CommentText"/>
    <w:rsid w:val="007E16C7"/>
  </w:style>
  <w:style w:type="paragraph" w:styleId="CommentSubject">
    <w:name w:val="annotation subject"/>
    <w:basedOn w:val="CommentText"/>
    <w:next w:val="CommentText"/>
    <w:link w:val="CommentSubjectChar"/>
    <w:rsid w:val="007E16C7"/>
    <w:rPr>
      <w:b/>
      <w:bCs/>
    </w:rPr>
  </w:style>
  <w:style w:type="character" w:customStyle="1" w:styleId="CommentSubjectChar">
    <w:name w:val="Comment Subject Char"/>
    <w:link w:val="CommentSubject"/>
    <w:rsid w:val="007E16C7"/>
    <w:rPr>
      <w:b/>
      <w:bCs/>
    </w:rPr>
  </w:style>
  <w:style w:type="character" w:styleId="Hyperlink">
    <w:name w:val="Hyperlink"/>
    <w:rsid w:val="0028374F"/>
    <w:rPr>
      <w:color w:val="0563C1"/>
      <w:u w:val="single"/>
    </w:rPr>
  </w:style>
  <w:style w:type="character" w:styleId="UnresolvedMention">
    <w:name w:val="Unresolved Mention"/>
    <w:uiPriority w:val="99"/>
    <w:semiHidden/>
    <w:unhideWhenUsed/>
    <w:rsid w:val="0028374F"/>
    <w:rPr>
      <w:color w:val="808080"/>
      <w:shd w:val="clear" w:color="auto" w:fill="E6E6E6"/>
    </w:rPr>
  </w:style>
  <w:style w:type="paragraph" w:customStyle="1" w:styleId="xmsoplaintext">
    <w:name w:val="x_msoplaintext"/>
    <w:basedOn w:val="Normal"/>
    <w:rsid w:val="002D01A5"/>
    <w:rPr>
      <w:rFonts w:ascii="Calibri" w:eastAsia="Calibri" w:hAnsi="Calibri" w:cs="Calibri"/>
      <w:sz w:val="22"/>
      <w:szCs w:val="22"/>
    </w:rPr>
  </w:style>
  <w:style w:type="character" w:customStyle="1" w:styleId="HeaderChar">
    <w:name w:val="Header Char"/>
    <w:basedOn w:val="DefaultParagraphFont"/>
    <w:link w:val="Header"/>
    <w:uiPriority w:val="99"/>
    <w:rsid w:val="006F6C5E"/>
  </w:style>
  <w:style w:type="table" w:styleId="TableGrid">
    <w:name w:val="Table Grid"/>
    <w:basedOn w:val="TableNormal"/>
    <w:rsid w:val="00303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543129">
      <w:bodyDiv w:val="1"/>
      <w:marLeft w:val="0"/>
      <w:marRight w:val="0"/>
      <w:marTop w:val="0"/>
      <w:marBottom w:val="0"/>
      <w:divBdr>
        <w:top w:val="none" w:sz="0" w:space="0" w:color="auto"/>
        <w:left w:val="none" w:sz="0" w:space="0" w:color="auto"/>
        <w:bottom w:val="none" w:sz="0" w:space="0" w:color="auto"/>
        <w:right w:val="none" w:sz="0" w:space="0" w:color="auto"/>
      </w:divBdr>
    </w:div>
    <w:div w:id="1112170157">
      <w:bodyDiv w:val="1"/>
      <w:marLeft w:val="0"/>
      <w:marRight w:val="0"/>
      <w:marTop w:val="0"/>
      <w:marBottom w:val="0"/>
      <w:divBdr>
        <w:top w:val="none" w:sz="0" w:space="0" w:color="auto"/>
        <w:left w:val="none" w:sz="0" w:space="0" w:color="auto"/>
        <w:bottom w:val="none" w:sz="0" w:space="0" w:color="auto"/>
        <w:right w:val="none" w:sz="0" w:space="0" w:color="auto"/>
      </w:divBdr>
    </w:div>
    <w:div w:id="1223327708">
      <w:bodyDiv w:val="1"/>
      <w:marLeft w:val="0"/>
      <w:marRight w:val="0"/>
      <w:marTop w:val="0"/>
      <w:marBottom w:val="0"/>
      <w:divBdr>
        <w:top w:val="none" w:sz="0" w:space="0" w:color="auto"/>
        <w:left w:val="none" w:sz="0" w:space="0" w:color="auto"/>
        <w:bottom w:val="none" w:sz="0" w:space="0" w:color="auto"/>
        <w:right w:val="none" w:sz="0" w:space="0" w:color="auto"/>
      </w:divBdr>
    </w:div>
    <w:div w:id="1416702127">
      <w:bodyDiv w:val="1"/>
      <w:marLeft w:val="0"/>
      <w:marRight w:val="0"/>
      <w:marTop w:val="0"/>
      <w:marBottom w:val="0"/>
      <w:divBdr>
        <w:top w:val="none" w:sz="0" w:space="0" w:color="auto"/>
        <w:left w:val="none" w:sz="0" w:space="0" w:color="auto"/>
        <w:bottom w:val="none" w:sz="0" w:space="0" w:color="auto"/>
        <w:right w:val="none" w:sz="0" w:space="0" w:color="auto"/>
      </w:divBdr>
      <w:divsChild>
        <w:div w:id="1865366421">
          <w:marLeft w:val="0"/>
          <w:marRight w:val="0"/>
          <w:marTop w:val="0"/>
          <w:marBottom w:val="0"/>
          <w:divBdr>
            <w:top w:val="none" w:sz="0" w:space="0" w:color="auto"/>
            <w:left w:val="none" w:sz="0" w:space="0" w:color="auto"/>
            <w:bottom w:val="none" w:sz="0" w:space="0" w:color="auto"/>
            <w:right w:val="none" w:sz="0" w:space="0" w:color="auto"/>
          </w:divBdr>
          <w:divsChild>
            <w:div w:id="718893957">
              <w:marLeft w:val="0"/>
              <w:marRight w:val="0"/>
              <w:marTop w:val="0"/>
              <w:marBottom w:val="0"/>
              <w:divBdr>
                <w:top w:val="none" w:sz="0" w:space="0" w:color="auto"/>
                <w:left w:val="none" w:sz="0" w:space="0" w:color="auto"/>
                <w:bottom w:val="single" w:sz="18" w:space="0" w:color="990000"/>
                <w:right w:val="none" w:sz="0" w:space="0" w:color="auto"/>
              </w:divBdr>
              <w:divsChild>
                <w:div w:id="1512179467">
                  <w:marLeft w:val="0"/>
                  <w:marRight w:val="0"/>
                  <w:marTop w:val="0"/>
                  <w:marBottom w:val="0"/>
                  <w:divBdr>
                    <w:top w:val="none" w:sz="0" w:space="0" w:color="auto"/>
                    <w:left w:val="none" w:sz="0" w:space="0" w:color="auto"/>
                    <w:bottom w:val="none" w:sz="0" w:space="0" w:color="auto"/>
                    <w:right w:val="none" w:sz="0" w:space="0" w:color="auto"/>
                  </w:divBdr>
                  <w:divsChild>
                    <w:div w:id="224993975">
                      <w:marLeft w:val="0"/>
                      <w:marRight w:val="0"/>
                      <w:marTop w:val="0"/>
                      <w:marBottom w:val="0"/>
                      <w:divBdr>
                        <w:top w:val="none" w:sz="0" w:space="0" w:color="auto"/>
                        <w:left w:val="none" w:sz="0" w:space="0" w:color="auto"/>
                        <w:bottom w:val="none" w:sz="0" w:space="0" w:color="auto"/>
                        <w:right w:val="none" w:sz="0" w:space="0" w:color="auto"/>
                      </w:divBdr>
                      <w:divsChild>
                        <w:div w:id="22439109">
                          <w:marLeft w:val="0"/>
                          <w:marRight w:val="0"/>
                          <w:marTop w:val="0"/>
                          <w:marBottom w:val="0"/>
                          <w:divBdr>
                            <w:top w:val="none" w:sz="0" w:space="0" w:color="auto"/>
                            <w:left w:val="none" w:sz="0" w:space="0" w:color="auto"/>
                            <w:bottom w:val="none" w:sz="0" w:space="0" w:color="auto"/>
                            <w:right w:val="none" w:sz="0" w:space="0" w:color="auto"/>
                          </w:divBdr>
                          <w:divsChild>
                            <w:div w:id="420876763">
                              <w:marLeft w:val="0"/>
                              <w:marRight w:val="0"/>
                              <w:marTop w:val="0"/>
                              <w:marBottom w:val="300"/>
                              <w:divBdr>
                                <w:top w:val="single" w:sz="6" w:space="6" w:color="DDDDDD"/>
                                <w:left w:val="none" w:sz="0" w:space="0" w:color="auto"/>
                                <w:bottom w:val="single" w:sz="6" w:space="6" w:color="DDDDDD"/>
                                <w:right w:val="none" w:sz="0" w:space="0" w:color="auto"/>
                              </w:divBdr>
                            </w:div>
                          </w:divsChild>
                        </w:div>
                      </w:divsChild>
                    </w:div>
                  </w:divsChild>
                </w:div>
              </w:divsChild>
            </w:div>
          </w:divsChild>
        </w:div>
      </w:divsChild>
    </w:div>
    <w:div w:id="1604802284">
      <w:bodyDiv w:val="1"/>
      <w:marLeft w:val="0"/>
      <w:marRight w:val="0"/>
      <w:marTop w:val="0"/>
      <w:marBottom w:val="0"/>
      <w:divBdr>
        <w:top w:val="none" w:sz="0" w:space="0" w:color="auto"/>
        <w:left w:val="none" w:sz="0" w:space="0" w:color="auto"/>
        <w:bottom w:val="none" w:sz="0" w:space="0" w:color="auto"/>
        <w:right w:val="none" w:sz="0" w:space="0" w:color="auto"/>
      </w:divBdr>
    </w:div>
    <w:div w:id="16189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4BBD3-300E-485B-81C6-6FB0AF2D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cp:lastModifiedBy>Wagner, Nathan R</cp:lastModifiedBy>
  <cp:revision>7</cp:revision>
  <cp:lastPrinted>2018-08-09T13:49:00Z</cp:lastPrinted>
  <dcterms:created xsi:type="dcterms:W3CDTF">2018-08-09T13:01:00Z</dcterms:created>
  <dcterms:modified xsi:type="dcterms:W3CDTF">2018-08-09T14:43:00Z</dcterms:modified>
</cp:coreProperties>
</file>