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7EB48230" w:rsidR="005D3D86" w:rsidRPr="00FA6483" w:rsidRDefault="00B67D0F" w:rsidP="005D3D86">
      <w:pPr>
        <w:rPr>
          <w:sz w:val="24"/>
          <w:szCs w:val="24"/>
        </w:rPr>
      </w:pPr>
      <w:r>
        <w:rPr>
          <w:sz w:val="24"/>
          <w:szCs w:val="24"/>
        </w:rPr>
        <w:t>Unforgettable Baskets</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10B5DD9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6245B3">
        <w:rPr>
          <w:sz w:val="24"/>
          <w:szCs w:val="24"/>
        </w:rPr>
        <w:tab/>
      </w:r>
      <w:r w:rsidR="00B67D0F">
        <w:rPr>
          <w:sz w:val="24"/>
          <w:szCs w:val="24"/>
        </w:rPr>
        <w:t>C</w:t>
      </w:r>
      <w:r w:rsidR="009E2659">
        <w:rPr>
          <w:sz w:val="24"/>
          <w:szCs w:val="24"/>
        </w:rPr>
        <w:t>-201</w:t>
      </w:r>
      <w:r w:rsidR="0069240D">
        <w:rPr>
          <w:sz w:val="24"/>
          <w:szCs w:val="24"/>
        </w:rPr>
        <w:t>8</w:t>
      </w:r>
      <w:r w:rsidR="009E2659">
        <w:rPr>
          <w:sz w:val="24"/>
          <w:szCs w:val="24"/>
        </w:rPr>
        <w:t>-</w:t>
      </w:r>
      <w:r w:rsidR="00471F96">
        <w:rPr>
          <w:sz w:val="24"/>
          <w:szCs w:val="24"/>
        </w:rPr>
        <w:t>300</w:t>
      </w:r>
      <w:r w:rsidR="00B67D0F">
        <w:rPr>
          <w:sz w:val="24"/>
          <w:szCs w:val="24"/>
        </w:rPr>
        <w:t>3364</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6A41C809" w:rsidR="005D3D86" w:rsidRPr="00FA6483" w:rsidRDefault="00B67D0F" w:rsidP="005D3D86">
      <w:pPr>
        <w:rPr>
          <w:sz w:val="24"/>
          <w:szCs w:val="24"/>
        </w:rPr>
      </w:pPr>
      <w:r>
        <w:rPr>
          <w:sz w:val="24"/>
          <w:szCs w:val="24"/>
        </w:rPr>
        <w:t>PPL Electric Utilities Corporation</w:t>
      </w:r>
      <w:r>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57EB2290"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B67D0F">
        <w:rPr>
          <w:sz w:val="24"/>
          <w:szCs w:val="24"/>
        </w:rPr>
        <w:t>Wedne</w:t>
      </w:r>
      <w:r w:rsidR="00A01D5A">
        <w:rPr>
          <w:sz w:val="24"/>
          <w:szCs w:val="24"/>
        </w:rPr>
        <w:t>s</w:t>
      </w:r>
      <w:r w:rsidR="00416623">
        <w:rPr>
          <w:sz w:val="24"/>
          <w:szCs w:val="24"/>
        </w:rPr>
        <w:t xml:space="preserve">day, </w:t>
      </w:r>
      <w:r w:rsidR="00B67D0F">
        <w:rPr>
          <w:sz w:val="24"/>
          <w:szCs w:val="24"/>
        </w:rPr>
        <w:t>October 10</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B67D0F">
        <w:rPr>
          <w:sz w:val="24"/>
          <w:szCs w:val="24"/>
        </w:rPr>
        <w:t>October 10</w:t>
      </w:r>
      <w:r w:rsidR="0069240D">
        <w:rPr>
          <w:sz w:val="24"/>
          <w:szCs w:val="24"/>
        </w:rPr>
        <w:t xml:space="preserve">, 2018, you must connect to the telephonic hearing by calling 1-855-750-1027, then dialing the PIN number 447570#.  This information is contained in the Call-In Telephone Hearing Notice sent to the parties on </w:t>
      </w:r>
      <w:r w:rsidR="00B67D0F">
        <w:rPr>
          <w:sz w:val="24"/>
          <w:szCs w:val="24"/>
        </w:rPr>
        <w:t>August 16</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5FF3DC18" w14:textId="77777777" w:rsidR="006245B3" w:rsidRDefault="005D3D86" w:rsidP="006910A8">
      <w:pPr>
        <w:spacing w:line="360" w:lineRule="auto"/>
        <w:jc w:val="both"/>
        <w:rPr>
          <w:b/>
          <w:sz w:val="24"/>
          <w:szCs w:val="24"/>
          <w:u w:val="single"/>
        </w:rPr>
        <w:sectPr w:rsidR="006245B3"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p>
    <w:p w14:paraId="037951C7" w14:textId="362FB9B3" w:rsidR="005D3D86" w:rsidRDefault="005D3D86" w:rsidP="006910A8">
      <w:pPr>
        <w:spacing w:line="360" w:lineRule="auto"/>
        <w:jc w:val="both"/>
        <w:rPr>
          <w:sz w:val="24"/>
          <w:szCs w:val="24"/>
        </w:rPr>
      </w:pP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bookmarkStart w:id="0" w:name="_GoBack"/>
      <w:bookmarkEnd w:id="0"/>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2C2FD5DC"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B67D0F">
        <w:rPr>
          <w:sz w:val="24"/>
          <w:szCs w:val="24"/>
          <w:u w:val="single"/>
        </w:rPr>
        <w:t>August 17</w:t>
      </w:r>
      <w:r w:rsidR="00DA6BDB">
        <w:rPr>
          <w:sz w:val="24"/>
          <w:szCs w:val="24"/>
          <w:u w:val="single"/>
        </w:rPr>
        <w:t>, 2018</w:t>
      </w:r>
      <w:r w:rsidR="00767F9E">
        <w:rPr>
          <w:sz w:val="24"/>
          <w:szCs w:val="24"/>
        </w:rPr>
        <w:tab/>
      </w:r>
      <w:r>
        <w:rPr>
          <w:sz w:val="24"/>
          <w:szCs w:val="24"/>
        </w:rPr>
        <w:tab/>
      </w:r>
      <w:r w:rsidR="00471F96">
        <w:rPr>
          <w:sz w:val="24"/>
          <w:szCs w:val="24"/>
        </w:rPr>
        <w:tab/>
      </w:r>
      <w:r w:rsidR="006245B3">
        <w:rPr>
          <w:sz w:val="24"/>
          <w:szCs w:val="24"/>
        </w:rPr>
        <w:tab/>
      </w:r>
      <w:r>
        <w:rPr>
          <w:sz w:val="24"/>
          <w:szCs w:val="24"/>
        </w:rPr>
        <w:t>________________________________</w:t>
      </w:r>
    </w:p>
    <w:p w14:paraId="48F458FA" w14:textId="422C141E"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245B3">
        <w:rPr>
          <w:sz w:val="24"/>
          <w:szCs w:val="24"/>
        </w:rPr>
        <w:tab/>
      </w:r>
      <w:r w:rsidR="002A587F">
        <w:rPr>
          <w:sz w:val="24"/>
          <w:szCs w:val="24"/>
        </w:rPr>
        <w:t>Steven K. Haas</w:t>
      </w:r>
    </w:p>
    <w:p w14:paraId="61064F2D" w14:textId="300C8968"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245B3">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E7F6E7A" w14:textId="77777777" w:rsidR="006245B3" w:rsidRDefault="006245B3" w:rsidP="005D3D86">
      <w:pPr>
        <w:sectPr w:rsidR="006245B3" w:rsidSect="006245B3">
          <w:footerReference w:type="default" r:id="rId7"/>
          <w:type w:val="continuous"/>
          <w:pgSz w:w="12240" w:h="15840"/>
          <w:pgMar w:top="1440" w:right="1440" w:bottom="1440" w:left="1440" w:header="720" w:footer="720" w:gutter="0"/>
          <w:cols w:space="720"/>
          <w:docGrid w:linePitch="360"/>
        </w:sectPr>
      </w:pPr>
    </w:p>
    <w:p w14:paraId="3221DA2D" w14:textId="77777777" w:rsidR="006245B3" w:rsidRDefault="006245B3" w:rsidP="006245B3">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C-2018-3003364 - TONY PORTER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TONY PORTER</w:t>
      </w:r>
      <w:r>
        <w:rPr>
          <w:rFonts w:ascii="Microsoft Sans Serif" w:eastAsia="Microsoft Sans Serif" w:hAnsi="Microsoft Sans Serif" w:cs="Microsoft Sans Serif"/>
          <w:sz w:val="24"/>
        </w:rPr>
        <w:cr/>
        <w:t xml:space="preserve">251 OVERLAND DRIVE </w:t>
      </w:r>
      <w:r>
        <w:rPr>
          <w:rFonts w:ascii="Microsoft Sans Serif" w:eastAsia="Microsoft Sans Serif" w:hAnsi="Microsoft Sans Serif" w:cs="Microsoft Sans Serif"/>
          <w:sz w:val="24"/>
        </w:rPr>
        <w:cr/>
        <w:t>LONG POND PA  18334</w:t>
      </w:r>
      <w:r>
        <w:rPr>
          <w:rFonts w:ascii="Microsoft Sans Serif" w:eastAsia="Microsoft Sans Serif" w:hAnsi="Microsoft Sans Serif" w:cs="Microsoft Sans Serif"/>
          <w:sz w:val="24"/>
        </w:rPr>
        <w:cr/>
      </w:r>
      <w:r w:rsidRPr="003124E4">
        <w:rPr>
          <w:rFonts w:ascii="Microsoft Sans Serif" w:eastAsia="Microsoft Sans Serif" w:hAnsi="Microsoft Sans Serif" w:cs="Microsoft Sans Serif"/>
          <w:b/>
          <w:sz w:val="24"/>
        </w:rPr>
        <w:t>570.620.6819</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57BBAFF6" w14:textId="77777777" w:rsidR="006245B3" w:rsidRPr="003124E4" w:rsidRDefault="006245B3" w:rsidP="006245B3">
      <w:pPr>
        <w:rPr>
          <w:b/>
          <w:i/>
          <w:u w:val="single"/>
        </w:rPr>
      </w:pP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3124E4">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565A525F" w14:textId="77777777" w:rsidR="006245B3" w:rsidRDefault="006245B3" w:rsidP="006245B3"/>
    <w:p w14:paraId="5FFAD0C5" w14:textId="6C0031B2" w:rsidR="00C04960" w:rsidRDefault="00C04960" w:rsidP="005D3D86"/>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BC32" w14:textId="77777777" w:rsidR="00F15B8D" w:rsidRDefault="00F15B8D" w:rsidP="006245B3">
      <w:r>
        <w:separator/>
      </w:r>
    </w:p>
  </w:endnote>
  <w:endnote w:type="continuationSeparator" w:id="0">
    <w:p w14:paraId="64353A21" w14:textId="77777777" w:rsidR="00F15B8D" w:rsidRDefault="00F15B8D" w:rsidP="0062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0AEB" w14:textId="6CD102DC" w:rsidR="006245B3" w:rsidRPr="006245B3" w:rsidRDefault="006245B3">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917415"/>
      <w:docPartObj>
        <w:docPartGallery w:val="Page Numbers (Bottom of Page)"/>
        <w:docPartUnique/>
      </w:docPartObj>
    </w:sdtPr>
    <w:sdtEndPr>
      <w:rPr>
        <w:noProof/>
        <w:sz w:val="20"/>
        <w:szCs w:val="20"/>
      </w:rPr>
    </w:sdtEndPr>
    <w:sdtContent>
      <w:p w14:paraId="63F17771" w14:textId="77777777" w:rsidR="006245B3" w:rsidRPr="006245B3" w:rsidRDefault="006245B3">
        <w:pPr>
          <w:pStyle w:val="Footer"/>
          <w:jc w:val="center"/>
          <w:rPr>
            <w:sz w:val="20"/>
            <w:szCs w:val="20"/>
          </w:rPr>
        </w:pPr>
        <w:r w:rsidRPr="006245B3">
          <w:rPr>
            <w:sz w:val="20"/>
            <w:szCs w:val="20"/>
          </w:rPr>
          <w:fldChar w:fldCharType="begin"/>
        </w:r>
        <w:r w:rsidRPr="006245B3">
          <w:rPr>
            <w:sz w:val="20"/>
            <w:szCs w:val="20"/>
          </w:rPr>
          <w:instrText xml:space="preserve"> PAGE   \* MERGEFORMAT </w:instrText>
        </w:r>
        <w:r w:rsidRPr="006245B3">
          <w:rPr>
            <w:sz w:val="20"/>
            <w:szCs w:val="20"/>
          </w:rPr>
          <w:fldChar w:fldCharType="separate"/>
        </w:r>
        <w:r w:rsidRPr="006245B3">
          <w:rPr>
            <w:noProof/>
            <w:sz w:val="20"/>
            <w:szCs w:val="20"/>
          </w:rPr>
          <w:t>2</w:t>
        </w:r>
        <w:r w:rsidRPr="006245B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181605"/>
      <w:docPartObj>
        <w:docPartGallery w:val="Page Numbers (Bottom of Page)"/>
        <w:docPartUnique/>
      </w:docPartObj>
    </w:sdtPr>
    <w:sdtEndPr>
      <w:rPr>
        <w:noProof/>
      </w:rPr>
    </w:sdtEndPr>
    <w:sdtContent>
      <w:p w14:paraId="3D7C3AAD" w14:textId="7CA38D9D" w:rsidR="006245B3" w:rsidRDefault="006245B3">
        <w:pPr>
          <w:pStyle w:val="Footer"/>
          <w:jc w:val="center"/>
        </w:pPr>
      </w:p>
    </w:sdtContent>
  </w:sdt>
  <w:p w14:paraId="61E3D65D" w14:textId="77777777" w:rsidR="006245B3" w:rsidRDefault="00624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DB16C" w14:textId="77777777" w:rsidR="00F15B8D" w:rsidRDefault="00F15B8D" w:rsidP="006245B3">
      <w:r>
        <w:separator/>
      </w:r>
    </w:p>
  </w:footnote>
  <w:footnote w:type="continuationSeparator" w:id="0">
    <w:p w14:paraId="10E76101" w14:textId="77777777" w:rsidR="00F15B8D" w:rsidRDefault="00F15B8D" w:rsidP="00624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588"/>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9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5B3"/>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4E4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D0F"/>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5B8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6245B3"/>
    <w:pPr>
      <w:tabs>
        <w:tab w:val="center" w:pos="4680"/>
        <w:tab w:val="right" w:pos="9360"/>
      </w:tabs>
    </w:pPr>
  </w:style>
  <w:style w:type="character" w:customStyle="1" w:styleId="HeaderChar">
    <w:name w:val="Header Char"/>
    <w:basedOn w:val="DefaultParagraphFont"/>
    <w:link w:val="Header"/>
    <w:uiPriority w:val="99"/>
    <w:rsid w:val="006245B3"/>
    <w:rPr>
      <w:rFonts w:eastAsia="Times New Roman"/>
      <w:sz w:val="26"/>
      <w:szCs w:val="26"/>
    </w:rPr>
  </w:style>
  <w:style w:type="paragraph" w:styleId="Footer">
    <w:name w:val="footer"/>
    <w:basedOn w:val="Normal"/>
    <w:link w:val="FooterChar"/>
    <w:uiPriority w:val="99"/>
    <w:unhideWhenUsed/>
    <w:rsid w:val="006245B3"/>
    <w:pPr>
      <w:tabs>
        <w:tab w:val="center" w:pos="4680"/>
        <w:tab w:val="right" w:pos="9360"/>
      </w:tabs>
    </w:pPr>
  </w:style>
  <w:style w:type="character" w:customStyle="1" w:styleId="FooterChar">
    <w:name w:val="Footer Char"/>
    <w:basedOn w:val="DefaultParagraphFont"/>
    <w:link w:val="Footer"/>
    <w:uiPriority w:val="99"/>
    <w:rsid w:val="006245B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2018-08-17T17:22:00Z</cp:lastPrinted>
  <dcterms:created xsi:type="dcterms:W3CDTF">2018-08-17T17:22:00Z</dcterms:created>
  <dcterms:modified xsi:type="dcterms:W3CDTF">2018-08-17T17:22:00Z</dcterms:modified>
</cp:coreProperties>
</file>