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4680"/>
        <w:gridCol w:w="4680"/>
      </w:tblGrid>
      <w:tr w:rsidR="00B36E9A" w:rsidRPr="00415CE3" w:rsidTr="006278C5">
        <w:tc>
          <w:tcPr>
            <w:tcW w:w="5000" w:type="pct"/>
            <w:gridSpan w:val="2"/>
          </w:tcPr>
          <w:p w:rsidR="00B36E9A" w:rsidRPr="00415CE3" w:rsidRDefault="00B36E9A" w:rsidP="00AA6F30">
            <w:pPr>
              <w:jc w:val="center"/>
              <w:rPr>
                <w:b/>
                <w:sz w:val="26"/>
              </w:rPr>
            </w:pPr>
            <w:smartTag w:uri="urn:schemas-microsoft-com:office:smarttags" w:element="State">
              <w:smartTag w:uri="urn:schemas-microsoft-com:office:smarttags" w:element="place">
                <w:r w:rsidRPr="00415CE3">
                  <w:rPr>
                    <w:b/>
                    <w:sz w:val="26"/>
                  </w:rPr>
                  <w:t>PENNSYLVANIA</w:t>
                </w:r>
              </w:smartTag>
            </w:smartTag>
          </w:p>
          <w:p w:rsidR="00B36E9A" w:rsidRPr="00415CE3" w:rsidRDefault="00B36E9A" w:rsidP="00AA6F30">
            <w:pPr>
              <w:jc w:val="center"/>
              <w:rPr>
                <w:b/>
                <w:sz w:val="26"/>
              </w:rPr>
            </w:pPr>
            <w:r w:rsidRPr="00415CE3">
              <w:rPr>
                <w:b/>
                <w:sz w:val="26"/>
              </w:rPr>
              <w:t>PUBLIC UTILITY COMMISSION</w:t>
            </w:r>
          </w:p>
          <w:p w:rsidR="00B36E9A" w:rsidRDefault="00B36E9A" w:rsidP="005C53D4">
            <w:pPr>
              <w:jc w:val="center"/>
              <w:rPr>
                <w:b/>
                <w:sz w:val="26"/>
              </w:rPr>
            </w:pPr>
            <w:r w:rsidRPr="00415CE3">
              <w:rPr>
                <w:b/>
                <w:sz w:val="26"/>
              </w:rPr>
              <w:t>Harrisburg, PA  17105-3265</w:t>
            </w:r>
          </w:p>
          <w:p w:rsidR="003F6177" w:rsidRPr="00415CE3" w:rsidRDefault="003F6177" w:rsidP="00AA6F30">
            <w:pPr>
              <w:rPr>
                <w:sz w:val="26"/>
              </w:rPr>
            </w:pPr>
          </w:p>
        </w:tc>
      </w:tr>
      <w:tr w:rsidR="00B36E9A" w:rsidRPr="00415CE3" w:rsidTr="006278C5">
        <w:tc>
          <w:tcPr>
            <w:tcW w:w="2500" w:type="pct"/>
          </w:tcPr>
          <w:p w:rsidR="00B36E9A" w:rsidRPr="00415CE3" w:rsidRDefault="00B36E9A" w:rsidP="00AA6F30">
            <w:pPr>
              <w:rPr>
                <w:sz w:val="26"/>
              </w:rPr>
            </w:pPr>
          </w:p>
        </w:tc>
        <w:tc>
          <w:tcPr>
            <w:tcW w:w="2500" w:type="pct"/>
          </w:tcPr>
          <w:p w:rsidR="00B36E9A" w:rsidRPr="00415CE3" w:rsidRDefault="0037055E" w:rsidP="00AA6F30">
            <w:pPr>
              <w:jc w:val="right"/>
              <w:rPr>
                <w:sz w:val="26"/>
              </w:rPr>
            </w:pPr>
            <w:r w:rsidRPr="00415CE3">
              <w:rPr>
                <w:sz w:val="26"/>
              </w:rPr>
              <w:t xml:space="preserve">Public Meeting held </w:t>
            </w:r>
            <w:r w:rsidR="00285209">
              <w:rPr>
                <w:sz w:val="26"/>
              </w:rPr>
              <w:t>August 23, 2018</w:t>
            </w:r>
          </w:p>
          <w:p w:rsidR="00B36E9A" w:rsidRPr="00415CE3" w:rsidRDefault="00B36E9A" w:rsidP="00AA6F30">
            <w:pPr>
              <w:jc w:val="right"/>
              <w:rPr>
                <w:sz w:val="26"/>
              </w:rPr>
            </w:pPr>
          </w:p>
        </w:tc>
      </w:tr>
      <w:tr w:rsidR="007772A1" w:rsidRPr="00415CE3" w:rsidTr="007772A1">
        <w:tc>
          <w:tcPr>
            <w:tcW w:w="5000" w:type="pct"/>
            <w:gridSpan w:val="2"/>
          </w:tcPr>
          <w:p w:rsidR="00EC24E8" w:rsidRDefault="00EC24E8" w:rsidP="00AC089C">
            <w:pPr>
              <w:tabs>
                <w:tab w:val="left" w:pos="705"/>
              </w:tabs>
              <w:rPr>
                <w:sz w:val="26"/>
                <w:szCs w:val="26"/>
              </w:rPr>
            </w:pPr>
          </w:p>
          <w:p w:rsidR="00AC089C" w:rsidRDefault="00AC089C" w:rsidP="00AC089C">
            <w:pPr>
              <w:tabs>
                <w:tab w:val="left" w:pos="705"/>
              </w:tabs>
              <w:rPr>
                <w:sz w:val="26"/>
                <w:szCs w:val="26"/>
              </w:rPr>
            </w:pPr>
            <w:r>
              <w:rPr>
                <w:sz w:val="26"/>
                <w:szCs w:val="26"/>
              </w:rPr>
              <w:t xml:space="preserve">Commissioner’s Present:  </w:t>
            </w:r>
          </w:p>
          <w:p w:rsidR="00AC089C" w:rsidRDefault="00AC089C" w:rsidP="00AC089C">
            <w:pPr>
              <w:tabs>
                <w:tab w:val="left" w:pos="705"/>
              </w:tabs>
              <w:ind w:firstLine="720"/>
              <w:rPr>
                <w:sz w:val="26"/>
                <w:szCs w:val="26"/>
              </w:rPr>
            </w:pPr>
          </w:p>
          <w:p w:rsidR="00285209" w:rsidRPr="00285209" w:rsidRDefault="00285209" w:rsidP="00285209">
            <w:pPr>
              <w:tabs>
                <w:tab w:val="left" w:pos="705"/>
              </w:tabs>
              <w:ind w:firstLine="720"/>
              <w:rPr>
                <w:sz w:val="26"/>
                <w:szCs w:val="26"/>
              </w:rPr>
            </w:pPr>
            <w:r w:rsidRPr="00285209">
              <w:rPr>
                <w:sz w:val="26"/>
                <w:szCs w:val="26"/>
              </w:rPr>
              <w:t>Gladys M. Brown, Chairman</w:t>
            </w:r>
          </w:p>
          <w:p w:rsidR="00285209" w:rsidRPr="00285209" w:rsidRDefault="00285209" w:rsidP="00285209">
            <w:pPr>
              <w:tabs>
                <w:tab w:val="left" w:pos="705"/>
              </w:tabs>
              <w:ind w:firstLine="720"/>
              <w:rPr>
                <w:sz w:val="26"/>
                <w:szCs w:val="26"/>
              </w:rPr>
            </w:pPr>
            <w:r w:rsidRPr="00285209">
              <w:rPr>
                <w:sz w:val="26"/>
                <w:szCs w:val="26"/>
              </w:rPr>
              <w:t>Andrew G. Place, Vice Chairman</w:t>
            </w:r>
          </w:p>
          <w:p w:rsidR="00285209" w:rsidRPr="00285209" w:rsidRDefault="00285209" w:rsidP="00285209">
            <w:pPr>
              <w:tabs>
                <w:tab w:val="left" w:pos="705"/>
              </w:tabs>
              <w:ind w:firstLine="720"/>
              <w:rPr>
                <w:sz w:val="26"/>
                <w:szCs w:val="26"/>
              </w:rPr>
            </w:pPr>
            <w:r w:rsidRPr="00285209">
              <w:rPr>
                <w:sz w:val="26"/>
                <w:szCs w:val="26"/>
              </w:rPr>
              <w:t>Norman J. Kennard</w:t>
            </w:r>
          </w:p>
          <w:p w:rsidR="00285209" w:rsidRPr="00285209" w:rsidRDefault="00285209" w:rsidP="00285209">
            <w:pPr>
              <w:ind w:left="720"/>
              <w:rPr>
                <w:sz w:val="26"/>
                <w:szCs w:val="26"/>
              </w:rPr>
            </w:pPr>
            <w:r w:rsidRPr="00285209">
              <w:rPr>
                <w:sz w:val="26"/>
                <w:szCs w:val="26"/>
              </w:rPr>
              <w:t>David W. Sweet</w:t>
            </w:r>
          </w:p>
          <w:p w:rsidR="00285209" w:rsidRPr="00285209" w:rsidRDefault="00285209" w:rsidP="00285209">
            <w:pPr>
              <w:tabs>
                <w:tab w:val="left" w:pos="705"/>
              </w:tabs>
              <w:ind w:firstLine="720"/>
              <w:rPr>
                <w:sz w:val="26"/>
                <w:szCs w:val="26"/>
              </w:rPr>
            </w:pPr>
            <w:r w:rsidRPr="00285209">
              <w:rPr>
                <w:sz w:val="26"/>
                <w:szCs w:val="26"/>
              </w:rPr>
              <w:t>John F. Coleman, Jr.</w:t>
            </w:r>
          </w:p>
          <w:p w:rsidR="00285209" w:rsidRDefault="00285209" w:rsidP="00285209">
            <w:pPr>
              <w:ind w:left="720"/>
              <w:rPr>
                <w:sz w:val="26"/>
                <w:szCs w:val="26"/>
              </w:rPr>
            </w:pPr>
          </w:p>
          <w:p w:rsidR="00EC24E8" w:rsidRPr="00285209" w:rsidRDefault="00EC24E8" w:rsidP="00285209">
            <w:pPr>
              <w:ind w:left="720"/>
              <w:rPr>
                <w:sz w:val="26"/>
                <w:szCs w:val="26"/>
              </w:rPr>
            </w:pPr>
          </w:p>
          <w:p w:rsidR="00285209" w:rsidRPr="00415CE3" w:rsidRDefault="00285209" w:rsidP="00285209">
            <w:pPr>
              <w:ind w:left="720"/>
              <w:rPr>
                <w:sz w:val="26"/>
              </w:rPr>
            </w:pPr>
          </w:p>
        </w:tc>
      </w:tr>
      <w:tr w:rsidR="00B36E9A" w:rsidRPr="009941F8" w:rsidTr="006278C5">
        <w:tc>
          <w:tcPr>
            <w:tcW w:w="2500" w:type="pct"/>
          </w:tcPr>
          <w:p w:rsidR="00175193" w:rsidRPr="00415CE3" w:rsidRDefault="00A3782D" w:rsidP="00AA6F30">
            <w:pPr>
              <w:rPr>
                <w:sz w:val="26"/>
              </w:rPr>
            </w:pPr>
            <w:r w:rsidRPr="00415CE3">
              <w:rPr>
                <w:sz w:val="26"/>
              </w:rPr>
              <w:t xml:space="preserve">Pennsylvania Public Utility Commission, Bureau </w:t>
            </w:r>
            <w:r w:rsidR="009941F8">
              <w:rPr>
                <w:sz w:val="26"/>
              </w:rPr>
              <w:t>of Investigation and Enforcement</w:t>
            </w:r>
            <w:r w:rsidRPr="00415CE3">
              <w:rPr>
                <w:sz w:val="26"/>
              </w:rPr>
              <w:t xml:space="preserve"> </w:t>
            </w:r>
          </w:p>
          <w:p w:rsidR="00175193" w:rsidRPr="00D41AB9" w:rsidRDefault="00175193" w:rsidP="00AA6F30">
            <w:pPr>
              <w:rPr>
                <w:sz w:val="26"/>
              </w:rPr>
            </w:pPr>
          </w:p>
          <w:p w:rsidR="00175193" w:rsidRPr="005C53D4" w:rsidRDefault="006278C5" w:rsidP="00AA6F30">
            <w:pPr>
              <w:rPr>
                <w:sz w:val="26"/>
              </w:rPr>
            </w:pPr>
            <w:r w:rsidRPr="005C53D4">
              <w:rPr>
                <w:color w:val="FF0000"/>
                <w:sz w:val="26"/>
              </w:rPr>
              <w:tab/>
            </w:r>
            <w:r w:rsidRPr="005C53D4">
              <w:rPr>
                <w:color w:val="FF0000"/>
                <w:sz w:val="26"/>
              </w:rPr>
              <w:tab/>
            </w:r>
            <w:r w:rsidR="00A3782D" w:rsidRPr="005C53D4">
              <w:rPr>
                <w:sz w:val="26"/>
              </w:rPr>
              <w:t xml:space="preserve">v. </w:t>
            </w:r>
          </w:p>
          <w:p w:rsidR="00175193" w:rsidRPr="00415CE3" w:rsidRDefault="00175193" w:rsidP="00AA6F30">
            <w:pPr>
              <w:rPr>
                <w:sz w:val="26"/>
              </w:rPr>
            </w:pPr>
          </w:p>
          <w:p w:rsidR="00B36E9A" w:rsidRDefault="00285209" w:rsidP="00AA6F30">
            <w:pPr>
              <w:rPr>
                <w:sz w:val="26"/>
              </w:rPr>
            </w:pPr>
            <w:r>
              <w:rPr>
                <w:sz w:val="26"/>
              </w:rPr>
              <w:t>Brookhaven MHP Management LLC</w:t>
            </w:r>
            <w:r w:rsidR="009013CB">
              <w:rPr>
                <w:sz w:val="26"/>
              </w:rPr>
              <w:t>,</w:t>
            </w:r>
          </w:p>
          <w:p w:rsidR="00285209" w:rsidRDefault="00285209" w:rsidP="00AA6F30">
            <w:pPr>
              <w:rPr>
                <w:sz w:val="26"/>
              </w:rPr>
            </w:pPr>
            <w:r>
              <w:rPr>
                <w:sz w:val="26"/>
              </w:rPr>
              <w:t>Meadowview Management LLC</w:t>
            </w:r>
            <w:r w:rsidR="009013CB">
              <w:rPr>
                <w:sz w:val="26"/>
              </w:rPr>
              <w:t>,</w:t>
            </w:r>
          </w:p>
          <w:p w:rsidR="00285209" w:rsidRDefault="00285209" w:rsidP="00AA6F30">
            <w:pPr>
              <w:rPr>
                <w:sz w:val="26"/>
              </w:rPr>
            </w:pPr>
            <w:r>
              <w:rPr>
                <w:sz w:val="26"/>
              </w:rPr>
              <w:t>Mill Creek MHP Management LLC</w:t>
            </w:r>
            <w:r w:rsidR="009013CB">
              <w:rPr>
                <w:sz w:val="26"/>
              </w:rPr>
              <w:t>,</w:t>
            </w:r>
          </w:p>
          <w:p w:rsidR="00285209" w:rsidRDefault="00285209" w:rsidP="00AA6F30">
            <w:pPr>
              <w:rPr>
                <w:sz w:val="26"/>
              </w:rPr>
            </w:pPr>
            <w:r>
              <w:rPr>
                <w:sz w:val="26"/>
              </w:rPr>
              <w:t>Northwood Manor Management LLC</w:t>
            </w:r>
            <w:r w:rsidR="009013CB">
              <w:rPr>
                <w:sz w:val="26"/>
              </w:rPr>
              <w:t>, and</w:t>
            </w:r>
          </w:p>
          <w:p w:rsidR="009013CB" w:rsidRDefault="009013CB" w:rsidP="00AA6F30">
            <w:pPr>
              <w:rPr>
                <w:sz w:val="26"/>
              </w:rPr>
            </w:pPr>
            <w:r>
              <w:rPr>
                <w:sz w:val="26"/>
              </w:rPr>
              <w:t>ATG Properties LLC d/b/a Greenleaf</w:t>
            </w:r>
          </w:p>
          <w:p w:rsidR="009013CB" w:rsidRDefault="009013CB" w:rsidP="00AA6F30">
            <w:pPr>
              <w:rPr>
                <w:sz w:val="26"/>
              </w:rPr>
            </w:pPr>
            <w:r>
              <w:rPr>
                <w:sz w:val="26"/>
              </w:rPr>
              <w:t>Gas Company</w:t>
            </w:r>
          </w:p>
          <w:p w:rsidR="00AF39E2" w:rsidRDefault="00AF39E2" w:rsidP="00AA6F30">
            <w:pPr>
              <w:rPr>
                <w:sz w:val="26"/>
              </w:rPr>
            </w:pPr>
          </w:p>
          <w:p w:rsidR="00A3782D" w:rsidRPr="00415CE3" w:rsidRDefault="00A3782D" w:rsidP="00AA6F30">
            <w:pPr>
              <w:rPr>
                <w:sz w:val="26"/>
              </w:rPr>
            </w:pPr>
          </w:p>
        </w:tc>
        <w:tc>
          <w:tcPr>
            <w:tcW w:w="2500" w:type="pct"/>
          </w:tcPr>
          <w:p w:rsidR="00B36E9A" w:rsidRDefault="00F81EA0" w:rsidP="00405BF2">
            <w:pPr>
              <w:jc w:val="right"/>
              <w:rPr>
                <w:bCs/>
                <w:sz w:val="26"/>
                <w:szCs w:val="26"/>
              </w:rPr>
            </w:pPr>
            <w:r>
              <w:rPr>
                <w:bCs/>
                <w:sz w:val="26"/>
                <w:szCs w:val="26"/>
              </w:rPr>
              <w:t xml:space="preserve">  </w:t>
            </w:r>
            <w:r w:rsidR="00405BF2">
              <w:rPr>
                <w:bCs/>
                <w:sz w:val="26"/>
                <w:szCs w:val="26"/>
              </w:rPr>
              <w:t xml:space="preserve"> C</w:t>
            </w:r>
            <w:r w:rsidR="009941F8" w:rsidRPr="009941F8">
              <w:rPr>
                <w:bCs/>
                <w:sz w:val="26"/>
                <w:szCs w:val="26"/>
              </w:rPr>
              <w:t>-201</w:t>
            </w:r>
            <w:r w:rsidR="009013CB">
              <w:rPr>
                <w:bCs/>
                <w:sz w:val="26"/>
                <w:szCs w:val="26"/>
              </w:rPr>
              <w:t>7-2613983</w:t>
            </w:r>
          </w:p>
          <w:p w:rsidR="009013CB" w:rsidRDefault="009013CB" w:rsidP="00405BF2">
            <w:pPr>
              <w:jc w:val="right"/>
              <w:rPr>
                <w:sz w:val="26"/>
              </w:rPr>
            </w:pPr>
            <w:r>
              <w:rPr>
                <w:sz w:val="26"/>
              </w:rPr>
              <w:t>C-2017-2613984</w:t>
            </w:r>
          </w:p>
          <w:p w:rsidR="009013CB" w:rsidRDefault="009013CB" w:rsidP="009013CB">
            <w:pPr>
              <w:jc w:val="right"/>
              <w:rPr>
                <w:sz w:val="26"/>
              </w:rPr>
            </w:pPr>
            <w:r>
              <w:rPr>
                <w:sz w:val="26"/>
              </w:rPr>
              <w:t>C-2017-2613985</w:t>
            </w:r>
          </w:p>
          <w:p w:rsidR="009013CB" w:rsidRDefault="009013CB" w:rsidP="009013CB">
            <w:pPr>
              <w:jc w:val="right"/>
              <w:rPr>
                <w:sz w:val="26"/>
              </w:rPr>
            </w:pPr>
            <w:r>
              <w:rPr>
                <w:sz w:val="26"/>
              </w:rPr>
              <w:t>C-2017-2613986</w:t>
            </w:r>
          </w:p>
          <w:p w:rsidR="009013CB" w:rsidRDefault="009013CB" w:rsidP="009013CB">
            <w:pPr>
              <w:jc w:val="right"/>
              <w:rPr>
                <w:sz w:val="26"/>
              </w:rPr>
            </w:pPr>
            <w:r>
              <w:rPr>
                <w:sz w:val="26"/>
              </w:rPr>
              <w:t>C-2017-2613987</w:t>
            </w:r>
          </w:p>
          <w:p w:rsidR="009013CB" w:rsidRDefault="009013CB" w:rsidP="009013CB">
            <w:pPr>
              <w:jc w:val="right"/>
              <w:rPr>
                <w:sz w:val="26"/>
              </w:rPr>
            </w:pPr>
          </w:p>
          <w:p w:rsidR="009013CB" w:rsidRDefault="009013CB" w:rsidP="009013CB">
            <w:pPr>
              <w:jc w:val="right"/>
              <w:rPr>
                <w:sz w:val="26"/>
              </w:rPr>
            </w:pPr>
          </w:p>
          <w:p w:rsidR="009013CB" w:rsidRDefault="009013CB" w:rsidP="00405BF2">
            <w:pPr>
              <w:jc w:val="right"/>
              <w:rPr>
                <w:sz w:val="26"/>
              </w:rPr>
            </w:pPr>
          </w:p>
          <w:p w:rsidR="009013CB" w:rsidRPr="009941F8" w:rsidRDefault="009013CB" w:rsidP="00405BF2">
            <w:pPr>
              <w:jc w:val="right"/>
              <w:rPr>
                <w:sz w:val="26"/>
              </w:rPr>
            </w:pPr>
          </w:p>
        </w:tc>
      </w:tr>
    </w:tbl>
    <w:p w:rsidR="00EC24E8" w:rsidRDefault="00EC24E8" w:rsidP="00AF39E2">
      <w:pPr>
        <w:spacing w:line="360" w:lineRule="auto"/>
        <w:jc w:val="center"/>
        <w:rPr>
          <w:b/>
          <w:sz w:val="26"/>
        </w:rPr>
      </w:pPr>
    </w:p>
    <w:p w:rsidR="00AF39E2" w:rsidRPr="00415CE3" w:rsidRDefault="00AF39E2" w:rsidP="00AF39E2">
      <w:pPr>
        <w:spacing w:line="360" w:lineRule="auto"/>
        <w:jc w:val="center"/>
        <w:rPr>
          <w:b/>
          <w:sz w:val="26"/>
        </w:rPr>
      </w:pPr>
      <w:r w:rsidRPr="00415CE3">
        <w:rPr>
          <w:b/>
          <w:sz w:val="26"/>
        </w:rPr>
        <w:t>OPINION AND ORDER</w:t>
      </w:r>
    </w:p>
    <w:p w:rsidR="00DF5F6D" w:rsidRDefault="00DF5F6D" w:rsidP="00AA6F30">
      <w:pPr>
        <w:rPr>
          <w:b/>
          <w:sz w:val="26"/>
        </w:rPr>
      </w:pPr>
    </w:p>
    <w:p w:rsidR="00436FF5" w:rsidRPr="00415CE3" w:rsidRDefault="00436FF5" w:rsidP="00AA6F30">
      <w:pPr>
        <w:rPr>
          <w:b/>
          <w:sz w:val="26"/>
        </w:rPr>
      </w:pPr>
    </w:p>
    <w:p w:rsidR="00DF5F6D" w:rsidRPr="00415CE3" w:rsidRDefault="00DF5F6D" w:rsidP="00AA6F30">
      <w:pPr>
        <w:spacing w:line="360" w:lineRule="auto"/>
        <w:rPr>
          <w:b/>
          <w:sz w:val="26"/>
        </w:rPr>
      </w:pPr>
      <w:r w:rsidRPr="00415CE3">
        <w:rPr>
          <w:b/>
          <w:sz w:val="26"/>
        </w:rPr>
        <w:t>BY THE COMMISSION:</w:t>
      </w:r>
    </w:p>
    <w:p w:rsidR="00DF5F6D" w:rsidRPr="005A0A6B" w:rsidRDefault="00DF5F6D" w:rsidP="00AA6F30">
      <w:pPr>
        <w:spacing w:line="360" w:lineRule="auto"/>
        <w:rPr>
          <w:b/>
          <w:sz w:val="26"/>
        </w:rPr>
      </w:pPr>
    </w:p>
    <w:p w:rsidR="00B36E9A" w:rsidRPr="000B3138" w:rsidRDefault="005A0A6B" w:rsidP="00AA6F30">
      <w:pPr>
        <w:spacing w:line="360" w:lineRule="auto"/>
        <w:ind w:firstLine="1440"/>
        <w:rPr>
          <w:sz w:val="26"/>
        </w:rPr>
      </w:pPr>
      <w:r w:rsidRPr="005A0A6B">
        <w:rPr>
          <w:sz w:val="26"/>
        </w:rPr>
        <w:t>Before the P</w:t>
      </w:r>
      <w:r>
        <w:rPr>
          <w:sz w:val="26"/>
        </w:rPr>
        <w:t xml:space="preserve">ennsylvania Public Utility Commission (Commission) for consideration and disposition is a </w:t>
      </w:r>
      <w:r w:rsidR="00BF1E61">
        <w:rPr>
          <w:sz w:val="26"/>
        </w:rPr>
        <w:t xml:space="preserve">Joint Petition for </w:t>
      </w:r>
      <w:r w:rsidR="0038123D">
        <w:rPr>
          <w:sz w:val="26"/>
        </w:rPr>
        <w:t xml:space="preserve">Approval of </w:t>
      </w:r>
      <w:r w:rsidR="00BF1E61">
        <w:rPr>
          <w:sz w:val="26"/>
        </w:rPr>
        <w:t>Settlement</w:t>
      </w:r>
      <w:r w:rsidR="008B6D35">
        <w:rPr>
          <w:sz w:val="26"/>
        </w:rPr>
        <w:t xml:space="preserve"> (Settlement)</w:t>
      </w:r>
      <w:r w:rsidR="00FD6E8E">
        <w:rPr>
          <w:sz w:val="26"/>
        </w:rPr>
        <w:t xml:space="preserve"> filed on </w:t>
      </w:r>
      <w:r w:rsidR="00871361">
        <w:rPr>
          <w:sz w:val="26"/>
        </w:rPr>
        <w:t>September 6, 2017</w:t>
      </w:r>
      <w:r>
        <w:rPr>
          <w:sz w:val="26"/>
        </w:rPr>
        <w:t xml:space="preserve">, by </w:t>
      </w:r>
      <w:r w:rsidR="00E76AE3">
        <w:rPr>
          <w:sz w:val="26"/>
        </w:rPr>
        <w:t xml:space="preserve">the Commission’s </w:t>
      </w:r>
      <w:r w:rsidR="00B6320E">
        <w:rPr>
          <w:sz w:val="26"/>
        </w:rPr>
        <w:t xml:space="preserve">Bureau of Investigation and </w:t>
      </w:r>
      <w:r w:rsidR="00B6320E">
        <w:rPr>
          <w:sz w:val="26"/>
        </w:rPr>
        <w:lastRenderedPageBreak/>
        <w:t>Enforcement</w:t>
      </w:r>
      <w:r w:rsidR="00E76AE3">
        <w:rPr>
          <w:sz w:val="26"/>
        </w:rPr>
        <w:t xml:space="preserve"> (</w:t>
      </w:r>
      <w:r w:rsidR="00B6320E">
        <w:rPr>
          <w:sz w:val="26"/>
        </w:rPr>
        <w:t>I&amp;E</w:t>
      </w:r>
      <w:r w:rsidR="00E76AE3">
        <w:rPr>
          <w:sz w:val="26"/>
        </w:rPr>
        <w:t xml:space="preserve">) and </w:t>
      </w:r>
      <w:r w:rsidR="00871361">
        <w:rPr>
          <w:sz w:val="26"/>
        </w:rPr>
        <w:t>Brookhaven MHP Management LLC (Brookhaven); Meadowview Management LLC (Meadowview); Mill Creek MHP Management LLC (Mill Creek); Northwood Manor Management LLC (Northwood Manor); and ATG Properties LLC d/b/a Greenleaf Gas Company (ATG Properties) (collectively, Respondents)</w:t>
      </w:r>
      <w:r w:rsidR="00E76AE3">
        <w:rPr>
          <w:sz w:val="26"/>
        </w:rPr>
        <w:t xml:space="preserve">.  </w:t>
      </w:r>
      <w:r w:rsidR="00B54735">
        <w:rPr>
          <w:sz w:val="26"/>
        </w:rPr>
        <w:t>Both I&amp;E and the Respondents</w:t>
      </w:r>
      <w:r w:rsidR="00C0031E">
        <w:rPr>
          <w:sz w:val="26"/>
        </w:rPr>
        <w:t xml:space="preserve"> </w:t>
      </w:r>
      <w:r w:rsidR="004C6BF0">
        <w:rPr>
          <w:sz w:val="26"/>
        </w:rPr>
        <w:t xml:space="preserve">filed </w:t>
      </w:r>
      <w:r w:rsidR="00074092">
        <w:rPr>
          <w:sz w:val="26"/>
        </w:rPr>
        <w:t xml:space="preserve">a </w:t>
      </w:r>
      <w:r w:rsidR="004C6BF0">
        <w:rPr>
          <w:sz w:val="26"/>
        </w:rPr>
        <w:t>Statement in Support of the Settlement</w:t>
      </w:r>
      <w:r w:rsidR="000B3138">
        <w:rPr>
          <w:sz w:val="26"/>
        </w:rPr>
        <w:t xml:space="preserve"> (Statement in Support)</w:t>
      </w:r>
      <w:r w:rsidR="004C6BF0" w:rsidRPr="00B8713A">
        <w:rPr>
          <w:sz w:val="26"/>
        </w:rPr>
        <w:t>.</w:t>
      </w:r>
      <w:r w:rsidR="00DC7F0B" w:rsidRPr="00B8713A">
        <w:rPr>
          <w:sz w:val="26"/>
        </w:rPr>
        <w:t xml:space="preserve">  </w:t>
      </w:r>
      <w:r w:rsidR="00DC7F0B" w:rsidRPr="000B3138">
        <w:rPr>
          <w:sz w:val="26"/>
        </w:rPr>
        <w:t>For the reasons set forth herein, we will approve the Settlement as filed.</w:t>
      </w:r>
    </w:p>
    <w:p w:rsidR="00B54735" w:rsidRDefault="00B54735" w:rsidP="0087552D">
      <w:pPr>
        <w:spacing w:line="360" w:lineRule="auto"/>
        <w:jc w:val="center"/>
        <w:rPr>
          <w:b/>
          <w:sz w:val="26"/>
        </w:rPr>
      </w:pPr>
    </w:p>
    <w:p w:rsidR="00AF39E2" w:rsidRDefault="00AF39E2" w:rsidP="00D41AB9">
      <w:pPr>
        <w:keepNext/>
        <w:spacing w:line="360" w:lineRule="auto"/>
        <w:jc w:val="center"/>
        <w:rPr>
          <w:b/>
          <w:sz w:val="26"/>
        </w:rPr>
      </w:pPr>
      <w:r>
        <w:rPr>
          <w:b/>
          <w:sz w:val="26"/>
        </w:rPr>
        <w:t>History of the Proceeding</w:t>
      </w:r>
    </w:p>
    <w:p w:rsidR="004A4372" w:rsidRDefault="004A4372" w:rsidP="00D41AB9">
      <w:pPr>
        <w:keepNext/>
        <w:spacing w:line="360" w:lineRule="auto"/>
        <w:ind w:firstLine="1440"/>
        <w:rPr>
          <w:kern w:val="24"/>
        </w:rPr>
      </w:pPr>
    </w:p>
    <w:p w:rsidR="00DE7ECC" w:rsidRDefault="00B652D8" w:rsidP="001E224D">
      <w:pPr>
        <w:spacing w:line="360" w:lineRule="auto"/>
        <w:ind w:firstLine="1440"/>
        <w:rPr>
          <w:kern w:val="24"/>
          <w:sz w:val="26"/>
          <w:szCs w:val="26"/>
        </w:rPr>
      </w:pPr>
      <w:r>
        <w:rPr>
          <w:kern w:val="24"/>
          <w:sz w:val="26"/>
          <w:szCs w:val="26"/>
        </w:rPr>
        <w:t xml:space="preserve">On </w:t>
      </w:r>
      <w:r w:rsidR="005368FA">
        <w:rPr>
          <w:kern w:val="24"/>
          <w:sz w:val="26"/>
          <w:szCs w:val="26"/>
        </w:rPr>
        <w:t>July 11</w:t>
      </w:r>
      <w:r>
        <w:rPr>
          <w:kern w:val="24"/>
          <w:sz w:val="26"/>
          <w:szCs w:val="26"/>
        </w:rPr>
        <w:t>,</w:t>
      </w:r>
      <w:r w:rsidR="005368FA">
        <w:rPr>
          <w:kern w:val="24"/>
          <w:sz w:val="26"/>
          <w:szCs w:val="26"/>
        </w:rPr>
        <w:t xml:space="preserve"> 2017,</w:t>
      </w:r>
      <w:r>
        <w:rPr>
          <w:kern w:val="24"/>
          <w:sz w:val="26"/>
          <w:szCs w:val="26"/>
        </w:rPr>
        <w:t xml:space="preserve"> I&amp;E filed a </w:t>
      </w:r>
      <w:r w:rsidR="0034588B">
        <w:rPr>
          <w:kern w:val="24"/>
          <w:sz w:val="26"/>
          <w:szCs w:val="26"/>
        </w:rPr>
        <w:t xml:space="preserve">Formal </w:t>
      </w:r>
      <w:r>
        <w:rPr>
          <w:kern w:val="24"/>
          <w:sz w:val="26"/>
          <w:szCs w:val="26"/>
        </w:rPr>
        <w:t xml:space="preserve">Complaint </w:t>
      </w:r>
      <w:r w:rsidR="0034588B">
        <w:rPr>
          <w:kern w:val="24"/>
          <w:sz w:val="26"/>
          <w:szCs w:val="26"/>
        </w:rPr>
        <w:t xml:space="preserve">(Complaint) </w:t>
      </w:r>
      <w:r>
        <w:rPr>
          <w:kern w:val="24"/>
          <w:sz w:val="26"/>
          <w:szCs w:val="26"/>
        </w:rPr>
        <w:t xml:space="preserve">against </w:t>
      </w:r>
      <w:r w:rsidR="00AE6345">
        <w:rPr>
          <w:kern w:val="24"/>
          <w:sz w:val="26"/>
          <w:szCs w:val="26"/>
        </w:rPr>
        <w:t>the Respondents</w:t>
      </w:r>
      <w:r>
        <w:rPr>
          <w:kern w:val="24"/>
          <w:sz w:val="26"/>
          <w:szCs w:val="26"/>
        </w:rPr>
        <w:t>.</w:t>
      </w:r>
      <w:r w:rsidR="000E4DCE">
        <w:rPr>
          <w:kern w:val="24"/>
          <w:sz w:val="26"/>
          <w:szCs w:val="26"/>
        </w:rPr>
        <w:t xml:space="preserve">  I&amp;E alleged that the Respondents failed to file </w:t>
      </w:r>
      <w:r w:rsidR="00D2407A">
        <w:rPr>
          <w:kern w:val="24"/>
          <w:sz w:val="26"/>
          <w:szCs w:val="26"/>
        </w:rPr>
        <w:t xml:space="preserve">an Initial Registration Form in 2012 to register with the Commission as pipeline operators and failed to file Pennsylvania Pipeline Operator Annual Registration Forms </w:t>
      </w:r>
      <w:r w:rsidR="002D7E3B">
        <w:rPr>
          <w:kern w:val="24"/>
          <w:sz w:val="26"/>
          <w:szCs w:val="26"/>
        </w:rPr>
        <w:t>(Annual Registration Forms)</w:t>
      </w:r>
      <w:r w:rsidR="00DB14F9">
        <w:rPr>
          <w:rStyle w:val="FootnoteReference"/>
          <w:kern w:val="24"/>
          <w:sz w:val="26"/>
          <w:szCs w:val="26"/>
        </w:rPr>
        <w:footnoteReference w:id="1"/>
      </w:r>
      <w:r w:rsidR="002D7E3B">
        <w:rPr>
          <w:kern w:val="24"/>
          <w:sz w:val="26"/>
          <w:szCs w:val="26"/>
        </w:rPr>
        <w:t xml:space="preserve"> </w:t>
      </w:r>
      <w:r w:rsidR="00D2407A">
        <w:rPr>
          <w:kern w:val="24"/>
          <w:sz w:val="26"/>
          <w:szCs w:val="26"/>
        </w:rPr>
        <w:t>to report total intrastate regulated transmission, distribution, and gathering pipeline miles in operation for the transportation of gas and hazardous liquids during the 2012, 2013, 2014, and 2015 calendar years</w:t>
      </w:r>
      <w:r w:rsidR="00C74FBF">
        <w:rPr>
          <w:kern w:val="24"/>
          <w:sz w:val="26"/>
          <w:szCs w:val="26"/>
        </w:rPr>
        <w:t xml:space="preserve">, as required by </w:t>
      </w:r>
      <w:r w:rsidR="002F6B83">
        <w:rPr>
          <w:sz w:val="26"/>
          <w:szCs w:val="26"/>
        </w:rPr>
        <w:t xml:space="preserve">the Gas and Hazardous Liquids Pipelines Act (Act 127), 58 P.S. §§ 801.101, </w:t>
      </w:r>
      <w:r w:rsidR="002F6B83">
        <w:rPr>
          <w:i/>
          <w:sz w:val="26"/>
          <w:szCs w:val="26"/>
        </w:rPr>
        <w:t>et seq.</w:t>
      </w:r>
      <w:r w:rsidR="00530AE3">
        <w:rPr>
          <w:rStyle w:val="FootnoteReference"/>
          <w:kern w:val="24"/>
          <w:sz w:val="26"/>
          <w:szCs w:val="26"/>
        </w:rPr>
        <w:footnoteReference w:id="2"/>
      </w:r>
      <w:r w:rsidR="00701751">
        <w:rPr>
          <w:kern w:val="24"/>
          <w:sz w:val="26"/>
          <w:szCs w:val="26"/>
        </w:rPr>
        <w:t xml:space="preserve">  </w:t>
      </w:r>
      <w:r w:rsidR="0082620D">
        <w:rPr>
          <w:kern w:val="24"/>
          <w:sz w:val="26"/>
          <w:szCs w:val="26"/>
        </w:rPr>
        <w:t xml:space="preserve">Complaint at 8-9.  </w:t>
      </w:r>
      <w:r w:rsidR="00DE7ECC">
        <w:rPr>
          <w:kern w:val="24"/>
          <w:sz w:val="26"/>
          <w:szCs w:val="26"/>
        </w:rPr>
        <w:t>I&amp;E averred that the Respondents’ failure to file Annual Registration Forms on or before March 31, 2015</w:t>
      </w:r>
      <w:r w:rsidR="001E224D">
        <w:rPr>
          <w:kern w:val="24"/>
          <w:sz w:val="26"/>
          <w:szCs w:val="26"/>
        </w:rPr>
        <w:t>,</w:t>
      </w:r>
      <w:r w:rsidR="00DE7ECC">
        <w:rPr>
          <w:kern w:val="24"/>
          <w:sz w:val="26"/>
          <w:szCs w:val="26"/>
        </w:rPr>
        <w:t xml:space="preserve"> and March 31, 2016</w:t>
      </w:r>
      <w:r w:rsidR="001E224D">
        <w:rPr>
          <w:kern w:val="24"/>
          <w:sz w:val="26"/>
          <w:szCs w:val="26"/>
        </w:rPr>
        <w:t>,</w:t>
      </w:r>
      <w:r w:rsidR="00DE7ECC">
        <w:rPr>
          <w:kern w:val="24"/>
          <w:sz w:val="26"/>
          <w:szCs w:val="26"/>
        </w:rPr>
        <w:t xml:space="preserve"> for the preceding respective calendar years was a violation of 58 P.S.</w:t>
      </w:r>
      <w:r w:rsidR="00436FF5">
        <w:rPr>
          <w:kern w:val="24"/>
          <w:sz w:val="26"/>
          <w:szCs w:val="26"/>
        </w:rPr>
        <w:t xml:space="preserve"> </w:t>
      </w:r>
      <w:r w:rsidR="00DE7ECC">
        <w:rPr>
          <w:kern w:val="24"/>
          <w:sz w:val="26"/>
          <w:szCs w:val="26"/>
        </w:rPr>
        <w:t>§</w:t>
      </w:r>
      <w:r w:rsidR="001E224D">
        <w:rPr>
          <w:kern w:val="24"/>
          <w:sz w:val="26"/>
          <w:szCs w:val="26"/>
        </w:rPr>
        <w:t> </w:t>
      </w:r>
      <w:r w:rsidR="00DE7ECC">
        <w:rPr>
          <w:kern w:val="24"/>
          <w:sz w:val="26"/>
          <w:szCs w:val="26"/>
        </w:rPr>
        <w:t>801.503(d).</w:t>
      </w:r>
      <w:r w:rsidR="008623FE">
        <w:rPr>
          <w:rStyle w:val="FootnoteReference"/>
          <w:kern w:val="24"/>
          <w:sz w:val="26"/>
          <w:szCs w:val="26"/>
        </w:rPr>
        <w:footnoteReference w:id="3"/>
      </w:r>
      <w:r w:rsidR="0082620D">
        <w:rPr>
          <w:kern w:val="24"/>
          <w:sz w:val="26"/>
          <w:szCs w:val="26"/>
        </w:rPr>
        <w:t xml:space="preserve">  Complaint at 10.</w:t>
      </w:r>
    </w:p>
    <w:p w:rsidR="00DE7ECC" w:rsidRDefault="00DE7ECC" w:rsidP="009E4E4E">
      <w:pPr>
        <w:spacing w:line="360" w:lineRule="auto"/>
        <w:ind w:firstLine="1440"/>
        <w:rPr>
          <w:kern w:val="24"/>
          <w:sz w:val="26"/>
          <w:szCs w:val="26"/>
        </w:rPr>
      </w:pPr>
    </w:p>
    <w:p w:rsidR="000E4DCE" w:rsidRDefault="00701751" w:rsidP="001C69A2">
      <w:pPr>
        <w:spacing w:line="360" w:lineRule="auto"/>
        <w:ind w:firstLine="1440"/>
        <w:rPr>
          <w:kern w:val="24"/>
          <w:sz w:val="26"/>
          <w:szCs w:val="26"/>
        </w:rPr>
      </w:pPr>
      <w:r>
        <w:rPr>
          <w:kern w:val="24"/>
          <w:sz w:val="26"/>
          <w:szCs w:val="26"/>
        </w:rPr>
        <w:t xml:space="preserve">I&amp;E also alleged that the Respondents failed to pay assessments to the Commission for the 2015-2016 and 2016-2017 fiscal years because they did not report their total regulated distribution pipeline miles that were in operation during the 2014 and 2015 calendar years.  I&amp;E stated that had the Respondents registered as pipeline operators and submitted the requisite reports, the Commission would have assessed a cumulative total of </w:t>
      </w:r>
      <w:r w:rsidR="00541353">
        <w:rPr>
          <w:kern w:val="24"/>
          <w:sz w:val="26"/>
          <w:szCs w:val="26"/>
        </w:rPr>
        <w:t>$3,080.40 for the 2015-2016 fiscal year for the pipeline operations of Brookhaven, Meadowview, Mill Creek, and Northwood</w:t>
      </w:r>
      <w:r w:rsidR="00992DB1">
        <w:rPr>
          <w:kern w:val="24"/>
          <w:sz w:val="26"/>
          <w:szCs w:val="26"/>
        </w:rPr>
        <w:t xml:space="preserve"> Manor</w:t>
      </w:r>
      <w:r w:rsidR="00541353">
        <w:rPr>
          <w:kern w:val="24"/>
          <w:sz w:val="26"/>
          <w:szCs w:val="26"/>
        </w:rPr>
        <w:t>, representing a $700.09 cost per mile of pipeline that was in operation during the 2014 calendar year.  Additionally, I&amp;E stated that had the Respondents registered as pipeline operators and submitted the requisite reports, the Commission would have assessed a cumulative total of $1,980 for the 2016-2017 fiscal year for the pipeline operations of Brookhaven, Meadowview, Mill Creek, and Northwood</w:t>
      </w:r>
      <w:r w:rsidR="00992DB1">
        <w:rPr>
          <w:kern w:val="24"/>
          <w:sz w:val="26"/>
          <w:szCs w:val="26"/>
        </w:rPr>
        <w:t xml:space="preserve"> Manor</w:t>
      </w:r>
      <w:r w:rsidR="00541353">
        <w:rPr>
          <w:kern w:val="24"/>
          <w:sz w:val="26"/>
          <w:szCs w:val="26"/>
        </w:rPr>
        <w:t>, representing a cost of $450 per mile of pipeline that was in operation during the 2015 calendar year.</w:t>
      </w:r>
      <w:r w:rsidR="00DE7ECC">
        <w:rPr>
          <w:kern w:val="24"/>
          <w:sz w:val="26"/>
          <w:szCs w:val="26"/>
        </w:rPr>
        <w:t xml:space="preserve">  </w:t>
      </w:r>
      <w:r w:rsidR="00005FC9" w:rsidRPr="00005FC9">
        <w:rPr>
          <w:i/>
          <w:kern w:val="24"/>
          <w:sz w:val="26"/>
          <w:szCs w:val="26"/>
        </w:rPr>
        <w:t>Id</w:t>
      </w:r>
      <w:r w:rsidR="00005FC9">
        <w:rPr>
          <w:kern w:val="24"/>
          <w:sz w:val="26"/>
          <w:szCs w:val="26"/>
        </w:rPr>
        <w:t xml:space="preserve">. at 9.  </w:t>
      </w:r>
      <w:r w:rsidR="00DE7ECC">
        <w:rPr>
          <w:kern w:val="24"/>
          <w:sz w:val="26"/>
          <w:szCs w:val="26"/>
        </w:rPr>
        <w:t>I&amp;E averred that the Respondents’ failure to pay an appropriate assessment to the Commission for the</w:t>
      </w:r>
      <w:r w:rsidR="001C69A2">
        <w:rPr>
          <w:kern w:val="24"/>
          <w:sz w:val="26"/>
          <w:szCs w:val="26"/>
        </w:rPr>
        <w:t xml:space="preserve"> </w:t>
      </w:r>
      <w:r w:rsidR="00DE7ECC">
        <w:rPr>
          <w:kern w:val="24"/>
          <w:sz w:val="26"/>
          <w:szCs w:val="26"/>
        </w:rPr>
        <w:t>2015-2016 and 2016-2017 fiscal years was a violation of 58 P.S. § 801.503(b).</w:t>
      </w:r>
      <w:r w:rsidR="00C5627B">
        <w:rPr>
          <w:rStyle w:val="FootnoteReference"/>
          <w:kern w:val="24"/>
          <w:sz w:val="26"/>
          <w:szCs w:val="26"/>
        </w:rPr>
        <w:footnoteReference w:id="4"/>
      </w:r>
      <w:r w:rsidR="00DE7ECC">
        <w:rPr>
          <w:kern w:val="24"/>
          <w:sz w:val="26"/>
          <w:szCs w:val="26"/>
        </w:rPr>
        <w:t xml:space="preserve">  </w:t>
      </w:r>
      <w:r w:rsidR="004909E1">
        <w:rPr>
          <w:kern w:val="24"/>
          <w:sz w:val="26"/>
          <w:szCs w:val="26"/>
        </w:rPr>
        <w:t xml:space="preserve">Complaint at 10.  </w:t>
      </w:r>
      <w:r w:rsidR="007B43CD">
        <w:rPr>
          <w:kern w:val="24"/>
          <w:sz w:val="26"/>
          <w:szCs w:val="26"/>
        </w:rPr>
        <w:t>As relief, I&amp;E requested that the Commission</w:t>
      </w:r>
      <w:r w:rsidR="004909E1">
        <w:rPr>
          <w:kern w:val="24"/>
          <w:sz w:val="26"/>
          <w:szCs w:val="26"/>
        </w:rPr>
        <w:t>:</w:t>
      </w:r>
      <w:r w:rsidR="007B43CD">
        <w:rPr>
          <w:kern w:val="24"/>
          <w:sz w:val="26"/>
          <w:szCs w:val="26"/>
        </w:rPr>
        <w:t xml:space="preserve"> (1) impose a civil penalty of $40,000 against the Respondents, and (2) direct the Respondents to pay a total assessment of $5,060.40</w:t>
      </w:r>
      <w:r w:rsidR="006E387C">
        <w:rPr>
          <w:kern w:val="24"/>
          <w:sz w:val="26"/>
          <w:szCs w:val="26"/>
        </w:rPr>
        <w:t xml:space="preserve"> for the 2015-2016 and 2016-2017 fiscal years.</w:t>
      </w:r>
      <w:r w:rsidR="004909E1">
        <w:rPr>
          <w:kern w:val="24"/>
          <w:sz w:val="26"/>
          <w:szCs w:val="26"/>
        </w:rPr>
        <w:t xml:space="preserve">  </w:t>
      </w:r>
      <w:r w:rsidR="004909E1" w:rsidRPr="004909E1">
        <w:rPr>
          <w:i/>
          <w:kern w:val="24"/>
          <w:sz w:val="26"/>
          <w:szCs w:val="26"/>
        </w:rPr>
        <w:t>Id</w:t>
      </w:r>
      <w:r w:rsidR="004909E1">
        <w:rPr>
          <w:kern w:val="24"/>
          <w:sz w:val="26"/>
          <w:szCs w:val="26"/>
        </w:rPr>
        <w:t>. at 11.</w:t>
      </w:r>
    </w:p>
    <w:p w:rsidR="004E515D" w:rsidRDefault="00B652D8" w:rsidP="009E4E4E">
      <w:pPr>
        <w:spacing w:line="360" w:lineRule="auto"/>
        <w:ind w:firstLine="1440"/>
        <w:rPr>
          <w:kern w:val="24"/>
          <w:sz w:val="26"/>
          <w:szCs w:val="26"/>
        </w:rPr>
      </w:pPr>
      <w:r>
        <w:rPr>
          <w:kern w:val="24"/>
          <w:sz w:val="26"/>
          <w:szCs w:val="26"/>
        </w:rPr>
        <w:t xml:space="preserve"> </w:t>
      </w:r>
    </w:p>
    <w:p w:rsidR="006E387C" w:rsidRDefault="00652902" w:rsidP="009E4E4E">
      <w:pPr>
        <w:spacing w:line="360" w:lineRule="auto"/>
        <w:ind w:firstLine="1440"/>
        <w:rPr>
          <w:kern w:val="24"/>
          <w:sz w:val="26"/>
          <w:szCs w:val="26"/>
        </w:rPr>
      </w:pPr>
      <w:r>
        <w:rPr>
          <w:kern w:val="24"/>
          <w:sz w:val="26"/>
          <w:szCs w:val="26"/>
        </w:rPr>
        <w:t xml:space="preserve">By letter filed August 1, 2017, the Respondents requested an unopposed extension of time to file an Answer to </w:t>
      </w:r>
      <w:r w:rsidR="00955DE7">
        <w:rPr>
          <w:kern w:val="24"/>
          <w:sz w:val="26"/>
          <w:szCs w:val="26"/>
        </w:rPr>
        <w:t xml:space="preserve">I&amp;E’s Complaint on the basis that the Parties had reached a settlement in principle that </w:t>
      </w:r>
      <w:r w:rsidR="009267B7">
        <w:rPr>
          <w:kern w:val="24"/>
          <w:sz w:val="26"/>
          <w:szCs w:val="26"/>
        </w:rPr>
        <w:t>could</w:t>
      </w:r>
      <w:r w:rsidR="00955DE7">
        <w:rPr>
          <w:kern w:val="24"/>
          <w:sz w:val="26"/>
          <w:szCs w:val="26"/>
        </w:rPr>
        <w:t xml:space="preserve"> obviate the need for an Answer.  The Respondents’ request was granted by Secretarial Letter dated August 2, 2017.</w:t>
      </w:r>
    </w:p>
    <w:p w:rsidR="00AF547F" w:rsidRDefault="00AF547F" w:rsidP="009E4E4E">
      <w:pPr>
        <w:spacing w:line="360" w:lineRule="auto"/>
        <w:ind w:firstLine="1440"/>
        <w:rPr>
          <w:kern w:val="24"/>
          <w:sz w:val="26"/>
          <w:szCs w:val="26"/>
        </w:rPr>
      </w:pPr>
    </w:p>
    <w:p w:rsidR="00963F82" w:rsidRDefault="00074092" w:rsidP="009E4E4E">
      <w:pPr>
        <w:spacing w:line="360" w:lineRule="auto"/>
        <w:ind w:firstLine="1440"/>
        <w:rPr>
          <w:sz w:val="26"/>
          <w:szCs w:val="26"/>
        </w:rPr>
      </w:pPr>
      <w:r w:rsidRPr="00074092">
        <w:rPr>
          <w:kern w:val="24"/>
          <w:sz w:val="26"/>
        </w:rPr>
        <w:t xml:space="preserve">The Parties entered into </w:t>
      </w:r>
      <w:r w:rsidR="00AF39E2" w:rsidRPr="00074092">
        <w:rPr>
          <w:sz w:val="26"/>
          <w:szCs w:val="26"/>
        </w:rPr>
        <w:t>negotiations</w:t>
      </w:r>
      <w:r>
        <w:rPr>
          <w:sz w:val="26"/>
          <w:szCs w:val="26"/>
        </w:rPr>
        <w:t xml:space="preserve"> and</w:t>
      </w:r>
      <w:r w:rsidR="00AF39E2" w:rsidRPr="00074092">
        <w:rPr>
          <w:sz w:val="26"/>
          <w:szCs w:val="26"/>
        </w:rPr>
        <w:t xml:space="preserve"> agreed to resolve thi</w:t>
      </w:r>
      <w:r>
        <w:rPr>
          <w:sz w:val="26"/>
          <w:szCs w:val="26"/>
        </w:rPr>
        <w:t>s</w:t>
      </w:r>
      <w:r w:rsidR="00AF39E2" w:rsidRPr="00074092">
        <w:rPr>
          <w:sz w:val="26"/>
          <w:szCs w:val="26"/>
        </w:rPr>
        <w:t xml:space="preserve"> </w:t>
      </w:r>
      <w:r>
        <w:rPr>
          <w:sz w:val="26"/>
          <w:szCs w:val="26"/>
        </w:rPr>
        <w:t>matter</w:t>
      </w:r>
      <w:r w:rsidR="00AF39E2" w:rsidRPr="00074092">
        <w:rPr>
          <w:sz w:val="26"/>
          <w:szCs w:val="26"/>
        </w:rPr>
        <w:t xml:space="preserve"> </w:t>
      </w:r>
      <w:r w:rsidR="009E4E4E" w:rsidRPr="00074092">
        <w:rPr>
          <w:sz w:val="26"/>
          <w:szCs w:val="26"/>
        </w:rPr>
        <w:t xml:space="preserve">in accordance with </w:t>
      </w:r>
      <w:r w:rsidR="00AF39E2" w:rsidRPr="00074092">
        <w:rPr>
          <w:sz w:val="26"/>
          <w:szCs w:val="26"/>
        </w:rPr>
        <w:t>the Commission’s policy to promote settlements</w:t>
      </w:r>
      <w:r>
        <w:rPr>
          <w:sz w:val="26"/>
          <w:szCs w:val="26"/>
        </w:rPr>
        <w:t xml:space="preserve"> at</w:t>
      </w:r>
      <w:r w:rsidR="00AF39E2" w:rsidRPr="00074092">
        <w:rPr>
          <w:sz w:val="26"/>
          <w:szCs w:val="26"/>
        </w:rPr>
        <w:t xml:space="preserve"> 52 Pa. Code § 5.231.  </w:t>
      </w:r>
      <w:r w:rsidR="00F26FD8">
        <w:rPr>
          <w:sz w:val="26"/>
          <w:szCs w:val="26"/>
        </w:rPr>
        <w:t>As previously indicated, t</w:t>
      </w:r>
      <w:r w:rsidR="00AF39E2" w:rsidRPr="00074092">
        <w:rPr>
          <w:sz w:val="26"/>
          <w:szCs w:val="26"/>
        </w:rPr>
        <w:t xml:space="preserve">he Parties filed the </w:t>
      </w:r>
      <w:r>
        <w:rPr>
          <w:sz w:val="26"/>
          <w:szCs w:val="26"/>
        </w:rPr>
        <w:t xml:space="preserve">instant </w:t>
      </w:r>
      <w:r w:rsidR="00AF39E2" w:rsidRPr="00074092">
        <w:rPr>
          <w:sz w:val="26"/>
          <w:szCs w:val="26"/>
        </w:rPr>
        <w:t>Settlement</w:t>
      </w:r>
      <w:r w:rsidR="00AF39E2">
        <w:rPr>
          <w:sz w:val="26"/>
          <w:szCs w:val="26"/>
        </w:rPr>
        <w:t xml:space="preserve"> </w:t>
      </w:r>
      <w:r w:rsidR="00D83ED9">
        <w:rPr>
          <w:sz w:val="26"/>
          <w:szCs w:val="26"/>
        </w:rPr>
        <w:t xml:space="preserve">on </w:t>
      </w:r>
      <w:r w:rsidR="009749DD">
        <w:rPr>
          <w:sz w:val="26"/>
          <w:szCs w:val="26"/>
        </w:rPr>
        <w:t>September 6, 2017</w:t>
      </w:r>
      <w:r w:rsidR="00AF39E2">
        <w:rPr>
          <w:sz w:val="26"/>
          <w:szCs w:val="26"/>
        </w:rPr>
        <w:t>.</w:t>
      </w:r>
    </w:p>
    <w:p w:rsidR="00963F82" w:rsidRDefault="00963F82" w:rsidP="009E4E4E">
      <w:pPr>
        <w:spacing w:line="360" w:lineRule="auto"/>
        <w:ind w:firstLine="1440"/>
        <w:rPr>
          <w:sz w:val="26"/>
          <w:szCs w:val="26"/>
        </w:rPr>
      </w:pPr>
    </w:p>
    <w:p w:rsidR="004272BB" w:rsidRPr="00332D79" w:rsidRDefault="003F6177" w:rsidP="001C69A2">
      <w:pPr>
        <w:keepNext/>
        <w:keepLines/>
        <w:spacing w:line="360" w:lineRule="auto"/>
        <w:jc w:val="center"/>
        <w:rPr>
          <w:b/>
          <w:sz w:val="26"/>
        </w:rPr>
      </w:pPr>
      <w:r w:rsidRPr="00332D79">
        <w:rPr>
          <w:b/>
          <w:sz w:val="26"/>
        </w:rPr>
        <w:t>Background</w:t>
      </w:r>
    </w:p>
    <w:p w:rsidR="00B36E9A" w:rsidRDefault="00B36E9A" w:rsidP="001C69A2">
      <w:pPr>
        <w:keepNext/>
        <w:keepLines/>
        <w:spacing w:line="360" w:lineRule="auto"/>
        <w:rPr>
          <w:sz w:val="26"/>
        </w:rPr>
      </w:pPr>
    </w:p>
    <w:p w:rsidR="00C63D35" w:rsidRDefault="006C5AC0" w:rsidP="00907ACE">
      <w:pPr>
        <w:pStyle w:val="ListParagraph"/>
        <w:spacing w:line="360" w:lineRule="auto"/>
        <w:ind w:left="0"/>
        <w:contextualSpacing/>
        <w:rPr>
          <w:sz w:val="26"/>
          <w:szCs w:val="26"/>
        </w:rPr>
      </w:pPr>
      <w:r>
        <w:rPr>
          <w:sz w:val="26"/>
          <w:szCs w:val="26"/>
        </w:rPr>
        <w:tab/>
      </w:r>
      <w:r>
        <w:rPr>
          <w:sz w:val="26"/>
          <w:szCs w:val="26"/>
        </w:rPr>
        <w:tab/>
        <w:t xml:space="preserve">ATG Properties owns four mobile home parks in York County:  </w:t>
      </w:r>
      <w:r w:rsidR="002506D9">
        <w:rPr>
          <w:sz w:val="26"/>
          <w:szCs w:val="26"/>
        </w:rPr>
        <w:t>(1) </w:t>
      </w:r>
      <w:r>
        <w:rPr>
          <w:sz w:val="26"/>
          <w:szCs w:val="26"/>
        </w:rPr>
        <w:t>Brookhaven</w:t>
      </w:r>
      <w:r w:rsidR="002506D9">
        <w:rPr>
          <w:sz w:val="26"/>
          <w:szCs w:val="26"/>
        </w:rPr>
        <w:t>; (2)</w:t>
      </w:r>
      <w:r>
        <w:rPr>
          <w:sz w:val="26"/>
          <w:szCs w:val="26"/>
        </w:rPr>
        <w:t xml:space="preserve"> Meadowview</w:t>
      </w:r>
      <w:r w:rsidR="002506D9">
        <w:rPr>
          <w:sz w:val="26"/>
          <w:szCs w:val="26"/>
        </w:rPr>
        <w:t>;</w:t>
      </w:r>
      <w:r>
        <w:rPr>
          <w:sz w:val="26"/>
          <w:szCs w:val="26"/>
        </w:rPr>
        <w:t xml:space="preserve"> </w:t>
      </w:r>
      <w:r w:rsidR="002506D9">
        <w:rPr>
          <w:sz w:val="26"/>
          <w:szCs w:val="26"/>
        </w:rPr>
        <w:t>(3)</w:t>
      </w:r>
      <w:r>
        <w:rPr>
          <w:sz w:val="26"/>
          <w:szCs w:val="26"/>
        </w:rPr>
        <w:t>Mill Creek</w:t>
      </w:r>
      <w:r w:rsidR="002506D9">
        <w:rPr>
          <w:sz w:val="26"/>
          <w:szCs w:val="26"/>
        </w:rPr>
        <w:t>; (4)</w:t>
      </w:r>
      <w:r>
        <w:rPr>
          <w:sz w:val="26"/>
          <w:szCs w:val="26"/>
        </w:rPr>
        <w:t xml:space="preserve"> and Northwood Manor.  Greenleaf Gas Company (Greenleaf) bills individually</w:t>
      </w:r>
      <w:r w:rsidR="006312FD">
        <w:rPr>
          <w:sz w:val="26"/>
          <w:szCs w:val="26"/>
        </w:rPr>
        <w:t>-</w:t>
      </w:r>
      <w:r>
        <w:rPr>
          <w:sz w:val="26"/>
          <w:szCs w:val="26"/>
        </w:rPr>
        <w:t xml:space="preserve">metered residents </w:t>
      </w:r>
      <w:r w:rsidR="006312FD">
        <w:rPr>
          <w:sz w:val="26"/>
          <w:szCs w:val="26"/>
        </w:rPr>
        <w:t xml:space="preserve">for </w:t>
      </w:r>
      <w:r>
        <w:rPr>
          <w:sz w:val="26"/>
          <w:szCs w:val="26"/>
        </w:rPr>
        <w:t>three of these four mobile home parks</w:t>
      </w:r>
      <w:r w:rsidR="006312FD">
        <w:rPr>
          <w:sz w:val="26"/>
          <w:szCs w:val="26"/>
        </w:rPr>
        <w:t xml:space="preserve"> (</w:t>
      </w:r>
      <w:r w:rsidR="006312FD" w:rsidRPr="006312FD">
        <w:rPr>
          <w:i/>
          <w:sz w:val="26"/>
          <w:szCs w:val="26"/>
        </w:rPr>
        <w:t>i.e.</w:t>
      </w:r>
      <w:r w:rsidR="006312FD">
        <w:rPr>
          <w:sz w:val="26"/>
          <w:szCs w:val="26"/>
        </w:rPr>
        <w:t xml:space="preserve">, </w:t>
      </w:r>
      <w:r>
        <w:rPr>
          <w:sz w:val="26"/>
          <w:szCs w:val="26"/>
        </w:rPr>
        <w:t>Brookhaven, Meadowview, and Mill Creek</w:t>
      </w:r>
      <w:r w:rsidR="006312FD">
        <w:rPr>
          <w:sz w:val="26"/>
          <w:szCs w:val="26"/>
        </w:rPr>
        <w:t>)</w:t>
      </w:r>
      <w:r>
        <w:rPr>
          <w:sz w:val="26"/>
          <w:szCs w:val="26"/>
        </w:rPr>
        <w:t xml:space="preserve"> for natural gas service </w:t>
      </w:r>
      <w:r w:rsidR="006312FD">
        <w:rPr>
          <w:sz w:val="26"/>
          <w:szCs w:val="26"/>
        </w:rPr>
        <w:t xml:space="preserve">that </w:t>
      </w:r>
      <w:r>
        <w:rPr>
          <w:sz w:val="26"/>
          <w:szCs w:val="26"/>
        </w:rPr>
        <w:t>Columbia Gas Company provides through a single master meter.</w:t>
      </w:r>
      <w:r>
        <w:rPr>
          <w:rStyle w:val="FootnoteReference"/>
          <w:sz w:val="26"/>
          <w:szCs w:val="26"/>
        </w:rPr>
        <w:footnoteReference w:id="5"/>
      </w:r>
      <w:r w:rsidR="00AD59E9">
        <w:rPr>
          <w:sz w:val="26"/>
          <w:szCs w:val="26"/>
        </w:rPr>
        <w:t xml:space="preserve">  </w:t>
      </w:r>
      <w:r w:rsidR="004F7C9B">
        <w:rPr>
          <w:sz w:val="26"/>
          <w:szCs w:val="26"/>
        </w:rPr>
        <w:t xml:space="preserve">Settlement at 3.  </w:t>
      </w:r>
      <w:r w:rsidR="00AD59E9">
        <w:rPr>
          <w:sz w:val="26"/>
          <w:szCs w:val="26"/>
        </w:rPr>
        <w:t xml:space="preserve">Brookhaven serves 156 homes using 1.2 miles of pipe; Meadowview serves 127 homes using 1.2 miles of pipe; and Mill Creek serves 168 homes using 1.3 miles of pipe.  Northwood Manor operates a propane gas distribution system serving twenty-seven homes using 0.7 miles of pipe.  </w:t>
      </w:r>
      <w:r w:rsidR="00F54AD3">
        <w:rPr>
          <w:sz w:val="26"/>
          <w:szCs w:val="26"/>
        </w:rPr>
        <w:t xml:space="preserve">Northwood Manor’s propane gas distribution system is subject to Federal pipeline safety laws.  </w:t>
      </w:r>
      <w:r w:rsidR="00F54AD3" w:rsidRPr="009A6E7A">
        <w:rPr>
          <w:i/>
          <w:sz w:val="26"/>
          <w:szCs w:val="26"/>
        </w:rPr>
        <w:t>See</w:t>
      </w:r>
      <w:r w:rsidR="00F54AD3">
        <w:rPr>
          <w:sz w:val="26"/>
          <w:szCs w:val="26"/>
        </w:rPr>
        <w:t xml:space="preserve"> 49 C.F.R. §§ </w:t>
      </w:r>
      <w:r w:rsidR="00755978">
        <w:rPr>
          <w:sz w:val="26"/>
          <w:szCs w:val="26"/>
        </w:rPr>
        <w:t>192.1(b)(5)(i) and 192.3.</w:t>
      </w:r>
      <w:r w:rsidR="007C2F3A">
        <w:rPr>
          <w:sz w:val="26"/>
          <w:szCs w:val="26"/>
        </w:rPr>
        <w:t xml:space="preserve">  The Respondents operated the described pipeline facilities when Act 127 became effective on February 20, 2012, and presently operate the facilities.  The Respondents plan to remove the propane distribution system at Northwood Manor by the end of August 2017.</w:t>
      </w:r>
      <w:r w:rsidR="004F7C9B">
        <w:rPr>
          <w:sz w:val="26"/>
          <w:szCs w:val="26"/>
        </w:rPr>
        <w:t xml:space="preserve">  Settlement at 4</w:t>
      </w:r>
      <w:r w:rsidR="00490B60">
        <w:rPr>
          <w:sz w:val="26"/>
          <w:szCs w:val="26"/>
        </w:rPr>
        <w:t>.</w:t>
      </w:r>
    </w:p>
    <w:p w:rsidR="00490B60" w:rsidRDefault="00490B60" w:rsidP="00907ACE">
      <w:pPr>
        <w:pStyle w:val="ListParagraph"/>
        <w:spacing w:line="360" w:lineRule="auto"/>
        <w:ind w:left="0"/>
        <w:contextualSpacing/>
        <w:rPr>
          <w:sz w:val="26"/>
          <w:szCs w:val="26"/>
        </w:rPr>
      </w:pPr>
    </w:p>
    <w:p w:rsidR="003A6032" w:rsidRDefault="00C63D35" w:rsidP="00907ACE">
      <w:pPr>
        <w:pStyle w:val="ListParagraph"/>
        <w:spacing w:line="360" w:lineRule="auto"/>
        <w:ind w:left="0"/>
        <w:contextualSpacing/>
        <w:rPr>
          <w:sz w:val="26"/>
          <w:szCs w:val="26"/>
        </w:rPr>
      </w:pPr>
      <w:r>
        <w:rPr>
          <w:sz w:val="26"/>
          <w:szCs w:val="26"/>
        </w:rPr>
        <w:tab/>
      </w:r>
      <w:r>
        <w:rPr>
          <w:sz w:val="26"/>
          <w:szCs w:val="26"/>
        </w:rPr>
        <w:tab/>
      </w:r>
      <w:r w:rsidR="00FB11BF">
        <w:rPr>
          <w:sz w:val="26"/>
          <w:szCs w:val="26"/>
        </w:rPr>
        <w:t xml:space="preserve">Section 501(a) of Act 127, 58 P.S. § 801.501(a), authorizes the Commission to </w:t>
      </w:r>
      <w:r w:rsidR="00167EEE">
        <w:rPr>
          <w:sz w:val="26"/>
          <w:szCs w:val="26"/>
        </w:rPr>
        <w:t>supervise and regulate pipeline operators within Pennsylvania consistent with Federal pipeline safety laws.  The Respondents are pipeline operators, as defined in 58 P.S. § 801.102, because they own or operate “equipment or facilities</w:t>
      </w:r>
      <w:r w:rsidR="00DA6DDB">
        <w:rPr>
          <w:sz w:val="26"/>
          <w:szCs w:val="26"/>
        </w:rPr>
        <w:t xml:space="preserve"> in this Commonwealth for the transportation of gas or hazardous liquids by pipeline or pipeline facility regulated under Federal pipeline safety laws.”</w:t>
      </w:r>
      <w:r w:rsidR="00942741">
        <w:rPr>
          <w:sz w:val="26"/>
          <w:szCs w:val="26"/>
        </w:rPr>
        <w:t xml:space="preserve">  Section 502(a) of Act 127,</w:t>
      </w:r>
      <w:r w:rsidR="00490B60">
        <w:rPr>
          <w:sz w:val="26"/>
          <w:szCs w:val="26"/>
        </w:rPr>
        <w:t xml:space="preserve"> </w:t>
      </w:r>
      <w:r w:rsidR="00942741">
        <w:rPr>
          <w:sz w:val="26"/>
          <w:szCs w:val="26"/>
        </w:rPr>
        <w:t>58</w:t>
      </w:r>
      <w:r w:rsidR="00490B60">
        <w:rPr>
          <w:sz w:val="26"/>
          <w:szCs w:val="26"/>
        </w:rPr>
        <w:t> </w:t>
      </w:r>
      <w:r w:rsidR="00942741">
        <w:rPr>
          <w:sz w:val="26"/>
          <w:szCs w:val="26"/>
        </w:rPr>
        <w:t>P.S.</w:t>
      </w:r>
      <w:r w:rsidR="00490B60">
        <w:t> </w:t>
      </w:r>
      <w:r w:rsidR="00942741">
        <w:rPr>
          <w:sz w:val="26"/>
          <w:szCs w:val="26"/>
        </w:rPr>
        <w:t>§ 801.502(a)</w:t>
      </w:r>
      <w:r w:rsidR="004F7C9B">
        <w:rPr>
          <w:sz w:val="26"/>
          <w:szCs w:val="26"/>
        </w:rPr>
        <w:t>,</w:t>
      </w:r>
      <w:r w:rsidR="00942741">
        <w:rPr>
          <w:sz w:val="26"/>
          <w:szCs w:val="26"/>
        </w:rPr>
        <w:t xml:space="preserve"> authorizes the Commission to impose civil penalties on pipeline operators for Act 127 violations, either under the Federal pipeline safety laws or under Section 3301(c) of the Public Utility Code (Code), 66 Pa. C.S. § 3301(c)</w:t>
      </w:r>
      <w:r w:rsidR="00324F85">
        <w:rPr>
          <w:sz w:val="26"/>
          <w:szCs w:val="26"/>
        </w:rPr>
        <w:t>, whichever provides for greater penalties</w:t>
      </w:r>
      <w:r w:rsidR="00942741">
        <w:rPr>
          <w:sz w:val="26"/>
          <w:szCs w:val="26"/>
        </w:rPr>
        <w:t>.</w:t>
      </w:r>
      <w:r w:rsidR="00324F85">
        <w:rPr>
          <w:sz w:val="26"/>
          <w:szCs w:val="26"/>
        </w:rPr>
        <w:t xml:space="preserve">  </w:t>
      </w:r>
      <w:r w:rsidR="00A62D75">
        <w:rPr>
          <w:sz w:val="26"/>
          <w:szCs w:val="26"/>
        </w:rPr>
        <w:t>Brookhaven, Meadowview, Mill Creek, and Northwood Manor registered as pipeline operators with the Commission for the first time on March</w:t>
      </w:r>
      <w:r w:rsidR="00490B60">
        <w:rPr>
          <w:sz w:val="26"/>
          <w:szCs w:val="26"/>
        </w:rPr>
        <w:t> </w:t>
      </w:r>
      <w:r w:rsidR="008A75DD">
        <w:rPr>
          <w:sz w:val="26"/>
          <w:szCs w:val="26"/>
        </w:rPr>
        <w:t>29, 2017, at Docket Nos. A-2017-2597503, A-2017-2597508, A-2017-2597480, and A-2017-2597492.</w:t>
      </w:r>
    </w:p>
    <w:p w:rsidR="00BE602E" w:rsidRDefault="00BE602E" w:rsidP="00907ACE">
      <w:pPr>
        <w:pStyle w:val="ListParagraph"/>
        <w:spacing w:line="360" w:lineRule="auto"/>
        <w:ind w:left="0"/>
        <w:contextualSpacing/>
        <w:rPr>
          <w:sz w:val="26"/>
          <w:szCs w:val="26"/>
        </w:rPr>
      </w:pPr>
    </w:p>
    <w:p w:rsidR="005458C8" w:rsidRDefault="003A6032" w:rsidP="00AB3DEE">
      <w:pPr>
        <w:pStyle w:val="ListParagraph"/>
        <w:spacing w:line="360" w:lineRule="auto"/>
        <w:ind w:left="0"/>
        <w:contextualSpacing/>
        <w:rPr>
          <w:sz w:val="26"/>
        </w:rPr>
      </w:pPr>
      <w:r>
        <w:rPr>
          <w:sz w:val="26"/>
          <w:szCs w:val="26"/>
        </w:rPr>
        <w:tab/>
      </w:r>
      <w:r>
        <w:rPr>
          <w:sz w:val="26"/>
          <w:szCs w:val="26"/>
        </w:rPr>
        <w:tab/>
      </w:r>
      <w:r w:rsidR="00CE4963" w:rsidRPr="00475475">
        <w:rPr>
          <w:color w:val="000000"/>
          <w:sz w:val="26"/>
          <w:szCs w:val="26"/>
          <w:u w:color="000000"/>
        </w:rPr>
        <w:t>If th</w:t>
      </w:r>
      <w:r w:rsidR="00D0763B">
        <w:rPr>
          <w:color w:val="000000"/>
          <w:sz w:val="26"/>
          <w:szCs w:val="26"/>
          <w:u w:color="000000"/>
        </w:rPr>
        <w:t>i</w:t>
      </w:r>
      <w:r w:rsidR="00CE4963" w:rsidRPr="00475475">
        <w:rPr>
          <w:color w:val="000000"/>
          <w:sz w:val="26"/>
          <w:szCs w:val="26"/>
          <w:u w:color="000000"/>
        </w:rPr>
        <w:t xml:space="preserve">s matter had been </w:t>
      </w:r>
      <w:r w:rsidR="00B3375B">
        <w:rPr>
          <w:color w:val="000000"/>
          <w:sz w:val="26"/>
          <w:szCs w:val="26"/>
          <w:u w:color="000000"/>
        </w:rPr>
        <w:t xml:space="preserve">fully </w:t>
      </w:r>
      <w:r w:rsidR="00CE4963" w:rsidRPr="00475475">
        <w:rPr>
          <w:color w:val="000000"/>
          <w:sz w:val="26"/>
          <w:szCs w:val="26"/>
          <w:u w:color="000000"/>
        </w:rPr>
        <w:t xml:space="preserve">litigated, </w:t>
      </w:r>
      <w:r w:rsidR="00121C0D">
        <w:rPr>
          <w:color w:val="000000"/>
          <w:sz w:val="26"/>
          <w:szCs w:val="26"/>
          <w:u w:color="000000"/>
        </w:rPr>
        <w:t>I&amp;E</w:t>
      </w:r>
      <w:r w:rsidR="00CE4963" w:rsidRPr="00475475">
        <w:rPr>
          <w:color w:val="000000"/>
          <w:sz w:val="26"/>
          <w:szCs w:val="26"/>
          <w:u w:color="000000"/>
        </w:rPr>
        <w:t xml:space="preserve"> would have </w:t>
      </w:r>
      <w:r w:rsidR="00D0763B">
        <w:rPr>
          <w:color w:val="000000"/>
          <w:sz w:val="26"/>
          <w:szCs w:val="26"/>
          <w:u w:color="000000"/>
        </w:rPr>
        <w:t>alleg</w:t>
      </w:r>
      <w:r w:rsidR="002B4B77">
        <w:rPr>
          <w:color w:val="000000"/>
          <w:sz w:val="26"/>
          <w:szCs w:val="26"/>
          <w:u w:color="000000"/>
        </w:rPr>
        <w:t>ed that</w:t>
      </w:r>
      <w:r w:rsidR="00F80391">
        <w:rPr>
          <w:color w:val="000000"/>
          <w:sz w:val="26"/>
          <w:szCs w:val="26"/>
          <w:u w:color="000000"/>
        </w:rPr>
        <w:t>:</w:t>
      </w:r>
      <w:r w:rsidR="002B4B77">
        <w:rPr>
          <w:color w:val="000000"/>
          <w:sz w:val="26"/>
          <w:szCs w:val="26"/>
          <w:u w:color="000000"/>
        </w:rPr>
        <w:t xml:space="preserve"> </w:t>
      </w:r>
      <w:r w:rsidR="00B271DE">
        <w:rPr>
          <w:color w:val="000000"/>
          <w:sz w:val="26"/>
          <w:szCs w:val="26"/>
          <w:u w:color="000000"/>
        </w:rPr>
        <w:t>(1)</w:t>
      </w:r>
      <w:r w:rsidR="00490B60">
        <w:rPr>
          <w:color w:val="000000"/>
          <w:sz w:val="26"/>
          <w:szCs w:val="26"/>
          <w:u w:color="000000"/>
        </w:rPr>
        <w:t> </w:t>
      </w:r>
      <w:r w:rsidR="00B3375B">
        <w:rPr>
          <w:color w:val="000000"/>
          <w:sz w:val="26"/>
          <w:szCs w:val="26"/>
          <w:u w:color="000000"/>
        </w:rPr>
        <w:t xml:space="preserve">the Respondents </w:t>
      </w:r>
      <w:r w:rsidR="004219FD">
        <w:rPr>
          <w:color w:val="000000"/>
          <w:sz w:val="26"/>
          <w:szCs w:val="26"/>
          <w:u w:color="000000"/>
        </w:rPr>
        <w:t>violated </w:t>
      </w:r>
      <w:r w:rsidR="00B3375B">
        <w:rPr>
          <w:color w:val="000000"/>
          <w:sz w:val="26"/>
          <w:szCs w:val="26"/>
          <w:u w:color="000000"/>
        </w:rPr>
        <w:t>58 P.S. § 801.503(d) (two counts) by failing to report total regulated intrastate pipeline miles on or before March 31, 2015</w:t>
      </w:r>
      <w:r w:rsidR="00B271DE">
        <w:rPr>
          <w:color w:val="000000"/>
          <w:sz w:val="26"/>
          <w:szCs w:val="26"/>
          <w:u w:color="000000"/>
        </w:rPr>
        <w:t>, and March 31, 2016, for the preceding respective calendar years</w:t>
      </w:r>
      <w:r w:rsidR="00F80391">
        <w:rPr>
          <w:color w:val="000000"/>
          <w:sz w:val="26"/>
          <w:szCs w:val="26"/>
          <w:u w:color="000000"/>
        </w:rPr>
        <w:t>,</w:t>
      </w:r>
      <w:r w:rsidR="00B271DE">
        <w:rPr>
          <w:color w:val="000000"/>
          <w:sz w:val="26"/>
          <w:szCs w:val="26"/>
          <w:u w:color="000000"/>
        </w:rPr>
        <w:t xml:space="preserve"> and (2)</w:t>
      </w:r>
      <w:r w:rsidR="00490B60">
        <w:rPr>
          <w:color w:val="000000"/>
          <w:sz w:val="26"/>
          <w:szCs w:val="26"/>
          <w:u w:color="000000"/>
        </w:rPr>
        <w:t> </w:t>
      </w:r>
      <w:r w:rsidR="00B271DE">
        <w:rPr>
          <w:color w:val="000000"/>
          <w:sz w:val="26"/>
          <w:szCs w:val="26"/>
          <w:u w:color="000000"/>
        </w:rPr>
        <w:t>the Respondents violated</w:t>
      </w:r>
      <w:r w:rsidR="00490B60">
        <w:rPr>
          <w:color w:val="000000"/>
          <w:sz w:val="26"/>
          <w:szCs w:val="26"/>
          <w:u w:color="000000"/>
        </w:rPr>
        <w:t xml:space="preserve"> </w:t>
      </w:r>
      <w:r w:rsidR="00B271DE">
        <w:rPr>
          <w:color w:val="000000"/>
          <w:sz w:val="26"/>
          <w:szCs w:val="26"/>
          <w:u w:color="000000"/>
        </w:rPr>
        <w:t>58</w:t>
      </w:r>
      <w:r w:rsidR="00490B60">
        <w:rPr>
          <w:color w:val="000000"/>
          <w:sz w:val="26"/>
          <w:szCs w:val="26"/>
          <w:u w:color="000000"/>
        </w:rPr>
        <w:t> </w:t>
      </w:r>
      <w:r w:rsidR="00B271DE">
        <w:rPr>
          <w:color w:val="000000"/>
          <w:sz w:val="26"/>
          <w:szCs w:val="26"/>
          <w:u w:color="000000"/>
        </w:rPr>
        <w:t>P.S.</w:t>
      </w:r>
      <w:r w:rsidR="00490B60">
        <w:rPr>
          <w:color w:val="000000"/>
          <w:sz w:val="26"/>
          <w:szCs w:val="26"/>
          <w:u w:color="000000"/>
        </w:rPr>
        <w:t> </w:t>
      </w:r>
      <w:r w:rsidR="00B271DE">
        <w:rPr>
          <w:color w:val="000000"/>
          <w:sz w:val="26"/>
          <w:szCs w:val="26"/>
          <w:u w:color="000000"/>
        </w:rPr>
        <w:t>§</w:t>
      </w:r>
      <w:r w:rsidR="00490B60">
        <w:rPr>
          <w:color w:val="000000"/>
          <w:sz w:val="26"/>
          <w:szCs w:val="26"/>
          <w:u w:color="000000"/>
        </w:rPr>
        <w:t> </w:t>
      </w:r>
      <w:r w:rsidR="00B271DE">
        <w:rPr>
          <w:color w:val="000000"/>
          <w:sz w:val="26"/>
          <w:szCs w:val="26"/>
          <w:u w:color="000000"/>
        </w:rPr>
        <w:t>801.503(b) (two counts) by failing to register their total intrastate regulated distribution pipelines that</w:t>
      </w:r>
      <w:r w:rsidR="00AB3DEE">
        <w:rPr>
          <w:sz w:val="26"/>
          <w:szCs w:val="26"/>
        </w:rPr>
        <w:t xml:space="preserve"> </w:t>
      </w:r>
      <w:r w:rsidR="00B271DE">
        <w:rPr>
          <w:sz w:val="26"/>
          <w:szCs w:val="26"/>
        </w:rPr>
        <w:t xml:space="preserve">were in operation during the 2014 and 2015 calendar years.  </w:t>
      </w:r>
      <w:r w:rsidR="00255F4B">
        <w:rPr>
          <w:sz w:val="26"/>
        </w:rPr>
        <w:t>Had th</w:t>
      </w:r>
      <w:r w:rsidR="00966F17">
        <w:rPr>
          <w:sz w:val="26"/>
        </w:rPr>
        <w:t>is matter</w:t>
      </w:r>
      <w:r w:rsidR="00255F4B">
        <w:rPr>
          <w:sz w:val="26"/>
        </w:rPr>
        <w:t xml:space="preserve"> been fully litigated, </w:t>
      </w:r>
      <w:r w:rsidR="007427E2">
        <w:rPr>
          <w:sz w:val="26"/>
        </w:rPr>
        <w:t xml:space="preserve">the Respondents </w:t>
      </w:r>
      <w:r w:rsidR="00255F4B">
        <w:rPr>
          <w:sz w:val="26"/>
        </w:rPr>
        <w:t xml:space="preserve">would have </w:t>
      </w:r>
      <w:r w:rsidR="007427E2">
        <w:rPr>
          <w:sz w:val="26"/>
        </w:rPr>
        <w:t>disputed the allegations</w:t>
      </w:r>
      <w:r w:rsidR="00A81427">
        <w:rPr>
          <w:sz w:val="26"/>
        </w:rPr>
        <w:t>.</w:t>
      </w:r>
      <w:r w:rsidR="00AB3DEE">
        <w:rPr>
          <w:sz w:val="26"/>
        </w:rPr>
        <w:t xml:space="preserve">  Settlement at </w:t>
      </w:r>
      <w:r w:rsidR="007427E2">
        <w:rPr>
          <w:sz w:val="26"/>
        </w:rPr>
        <w:t>6</w:t>
      </w:r>
      <w:r w:rsidR="00AB3DEE">
        <w:rPr>
          <w:sz w:val="26"/>
        </w:rPr>
        <w:t>.</w:t>
      </w:r>
    </w:p>
    <w:p w:rsidR="00E62396" w:rsidRDefault="00E62396" w:rsidP="00AA6F30">
      <w:pPr>
        <w:spacing w:line="360" w:lineRule="auto"/>
        <w:ind w:firstLine="1440"/>
        <w:rPr>
          <w:sz w:val="26"/>
        </w:rPr>
      </w:pPr>
    </w:p>
    <w:p w:rsidR="004272BB" w:rsidRPr="000934CC" w:rsidRDefault="004272BB" w:rsidP="00AA6F30">
      <w:pPr>
        <w:spacing w:line="360" w:lineRule="auto"/>
        <w:jc w:val="center"/>
        <w:rPr>
          <w:b/>
          <w:sz w:val="26"/>
        </w:rPr>
      </w:pPr>
      <w:r w:rsidRPr="000934CC">
        <w:rPr>
          <w:b/>
          <w:sz w:val="26"/>
        </w:rPr>
        <w:t>Terms of the Settlement Agreement</w:t>
      </w:r>
    </w:p>
    <w:p w:rsidR="002366D6" w:rsidRDefault="002366D6" w:rsidP="00AA6F30">
      <w:pPr>
        <w:spacing w:line="360" w:lineRule="auto"/>
        <w:ind w:firstLine="1440"/>
        <w:rPr>
          <w:sz w:val="26"/>
        </w:rPr>
      </w:pPr>
    </w:p>
    <w:p w:rsidR="007261C5" w:rsidRDefault="006255A2" w:rsidP="00BE135C">
      <w:pPr>
        <w:spacing w:line="360" w:lineRule="auto"/>
        <w:ind w:firstLine="1440"/>
        <w:rPr>
          <w:sz w:val="26"/>
        </w:rPr>
      </w:pPr>
      <w:r>
        <w:rPr>
          <w:sz w:val="26"/>
        </w:rPr>
        <w:t>The</w:t>
      </w:r>
      <w:r w:rsidR="00091C5A">
        <w:rPr>
          <w:sz w:val="26"/>
        </w:rPr>
        <w:t xml:space="preserve"> </w:t>
      </w:r>
      <w:r w:rsidR="00067CB6">
        <w:rPr>
          <w:sz w:val="26"/>
        </w:rPr>
        <w:t xml:space="preserve">Settlement </w:t>
      </w:r>
      <w:r w:rsidR="00ED284D">
        <w:rPr>
          <w:sz w:val="26"/>
        </w:rPr>
        <w:t xml:space="preserve">is a comprehensive resolution of all issues in this proceeding.  </w:t>
      </w:r>
      <w:r w:rsidR="00091C5A">
        <w:rPr>
          <w:sz w:val="26"/>
        </w:rPr>
        <w:t xml:space="preserve">The Settlement </w:t>
      </w:r>
      <w:r w:rsidR="00F25CEF">
        <w:rPr>
          <w:sz w:val="26"/>
        </w:rPr>
        <w:t xml:space="preserve">includes </w:t>
      </w:r>
      <w:r w:rsidR="00ED284D">
        <w:rPr>
          <w:sz w:val="26"/>
        </w:rPr>
        <w:t>the following terms and conditions:</w:t>
      </w:r>
      <w:r w:rsidR="00091C5A">
        <w:rPr>
          <w:sz w:val="26"/>
        </w:rPr>
        <w:t xml:space="preserve">  </w:t>
      </w:r>
    </w:p>
    <w:p w:rsidR="00B012ED" w:rsidRDefault="00B012ED" w:rsidP="00303D41">
      <w:pPr>
        <w:ind w:left="1440" w:right="1440" w:hanging="1440"/>
        <w:rPr>
          <w:sz w:val="26"/>
        </w:rPr>
      </w:pPr>
    </w:p>
    <w:p w:rsidR="0025657C" w:rsidRDefault="0025657C" w:rsidP="00792BA8">
      <w:pPr>
        <w:ind w:left="2160" w:right="1440" w:hanging="720"/>
        <w:rPr>
          <w:sz w:val="26"/>
        </w:rPr>
      </w:pPr>
      <w:r>
        <w:rPr>
          <w:sz w:val="26"/>
        </w:rPr>
        <w:t>A.</w:t>
      </w:r>
      <w:r>
        <w:rPr>
          <w:sz w:val="26"/>
        </w:rPr>
        <w:tab/>
        <w:t>Respondents will pay a civil penalty in the amount of Twenty-Five Thousand Dollars ($25,000) pursuant to 58 P.S. § 801.502.  Said payment shall be made within sixty (60) days of the date of the Commission’s Final Order approving the Settlement Agreement and shall be made by certified check or money order payable to the “Commonwealth of Pennsylvania.”  The docket numbers of this proceeding, C</w:t>
      </w:r>
      <w:r w:rsidR="00792BA8">
        <w:rPr>
          <w:sz w:val="26"/>
        </w:rPr>
        <w:noBreakHyphen/>
      </w:r>
      <w:r>
        <w:rPr>
          <w:sz w:val="26"/>
        </w:rPr>
        <w:t>2017-2613983, C-2017-2613984, C-2017-2613985, and C</w:t>
      </w:r>
      <w:r w:rsidR="00792BA8">
        <w:rPr>
          <w:sz w:val="26"/>
        </w:rPr>
        <w:noBreakHyphen/>
      </w:r>
      <w:r>
        <w:rPr>
          <w:sz w:val="26"/>
        </w:rPr>
        <w:t>2017-2613987, shall be indicated with the certified check or money order and the payment shall be sent to:</w:t>
      </w:r>
    </w:p>
    <w:p w:rsidR="0025657C" w:rsidRDefault="0025657C" w:rsidP="003B3204">
      <w:pPr>
        <w:ind w:left="1440" w:right="1440" w:hanging="1440"/>
        <w:rPr>
          <w:sz w:val="26"/>
        </w:rPr>
      </w:pPr>
    </w:p>
    <w:p w:rsidR="0067021C" w:rsidRDefault="0025657C" w:rsidP="003B3204">
      <w:pPr>
        <w:ind w:left="1440" w:right="1440" w:hanging="1440"/>
        <w:rPr>
          <w:sz w:val="26"/>
        </w:rPr>
      </w:pPr>
      <w:r>
        <w:rPr>
          <w:sz w:val="26"/>
        </w:rPr>
        <w:tab/>
      </w:r>
      <w:r>
        <w:rPr>
          <w:sz w:val="26"/>
        </w:rPr>
        <w:tab/>
      </w:r>
      <w:r w:rsidR="0067021C">
        <w:rPr>
          <w:sz w:val="26"/>
        </w:rPr>
        <w:tab/>
        <w:t>Secretary</w:t>
      </w:r>
    </w:p>
    <w:p w:rsidR="0067021C" w:rsidRDefault="0067021C" w:rsidP="003B3204">
      <w:pPr>
        <w:ind w:left="1440" w:right="1440" w:hanging="1440"/>
        <w:rPr>
          <w:sz w:val="26"/>
        </w:rPr>
      </w:pPr>
      <w:r>
        <w:rPr>
          <w:sz w:val="26"/>
        </w:rPr>
        <w:tab/>
      </w:r>
      <w:r>
        <w:rPr>
          <w:sz w:val="26"/>
        </w:rPr>
        <w:tab/>
      </w:r>
      <w:r>
        <w:rPr>
          <w:sz w:val="26"/>
        </w:rPr>
        <w:tab/>
        <w:t>Pennsylvania Public Utility Commission</w:t>
      </w:r>
    </w:p>
    <w:p w:rsidR="0067021C" w:rsidRDefault="0067021C" w:rsidP="003B3204">
      <w:pPr>
        <w:ind w:left="1440" w:right="1440" w:hanging="1440"/>
        <w:rPr>
          <w:sz w:val="26"/>
        </w:rPr>
      </w:pPr>
      <w:r>
        <w:rPr>
          <w:sz w:val="26"/>
        </w:rPr>
        <w:tab/>
      </w:r>
      <w:r>
        <w:rPr>
          <w:sz w:val="26"/>
        </w:rPr>
        <w:tab/>
      </w:r>
      <w:r>
        <w:rPr>
          <w:sz w:val="26"/>
        </w:rPr>
        <w:tab/>
        <w:t>P.O. Box 3265</w:t>
      </w:r>
    </w:p>
    <w:p w:rsidR="0067021C" w:rsidRDefault="0067021C" w:rsidP="003B3204">
      <w:pPr>
        <w:ind w:left="1440" w:right="1440" w:hanging="1440"/>
        <w:rPr>
          <w:sz w:val="26"/>
        </w:rPr>
      </w:pPr>
      <w:r>
        <w:rPr>
          <w:sz w:val="26"/>
        </w:rPr>
        <w:tab/>
      </w:r>
      <w:r>
        <w:rPr>
          <w:sz w:val="26"/>
        </w:rPr>
        <w:tab/>
      </w:r>
      <w:r>
        <w:rPr>
          <w:sz w:val="26"/>
        </w:rPr>
        <w:tab/>
        <w:t>Harrisburg, PA 17105-3265</w:t>
      </w:r>
    </w:p>
    <w:p w:rsidR="0067021C" w:rsidRDefault="0067021C" w:rsidP="003B3204">
      <w:pPr>
        <w:ind w:left="1440" w:right="1440" w:hanging="1440"/>
        <w:rPr>
          <w:sz w:val="26"/>
        </w:rPr>
      </w:pPr>
    </w:p>
    <w:p w:rsidR="0070734A" w:rsidRDefault="0067021C" w:rsidP="002B2888">
      <w:pPr>
        <w:ind w:left="2160" w:right="1440" w:hanging="720"/>
        <w:rPr>
          <w:sz w:val="26"/>
        </w:rPr>
      </w:pPr>
      <w:r>
        <w:rPr>
          <w:sz w:val="26"/>
        </w:rPr>
        <w:tab/>
        <w:t>The civil penalty shall not be tax deductible pursuant to Section 162(f) of the Internal Revenue Code, 26 U.S.C.S. § 162(f).</w:t>
      </w:r>
    </w:p>
    <w:p w:rsidR="0070734A" w:rsidRDefault="0070734A" w:rsidP="003B3204">
      <w:pPr>
        <w:ind w:left="1440" w:right="1440" w:hanging="1440"/>
        <w:rPr>
          <w:sz w:val="26"/>
        </w:rPr>
      </w:pPr>
    </w:p>
    <w:p w:rsidR="0070734A" w:rsidRDefault="0070734A" w:rsidP="003B3204">
      <w:pPr>
        <w:ind w:left="1440" w:right="1440" w:hanging="1440"/>
        <w:rPr>
          <w:sz w:val="26"/>
        </w:rPr>
      </w:pPr>
    </w:p>
    <w:p w:rsidR="00A03F28" w:rsidRDefault="0070734A" w:rsidP="002B2888">
      <w:pPr>
        <w:ind w:left="2160" w:right="1440" w:hanging="720"/>
        <w:rPr>
          <w:sz w:val="26"/>
        </w:rPr>
      </w:pPr>
      <w:r>
        <w:rPr>
          <w:sz w:val="26"/>
        </w:rPr>
        <w:t>B.</w:t>
      </w:r>
      <w:r>
        <w:rPr>
          <w:sz w:val="26"/>
        </w:rPr>
        <w:tab/>
        <w:t xml:space="preserve">Pursuant to 58 P.S. § 801.53, Respondents will pay a total assessment to the Commission in the amount </w:t>
      </w:r>
      <w:r w:rsidR="0014029B">
        <w:rPr>
          <w:sz w:val="26"/>
        </w:rPr>
        <w:t>of Five Thousand, Sixty Dollars and Forty Cents ($5,060.40), which represents what the Commission would have assessed for the pipeline operations of Brookhaven, Meadowview, Mill Creek, and Northwood for the 2015-16 and 2016-17 fiscal years had Respondents properly reported their jurisdictional pipeline miles.  Said payment shall be made</w:t>
      </w:r>
      <w:r w:rsidR="00A03F28">
        <w:rPr>
          <w:sz w:val="26"/>
        </w:rPr>
        <w:t xml:space="preserve"> within sixty (60) days of the date of the Commission’s Final Order approving the Settlement Agreement and shall be made by certified check or money order payable to the “Commonwealth of Pennsylvania.”  The docket numbers of this proceeding, C-2017-2613983, C-2017-2613984, C-2017-2613985, and C-2017-2613987, shall be indicated with the certified check or money order and the payment shall be sent to:</w:t>
      </w:r>
    </w:p>
    <w:p w:rsidR="00A03F28" w:rsidRDefault="00A03F28" w:rsidP="00A03F28">
      <w:pPr>
        <w:ind w:left="1440" w:right="1440" w:hanging="1440"/>
        <w:rPr>
          <w:sz w:val="26"/>
        </w:rPr>
      </w:pPr>
    </w:p>
    <w:p w:rsidR="00A03F28" w:rsidRDefault="00A03F28" w:rsidP="00A03F28">
      <w:pPr>
        <w:ind w:left="1440" w:right="1440" w:hanging="1440"/>
        <w:rPr>
          <w:sz w:val="26"/>
        </w:rPr>
      </w:pPr>
      <w:r>
        <w:rPr>
          <w:sz w:val="26"/>
        </w:rPr>
        <w:tab/>
      </w:r>
      <w:r>
        <w:rPr>
          <w:sz w:val="26"/>
        </w:rPr>
        <w:tab/>
      </w:r>
      <w:r>
        <w:rPr>
          <w:sz w:val="26"/>
        </w:rPr>
        <w:tab/>
        <w:t>Secretary</w:t>
      </w:r>
    </w:p>
    <w:p w:rsidR="00A03F28" w:rsidRDefault="00A03F28" w:rsidP="00A03F28">
      <w:pPr>
        <w:ind w:left="1440" w:right="1440" w:hanging="1440"/>
        <w:rPr>
          <w:sz w:val="26"/>
        </w:rPr>
      </w:pPr>
      <w:r>
        <w:rPr>
          <w:sz w:val="26"/>
        </w:rPr>
        <w:tab/>
      </w:r>
      <w:r>
        <w:rPr>
          <w:sz w:val="26"/>
        </w:rPr>
        <w:tab/>
      </w:r>
      <w:r>
        <w:rPr>
          <w:sz w:val="26"/>
        </w:rPr>
        <w:tab/>
        <w:t>Pennsylvania Public Utility Commission</w:t>
      </w:r>
    </w:p>
    <w:p w:rsidR="00A03F28" w:rsidRDefault="00A03F28" w:rsidP="00A03F28">
      <w:pPr>
        <w:ind w:left="1440" w:right="1440" w:hanging="1440"/>
        <w:rPr>
          <w:sz w:val="26"/>
        </w:rPr>
      </w:pPr>
      <w:r>
        <w:rPr>
          <w:sz w:val="26"/>
        </w:rPr>
        <w:tab/>
      </w:r>
      <w:r>
        <w:rPr>
          <w:sz w:val="26"/>
        </w:rPr>
        <w:tab/>
      </w:r>
      <w:r>
        <w:rPr>
          <w:sz w:val="26"/>
        </w:rPr>
        <w:tab/>
        <w:t>P.O. Box 3265</w:t>
      </w:r>
    </w:p>
    <w:p w:rsidR="00A03F28" w:rsidRDefault="00A03F28" w:rsidP="00A03F28">
      <w:pPr>
        <w:ind w:left="1440" w:right="1440" w:hanging="1440"/>
        <w:rPr>
          <w:sz w:val="26"/>
        </w:rPr>
      </w:pPr>
      <w:r>
        <w:rPr>
          <w:sz w:val="26"/>
        </w:rPr>
        <w:tab/>
      </w:r>
      <w:r>
        <w:rPr>
          <w:sz w:val="26"/>
        </w:rPr>
        <w:tab/>
      </w:r>
      <w:r>
        <w:rPr>
          <w:sz w:val="26"/>
        </w:rPr>
        <w:tab/>
        <w:t>Harrisburg, PA 17105-3265</w:t>
      </w:r>
    </w:p>
    <w:p w:rsidR="00A03F28" w:rsidRDefault="00A03F28" w:rsidP="00A03F28">
      <w:pPr>
        <w:ind w:left="1440" w:right="1440" w:hanging="1440"/>
        <w:rPr>
          <w:sz w:val="26"/>
        </w:rPr>
      </w:pPr>
    </w:p>
    <w:p w:rsidR="00732CE3" w:rsidRDefault="00732CE3" w:rsidP="00732CE3">
      <w:pPr>
        <w:spacing w:line="360" w:lineRule="auto"/>
        <w:rPr>
          <w:sz w:val="26"/>
        </w:rPr>
      </w:pPr>
      <w:r>
        <w:rPr>
          <w:sz w:val="26"/>
        </w:rPr>
        <w:t xml:space="preserve">Settlement at </w:t>
      </w:r>
      <w:r w:rsidR="006E0684">
        <w:rPr>
          <w:sz w:val="26"/>
        </w:rPr>
        <w:t>7</w:t>
      </w:r>
      <w:r>
        <w:rPr>
          <w:sz w:val="26"/>
        </w:rPr>
        <w:t>-</w:t>
      </w:r>
      <w:r w:rsidR="006E0684">
        <w:rPr>
          <w:sz w:val="26"/>
        </w:rPr>
        <w:t>8</w:t>
      </w:r>
      <w:r>
        <w:rPr>
          <w:sz w:val="26"/>
        </w:rPr>
        <w:t>.</w:t>
      </w:r>
    </w:p>
    <w:p w:rsidR="008156DF" w:rsidRDefault="008156DF" w:rsidP="00732CE3">
      <w:pPr>
        <w:spacing w:line="360" w:lineRule="auto"/>
        <w:rPr>
          <w:sz w:val="26"/>
        </w:rPr>
      </w:pPr>
    </w:p>
    <w:p w:rsidR="00207F03" w:rsidRDefault="008156DF" w:rsidP="00207F03">
      <w:pPr>
        <w:spacing w:line="360" w:lineRule="auto"/>
        <w:rPr>
          <w:sz w:val="26"/>
        </w:rPr>
      </w:pPr>
      <w:r>
        <w:rPr>
          <w:sz w:val="26"/>
        </w:rPr>
        <w:tab/>
      </w:r>
      <w:r>
        <w:rPr>
          <w:sz w:val="26"/>
        </w:rPr>
        <w:tab/>
      </w:r>
      <w:r w:rsidR="00207F03">
        <w:rPr>
          <w:sz w:val="26"/>
        </w:rPr>
        <w:t xml:space="preserve">The Settlement is conditioned upon the Commission’s approval, without modification, of all the Settlement terms.  The Parties state that if the Commission modifies the Settlement, then any Party may elect to withdraw from the Settlement and proceed with litigation of this proceeding.  </w:t>
      </w:r>
      <w:r w:rsidR="00207F03" w:rsidRPr="00207F03">
        <w:rPr>
          <w:i/>
          <w:sz w:val="26"/>
        </w:rPr>
        <w:t>Id</w:t>
      </w:r>
      <w:r w:rsidR="00207F03">
        <w:rPr>
          <w:sz w:val="26"/>
        </w:rPr>
        <w:t>. at 9.  Upon Commission approval of the Settlement without modification, I&amp;E agrees to release the Respondents from all past claims that were made or could have been made for monetary and/or other relief based on allegations that the Respondents failed to properly register, submit reports and pay assessments regarding the obligations set forth in Act 127.</w:t>
      </w:r>
      <w:r w:rsidR="00810D1A">
        <w:rPr>
          <w:sz w:val="26"/>
        </w:rPr>
        <w:t xml:space="preserve">  Settlement at 8.</w:t>
      </w:r>
    </w:p>
    <w:p w:rsidR="00207F03" w:rsidRDefault="00207F03" w:rsidP="00732CE3">
      <w:pPr>
        <w:spacing w:line="360" w:lineRule="auto"/>
        <w:rPr>
          <w:sz w:val="26"/>
        </w:rPr>
      </w:pPr>
    </w:p>
    <w:p w:rsidR="00BB2B2D" w:rsidRDefault="00207F03" w:rsidP="00732CE3">
      <w:pPr>
        <w:spacing w:line="360" w:lineRule="auto"/>
        <w:rPr>
          <w:sz w:val="26"/>
        </w:rPr>
      </w:pPr>
      <w:r>
        <w:rPr>
          <w:sz w:val="26"/>
        </w:rPr>
        <w:tab/>
      </w:r>
      <w:r>
        <w:rPr>
          <w:sz w:val="26"/>
        </w:rPr>
        <w:tab/>
      </w:r>
      <w:r w:rsidR="008156DF">
        <w:rPr>
          <w:sz w:val="26"/>
        </w:rPr>
        <w:t xml:space="preserve">Additionally, the Settlement is made without any admission by any Party as to any matter of fact or law and is without prejudice to any position advanced by </w:t>
      </w:r>
      <w:r w:rsidR="00856494">
        <w:rPr>
          <w:sz w:val="26"/>
        </w:rPr>
        <w:t>a</w:t>
      </w:r>
      <w:r w:rsidR="008156DF">
        <w:rPr>
          <w:sz w:val="26"/>
        </w:rPr>
        <w:t xml:space="preserve"> Party in this proceeding or that may be ad</w:t>
      </w:r>
      <w:r w:rsidR="00695F9B">
        <w:rPr>
          <w:sz w:val="26"/>
        </w:rPr>
        <w:t xml:space="preserve">vanced by </w:t>
      </w:r>
      <w:r w:rsidR="00856494">
        <w:rPr>
          <w:sz w:val="26"/>
        </w:rPr>
        <w:t>a</w:t>
      </w:r>
      <w:r w:rsidR="00695F9B">
        <w:rPr>
          <w:sz w:val="26"/>
        </w:rPr>
        <w:t xml:space="preserve"> Party in future </w:t>
      </w:r>
      <w:r w:rsidR="008156DF">
        <w:rPr>
          <w:sz w:val="26"/>
        </w:rPr>
        <w:t>litigation</w:t>
      </w:r>
      <w:r w:rsidR="00111639">
        <w:rPr>
          <w:sz w:val="26"/>
        </w:rPr>
        <w:t>, except to the extent necessary to effectuate this Settlement</w:t>
      </w:r>
      <w:r w:rsidR="008156DF">
        <w:rPr>
          <w:sz w:val="26"/>
        </w:rPr>
        <w:t>.</w:t>
      </w:r>
      <w:r w:rsidR="00856494">
        <w:rPr>
          <w:sz w:val="26"/>
        </w:rPr>
        <w:t xml:space="preserve">  </w:t>
      </w:r>
      <w:r w:rsidR="00810D1A" w:rsidRPr="00810D1A">
        <w:rPr>
          <w:i/>
          <w:sz w:val="26"/>
        </w:rPr>
        <w:t>Id</w:t>
      </w:r>
      <w:r w:rsidR="00810D1A">
        <w:rPr>
          <w:sz w:val="26"/>
        </w:rPr>
        <w:t xml:space="preserve">. at 9-10.  </w:t>
      </w:r>
      <w:r w:rsidR="00856494">
        <w:rPr>
          <w:sz w:val="26"/>
        </w:rPr>
        <w:t>The Settlement does not preclude the Parties from taking other positions in any other proceeding.</w:t>
      </w:r>
      <w:r w:rsidR="00810D1A">
        <w:rPr>
          <w:sz w:val="26"/>
        </w:rPr>
        <w:t xml:space="preserve">  </w:t>
      </w:r>
      <w:r w:rsidR="00810D1A" w:rsidRPr="00810D1A">
        <w:rPr>
          <w:i/>
          <w:sz w:val="26"/>
        </w:rPr>
        <w:t>Id</w:t>
      </w:r>
      <w:r w:rsidR="00810D1A">
        <w:rPr>
          <w:sz w:val="26"/>
        </w:rPr>
        <w:t>. at 10.</w:t>
      </w:r>
    </w:p>
    <w:p w:rsidR="00695F9B" w:rsidRDefault="00695F9B" w:rsidP="00732CE3">
      <w:pPr>
        <w:spacing w:line="360" w:lineRule="auto"/>
        <w:rPr>
          <w:sz w:val="26"/>
        </w:rPr>
      </w:pPr>
    </w:p>
    <w:p w:rsidR="00CD61D4" w:rsidRPr="00CD61D4" w:rsidRDefault="00CD61D4" w:rsidP="009D7621">
      <w:pPr>
        <w:spacing w:line="360" w:lineRule="auto"/>
        <w:jc w:val="center"/>
        <w:rPr>
          <w:b/>
          <w:sz w:val="26"/>
        </w:rPr>
      </w:pPr>
      <w:r>
        <w:rPr>
          <w:b/>
          <w:sz w:val="26"/>
        </w:rPr>
        <w:t>Discussion</w:t>
      </w:r>
    </w:p>
    <w:p w:rsidR="000A30AE" w:rsidRDefault="000A30AE" w:rsidP="00AA6F30">
      <w:pPr>
        <w:spacing w:line="360" w:lineRule="auto"/>
        <w:ind w:firstLine="1440"/>
        <w:rPr>
          <w:sz w:val="26"/>
        </w:rPr>
      </w:pPr>
    </w:p>
    <w:p w:rsidR="00356DD6" w:rsidRDefault="00356DD6" w:rsidP="00356DD6">
      <w:pPr>
        <w:spacing w:line="360" w:lineRule="auto"/>
        <w:ind w:firstLine="1440"/>
        <w:rPr>
          <w:sz w:val="26"/>
          <w:szCs w:val="26"/>
        </w:rPr>
      </w:pPr>
      <w:r w:rsidRPr="00FF22AE">
        <w:rPr>
          <w:sz w:val="26"/>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 w:val="26"/>
          <w:szCs w:val="26"/>
        </w:rPr>
        <w:t>Pa. PUC v. Philadelphia Gas Works</w:t>
      </w:r>
      <w:r w:rsidRPr="00FF22AE">
        <w:rPr>
          <w:sz w:val="26"/>
          <w:szCs w:val="26"/>
        </w:rPr>
        <w:t>, Docket No. M-00031768 (Order entered January 7, 2004).</w:t>
      </w:r>
    </w:p>
    <w:p w:rsidR="00356DD6" w:rsidRPr="00273A0D" w:rsidRDefault="00356DD6" w:rsidP="00356DD6">
      <w:pPr>
        <w:spacing w:line="360" w:lineRule="auto"/>
        <w:ind w:firstLine="1440"/>
        <w:rPr>
          <w:sz w:val="26"/>
          <w:szCs w:val="26"/>
        </w:rPr>
      </w:pPr>
    </w:p>
    <w:p w:rsidR="00273A0D" w:rsidRDefault="00273A0D" w:rsidP="00EC24E8">
      <w:pPr>
        <w:spacing w:line="360" w:lineRule="auto"/>
        <w:ind w:firstLine="1440"/>
        <w:rPr>
          <w:sz w:val="26"/>
          <w:szCs w:val="26"/>
        </w:rPr>
      </w:pPr>
      <w:r w:rsidRPr="006E38D1">
        <w:rPr>
          <w:sz w:val="26"/>
          <w:szCs w:val="26"/>
        </w:rPr>
        <w:t>The Code sets forth the maximum civil penalty amounts that we may levy on public utilities for violations of a Commission O</w:t>
      </w:r>
      <w:r w:rsidR="004219FD">
        <w:rPr>
          <w:sz w:val="26"/>
          <w:szCs w:val="26"/>
        </w:rPr>
        <w:t xml:space="preserve">rder, Regulation, or a statute. </w:t>
      </w:r>
      <w:r w:rsidRPr="006E38D1">
        <w:rPr>
          <w:sz w:val="26"/>
          <w:szCs w:val="26"/>
        </w:rPr>
        <w:t xml:space="preserve"> For cases involving gas pipeline safety violations, $2 million is the maximum civil penalty amount that we are authorized to impose under Section 3301(c) of the Code,</w:t>
      </w:r>
      <w:r w:rsidR="00EC24E8">
        <w:rPr>
          <w:sz w:val="26"/>
          <w:szCs w:val="26"/>
        </w:rPr>
        <w:t xml:space="preserve"> </w:t>
      </w:r>
      <w:r w:rsidRPr="006E38D1">
        <w:rPr>
          <w:sz w:val="26"/>
          <w:szCs w:val="26"/>
        </w:rPr>
        <w:t>66 Pa. C.S.</w:t>
      </w:r>
      <w:r w:rsidRPr="00273A0D">
        <w:rPr>
          <w:sz w:val="26"/>
          <w:szCs w:val="26"/>
        </w:rPr>
        <w:t xml:space="preserve"> </w:t>
      </w:r>
      <w:r w:rsidRPr="006E38D1">
        <w:rPr>
          <w:sz w:val="26"/>
          <w:szCs w:val="26"/>
        </w:rPr>
        <w:t>§</w:t>
      </w:r>
      <w:r w:rsidR="00EC24E8">
        <w:rPr>
          <w:sz w:val="26"/>
          <w:szCs w:val="26"/>
        </w:rPr>
        <w:t> </w:t>
      </w:r>
      <w:r w:rsidRPr="006E38D1">
        <w:rPr>
          <w:sz w:val="26"/>
          <w:szCs w:val="26"/>
        </w:rPr>
        <w:t>3301(c)</w:t>
      </w:r>
      <w:r w:rsidR="00F25CEF">
        <w:rPr>
          <w:sz w:val="26"/>
          <w:szCs w:val="26"/>
        </w:rPr>
        <w:t>, for any related series of violations.</w:t>
      </w:r>
      <w:r>
        <w:rPr>
          <w:rStyle w:val="FootnoteReference"/>
          <w:sz w:val="26"/>
          <w:szCs w:val="26"/>
        </w:rPr>
        <w:footnoteReference w:id="6"/>
      </w:r>
    </w:p>
    <w:p w:rsidR="00D6657D" w:rsidRPr="006E38D1" w:rsidRDefault="00D6657D" w:rsidP="00D6657D">
      <w:pPr>
        <w:spacing w:line="360" w:lineRule="auto"/>
        <w:rPr>
          <w:sz w:val="26"/>
          <w:szCs w:val="26"/>
        </w:rPr>
      </w:pPr>
    </w:p>
    <w:p w:rsidR="00356DD6" w:rsidRPr="00770622" w:rsidRDefault="00356DD6" w:rsidP="00356DD6">
      <w:pPr>
        <w:spacing w:line="360" w:lineRule="auto"/>
        <w:ind w:firstLine="1440"/>
        <w:rPr>
          <w:sz w:val="26"/>
          <w:szCs w:val="26"/>
          <w:u w:color="000000"/>
        </w:rPr>
      </w:pPr>
      <w:r>
        <w:rPr>
          <w:sz w:val="26"/>
          <w:szCs w:val="26"/>
        </w:rPr>
        <w:t xml:space="preserve">After a review of the terms of the Settlement, we find that the Settlement is in the public interest.  </w:t>
      </w:r>
      <w:r w:rsidRPr="007147F9">
        <w:rPr>
          <w:sz w:val="26"/>
          <w:szCs w:val="26"/>
        </w:rPr>
        <w:t xml:space="preserve">The Commission has promulgated a Policy Statement at 52 Pa. Code § 69.1201 that sets forth ten factors that we may consider in evaluating whether a </w:t>
      </w:r>
      <w:r w:rsidR="00BC48F5">
        <w:rPr>
          <w:sz w:val="26"/>
          <w:szCs w:val="26"/>
        </w:rPr>
        <w:t>civil penalty</w:t>
      </w:r>
      <w:r w:rsidRPr="007147F9">
        <w:rPr>
          <w:sz w:val="26"/>
          <w:szCs w:val="26"/>
        </w:rPr>
        <w:t xml:space="preserve"> for violating a Commission </w:t>
      </w:r>
      <w:r w:rsidR="00F377BD">
        <w:rPr>
          <w:sz w:val="26"/>
          <w:szCs w:val="26"/>
        </w:rPr>
        <w:t>O</w:t>
      </w:r>
      <w:r w:rsidRPr="007147F9">
        <w:rPr>
          <w:sz w:val="26"/>
          <w:szCs w:val="26"/>
        </w:rPr>
        <w:t xml:space="preserve">rder, </w:t>
      </w:r>
      <w:r w:rsidR="00F377BD">
        <w:rPr>
          <w:sz w:val="26"/>
          <w:szCs w:val="26"/>
        </w:rPr>
        <w:t>R</w:t>
      </w:r>
      <w:r w:rsidRPr="007147F9">
        <w:rPr>
          <w:sz w:val="26"/>
          <w:szCs w:val="26"/>
        </w:rPr>
        <w:t>egulation</w:t>
      </w:r>
      <w:r w:rsidR="00F377BD">
        <w:rPr>
          <w:sz w:val="26"/>
          <w:szCs w:val="26"/>
        </w:rPr>
        <w:t>,</w:t>
      </w:r>
      <w:r w:rsidRPr="007147F9">
        <w:rPr>
          <w:sz w:val="26"/>
          <w:szCs w:val="26"/>
        </w:rPr>
        <w:t xml:space="preserve"> or </w:t>
      </w:r>
      <w:r w:rsidR="00F377BD">
        <w:rPr>
          <w:sz w:val="26"/>
          <w:szCs w:val="26"/>
        </w:rPr>
        <w:t>a statute</w:t>
      </w:r>
      <w:r w:rsidRPr="007147F9">
        <w:rPr>
          <w:sz w:val="26"/>
          <w:szCs w:val="26"/>
        </w:rPr>
        <w:t xml:space="preserve"> is appropriate, as well as if a proposed settlement for a violation is reasonable and approval of the settlement agreement is in the public interest.  The Policy Statement </w:t>
      </w:r>
      <w:r>
        <w:rPr>
          <w:sz w:val="26"/>
          <w:szCs w:val="26"/>
        </w:rPr>
        <w:t>sets forth the guidelines we use when determining whether, and to what extent, a civil penalty is warranted.  In this case, application of these guidelines supports approval of the Settlement as filed.</w:t>
      </w:r>
    </w:p>
    <w:p w:rsidR="00356DD6" w:rsidRDefault="00356DD6" w:rsidP="00356DD6">
      <w:pPr>
        <w:spacing w:line="360" w:lineRule="auto"/>
        <w:ind w:firstLine="1440"/>
        <w:rPr>
          <w:sz w:val="26"/>
          <w:szCs w:val="26"/>
          <w:u w:color="000000"/>
        </w:rPr>
      </w:pPr>
    </w:p>
    <w:p w:rsidR="001A1D90" w:rsidRDefault="00356DD6" w:rsidP="001A1D90">
      <w:pPr>
        <w:pStyle w:val="ListParagraph"/>
        <w:spacing w:line="360" w:lineRule="auto"/>
        <w:ind w:left="0" w:firstLine="1440"/>
        <w:contextualSpacing/>
        <w:rPr>
          <w:sz w:val="26"/>
          <w:szCs w:val="26"/>
        </w:rPr>
      </w:pPr>
      <w:r>
        <w:rPr>
          <w:color w:val="000000"/>
          <w:sz w:val="26"/>
          <w:szCs w:val="26"/>
          <w:u w:color="000000"/>
        </w:rPr>
        <w:t xml:space="preserve">The first factor we may consider </w:t>
      </w:r>
      <w:r w:rsidRPr="000A6E54">
        <w:rPr>
          <w:color w:val="000000"/>
          <w:sz w:val="26"/>
          <w:szCs w:val="26"/>
          <w:u w:color="000000"/>
        </w:rPr>
        <w:t xml:space="preserve">is </w:t>
      </w:r>
      <w:r w:rsidRPr="000A6E54">
        <w:rPr>
          <w:sz w:val="26"/>
          <w:szCs w:val="26"/>
        </w:rPr>
        <w:t xml:space="preserve">whether the conduct at issue is of a serious nature. </w:t>
      </w:r>
      <w:r w:rsidR="00D879C3">
        <w:rPr>
          <w:sz w:val="26"/>
          <w:szCs w:val="26"/>
        </w:rPr>
        <w:t xml:space="preserve"> </w:t>
      </w:r>
      <w:r w:rsidRPr="000A6E54">
        <w:rPr>
          <w:sz w:val="26"/>
          <w:szCs w:val="26"/>
        </w:rPr>
        <w:t>52 Pa. Code § 69.1201(c)(1).  “When conduct of a serious nature is involved, such as willful fraud or misrepresentation, the conduct may warrant a higher penalty.</w:t>
      </w:r>
      <w:r w:rsidR="00F35B47">
        <w:rPr>
          <w:sz w:val="26"/>
          <w:szCs w:val="26"/>
        </w:rPr>
        <w:t xml:space="preserve"> </w:t>
      </w:r>
      <w:r w:rsidRPr="000A6E54">
        <w:rPr>
          <w:sz w:val="26"/>
          <w:szCs w:val="26"/>
        </w:rPr>
        <w:t xml:space="preserve"> When the conduct is less egregious, such as administrative filing or technical errors, it may warrant a lower penalty.”  </w:t>
      </w:r>
      <w:r w:rsidRPr="000A6E54">
        <w:rPr>
          <w:i/>
          <w:sz w:val="26"/>
          <w:szCs w:val="26"/>
        </w:rPr>
        <w:t>Id</w:t>
      </w:r>
      <w:r w:rsidRPr="000A6E54">
        <w:rPr>
          <w:sz w:val="26"/>
          <w:szCs w:val="26"/>
        </w:rPr>
        <w:t>.</w:t>
      </w:r>
      <w:r w:rsidR="00F34FBA">
        <w:rPr>
          <w:sz w:val="26"/>
          <w:szCs w:val="26"/>
        </w:rPr>
        <w:t xml:space="preserve">  </w:t>
      </w:r>
      <w:r w:rsidR="001652C5">
        <w:rPr>
          <w:sz w:val="26"/>
          <w:szCs w:val="26"/>
        </w:rPr>
        <w:t>In this case,</w:t>
      </w:r>
      <w:r w:rsidR="00A623B1">
        <w:rPr>
          <w:sz w:val="26"/>
          <w:szCs w:val="26"/>
        </w:rPr>
        <w:t xml:space="preserve"> I&amp;E avers the allegations that the Respondents failed to file Annual Registration Forms pursuant to Act 127 are serious in nature.  I&amp;E states that the Commission’s Pipeline Safety Division depends on the comp</w:t>
      </w:r>
      <w:r w:rsidR="00861D57">
        <w:rPr>
          <w:sz w:val="26"/>
          <w:szCs w:val="26"/>
        </w:rPr>
        <w:t>l</w:t>
      </w:r>
      <w:r w:rsidR="00A623B1">
        <w:rPr>
          <w:sz w:val="26"/>
          <w:szCs w:val="26"/>
        </w:rPr>
        <w:t xml:space="preserve">etion of Act 127 forms so </w:t>
      </w:r>
      <w:r w:rsidR="0084484E">
        <w:rPr>
          <w:sz w:val="26"/>
          <w:szCs w:val="26"/>
        </w:rPr>
        <w:t xml:space="preserve">that </w:t>
      </w:r>
      <w:r w:rsidR="00A623B1">
        <w:rPr>
          <w:sz w:val="26"/>
          <w:szCs w:val="26"/>
        </w:rPr>
        <w:t xml:space="preserve">the Pipeline Safety Division can locate and inspect jurisdictional facilities to ensure compliance with Federal pipeline safety regulations, and significant public safety concerns </w:t>
      </w:r>
      <w:r w:rsidR="00BA5113">
        <w:rPr>
          <w:sz w:val="26"/>
          <w:szCs w:val="26"/>
        </w:rPr>
        <w:t xml:space="preserve">arise when an operator’s pipeline </w:t>
      </w:r>
      <w:r w:rsidR="002A0BFD">
        <w:rPr>
          <w:sz w:val="26"/>
          <w:szCs w:val="26"/>
        </w:rPr>
        <w:t>information is not timely reported to the Commission.  I&amp;E</w:t>
      </w:r>
      <w:r w:rsidR="008D4E5D">
        <w:rPr>
          <w:sz w:val="26"/>
          <w:szCs w:val="26"/>
        </w:rPr>
        <w:t>’s</w:t>
      </w:r>
      <w:r w:rsidR="002A0BFD">
        <w:rPr>
          <w:sz w:val="26"/>
          <w:szCs w:val="26"/>
        </w:rPr>
        <w:t xml:space="preserve"> Statement in Support at 7.</w:t>
      </w:r>
      <w:r w:rsidR="008D4E5D">
        <w:rPr>
          <w:sz w:val="26"/>
          <w:szCs w:val="26"/>
        </w:rPr>
        <w:t xml:space="preserve">  The Respondents </w:t>
      </w:r>
      <w:r w:rsidR="00F05B35">
        <w:rPr>
          <w:sz w:val="26"/>
          <w:szCs w:val="26"/>
        </w:rPr>
        <w:t xml:space="preserve">also </w:t>
      </w:r>
      <w:r w:rsidR="008D4E5D">
        <w:rPr>
          <w:sz w:val="26"/>
          <w:szCs w:val="26"/>
        </w:rPr>
        <w:t xml:space="preserve">acknowledge that the alleged violations are of a serious nature. </w:t>
      </w:r>
      <w:r w:rsidR="00A623B1">
        <w:rPr>
          <w:sz w:val="26"/>
          <w:szCs w:val="26"/>
        </w:rPr>
        <w:t xml:space="preserve"> </w:t>
      </w:r>
      <w:r w:rsidR="008D4E5D">
        <w:rPr>
          <w:sz w:val="26"/>
          <w:szCs w:val="26"/>
        </w:rPr>
        <w:t>Respondents’ Statement in Support at 7.</w:t>
      </w:r>
      <w:r w:rsidR="00861D57">
        <w:rPr>
          <w:sz w:val="26"/>
          <w:szCs w:val="26"/>
        </w:rPr>
        <w:t xml:space="preserve">  </w:t>
      </w:r>
      <w:r w:rsidR="008D4E5D">
        <w:rPr>
          <w:sz w:val="26"/>
          <w:szCs w:val="26"/>
        </w:rPr>
        <w:t>We conclude that the civil penalty should be evaluated with a consideration of the seriousness of the allegations set forth in the Complaint.  The allegations concern compliance with Act 127 and Federal pipeline safety regulations, which is a serious matter</w:t>
      </w:r>
      <w:r w:rsidR="00861D57">
        <w:rPr>
          <w:sz w:val="26"/>
          <w:szCs w:val="26"/>
        </w:rPr>
        <w:t>.  Accurate, diligent, and prompt compliance with the reporting and compliance requirements in Act 127 is critical in ensuring public safety.</w:t>
      </w:r>
    </w:p>
    <w:p w:rsidR="00356DD6" w:rsidRPr="000A6E54" w:rsidRDefault="00432186" w:rsidP="001A1D90">
      <w:pPr>
        <w:spacing w:line="360" w:lineRule="auto"/>
        <w:ind w:firstLine="1440"/>
        <w:rPr>
          <w:sz w:val="26"/>
          <w:szCs w:val="26"/>
        </w:rPr>
      </w:pPr>
      <w:r>
        <w:rPr>
          <w:sz w:val="26"/>
          <w:szCs w:val="26"/>
        </w:rPr>
        <w:t xml:space="preserve"> </w:t>
      </w:r>
    </w:p>
    <w:p w:rsidR="001B45A1" w:rsidRPr="001B45A1" w:rsidRDefault="00356DD6" w:rsidP="001B45A1">
      <w:pPr>
        <w:suppressAutoHyphens/>
        <w:spacing w:line="360" w:lineRule="auto"/>
        <w:ind w:firstLine="1440"/>
        <w:rPr>
          <w:sz w:val="26"/>
          <w:szCs w:val="26"/>
        </w:rPr>
      </w:pPr>
      <w:r w:rsidRPr="00FF22AE">
        <w:rPr>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FF22AE">
        <w:rPr>
          <w:i/>
          <w:sz w:val="26"/>
          <w:szCs w:val="26"/>
        </w:rPr>
        <w:t>Id.</w:t>
      </w:r>
      <w:r w:rsidRPr="00FF22AE">
        <w:rPr>
          <w:sz w:val="26"/>
          <w:szCs w:val="26"/>
        </w:rPr>
        <w:t xml:space="preserve"> </w:t>
      </w:r>
      <w:r>
        <w:rPr>
          <w:sz w:val="26"/>
          <w:szCs w:val="26"/>
        </w:rPr>
        <w:t xml:space="preserve"> </w:t>
      </w:r>
      <w:r w:rsidR="0054353C">
        <w:rPr>
          <w:sz w:val="26"/>
          <w:szCs w:val="26"/>
        </w:rPr>
        <w:t xml:space="preserve">In this case, </w:t>
      </w:r>
      <w:r w:rsidR="00861D57">
        <w:rPr>
          <w:sz w:val="26"/>
          <w:szCs w:val="26"/>
        </w:rPr>
        <w:t xml:space="preserve">there are no allegations that </w:t>
      </w:r>
      <w:r w:rsidR="00B26D5E">
        <w:rPr>
          <w:sz w:val="26"/>
          <w:szCs w:val="26"/>
        </w:rPr>
        <w:t>consequences of a serious nature</w:t>
      </w:r>
      <w:r w:rsidR="00861D57">
        <w:rPr>
          <w:sz w:val="26"/>
          <w:szCs w:val="26"/>
        </w:rPr>
        <w:t>, such as personal injury or property damage,</w:t>
      </w:r>
      <w:r w:rsidR="00B26D5E">
        <w:rPr>
          <w:sz w:val="26"/>
          <w:szCs w:val="26"/>
        </w:rPr>
        <w:t xml:space="preserve"> </w:t>
      </w:r>
      <w:r w:rsidR="00861D57">
        <w:rPr>
          <w:sz w:val="26"/>
          <w:szCs w:val="26"/>
        </w:rPr>
        <w:t>are</w:t>
      </w:r>
      <w:r w:rsidR="00B26D5E">
        <w:rPr>
          <w:sz w:val="26"/>
          <w:szCs w:val="26"/>
        </w:rPr>
        <w:t xml:space="preserve"> involved.</w:t>
      </w:r>
      <w:r w:rsidR="001B45A1">
        <w:rPr>
          <w:sz w:val="26"/>
          <w:szCs w:val="26"/>
        </w:rPr>
        <w:t xml:space="preserve">  Accordingly, </w:t>
      </w:r>
      <w:r w:rsidR="001B45A1" w:rsidRPr="001B45A1">
        <w:rPr>
          <w:sz w:val="26"/>
          <w:szCs w:val="26"/>
        </w:rPr>
        <w:t xml:space="preserve">the </w:t>
      </w:r>
      <w:r w:rsidR="001B45A1">
        <w:rPr>
          <w:sz w:val="26"/>
          <w:szCs w:val="26"/>
        </w:rPr>
        <w:t>Respondents’</w:t>
      </w:r>
      <w:r w:rsidR="001B45A1" w:rsidRPr="001B45A1">
        <w:rPr>
          <w:sz w:val="26"/>
          <w:szCs w:val="26"/>
        </w:rPr>
        <w:t xml:space="preserve"> actions set forth in the Settlement did not result in consequences of a serious nature which would warrant a higher penalty under this factor.</w:t>
      </w:r>
    </w:p>
    <w:p w:rsidR="00356DD6" w:rsidRPr="00FF22AE" w:rsidRDefault="00356DD6" w:rsidP="00356DD6">
      <w:pPr>
        <w:suppressAutoHyphens/>
        <w:spacing w:line="360" w:lineRule="auto"/>
        <w:ind w:firstLine="1440"/>
        <w:rPr>
          <w:sz w:val="26"/>
          <w:szCs w:val="26"/>
        </w:rPr>
      </w:pPr>
    </w:p>
    <w:p w:rsidR="00356DD6" w:rsidRPr="00FF22AE" w:rsidRDefault="00356DD6" w:rsidP="00356DD6">
      <w:pPr>
        <w:suppressAutoHyphens/>
        <w:spacing w:line="360" w:lineRule="auto"/>
        <w:ind w:firstLine="1440"/>
        <w:rPr>
          <w:sz w:val="26"/>
          <w:szCs w:val="26"/>
        </w:rPr>
      </w:pPr>
      <w:r w:rsidRPr="00FF22AE">
        <w:rPr>
          <w:sz w:val="26"/>
          <w:szCs w:val="26"/>
        </w:rPr>
        <w:t>The third factor pertains to litigated cases only.  5</w:t>
      </w:r>
      <w:r>
        <w:rPr>
          <w:sz w:val="26"/>
          <w:szCs w:val="26"/>
        </w:rPr>
        <w:t>2 Pa. Code §</w:t>
      </w:r>
      <w:r w:rsidR="003C5146">
        <w:rPr>
          <w:sz w:val="26"/>
          <w:szCs w:val="26"/>
        </w:rPr>
        <w:t> </w:t>
      </w:r>
      <w:r>
        <w:rPr>
          <w:sz w:val="26"/>
          <w:szCs w:val="26"/>
        </w:rPr>
        <w:t xml:space="preserve">69.1201(c)(3). </w:t>
      </w:r>
      <w:r w:rsidR="00F864E0">
        <w:rPr>
          <w:sz w:val="26"/>
          <w:szCs w:val="26"/>
        </w:rPr>
        <w:t xml:space="preserve"> Because this proceeding was settled prior to an evidentiary hearing, this factor is not a</w:t>
      </w:r>
      <w:r w:rsidR="0024751C">
        <w:rPr>
          <w:sz w:val="26"/>
          <w:szCs w:val="26"/>
        </w:rPr>
        <w:t>pplicable to this Settlement.</w:t>
      </w:r>
    </w:p>
    <w:p w:rsidR="00356DD6" w:rsidRPr="00FF22AE" w:rsidRDefault="00356DD6" w:rsidP="00356DD6">
      <w:pPr>
        <w:suppressAutoHyphens/>
        <w:spacing w:line="360" w:lineRule="auto"/>
        <w:ind w:firstLine="1440"/>
        <w:rPr>
          <w:sz w:val="26"/>
          <w:szCs w:val="26"/>
        </w:rPr>
      </w:pPr>
    </w:p>
    <w:p w:rsidR="00982671" w:rsidRDefault="00356DD6" w:rsidP="00982671">
      <w:pPr>
        <w:spacing w:line="360" w:lineRule="auto"/>
        <w:ind w:firstLine="1440"/>
        <w:rPr>
          <w:sz w:val="26"/>
        </w:rPr>
      </w:pPr>
      <w:r w:rsidRPr="00FF22AE">
        <w:rPr>
          <w:sz w:val="26"/>
          <w:szCs w:val="26"/>
        </w:rPr>
        <w:t xml:space="preserve">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w:t>
      </w:r>
      <w:r w:rsidR="000C0AB8">
        <w:rPr>
          <w:sz w:val="26"/>
          <w:szCs w:val="26"/>
        </w:rPr>
        <w:t>The Parties indicate that on March 29, 2017, the Respondents filed the most recent Annual Registration Forms for the calendar year ending December 31, 2016.</w:t>
      </w:r>
      <w:r w:rsidR="00BE69F7">
        <w:rPr>
          <w:sz w:val="26"/>
          <w:szCs w:val="26"/>
        </w:rPr>
        <w:t xml:space="preserve">  I&amp;E’s Statement in Support at 8; Respondents’ Statement in Support at 8.  </w:t>
      </w:r>
      <w:r w:rsidR="00780C25">
        <w:rPr>
          <w:sz w:val="26"/>
          <w:szCs w:val="26"/>
        </w:rPr>
        <w:t>The Respondents recognize that subsequent Annual Registration Forms must be filed before March 31 every year going forward.  The Respondents also state that Northwood has stopped operating its propane distribution system and is no longer at risk of violating Act 127’s annual registration requirements.  Respondents’ Statement in Support at</w:t>
      </w:r>
      <w:r w:rsidR="00F9472E">
        <w:rPr>
          <w:sz w:val="26"/>
          <w:szCs w:val="26"/>
        </w:rPr>
        <w:t xml:space="preserve"> 8</w:t>
      </w:r>
      <w:r w:rsidR="00780C25">
        <w:rPr>
          <w:sz w:val="26"/>
          <w:szCs w:val="26"/>
        </w:rPr>
        <w:t>.</w:t>
      </w:r>
      <w:r w:rsidR="00F9472E">
        <w:rPr>
          <w:sz w:val="26"/>
          <w:szCs w:val="26"/>
        </w:rPr>
        <w:t xml:space="preserve">  </w:t>
      </w:r>
      <w:r w:rsidR="00B05EBC">
        <w:rPr>
          <w:sz w:val="26"/>
          <w:szCs w:val="26"/>
        </w:rPr>
        <w:t xml:space="preserve">Additionally, our records indicate that </w:t>
      </w:r>
      <w:r w:rsidR="00507B63">
        <w:rPr>
          <w:sz w:val="26"/>
          <w:szCs w:val="26"/>
        </w:rPr>
        <w:t xml:space="preserve">Brookhaven, Meadowview, and Mill Creek have paid their assessments for the 2017-2018 </w:t>
      </w:r>
      <w:r w:rsidR="00597794">
        <w:rPr>
          <w:sz w:val="26"/>
          <w:szCs w:val="26"/>
        </w:rPr>
        <w:t>f</w:t>
      </w:r>
      <w:r w:rsidR="00507B63">
        <w:rPr>
          <w:sz w:val="26"/>
          <w:szCs w:val="26"/>
        </w:rPr>
        <w:t xml:space="preserve">iscal </w:t>
      </w:r>
      <w:r w:rsidR="00597794">
        <w:rPr>
          <w:sz w:val="26"/>
          <w:szCs w:val="26"/>
        </w:rPr>
        <w:t>y</w:t>
      </w:r>
      <w:r w:rsidR="00507B63">
        <w:rPr>
          <w:sz w:val="26"/>
          <w:szCs w:val="26"/>
        </w:rPr>
        <w:t>ear.</w:t>
      </w:r>
      <w:r w:rsidR="00FD00B9">
        <w:rPr>
          <w:sz w:val="26"/>
          <w:szCs w:val="26"/>
        </w:rPr>
        <w:t xml:space="preserve">  W</w:t>
      </w:r>
      <w:r w:rsidR="00982671">
        <w:rPr>
          <w:sz w:val="26"/>
        </w:rPr>
        <w:t xml:space="preserve">e find that </w:t>
      </w:r>
      <w:r w:rsidR="00FD00B9">
        <w:rPr>
          <w:sz w:val="26"/>
        </w:rPr>
        <w:t xml:space="preserve">the Respondents’ </w:t>
      </w:r>
      <w:r w:rsidR="008E504F">
        <w:rPr>
          <w:sz w:val="26"/>
        </w:rPr>
        <w:t xml:space="preserve">recent </w:t>
      </w:r>
      <w:r w:rsidR="00982671">
        <w:rPr>
          <w:sz w:val="26"/>
        </w:rPr>
        <w:t xml:space="preserve">actions </w:t>
      </w:r>
      <w:r w:rsidR="008E504F">
        <w:rPr>
          <w:sz w:val="26"/>
        </w:rPr>
        <w:t xml:space="preserve">indicate compliance and </w:t>
      </w:r>
      <w:r w:rsidR="00982671">
        <w:rPr>
          <w:sz w:val="26"/>
        </w:rPr>
        <w:t>support a lower civil penalty.</w:t>
      </w:r>
    </w:p>
    <w:p w:rsidR="00D4229A" w:rsidRDefault="00D4229A" w:rsidP="00D4229A">
      <w:pPr>
        <w:spacing w:line="360" w:lineRule="auto"/>
        <w:ind w:firstLine="1440"/>
        <w:rPr>
          <w:sz w:val="26"/>
        </w:rPr>
      </w:pPr>
    </w:p>
    <w:p w:rsidR="00397337" w:rsidRDefault="00982671" w:rsidP="004C3873">
      <w:pPr>
        <w:suppressAutoHyphens/>
        <w:spacing w:line="360" w:lineRule="auto"/>
        <w:rPr>
          <w:sz w:val="26"/>
          <w:szCs w:val="26"/>
        </w:rPr>
      </w:pPr>
      <w:r>
        <w:rPr>
          <w:sz w:val="26"/>
          <w:szCs w:val="26"/>
        </w:rPr>
        <w:tab/>
      </w:r>
      <w:r>
        <w:rPr>
          <w:sz w:val="26"/>
          <w:szCs w:val="26"/>
        </w:rPr>
        <w:tab/>
      </w:r>
      <w:r w:rsidR="00356DD6" w:rsidRPr="00FF22AE">
        <w:rPr>
          <w:color w:val="000000"/>
          <w:sz w:val="26"/>
          <w:szCs w:val="26"/>
          <w:u w:color="000000"/>
        </w:rPr>
        <w:t xml:space="preserve">The fifth factor we may consider is the number of customers affected and the duration of the violation.  </w:t>
      </w:r>
      <w:r w:rsidR="00356DD6" w:rsidRPr="00FF22AE">
        <w:rPr>
          <w:sz w:val="26"/>
          <w:szCs w:val="26"/>
        </w:rPr>
        <w:t xml:space="preserve">52 Pa. Code § 69.1201(c)(5).  </w:t>
      </w:r>
      <w:r w:rsidR="000B5D76">
        <w:rPr>
          <w:sz w:val="26"/>
          <w:szCs w:val="26"/>
        </w:rPr>
        <w:t xml:space="preserve">The Parties agree that the alleged violations did not affect any customers in terms of personal injuries or property damage.  I&amp;E, however, avers that the residences the Respondents serve could potentially have been exposed to safety issues because the Respondents did not report their systems to the Commission and, therefore, the Pipeline Safety Division was not aware of the systems and did not inspect the systems to ensure compliance with federal pipeline safety regulations.  I&amp;E notes that a total of 478 residences in Brookhaven, Meadowview, Mill Creek, and Northwood Manor were impacted.  I&amp;E additionally states that the Respondents failed to file Annual Registration Forms for four consecutive years for the calendar years </w:t>
      </w:r>
      <w:r w:rsidR="002D79FF">
        <w:rPr>
          <w:sz w:val="26"/>
          <w:szCs w:val="26"/>
        </w:rPr>
        <w:t>2012, 2013, 2014, and 2015.</w:t>
      </w:r>
      <w:r w:rsidR="004B7FDB">
        <w:rPr>
          <w:sz w:val="26"/>
          <w:szCs w:val="26"/>
        </w:rPr>
        <w:t xml:space="preserve">  </w:t>
      </w:r>
      <w:r w:rsidR="0028479A">
        <w:rPr>
          <w:sz w:val="26"/>
          <w:szCs w:val="26"/>
        </w:rPr>
        <w:t>I&amp;E</w:t>
      </w:r>
      <w:r w:rsidR="00A666F7">
        <w:rPr>
          <w:sz w:val="26"/>
          <w:szCs w:val="26"/>
        </w:rPr>
        <w:t>’s</w:t>
      </w:r>
      <w:r w:rsidR="0028479A">
        <w:rPr>
          <w:sz w:val="26"/>
          <w:szCs w:val="26"/>
        </w:rPr>
        <w:t xml:space="preserve"> Statement in Support at </w:t>
      </w:r>
      <w:r w:rsidR="00A666F7">
        <w:rPr>
          <w:sz w:val="26"/>
          <w:szCs w:val="26"/>
        </w:rPr>
        <w:t xml:space="preserve">8. </w:t>
      </w:r>
      <w:r w:rsidR="0028479A">
        <w:rPr>
          <w:sz w:val="26"/>
          <w:szCs w:val="26"/>
        </w:rPr>
        <w:t xml:space="preserve"> </w:t>
      </w:r>
      <w:r w:rsidR="00A666F7">
        <w:rPr>
          <w:sz w:val="26"/>
          <w:szCs w:val="26"/>
        </w:rPr>
        <w:t xml:space="preserve">The Respondents, on the other hand, state that the total number of customers they serve is quite small.  The Respondents indicate that while they failed to register for two calendar years – 2014 and 2015 – that period is accounted for by the $25,000 civil penalty in the Settlement, which they aver is about five times the amount of their past due annual </w:t>
      </w:r>
    </w:p>
    <w:p w:rsidR="00356DD6" w:rsidRPr="00FF22AE" w:rsidRDefault="00A666F7" w:rsidP="00397337">
      <w:pPr>
        <w:keepNext/>
        <w:keepLines/>
        <w:suppressAutoHyphens/>
        <w:spacing w:line="360" w:lineRule="auto"/>
        <w:rPr>
          <w:sz w:val="26"/>
          <w:szCs w:val="26"/>
        </w:rPr>
      </w:pPr>
      <w:r>
        <w:rPr>
          <w:sz w:val="26"/>
          <w:szCs w:val="26"/>
        </w:rPr>
        <w:t xml:space="preserve">assessments.  </w:t>
      </w:r>
      <w:r w:rsidR="00B04F5B">
        <w:rPr>
          <w:sz w:val="26"/>
          <w:szCs w:val="26"/>
        </w:rPr>
        <w:t xml:space="preserve">Respondents’ Statement in Support at 8-9.  </w:t>
      </w:r>
      <w:r w:rsidR="002B5860">
        <w:rPr>
          <w:sz w:val="26"/>
          <w:szCs w:val="26"/>
        </w:rPr>
        <w:t xml:space="preserve">Here, </w:t>
      </w:r>
      <w:r w:rsidR="00107AE1">
        <w:rPr>
          <w:sz w:val="26"/>
          <w:szCs w:val="26"/>
        </w:rPr>
        <w:t>there is no indication that individual customers were affected by the Respondents’ alleged conduct.  Without the benefit of a fully-developed record, we cannot conclude that the duration of the alleged violations support</w:t>
      </w:r>
      <w:r w:rsidR="001B45A1">
        <w:rPr>
          <w:sz w:val="26"/>
          <w:szCs w:val="26"/>
        </w:rPr>
        <w:t>s</w:t>
      </w:r>
      <w:r w:rsidR="00107AE1">
        <w:rPr>
          <w:sz w:val="26"/>
          <w:szCs w:val="26"/>
        </w:rPr>
        <w:t xml:space="preserve"> a higher civil penalty.</w:t>
      </w:r>
    </w:p>
    <w:p w:rsidR="00356DD6" w:rsidRPr="00FF22AE" w:rsidRDefault="00356DD6" w:rsidP="00356DD6">
      <w:pPr>
        <w:suppressAutoHyphens/>
        <w:spacing w:line="360" w:lineRule="auto"/>
        <w:ind w:firstLine="1440"/>
        <w:rPr>
          <w:sz w:val="26"/>
          <w:szCs w:val="26"/>
        </w:rPr>
      </w:pPr>
    </w:p>
    <w:p w:rsidR="00336FA2" w:rsidRPr="00336FA2" w:rsidRDefault="00356DD6" w:rsidP="00336FA2">
      <w:pPr>
        <w:spacing w:line="360" w:lineRule="auto"/>
        <w:ind w:firstLine="1440"/>
        <w:rPr>
          <w:sz w:val="26"/>
          <w:szCs w:val="26"/>
        </w:rPr>
      </w:pPr>
      <w:r w:rsidRPr="00FF22AE">
        <w:rPr>
          <w:sz w:val="26"/>
          <w:szCs w:val="26"/>
        </w:rPr>
        <w:t xml:space="preserve">We may also consider the compliance history of the regulated entity which committed the violation.  52 Pa. Code § 69.1201(c)(6).  </w:t>
      </w:r>
      <w:r w:rsidR="00F545C1">
        <w:rPr>
          <w:sz w:val="26"/>
          <w:szCs w:val="26"/>
        </w:rPr>
        <w:t xml:space="preserve">Based on our research and the Parties’ Statements in Support, </w:t>
      </w:r>
      <w:r w:rsidR="009E2788">
        <w:rPr>
          <w:sz w:val="26"/>
          <w:szCs w:val="26"/>
        </w:rPr>
        <w:t xml:space="preserve">there is no record of prior violations by Brookhaven, Meadowview, Mill Creek, Northwood Manor, </w:t>
      </w:r>
      <w:r w:rsidR="0009033F">
        <w:rPr>
          <w:sz w:val="26"/>
          <w:szCs w:val="26"/>
        </w:rPr>
        <w:t xml:space="preserve">or </w:t>
      </w:r>
      <w:r w:rsidR="009E2788">
        <w:rPr>
          <w:sz w:val="26"/>
          <w:szCs w:val="26"/>
        </w:rPr>
        <w:t xml:space="preserve">ATG Properties.  </w:t>
      </w:r>
      <w:r w:rsidR="0009033F">
        <w:rPr>
          <w:sz w:val="26"/>
          <w:szCs w:val="26"/>
        </w:rPr>
        <w:t>Therefore</w:t>
      </w:r>
      <w:r w:rsidR="00336FA2" w:rsidRPr="00336FA2">
        <w:rPr>
          <w:sz w:val="26"/>
          <w:szCs w:val="26"/>
        </w:rPr>
        <w:t xml:space="preserve">, we find that the </w:t>
      </w:r>
      <w:r w:rsidR="0009033F">
        <w:rPr>
          <w:sz w:val="26"/>
          <w:szCs w:val="26"/>
        </w:rPr>
        <w:t>Respondents’</w:t>
      </w:r>
      <w:r w:rsidR="00336FA2" w:rsidRPr="00336FA2">
        <w:rPr>
          <w:sz w:val="26"/>
          <w:szCs w:val="26"/>
        </w:rPr>
        <w:t xml:space="preserve"> compliance history has been satisfactory and poses no barrier to approval of the Settlement between the Parties.</w:t>
      </w:r>
    </w:p>
    <w:p w:rsidR="00356DD6" w:rsidRDefault="00356DD6" w:rsidP="000976E2">
      <w:pPr>
        <w:spacing w:line="360" w:lineRule="auto"/>
        <w:ind w:firstLine="1440"/>
        <w:rPr>
          <w:sz w:val="26"/>
          <w:szCs w:val="26"/>
        </w:rPr>
      </w:pPr>
    </w:p>
    <w:p w:rsidR="0016014A" w:rsidRPr="00FF22AE" w:rsidRDefault="0016014A" w:rsidP="0016014A">
      <w:pPr>
        <w:suppressAutoHyphens/>
        <w:spacing w:line="360" w:lineRule="auto"/>
        <w:ind w:firstLine="1440"/>
        <w:rPr>
          <w:sz w:val="26"/>
          <w:szCs w:val="26"/>
        </w:rPr>
      </w:pPr>
      <w:r w:rsidRPr="00FF22AE">
        <w:rPr>
          <w:sz w:val="26"/>
          <w:szCs w:val="26"/>
        </w:rPr>
        <w:t xml:space="preserve">Another factor we may consider is whether the regulated entity cooperated with the Commission’s investigation.  52 Pa. Code § 69.1201(c)(7).  </w:t>
      </w:r>
      <w:r>
        <w:rPr>
          <w:sz w:val="26"/>
          <w:szCs w:val="26"/>
        </w:rPr>
        <w:t xml:space="preserve">I&amp;E represents that </w:t>
      </w:r>
      <w:r w:rsidR="000E337C">
        <w:rPr>
          <w:sz w:val="26"/>
          <w:szCs w:val="26"/>
        </w:rPr>
        <w:t>the Respondents have been forthcoming with information and have cooperated with the Pipeline Safety Division</w:t>
      </w:r>
      <w:r>
        <w:rPr>
          <w:sz w:val="26"/>
          <w:szCs w:val="26"/>
        </w:rPr>
        <w:t xml:space="preserve">.  </w:t>
      </w:r>
      <w:r w:rsidR="00D17307">
        <w:rPr>
          <w:sz w:val="26"/>
          <w:szCs w:val="26"/>
        </w:rPr>
        <w:t>I&amp;E</w:t>
      </w:r>
      <w:r w:rsidR="000E337C">
        <w:rPr>
          <w:sz w:val="26"/>
          <w:szCs w:val="26"/>
        </w:rPr>
        <w:t>’s</w:t>
      </w:r>
      <w:r w:rsidR="00D17307">
        <w:rPr>
          <w:sz w:val="26"/>
          <w:szCs w:val="26"/>
        </w:rPr>
        <w:t xml:space="preserve"> Statement in Support at </w:t>
      </w:r>
      <w:r w:rsidR="000E337C">
        <w:rPr>
          <w:sz w:val="26"/>
          <w:szCs w:val="26"/>
        </w:rPr>
        <w:t>9</w:t>
      </w:r>
      <w:r w:rsidR="00D17307">
        <w:rPr>
          <w:sz w:val="26"/>
          <w:szCs w:val="26"/>
        </w:rPr>
        <w:t xml:space="preserve">.  </w:t>
      </w:r>
      <w:r w:rsidR="000E337C">
        <w:rPr>
          <w:sz w:val="26"/>
          <w:szCs w:val="26"/>
        </w:rPr>
        <w:t xml:space="preserve">The Respondents state that they were not aware of their registration obligations under Act 127; however, once I&amp;E informed them of their obligations, the Respondents registered with the Commission.  Respondents’ Statement in Support at 9.  </w:t>
      </w:r>
      <w:r w:rsidR="00546E57">
        <w:rPr>
          <w:sz w:val="26"/>
          <w:szCs w:val="26"/>
        </w:rPr>
        <w:t>In this case, this factor weighs in favor of a lower civil penalty.</w:t>
      </w:r>
    </w:p>
    <w:p w:rsidR="0016014A" w:rsidRPr="00FF22AE" w:rsidRDefault="0016014A" w:rsidP="0016014A">
      <w:pPr>
        <w:suppressAutoHyphens/>
        <w:spacing w:line="360" w:lineRule="auto"/>
        <w:ind w:firstLine="1440"/>
        <w:rPr>
          <w:sz w:val="26"/>
          <w:szCs w:val="26"/>
        </w:rPr>
      </w:pPr>
    </w:p>
    <w:p w:rsidR="00356DD6" w:rsidRDefault="00356DD6" w:rsidP="00356DD6">
      <w:pPr>
        <w:suppressAutoHyphens/>
        <w:spacing w:line="360" w:lineRule="auto"/>
        <w:ind w:firstLine="1440"/>
        <w:rPr>
          <w:sz w:val="26"/>
          <w:szCs w:val="26"/>
        </w:rPr>
      </w:pPr>
      <w:r w:rsidRPr="00FF22AE">
        <w:rPr>
          <w:sz w:val="26"/>
          <w:szCs w:val="26"/>
        </w:rPr>
        <w:t>In addition, we may consider the amount of the civil penalty necessary to deter future violations as well as past Commission decisions in similar situations.  52 Pa. Code § 69.1201(c)(8) and (c)(9</w:t>
      </w:r>
      <w:r>
        <w:rPr>
          <w:sz w:val="26"/>
          <w:szCs w:val="26"/>
        </w:rPr>
        <w:t xml:space="preserve">).  </w:t>
      </w:r>
      <w:r w:rsidR="00A76719">
        <w:rPr>
          <w:sz w:val="26"/>
          <w:szCs w:val="26"/>
        </w:rPr>
        <w:t>We find that</w:t>
      </w:r>
      <w:r w:rsidR="008A025B">
        <w:rPr>
          <w:sz w:val="26"/>
          <w:szCs w:val="26"/>
        </w:rPr>
        <w:t xml:space="preserve"> </w:t>
      </w:r>
      <w:r w:rsidR="000807D2">
        <w:rPr>
          <w:sz w:val="26"/>
          <w:szCs w:val="26"/>
        </w:rPr>
        <w:t xml:space="preserve">the </w:t>
      </w:r>
      <w:r w:rsidR="008A025B">
        <w:rPr>
          <w:sz w:val="26"/>
          <w:szCs w:val="26"/>
        </w:rPr>
        <w:t>$</w:t>
      </w:r>
      <w:r w:rsidR="00982765">
        <w:rPr>
          <w:sz w:val="26"/>
          <w:szCs w:val="26"/>
        </w:rPr>
        <w:t>25</w:t>
      </w:r>
      <w:r w:rsidR="008A025B">
        <w:rPr>
          <w:sz w:val="26"/>
          <w:szCs w:val="26"/>
        </w:rPr>
        <w:t xml:space="preserve">,000 </w:t>
      </w:r>
      <w:r w:rsidR="000807D2">
        <w:rPr>
          <w:sz w:val="26"/>
          <w:szCs w:val="26"/>
        </w:rPr>
        <w:t xml:space="preserve">civil penalty amount, which </w:t>
      </w:r>
      <w:r w:rsidR="00982765">
        <w:rPr>
          <w:sz w:val="26"/>
          <w:szCs w:val="26"/>
        </w:rPr>
        <w:t>may not be claimed as a tax deduction,</w:t>
      </w:r>
      <w:r w:rsidR="000807D2">
        <w:rPr>
          <w:sz w:val="26"/>
          <w:szCs w:val="26"/>
        </w:rPr>
        <w:t xml:space="preserve"> will be a sufficient deterrent to prevent similar future occurrences.  Based on the </w:t>
      </w:r>
      <w:r w:rsidR="004B74F5">
        <w:rPr>
          <w:sz w:val="26"/>
          <w:szCs w:val="26"/>
        </w:rPr>
        <w:t xml:space="preserve">serious </w:t>
      </w:r>
      <w:r w:rsidR="000807D2">
        <w:rPr>
          <w:sz w:val="26"/>
          <w:szCs w:val="26"/>
        </w:rPr>
        <w:t>nature of the alleged violations</w:t>
      </w:r>
      <w:r w:rsidR="00352B78">
        <w:rPr>
          <w:sz w:val="26"/>
          <w:szCs w:val="26"/>
        </w:rPr>
        <w:t xml:space="preserve">, </w:t>
      </w:r>
      <w:r w:rsidR="004B74F5">
        <w:rPr>
          <w:sz w:val="26"/>
          <w:szCs w:val="26"/>
        </w:rPr>
        <w:t>the fact that the resulting consequences of the Respondents’ actions did not include personal injury or property damages</w:t>
      </w:r>
      <w:r w:rsidR="00352B78">
        <w:rPr>
          <w:sz w:val="26"/>
          <w:szCs w:val="26"/>
        </w:rPr>
        <w:t xml:space="preserve">, </w:t>
      </w:r>
      <w:r w:rsidR="006A2CEE">
        <w:rPr>
          <w:sz w:val="26"/>
          <w:szCs w:val="26"/>
        </w:rPr>
        <w:t xml:space="preserve">and </w:t>
      </w:r>
      <w:r w:rsidR="00352B78">
        <w:rPr>
          <w:sz w:val="26"/>
          <w:szCs w:val="26"/>
        </w:rPr>
        <w:t xml:space="preserve">the measures the </w:t>
      </w:r>
      <w:r w:rsidR="00DC11E1">
        <w:rPr>
          <w:sz w:val="26"/>
          <w:szCs w:val="26"/>
        </w:rPr>
        <w:t>Respondents</w:t>
      </w:r>
      <w:r w:rsidR="00352B78">
        <w:rPr>
          <w:sz w:val="26"/>
          <w:szCs w:val="26"/>
        </w:rPr>
        <w:t xml:space="preserve"> ha</w:t>
      </w:r>
      <w:r w:rsidR="00DC11E1">
        <w:rPr>
          <w:sz w:val="26"/>
          <w:szCs w:val="26"/>
        </w:rPr>
        <w:t>ve</w:t>
      </w:r>
      <w:r w:rsidR="00352B78">
        <w:rPr>
          <w:sz w:val="26"/>
          <w:szCs w:val="26"/>
        </w:rPr>
        <w:t xml:space="preserve"> </w:t>
      </w:r>
      <w:r w:rsidR="006A2CEE">
        <w:rPr>
          <w:sz w:val="26"/>
          <w:szCs w:val="26"/>
        </w:rPr>
        <w:t xml:space="preserve">since </w:t>
      </w:r>
      <w:r w:rsidR="00352B78">
        <w:rPr>
          <w:sz w:val="26"/>
          <w:szCs w:val="26"/>
        </w:rPr>
        <w:t xml:space="preserve">taken </w:t>
      </w:r>
      <w:r w:rsidR="004B74F5">
        <w:rPr>
          <w:sz w:val="26"/>
          <w:szCs w:val="26"/>
        </w:rPr>
        <w:t>to comply with their registration and assessment obligations</w:t>
      </w:r>
      <w:r w:rsidR="000807D2">
        <w:rPr>
          <w:sz w:val="26"/>
          <w:szCs w:val="26"/>
        </w:rPr>
        <w:t>, we conclude that our determination regarding this Settlement and the civil penalty amount is consistent with our prior decisions in similar situations.</w:t>
      </w:r>
      <w:r w:rsidR="006A2CEE">
        <w:rPr>
          <w:sz w:val="26"/>
          <w:szCs w:val="26"/>
        </w:rPr>
        <w:t xml:space="preserve">  </w:t>
      </w:r>
      <w:r w:rsidR="00F64AF1">
        <w:rPr>
          <w:i/>
          <w:sz w:val="26"/>
          <w:szCs w:val="26"/>
        </w:rPr>
        <w:t>See Pa. PUC v. XTO Energy, Inc. and Mountain Gathering, LLC</w:t>
      </w:r>
      <w:r w:rsidR="00F64AF1">
        <w:rPr>
          <w:sz w:val="26"/>
          <w:szCs w:val="26"/>
        </w:rPr>
        <w:t xml:space="preserve">, Docket No. C-2014-2444722 (Order entered September 3, 2015) (approving a settlement agreement where the respondents paid a civil penalty of $30,000 to resolve allegations that they failed to timely identify and classify pipelines for </w:t>
      </w:r>
      <w:r w:rsidR="007B1664">
        <w:rPr>
          <w:sz w:val="26"/>
          <w:szCs w:val="26"/>
        </w:rPr>
        <w:t>reporting and assessment purposes under Act 127</w:t>
      </w:r>
      <w:r w:rsidR="00444384">
        <w:rPr>
          <w:sz w:val="26"/>
          <w:szCs w:val="26"/>
        </w:rPr>
        <w:t xml:space="preserve"> for the calendar years 2011 through 2013</w:t>
      </w:r>
      <w:r w:rsidR="007B1664">
        <w:rPr>
          <w:sz w:val="26"/>
          <w:szCs w:val="26"/>
        </w:rPr>
        <w:t>)</w:t>
      </w:r>
      <w:r w:rsidR="00090ECE">
        <w:rPr>
          <w:sz w:val="26"/>
          <w:szCs w:val="26"/>
        </w:rPr>
        <w:t xml:space="preserve">; </w:t>
      </w:r>
      <w:r w:rsidR="00444384" w:rsidRPr="00444384">
        <w:rPr>
          <w:i/>
          <w:sz w:val="26"/>
          <w:szCs w:val="26"/>
        </w:rPr>
        <w:t>Pa. PUC v. ATX Licensing, Inc</w:t>
      </w:r>
      <w:r w:rsidR="00444384">
        <w:rPr>
          <w:sz w:val="26"/>
          <w:szCs w:val="26"/>
        </w:rPr>
        <w:t>., Docket No. C-20031394 (Order entered October 5, 2004) (approving a settlement agreement where the respondent paid a civil penalty of $30,000 to resolve allegations including its failure to file complete and accurate annual financial reports for the years 2000 through 2002)</w:t>
      </w:r>
      <w:r w:rsidR="007B1664">
        <w:rPr>
          <w:sz w:val="26"/>
          <w:szCs w:val="26"/>
        </w:rPr>
        <w:t>.</w:t>
      </w:r>
      <w:r w:rsidR="00D80890">
        <w:rPr>
          <w:rStyle w:val="FootnoteReference"/>
          <w:sz w:val="26"/>
          <w:szCs w:val="26"/>
        </w:rPr>
        <w:footnoteReference w:id="7"/>
      </w:r>
    </w:p>
    <w:p w:rsidR="00DC11E1" w:rsidRDefault="00DC11E1" w:rsidP="00356DD6">
      <w:pPr>
        <w:suppressAutoHyphens/>
        <w:spacing w:line="360" w:lineRule="auto"/>
        <w:ind w:firstLine="1440"/>
        <w:rPr>
          <w:sz w:val="26"/>
          <w:szCs w:val="26"/>
        </w:rPr>
      </w:pPr>
    </w:p>
    <w:p w:rsidR="00493D1F" w:rsidRDefault="00356DD6" w:rsidP="00356DD6">
      <w:pPr>
        <w:suppressAutoHyphens/>
        <w:spacing w:line="360" w:lineRule="auto"/>
        <w:ind w:firstLine="1440"/>
        <w:jc w:val="both"/>
        <w:rPr>
          <w:sz w:val="26"/>
          <w:szCs w:val="26"/>
        </w:rPr>
      </w:pPr>
      <w:r w:rsidRPr="00FF22AE">
        <w:rPr>
          <w:color w:val="000000"/>
          <w:sz w:val="26"/>
          <w:szCs w:val="26"/>
          <w:u w:color="000000"/>
        </w:rPr>
        <w:t xml:space="preserve">The tenth factor we may consider is other relevant factors.  </w:t>
      </w:r>
      <w:r w:rsidRPr="00FF22AE">
        <w:rPr>
          <w:sz w:val="26"/>
          <w:szCs w:val="26"/>
        </w:rPr>
        <w:t>52 Pa</w:t>
      </w:r>
      <w:r>
        <w:rPr>
          <w:sz w:val="26"/>
          <w:szCs w:val="26"/>
        </w:rPr>
        <w:t xml:space="preserve">. Code </w:t>
      </w:r>
    </w:p>
    <w:p w:rsidR="00356DD6" w:rsidRDefault="00356DD6" w:rsidP="006E38D1">
      <w:pPr>
        <w:suppressAutoHyphens/>
        <w:spacing w:line="360" w:lineRule="auto"/>
        <w:rPr>
          <w:color w:val="000000"/>
          <w:sz w:val="26"/>
          <w:szCs w:val="26"/>
          <w:u w:color="000000"/>
        </w:rPr>
      </w:pPr>
      <w:r>
        <w:rPr>
          <w:sz w:val="26"/>
          <w:szCs w:val="26"/>
        </w:rPr>
        <w:t>§ 69.1201(c)(10).</w:t>
      </w:r>
      <w:r w:rsidR="000807D2">
        <w:rPr>
          <w:sz w:val="26"/>
          <w:szCs w:val="26"/>
        </w:rPr>
        <w:t xml:space="preserve">  We believe that it is in the public interest to </w:t>
      </w:r>
      <w:r w:rsidR="000C1825">
        <w:rPr>
          <w:sz w:val="26"/>
          <w:szCs w:val="26"/>
        </w:rPr>
        <w:t xml:space="preserve">approve the </w:t>
      </w:r>
      <w:r w:rsidR="000807D2">
        <w:rPr>
          <w:sz w:val="26"/>
          <w:szCs w:val="26"/>
        </w:rPr>
        <w:t>settle</w:t>
      </w:r>
      <w:r w:rsidR="000C1825">
        <w:rPr>
          <w:sz w:val="26"/>
          <w:szCs w:val="26"/>
        </w:rPr>
        <w:t>ment of</w:t>
      </w:r>
      <w:r w:rsidR="000807D2">
        <w:rPr>
          <w:sz w:val="26"/>
          <w:szCs w:val="26"/>
        </w:rPr>
        <w:t xml:space="preserve"> this matter so as to avoid the expense of litigation and the possibility of appeals.  In addition, we believe that the Settlement is in the public interest </w:t>
      </w:r>
      <w:r w:rsidR="00352B78">
        <w:rPr>
          <w:sz w:val="26"/>
          <w:szCs w:val="26"/>
        </w:rPr>
        <w:t xml:space="preserve">because it promotes safety </w:t>
      </w:r>
      <w:r w:rsidR="00F77A75">
        <w:rPr>
          <w:sz w:val="26"/>
          <w:szCs w:val="26"/>
        </w:rPr>
        <w:t xml:space="preserve">through </w:t>
      </w:r>
      <w:r w:rsidR="00970448">
        <w:rPr>
          <w:sz w:val="26"/>
          <w:szCs w:val="26"/>
        </w:rPr>
        <w:t>e</w:t>
      </w:r>
      <w:r w:rsidR="00062301">
        <w:rPr>
          <w:sz w:val="26"/>
          <w:szCs w:val="26"/>
        </w:rPr>
        <w:t>nforcement of the Respondents</w:t>
      </w:r>
      <w:r w:rsidR="00E6070E">
        <w:rPr>
          <w:sz w:val="26"/>
          <w:szCs w:val="26"/>
        </w:rPr>
        <w:t>’</w:t>
      </w:r>
      <w:r w:rsidR="00062301">
        <w:rPr>
          <w:sz w:val="26"/>
          <w:szCs w:val="26"/>
        </w:rPr>
        <w:t xml:space="preserve"> registration and assessment obligations under Act 127, which will </w:t>
      </w:r>
      <w:r w:rsidR="00F5325D">
        <w:rPr>
          <w:sz w:val="26"/>
          <w:szCs w:val="26"/>
        </w:rPr>
        <w:t>aid the Pipeline Safety Division in locating and inspecting jurisdictional facilities to ensure compliance with Federal pipeline safety regulations</w:t>
      </w:r>
      <w:r w:rsidR="00352B78">
        <w:rPr>
          <w:sz w:val="26"/>
          <w:szCs w:val="26"/>
        </w:rPr>
        <w:t>.</w:t>
      </w:r>
    </w:p>
    <w:p w:rsidR="00356DD6" w:rsidRDefault="00356DD6" w:rsidP="00356DD6">
      <w:pPr>
        <w:suppressAutoHyphens/>
        <w:spacing w:line="360" w:lineRule="auto"/>
        <w:ind w:firstLine="1440"/>
        <w:jc w:val="both"/>
        <w:rPr>
          <w:color w:val="000000"/>
          <w:sz w:val="26"/>
          <w:szCs w:val="26"/>
          <w:u w:color="000000"/>
        </w:rPr>
      </w:pPr>
    </w:p>
    <w:p w:rsidR="00356DD6" w:rsidRDefault="00356DD6" w:rsidP="00356DD6">
      <w:pPr>
        <w:spacing w:line="360" w:lineRule="auto"/>
        <w:ind w:firstLine="1440"/>
        <w:rPr>
          <w:sz w:val="26"/>
          <w:szCs w:val="26"/>
        </w:rPr>
      </w:pPr>
      <w:r>
        <w:rPr>
          <w:sz w:val="26"/>
          <w:szCs w:val="26"/>
        </w:rPr>
        <w:t>For the reasons set forth above</w:t>
      </w:r>
      <w:r w:rsidRPr="002B0445">
        <w:rPr>
          <w:sz w:val="26"/>
          <w:szCs w:val="26"/>
        </w:rPr>
        <w:t>, after reviewing the terms of the Settlement Agreement, we</w:t>
      </w:r>
      <w:r>
        <w:rPr>
          <w:sz w:val="26"/>
          <w:szCs w:val="26"/>
        </w:rPr>
        <w:t xml:space="preserve"> find </w:t>
      </w:r>
      <w:r w:rsidR="00352B78">
        <w:rPr>
          <w:sz w:val="26"/>
          <w:szCs w:val="26"/>
        </w:rPr>
        <w:t>that approval of the Settlement is in the public interest and is consistent with the terms of our Policy Statement</w:t>
      </w:r>
      <w:r w:rsidRPr="002B0445">
        <w:rPr>
          <w:sz w:val="26"/>
          <w:szCs w:val="26"/>
        </w:rPr>
        <w:t>.</w:t>
      </w:r>
    </w:p>
    <w:p w:rsidR="00356DD6" w:rsidRPr="002B0445" w:rsidRDefault="00356DD6" w:rsidP="00356DD6">
      <w:pPr>
        <w:spacing w:line="360" w:lineRule="auto"/>
        <w:ind w:firstLine="1440"/>
        <w:rPr>
          <w:color w:val="000000"/>
          <w:sz w:val="26"/>
          <w:szCs w:val="26"/>
          <w:u w:color="000000"/>
        </w:rPr>
      </w:pPr>
    </w:p>
    <w:p w:rsidR="00356DD6" w:rsidRPr="00902F6F" w:rsidRDefault="00356DD6" w:rsidP="005C1A1F">
      <w:pPr>
        <w:keepNext/>
        <w:keepLines/>
        <w:spacing w:line="360" w:lineRule="auto"/>
        <w:jc w:val="center"/>
        <w:rPr>
          <w:sz w:val="26"/>
          <w:szCs w:val="26"/>
        </w:rPr>
      </w:pPr>
      <w:r w:rsidRPr="006E38D1">
        <w:rPr>
          <w:b/>
          <w:sz w:val="26"/>
          <w:szCs w:val="26"/>
        </w:rPr>
        <w:t>Conclusion</w:t>
      </w:r>
    </w:p>
    <w:p w:rsidR="00356DD6" w:rsidRPr="00FF22AE" w:rsidRDefault="00356DD6" w:rsidP="005C1A1F">
      <w:pPr>
        <w:keepNext/>
        <w:keepLines/>
        <w:spacing w:line="360" w:lineRule="auto"/>
        <w:ind w:firstLine="1440"/>
        <w:rPr>
          <w:sz w:val="26"/>
          <w:szCs w:val="26"/>
        </w:rPr>
      </w:pPr>
    </w:p>
    <w:p w:rsidR="00356DD6" w:rsidRPr="00FF22AE" w:rsidRDefault="00356DD6" w:rsidP="00356DD6">
      <w:pPr>
        <w:spacing w:line="360" w:lineRule="auto"/>
        <w:ind w:firstLine="1440"/>
        <w:rPr>
          <w:sz w:val="26"/>
          <w:szCs w:val="26"/>
        </w:rPr>
      </w:pPr>
      <w:r w:rsidRPr="00FF22AE">
        <w:rPr>
          <w:sz w:val="26"/>
          <w:szCs w:val="26"/>
        </w:rPr>
        <w:t xml:space="preserve">It is the Commission’s policy to promote settlements.  52 Pa. Code § 5.231.  The Parties herein have provided the Commission with sufficient information upon which to thoroughly consider the terms of the </w:t>
      </w:r>
      <w:r>
        <w:rPr>
          <w:sz w:val="26"/>
          <w:szCs w:val="26"/>
        </w:rPr>
        <w:t xml:space="preserve">proposed </w:t>
      </w:r>
      <w:r w:rsidR="00622C07">
        <w:rPr>
          <w:sz w:val="26"/>
          <w:szCs w:val="26"/>
        </w:rPr>
        <w:t>S</w:t>
      </w:r>
      <w:r w:rsidRPr="00FF22AE">
        <w:rPr>
          <w:sz w:val="26"/>
          <w:szCs w:val="26"/>
        </w:rPr>
        <w:t xml:space="preserve">ettlement.  </w:t>
      </w:r>
      <w:r>
        <w:rPr>
          <w:sz w:val="26"/>
          <w:szCs w:val="26"/>
        </w:rPr>
        <w:t xml:space="preserve">Based on our review of the record in this case, including the </w:t>
      </w:r>
      <w:r w:rsidRPr="00FF22AE">
        <w:rPr>
          <w:sz w:val="26"/>
          <w:szCs w:val="26"/>
        </w:rPr>
        <w:t>Settlement</w:t>
      </w:r>
      <w:r>
        <w:rPr>
          <w:sz w:val="26"/>
          <w:szCs w:val="26"/>
        </w:rPr>
        <w:t xml:space="preserve"> </w:t>
      </w:r>
      <w:r w:rsidR="0010072F">
        <w:rPr>
          <w:sz w:val="26"/>
          <w:szCs w:val="26"/>
        </w:rPr>
        <w:t xml:space="preserve">Agreement </w:t>
      </w:r>
      <w:r>
        <w:rPr>
          <w:sz w:val="26"/>
          <w:szCs w:val="26"/>
        </w:rPr>
        <w:t>and the Statements in Support thereof,</w:t>
      </w:r>
      <w:r w:rsidRPr="00FF22AE">
        <w:rPr>
          <w:sz w:val="26"/>
          <w:szCs w:val="26"/>
        </w:rPr>
        <w:t xml:space="preserve"> we find that the proposed </w:t>
      </w:r>
      <w:r w:rsidR="0010072F">
        <w:rPr>
          <w:sz w:val="26"/>
          <w:szCs w:val="26"/>
        </w:rPr>
        <w:t>S</w:t>
      </w:r>
      <w:r w:rsidRPr="00FF22AE">
        <w:rPr>
          <w:sz w:val="26"/>
          <w:szCs w:val="26"/>
        </w:rPr>
        <w:t xml:space="preserve">ettlement </w:t>
      </w:r>
      <w:r>
        <w:rPr>
          <w:sz w:val="26"/>
          <w:szCs w:val="26"/>
        </w:rPr>
        <w:t>is</w:t>
      </w:r>
      <w:r w:rsidRPr="00FF22AE">
        <w:rPr>
          <w:sz w:val="26"/>
          <w:szCs w:val="26"/>
        </w:rPr>
        <w:t xml:space="preserve"> in the public interest and merits approval; </w:t>
      </w:r>
      <w:r w:rsidRPr="00DA57A9">
        <w:rPr>
          <w:b/>
          <w:sz w:val="26"/>
          <w:szCs w:val="26"/>
        </w:rPr>
        <w:t>THER</w:t>
      </w:r>
      <w:r w:rsidRPr="00FF22AE">
        <w:rPr>
          <w:b/>
          <w:sz w:val="26"/>
          <w:szCs w:val="26"/>
        </w:rPr>
        <w:t>EFORE</w:t>
      </w:r>
      <w:r w:rsidRPr="00FF22AE">
        <w:rPr>
          <w:sz w:val="26"/>
          <w:szCs w:val="26"/>
        </w:rPr>
        <w:t>,</w:t>
      </w:r>
    </w:p>
    <w:p w:rsidR="0072268B" w:rsidRDefault="0072268B" w:rsidP="00356DD6">
      <w:pPr>
        <w:spacing w:line="360" w:lineRule="auto"/>
        <w:ind w:firstLine="1440"/>
        <w:rPr>
          <w:b/>
          <w:sz w:val="26"/>
          <w:szCs w:val="26"/>
        </w:rPr>
      </w:pPr>
    </w:p>
    <w:p w:rsidR="00356DD6" w:rsidRPr="00FF22AE" w:rsidRDefault="00356DD6" w:rsidP="00356DD6">
      <w:pPr>
        <w:spacing w:line="360" w:lineRule="auto"/>
        <w:ind w:firstLine="1440"/>
        <w:rPr>
          <w:b/>
          <w:sz w:val="26"/>
          <w:szCs w:val="26"/>
        </w:rPr>
      </w:pPr>
      <w:r w:rsidRPr="00FF22AE">
        <w:rPr>
          <w:b/>
          <w:sz w:val="26"/>
          <w:szCs w:val="26"/>
        </w:rPr>
        <w:t>IT IS ORDERED:</w:t>
      </w:r>
    </w:p>
    <w:p w:rsidR="002E229E" w:rsidRDefault="002E229E" w:rsidP="00AA6F30">
      <w:pPr>
        <w:tabs>
          <w:tab w:val="left" w:pos="-720"/>
        </w:tabs>
        <w:rPr>
          <w:sz w:val="26"/>
        </w:rPr>
      </w:pPr>
    </w:p>
    <w:p w:rsidR="00611E12" w:rsidRDefault="00A63028" w:rsidP="00A63028">
      <w:pPr>
        <w:tabs>
          <w:tab w:val="left" w:pos="-720"/>
        </w:tabs>
        <w:spacing w:line="360" w:lineRule="auto"/>
        <w:ind w:firstLine="1440"/>
        <w:rPr>
          <w:sz w:val="26"/>
        </w:rPr>
      </w:pPr>
      <w:r>
        <w:rPr>
          <w:sz w:val="26"/>
        </w:rPr>
        <w:t>1.</w:t>
      </w:r>
      <w:r>
        <w:rPr>
          <w:sz w:val="26"/>
        </w:rPr>
        <w:tab/>
      </w:r>
      <w:r w:rsidR="0078011A">
        <w:rPr>
          <w:sz w:val="26"/>
        </w:rPr>
        <w:t xml:space="preserve">That the </w:t>
      </w:r>
      <w:r w:rsidR="007425DE">
        <w:rPr>
          <w:sz w:val="26"/>
        </w:rPr>
        <w:t xml:space="preserve">Joint Petition for Approval of Settlement filed on September 6, 2017, by the Commission’s Bureau of Investigation and Enforcement and Brookhaven MHP Management LLC; Meadowview Management LLC; Mill Creek MHP Management LLC; Northwood Manor Management LLC; and ATG Properties LLC d/b/a Greenleaf Gas Company </w:t>
      </w:r>
      <w:r w:rsidR="00611E12">
        <w:rPr>
          <w:sz w:val="26"/>
        </w:rPr>
        <w:t xml:space="preserve">is </w:t>
      </w:r>
      <w:r w:rsidR="007F4997">
        <w:rPr>
          <w:sz w:val="26"/>
        </w:rPr>
        <w:t>granted</w:t>
      </w:r>
      <w:r w:rsidR="00C5761C">
        <w:rPr>
          <w:sz w:val="26"/>
        </w:rPr>
        <w:t>,</w:t>
      </w:r>
      <w:r w:rsidR="007F4997">
        <w:rPr>
          <w:sz w:val="26"/>
        </w:rPr>
        <w:t xml:space="preserve"> and the </w:t>
      </w:r>
      <w:r w:rsidR="00C5761C">
        <w:rPr>
          <w:sz w:val="26"/>
        </w:rPr>
        <w:t xml:space="preserve">Settlement is, hereby, </w:t>
      </w:r>
      <w:r w:rsidR="00611E12">
        <w:rPr>
          <w:sz w:val="26"/>
        </w:rPr>
        <w:t>approved.</w:t>
      </w:r>
    </w:p>
    <w:p w:rsidR="00A63028" w:rsidRDefault="00A63028" w:rsidP="00611E12">
      <w:pPr>
        <w:tabs>
          <w:tab w:val="left" w:pos="-720"/>
        </w:tabs>
        <w:spacing w:line="360" w:lineRule="auto"/>
        <w:rPr>
          <w:sz w:val="26"/>
        </w:rPr>
      </w:pPr>
    </w:p>
    <w:p w:rsidR="00A63028" w:rsidRPr="00F27520" w:rsidRDefault="00A63028" w:rsidP="00A63028">
      <w:pPr>
        <w:spacing w:line="360" w:lineRule="auto"/>
        <w:ind w:firstLine="1440"/>
        <w:rPr>
          <w:sz w:val="26"/>
          <w:szCs w:val="26"/>
        </w:rPr>
      </w:pPr>
      <w:r>
        <w:rPr>
          <w:sz w:val="26"/>
          <w:szCs w:val="26"/>
        </w:rPr>
        <w:t>2</w:t>
      </w:r>
      <w:r w:rsidRPr="00F27520">
        <w:rPr>
          <w:sz w:val="26"/>
          <w:szCs w:val="26"/>
        </w:rPr>
        <w:t>.</w:t>
      </w:r>
      <w:r w:rsidR="005A7DF2">
        <w:rPr>
          <w:sz w:val="26"/>
          <w:szCs w:val="26"/>
        </w:rPr>
        <w:tab/>
      </w:r>
      <w:r w:rsidRPr="00F27520">
        <w:rPr>
          <w:sz w:val="26"/>
          <w:szCs w:val="26"/>
        </w:rPr>
        <w:t xml:space="preserve">That within </w:t>
      </w:r>
      <w:r w:rsidR="009B7148">
        <w:rPr>
          <w:sz w:val="26"/>
          <w:szCs w:val="26"/>
        </w:rPr>
        <w:t>sixty</w:t>
      </w:r>
      <w:r w:rsidR="00843C74">
        <w:rPr>
          <w:sz w:val="26"/>
          <w:szCs w:val="26"/>
        </w:rPr>
        <w:t xml:space="preserve"> (</w:t>
      </w:r>
      <w:r w:rsidR="009B7148">
        <w:rPr>
          <w:sz w:val="26"/>
          <w:szCs w:val="26"/>
        </w:rPr>
        <w:t>6</w:t>
      </w:r>
      <w:r w:rsidR="00843C74">
        <w:rPr>
          <w:sz w:val="26"/>
          <w:szCs w:val="26"/>
        </w:rPr>
        <w:t>0)</w:t>
      </w:r>
      <w:r w:rsidRPr="00F27520">
        <w:rPr>
          <w:sz w:val="26"/>
          <w:szCs w:val="26"/>
        </w:rPr>
        <w:t xml:space="preserve"> days of </w:t>
      </w:r>
      <w:r w:rsidR="00376DE7">
        <w:rPr>
          <w:sz w:val="26"/>
          <w:szCs w:val="26"/>
        </w:rPr>
        <w:t xml:space="preserve">the entry date of this Opinion and Order, </w:t>
      </w:r>
      <w:r w:rsidR="00447518">
        <w:rPr>
          <w:sz w:val="26"/>
        </w:rPr>
        <w:t xml:space="preserve">Brookhaven MHP Management LLC, Meadowview Management LLC, Mill Creek MHP Management LLC, Northwood Manor Management LLC, and ATG Properties LLC d/b/a Greenleaf Gas Company </w:t>
      </w:r>
      <w:r w:rsidR="00376DE7">
        <w:rPr>
          <w:sz w:val="26"/>
          <w:szCs w:val="26"/>
        </w:rPr>
        <w:t xml:space="preserve">shall remit </w:t>
      </w:r>
      <w:bookmarkStart w:id="0" w:name="_Hlk521508465"/>
      <w:r w:rsidR="00376DE7">
        <w:rPr>
          <w:sz w:val="26"/>
          <w:szCs w:val="26"/>
        </w:rPr>
        <w:t>$</w:t>
      </w:r>
      <w:r w:rsidR="00E245C2">
        <w:rPr>
          <w:sz w:val="26"/>
          <w:szCs w:val="26"/>
        </w:rPr>
        <w:t>30</w:t>
      </w:r>
      <w:r w:rsidR="00376DE7">
        <w:rPr>
          <w:sz w:val="26"/>
          <w:szCs w:val="26"/>
        </w:rPr>
        <w:t>,0</w:t>
      </w:r>
      <w:r w:rsidR="00E245C2">
        <w:rPr>
          <w:sz w:val="26"/>
          <w:szCs w:val="26"/>
        </w:rPr>
        <w:t>6</w:t>
      </w:r>
      <w:r w:rsidR="00376DE7">
        <w:rPr>
          <w:sz w:val="26"/>
          <w:szCs w:val="26"/>
        </w:rPr>
        <w:t>0</w:t>
      </w:r>
      <w:r w:rsidR="00E245C2">
        <w:rPr>
          <w:sz w:val="26"/>
          <w:szCs w:val="26"/>
        </w:rPr>
        <w:t>.40</w:t>
      </w:r>
      <w:bookmarkEnd w:id="0"/>
      <w:r w:rsidR="00376DE7">
        <w:rPr>
          <w:sz w:val="26"/>
          <w:szCs w:val="26"/>
        </w:rPr>
        <w:t xml:space="preserve">, payable by certified check or money order, to </w:t>
      </w:r>
      <w:r w:rsidRPr="00F27520">
        <w:rPr>
          <w:sz w:val="26"/>
          <w:szCs w:val="26"/>
        </w:rPr>
        <w:t xml:space="preserve">“Commonwealth of Pennsylvania” </w:t>
      </w:r>
      <w:r w:rsidR="00843C74">
        <w:rPr>
          <w:sz w:val="26"/>
          <w:szCs w:val="26"/>
        </w:rPr>
        <w:t xml:space="preserve">with the docket numbers of this proceeding listed, </w:t>
      </w:r>
      <w:r w:rsidRPr="00F27520">
        <w:rPr>
          <w:sz w:val="26"/>
          <w:szCs w:val="26"/>
        </w:rPr>
        <w:t>and sent to:</w:t>
      </w:r>
    </w:p>
    <w:p w:rsidR="00A63028" w:rsidRPr="00F27520" w:rsidRDefault="00843C74" w:rsidP="007827A7">
      <w:pPr>
        <w:keepNext/>
        <w:spacing w:before="120"/>
        <w:ind w:firstLine="2160"/>
        <w:rPr>
          <w:sz w:val="26"/>
          <w:szCs w:val="26"/>
        </w:rPr>
      </w:pPr>
      <w:r>
        <w:rPr>
          <w:sz w:val="26"/>
          <w:szCs w:val="26"/>
        </w:rPr>
        <w:t xml:space="preserve">Rosemary Chiavetta, </w:t>
      </w:r>
      <w:r w:rsidR="00A63028" w:rsidRPr="00F27520">
        <w:rPr>
          <w:sz w:val="26"/>
          <w:szCs w:val="26"/>
        </w:rPr>
        <w:t xml:space="preserve">Secretary </w:t>
      </w:r>
    </w:p>
    <w:p w:rsidR="00A63028" w:rsidRPr="00F27520" w:rsidRDefault="00A63028" w:rsidP="00A63028">
      <w:pPr>
        <w:keepNext/>
        <w:ind w:firstLine="2160"/>
        <w:rPr>
          <w:sz w:val="26"/>
          <w:szCs w:val="26"/>
        </w:rPr>
      </w:pPr>
      <w:r w:rsidRPr="00F27520">
        <w:rPr>
          <w:sz w:val="26"/>
          <w:szCs w:val="26"/>
        </w:rPr>
        <w:t>Pennsylvania Public Utility Commission</w:t>
      </w:r>
    </w:p>
    <w:p w:rsidR="00843C74" w:rsidRDefault="00843C74" w:rsidP="00A63028">
      <w:pPr>
        <w:keepNext/>
        <w:ind w:firstLine="2160"/>
        <w:rPr>
          <w:sz w:val="26"/>
          <w:szCs w:val="26"/>
        </w:rPr>
      </w:pPr>
      <w:r>
        <w:rPr>
          <w:sz w:val="26"/>
          <w:szCs w:val="26"/>
        </w:rPr>
        <w:t>Commonwealth Keystone Building</w:t>
      </w:r>
    </w:p>
    <w:p w:rsidR="00A63028" w:rsidRPr="00F27520" w:rsidRDefault="00376DE7" w:rsidP="00A63028">
      <w:pPr>
        <w:keepNext/>
        <w:ind w:firstLine="2160"/>
        <w:rPr>
          <w:sz w:val="26"/>
          <w:szCs w:val="26"/>
        </w:rPr>
      </w:pPr>
      <w:r>
        <w:rPr>
          <w:sz w:val="26"/>
          <w:szCs w:val="26"/>
        </w:rPr>
        <w:t xml:space="preserve">400 North Street </w:t>
      </w:r>
    </w:p>
    <w:p w:rsidR="00A63028" w:rsidRDefault="00A63028" w:rsidP="00A63028">
      <w:pPr>
        <w:ind w:firstLine="2160"/>
        <w:rPr>
          <w:sz w:val="26"/>
          <w:szCs w:val="26"/>
        </w:rPr>
      </w:pPr>
      <w:r w:rsidRPr="00F27520">
        <w:rPr>
          <w:sz w:val="26"/>
          <w:szCs w:val="26"/>
        </w:rPr>
        <w:t>Harrisburg, PA  171</w:t>
      </w:r>
      <w:r w:rsidR="00376DE7">
        <w:rPr>
          <w:sz w:val="26"/>
          <w:szCs w:val="26"/>
        </w:rPr>
        <w:t>20</w:t>
      </w:r>
      <w:r w:rsidR="002F2F9C">
        <w:rPr>
          <w:rStyle w:val="FootnoteReference"/>
          <w:sz w:val="26"/>
          <w:szCs w:val="26"/>
        </w:rPr>
        <w:footnoteReference w:id="8"/>
      </w:r>
    </w:p>
    <w:p w:rsidR="00A63028" w:rsidRDefault="00A63028" w:rsidP="00A63028">
      <w:pPr>
        <w:ind w:firstLine="2160"/>
        <w:rPr>
          <w:sz w:val="26"/>
          <w:szCs w:val="26"/>
        </w:rPr>
      </w:pPr>
    </w:p>
    <w:p w:rsidR="00C5761C" w:rsidRPr="00F27520" w:rsidRDefault="00C5761C" w:rsidP="00A63028">
      <w:pPr>
        <w:ind w:firstLine="2160"/>
        <w:rPr>
          <w:sz w:val="26"/>
          <w:szCs w:val="26"/>
        </w:rPr>
      </w:pPr>
    </w:p>
    <w:p w:rsidR="00A63028" w:rsidRDefault="00A63028" w:rsidP="00A63028">
      <w:pPr>
        <w:spacing w:line="360" w:lineRule="auto"/>
        <w:rPr>
          <w:sz w:val="26"/>
          <w:szCs w:val="26"/>
        </w:rPr>
      </w:pPr>
      <w:r>
        <w:rPr>
          <w:sz w:val="26"/>
          <w:szCs w:val="26"/>
        </w:rPr>
        <w:tab/>
      </w:r>
      <w:r>
        <w:rPr>
          <w:sz w:val="26"/>
          <w:szCs w:val="26"/>
        </w:rPr>
        <w:tab/>
      </w:r>
      <w:r w:rsidR="0005518A">
        <w:rPr>
          <w:sz w:val="26"/>
          <w:szCs w:val="26"/>
        </w:rPr>
        <w:t>3</w:t>
      </w:r>
      <w:r w:rsidR="00C37F69">
        <w:rPr>
          <w:sz w:val="26"/>
          <w:szCs w:val="26"/>
        </w:rPr>
        <w:t>.</w:t>
      </w:r>
      <w:r w:rsidR="00C37F69">
        <w:rPr>
          <w:sz w:val="26"/>
          <w:szCs w:val="26"/>
        </w:rPr>
        <w:tab/>
      </w:r>
      <w:r w:rsidRPr="00F27520">
        <w:rPr>
          <w:sz w:val="26"/>
          <w:szCs w:val="26"/>
        </w:rPr>
        <w:t>That a copy of this Opinion and Order shall be served upon the Financial and Assessment Chief, Office of Administrative Services.</w:t>
      </w:r>
    </w:p>
    <w:p w:rsidR="00A63028" w:rsidRDefault="00A63028" w:rsidP="00A63028">
      <w:pPr>
        <w:spacing w:line="360" w:lineRule="auto"/>
        <w:ind w:firstLine="1440"/>
        <w:rPr>
          <w:sz w:val="26"/>
          <w:szCs w:val="26"/>
        </w:rPr>
      </w:pPr>
    </w:p>
    <w:p w:rsidR="00A63028" w:rsidRDefault="0005518A" w:rsidP="00A63028">
      <w:pPr>
        <w:spacing w:line="360" w:lineRule="auto"/>
        <w:ind w:firstLine="1440"/>
        <w:rPr>
          <w:sz w:val="26"/>
        </w:rPr>
      </w:pPr>
      <w:r>
        <w:rPr>
          <w:sz w:val="26"/>
          <w:szCs w:val="26"/>
        </w:rPr>
        <w:t>4</w:t>
      </w:r>
      <w:r w:rsidR="00A63028">
        <w:rPr>
          <w:sz w:val="26"/>
          <w:szCs w:val="26"/>
        </w:rPr>
        <w:t>.</w:t>
      </w:r>
      <w:r w:rsidR="00A63028">
        <w:rPr>
          <w:sz w:val="26"/>
          <w:szCs w:val="26"/>
        </w:rPr>
        <w:tab/>
      </w:r>
      <w:r w:rsidR="00A63028" w:rsidRPr="0090056F">
        <w:rPr>
          <w:sz w:val="26"/>
        </w:rPr>
        <w:t xml:space="preserve">That </w:t>
      </w:r>
      <w:r w:rsidR="00A63028">
        <w:rPr>
          <w:sz w:val="26"/>
        </w:rPr>
        <w:t xml:space="preserve">the Secretary’s Bureau shall mark </w:t>
      </w:r>
      <w:r w:rsidR="00A63028" w:rsidRPr="0090056F">
        <w:rPr>
          <w:sz w:val="26"/>
        </w:rPr>
        <w:t>this proceeding closed</w:t>
      </w:r>
      <w:r w:rsidR="00A63028">
        <w:rPr>
          <w:sz w:val="26"/>
        </w:rPr>
        <w:t xml:space="preserve"> upon </w:t>
      </w:r>
      <w:r w:rsidR="00E245C2">
        <w:rPr>
          <w:sz w:val="26"/>
        </w:rPr>
        <w:t xml:space="preserve">receipt of the </w:t>
      </w:r>
      <w:r w:rsidR="00E245C2">
        <w:rPr>
          <w:sz w:val="26"/>
          <w:szCs w:val="26"/>
        </w:rPr>
        <w:t>$30,060.40</w:t>
      </w:r>
      <w:r w:rsidR="002464A3">
        <w:rPr>
          <w:sz w:val="26"/>
          <w:szCs w:val="26"/>
        </w:rPr>
        <w:t xml:space="preserve"> payment</w:t>
      </w:r>
      <w:r w:rsidR="00E245C2">
        <w:rPr>
          <w:sz w:val="26"/>
          <w:szCs w:val="26"/>
        </w:rPr>
        <w:t>,</w:t>
      </w:r>
      <w:r w:rsidR="00C37F69">
        <w:rPr>
          <w:sz w:val="26"/>
        </w:rPr>
        <w:t xml:space="preserve"> </w:t>
      </w:r>
      <w:r w:rsidR="007827A7">
        <w:rPr>
          <w:sz w:val="26"/>
        </w:rPr>
        <w:t xml:space="preserve">as </w:t>
      </w:r>
      <w:r w:rsidR="00E245C2">
        <w:rPr>
          <w:sz w:val="26"/>
        </w:rPr>
        <w:t>directed in</w:t>
      </w:r>
      <w:r w:rsidR="00C37F69">
        <w:rPr>
          <w:sz w:val="26"/>
        </w:rPr>
        <w:t xml:space="preserve"> Ordering Paragraph No. </w:t>
      </w:r>
      <w:r w:rsidR="007827A7">
        <w:rPr>
          <w:sz w:val="26"/>
        </w:rPr>
        <w:t>2</w:t>
      </w:r>
      <w:r w:rsidR="00E245C2">
        <w:rPr>
          <w:sz w:val="26"/>
        </w:rPr>
        <w:t xml:space="preserve"> above</w:t>
      </w:r>
      <w:r w:rsidR="00A63028">
        <w:rPr>
          <w:sz w:val="26"/>
        </w:rPr>
        <w:t>.</w:t>
      </w:r>
    </w:p>
    <w:p w:rsidR="0087552D" w:rsidRPr="00F27520" w:rsidRDefault="0087552D" w:rsidP="00A63028">
      <w:pPr>
        <w:spacing w:line="360" w:lineRule="auto"/>
        <w:ind w:firstLine="1440"/>
        <w:rPr>
          <w:sz w:val="26"/>
          <w:szCs w:val="26"/>
        </w:rPr>
      </w:pPr>
    </w:p>
    <w:p w:rsidR="00E61914" w:rsidRPr="00E61914" w:rsidRDefault="00E36638" w:rsidP="00AA6F30">
      <w:pPr>
        <w:tabs>
          <w:tab w:val="left" w:pos="-720"/>
        </w:tabs>
        <w:rPr>
          <w:sz w:val="26"/>
        </w:rPr>
      </w:pPr>
      <w:bookmarkStart w:id="1" w:name="_GoBack"/>
      <w:r w:rsidRPr="009F01BA">
        <w:rPr>
          <w:b/>
          <w:noProof/>
          <w:sz w:val="20"/>
          <w:szCs w:val="20"/>
        </w:rPr>
        <w:drawing>
          <wp:anchor distT="0" distB="0" distL="114300" distR="114300" simplePos="0" relativeHeight="251659264" behindDoc="1" locked="0" layoutInCell="1" allowOverlap="1" wp14:anchorId="4C3CD48E" wp14:editId="54B32307">
            <wp:simplePos x="0" y="0"/>
            <wp:positionH relativeFrom="column">
              <wp:posOffset>3252486</wp:posOffset>
            </wp:positionH>
            <wp:positionV relativeFrom="paragraph">
              <wp:posOffset>43430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E61914" w:rsidRPr="00E61914">
        <w:rPr>
          <w:sz w:val="26"/>
        </w:rPr>
        <w:tab/>
      </w:r>
      <w:r w:rsidR="00E61914" w:rsidRPr="00E61914">
        <w:rPr>
          <w:sz w:val="26"/>
        </w:rPr>
        <w:tab/>
      </w:r>
      <w:r w:rsidR="00E61914" w:rsidRPr="00E61914">
        <w:rPr>
          <w:sz w:val="26"/>
        </w:rPr>
        <w:tab/>
      </w:r>
      <w:r w:rsidR="00E61914" w:rsidRPr="00E61914">
        <w:rPr>
          <w:sz w:val="26"/>
        </w:rPr>
        <w:tab/>
      </w:r>
      <w:r w:rsidR="00E61914" w:rsidRPr="00E61914">
        <w:rPr>
          <w:sz w:val="26"/>
        </w:rPr>
        <w:tab/>
      </w:r>
      <w:r w:rsidR="00E61914" w:rsidRPr="00E61914">
        <w:rPr>
          <w:sz w:val="26"/>
        </w:rPr>
        <w:tab/>
      </w:r>
      <w:r w:rsidR="00E61914" w:rsidRPr="00E61914">
        <w:rPr>
          <w:sz w:val="26"/>
        </w:rPr>
        <w:tab/>
      </w:r>
      <w:r w:rsidR="00E61914" w:rsidRPr="00E61914">
        <w:rPr>
          <w:b/>
          <w:sz w:val="26"/>
        </w:rPr>
        <w:t>BY THE COMMISSION,</w:t>
      </w:r>
    </w:p>
    <w:p w:rsidR="00E61914" w:rsidRPr="00E61914" w:rsidRDefault="00E61914" w:rsidP="00AA6F30">
      <w:pPr>
        <w:tabs>
          <w:tab w:val="left" w:pos="-720"/>
        </w:tabs>
        <w:rPr>
          <w:sz w:val="26"/>
        </w:rPr>
      </w:pPr>
    </w:p>
    <w:p w:rsidR="00E61914" w:rsidRDefault="00E61914" w:rsidP="00AA6F30">
      <w:pPr>
        <w:tabs>
          <w:tab w:val="left" w:pos="-720"/>
        </w:tabs>
        <w:rPr>
          <w:sz w:val="26"/>
        </w:rPr>
      </w:pPr>
    </w:p>
    <w:p w:rsidR="00EA321D" w:rsidRDefault="00EA321D" w:rsidP="00AA6F30">
      <w:pPr>
        <w:tabs>
          <w:tab w:val="left" w:pos="-720"/>
        </w:tabs>
        <w:rPr>
          <w:sz w:val="26"/>
        </w:rPr>
      </w:pPr>
    </w:p>
    <w:p w:rsidR="00A261E9" w:rsidRDefault="00A261E9" w:rsidP="00AA6F30">
      <w:pPr>
        <w:tabs>
          <w:tab w:val="left" w:pos="-720"/>
        </w:tabs>
        <w:rPr>
          <w:sz w:val="26"/>
        </w:rPr>
      </w:pPr>
    </w:p>
    <w:p w:rsidR="00E61914" w:rsidRPr="00E61914" w:rsidRDefault="00E61914" w:rsidP="00AA6F30">
      <w:pPr>
        <w:tabs>
          <w:tab w:val="left" w:pos="-720"/>
        </w:tabs>
        <w:rPr>
          <w:b/>
          <w:sz w:val="26"/>
        </w:rPr>
      </w:pPr>
      <w:r w:rsidRPr="00E61914">
        <w:rPr>
          <w:b/>
          <w:sz w:val="26"/>
        </w:rPr>
        <w:tab/>
      </w:r>
      <w:r w:rsidRPr="00E61914">
        <w:rPr>
          <w:b/>
          <w:sz w:val="26"/>
        </w:rPr>
        <w:tab/>
      </w:r>
      <w:r w:rsidRPr="00E61914">
        <w:rPr>
          <w:b/>
          <w:sz w:val="26"/>
        </w:rPr>
        <w:tab/>
      </w:r>
      <w:r w:rsidRPr="00E61914">
        <w:rPr>
          <w:b/>
          <w:sz w:val="26"/>
        </w:rPr>
        <w:tab/>
      </w:r>
      <w:r w:rsidRPr="00E61914">
        <w:rPr>
          <w:b/>
          <w:sz w:val="26"/>
        </w:rPr>
        <w:tab/>
      </w:r>
      <w:r w:rsidRPr="00E61914">
        <w:rPr>
          <w:b/>
          <w:sz w:val="26"/>
        </w:rPr>
        <w:tab/>
      </w:r>
      <w:r w:rsidRPr="00E61914">
        <w:rPr>
          <w:b/>
          <w:sz w:val="26"/>
        </w:rPr>
        <w:tab/>
      </w:r>
      <w:r w:rsidR="005F58D8">
        <w:rPr>
          <w:sz w:val="26"/>
        </w:rPr>
        <w:t>Rosemary Chiavetta</w:t>
      </w:r>
    </w:p>
    <w:p w:rsidR="00E61914" w:rsidRDefault="00E61914" w:rsidP="00AA6F30">
      <w:pPr>
        <w:tabs>
          <w:tab w:val="left" w:pos="-720"/>
        </w:tabs>
        <w:rPr>
          <w:sz w:val="26"/>
        </w:rPr>
      </w:pPr>
      <w:r w:rsidRPr="00E61914">
        <w:rPr>
          <w:sz w:val="26"/>
        </w:rPr>
        <w:tab/>
      </w:r>
      <w:r w:rsidRPr="00E61914">
        <w:rPr>
          <w:sz w:val="26"/>
        </w:rPr>
        <w:tab/>
      </w:r>
      <w:r w:rsidRPr="00E61914">
        <w:rPr>
          <w:sz w:val="26"/>
        </w:rPr>
        <w:tab/>
      </w:r>
      <w:r w:rsidRPr="00E61914">
        <w:rPr>
          <w:sz w:val="26"/>
        </w:rPr>
        <w:tab/>
      </w:r>
      <w:r w:rsidRPr="00E61914">
        <w:rPr>
          <w:sz w:val="26"/>
        </w:rPr>
        <w:tab/>
      </w:r>
      <w:r w:rsidRPr="00E61914">
        <w:rPr>
          <w:sz w:val="26"/>
        </w:rPr>
        <w:tab/>
      </w:r>
      <w:r w:rsidR="00950EF9">
        <w:rPr>
          <w:sz w:val="26"/>
        </w:rPr>
        <w:tab/>
      </w:r>
      <w:r w:rsidRPr="00E61914">
        <w:rPr>
          <w:sz w:val="26"/>
        </w:rPr>
        <w:t>Secretary</w:t>
      </w:r>
    </w:p>
    <w:p w:rsidR="006D6827" w:rsidRPr="00E61914" w:rsidRDefault="006D6827" w:rsidP="00AA6F30">
      <w:pPr>
        <w:tabs>
          <w:tab w:val="left" w:pos="-720"/>
        </w:tabs>
        <w:rPr>
          <w:sz w:val="26"/>
        </w:rPr>
      </w:pPr>
    </w:p>
    <w:p w:rsidR="00E61914" w:rsidRPr="00E61914" w:rsidRDefault="00E61914" w:rsidP="00AA6F30">
      <w:pPr>
        <w:tabs>
          <w:tab w:val="left" w:pos="-720"/>
        </w:tabs>
        <w:rPr>
          <w:sz w:val="26"/>
        </w:rPr>
      </w:pPr>
      <w:r w:rsidRPr="00E61914">
        <w:rPr>
          <w:sz w:val="26"/>
        </w:rPr>
        <w:t>(SEAL)</w:t>
      </w:r>
    </w:p>
    <w:p w:rsidR="00257BDE" w:rsidRDefault="00257BDE" w:rsidP="00AA6F30">
      <w:pPr>
        <w:tabs>
          <w:tab w:val="left" w:pos="-720"/>
        </w:tabs>
        <w:rPr>
          <w:sz w:val="26"/>
        </w:rPr>
      </w:pPr>
    </w:p>
    <w:p w:rsidR="00E61914" w:rsidRDefault="00D26BA8" w:rsidP="00AA6F30">
      <w:pPr>
        <w:tabs>
          <w:tab w:val="left" w:pos="-720"/>
        </w:tabs>
        <w:rPr>
          <w:sz w:val="26"/>
        </w:rPr>
      </w:pPr>
      <w:r>
        <w:rPr>
          <w:sz w:val="26"/>
        </w:rPr>
        <w:t>ORDER ADOPTED:</w:t>
      </w:r>
      <w:r w:rsidR="0005518A">
        <w:rPr>
          <w:sz w:val="26"/>
        </w:rPr>
        <w:t xml:space="preserve">  </w:t>
      </w:r>
      <w:r w:rsidR="000E7B81">
        <w:rPr>
          <w:sz w:val="26"/>
        </w:rPr>
        <w:t>August 23, 2018</w:t>
      </w:r>
    </w:p>
    <w:p w:rsidR="00093F1D" w:rsidRDefault="00093F1D" w:rsidP="00292C1A">
      <w:pPr>
        <w:tabs>
          <w:tab w:val="left" w:pos="-720"/>
          <w:tab w:val="center" w:pos="4680"/>
        </w:tabs>
        <w:rPr>
          <w:sz w:val="26"/>
        </w:rPr>
      </w:pPr>
    </w:p>
    <w:p w:rsidR="00737CA8" w:rsidRDefault="00E61914" w:rsidP="00292C1A">
      <w:pPr>
        <w:tabs>
          <w:tab w:val="left" w:pos="-720"/>
          <w:tab w:val="center" w:pos="4680"/>
        </w:tabs>
        <w:rPr>
          <w:sz w:val="26"/>
        </w:rPr>
      </w:pPr>
      <w:r w:rsidRPr="00E61914">
        <w:rPr>
          <w:sz w:val="26"/>
        </w:rPr>
        <w:t>ORDER ENTERED</w:t>
      </w:r>
      <w:r w:rsidR="005F58D8">
        <w:rPr>
          <w:sz w:val="26"/>
        </w:rPr>
        <w:t>:</w:t>
      </w:r>
      <w:r w:rsidR="00D26BA8">
        <w:rPr>
          <w:sz w:val="26"/>
        </w:rPr>
        <w:t xml:space="preserve">  </w:t>
      </w:r>
      <w:r w:rsidR="00E36638">
        <w:rPr>
          <w:sz w:val="26"/>
        </w:rPr>
        <w:t>August 23, 2018</w:t>
      </w:r>
    </w:p>
    <w:sectPr w:rsidR="00737CA8" w:rsidSect="00851C76">
      <w:footerReference w:type="default" r:id="rId9"/>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211" w:rsidRDefault="006F6211">
      <w:r>
        <w:separator/>
      </w:r>
    </w:p>
  </w:endnote>
  <w:endnote w:type="continuationSeparator" w:id="0">
    <w:p w:rsidR="006F6211" w:rsidRDefault="006F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128" w:rsidRPr="00594567" w:rsidRDefault="00377128">
    <w:pPr>
      <w:pStyle w:val="Footer"/>
      <w:jc w:val="center"/>
      <w:rPr>
        <w:sz w:val="26"/>
        <w:szCs w:val="26"/>
      </w:rPr>
    </w:pPr>
    <w:r w:rsidRPr="00594567">
      <w:rPr>
        <w:sz w:val="26"/>
        <w:szCs w:val="26"/>
      </w:rPr>
      <w:fldChar w:fldCharType="begin"/>
    </w:r>
    <w:r w:rsidRPr="00594567">
      <w:rPr>
        <w:sz w:val="26"/>
        <w:szCs w:val="26"/>
      </w:rPr>
      <w:instrText xml:space="preserve"> PAGE   \* MERGEFORMAT </w:instrText>
    </w:r>
    <w:r w:rsidRPr="00594567">
      <w:rPr>
        <w:sz w:val="26"/>
        <w:szCs w:val="26"/>
      </w:rPr>
      <w:fldChar w:fldCharType="separate"/>
    </w:r>
    <w:r w:rsidR="007D28C7">
      <w:rPr>
        <w:noProof/>
        <w:sz w:val="26"/>
        <w:szCs w:val="26"/>
      </w:rPr>
      <w:t>13</w:t>
    </w:r>
    <w:r w:rsidRPr="00594567">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211" w:rsidRDefault="006F6211">
      <w:r>
        <w:separator/>
      </w:r>
    </w:p>
  </w:footnote>
  <w:footnote w:type="continuationSeparator" w:id="0">
    <w:p w:rsidR="006F6211" w:rsidRDefault="006F6211">
      <w:r>
        <w:continuationSeparator/>
      </w:r>
    </w:p>
  </w:footnote>
  <w:footnote w:id="1">
    <w:p w:rsidR="00DB14F9" w:rsidRDefault="00DB14F9" w:rsidP="0087552D">
      <w:pPr>
        <w:pStyle w:val="FootnoteText"/>
        <w:keepNext/>
        <w:keepLines/>
        <w:spacing w:after="120"/>
        <w:rPr>
          <w:sz w:val="26"/>
        </w:rPr>
      </w:pPr>
      <w:r>
        <w:tab/>
      </w:r>
      <w:r w:rsidRPr="00DB14F9">
        <w:rPr>
          <w:rStyle w:val="FootnoteReference"/>
          <w:sz w:val="26"/>
        </w:rPr>
        <w:footnoteRef/>
      </w:r>
      <w:r w:rsidRPr="00DB14F9">
        <w:rPr>
          <w:sz w:val="26"/>
        </w:rPr>
        <w:tab/>
        <w:t xml:space="preserve">The Commission’s Final Implementation Order in </w:t>
      </w:r>
      <w:r w:rsidRPr="00DB14F9">
        <w:rPr>
          <w:i/>
          <w:sz w:val="26"/>
        </w:rPr>
        <w:t>Act 127 of 2011 – The Gas and Hazardous Liquids Pipeline Act; Assessment of Pipeline Operators</w:t>
      </w:r>
      <w:r w:rsidRPr="00DB14F9">
        <w:rPr>
          <w:sz w:val="26"/>
        </w:rPr>
        <w:t>, Docket No. M-2012-2282031</w:t>
      </w:r>
      <w:r>
        <w:rPr>
          <w:sz w:val="26"/>
        </w:rPr>
        <w:t>, Ordering Paragraph No. 1</w:t>
      </w:r>
      <w:r w:rsidRPr="00DB14F9">
        <w:rPr>
          <w:sz w:val="26"/>
        </w:rPr>
        <w:t xml:space="preserve"> (Order entered February 17, 2012), provides the following:</w:t>
      </w:r>
    </w:p>
    <w:p w:rsidR="00DB14F9" w:rsidRPr="00DB14F9" w:rsidRDefault="00DB14F9" w:rsidP="0087552D">
      <w:pPr>
        <w:pStyle w:val="FootnoteText"/>
        <w:keepNext/>
        <w:keepLines/>
        <w:spacing w:after="120"/>
        <w:ind w:left="1440" w:right="1440"/>
        <w:rPr>
          <w:sz w:val="26"/>
        </w:rPr>
      </w:pPr>
      <w:r>
        <w:rPr>
          <w:sz w:val="26"/>
        </w:rPr>
        <w:t>All pipeline operators in the Commonwealth of Pennsylvania shall file with the Commission an Initial Registration Form (attached hereto as Appendix A) by March 16, 2012, and an Annual Registration Form by March 31</w:t>
      </w:r>
      <w:r w:rsidRPr="00DB14F9">
        <w:rPr>
          <w:sz w:val="26"/>
          <w:vertAlign w:val="superscript"/>
        </w:rPr>
        <w:t>st</w:t>
      </w:r>
      <w:r>
        <w:rPr>
          <w:sz w:val="26"/>
        </w:rPr>
        <w:t xml:space="preserve"> of each year thereafter, in accordance with this Final Implementation Order and the then-current Pipeline Operator Annual Registration Form.</w:t>
      </w:r>
    </w:p>
  </w:footnote>
  <w:footnote w:id="2">
    <w:p w:rsidR="00530AE3" w:rsidRPr="00F71624" w:rsidRDefault="00DB14F9" w:rsidP="0087552D">
      <w:pPr>
        <w:pStyle w:val="FootnoteText"/>
        <w:keepNext/>
        <w:keepLines/>
        <w:spacing w:after="120"/>
        <w:rPr>
          <w:sz w:val="26"/>
        </w:rPr>
      </w:pPr>
      <w:r>
        <w:rPr>
          <w:sz w:val="26"/>
        </w:rPr>
        <w:tab/>
      </w:r>
      <w:r w:rsidR="00530AE3" w:rsidRPr="00F71624">
        <w:rPr>
          <w:rStyle w:val="FootnoteReference"/>
          <w:sz w:val="26"/>
        </w:rPr>
        <w:footnoteRef/>
      </w:r>
      <w:r w:rsidR="00F71624">
        <w:rPr>
          <w:sz w:val="26"/>
        </w:rPr>
        <w:tab/>
      </w:r>
      <w:r w:rsidR="00530AE3" w:rsidRPr="00F71624">
        <w:rPr>
          <w:sz w:val="26"/>
        </w:rPr>
        <w:t xml:space="preserve">I&amp;E indicated that it was not </w:t>
      </w:r>
      <w:r w:rsidR="002D7E3B" w:rsidRPr="00F71624">
        <w:rPr>
          <w:sz w:val="26"/>
        </w:rPr>
        <w:t xml:space="preserve">pursuing prosecution for the Respondents’ alleged failure to </w:t>
      </w:r>
      <w:r w:rsidR="00525852" w:rsidRPr="00F71624">
        <w:rPr>
          <w:sz w:val="26"/>
        </w:rPr>
        <w:t xml:space="preserve">file an </w:t>
      </w:r>
      <w:r w:rsidR="00F71624" w:rsidRPr="00F71624">
        <w:rPr>
          <w:sz w:val="26"/>
        </w:rPr>
        <w:t xml:space="preserve">Initial Registration Form or to file </w:t>
      </w:r>
      <w:r w:rsidR="002D7E3B" w:rsidRPr="00F71624">
        <w:rPr>
          <w:sz w:val="26"/>
        </w:rPr>
        <w:t>Annual Registration Forms for pipeline miles in operation during the 2012 and 2013 calendar years</w:t>
      </w:r>
      <w:r w:rsidR="00F71624" w:rsidRPr="00F71624">
        <w:rPr>
          <w:sz w:val="26"/>
        </w:rPr>
        <w:t xml:space="preserve"> because these alleged violations were more than three years old.  </w:t>
      </w:r>
      <w:r w:rsidR="00F71624" w:rsidRPr="00F71624">
        <w:rPr>
          <w:i/>
          <w:sz w:val="26"/>
        </w:rPr>
        <w:t>See</w:t>
      </w:r>
      <w:r w:rsidR="00F71624" w:rsidRPr="00F71624">
        <w:rPr>
          <w:sz w:val="26"/>
        </w:rPr>
        <w:t xml:space="preserve"> 66 Pa. C.S. § 3314 (related to limitation of actions and cumulation of remedies).</w:t>
      </w:r>
      <w:r w:rsidR="0082620D">
        <w:rPr>
          <w:sz w:val="26"/>
        </w:rPr>
        <w:t xml:space="preserve">  Complaint at 8, 9.</w:t>
      </w:r>
    </w:p>
  </w:footnote>
  <w:footnote w:id="3">
    <w:p w:rsidR="008623FE" w:rsidRPr="00592BA4" w:rsidRDefault="008623FE" w:rsidP="003C5146">
      <w:pPr>
        <w:pStyle w:val="FootnoteText"/>
        <w:keepNext/>
        <w:keepLines/>
        <w:spacing w:after="120"/>
        <w:ind w:right="1440" w:firstLine="720"/>
        <w:rPr>
          <w:rFonts w:eastAsia="Calibri"/>
          <w:sz w:val="26"/>
          <w:szCs w:val="26"/>
        </w:rPr>
      </w:pPr>
      <w:r w:rsidRPr="00592BA4">
        <w:rPr>
          <w:rStyle w:val="FootnoteReference"/>
          <w:sz w:val="26"/>
        </w:rPr>
        <w:footnoteRef/>
      </w:r>
      <w:r w:rsidRPr="00592BA4">
        <w:rPr>
          <w:sz w:val="26"/>
        </w:rPr>
        <w:t xml:space="preserve"> </w:t>
      </w:r>
      <w:r w:rsidR="003929B9" w:rsidRPr="00592BA4">
        <w:rPr>
          <w:sz w:val="26"/>
        </w:rPr>
        <w:tab/>
      </w:r>
      <w:r w:rsidRPr="00592BA4">
        <w:rPr>
          <w:rFonts w:eastAsia="Calibri"/>
          <w:sz w:val="26"/>
          <w:szCs w:val="26"/>
        </w:rPr>
        <w:t>Section 503(d) of Act 127 provides:</w:t>
      </w:r>
    </w:p>
    <w:p w:rsidR="008623FE" w:rsidRPr="00592BA4" w:rsidRDefault="008623FE" w:rsidP="0087552D">
      <w:pPr>
        <w:keepNext/>
        <w:keepLines/>
        <w:spacing w:after="120"/>
        <w:ind w:left="1440" w:right="1440"/>
        <w:rPr>
          <w:rFonts w:eastAsia="Calibri"/>
          <w:i/>
          <w:sz w:val="26"/>
          <w:szCs w:val="26"/>
        </w:rPr>
      </w:pPr>
      <w:r w:rsidRPr="00592BA4">
        <w:rPr>
          <w:rFonts w:eastAsia="Calibri"/>
          <w:bCs/>
          <w:color w:val="252525"/>
          <w:sz w:val="26"/>
          <w:szCs w:val="26"/>
        </w:rPr>
        <w:t>(d) Reporting of miles.</w:t>
      </w:r>
      <w:r w:rsidR="00592BA4" w:rsidRPr="00592BA4">
        <w:rPr>
          <w:rFonts w:eastAsia="Calibri"/>
          <w:b/>
          <w:bCs/>
          <w:color w:val="252525"/>
          <w:sz w:val="26"/>
          <w:szCs w:val="26"/>
        </w:rPr>
        <w:t>—</w:t>
      </w:r>
      <w:r w:rsidRPr="00592BA4">
        <w:rPr>
          <w:rFonts w:eastAsia="Calibri"/>
          <w:color w:val="252525"/>
          <w:sz w:val="26"/>
          <w:szCs w:val="26"/>
        </w:rPr>
        <w:t>Following the submission of the original application, each pipeline operator shall, on or before March 31 of each calendar year, report to the commission its total intrastate regulated transmission, regulated distribution and regulated onshore gathering pipeline miles in operation for the transportation of gas and hazardous liquids in this Commonwealth during the prior calendar year.</w:t>
      </w:r>
    </w:p>
    <w:p w:rsidR="008623FE" w:rsidRPr="00592BA4" w:rsidRDefault="008623FE" w:rsidP="0087552D">
      <w:pPr>
        <w:pStyle w:val="FootnoteText"/>
        <w:keepNext/>
        <w:keepLines/>
        <w:spacing w:after="120"/>
        <w:rPr>
          <w:sz w:val="26"/>
        </w:rPr>
      </w:pPr>
    </w:p>
  </w:footnote>
  <w:footnote w:id="4">
    <w:p w:rsidR="002C66D8" w:rsidRPr="002C66D8" w:rsidRDefault="002C66D8" w:rsidP="0087552D">
      <w:pPr>
        <w:keepNext/>
        <w:keepLines/>
        <w:spacing w:after="120"/>
        <w:rPr>
          <w:rStyle w:val="ssbf1"/>
          <w:rFonts w:cs="Helvetica"/>
          <w:color w:val="auto"/>
          <w:sz w:val="26"/>
          <w:szCs w:val="21"/>
        </w:rPr>
      </w:pPr>
      <w:r>
        <w:rPr>
          <w:sz w:val="26"/>
        </w:rPr>
        <w:tab/>
      </w:r>
      <w:r w:rsidR="00C5627B" w:rsidRPr="002C66D8">
        <w:rPr>
          <w:rStyle w:val="FootnoteReference"/>
          <w:sz w:val="26"/>
        </w:rPr>
        <w:footnoteRef/>
      </w:r>
      <w:r w:rsidRPr="002C66D8">
        <w:rPr>
          <w:sz w:val="26"/>
        </w:rPr>
        <w:tab/>
        <w:t>Section 503(b) of Act 127 provides the following</w:t>
      </w:r>
      <w:r>
        <w:rPr>
          <w:sz w:val="26"/>
        </w:rPr>
        <w:t>, in pertinent part</w:t>
      </w:r>
      <w:r w:rsidRPr="002C66D8">
        <w:rPr>
          <w:sz w:val="26"/>
        </w:rPr>
        <w:t>:</w:t>
      </w:r>
    </w:p>
    <w:p w:rsidR="002C66D8" w:rsidRPr="001C69A2" w:rsidRDefault="002C66D8" w:rsidP="0087552D">
      <w:pPr>
        <w:keepNext/>
        <w:keepLines/>
        <w:spacing w:after="120"/>
        <w:ind w:left="1440" w:right="1440"/>
        <w:rPr>
          <w:rStyle w:val="ssparacontent"/>
          <w:rFonts w:cs="Helvetica"/>
          <w:sz w:val="26"/>
          <w:szCs w:val="21"/>
        </w:rPr>
      </w:pPr>
      <w:r w:rsidRPr="004F7C9B">
        <w:rPr>
          <w:rStyle w:val="ssbf1"/>
          <w:rFonts w:cs="Helvetica"/>
          <w:b w:val="0"/>
          <w:color w:val="auto"/>
          <w:sz w:val="26"/>
          <w:szCs w:val="21"/>
        </w:rPr>
        <w:t>(b)  A</w:t>
      </w:r>
      <w:r w:rsidR="004F7C9B">
        <w:rPr>
          <w:rStyle w:val="ssbf1"/>
          <w:rFonts w:cs="Helvetica"/>
          <w:b w:val="0"/>
          <w:color w:val="auto"/>
          <w:sz w:val="26"/>
          <w:szCs w:val="21"/>
        </w:rPr>
        <w:t>ssessments</w:t>
      </w:r>
      <w:r w:rsidRPr="004F7C9B">
        <w:rPr>
          <w:rStyle w:val="ssbf1"/>
          <w:rFonts w:cs="Helvetica"/>
          <w:b w:val="0"/>
          <w:color w:val="auto"/>
          <w:sz w:val="26"/>
          <w:szCs w:val="21"/>
        </w:rPr>
        <w:t>.</w:t>
      </w:r>
    </w:p>
    <w:p w:rsidR="002C66D8" w:rsidRPr="002C66D8" w:rsidRDefault="002C66D8" w:rsidP="0087552D">
      <w:pPr>
        <w:keepNext/>
        <w:keepLines/>
        <w:spacing w:after="120"/>
        <w:ind w:left="1440" w:right="1440"/>
        <w:rPr>
          <w:rStyle w:val="ssparacontent"/>
          <w:rFonts w:cs="Helvetica"/>
          <w:sz w:val="26"/>
          <w:szCs w:val="21"/>
        </w:rPr>
      </w:pPr>
      <w:r>
        <w:rPr>
          <w:rStyle w:val="ssbf1"/>
          <w:rFonts w:cs="Helvetica"/>
          <w:color w:val="auto"/>
          <w:sz w:val="26"/>
          <w:szCs w:val="21"/>
        </w:rPr>
        <w:tab/>
      </w:r>
      <w:r w:rsidRPr="004F7C9B">
        <w:rPr>
          <w:rStyle w:val="ssbf1"/>
          <w:rFonts w:cs="Helvetica"/>
          <w:b w:val="0"/>
          <w:color w:val="auto"/>
          <w:sz w:val="26"/>
          <w:szCs w:val="21"/>
        </w:rPr>
        <w:t>(1)</w:t>
      </w:r>
      <w:r w:rsidRPr="002C66D8">
        <w:rPr>
          <w:rStyle w:val="ssbf1"/>
          <w:rFonts w:cs="Helvetica"/>
          <w:color w:val="auto"/>
          <w:sz w:val="26"/>
          <w:szCs w:val="21"/>
        </w:rPr>
        <w:t> </w:t>
      </w:r>
      <w:r w:rsidRPr="002C66D8">
        <w:rPr>
          <w:rStyle w:val="ssparalabel"/>
          <w:rFonts w:cs="Helvetica"/>
          <w:sz w:val="26"/>
          <w:szCs w:val="21"/>
        </w:rPr>
        <w:t> </w:t>
      </w:r>
      <w:r w:rsidRPr="002C66D8">
        <w:rPr>
          <w:rStyle w:val="ssparacontent"/>
          <w:rFonts w:cs="Helvetica"/>
          <w:sz w:val="26"/>
          <w:szCs w:val="21"/>
        </w:rPr>
        <w:t>The commission shall determine an appropriate annual assessment based on intrastate regulated transmission, regulated distribution and regulated onshore gathering pipeline miles. The assessment shall be adjusted to collect the commission’s total costs of the pipeline operators’ portion, excluding the costs otherwise reimbursed by the Federal Government, of:</w:t>
      </w:r>
    </w:p>
    <w:p w:rsidR="002C66D8" w:rsidRPr="002C66D8" w:rsidRDefault="002C66D8" w:rsidP="0087552D">
      <w:pPr>
        <w:keepNext/>
        <w:keepLines/>
        <w:spacing w:after="120"/>
        <w:ind w:left="1440" w:right="1440"/>
        <w:rPr>
          <w:sz w:val="26"/>
        </w:rPr>
      </w:pPr>
      <w:r>
        <w:rPr>
          <w:rStyle w:val="ssbf1"/>
          <w:rFonts w:cs="Helvetica"/>
          <w:color w:val="auto"/>
          <w:sz w:val="26"/>
          <w:szCs w:val="21"/>
        </w:rPr>
        <w:tab/>
      </w:r>
      <w:r>
        <w:rPr>
          <w:rStyle w:val="ssbf1"/>
          <w:rFonts w:cs="Helvetica"/>
          <w:color w:val="auto"/>
          <w:sz w:val="26"/>
          <w:szCs w:val="21"/>
        </w:rPr>
        <w:tab/>
      </w:r>
      <w:r w:rsidRPr="004F7C9B">
        <w:rPr>
          <w:rStyle w:val="ssbf1"/>
          <w:rFonts w:cs="Helvetica"/>
          <w:b w:val="0"/>
          <w:color w:val="auto"/>
          <w:sz w:val="26"/>
          <w:szCs w:val="21"/>
        </w:rPr>
        <w:t>(i)</w:t>
      </w:r>
      <w:r w:rsidRPr="002C66D8">
        <w:rPr>
          <w:rStyle w:val="ssbf1"/>
          <w:rFonts w:cs="Helvetica"/>
          <w:color w:val="auto"/>
          <w:sz w:val="26"/>
          <w:szCs w:val="21"/>
        </w:rPr>
        <w:t> </w:t>
      </w:r>
      <w:r w:rsidRPr="002C66D8">
        <w:rPr>
          <w:rStyle w:val="ssparalabel"/>
          <w:rFonts w:cs="Helvetica"/>
          <w:sz w:val="26"/>
          <w:szCs w:val="21"/>
        </w:rPr>
        <w:t> </w:t>
      </w:r>
      <w:r w:rsidRPr="002C66D8">
        <w:rPr>
          <w:rStyle w:val="ssparacontent"/>
          <w:rFonts w:cs="Helvetica"/>
          <w:sz w:val="26"/>
          <w:szCs w:val="21"/>
        </w:rPr>
        <w:t>The gas pipeline safety program, plus a reasonable allocation of indirect costs.</w:t>
      </w:r>
    </w:p>
    <w:p w:rsidR="002C66D8" w:rsidRDefault="002C66D8" w:rsidP="0087552D">
      <w:pPr>
        <w:keepNext/>
        <w:keepLines/>
        <w:spacing w:after="120"/>
        <w:ind w:left="1440" w:right="1440"/>
        <w:rPr>
          <w:rStyle w:val="ssparacontent"/>
          <w:rFonts w:cs="Helvetica"/>
          <w:sz w:val="26"/>
          <w:szCs w:val="21"/>
        </w:rPr>
      </w:pPr>
      <w:r>
        <w:rPr>
          <w:rStyle w:val="ssbf1"/>
          <w:rFonts w:cs="Helvetica"/>
          <w:color w:val="auto"/>
          <w:sz w:val="26"/>
          <w:szCs w:val="21"/>
        </w:rPr>
        <w:tab/>
      </w:r>
      <w:r>
        <w:rPr>
          <w:rStyle w:val="ssbf1"/>
          <w:rFonts w:cs="Helvetica"/>
          <w:color w:val="auto"/>
          <w:sz w:val="26"/>
          <w:szCs w:val="21"/>
        </w:rPr>
        <w:tab/>
      </w:r>
      <w:r w:rsidRPr="004F7C9B">
        <w:rPr>
          <w:rStyle w:val="ssbf1"/>
          <w:rFonts w:cs="Helvetica"/>
          <w:b w:val="0"/>
          <w:color w:val="auto"/>
          <w:sz w:val="26"/>
          <w:szCs w:val="21"/>
        </w:rPr>
        <w:t>(ii)</w:t>
      </w:r>
      <w:r w:rsidRPr="002C66D8">
        <w:rPr>
          <w:rStyle w:val="ssbf1"/>
          <w:rFonts w:cs="Helvetica"/>
          <w:color w:val="auto"/>
          <w:sz w:val="26"/>
          <w:szCs w:val="21"/>
        </w:rPr>
        <w:t> </w:t>
      </w:r>
      <w:r w:rsidRPr="002C66D8">
        <w:rPr>
          <w:rStyle w:val="ssparalabel"/>
          <w:rFonts w:cs="Helvetica"/>
          <w:sz w:val="26"/>
          <w:szCs w:val="21"/>
        </w:rPr>
        <w:t> </w:t>
      </w:r>
      <w:r w:rsidRPr="002C66D8">
        <w:rPr>
          <w:rStyle w:val="ssparacontent"/>
          <w:rFonts w:cs="Helvetica"/>
          <w:sz w:val="26"/>
          <w:szCs w:val="21"/>
        </w:rPr>
        <w:t>The hazardous liquids pipeline safety program.</w:t>
      </w:r>
    </w:p>
    <w:p w:rsidR="00C5627B" w:rsidRPr="002C66D8" w:rsidRDefault="002C66D8" w:rsidP="001C69A2">
      <w:pPr>
        <w:keepNext/>
        <w:keepLines/>
        <w:spacing w:after="120"/>
        <w:ind w:left="1440" w:right="1440"/>
      </w:pPr>
      <w:r>
        <w:rPr>
          <w:rStyle w:val="ssbf1"/>
          <w:rFonts w:cs="Helvetica"/>
          <w:color w:val="auto"/>
          <w:sz w:val="26"/>
          <w:szCs w:val="21"/>
        </w:rPr>
        <w:tab/>
      </w:r>
      <w:r w:rsidRPr="004F7C9B">
        <w:rPr>
          <w:rStyle w:val="ssbf1"/>
          <w:rFonts w:cs="Helvetica"/>
          <w:b w:val="0"/>
          <w:color w:val="auto"/>
          <w:sz w:val="26"/>
          <w:szCs w:val="21"/>
        </w:rPr>
        <w:t>(2)</w:t>
      </w:r>
      <w:r w:rsidRPr="002C66D8">
        <w:rPr>
          <w:rStyle w:val="ssbf1"/>
          <w:rFonts w:cs="Helvetica"/>
          <w:color w:val="auto"/>
          <w:sz w:val="26"/>
          <w:szCs w:val="21"/>
        </w:rPr>
        <w:t> </w:t>
      </w:r>
      <w:r w:rsidRPr="002C66D8">
        <w:rPr>
          <w:rStyle w:val="ssparalabel"/>
          <w:rFonts w:cs="Helvetica"/>
          <w:sz w:val="26"/>
          <w:szCs w:val="21"/>
        </w:rPr>
        <w:t> </w:t>
      </w:r>
      <w:r w:rsidRPr="002C66D8">
        <w:rPr>
          <w:rStyle w:val="ssparacontent"/>
          <w:rFonts w:cs="Helvetica"/>
          <w:sz w:val="26"/>
          <w:szCs w:val="21"/>
        </w:rPr>
        <w:t>The assessment shall be paid by pipeline operators and shall not be applicable to natural gas public utilities.</w:t>
      </w:r>
    </w:p>
  </w:footnote>
  <w:footnote w:id="5">
    <w:p w:rsidR="006C5AC0" w:rsidRDefault="00F56121" w:rsidP="0087552D">
      <w:pPr>
        <w:pStyle w:val="FootnoteText"/>
        <w:keepNext/>
        <w:keepLines/>
        <w:spacing w:after="120"/>
      </w:pPr>
      <w:r>
        <w:tab/>
      </w:r>
      <w:r w:rsidR="006C5AC0" w:rsidRPr="00F56121">
        <w:rPr>
          <w:rStyle w:val="FootnoteReference"/>
          <w:sz w:val="26"/>
        </w:rPr>
        <w:footnoteRef/>
      </w:r>
      <w:r w:rsidRPr="00F56121">
        <w:rPr>
          <w:sz w:val="26"/>
        </w:rPr>
        <w:tab/>
      </w:r>
      <w:r w:rsidR="006C5AC0" w:rsidRPr="00F56121">
        <w:rPr>
          <w:sz w:val="26"/>
        </w:rPr>
        <w:t xml:space="preserve">Master meter systems are regulated under Federal pipeline safety laws.  A master meter system is defined as “[a] pipeline system </w:t>
      </w:r>
      <w:r w:rsidR="00586436" w:rsidRPr="00F56121">
        <w:rPr>
          <w:rFonts w:cs="Helvetica"/>
          <w:sz w:val="26"/>
          <w:szCs w:val="21"/>
        </w:rPr>
        <w:t xml:space="preserve">for distributing gas within, but not limited to, a definable area, such as a mobile home park, housing project, or apartment complex, where the operator purchases metered gas from an outside source for resale through a gas distribution pipeline system. </w:t>
      </w:r>
      <w:r w:rsidR="006312FD">
        <w:rPr>
          <w:rFonts w:cs="Helvetica"/>
          <w:sz w:val="26"/>
          <w:szCs w:val="21"/>
        </w:rPr>
        <w:t xml:space="preserve"> </w:t>
      </w:r>
      <w:r w:rsidR="00586436" w:rsidRPr="00F56121">
        <w:rPr>
          <w:rFonts w:cs="Helvetica"/>
          <w:sz w:val="26"/>
          <w:szCs w:val="21"/>
        </w:rPr>
        <w:t>The gas distribution pipeline system supplies the ultimate consumer who either purchases the gas directly through a meter or by other means, such as by rents</w:t>
      </w:r>
      <w:r w:rsidRPr="00F56121">
        <w:rPr>
          <w:rFonts w:cs="Helvetica"/>
          <w:sz w:val="26"/>
          <w:szCs w:val="21"/>
        </w:rPr>
        <w:t>.</w:t>
      </w:r>
      <w:r>
        <w:rPr>
          <w:rFonts w:cs="Helvetica"/>
          <w:sz w:val="26"/>
          <w:szCs w:val="21"/>
        </w:rPr>
        <w:t xml:space="preserve">  49 C.F.R. </w:t>
      </w:r>
      <w:r>
        <w:rPr>
          <w:sz w:val="26"/>
          <w:szCs w:val="21"/>
        </w:rPr>
        <w:t>§</w:t>
      </w:r>
      <w:r>
        <w:rPr>
          <w:rFonts w:cs="Helvetica"/>
          <w:sz w:val="26"/>
          <w:szCs w:val="21"/>
        </w:rPr>
        <w:t xml:space="preserve"> 191.3.</w:t>
      </w:r>
    </w:p>
  </w:footnote>
  <w:footnote w:id="6">
    <w:p w:rsidR="00273A0D" w:rsidRPr="006E38D1" w:rsidRDefault="00273A0D" w:rsidP="0087552D">
      <w:pPr>
        <w:keepNext/>
        <w:keepLines/>
        <w:spacing w:after="120"/>
        <w:rPr>
          <w:sz w:val="26"/>
          <w:szCs w:val="26"/>
        </w:rPr>
      </w:pPr>
      <w:r w:rsidRPr="006E38D1">
        <w:rPr>
          <w:sz w:val="26"/>
          <w:szCs w:val="26"/>
        </w:rPr>
        <w:tab/>
      </w:r>
      <w:r w:rsidRPr="006E38D1">
        <w:rPr>
          <w:rStyle w:val="FootnoteReference"/>
          <w:sz w:val="26"/>
          <w:szCs w:val="26"/>
        </w:rPr>
        <w:footnoteRef/>
      </w:r>
      <w:r w:rsidRPr="006E38D1">
        <w:rPr>
          <w:sz w:val="26"/>
          <w:szCs w:val="26"/>
        </w:rPr>
        <w:t xml:space="preserve"> </w:t>
      </w:r>
      <w:r w:rsidRPr="006E38D1">
        <w:rPr>
          <w:sz w:val="26"/>
          <w:szCs w:val="26"/>
        </w:rPr>
        <w:tab/>
        <w:t xml:space="preserve">Section 3301(c) provides the following:  </w:t>
      </w:r>
    </w:p>
    <w:p w:rsidR="00273A0D" w:rsidRDefault="00273A0D" w:rsidP="003C5146">
      <w:pPr>
        <w:keepNext/>
        <w:keepLines/>
        <w:spacing w:after="120"/>
        <w:ind w:left="1440" w:right="1440"/>
      </w:pPr>
      <w:r w:rsidRPr="00C06958">
        <w:rPr>
          <w:bCs/>
          <w:color w:val="000000"/>
          <w:sz w:val="26"/>
          <w:szCs w:val="26"/>
        </w:rPr>
        <w:t>(c) Gas pipeline safety violations.</w:t>
      </w:r>
      <w:r w:rsidR="00347250" w:rsidRPr="00C06958">
        <w:rPr>
          <w:bCs/>
          <w:color w:val="000000"/>
          <w:sz w:val="26"/>
          <w:szCs w:val="26"/>
        </w:rPr>
        <w:t>—</w:t>
      </w:r>
      <w:r w:rsidRPr="006E38D1">
        <w:rPr>
          <w:color w:val="000000"/>
          <w:sz w:val="26"/>
          <w:szCs w:val="26"/>
        </w:rPr>
        <w:t>Any person or corporation, defined as a public utility in this part, who violates any provisions of this part governing the safety of pipeline or conduit facilities in the transportation of natural gas, flammable gas, or gas which is toxic or corrosive, or of any regulation or order issued thereunder, shall be subject to a civil penalty of not to exceed $200,000 for each violation for each day that the violation persists, except that the maximum civil penalty shall not exceed $2,000,000 for any related series of violations, or subject to a penalty provided under Federal pipeline safety laws, whichever is greater.</w:t>
      </w:r>
    </w:p>
  </w:footnote>
  <w:footnote w:id="7">
    <w:p w:rsidR="00D80890" w:rsidRPr="00CA692E" w:rsidRDefault="00D70405" w:rsidP="0087552D">
      <w:pPr>
        <w:pStyle w:val="FootnoteText"/>
        <w:keepNext/>
        <w:keepLines/>
        <w:spacing w:after="120"/>
        <w:rPr>
          <w:sz w:val="26"/>
        </w:rPr>
      </w:pPr>
      <w:r>
        <w:tab/>
      </w:r>
      <w:r w:rsidR="00D80890" w:rsidRPr="00CA692E">
        <w:rPr>
          <w:rStyle w:val="FootnoteReference"/>
          <w:sz w:val="26"/>
        </w:rPr>
        <w:footnoteRef/>
      </w:r>
      <w:r w:rsidR="00D80890" w:rsidRPr="00CA692E">
        <w:rPr>
          <w:sz w:val="26"/>
        </w:rPr>
        <w:t xml:space="preserve"> </w:t>
      </w:r>
      <w:r w:rsidRPr="00CA692E">
        <w:rPr>
          <w:sz w:val="26"/>
        </w:rPr>
        <w:tab/>
        <w:t xml:space="preserve">This case is distinguishable from </w:t>
      </w:r>
      <w:r w:rsidRPr="00CA692E">
        <w:rPr>
          <w:i/>
          <w:sz w:val="26"/>
        </w:rPr>
        <w:t>Pa. PUC v. Continental Communities, LLC and Hickory Hills MHC, LLC</w:t>
      </w:r>
      <w:r w:rsidRPr="00CA692E">
        <w:rPr>
          <w:sz w:val="26"/>
        </w:rPr>
        <w:t xml:space="preserve"> (</w:t>
      </w:r>
      <w:r w:rsidRPr="00CA692E">
        <w:rPr>
          <w:i/>
          <w:sz w:val="26"/>
        </w:rPr>
        <w:t>Hickory Hills</w:t>
      </w:r>
      <w:r w:rsidRPr="00CA692E">
        <w:rPr>
          <w:sz w:val="26"/>
        </w:rPr>
        <w:t>), Docket No. C-2015-2468131 (Final Order entered August 11, 2016)</w:t>
      </w:r>
      <w:r w:rsidR="00162C0C" w:rsidRPr="00CA692E">
        <w:rPr>
          <w:sz w:val="26"/>
        </w:rPr>
        <w:t>, in which this Commission approved a settlement agreement where the respondents paid a $1,000,000 civil penalty</w:t>
      </w:r>
      <w:r w:rsidRPr="00CA692E">
        <w:rPr>
          <w:sz w:val="26"/>
        </w:rPr>
        <w:t xml:space="preserve">.  </w:t>
      </w:r>
      <w:r w:rsidR="00162C0C" w:rsidRPr="00CA692E">
        <w:rPr>
          <w:sz w:val="26"/>
        </w:rPr>
        <w:t xml:space="preserve">While </w:t>
      </w:r>
      <w:r w:rsidR="00162C0C" w:rsidRPr="00CA692E">
        <w:rPr>
          <w:i/>
          <w:sz w:val="26"/>
        </w:rPr>
        <w:t>Hickory Hills</w:t>
      </w:r>
      <w:r w:rsidR="00162C0C" w:rsidRPr="00CA692E">
        <w:rPr>
          <w:sz w:val="26"/>
        </w:rPr>
        <w:t xml:space="preserve"> involved allegations that the respondents failed to register with the Commission a propane distribution system </w:t>
      </w:r>
      <w:r w:rsidR="00DD715B" w:rsidRPr="00CA692E">
        <w:rPr>
          <w:sz w:val="26"/>
        </w:rPr>
        <w:t>at a manufactured housing community</w:t>
      </w:r>
      <w:r w:rsidR="00CA692E" w:rsidRPr="00CA692E">
        <w:rPr>
          <w:sz w:val="26"/>
        </w:rPr>
        <w:t xml:space="preserve"> and failed to pay Act 127 assessment fees</w:t>
      </w:r>
      <w:r w:rsidR="00DD715B" w:rsidRPr="00CA692E">
        <w:rPr>
          <w:sz w:val="26"/>
        </w:rPr>
        <w:t xml:space="preserve">, that case also involved an </w:t>
      </w:r>
      <w:r w:rsidR="00CA692E" w:rsidRPr="00CA692E">
        <w:rPr>
          <w:sz w:val="26"/>
        </w:rPr>
        <w:t>explosion that resulted in one fatality, injury to another individual, and substantial property damage.</w:t>
      </w:r>
    </w:p>
  </w:footnote>
  <w:footnote w:id="8">
    <w:p w:rsidR="002F2F9C" w:rsidRPr="00DA322D" w:rsidRDefault="002F2F9C" w:rsidP="0087552D">
      <w:pPr>
        <w:pStyle w:val="FootnoteText"/>
        <w:keepNext/>
        <w:keepLines/>
        <w:spacing w:after="120"/>
        <w:rPr>
          <w:sz w:val="26"/>
        </w:rPr>
      </w:pPr>
      <w:r>
        <w:tab/>
      </w:r>
      <w:r w:rsidRPr="00DA322D">
        <w:rPr>
          <w:rStyle w:val="FootnoteReference"/>
          <w:sz w:val="26"/>
        </w:rPr>
        <w:footnoteRef/>
      </w:r>
      <w:r w:rsidRPr="00DA322D">
        <w:rPr>
          <w:sz w:val="26"/>
        </w:rPr>
        <w:t xml:space="preserve"> </w:t>
      </w:r>
      <w:r w:rsidRPr="00DA322D">
        <w:rPr>
          <w:sz w:val="26"/>
        </w:rPr>
        <w:tab/>
        <w:t xml:space="preserve">We </w:t>
      </w:r>
      <w:r w:rsidR="00CD6A33">
        <w:rPr>
          <w:sz w:val="26"/>
        </w:rPr>
        <w:t xml:space="preserve">clarify </w:t>
      </w:r>
      <w:r w:rsidR="00E64752">
        <w:rPr>
          <w:sz w:val="26"/>
        </w:rPr>
        <w:t xml:space="preserve">here </w:t>
      </w:r>
      <w:r w:rsidR="00CD6A33">
        <w:rPr>
          <w:sz w:val="26"/>
        </w:rPr>
        <w:t xml:space="preserve">that the penalty </w:t>
      </w:r>
      <w:r w:rsidR="00E64752">
        <w:rPr>
          <w:sz w:val="26"/>
        </w:rPr>
        <w:t xml:space="preserve">and assessment </w:t>
      </w:r>
      <w:r w:rsidR="00CD6A33">
        <w:rPr>
          <w:sz w:val="26"/>
        </w:rPr>
        <w:t xml:space="preserve">should </w:t>
      </w:r>
      <w:r w:rsidR="00E64752">
        <w:rPr>
          <w:sz w:val="26"/>
        </w:rPr>
        <w:t>sent to the address listed in Ordering Paragraph No. 2, rather than the P.O. Box listed in the Settlement.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822CE"/>
    <w:multiLevelType w:val="hybridMultilevel"/>
    <w:tmpl w:val="DC3459A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8DB580D"/>
    <w:multiLevelType w:val="hybridMultilevel"/>
    <w:tmpl w:val="84E4A98E"/>
    <w:lvl w:ilvl="0" w:tplc="7A1874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D782CE5"/>
    <w:multiLevelType w:val="hybridMultilevel"/>
    <w:tmpl w:val="2F7AADA2"/>
    <w:lvl w:ilvl="0" w:tplc="A1244B9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4FD266B"/>
    <w:multiLevelType w:val="hybridMultilevel"/>
    <w:tmpl w:val="1D0CAC72"/>
    <w:lvl w:ilvl="0" w:tplc="813C424E">
      <w:start w:val="1"/>
      <w:numFmt w:val="decimal"/>
      <w:lvlText w:val="(%1)"/>
      <w:lvlJc w:val="left"/>
      <w:pPr>
        <w:ind w:left="2520" w:hanging="360"/>
      </w:pPr>
      <w:rPr>
        <w:rFonts w:hint="default"/>
        <w:sz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138779E"/>
    <w:multiLevelType w:val="hybridMultilevel"/>
    <w:tmpl w:val="D6587574"/>
    <w:lvl w:ilvl="0" w:tplc="0CEE79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6E62CA"/>
    <w:multiLevelType w:val="hybridMultilevel"/>
    <w:tmpl w:val="01D21EAA"/>
    <w:lvl w:ilvl="0" w:tplc="D1A8C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9807DC6"/>
    <w:multiLevelType w:val="hybridMultilevel"/>
    <w:tmpl w:val="E7900392"/>
    <w:lvl w:ilvl="0" w:tplc="D7FEA5C0">
      <w:start w:val="10"/>
      <w:numFmt w:val="decimal"/>
      <w:lvlText w:val="%1."/>
      <w:lvlJc w:val="left"/>
      <w:pPr>
        <w:tabs>
          <w:tab w:val="num" w:pos="1440"/>
        </w:tabs>
        <w:ind w:firstLine="720"/>
      </w:pPr>
      <w:rPr>
        <w:rFonts w:hint="default"/>
        <w:b w:val="0"/>
        <w:bCs w:val="0"/>
      </w:rPr>
    </w:lvl>
    <w:lvl w:ilvl="1" w:tplc="9D74DC84">
      <w:start w:val="20"/>
      <w:numFmt w:val="decimal"/>
      <w:lvlText w:val="%2"/>
      <w:lvlJc w:val="left"/>
      <w:pPr>
        <w:tabs>
          <w:tab w:val="num" w:pos="1860"/>
        </w:tabs>
        <w:ind w:left="1860" w:hanging="780"/>
      </w:pPr>
      <w:rPr>
        <w:rFonts w:hint="default"/>
        <w:b w:val="0"/>
        <w:bCs w:val="0"/>
      </w:rPr>
    </w:lvl>
    <w:lvl w:ilvl="2" w:tplc="077A3596">
      <w:start w:val="1"/>
      <w:numFmt w:val="lowerRoman"/>
      <w:lvlText w:val="%3."/>
      <w:lvlJc w:val="right"/>
      <w:pPr>
        <w:tabs>
          <w:tab w:val="num" w:pos="2160"/>
        </w:tabs>
        <w:ind w:left="2160" w:hanging="180"/>
      </w:pPr>
      <w:rPr>
        <w:rFonts w:hint="default"/>
      </w:rPr>
    </w:lvl>
    <w:lvl w:ilvl="3" w:tplc="17626B10">
      <w:start w:val="1"/>
      <w:numFmt w:val="upperLetter"/>
      <w:lvlText w:val="%4."/>
      <w:lvlJc w:val="left"/>
      <w:pPr>
        <w:tabs>
          <w:tab w:val="num" w:pos="2880"/>
        </w:tabs>
        <w:ind w:left="2880" w:hanging="360"/>
      </w:pPr>
      <w:rPr>
        <w:rFonts w:hint="default"/>
        <w:sz w:val="26"/>
        <w:szCs w:val="26"/>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9EA5F0A"/>
    <w:multiLevelType w:val="hybridMultilevel"/>
    <w:tmpl w:val="9CCCB16E"/>
    <w:lvl w:ilvl="0" w:tplc="1124E0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06D2773"/>
    <w:multiLevelType w:val="hybridMultilevel"/>
    <w:tmpl w:val="3FA4F5B4"/>
    <w:lvl w:ilvl="0" w:tplc="D1A8CD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1D805C8"/>
    <w:multiLevelType w:val="hybridMultilevel"/>
    <w:tmpl w:val="C6DC9ACC"/>
    <w:lvl w:ilvl="0" w:tplc="D7FEC8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D07265"/>
    <w:multiLevelType w:val="hybridMultilevel"/>
    <w:tmpl w:val="682E026A"/>
    <w:lvl w:ilvl="0" w:tplc="F760D358">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79C2AF0"/>
    <w:multiLevelType w:val="hybridMultilevel"/>
    <w:tmpl w:val="25D483A4"/>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E4F89"/>
    <w:multiLevelType w:val="hybridMultilevel"/>
    <w:tmpl w:val="DDB4C2E8"/>
    <w:lvl w:ilvl="0" w:tplc="9DD47F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AD5448"/>
    <w:multiLevelType w:val="hybridMultilevel"/>
    <w:tmpl w:val="AB2E9224"/>
    <w:lvl w:ilvl="0" w:tplc="107E24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AE141B"/>
    <w:multiLevelType w:val="hybridMultilevel"/>
    <w:tmpl w:val="A28C8018"/>
    <w:lvl w:ilvl="0" w:tplc="A6C44F9A">
      <w:start w:val="1"/>
      <w:numFmt w:val="lowerLetter"/>
      <w:lvlText w:val="%1."/>
      <w:lvlJc w:val="left"/>
      <w:pPr>
        <w:tabs>
          <w:tab w:val="num" w:pos="1080"/>
        </w:tabs>
        <w:ind w:left="1080" w:hanging="360"/>
      </w:pPr>
      <w:rPr>
        <w:rFonts w:ascii="Times New Roman" w:eastAsia="Times New Roman" w:hAnsi="Times New Roman" w:cs="Times New Roman"/>
      </w:rPr>
    </w:lvl>
    <w:lvl w:ilvl="1" w:tplc="4686F50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75A34CBE"/>
    <w:multiLevelType w:val="hybridMultilevel"/>
    <w:tmpl w:val="9BF81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3"/>
  </w:num>
  <w:num w:numId="4">
    <w:abstractNumId w:val="15"/>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13"/>
  </w:num>
  <w:num w:numId="10">
    <w:abstractNumId w:val="12"/>
  </w:num>
  <w:num w:numId="11">
    <w:abstractNumId w:val="9"/>
  </w:num>
  <w:num w:numId="12">
    <w:abstractNumId w:val="4"/>
  </w:num>
  <w:num w:numId="13">
    <w:abstractNumId w:val="1"/>
  </w:num>
  <w:num w:numId="14">
    <w:abstractNumId w:val="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9A"/>
    <w:rsid w:val="00004E5B"/>
    <w:rsid w:val="00005617"/>
    <w:rsid w:val="00005FC9"/>
    <w:rsid w:val="000060F9"/>
    <w:rsid w:val="000234BA"/>
    <w:rsid w:val="00023CC8"/>
    <w:rsid w:val="00023D3C"/>
    <w:rsid w:val="000242CA"/>
    <w:rsid w:val="0002495C"/>
    <w:rsid w:val="000270E2"/>
    <w:rsid w:val="00032210"/>
    <w:rsid w:val="000409EF"/>
    <w:rsid w:val="00041536"/>
    <w:rsid w:val="000439B2"/>
    <w:rsid w:val="000440CB"/>
    <w:rsid w:val="0004624D"/>
    <w:rsid w:val="00046321"/>
    <w:rsid w:val="00046C0C"/>
    <w:rsid w:val="00046CAE"/>
    <w:rsid w:val="0004783E"/>
    <w:rsid w:val="0005518A"/>
    <w:rsid w:val="00062301"/>
    <w:rsid w:val="00062E18"/>
    <w:rsid w:val="000677DF"/>
    <w:rsid w:val="00067CB6"/>
    <w:rsid w:val="00067EA4"/>
    <w:rsid w:val="000710CE"/>
    <w:rsid w:val="0007174A"/>
    <w:rsid w:val="00074092"/>
    <w:rsid w:val="000741D7"/>
    <w:rsid w:val="00075DE1"/>
    <w:rsid w:val="000807D2"/>
    <w:rsid w:val="00084C71"/>
    <w:rsid w:val="0009033F"/>
    <w:rsid w:val="00090ECE"/>
    <w:rsid w:val="000914BD"/>
    <w:rsid w:val="00091C5A"/>
    <w:rsid w:val="00092977"/>
    <w:rsid w:val="000934CC"/>
    <w:rsid w:val="0009353E"/>
    <w:rsid w:val="00093F1D"/>
    <w:rsid w:val="000976E2"/>
    <w:rsid w:val="00097FA0"/>
    <w:rsid w:val="000A12C5"/>
    <w:rsid w:val="000A27D2"/>
    <w:rsid w:val="000A2B74"/>
    <w:rsid w:val="000A30AE"/>
    <w:rsid w:val="000A507C"/>
    <w:rsid w:val="000A5A04"/>
    <w:rsid w:val="000A6775"/>
    <w:rsid w:val="000B1F71"/>
    <w:rsid w:val="000B30F4"/>
    <w:rsid w:val="000B3138"/>
    <w:rsid w:val="000B3E0C"/>
    <w:rsid w:val="000B5D76"/>
    <w:rsid w:val="000C0AB8"/>
    <w:rsid w:val="000C1561"/>
    <w:rsid w:val="000C1825"/>
    <w:rsid w:val="000C47CD"/>
    <w:rsid w:val="000C6FAA"/>
    <w:rsid w:val="000D017E"/>
    <w:rsid w:val="000D14CA"/>
    <w:rsid w:val="000D5CD2"/>
    <w:rsid w:val="000E337C"/>
    <w:rsid w:val="000E35BD"/>
    <w:rsid w:val="000E4412"/>
    <w:rsid w:val="000E4DCE"/>
    <w:rsid w:val="000E4EA1"/>
    <w:rsid w:val="000E6D8B"/>
    <w:rsid w:val="000E7968"/>
    <w:rsid w:val="000E7B81"/>
    <w:rsid w:val="000F1CD4"/>
    <w:rsid w:val="000F5C8F"/>
    <w:rsid w:val="000F690F"/>
    <w:rsid w:val="0010072F"/>
    <w:rsid w:val="00100F45"/>
    <w:rsid w:val="001018F8"/>
    <w:rsid w:val="00102F54"/>
    <w:rsid w:val="00103D93"/>
    <w:rsid w:val="001045C5"/>
    <w:rsid w:val="00104FB3"/>
    <w:rsid w:val="00105F3D"/>
    <w:rsid w:val="00107AE1"/>
    <w:rsid w:val="001102FF"/>
    <w:rsid w:val="00111639"/>
    <w:rsid w:val="00112E23"/>
    <w:rsid w:val="00120F27"/>
    <w:rsid w:val="001211B4"/>
    <w:rsid w:val="00121C0D"/>
    <w:rsid w:val="0012288D"/>
    <w:rsid w:val="00123FA5"/>
    <w:rsid w:val="00125E1D"/>
    <w:rsid w:val="00126D45"/>
    <w:rsid w:val="00130638"/>
    <w:rsid w:val="00130A58"/>
    <w:rsid w:val="00130F1A"/>
    <w:rsid w:val="00135157"/>
    <w:rsid w:val="00137573"/>
    <w:rsid w:val="0014029B"/>
    <w:rsid w:val="00141946"/>
    <w:rsid w:val="00142718"/>
    <w:rsid w:val="00142E8F"/>
    <w:rsid w:val="00145C8B"/>
    <w:rsid w:val="001506F9"/>
    <w:rsid w:val="00150845"/>
    <w:rsid w:val="001512D0"/>
    <w:rsid w:val="0015190E"/>
    <w:rsid w:val="00153527"/>
    <w:rsid w:val="0015457C"/>
    <w:rsid w:val="0015467F"/>
    <w:rsid w:val="00155A51"/>
    <w:rsid w:val="001562E0"/>
    <w:rsid w:val="001572FC"/>
    <w:rsid w:val="00157EA0"/>
    <w:rsid w:val="0016014A"/>
    <w:rsid w:val="0016172D"/>
    <w:rsid w:val="00162C0C"/>
    <w:rsid w:val="00164E4D"/>
    <w:rsid w:val="001652C5"/>
    <w:rsid w:val="00165A3B"/>
    <w:rsid w:val="00167EEE"/>
    <w:rsid w:val="00170098"/>
    <w:rsid w:val="00173B03"/>
    <w:rsid w:val="00175193"/>
    <w:rsid w:val="00175926"/>
    <w:rsid w:val="001765B0"/>
    <w:rsid w:val="001806A9"/>
    <w:rsid w:val="0018781A"/>
    <w:rsid w:val="0019024F"/>
    <w:rsid w:val="001914DF"/>
    <w:rsid w:val="00193936"/>
    <w:rsid w:val="00193D9A"/>
    <w:rsid w:val="001A1D90"/>
    <w:rsid w:val="001A2ACC"/>
    <w:rsid w:val="001A2FD3"/>
    <w:rsid w:val="001A338D"/>
    <w:rsid w:val="001A3868"/>
    <w:rsid w:val="001A6110"/>
    <w:rsid w:val="001A64BF"/>
    <w:rsid w:val="001A68BB"/>
    <w:rsid w:val="001A7E52"/>
    <w:rsid w:val="001B0BA4"/>
    <w:rsid w:val="001B1A87"/>
    <w:rsid w:val="001B45A1"/>
    <w:rsid w:val="001B4CAC"/>
    <w:rsid w:val="001B4DA4"/>
    <w:rsid w:val="001B6E7B"/>
    <w:rsid w:val="001C0BC1"/>
    <w:rsid w:val="001C1244"/>
    <w:rsid w:val="001C5764"/>
    <w:rsid w:val="001C5F7A"/>
    <w:rsid w:val="001C69A2"/>
    <w:rsid w:val="001D1A0B"/>
    <w:rsid w:val="001D1B4F"/>
    <w:rsid w:val="001D4A42"/>
    <w:rsid w:val="001D6489"/>
    <w:rsid w:val="001E1174"/>
    <w:rsid w:val="001E224D"/>
    <w:rsid w:val="001E2818"/>
    <w:rsid w:val="001E6B70"/>
    <w:rsid w:val="001E7BF6"/>
    <w:rsid w:val="001F2899"/>
    <w:rsid w:val="001F2CC8"/>
    <w:rsid w:val="001F405E"/>
    <w:rsid w:val="002034A2"/>
    <w:rsid w:val="002035AF"/>
    <w:rsid w:val="00207F03"/>
    <w:rsid w:val="002124F5"/>
    <w:rsid w:val="00212DC1"/>
    <w:rsid w:val="00214083"/>
    <w:rsid w:val="00215069"/>
    <w:rsid w:val="00215EE6"/>
    <w:rsid w:val="00216C76"/>
    <w:rsid w:val="0022554C"/>
    <w:rsid w:val="00225907"/>
    <w:rsid w:val="00227C2C"/>
    <w:rsid w:val="00230D76"/>
    <w:rsid w:val="00232CBE"/>
    <w:rsid w:val="002345DE"/>
    <w:rsid w:val="002366D6"/>
    <w:rsid w:val="00236CA8"/>
    <w:rsid w:val="00237CD5"/>
    <w:rsid w:val="00241CFE"/>
    <w:rsid w:val="00241D7D"/>
    <w:rsid w:val="002429EF"/>
    <w:rsid w:val="00242F7D"/>
    <w:rsid w:val="002455AB"/>
    <w:rsid w:val="00245F31"/>
    <w:rsid w:val="002464A3"/>
    <w:rsid w:val="0024751C"/>
    <w:rsid w:val="002506D9"/>
    <w:rsid w:val="002510A4"/>
    <w:rsid w:val="0025162D"/>
    <w:rsid w:val="002517B6"/>
    <w:rsid w:val="00253939"/>
    <w:rsid w:val="002550F1"/>
    <w:rsid w:val="002552C0"/>
    <w:rsid w:val="00255F4B"/>
    <w:rsid w:val="0025657C"/>
    <w:rsid w:val="0025666E"/>
    <w:rsid w:val="00257BDE"/>
    <w:rsid w:val="002619C1"/>
    <w:rsid w:val="00263371"/>
    <w:rsid w:val="002641B9"/>
    <w:rsid w:val="00266481"/>
    <w:rsid w:val="00270EA8"/>
    <w:rsid w:val="002718B5"/>
    <w:rsid w:val="00271E42"/>
    <w:rsid w:val="00273A0D"/>
    <w:rsid w:val="00273D32"/>
    <w:rsid w:val="00274FEA"/>
    <w:rsid w:val="00275CDD"/>
    <w:rsid w:val="0028146D"/>
    <w:rsid w:val="00281DC7"/>
    <w:rsid w:val="002839FE"/>
    <w:rsid w:val="0028479A"/>
    <w:rsid w:val="00284A45"/>
    <w:rsid w:val="00285209"/>
    <w:rsid w:val="00285296"/>
    <w:rsid w:val="00285861"/>
    <w:rsid w:val="00286B84"/>
    <w:rsid w:val="002878A3"/>
    <w:rsid w:val="00292C1A"/>
    <w:rsid w:val="00294858"/>
    <w:rsid w:val="002971E9"/>
    <w:rsid w:val="00297C5D"/>
    <w:rsid w:val="002A0BFD"/>
    <w:rsid w:val="002A18A7"/>
    <w:rsid w:val="002A2BE9"/>
    <w:rsid w:val="002A2D1A"/>
    <w:rsid w:val="002A700C"/>
    <w:rsid w:val="002B0123"/>
    <w:rsid w:val="002B0C62"/>
    <w:rsid w:val="002B1273"/>
    <w:rsid w:val="002B138F"/>
    <w:rsid w:val="002B2888"/>
    <w:rsid w:val="002B36D8"/>
    <w:rsid w:val="002B4515"/>
    <w:rsid w:val="002B4B77"/>
    <w:rsid w:val="002B5860"/>
    <w:rsid w:val="002C299E"/>
    <w:rsid w:val="002C4D08"/>
    <w:rsid w:val="002C66D8"/>
    <w:rsid w:val="002C7C9B"/>
    <w:rsid w:val="002D15B4"/>
    <w:rsid w:val="002D168C"/>
    <w:rsid w:val="002D2AE2"/>
    <w:rsid w:val="002D350F"/>
    <w:rsid w:val="002D40CD"/>
    <w:rsid w:val="002D46D8"/>
    <w:rsid w:val="002D57CE"/>
    <w:rsid w:val="002D5A09"/>
    <w:rsid w:val="002D79FF"/>
    <w:rsid w:val="002D7E3B"/>
    <w:rsid w:val="002E1C19"/>
    <w:rsid w:val="002E1DC9"/>
    <w:rsid w:val="002E229E"/>
    <w:rsid w:val="002E3632"/>
    <w:rsid w:val="002E7FA1"/>
    <w:rsid w:val="002F2F9C"/>
    <w:rsid w:val="002F45D4"/>
    <w:rsid w:val="002F5B09"/>
    <w:rsid w:val="002F63EA"/>
    <w:rsid w:val="002F6B83"/>
    <w:rsid w:val="002F784C"/>
    <w:rsid w:val="002F7EA0"/>
    <w:rsid w:val="00302B62"/>
    <w:rsid w:val="00302DC2"/>
    <w:rsid w:val="00303D41"/>
    <w:rsid w:val="00303FD8"/>
    <w:rsid w:val="00305487"/>
    <w:rsid w:val="00305EBA"/>
    <w:rsid w:val="0030687E"/>
    <w:rsid w:val="0031193B"/>
    <w:rsid w:val="003152BB"/>
    <w:rsid w:val="003212F9"/>
    <w:rsid w:val="0032297A"/>
    <w:rsid w:val="003238A6"/>
    <w:rsid w:val="00324938"/>
    <w:rsid w:val="00324F85"/>
    <w:rsid w:val="00326360"/>
    <w:rsid w:val="00326D2C"/>
    <w:rsid w:val="00327F21"/>
    <w:rsid w:val="0033283E"/>
    <w:rsid w:val="00332D79"/>
    <w:rsid w:val="003340D5"/>
    <w:rsid w:val="00335EAA"/>
    <w:rsid w:val="00336FA2"/>
    <w:rsid w:val="00340068"/>
    <w:rsid w:val="0034059B"/>
    <w:rsid w:val="0034207D"/>
    <w:rsid w:val="0034368F"/>
    <w:rsid w:val="003438C0"/>
    <w:rsid w:val="00344891"/>
    <w:rsid w:val="0034588B"/>
    <w:rsid w:val="00345AF4"/>
    <w:rsid w:val="00347250"/>
    <w:rsid w:val="003500E8"/>
    <w:rsid w:val="0035075F"/>
    <w:rsid w:val="00352B78"/>
    <w:rsid w:val="003531A7"/>
    <w:rsid w:val="00355828"/>
    <w:rsid w:val="00356DD6"/>
    <w:rsid w:val="0036020C"/>
    <w:rsid w:val="00363D4E"/>
    <w:rsid w:val="003640BA"/>
    <w:rsid w:val="00365784"/>
    <w:rsid w:val="00365965"/>
    <w:rsid w:val="00365D5E"/>
    <w:rsid w:val="00366A77"/>
    <w:rsid w:val="0037055E"/>
    <w:rsid w:val="0037640A"/>
    <w:rsid w:val="00376DE7"/>
    <w:rsid w:val="00377128"/>
    <w:rsid w:val="0038123D"/>
    <w:rsid w:val="003846FF"/>
    <w:rsid w:val="003851BB"/>
    <w:rsid w:val="00385E27"/>
    <w:rsid w:val="003869D5"/>
    <w:rsid w:val="00390F97"/>
    <w:rsid w:val="00392270"/>
    <w:rsid w:val="00392598"/>
    <w:rsid w:val="003928CE"/>
    <w:rsid w:val="003929B9"/>
    <w:rsid w:val="00393908"/>
    <w:rsid w:val="00394CCC"/>
    <w:rsid w:val="003951A5"/>
    <w:rsid w:val="00397337"/>
    <w:rsid w:val="003A1279"/>
    <w:rsid w:val="003A429E"/>
    <w:rsid w:val="003A50F2"/>
    <w:rsid w:val="003A5E2E"/>
    <w:rsid w:val="003A6032"/>
    <w:rsid w:val="003A6724"/>
    <w:rsid w:val="003A673E"/>
    <w:rsid w:val="003A6BBA"/>
    <w:rsid w:val="003A7D26"/>
    <w:rsid w:val="003B0EA5"/>
    <w:rsid w:val="003B3204"/>
    <w:rsid w:val="003B7515"/>
    <w:rsid w:val="003C018D"/>
    <w:rsid w:val="003C1BDB"/>
    <w:rsid w:val="003C1D21"/>
    <w:rsid w:val="003C3AD0"/>
    <w:rsid w:val="003C5146"/>
    <w:rsid w:val="003C64A3"/>
    <w:rsid w:val="003C7EF2"/>
    <w:rsid w:val="003D10C0"/>
    <w:rsid w:val="003D2610"/>
    <w:rsid w:val="003D6403"/>
    <w:rsid w:val="003D6941"/>
    <w:rsid w:val="003D7160"/>
    <w:rsid w:val="003E05B6"/>
    <w:rsid w:val="003E0DAB"/>
    <w:rsid w:val="003E3935"/>
    <w:rsid w:val="003E49F5"/>
    <w:rsid w:val="003E4CD1"/>
    <w:rsid w:val="003E73AC"/>
    <w:rsid w:val="003F03AA"/>
    <w:rsid w:val="003F1834"/>
    <w:rsid w:val="003F381D"/>
    <w:rsid w:val="003F5C19"/>
    <w:rsid w:val="003F6177"/>
    <w:rsid w:val="003F7580"/>
    <w:rsid w:val="004010B2"/>
    <w:rsid w:val="004024FF"/>
    <w:rsid w:val="004035B8"/>
    <w:rsid w:val="00403961"/>
    <w:rsid w:val="0040401A"/>
    <w:rsid w:val="004046F5"/>
    <w:rsid w:val="00405BF2"/>
    <w:rsid w:val="00405EB9"/>
    <w:rsid w:val="004118DB"/>
    <w:rsid w:val="00411EF9"/>
    <w:rsid w:val="004126BC"/>
    <w:rsid w:val="00412B14"/>
    <w:rsid w:val="0041527A"/>
    <w:rsid w:val="00415CE3"/>
    <w:rsid w:val="00416195"/>
    <w:rsid w:val="0042008E"/>
    <w:rsid w:val="004204B3"/>
    <w:rsid w:val="004219FD"/>
    <w:rsid w:val="004220FF"/>
    <w:rsid w:val="00423597"/>
    <w:rsid w:val="00424D8C"/>
    <w:rsid w:val="00425F1C"/>
    <w:rsid w:val="00426681"/>
    <w:rsid w:val="004272BB"/>
    <w:rsid w:val="004273F1"/>
    <w:rsid w:val="00432186"/>
    <w:rsid w:val="00432763"/>
    <w:rsid w:val="00436FF5"/>
    <w:rsid w:val="00443D19"/>
    <w:rsid w:val="00444384"/>
    <w:rsid w:val="00444EC0"/>
    <w:rsid w:val="00446E16"/>
    <w:rsid w:val="00446E67"/>
    <w:rsid w:val="0044723D"/>
    <w:rsid w:val="00447518"/>
    <w:rsid w:val="0045232D"/>
    <w:rsid w:val="00453BC1"/>
    <w:rsid w:val="0045661F"/>
    <w:rsid w:val="004567D3"/>
    <w:rsid w:val="00456A33"/>
    <w:rsid w:val="00466ACD"/>
    <w:rsid w:val="00467290"/>
    <w:rsid w:val="00471F1E"/>
    <w:rsid w:val="00475475"/>
    <w:rsid w:val="0048262B"/>
    <w:rsid w:val="00484053"/>
    <w:rsid w:val="00484171"/>
    <w:rsid w:val="004900DD"/>
    <w:rsid w:val="004909E1"/>
    <w:rsid w:val="00490B60"/>
    <w:rsid w:val="0049115C"/>
    <w:rsid w:val="00491D9C"/>
    <w:rsid w:val="00493D1F"/>
    <w:rsid w:val="00495247"/>
    <w:rsid w:val="00496A4F"/>
    <w:rsid w:val="00497BC7"/>
    <w:rsid w:val="004A2B26"/>
    <w:rsid w:val="004A4372"/>
    <w:rsid w:val="004B676B"/>
    <w:rsid w:val="004B74F5"/>
    <w:rsid w:val="004B7FDB"/>
    <w:rsid w:val="004C165C"/>
    <w:rsid w:val="004C1754"/>
    <w:rsid w:val="004C2D8B"/>
    <w:rsid w:val="004C3873"/>
    <w:rsid w:val="004C597C"/>
    <w:rsid w:val="004C622F"/>
    <w:rsid w:val="004C6AA9"/>
    <w:rsid w:val="004C6BF0"/>
    <w:rsid w:val="004C6FF2"/>
    <w:rsid w:val="004C7599"/>
    <w:rsid w:val="004D2455"/>
    <w:rsid w:val="004D3656"/>
    <w:rsid w:val="004D408A"/>
    <w:rsid w:val="004D70B2"/>
    <w:rsid w:val="004E0F31"/>
    <w:rsid w:val="004E442E"/>
    <w:rsid w:val="004E515D"/>
    <w:rsid w:val="004E5314"/>
    <w:rsid w:val="004E764F"/>
    <w:rsid w:val="004E7C41"/>
    <w:rsid w:val="004F03F8"/>
    <w:rsid w:val="004F0750"/>
    <w:rsid w:val="004F1DED"/>
    <w:rsid w:val="004F221D"/>
    <w:rsid w:val="004F23A7"/>
    <w:rsid w:val="004F6B33"/>
    <w:rsid w:val="004F7C9B"/>
    <w:rsid w:val="00502E1E"/>
    <w:rsid w:val="0050303E"/>
    <w:rsid w:val="0050360E"/>
    <w:rsid w:val="00503C1F"/>
    <w:rsid w:val="005043B7"/>
    <w:rsid w:val="0050526F"/>
    <w:rsid w:val="0050545F"/>
    <w:rsid w:val="00507B63"/>
    <w:rsid w:val="00507EEA"/>
    <w:rsid w:val="00510BFB"/>
    <w:rsid w:val="00511121"/>
    <w:rsid w:val="00516CF6"/>
    <w:rsid w:val="00520ABD"/>
    <w:rsid w:val="005211A6"/>
    <w:rsid w:val="00525852"/>
    <w:rsid w:val="00525887"/>
    <w:rsid w:val="00526068"/>
    <w:rsid w:val="00530AE3"/>
    <w:rsid w:val="00531924"/>
    <w:rsid w:val="0053254C"/>
    <w:rsid w:val="00533780"/>
    <w:rsid w:val="005368FA"/>
    <w:rsid w:val="00536F76"/>
    <w:rsid w:val="0053711C"/>
    <w:rsid w:val="00541353"/>
    <w:rsid w:val="0054353C"/>
    <w:rsid w:val="0054543D"/>
    <w:rsid w:val="005454BA"/>
    <w:rsid w:val="005458C8"/>
    <w:rsid w:val="005464BD"/>
    <w:rsid w:val="00546E57"/>
    <w:rsid w:val="005503C0"/>
    <w:rsid w:val="0055132A"/>
    <w:rsid w:val="005513E8"/>
    <w:rsid w:val="00551525"/>
    <w:rsid w:val="00552CA2"/>
    <w:rsid w:val="00555877"/>
    <w:rsid w:val="005606BD"/>
    <w:rsid w:val="00561656"/>
    <w:rsid w:val="005638B3"/>
    <w:rsid w:val="00564AE9"/>
    <w:rsid w:val="00566882"/>
    <w:rsid w:val="00566B47"/>
    <w:rsid w:val="005675FC"/>
    <w:rsid w:val="00572C72"/>
    <w:rsid w:val="00573CF8"/>
    <w:rsid w:val="00574C46"/>
    <w:rsid w:val="00576441"/>
    <w:rsid w:val="00576481"/>
    <w:rsid w:val="00577B24"/>
    <w:rsid w:val="005814A9"/>
    <w:rsid w:val="00581AE8"/>
    <w:rsid w:val="0058231B"/>
    <w:rsid w:val="0058343A"/>
    <w:rsid w:val="00586436"/>
    <w:rsid w:val="005871BD"/>
    <w:rsid w:val="00590E67"/>
    <w:rsid w:val="00592BA4"/>
    <w:rsid w:val="00592C7A"/>
    <w:rsid w:val="00593B6E"/>
    <w:rsid w:val="00594567"/>
    <w:rsid w:val="00597794"/>
    <w:rsid w:val="005A0A6B"/>
    <w:rsid w:val="005A2731"/>
    <w:rsid w:val="005A57D6"/>
    <w:rsid w:val="005A6C3D"/>
    <w:rsid w:val="005A7DF2"/>
    <w:rsid w:val="005B1740"/>
    <w:rsid w:val="005B3F4E"/>
    <w:rsid w:val="005B5B5D"/>
    <w:rsid w:val="005B630F"/>
    <w:rsid w:val="005C03A3"/>
    <w:rsid w:val="005C17D0"/>
    <w:rsid w:val="005C1A1F"/>
    <w:rsid w:val="005C4C8B"/>
    <w:rsid w:val="005C53D4"/>
    <w:rsid w:val="005D01F0"/>
    <w:rsid w:val="005D2032"/>
    <w:rsid w:val="005D32BA"/>
    <w:rsid w:val="005D4135"/>
    <w:rsid w:val="005D54E9"/>
    <w:rsid w:val="005D6081"/>
    <w:rsid w:val="005E3F11"/>
    <w:rsid w:val="005E4500"/>
    <w:rsid w:val="005E510B"/>
    <w:rsid w:val="005F04CF"/>
    <w:rsid w:val="005F3774"/>
    <w:rsid w:val="005F58D8"/>
    <w:rsid w:val="005F7949"/>
    <w:rsid w:val="005F7D32"/>
    <w:rsid w:val="006020DA"/>
    <w:rsid w:val="00604D9C"/>
    <w:rsid w:val="00605963"/>
    <w:rsid w:val="0060639C"/>
    <w:rsid w:val="006072C6"/>
    <w:rsid w:val="00610026"/>
    <w:rsid w:val="00610580"/>
    <w:rsid w:val="006119D1"/>
    <w:rsid w:val="00611DA5"/>
    <w:rsid w:val="00611E12"/>
    <w:rsid w:val="00617013"/>
    <w:rsid w:val="006211FB"/>
    <w:rsid w:val="0062241C"/>
    <w:rsid w:val="00622C07"/>
    <w:rsid w:val="0062406F"/>
    <w:rsid w:val="00624A73"/>
    <w:rsid w:val="00624DB9"/>
    <w:rsid w:val="00624FB8"/>
    <w:rsid w:val="006255A2"/>
    <w:rsid w:val="00625F6D"/>
    <w:rsid w:val="006269AC"/>
    <w:rsid w:val="006278C5"/>
    <w:rsid w:val="006312FD"/>
    <w:rsid w:val="006360F8"/>
    <w:rsid w:val="00636197"/>
    <w:rsid w:val="00636A38"/>
    <w:rsid w:val="00637EF2"/>
    <w:rsid w:val="00642B10"/>
    <w:rsid w:val="00650EFB"/>
    <w:rsid w:val="00652902"/>
    <w:rsid w:val="00653070"/>
    <w:rsid w:val="00654897"/>
    <w:rsid w:val="00655429"/>
    <w:rsid w:val="006556B1"/>
    <w:rsid w:val="00655867"/>
    <w:rsid w:val="00655D8B"/>
    <w:rsid w:val="0065713F"/>
    <w:rsid w:val="00660945"/>
    <w:rsid w:val="00660F43"/>
    <w:rsid w:val="00661C03"/>
    <w:rsid w:val="00662110"/>
    <w:rsid w:val="006649D6"/>
    <w:rsid w:val="0067021C"/>
    <w:rsid w:val="00671EE5"/>
    <w:rsid w:val="00672A96"/>
    <w:rsid w:val="0067485C"/>
    <w:rsid w:val="00676F68"/>
    <w:rsid w:val="006770B9"/>
    <w:rsid w:val="00686476"/>
    <w:rsid w:val="00692513"/>
    <w:rsid w:val="00693D3B"/>
    <w:rsid w:val="00695F9B"/>
    <w:rsid w:val="00697BA4"/>
    <w:rsid w:val="006A1BAF"/>
    <w:rsid w:val="006A2CEE"/>
    <w:rsid w:val="006A722A"/>
    <w:rsid w:val="006B032B"/>
    <w:rsid w:val="006B47DF"/>
    <w:rsid w:val="006B4DF7"/>
    <w:rsid w:val="006C1A1B"/>
    <w:rsid w:val="006C286F"/>
    <w:rsid w:val="006C5042"/>
    <w:rsid w:val="006C5AC0"/>
    <w:rsid w:val="006C78C7"/>
    <w:rsid w:val="006D1361"/>
    <w:rsid w:val="006D21F2"/>
    <w:rsid w:val="006D35FF"/>
    <w:rsid w:val="006D50D0"/>
    <w:rsid w:val="006D5854"/>
    <w:rsid w:val="006D6827"/>
    <w:rsid w:val="006D6939"/>
    <w:rsid w:val="006D7522"/>
    <w:rsid w:val="006E0684"/>
    <w:rsid w:val="006E20FA"/>
    <w:rsid w:val="006E387C"/>
    <w:rsid w:val="006E38D1"/>
    <w:rsid w:val="006E69E3"/>
    <w:rsid w:val="006F007A"/>
    <w:rsid w:val="006F088D"/>
    <w:rsid w:val="006F1312"/>
    <w:rsid w:val="006F19E5"/>
    <w:rsid w:val="006F21EE"/>
    <w:rsid w:val="006F3748"/>
    <w:rsid w:val="006F382C"/>
    <w:rsid w:val="006F41DB"/>
    <w:rsid w:val="006F48A7"/>
    <w:rsid w:val="006F4A40"/>
    <w:rsid w:val="006F6211"/>
    <w:rsid w:val="00701751"/>
    <w:rsid w:val="00701934"/>
    <w:rsid w:val="0070239D"/>
    <w:rsid w:val="0070624A"/>
    <w:rsid w:val="0070734A"/>
    <w:rsid w:val="007105D2"/>
    <w:rsid w:val="00710A5A"/>
    <w:rsid w:val="007116A2"/>
    <w:rsid w:val="00714CDB"/>
    <w:rsid w:val="007161ED"/>
    <w:rsid w:val="0072268B"/>
    <w:rsid w:val="007240A6"/>
    <w:rsid w:val="007248E9"/>
    <w:rsid w:val="007261C5"/>
    <w:rsid w:val="00726649"/>
    <w:rsid w:val="007308E9"/>
    <w:rsid w:val="00731762"/>
    <w:rsid w:val="00731F16"/>
    <w:rsid w:val="00732CE3"/>
    <w:rsid w:val="007354D1"/>
    <w:rsid w:val="00737CA8"/>
    <w:rsid w:val="007401B5"/>
    <w:rsid w:val="00741748"/>
    <w:rsid w:val="007425DE"/>
    <w:rsid w:val="007427E2"/>
    <w:rsid w:val="00743518"/>
    <w:rsid w:val="00744BA3"/>
    <w:rsid w:val="007465D5"/>
    <w:rsid w:val="00746B93"/>
    <w:rsid w:val="00753EA6"/>
    <w:rsid w:val="007549FF"/>
    <w:rsid w:val="00755978"/>
    <w:rsid w:val="007631A1"/>
    <w:rsid w:val="00764375"/>
    <w:rsid w:val="00765429"/>
    <w:rsid w:val="007673D6"/>
    <w:rsid w:val="007706CC"/>
    <w:rsid w:val="0077261B"/>
    <w:rsid w:val="00773260"/>
    <w:rsid w:val="007772A1"/>
    <w:rsid w:val="0078011A"/>
    <w:rsid w:val="00780C25"/>
    <w:rsid w:val="007827A7"/>
    <w:rsid w:val="00782D38"/>
    <w:rsid w:val="00783D49"/>
    <w:rsid w:val="007866B0"/>
    <w:rsid w:val="00787BC3"/>
    <w:rsid w:val="00791520"/>
    <w:rsid w:val="00791A1E"/>
    <w:rsid w:val="00792BA8"/>
    <w:rsid w:val="00794C25"/>
    <w:rsid w:val="007A2649"/>
    <w:rsid w:val="007A5442"/>
    <w:rsid w:val="007A6643"/>
    <w:rsid w:val="007A68A4"/>
    <w:rsid w:val="007B1664"/>
    <w:rsid w:val="007B18F5"/>
    <w:rsid w:val="007B43CD"/>
    <w:rsid w:val="007B63D0"/>
    <w:rsid w:val="007B678B"/>
    <w:rsid w:val="007C2A50"/>
    <w:rsid w:val="007C2F3A"/>
    <w:rsid w:val="007C315E"/>
    <w:rsid w:val="007C6562"/>
    <w:rsid w:val="007D131E"/>
    <w:rsid w:val="007D1895"/>
    <w:rsid w:val="007D1DBB"/>
    <w:rsid w:val="007D28C7"/>
    <w:rsid w:val="007D4D17"/>
    <w:rsid w:val="007D5A3A"/>
    <w:rsid w:val="007D6A06"/>
    <w:rsid w:val="007D7016"/>
    <w:rsid w:val="007E1357"/>
    <w:rsid w:val="007E1E62"/>
    <w:rsid w:val="007E770C"/>
    <w:rsid w:val="007F083B"/>
    <w:rsid w:val="007F1CB6"/>
    <w:rsid w:val="007F2C48"/>
    <w:rsid w:val="007F4997"/>
    <w:rsid w:val="007F5D41"/>
    <w:rsid w:val="00802707"/>
    <w:rsid w:val="00803C41"/>
    <w:rsid w:val="00805FD5"/>
    <w:rsid w:val="0080672D"/>
    <w:rsid w:val="00810D1A"/>
    <w:rsid w:val="008136B0"/>
    <w:rsid w:val="008156DF"/>
    <w:rsid w:val="00816356"/>
    <w:rsid w:val="00816C44"/>
    <w:rsid w:val="008177CC"/>
    <w:rsid w:val="00817CED"/>
    <w:rsid w:val="00820B0F"/>
    <w:rsid w:val="00822912"/>
    <w:rsid w:val="00823190"/>
    <w:rsid w:val="0082347A"/>
    <w:rsid w:val="00823BD9"/>
    <w:rsid w:val="00825092"/>
    <w:rsid w:val="0082620D"/>
    <w:rsid w:val="0082762B"/>
    <w:rsid w:val="0083081A"/>
    <w:rsid w:val="0083116D"/>
    <w:rsid w:val="00831F52"/>
    <w:rsid w:val="00832CD3"/>
    <w:rsid w:val="008337E4"/>
    <w:rsid w:val="00834147"/>
    <w:rsid w:val="008348AF"/>
    <w:rsid w:val="008359BB"/>
    <w:rsid w:val="008374C7"/>
    <w:rsid w:val="00840AF9"/>
    <w:rsid w:val="00841643"/>
    <w:rsid w:val="00842234"/>
    <w:rsid w:val="00842D8B"/>
    <w:rsid w:val="00843091"/>
    <w:rsid w:val="008431DD"/>
    <w:rsid w:val="008434E2"/>
    <w:rsid w:val="00843C74"/>
    <w:rsid w:val="00843F34"/>
    <w:rsid w:val="0084484E"/>
    <w:rsid w:val="00844BFC"/>
    <w:rsid w:val="00844FCA"/>
    <w:rsid w:val="0084552E"/>
    <w:rsid w:val="008477A5"/>
    <w:rsid w:val="00847DB3"/>
    <w:rsid w:val="00851C76"/>
    <w:rsid w:val="00852A2B"/>
    <w:rsid w:val="00854615"/>
    <w:rsid w:val="00854B3C"/>
    <w:rsid w:val="00854C10"/>
    <w:rsid w:val="00854E09"/>
    <w:rsid w:val="008552B4"/>
    <w:rsid w:val="0085583E"/>
    <w:rsid w:val="00856494"/>
    <w:rsid w:val="00856D2A"/>
    <w:rsid w:val="0085772C"/>
    <w:rsid w:val="00861D57"/>
    <w:rsid w:val="008623FE"/>
    <w:rsid w:val="0086248F"/>
    <w:rsid w:val="00863F03"/>
    <w:rsid w:val="00864794"/>
    <w:rsid w:val="008651CF"/>
    <w:rsid w:val="00866B88"/>
    <w:rsid w:val="00871361"/>
    <w:rsid w:val="00872DDB"/>
    <w:rsid w:val="00873119"/>
    <w:rsid w:val="00873D4D"/>
    <w:rsid w:val="0087552D"/>
    <w:rsid w:val="0087600C"/>
    <w:rsid w:val="00876F31"/>
    <w:rsid w:val="008777F5"/>
    <w:rsid w:val="008779A2"/>
    <w:rsid w:val="00882045"/>
    <w:rsid w:val="00887DCE"/>
    <w:rsid w:val="0089044D"/>
    <w:rsid w:val="00890FE4"/>
    <w:rsid w:val="00892ED4"/>
    <w:rsid w:val="00892FB8"/>
    <w:rsid w:val="008947B0"/>
    <w:rsid w:val="00896943"/>
    <w:rsid w:val="00897BF0"/>
    <w:rsid w:val="008A025B"/>
    <w:rsid w:val="008A11DB"/>
    <w:rsid w:val="008A1696"/>
    <w:rsid w:val="008A2714"/>
    <w:rsid w:val="008A3713"/>
    <w:rsid w:val="008A6F74"/>
    <w:rsid w:val="008A75DD"/>
    <w:rsid w:val="008B0076"/>
    <w:rsid w:val="008B070D"/>
    <w:rsid w:val="008B250A"/>
    <w:rsid w:val="008B343E"/>
    <w:rsid w:val="008B3EDF"/>
    <w:rsid w:val="008B4F3A"/>
    <w:rsid w:val="008B60B1"/>
    <w:rsid w:val="008B65DD"/>
    <w:rsid w:val="008B662D"/>
    <w:rsid w:val="008B6D35"/>
    <w:rsid w:val="008B745E"/>
    <w:rsid w:val="008B7C40"/>
    <w:rsid w:val="008C06F1"/>
    <w:rsid w:val="008C078D"/>
    <w:rsid w:val="008C148A"/>
    <w:rsid w:val="008C14A3"/>
    <w:rsid w:val="008C161D"/>
    <w:rsid w:val="008C1A57"/>
    <w:rsid w:val="008C2853"/>
    <w:rsid w:val="008C4D25"/>
    <w:rsid w:val="008C4F32"/>
    <w:rsid w:val="008C78B8"/>
    <w:rsid w:val="008D1C8B"/>
    <w:rsid w:val="008D42C6"/>
    <w:rsid w:val="008D49FE"/>
    <w:rsid w:val="008D4A2F"/>
    <w:rsid w:val="008D4E5D"/>
    <w:rsid w:val="008D77F5"/>
    <w:rsid w:val="008D7D18"/>
    <w:rsid w:val="008E38CB"/>
    <w:rsid w:val="008E39A1"/>
    <w:rsid w:val="008E3AA0"/>
    <w:rsid w:val="008E3E79"/>
    <w:rsid w:val="008E504F"/>
    <w:rsid w:val="009013CB"/>
    <w:rsid w:val="00902F6F"/>
    <w:rsid w:val="0090418B"/>
    <w:rsid w:val="009047A1"/>
    <w:rsid w:val="00905392"/>
    <w:rsid w:val="00905779"/>
    <w:rsid w:val="00905DE8"/>
    <w:rsid w:val="00906150"/>
    <w:rsid w:val="009061CE"/>
    <w:rsid w:val="0090728F"/>
    <w:rsid w:val="00907ACE"/>
    <w:rsid w:val="009136E0"/>
    <w:rsid w:val="00915140"/>
    <w:rsid w:val="00915BF9"/>
    <w:rsid w:val="009162EF"/>
    <w:rsid w:val="0091726D"/>
    <w:rsid w:val="00917CE7"/>
    <w:rsid w:val="00922A20"/>
    <w:rsid w:val="009267B7"/>
    <w:rsid w:val="009274CF"/>
    <w:rsid w:val="00930B71"/>
    <w:rsid w:val="00931FBF"/>
    <w:rsid w:val="0093312A"/>
    <w:rsid w:val="009336B6"/>
    <w:rsid w:val="0093724E"/>
    <w:rsid w:val="00937292"/>
    <w:rsid w:val="00940533"/>
    <w:rsid w:val="00942741"/>
    <w:rsid w:val="009428C0"/>
    <w:rsid w:val="00943F3B"/>
    <w:rsid w:val="00945770"/>
    <w:rsid w:val="00945DB2"/>
    <w:rsid w:val="00945E7D"/>
    <w:rsid w:val="0094757C"/>
    <w:rsid w:val="00950EF9"/>
    <w:rsid w:val="00955DE7"/>
    <w:rsid w:val="00956979"/>
    <w:rsid w:val="00960BFB"/>
    <w:rsid w:val="0096170D"/>
    <w:rsid w:val="00963F82"/>
    <w:rsid w:val="00966F17"/>
    <w:rsid w:val="00970448"/>
    <w:rsid w:val="00971939"/>
    <w:rsid w:val="0097306C"/>
    <w:rsid w:val="00973A5C"/>
    <w:rsid w:val="00973C3C"/>
    <w:rsid w:val="00974381"/>
    <w:rsid w:val="009749DD"/>
    <w:rsid w:val="009760A8"/>
    <w:rsid w:val="009768BA"/>
    <w:rsid w:val="0098167D"/>
    <w:rsid w:val="0098198A"/>
    <w:rsid w:val="00982671"/>
    <w:rsid w:val="00982765"/>
    <w:rsid w:val="009842AD"/>
    <w:rsid w:val="009855F4"/>
    <w:rsid w:val="00985603"/>
    <w:rsid w:val="00985FEE"/>
    <w:rsid w:val="00992DB1"/>
    <w:rsid w:val="0099382B"/>
    <w:rsid w:val="00993CF9"/>
    <w:rsid w:val="009941F8"/>
    <w:rsid w:val="009965D4"/>
    <w:rsid w:val="0099774D"/>
    <w:rsid w:val="009A1E4C"/>
    <w:rsid w:val="009A4486"/>
    <w:rsid w:val="009A6E7A"/>
    <w:rsid w:val="009B090E"/>
    <w:rsid w:val="009B168D"/>
    <w:rsid w:val="009B22A7"/>
    <w:rsid w:val="009B3F83"/>
    <w:rsid w:val="009B4438"/>
    <w:rsid w:val="009B7148"/>
    <w:rsid w:val="009C0486"/>
    <w:rsid w:val="009C2690"/>
    <w:rsid w:val="009C767A"/>
    <w:rsid w:val="009D280E"/>
    <w:rsid w:val="009D5497"/>
    <w:rsid w:val="009D69BD"/>
    <w:rsid w:val="009D7621"/>
    <w:rsid w:val="009E042C"/>
    <w:rsid w:val="009E2788"/>
    <w:rsid w:val="009E464A"/>
    <w:rsid w:val="009E46B5"/>
    <w:rsid w:val="009E4E4E"/>
    <w:rsid w:val="009E6663"/>
    <w:rsid w:val="009F1C7A"/>
    <w:rsid w:val="009F5AA2"/>
    <w:rsid w:val="009F77E5"/>
    <w:rsid w:val="00A0023E"/>
    <w:rsid w:val="00A01E19"/>
    <w:rsid w:val="00A02F0B"/>
    <w:rsid w:val="00A02F36"/>
    <w:rsid w:val="00A0320A"/>
    <w:rsid w:val="00A03F28"/>
    <w:rsid w:val="00A07175"/>
    <w:rsid w:val="00A10DB8"/>
    <w:rsid w:val="00A14ACC"/>
    <w:rsid w:val="00A160E7"/>
    <w:rsid w:val="00A23408"/>
    <w:rsid w:val="00A261E9"/>
    <w:rsid w:val="00A37812"/>
    <w:rsid w:val="00A3782D"/>
    <w:rsid w:val="00A428E9"/>
    <w:rsid w:val="00A442BC"/>
    <w:rsid w:val="00A446F5"/>
    <w:rsid w:val="00A44CF8"/>
    <w:rsid w:val="00A452F3"/>
    <w:rsid w:val="00A45BEB"/>
    <w:rsid w:val="00A46A90"/>
    <w:rsid w:val="00A508A9"/>
    <w:rsid w:val="00A60A21"/>
    <w:rsid w:val="00A60AD5"/>
    <w:rsid w:val="00A60BE7"/>
    <w:rsid w:val="00A61DB8"/>
    <w:rsid w:val="00A623B1"/>
    <w:rsid w:val="00A62D75"/>
    <w:rsid w:val="00A63028"/>
    <w:rsid w:val="00A666F7"/>
    <w:rsid w:val="00A71E2C"/>
    <w:rsid w:val="00A7291B"/>
    <w:rsid w:val="00A73E46"/>
    <w:rsid w:val="00A74381"/>
    <w:rsid w:val="00A7522F"/>
    <w:rsid w:val="00A76719"/>
    <w:rsid w:val="00A80A49"/>
    <w:rsid w:val="00A80C49"/>
    <w:rsid w:val="00A81427"/>
    <w:rsid w:val="00A8344B"/>
    <w:rsid w:val="00A8579F"/>
    <w:rsid w:val="00A85ABE"/>
    <w:rsid w:val="00A87A53"/>
    <w:rsid w:val="00A922B4"/>
    <w:rsid w:val="00A9426C"/>
    <w:rsid w:val="00A95362"/>
    <w:rsid w:val="00A96247"/>
    <w:rsid w:val="00AA373B"/>
    <w:rsid w:val="00AA3765"/>
    <w:rsid w:val="00AA5243"/>
    <w:rsid w:val="00AA5C8E"/>
    <w:rsid w:val="00AA6266"/>
    <w:rsid w:val="00AA6F30"/>
    <w:rsid w:val="00AA7128"/>
    <w:rsid w:val="00AA7948"/>
    <w:rsid w:val="00AB1FD3"/>
    <w:rsid w:val="00AB3DEE"/>
    <w:rsid w:val="00AC089C"/>
    <w:rsid w:val="00AC0A53"/>
    <w:rsid w:val="00AC21ED"/>
    <w:rsid w:val="00AC308E"/>
    <w:rsid w:val="00AC4615"/>
    <w:rsid w:val="00AD59E9"/>
    <w:rsid w:val="00AD72F9"/>
    <w:rsid w:val="00AE08C9"/>
    <w:rsid w:val="00AE4AE8"/>
    <w:rsid w:val="00AE6345"/>
    <w:rsid w:val="00AF1235"/>
    <w:rsid w:val="00AF39E2"/>
    <w:rsid w:val="00AF4335"/>
    <w:rsid w:val="00AF547F"/>
    <w:rsid w:val="00B012ED"/>
    <w:rsid w:val="00B01E44"/>
    <w:rsid w:val="00B023E1"/>
    <w:rsid w:val="00B0483E"/>
    <w:rsid w:val="00B04F5B"/>
    <w:rsid w:val="00B05EBC"/>
    <w:rsid w:val="00B12EA7"/>
    <w:rsid w:val="00B14DCB"/>
    <w:rsid w:val="00B15DE7"/>
    <w:rsid w:val="00B16EA7"/>
    <w:rsid w:val="00B237A0"/>
    <w:rsid w:val="00B23B05"/>
    <w:rsid w:val="00B25E59"/>
    <w:rsid w:val="00B26D5E"/>
    <w:rsid w:val="00B271DE"/>
    <w:rsid w:val="00B318BF"/>
    <w:rsid w:val="00B32F16"/>
    <w:rsid w:val="00B3375B"/>
    <w:rsid w:val="00B350F9"/>
    <w:rsid w:val="00B36E9A"/>
    <w:rsid w:val="00B36F31"/>
    <w:rsid w:val="00B40038"/>
    <w:rsid w:val="00B40DC4"/>
    <w:rsid w:val="00B4183C"/>
    <w:rsid w:val="00B44AB6"/>
    <w:rsid w:val="00B4689B"/>
    <w:rsid w:val="00B47701"/>
    <w:rsid w:val="00B5089A"/>
    <w:rsid w:val="00B5284D"/>
    <w:rsid w:val="00B535F9"/>
    <w:rsid w:val="00B54735"/>
    <w:rsid w:val="00B576DE"/>
    <w:rsid w:val="00B6320E"/>
    <w:rsid w:val="00B638D2"/>
    <w:rsid w:val="00B652D8"/>
    <w:rsid w:val="00B66110"/>
    <w:rsid w:val="00B70F5B"/>
    <w:rsid w:val="00B71A70"/>
    <w:rsid w:val="00B725E3"/>
    <w:rsid w:val="00B72960"/>
    <w:rsid w:val="00B76AC6"/>
    <w:rsid w:val="00B8008A"/>
    <w:rsid w:val="00B85CEB"/>
    <w:rsid w:val="00B85F7E"/>
    <w:rsid w:val="00B8656A"/>
    <w:rsid w:val="00B8713A"/>
    <w:rsid w:val="00B90AC8"/>
    <w:rsid w:val="00B9258B"/>
    <w:rsid w:val="00B92FA4"/>
    <w:rsid w:val="00B93E13"/>
    <w:rsid w:val="00B97B53"/>
    <w:rsid w:val="00BA19F2"/>
    <w:rsid w:val="00BA2BC7"/>
    <w:rsid w:val="00BA41C3"/>
    <w:rsid w:val="00BA5113"/>
    <w:rsid w:val="00BA5985"/>
    <w:rsid w:val="00BB1349"/>
    <w:rsid w:val="00BB1BE3"/>
    <w:rsid w:val="00BB2492"/>
    <w:rsid w:val="00BB2B2D"/>
    <w:rsid w:val="00BC15CD"/>
    <w:rsid w:val="00BC48F5"/>
    <w:rsid w:val="00BC62C3"/>
    <w:rsid w:val="00BC7FBB"/>
    <w:rsid w:val="00BD1C6B"/>
    <w:rsid w:val="00BD5C50"/>
    <w:rsid w:val="00BD5E8D"/>
    <w:rsid w:val="00BD5EF9"/>
    <w:rsid w:val="00BD6A82"/>
    <w:rsid w:val="00BD75B9"/>
    <w:rsid w:val="00BE135C"/>
    <w:rsid w:val="00BE1B9E"/>
    <w:rsid w:val="00BE2FB7"/>
    <w:rsid w:val="00BE4183"/>
    <w:rsid w:val="00BE552B"/>
    <w:rsid w:val="00BE602E"/>
    <w:rsid w:val="00BE69F7"/>
    <w:rsid w:val="00BE71E9"/>
    <w:rsid w:val="00BE768A"/>
    <w:rsid w:val="00BF0CA4"/>
    <w:rsid w:val="00BF0F0E"/>
    <w:rsid w:val="00BF0FD6"/>
    <w:rsid w:val="00BF1E61"/>
    <w:rsid w:val="00BF4591"/>
    <w:rsid w:val="00BF4FBE"/>
    <w:rsid w:val="00BF66C8"/>
    <w:rsid w:val="00BF6F51"/>
    <w:rsid w:val="00C0031E"/>
    <w:rsid w:val="00C00719"/>
    <w:rsid w:val="00C017D4"/>
    <w:rsid w:val="00C02115"/>
    <w:rsid w:val="00C0384D"/>
    <w:rsid w:val="00C06958"/>
    <w:rsid w:val="00C0727C"/>
    <w:rsid w:val="00C11BA8"/>
    <w:rsid w:val="00C12B3C"/>
    <w:rsid w:val="00C1349D"/>
    <w:rsid w:val="00C14AB7"/>
    <w:rsid w:val="00C17461"/>
    <w:rsid w:val="00C240F7"/>
    <w:rsid w:val="00C3214F"/>
    <w:rsid w:val="00C32A8C"/>
    <w:rsid w:val="00C3553B"/>
    <w:rsid w:val="00C35EEC"/>
    <w:rsid w:val="00C37F69"/>
    <w:rsid w:val="00C50314"/>
    <w:rsid w:val="00C52847"/>
    <w:rsid w:val="00C540E7"/>
    <w:rsid w:val="00C5627B"/>
    <w:rsid w:val="00C56431"/>
    <w:rsid w:val="00C5761C"/>
    <w:rsid w:val="00C636F3"/>
    <w:rsid w:val="00C63D35"/>
    <w:rsid w:val="00C64983"/>
    <w:rsid w:val="00C668C7"/>
    <w:rsid w:val="00C6695B"/>
    <w:rsid w:val="00C67FCA"/>
    <w:rsid w:val="00C706BB"/>
    <w:rsid w:val="00C72C0A"/>
    <w:rsid w:val="00C74921"/>
    <w:rsid w:val="00C74FBF"/>
    <w:rsid w:val="00C757A4"/>
    <w:rsid w:val="00C771A5"/>
    <w:rsid w:val="00C777F2"/>
    <w:rsid w:val="00C8029D"/>
    <w:rsid w:val="00C84EEE"/>
    <w:rsid w:val="00C86C67"/>
    <w:rsid w:val="00C87377"/>
    <w:rsid w:val="00C90E63"/>
    <w:rsid w:val="00C91296"/>
    <w:rsid w:val="00C93516"/>
    <w:rsid w:val="00C93590"/>
    <w:rsid w:val="00C94F1B"/>
    <w:rsid w:val="00C9553C"/>
    <w:rsid w:val="00CA0C4E"/>
    <w:rsid w:val="00CA0D34"/>
    <w:rsid w:val="00CA1856"/>
    <w:rsid w:val="00CA195E"/>
    <w:rsid w:val="00CA27E1"/>
    <w:rsid w:val="00CA4B3B"/>
    <w:rsid w:val="00CA6087"/>
    <w:rsid w:val="00CA62E6"/>
    <w:rsid w:val="00CA692E"/>
    <w:rsid w:val="00CA7C34"/>
    <w:rsid w:val="00CB2092"/>
    <w:rsid w:val="00CB29A0"/>
    <w:rsid w:val="00CB41B1"/>
    <w:rsid w:val="00CB56A6"/>
    <w:rsid w:val="00CC6EA7"/>
    <w:rsid w:val="00CC7505"/>
    <w:rsid w:val="00CD1594"/>
    <w:rsid w:val="00CD1602"/>
    <w:rsid w:val="00CD61D4"/>
    <w:rsid w:val="00CD62F5"/>
    <w:rsid w:val="00CD6A33"/>
    <w:rsid w:val="00CD7941"/>
    <w:rsid w:val="00CD7CAD"/>
    <w:rsid w:val="00CE091D"/>
    <w:rsid w:val="00CE1D7A"/>
    <w:rsid w:val="00CE4963"/>
    <w:rsid w:val="00CE5873"/>
    <w:rsid w:val="00CE5FB8"/>
    <w:rsid w:val="00CE65AC"/>
    <w:rsid w:val="00CE7264"/>
    <w:rsid w:val="00CF0A93"/>
    <w:rsid w:val="00CF2F3D"/>
    <w:rsid w:val="00CF6879"/>
    <w:rsid w:val="00CF7DE4"/>
    <w:rsid w:val="00D013B2"/>
    <w:rsid w:val="00D02015"/>
    <w:rsid w:val="00D024BD"/>
    <w:rsid w:val="00D04298"/>
    <w:rsid w:val="00D0763B"/>
    <w:rsid w:val="00D138BF"/>
    <w:rsid w:val="00D16118"/>
    <w:rsid w:val="00D16A49"/>
    <w:rsid w:val="00D1728D"/>
    <w:rsid w:val="00D17307"/>
    <w:rsid w:val="00D22EC4"/>
    <w:rsid w:val="00D233B6"/>
    <w:rsid w:val="00D2407A"/>
    <w:rsid w:val="00D24AE1"/>
    <w:rsid w:val="00D25FDB"/>
    <w:rsid w:val="00D26BA8"/>
    <w:rsid w:val="00D276D4"/>
    <w:rsid w:val="00D3323A"/>
    <w:rsid w:val="00D33433"/>
    <w:rsid w:val="00D34C7A"/>
    <w:rsid w:val="00D36FFA"/>
    <w:rsid w:val="00D40194"/>
    <w:rsid w:val="00D41AB9"/>
    <w:rsid w:val="00D4229A"/>
    <w:rsid w:val="00D44314"/>
    <w:rsid w:val="00D45D98"/>
    <w:rsid w:val="00D51A44"/>
    <w:rsid w:val="00D52EC3"/>
    <w:rsid w:val="00D53341"/>
    <w:rsid w:val="00D60DCB"/>
    <w:rsid w:val="00D6657D"/>
    <w:rsid w:val="00D70405"/>
    <w:rsid w:val="00D7100B"/>
    <w:rsid w:val="00D7618F"/>
    <w:rsid w:val="00D779DC"/>
    <w:rsid w:val="00D80890"/>
    <w:rsid w:val="00D83ED9"/>
    <w:rsid w:val="00D8599E"/>
    <w:rsid w:val="00D85D8C"/>
    <w:rsid w:val="00D879C3"/>
    <w:rsid w:val="00D9338C"/>
    <w:rsid w:val="00D94500"/>
    <w:rsid w:val="00D94F4D"/>
    <w:rsid w:val="00D95A86"/>
    <w:rsid w:val="00DA16E1"/>
    <w:rsid w:val="00DA322D"/>
    <w:rsid w:val="00DA3901"/>
    <w:rsid w:val="00DA4FB5"/>
    <w:rsid w:val="00DA6DDB"/>
    <w:rsid w:val="00DB0342"/>
    <w:rsid w:val="00DB14F9"/>
    <w:rsid w:val="00DB27E9"/>
    <w:rsid w:val="00DB4CD4"/>
    <w:rsid w:val="00DB5C93"/>
    <w:rsid w:val="00DB7930"/>
    <w:rsid w:val="00DC11E1"/>
    <w:rsid w:val="00DC15D6"/>
    <w:rsid w:val="00DC340B"/>
    <w:rsid w:val="00DC556C"/>
    <w:rsid w:val="00DC73F6"/>
    <w:rsid w:val="00DC7448"/>
    <w:rsid w:val="00DC7F0B"/>
    <w:rsid w:val="00DD03D8"/>
    <w:rsid w:val="00DD040D"/>
    <w:rsid w:val="00DD05A8"/>
    <w:rsid w:val="00DD3A55"/>
    <w:rsid w:val="00DD57C0"/>
    <w:rsid w:val="00DD715B"/>
    <w:rsid w:val="00DD7C6E"/>
    <w:rsid w:val="00DE509B"/>
    <w:rsid w:val="00DE518D"/>
    <w:rsid w:val="00DE53CF"/>
    <w:rsid w:val="00DE606B"/>
    <w:rsid w:val="00DE7401"/>
    <w:rsid w:val="00DE74A4"/>
    <w:rsid w:val="00DE7E1A"/>
    <w:rsid w:val="00DE7ECC"/>
    <w:rsid w:val="00DF4A5B"/>
    <w:rsid w:val="00DF5544"/>
    <w:rsid w:val="00DF5585"/>
    <w:rsid w:val="00DF5F6D"/>
    <w:rsid w:val="00DF6504"/>
    <w:rsid w:val="00DF67DD"/>
    <w:rsid w:val="00E01A34"/>
    <w:rsid w:val="00E01EE6"/>
    <w:rsid w:val="00E10A23"/>
    <w:rsid w:val="00E14FDA"/>
    <w:rsid w:val="00E15111"/>
    <w:rsid w:val="00E1615D"/>
    <w:rsid w:val="00E2083C"/>
    <w:rsid w:val="00E20DE7"/>
    <w:rsid w:val="00E226CD"/>
    <w:rsid w:val="00E245C2"/>
    <w:rsid w:val="00E274B8"/>
    <w:rsid w:val="00E30304"/>
    <w:rsid w:val="00E30A7C"/>
    <w:rsid w:val="00E36638"/>
    <w:rsid w:val="00E40297"/>
    <w:rsid w:val="00E40A3F"/>
    <w:rsid w:val="00E44210"/>
    <w:rsid w:val="00E442AC"/>
    <w:rsid w:val="00E443DC"/>
    <w:rsid w:val="00E44DF3"/>
    <w:rsid w:val="00E46188"/>
    <w:rsid w:val="00E47603"/>
    <w:rsid w:val="00E510F3"/>
    <w:rsid w:val="00E5266B"/>
    <w:rsid w:val="00E52C09"/>
    <w:rsid w:val="00E56EEE"/>
    <w:rsid w:val="00E6070E"/>
    <w:rsid w:val="00E61914"/>
    <w:rsid w:val="00E61C47"/>
    <w:rsid w:val="00E61ED3"/>
    <w:rsid w:val="00E622A5"/>
    <w:rsid w:val="00E62396"/>
    <w:rsid w:val="00E64752"/>
    <w:rsid w:val="00E65F28"/>
    <w:rsid w:val="00E66713"/>
    <w:rsid w:val="00E719B9"/>
    <w:rsid w:val="00E72925"/>
    <w:rsid w:val="00E738AB"/>
    <w:rsid w:val="00E7426A"/>
    <w:rsid w:val="00E750B4"/>
    <w:rsid w:val="00E76AE3"/>
    <w:rsid w:val="00E81674"/>
    <w:rsid w:val="00E83901"/>
    <w:rsid w:val="00E83D6E"/>
    <w:rsid w:val="00E84436"/>
    <w:rsid w:val="00E878EA"/>
    <w:rsid w:val="00E910B3"/>
    <w:rsid w:val="00EA11A7"/>
    <w:rsid w:val="00EA126A"/>
    <w:rsid w:val="00EA131E"/>
    <w:rsid w:val="00EA1620"/>
    <w:rsid w:val="00EA321D"/>
    <w:rsid w:val="00EA5D8A"/>
    <w:rsid w:val="00EB0F45"/>
    <w:rsid w:val="00EB354A"/>
    <w:rsid w:val="00EB35CF"/>
    <w:rsid w:val="00EB4D0B"/>
    <w:rsid w:val="00EB696E"/>
    <w:rsid w:val="00EB6B4F"/>
    <w:rsid w:val="00EC23BD"/>
    <w:rsid w:val="00EC24E8"/>
    <w:rsid w:val="00EC3E3C"/>
    <w:rsid w:val="00EC4FD8"/>
    <w:rsid w:val="00EC6332"/>
    <w:rsid w:val="00EC7FBC"/>
    <w:rsid w:val="00ED00D7"/>
    <w:rsid w:val="00ED1A7E"/>
    <w:rsid w:val="00ED1F9A"/>
    <w:rsid w:val="00ED284D"/>
    <w:rsid w:val="00ED2EBA"/>
    <w:rsid w:val="00ED598A"/>
    <w:rsid w:val="00ED7C29"/>
    <w:rsid w:val="00EE5496"/>
    <w:rsid w:val="00EE556E"/>
    <w:rsid w:val="00EE5AC5"/>
    <w:rsid w:val="00EE619C"/>
    <w:rsid w:val="00EF183F"/>
    <w:rsid w:val="00EF1A7D"/>
    <w:rsid w:val="00EF1CD0"/>
    <w:rsid w:val="00EF4EDD"/>
    <w:rsid w:val="00EF7700"/>
    <w:rsid w:val="00F05527"/>
    <w:rsid w:val="00F058E8"/>
    <w:rsid w:val="00F05B35"/>
    <w:rsid w:val="00F06394"/>
    <w:rsid w:val="00F13ACA"/>
    <w:rsid w:val="00F13CB5"/>
    <w:rsid w:val="00F16092"/>
    <w:rsid w:val="00F16155"/>
    <w:rsid w:val="00F161FC"/>
    <w:rsid w:val="00F20135"/>
    <w:rsid w:val="00F2275A"/>
    <w:rsid w:val="00F23E94"/>
    <w:rsid w:val="00F25CEF"/>
    <w:rsid w:val="00F26FD8"/>
    <w:rsid w:val="00F32EC2"/>
    <w:rsid w:val="00F349A2"/>
    <w:rsid w:val="00F34FBA"/>
    <w:rsid w:val="00F35B47"/>
    <w:rsid w:val="00F377BD"/>
    <w:rsid w:val="00F40556"/>
    <w:rsid w:val="00F4093E"/>
    <w:rsid w:val="00F45995"/>
    <w:rsid w:val="00F45A00"/>
    <w:rsid w:val="00F50F7F"/>
    <w:rsid w:val="00F5190E"/>
    <w:rsid w:val="00F52EF3"/>
    <w:rsid w:val="00F5325D"/>
    <w:rsid w:val="00F541DF"/>
    <w:rsid w:val="00F545C1"/>
    <w:rsid w:val="00F54AD3"/>
    <w:rsid w:val="00F560A3"/>
    <w:rsid w:val="00F56121"/>
    <w:rsid w:val="00F571F8"/>
    <w:rsid w:val="00F577F1"/>
    <w:rsid w:val="00F604BE"/>
    <w:rsid w:val="00F60BDB"/>
    <w:rsid w:val="00F60F4C"/>
    <w:rsid w:val="00F619BD"/>
    <w:rsid w:val="00F64AF1"/>
    <w:rsid w:val="00F64D1E"/>
    <w:rsid w:val="00F673BA"/>
    <w:rsid w:val="00F7078B"/>
    <w:rsid w:val="00F71624"/>
    <w:rsid w:val="00F717E3"/>
    <w:rsid w:val="00F72CF1"/>
    <w:rsid w:val="00F73349"/>
    <w:rsid w:val="00F74B85"/>
    <w:rsid w:val="00F75D1D"/>
    <w:rsid w:val="00F77A75"/>
    <w:rsid w:val="00F80391"/>
    <w:rsid w:val="00F80855"/>
    <w:rsid w:val="00F80CD7"/>
    <w:rsid w:val="00F81EA0"/>
    <w:rsid w:val="00F82393"/>
    <w:rsid w:val="00F8414E"/>
    <w:rsid w:val="00F864E0"/>
    <w:rsid w:val="00F9472E"/>
    <w:rsid w:val="00F9492C"/>
    <w:rsid w:val="00F9581A"/>
    <w:rsid w:val="00F96104"/>
    <w:rsid w:val="00FA264F"/>
    <w:rsid w:val="00FA66AE"/>
    <w:rsid w:val="00FA7826"/>
    <w:rsid w:val="00FB01D8"/>
    <w:rsid w:val="00FB0E1F"/>
    <w:rsid w:val="00FB11BF"/>
    <w:rsid w:val="00FB1331"/>
    <w:rsid w:val="00FB24F6"/>
    <w:rsid w:val="00FB27C4"/>
    <w:rsid w:val="00FB345B"/>
    <w:rsid w:val="00FB6BD8"/>
    <w:rsid w:val="00FB7BB8"/>
    <w:rsid w:val="00FC4645"/>
    <w:rsid w:val="00FC59DD"/>
    <w:rsid w:val="00FC7FA0"/>
    <w:rsid w:val="00FD00B9"/>
    <w:rsid w:val="00FD21D7"/>
    <w:rsid w:val="00FD330B"/>
    <w:rsid w:val="00FD4AA8"/>
    <w:rsid w:val="00FD6628"/>
    <w:rsid w:val="00FD6E8E"/>
    <w:rsid w:val="00FE1A39"/>
    <w:rsid w:val="00FE4F2E"/>
    <w:rsid w:val="00FE651C"/>
    <w:rsid w:val="00FE775F"/>
    <w:rsid w:val="00FE7AFF"/>
    <w:rsid w:val="00FE7E77"/>
    <w:rsid w:val="00FF0D22"/>
    <w:rsid w:val="00FF2ED6"/>
    <w:rsid w:val="00FF5A90"/>
    <w:rsid w:val="00FF62C7"/>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2CC1395"/>
  <w15:docId w15:val="{35914B2B-67F8-4EC9-9544-0BF2C538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6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28C0"/>
    <w:pPr>
      <w:tabs>
        <w:tab w:val="center" w:pos="4320"/>
        <w:tab w:val="right" w:pos="8640"/>
      </w:tabs>
    </w:pPr>
  </w:style>
  <w:style w:type="character" w:styleId="PageNumber">
    <w:name w:val="page number"/>
    <w:basedOn w:val="DefaultParagraphFont"/>
    <w:rsid w:val="009428C0"/>
  </w:style>
  <w:style w:type="paragraph" w:styleId="FootnoteText">
    <w:name w:val="footnote text"/>
    <w:basedOn w:val="Normal"/>
    <w:link w:val="FootnoteTextChar"/>
    <w:uiPriority w:val="99"/>
    <w:semiHidden/>
    <w:rsid w:val="005871BD"/>
    <w:rPr>
      <w:sz w:val="20"/>
      <w:szCs w:val="20"/>
    </w:rPr>
  </w:style>
  <w:style w:type="character" w:styleId="FootnoteReference">
    <w:name w:val="footnote reference"/>
    <w:uiPriority w:val="99"/>
    <w:semiHidden/>
    <w:rsid w:val="005871BD"/>
    <w:rPr>
      <w:vertAlign w:val="superscript"/>
    </w:rPr>
  </w:style>
  <w:style w:type="paragraph" w:styleId="BodyText">
    <w:name w:val="Body Text"/>
    <w:basedOn w:val="Normal"/>
    <w:link w:val="BodyTextChar"/>
    <w:rsid w:val="002E3632"/>
    <w:pPr>
      <w:spacing w:line="360" w:lineRule="auto"/>
      <w:jc w:val="both"/>
    </w:pPr>
    <w:rPr>
      <w:rFonts w:eastAsia="SimSun"/>
      <w:sz w:val="26"/>
      <w:szCs w:val="20"/>
    </w:rPr>
  </w:style>
  <w:style w:type="paragraph" w:styleId="ListParagraph">
    <w:name w:val="List Paragraph"/>
    <w:basedOn w:val="Normal"/>
    <w:uiPriority w:val="34"/>
    <w:qFormat/>
    <w:rsid w:val="00C6695B"/>
    <w:pPr>
      <w:ind w:left="720"/>
    </w:pPr>
  </w:style>
  <w:style w:type="character" w:styleId="Hyperlink">
    <w:name w:val="Hyperlink"/>
    <w:uiPriority w:val="99"/>
    <w:unhideWhenUsed/>
    <w:rsid w:val="002B4515"/>
    <w:rPr>
      <w:color w:val="0000FF"/>
      <w:u w:val="single"/>
    </w:rPr>
  </w:style>
  <w:style w:type="character" w:customStyle="1" w:styleId="term1">
    <w:name w:val="term1"/>
    <w:rsid w:val="002B4515"/>
    <w:rPr>
      <w:b/>
      <w:bCs/>
    </w:rPr>
  </w:style>
  <w:style w:type="character" w:customStyle="1" w:styleId="BodyTextChar">
    <w:name w:val="Body Text Char"/>
    <w:link w:val="BodyText"/>
    <w:rsid w:val="006F21EE"/>
    <w:rPr>
      <w:rFonts w:eastAsia="SimSun"/>
      <w:sz w:val="26"/>
    </w:rPr>
  </w:style>
  <w:style w:type="paragraph" w:styleId="Header">
    <w:name w:val="header"/>
    <w:basedOn w:val="Normal"/>
    <w:link w:val="HeaderChar"/>
    <w:rsid w:val="006F382C"/>
    <w:pPr>
      <w:tabs>
        <w:tab w:val="center" w:pos="4680"/>
        <w:tab w:val="right" w:pos="9360"/>
      </w:tabs>
    </w:pPr>
  </w:style>
  <w:style w:type="character" w:customStyle="1" w:styleId="HeaderChar">
    <w:name w:val="Header Char"/>
    <w:link w:val="Header"/>
    <w:rsid w:val="006F382C"/>
    <w:rPr>
      <w:sz w:val="24"/>
      <w:szCs w:val="24"/>
    </w:rPr>
  </w:style>
  <w:style w:type="character" w:customStyle="1" w:styleId="FooterChar">
    <w:name w:val="Footer Char"/>
    <w:link w:val="Footer"/>
    <w:uiPriority w:val="99"/>
    <w:rsid w:val="006F382C"/>
    <w:rPr>
      <w:sz w:val="24"/>
      <w:szCs w:val="24"/>
    </w:rPr>
  </w:style>
  <w:style w:type="paragraph" w:styleId="BalloonText">
    <w:name w:val="Balloon Text"/>
    <w:basedOn w:val="Normal"/>
    <w:link w:val="BalloonTextChar"/>
    <w:rsid w:val="006F382C"/>
    <w:rPr>
      <w:rFonts w:ascii="Tahoma" w:hAnsi="Tahoma" w:cs="Tahoma"/>
      <w:sz w:val="16"/>
      <w:szCs w:val="16"/>
    </w:rPr>
  </w:style>
  <w:style w:type="character" w:customStyle="1" w:styleId="BalloonTextChar">
    <w:name w:val="Balloon Text Char"/>
    <w:link w:val="BalloonText"/>
    <w:rsid w:val="006F382C"/>
    <w:rPr>
      <w:rFonts w:ascii="Tahoma" w:hAnsi="Tahoma" w:cs="Tahoma"/>
      <w:sz w:val="16"/>
      <w:szCs w:val="16"/>
    </w:rPr>
  </w:style>
  <w:style w:type="table" w:styleId="TableContemporary">
    <w:name w:val="Table Contemporary"/>
    <w:basedOn w:val="TableNormal"/>
    <w:rsid w:val="00854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uiPriority w:val="99"/>
    <w:semiHidden/>
    <w:rsid w:val="00BE768A"/>
  </w:style>
  <w:style w:type="character" w:customStyle="1" w:styleId="ssbf1">
    <w:name w:val="ss_bf1"/>
    <w:rsid w:val="002C66D8"/>
    <w:rPr>
      <w:b/>
      <w:bCs/>
      <w:color w:val="373739"/>
    </w:rPr>
  </w:style>
  <w:style w:type="character" w:customStyle="1" w:styleId="ssparalabel">
    <w:name w:val="ss_paralabel"/>
    <w:rsid w:val="002C66D8"/>
  </w:style>
  <w:style w:type="character" w:customStyle="1" w:styleId="ssparacontent">
    <w:name w:val="ss_paracontent"/>
    <w:rsid w:val="002C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598196">
      <w:bodyDiv w:val="1"/>
      <w:marLeft w:val="0"/>
      <w:marRight w:val="0"/>
      <w:marTop w:val="0"/>
      <w:marBottom w:val="0"/>
      <w:divBdr>
        <w:top w:val="none" w:sz="0" w:space="0" w:color="auto"/>
        <w:left w:val="none" w:sz="0" w:space="0" w:color="auto"/>
        <w:bottom w:val="none" w:sz="0" w:space="0" w:color="auto"/>
        <w:right w:val="none" w:sz="0" w:space="0" w:color="auto"/>
      </w:divBdr>
    </w:div>
    <w:div w:id="1719741966">
      <w:bodyDiv w:val="1"/>
      <w:marLeft w:val="0"/>
      <w:marRight w:val="0"/>
      <w:marTop w:val="0"/>
      <w:marBottom w:val="0"/>
      <w:divBdr>
        <w:top w:val="none" w:sz="0" w:space="0" w:color="auto"/>
        <w:left w:val="none" w:sz="0" w:space="0" w:color="auto"/>
        <w:bottom w:val="none" w:sz="0" w:space="0" w:color="auto"/>
        <w:right w:val="none" w:sz="0" w:space="0" w:color="auto"/>
      </w:divBdr>
    </w:div>
    <w:div w:id="2108840439">
      <w:bodyDiv w:val="1"/>
      <w:marLeft w:val="0"/>
      <w:marRight w:val="0"/>
      <w:marTop w:val="0"/>
      <w:marBottom w:val="0"/>
      <w:divBdr>
        <w:top w:val="none" w:sz="0" w:space="0" w:color="auto"/>
        <w:left w:val="none" w:sz="0" w:space="0" w:color="auto"/>
        <w:bottom w:val="none" w:sz="0" w:space="0" w:color="auto"/>
        <w:right w:val="none" w:sz="0" w:space="0" w:color="auto"/>
      </w:divBdr>
      <w:divsChild>
        <w:div w:id="1010915788">
          <w:marLeft w:val="0"/>
          <w:marRight w:val="0"/>
          <w:marTop w:val="0"/>
          <w:marBottom w:val="0"/>
          <w:divBdr>
            <w:top w:val="none" w:sz="0" w:space="0" w:color="auto"/>
            <w:left w:val="none" w:sz="0" w:space="0" w:color="auto"/>
            <w:bottom w:val="none" w:sz="0" w:space="0" w:color="auto"/>
            <w:right w:val="none" w:sz="0" w:space="0" w:color="auto"/>
          </w:divBdr>
          <w:divsChild>
            <w:div w:id="635795880">
              <w:marLeft w:val="0"/>
              <w:marRight w:val="0"/>
              <w:marTop w:val="0"/>
              <w:marBottom w:val="0"/>
              <w:divBdr>
                <w:top w:val="none" w:sz="0" w:space="0" w:color="auto"/>
                <w:left w:val="none" w:sz="0" w:space="0" w:color="auto"/>
                <w:bottom w:val="none" w:sz="0" w:space="0" w:color="auto"/>
                <w:right w:val="none" w:sz="0" w:space="0" w:color="auto"/>
              </w:divBdr>
              <w:divsChild>
                <w:div w:id="1271812479">
                  <w:marLeft w:val="0"/>
                  <w:marRight w:val="300"/>
                  <w:marTop w:val="0"/>
                  <w:marBottom w:val="0"/>
                  <w:divBdr>
                    <w:top w:val="none" w:sz="0" w:space="0" w:color="auto"/>
                    <w:left w:val="none" w:sz="0" w:space="0" w:color="auto"/>
                    <w:bottom w:val="none" w:sz="0" w:space="0" w:color="auto"/>
                    <w:right w:val="none" w:sz="0" w:space="0" w:color="auto"/>
                  </w:divBdr>
                  <w:divsChild>
                    <w:div w:id="1369527357">
                      <w:marLeft w:val="0"/>
                      <w:marRight w:val="300"/>
                      <w:marTop w:val="0"/>
                      <w:marBottom w:val="0"/>
                      <w:divBdr>
                        <w:top w:val="none" w:sz="0" w:space="0" w:color="auto"/>
                        <w:left w:val="none" w:sz="0" w:space="0" w:color="auto"/>
                        <w:bottom w:val="none" w:sz="0" w:space="0" w:color="auto"/>
                        <w:right w:val="none" w:sz="0" w:space="0" w:color="auto"/>
                      </w:divBdr>
                      <w:divsChild>
                        <w:div w:id="2084832685">
                          <w:marLeft w:val="0"/>
                          <w:marRight w:val="0"/>
                          <w:marTop w:val="0"/>
                          <w:marBottom w:val="0"/>
                          <w:divBdr>
                            <w:top w:val="none" w:sz="0" w:space="0" w:color="auto"/>
                            <w:left w:val="none" w:sz="0" w:space="0" w:color="auto"/>
                            <w:bottom w:val="none" w:sz="0" w:space="0" w:color="auto"/>
                            <w:right w:val="none" w:sz="0" w:space="0" w:color="auto"/>
                          </w:divBdr>
                          <w:divsChild>
                            <w:div w:id="1481842763">
                              <w:marLeft w:val="0"/>
                              <w:marRight w:val="0"/>
                              <w:marTop w:val="0"/>
                              <w:marBottom w:val="0"/>
                              <w:divBdr>
                                <w:top w:val="none" w:sz="0" w:space="0" w:color="auto"/>
                                <w:left w:val="none" w:sz="0" w:space="0" w:color="auto"/>
                                <w:bottom w:val="none" w:sz="0" w:space="0" w:color="auto"/>
                                <w:right w:val="none" w:sz="0" w:space="0" w:color="auto"/>
                              </w:divBdr>
                              <w:divsChild>
                                <w:div w:id="374544024">
                                  <w:marLeft w:val="0"/>
                                  <w:marRight w:val="0"/>
                                  <w:marTop w:val="0"/>
                                  <w:marBottom w:val="0"/>
                                  <w:divBdr>
                                    <w:top w:val="none" w:sz="0" w:space="0" w:color="auto"/>
                                    <w:left w:val="none" w:sz="0" w:space="0" w:color="auto"/>
                                    <w:bottom w:val="none" w:sz="0" w:space="0" w:color="auto"/>
                                    <w:right w:val="none" w:sz="0" w:space="0" w:color="auto"/>
                                  </w:divBdr>
                                  <w:divsChild>
                                    <w:div w:id="1387990299">
                                      <w:marLeft w:val="0"/>
                                      <w:marRight w:val="0"/>
                                      <w:marTop w:val="0"/>
                                      <w:marBottom w:val="0"/>
                                      <w:divBdr>
                                        <w:top w:val="none" w:sz="0" w:space="0" w:color="auto"/>
                                        <w:left w:val="none" w:sz="0" w:space="0" w:color="auto"/>
                                        <w:bottom w:val="none" w:sz="0" w:space="0" w:color="auto"/>
                                        <w:right w:val="none" w:sz="0" w:space="0" w:color="auto"/>
                                      </w:divBdr>
                                      <w:divsChild>
                                        <w:div w:id="1003895554">
                                          <w:marLeft w:val="0"/>
                                          <w:marRight w:val="0"/>
                                          <w:marTop w:val="0"/>
                                          <w:marBottom w:val="0"/>
                                          <w:divBdr>
                                            <w:top w:val="none" w:sz="0" w:space="0" w:color="auto"/>
                                            <w:left w:val="none" w:sz="0" w:space="0" w:color="auto"/>
                                            <w:bottom w:val="none" w:sz="0" w:space="0" w:color="auto"/>
                                            <w:right w:val="none" w:sz="0" w:space="0" w:color="auto"/>
                                          </w:divBdr>
                                        </w:div>
                                        <w:div w:id="1236623929">
                                          <w:marLeft w:val="0"/>
                                          <w:marRight w:val="0"/>
                                          <w:marTop w:val="0"/>
                                          <w:marBottom w:val="0"/>
                                          <w:divBdr>
                                            <w:top w:val="none" w:sz="0" w:space="0" w:color="auto"/>
                                            <w:left w:val="none" w:sz="0" w:space="0" w:color="auto"/>
                                            <w:bottom w:val="none" w:sz="0" w:space="0" w:color="auto"/>
                                            <w:right w:val="none" w:sz="0" w:space="0" w:color="auto"/>
                                          </w:divBdr>
                                        </w:div>
                                      </w:divsChild>
                                    </w:div>
                                    <w:div w:id="1555770378">
                                      <w:marLeft w:val="0"/>
                                      <w:marRight w:val="0"/>
                                      <w:marTop w:val="0"/>
                                      <w:marBottom w:val="0"/>
                                      <w:divBdr>
                                        <w:top w:val="none" w:sz="0" w:space="0" w:color="auto"/>
                                        <w:left w:val="none" w:sz="0" w:space="0" w:color="auto"/>
                                        <w:bottom w:val="none" w:sz="0" w:space="0" w:color="auto"/>
                                        <w:right w:val="none" w:sz="0" w:space="0" w:color="auto"/>
                                      </w:divBdr>
                                    </w:div>
                                    <w:div w:id="510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AB75-EDF5-4779-8BC0-184543D0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2018-08-23T11:19:00Z</cp:lastPrinted>
  <dcterms:created xsi:type="dcterms:W3CDTF">2018-08-10T19:29:00Z</dcterms:created>
  <dcterms:modified xsi:type="dcterms:W3CDTF">2018-08-23T11:19:00Z</dcterms:modified>
</cp:coreProperties>
</file>