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ADF96" w14:textId="77777777" w:rsidR="00B4613A" w:rsidRPr="002A5D4B" w:rsidRDefault="00B4613A" w:rsidP="00780061">
      <w:pPr>
        <w:spacing w:after="0" w:line="240" w:lineRule="auto"/>
        <w:jc w:val="center"/>
        <w:rPr>
          <w:b/>
          <w:sz w:val="26"/>
          <w:szCs w:val="26"/>
        </w:rPr>
      </w:pPr>
      <w:r w:rsidRPr="002A5D4B">
        <w:rPr>
          <w:b/>
          <w:sz w:val="26"/>
          <w:szCs w:val="26"/>
        </w:rPr>
        <w:t>PENNSYLVANIA</w:t>
      </w:r>
    </w:p>
    <w:p w14:paraId="158037A4" w14:textId="77777777" w:rsidR="00B4613A" w:rsidRPr="002A5D4B" w:rsidRDefault="00B4613A" w:rsidP="00780061">
      <w:pPr>
        <w:spacing w:after="0" w:line="240" w:lineRule="auto"/>
        <w:jc w:val="center"/>
        <w:rPr>
          <w:b/>
          <w:sz w:val="26"/>
          <w:szCs w:val="26"/>
        </w:rPr>
      </w:pPr>
      <w:r w:rsidRPr="002A5D4B">
        <w:rPr>
          <w:b/>
          <w:sz w:val="26"/>
          <w:szCs w:val="26"/>
        </w:rPr>
        <w:t>PUBLIC UTILITY COMMISSION</w:t>
      </w:r>
    </w:p>
    <w:p w14:paraId="72E34041" w14:textId="77777777" w:rsidR="00B4613A" w:rsidRDefault="00B4613A" w:rsidP="00203DF7">
      <w:pPr>
        <w:spacing w:after="0" w:line="240" w:lineRule="auto"/>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1324E7DD" w14:textId="77777777" w:rsidR="00B4613A" w:rsidRPr="00BA66A4" w:rsidRDefault="00B4613A" w:rsidP="00203DF7">
      <w:pPr>
        <w:spacing w:after="0" w:line="240" w:lineRule="auto"/>
        <w:rPr>
          <w:sz w:val="26"/>
          <w:szCs w:val="26"/>
        </w:rPr>
      </w:pPr>
    </w:p>
    <w:p w14:paraId="09DFD2A5" w14:textId="4C16B164" w:rsidR="00B4613A" w:rsidRPr="002A5D4B" w:rsidRDefault="00B4613A" w:rsidP="00203DF7">
      <w:pPr>
        <w:spacing w:after="0" w:line="240" w:lineRule="auto"/>
        <w:jc w:val="right"/>
        <w:rPr>
          <w:sz w:val="26"/>
          <w:szCs w:val="26"/>
        </w:rPr>
      </w:pPr>
      <w:r>
        <w:rPr>
          <w:sz w:val="26"/>
          <w:szCs w:val="26"/>
        </w:rPr>
        <w:t>P</w:t>
      </w:r>
      <w:r w:rsidRPr="002A5D4B">
        <w:rPr>
          <w:sz w:val="26"/>
          <w:szCs w:val="26"/>
        </w:rPr>
        <w:t>ublic Meeting held</w:t>
      </w:r>
      <w:r w:rsidR="005D0B2D">
        <w:rPr>
          <w:sz w:val="26"/>
          <w:szCs w:val="26"/>
        </w:rPr>
        <w:t xml:space="preserve"> August 23</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6AA0B0BF" w14:textId="77777777" w:rsidR="00B4613A" w:rsidRPr="002A5D4B" w:rsidRDefault="00B4613A" w:rsidP="00203DF7">
      <w:pPr>
        <w:spacing w:after="0" w:line="240" w:lineRule="auto"/>
        <w:rPr>
          <w:sz w:val="26"/>
          <w:szCs w:val="26"/>
        </w:rPr>
      </w:pPr>
    </w:p>
    <w:p w14:paraId="31A9810E" w14:textId="77777777" w:rsidR="00B4613A" w:rsidRPr="002A5D4B" w:rsidRDefault="00B4613A" w:rsidP="00203DF7">
      <w:pPr>
        <w:spacing w:after="0" w:line="240" w:lineRule="auto"/>
        <w:rPr>
          <w:sz w:val="26"/>
          <w:szCs w:val="26"/>
        </w:rPr>
      </w:pPr>
      <w:r w:rsidRPr="002A5D4B">
        <w:rPr>
          <w:sz w:val="26"/>
          <w:szCs w:val="26"/>
        </w:rPr>
        <w:t>Commissioners Present:</w:t>
      </w:r>
    </w:p>
    <w:p w14:paraId="4EC8BE9E" w14:textId="77777777" w:rsidR="00B4613A" w:rsidRPr="002A5D4B" w:rsidRDefault="00B4613A" w:rsidP="00203DF7">
      <w:pPr>
        <w:spacing w:after="0" w:line="240" w:lineRule="auto"/>
        <w:rPr>
          <w:sz w:val="26"/>
          <w:szCs w:val="26"/>
        </w:rPr>
      </w:pPr>
    </w:p>
    <w:p w14:paraId="064586A6" w14:textId="77777777" w:rsidR="00B4613A" w:rsidRPr="002A5D4B" w:rsidRDefault="00B4613A" w:rsidP="00203DF7">
      <w:pPr>
        <w:spacing w:after="0" w:line="240" w:lineRule="auto"/>
        <w:rPr>
          <w:sz w:val="26"/>
          <w:szCs w:val="26"/>
        </w:rPr>
      </w:pPr>
      <w:r>
        <w:rPr>
          <w:sz w:val="26"/>
          <w:szCs w:val="26"/>
        </w:rPr>
        <w:tab/>
        <w:t>Gladys M. Brown</w:t>
      </w:r>
      <w:r w:rsidRPr="002A5D4B">
        <w:rPr>
          <w:sz w:val="26"/>
          <w:szCs w:val="26"/>
        </w:rPr>
        <w:t>, Chairman</w:t>
      </w:r>
    </w:p>
    <w:p w14:paraId="344B3A37" w14:textId="77777777" w:rsidR="00B4613A" w:rsidRDefault="00B4613A" w:rsidP="00203DF7">
      <w:pPr>
        <w:spacing w:after="0" w:line="240" w:lineRule="auto"/>
        <w:rPr>
          <w:sz w:val="26"/>
          <w:szCs w:val="26"/>
        </w:rPr>
      </w:pPr>
      <w:r>
        <w:rPr>
          <w:sz w:val="26"/>
          <w:szCs w:val="26"/>
        </w:rPr>
        <w:tab/>
        <w:t>Andrew G. Place</w:t>
      </w:r>
      <w:r w:rsidRPr="002A5D4B">
        <w:rPr>
          <w:sz w:val="26"/>
          <w:szCs w:val="26"/>
        </w:rPr>
        <w:t>, Vice Chairman</w:t>
      </w:r>
    </w:p>
    <w:p w14:paraId="45051464" w14:textId="77777777" w:rsidR="00B4613A" w:rsidRDefault="00B4613A" w:rsidP="00203DF7">
      <w:pPr>
        <w:spacing w:after="0" w:line="240" w:lineRule="auto"/>
        <w:rPr>
          <w:sz w:val="26"/>
          <w:szCs w:val="26"/>
        </w:rPr>
      </w:pPr>
      <w:r>
        <w:rPr>
          <w:sz w:val="26"/>
          <w:szCs w:val="26"/>
        </w:rPr>
        <w:tab/>
        <w:t>Norman J. Kennard</w:t>
      </w:r>
    </w:p>
    <w:p w14:paraId="6EEC13F2" w14:textId="781E4678" w:rsidR="00B4613A" w:rsidRDefault="00DA532B" w:rsidP="00DA532B">
      <w:pPr>
        <w:spacing w:after="0" w:line="240" w:lineRule="auto"/>
        <w:rPr>
          <w:sz w:val="26"/>
          <w:szCs w:val="26"/>
        </w:rPr>
      </w:pPr>
      <w:r>
        <w:rPr>
          <w:sz w:val="26"/>
          <w:szCs w:val="26"/>
        </w:rPr>
        <w:tab/>
      </w:r>
      <w:r w:rsidR="00B4613A">
        <w:rPr>
          <w:sz w:val="26"/>
          <w:szCs w:val="26"/>
        </w:rPr>
        <w:t>David W. Sweet</w:t>
      </w:r>
    </w:p>
    <w:p w14:paraId="71C62006" w14:textId="3C8255A4" w:rsidR="00B4613A" w:rsidRPr="002A5D4B" w:rsidRDefault="00DA532B" w:rsidP="00DA532B">
      <w:pPr>
        <w:spacing w:after="0" w:line="240" w:lineRule="auto"/>
        <w:rPr>
          <w:sz w:val="26"/>
          <w:szCs w:val="26"/>
        </w:rPr>
      </w:pPr>
      <w:r>
        <w:rPr>
          <w:sz w:val="26"/>
          <w:szCs w:val="26"/>
        </w:rPr>
        <w:tab/>
      </w:r>
      <w:r w:rsidR="00B4613A">
        <w:rPr>
          <w:sz w:val="26"/>
          <w:szCs w:val="26"/>
        </w:rPr>
        <w:t>John F. Coleman, Jr.</w:t>
      </w:r>
    </w:p>
    <w:p w14:paraId="58C782C9" w14:textId="6F1C4BB8" w:rsidR="00B4613A" w:rsidRPr="002A5D4B" w:rsidRDefault="00B4613A" w:rsidP="00203DF7">
      <w:pPr>
        <w:spacing w:after="0" w:line="240" w:lineRule="auto"/>
        <w:rPr>
          <w:sz w:val="26"/>
          <w:szCs w:val="26"/>
        </w:rPr>
      </w:pPr>
    </w:p>
    <w:p w14:paraId="78F1358E" w14:textId="77777777" w:rsidR="00B4613A" w:rsidRPr="007F73BF" w:rsidRDefault="00B4613A" w:rsidP="00203DF7">
      <w:pPr>
        <w:spacing w:after="0" w:line="240" w:lineRule="auto"/>
        <w:rPr>
          <w:sz w:val="26"/>
          <w:szCs w:val="26"/>
        </w:rPr>
      </w:pPr>
    </w:p>
    <w:p w14:paraId="58A06EF0" w14:textId="77777777" w:rsidR="00B4613A" w:rsidRPr="007F73BF" w:rsidRDefault="00B4613A" w:rsidP="00203DF7">
      <w:pPr>
        <w:spacing w:after="0" w:line="240" w:lineRule="auto"/>
        <w:rPr>
          <w:sz w:val="26"/>
          <w:szCs w:val="26"/>
        </w:rPr>
      </w:pPr>
    </w:p>
    <w:p w14:paraId="1DCCCBD3" w14:textId="53D23718" w:rsidR="00B4613A" w:rsidRDefault="00B746FE" w:rsidP="00203DF7">
      <w:pPr>
        <w:tabs>
          <w:tab w:val="left" w:pos="-720"/>
          <w:tab w:val="left" w:pos="0"/>
        </w:tabs>
        <w:suppressAutoHyphens/>
        <w:spacing w:after="0" w:line="240" w:lineRule="auto"/>
        <w:rPr>
          <w:sz w:val="26"/>
          <w:szCs w:val="26"/>
        </w:rPr>
      </w:pPr>
      <w:r>
        <w:rPr>
          <w:sz w:val="26"/>
          <w:szCs w:val="26"/>
        </w:rPr>
        <w:t>Jacque Whaumbush</w:t>
      </w:r>
      <w:r w:rsidR="00B4613A">
        <w:rPr>
          <w:sz w:val="26"/>
          <w:szCs w:val="26"/>
        </w:rPr>
        <w:tab/>
      </w:r>
      <w:r w:rsidR="00B4613A">
        <w:rPr>
          <w:sz w:val="26"/>
          <w:szCs w:val="26"/>
        </w:rPr>
        <w:tab/>
      </w:r>
      <w:r w:rsidR="00B4613A">
        <w:rPr>
          <w:sz w:val="26"/>
          <w:szCs w:val="26"/>
        </w:rPr>
        <w:tab/>
      </w:r>
      <w:r w:rsidR="00B4613A">
        <w:rPr>
          <w:sz w:val="26"/>
          <w:szCs w:val="26"/>
        </w:rPr>
        <w:tab/>
      </w:r>
      <w:r w:rsidR="00B4613A">
        <w:rPr>
          <w:sz w:val="26"/>
          <w:szCs w:val="26"/>
        </w:rPr>
        <w:tab/>
      </w:r>
      <w:r w:rsidR="00B4613A">
        <w:rPr>
          <w:sz w:val="26"/>
          <w:szCs w:val="26"/>
        </w:rPr>
        <w:tab/>
      </w:r>
      <w:r w:rsidR="00DA532B">
        <w:rPr>
          <w:sz w:val="26"/>
          <w:szCs w:val="26"/>
        </w:rPr>
        <w:tab/>
      </w:r>
      <w:r>
        <w:rPr>
          <w:sz w:val="26"/>
          <w:szCs w:val="26"/>
        </w:rPr>
        <w:tab/>
        <w:t>C-2017-2622269</w:t>
      </w:r>
    </w:p>
    <w:p w14:paraId="54B420F0" w14:textId="77777777" w:rsidR="00B4613A" w:rsidRDefault="00B4613A" w:rsidP="00780061">
      <w:pPr>
        <w:tabs>
          <w:tab w:val="left" w:pos="-720"/>
          <w:tab w:val="left" w:pos="0"/>
        </w:tabs>
        <w:suppressAutoHyphens/>
        <w:spacing w:after="0" w:line="240" w:lineRule="auto"/>
        <w:rPr>
          <w:b/>
          <w:sz w:val="26"/>
          <w:szCs w:val="26"/>
        </w:rPr>
      </w:pPr>
    </w:p>
    <w:p w14:paraId="1D607560" w14:textId="77777777" w:rsidR="00B4613A" w:rsidRDefault="00B4613A" w:rsidP="00780061">
      <w:pPr>
        <w:tabs>
          <w:tab w:val="left" w:pos="-720"/>
          <w:tab w:val="left" w:pos="0"/>
        </w:tabs>
        <w:suppressAutoHyphens/>
        <w:spacing w:after="0" w:line="240" w:lineRule="auto"/>
        <w:rPr>
          <w:sz w:val="26"/>
          <w:szCs w:val="26"/>
        </w:rPr>
      </w:pPr>
      <w:r>
        <w:rPr>
          <w:b/>
          <w:sz w:val="26"/>
          <w:szCs w:val="26"/>
        </w:rPr>
        <w:tab/>
        <w:t xml:space="preserve">     </w:t>
      </w:r>
      <w:r>
        <w:rPr>
          <w:sz w:val="26"/>
          <w:szCs w:val="26"/>
        </w:rPr>
        <w:t>v.</w:t>
      </w:r>
    </w:p>
    <w:p w14:paraId="1883A3B7" w14:textId="77777777" w:rsidR="00B4613A" w:rsidRDefault="00B4613A" w:rsidP="00780061">
      <w:pPr>
        <w:tabs>
          <w:tab w:val="left" w:pos="-720"/>
          <w:tab w:val="left" w:pos="0"/>
        </w:tabs>
        <w:suppressAutoHyphens/>
        <w:spacing w:after="0" w:line="240" w:lineRule="auto"/>
        <w:rPr>
          <w:sz w:val="26"/>
          <w:szCs w:val="26"/>
        </w:rPr>
      </w:pPr>
    </w:p>
    <w:p w14:paraId="0D2C7408" w14:textId="1228317E" w:rsidR="00B4613A" w:rsidRDefault="00B746FE" w:rsidP="00203DF7">
      <w:pPr>
        <w:tabs>
          <w:tab w:val="left" w:pos="-720"/>
          <w:tab w:val="left" w:pos="0"/>
        </w:tabs>
        <w:suppressAutoHyphens/>
        <w:spacing w:after="0" w:line="240" w:lineRule="auto"/>
        <w:rPr>
          <w:sz w:val="26"/>
          <w:szCs w:val="26"/>
        </w:rPr>
      </w:pPr>
      <w:r>
        <w:rPr>
          <w:sz w:val="26"/>
          <w:szCs w:val="26"/>
        </w:rPr>
        <w:t>PECO Energy Company</w:t>
      </w:r>
    </w:p>
    <w:p w14:paraId="7D6C147E" w14:textId="77777777" w:rsidR="00B4613A" w:rsidRPr="001E0694" w:rsidRDefault="00B4613A" w:rsidP="00203DF7">
      <w:pPr>
        <w:tabs>
          <w:tab w:val="left" w:pos="-720"/>
          <w:tab w:val="left" w:pos="0"/>
        </w:tabs>
        <w:suppressAutoHyphens/>
        <w:spacing w:after="0" w:line="240" w:lineRule="auto"/>
        <w:rPr>
          <w:sz w:val="26"/>
          <w:szCs w:val="26"/>
        </w:rPr>
      </w:pPr>
    </w:p>
    <w:p w14:paraId="365B31D1" w14:textId="77777777" w:rsidR="00B4613A" w:rsidRDefault="00B4613A" w:rsidP="00203DF7">
      <w:pPr>
        <w:tabs>
          <w:tab w:val="left" w:pos="-720"/>
        </w:tabs>
        <w:suppressAutoHyphens/>
        <w:spacing w:after="0" w:line="240" w:lineRule="auto"/>
        <w:rPr>
          <w:sz w:val="26"/>
        </w:rPr>
      </w:pPr>
    </w:p>
    <w:p w14:paraId="6392E522" w14:textId="77777777" w:rsidR="00B4613A" w:rsidRDefault="00B4613A" w:rsidP="00203DF7">
      <w:pPr>
        <w:suppressAutoHyphens/>
        <w:spacing w:after="0" w:line="240" w:lineRule="auto"/>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156D2AC3" w14:textId="77777777" w:rsidR="00B4613A" w:rsidRDefault="00B4613A" w:rsidP="00B4613A">
      <w:pPr>
        <w:suppressAutoHyphens/>
        <w:rPr>
          <w:b/>
          <w:sz w:val="26"/>
          <w:szCs w:val="26"/>
        </w:rPr>
      </w:pPr>
    </w:p>
    <w:p w14:paraId="180E336A" w14:textId="77777777" w:rsidR="00B4613A" w:rsidRDefault="00B4613A" w:rsidP="00B4613A">
      <w:pPr>
        <w:tabs>
          <w:tab w:val="left" w:pos="-720"/>
        </w:tabs>
        <w:suppressAutoHyphens/>
        <w:rPr>
          <w:sz w:val="26"/>
        </w:rPr>
      </w:pPr>
      <w:r w:rsidRPr="00624B80">
        <w:rPr>
          <w:b/>
          <w:sz w:val="26"/>
        </w:rPr>
        <w:t>BY THE COMMISSION:</w:t>
      </w:r>
    </w:p>
    <w:p w14:paraId="73D7224D" w14:textId="77777777" w:rsidR="00B4613A" w:rsidRDefault="00B4613A" w:rsidP="00780061">
      <w:pPr>
        <w:spacing w:after="0" w:line="360" w:lineRule="auto"/>
        <w:rPr>
          <w:sz w:val="26"/>
          <w:szCs w:val="26"/>
        </w:rPr>
      </w:pPr>
    </w:p>
    <w:p w14:paraId="1F4BD80A" w14:textId="3E15C80B" w:rsidR="00DE4328" w:rsidRDefault="00D51C18" w:rsidP="00780061">
      <w:pPr>
        <w:spacing w:after="0" w:line="360" w:lineRule="auto"/>
        <w:ind w:firstLine="1440"/>
        <w:rPr>
          <w:sz w:val="26"/>
          <w:szCs w:val="26"/>
        </w:rPr>
      </w:pPr>
      <w:r w:rsidRPr="00FD25A0">
        <w:rPr>
          <w:sz w:val="26"/>
          <w:szCs w:val="26"/>
        </w:rPr>
        <w:t>Before the Pennsylvania Public Utility Commission (Commission) for consideration an</w:t>
      </w:r>
      <w:r w:rsidR="00E37594">
        <w:rPr>
          <w:sz w:val="26"/>
          <w:szCs w:val="26"/>
        </w:rPr>
        <w:t xml:space="preserve">d disposition </w:t>
      </w:r>
      <w:r w:rsidR="00035660">
        <w:rPr>
          <w:sz w:val="26"/>
          <w:szCs w:val="26"/>
        </w:rPr>
        <w:t>are the Exceptions</w:t>
      </w:r>
      <w:r w:rsidR="002F4C93">
        <w:rPr>
          <w:sz w:val="26"/>
          <w:szCs w:val="26"/>
        </w:rPr>
        <w:t xml:space="preserve"> </w:t>
      </w:r>
      <w:r w:rsidRPr="00FD25A0">
        <w:rPr>
          <w:sz w:val="26"/>
          <w:szCs w:val="26"/>
        </w:rPr>
        <w:t xml:space="preserve">filed by </w:t>
      </w:r>
      <w:r w:rsidR="00E37594">
        <w:rPr>
          <w:sz w:val="26"/>
          <w:szCs w:val="26"/>
        </w:rPr>
        <w:t xml:space="preserve">Jacque Whaumbush </w:t>
      </w:r>
      <w:r w:rsidRPr="00FD25A0">
        <w:rPr>
          <w:sz w:val="26"/>
          <w:szCs w:val="26"/>
        </w:rPr>
        <w:t>(Complainant</w:t>
      </w:r>
      <w:r w:rsidR="009E548E">
        <w:rPr>
          <w:sz w:val="26"/>
          <w:szCs w:val="26"/>
        </w:rPr>
        <w:t>), on December 14</w:t>
      </w:r>
      <w:r w:rsidR="00AE6606">
        <w:rPr>
          <w:sz w:val="26"/>
          <w:szCs w:val="26"/>
        </w:rPr>
        <w:t>, 2017</w:t>
      </w:r>
      <w:r w:rsidRPr="00FD25A0">
        <w:rPr>
          <w:sz w:val="26"/>
          <w:szCs w:val="26"/>
        </w:rPr>
        <w:t xml:space="preserve">, to the Initial Decision (I.D.) of Administrative Law Judge (ALJ) </w:t>
      </w:r>
      <w:r w:rsidR="00E37594">
        <w:rPr>
          <w:sz w:val="26"/>
          <w:szCs w:val="26"/>
        </w:rPr>
        <w:t>Conrad A. Johnson</w:t>
      </w:r>
      <w:r w:rsidR="007603D5">
        <w:rPr>
          <w:sz w:val="26"/>
          <w:szCs w:val="26"/>
        </w:rPr>
        <w:t>,</w:t>
      </w:r>
      <w:r w:rsidR="00E37594">
        <w:rPr>
          <w:sz w:val="26"/>
          <w:szCs w:val="26"/>
        </w:rPr>
        <w:t xml:space="preserve"> issued on December 12</w:t>
      </w:r>
      <w:r w:rsidR="00AE6606">
        <w:rPr>
          <w:sz w:val="26"/>
          <w:szCs w:val="26"/>
        </w:rPr>
        <w:t>, 2017</w:t>
      </w:r>
      <w:r w:rsidR="00E37594">
        <w:rPr>
          <w:sz w:val="26"/>
          <w:szCs w:val="26"/>
        </w:rPr>
        <w:t xml:space="preserve">.  </w:t>
      </w:r>
      <w:r w:rsidR="005D0B2D">
        <w:rPr>
          <w:sz w:val="26"/>
          <w:szCs w:val="26"/>
        </w:rPr>
        <w:t>The</w:t>
      </w:r>
      <w:r w:rsidR="00035660">
        <w:rPr>
          <w:sz w:val="26"/>
          <w:szCs w:val="26"/>
        </w:rPr>
        <w:t xml:space="preserve"> Exceptions were filed in the form of a written l</w:t>
      </w:r>
      <w:r w:rsidR="005D0B2D">
        <w:rPr>
          <w:sz w:val="26"/>
          <w:szCs w:val="26"/>
        </w:rPr>
        <w:t>etter r</w:t>
      </w:r>
      <w:r w:rsidR="000730CE">
        <w:rPr>
          <w:sz w:val="26"/>
          <w:szCs w:val="26"/>
        </w:rPr>
        <w:t>equest</w:t>
      </w:r>
      <w:r w:rsidR="00035660">
        <w:rPr>
          <w:sz w:val="26"/>
          <w:szCs w:val="26"/>
        </w:rPr>
        <w:t>ing</w:t>
      </w:r>
      <w:r w:rsidR="000730CE">
        <w:rPr>
          <w:sz w:val="26"/>
          <w:szCs w:val="26"/>
        </w:rPr>
        <w:t xml:space="preserve"> </w:t>
      </w:r>
      <w:r w:rsidR="00DA532B">
        <w:rPr>
          <w:sz w:val="26"/>
          <w:szCs w:val="26"/>
        </w:rPr>
        <w:t xml:space="preserve">that </w:t>
      </w:r>
      <w:r w:rsidR="000730CE">
        <w:rPr>
          <w:sz w:val="26"/>
          <w:szCs w:val="26"/>
        </w:rPr>
        <w:t>the Commission</w:t>
      </w:r>
      <w:r w:rsidR="005D0B2D">
        <w:rPr>
          <w:sz w:val="26"/>
          <w:szCs w:val="26"/>
        </w:rPr>
        <w:t xml:space="preserve"> reschedule the evidentiary hearing held in this proceeding and </w:t>
      </w:r>
      <w:r w:rsidR="00035660">
        <w:rPr>
          <w:sz w:val="26"/>
          <w:szCs w:val="26"/>
        </w:rPr>
        <w:t>explaining t</w:t>
      </w:r>
      <w:r w:rsidR="002F4C93">
        <w:rPr>
          <w:sz w:val="26"/>
          <w:szCs w:val="26"/>
        </w:rPr>
        <w:t>he Complainant’</w:t>
      </w:r>
      <w:r w:rsidR="00035660">
        <w:rPr>
          <w:sz w:val="26"/>
          <w:szCs w:val="26"/>
        </w:rPr>
        <w:t>s</w:t>
      </w:r>
      <w:r w:rsidR="005D0B2D">
        <w:rPr>
          <w:sz w:val="26"/>
          <w:szCs w:val="26"/>
        </w:rPr>
        <w:t xml:space="preserve"> failure to appear in the hearing that was held </w:t>
      </w:r>
      <w:r w:rsidR="002F4C93">
        <w:rPr>
          <w:sz w:val="26"/>
          <w:szCs w:val="26"/>
        </w:rPr>
        <w:t>before ALJ Johnson</w:t>
      </w:r>
      <w:r w:rsidR="005D0B2D">
        <w:rPr>
          <w:sz w:val="26"/>
          <w:szCs w:val="26"/>
        </w:rPr>
        <w:t xml:space="preserve">.  </w:t>
      </w:r>
      <w:r w:rsidR="00E55B56">
        <w:rPr>
          <w:sz w:val="26"/>
          <w:szCs w:val="26"/>
        </w:rPr>
        <w:t xml:space="preserve">PECO Energy Company (PECO or Company) </w:t>
      </w:r>
      <w:r w:rsidR="005D0B2D">
        <w:rPr>
          <w:sz w:val="26"/>
          <w:szCs w:val="26"/>
        </w:rPr>
        <w:t xml:space="preserve">filed </w:t>
      </w:r>
      <w:r w:rsidR="00035660">
        <w:rPr>
          <w:sz w:val="26"/>
          <w:szCs w:val="26"/>
        </w:rPr>
        <w:t>Replies to Exceptions</w:t>
      </w:r>
      <w:r w:rsidR="005D0B2D">
        <w:rPr>
          <w:sz w:val="26"/>
          <w:szCs w:val="26"/>
        </w:rPr>
        <w:t xml:space="preserve"> </w:t>
      </w:r>
      <w:r w:rsidR="00E55B56">
        <w:rPr>
          <w:sz w:val="26"/>
          <w:szCs w:val="26"/>
        </w:rPr>
        <w:t>on May 24, 2018</w:t>
      </w:r>
      <w:r w:rsidR="00E37594" w:rsidRPr="00C43E49">
        <w:rPr>
          <w:sz w:val="26"/>
          <w:szCs w:val="26"/>
        </w:rPr>
        <w:t xml:space="preserve">. </w:t>
      </w:r>
      <w:r w:rsidR="00F27014" w:rsidRPr="00C43E49">
        <w:rPr>
          <w:sz w:val="26"/>
          <w:szCs w:val="26"/>
        </w:rPr>
        <w:t xml:space="preserve"> </w:t>
      </w:r>
      <w:r w:rsidR="00C43E49" w:rsidRPr="00C43E49">
        <w:rPr>
          <w:sz w:val="26"/>
          <w:szCs w:val="26"/>
        </w:rPr>
        <w:t xml:space="preserve">For the reasons set forth </w:t>
      </w:r>
      <w:r w:rsidR="00C43E49" w:rsidRPr="00C43E49">
        <w:rPr>
          <w:sz w:val="26"/>
          <w:szCs w:val="26"/>
        </w:rPr>
        <w:lastRenderedPageBreak/>
        <w:t xml:space="preserve">herein, we shall deny the Complainant’s </w:t>
      </w:r>
      <w:r w:rsidR="00035660">
        <w:rPr>
          <w:sz w:val="26"/>
          <w:szCs w:val="26"/>
        </w:rPr>
        <w:t>Exceptions</w:t>
      </w:r>
      <w:r w:rsidR="007B3AFD">
        <w:rPr>
          <w:sz w:val="26"/>
          <w:szCs w:val="26"/>
        </w:rPr>
        <w:t xml:space="preserve">, affirm </w:t>
      </w:r>
      <w:r w:rsidR="00C43E49" w:rsidRPr="00C43E49">
        <w:rPr>
          <w:sz w:val="26"/>
          <w:szCs w:val="26"/>
        </w:rPr>
        <w:t>the</w:t>
      </w:r>
      <w:r w:rsidR="00FD19B9" w:rsidRPr="00C43E49">
        <w:rPr>
          <w:sz w:val="26"/>
          <w:szCs w:val="26"/>
        </w:rPr>
        <w:t xml:space="preserve"> Initial Decision</w:t>
      </w:r>
      <w:r w:rsidR="007B3AFD">
        <w:rPr>
          <w:sz w:val="26"/>
          <w:szCs w:val="26"/>
        </w:rPr>
        <w:t xml:space="preserve"> and dismiss the Complaint, </w:t>
      </w:r>
      <w:r w:rsidR="007B3AFD" w:rsidRPr="007B3AFD">
        <w:rPr>
          <w:i/>
          <w:sz w:val="26"/>
          <w:szCs w:val="26"/>
        </w:rPr>
        <w:t>with prejudice</w:t>
      </w:r>
      <w:r w:rsidR="007B3AFD">
        <w:rPr>
          <w:sz w:val="26"/>
          <w:szCs w:val="26"/>
        </w:rPr>
        <w:t xml:space="preserve">, </w:t>
      </w:r>
      <w:r w:rsidR="00FD19B9" w:rsidRPr="00C43E49">
        <w:rPr>
          <w:sz w:val="26"/>
          <w:szCs w:val="26"/>
        </w:rPr>
        <w:t>consistent with this Opinion and Order.</w:t>
      </w:r>
    </w:p>
    <w:p w14:paraId="3BABB90C" w14:textId="77777777" w:rsidR="004A44D1" w:rsidRDefault="004A44D1">
      <w:pPr>
        <w:rPr>
          <w:sz w:val="26"/>
          <w:szCs w:val="26"/>
        </w:rPr>
      </w:pPr>
    </w:p>
    <w:p w14:paraId="45E6CACA" w14:textId="77777777" w:rsidR="00B4613A" w:rsidRDefault="00B4613A" w:rsidP="00780061">
      <w:pPr>
        <w:pStyle w:val="ListParagraph"/>
        <w:ind w:left="0"/>
        <w:jc w:val="center"/>
        <w:rPr>
          <w:b/>
          <w:sz w:val="26"/>
          <w:szCs w:val="26"/>
        </w:rPr>
      </w:pPr>
      <w:r w:rsidRPr="00D46080">
        <w:rPr>
          <w:b/>
          <w:sz w:val="26"/>
          <w:szCs w:val="26"/>
        </w:rPr>
        <w:t>History of the Proceeding</w:t>
      </w:r>
    </w:p>
    <w:p w14:paraId="41FE8186" w14:textId="77777777" w:rsidR="00D46080" w:rsidRDefault="00D46080" w:rsidP="00D46080">
      <w:pPr>
        <w:pStyle w:val="ListParagraph"/>
        <w:ind w:left="0"/>
        <w:jc w:val="both"/>
        <w:rPr>
          <w:b/>
          <w:sz w:val="26"/>
          <w:szCs w:val="26"/>
        </w:rPr>
      </w:pPr>
    </w:p>
    <w:p w14:paraId="36605579" w14:textId="0E89FA9E" w:rsidR="001E47F7" w:rsidRDefault="001E47F7" w:rsidP="006101F6">
      <w:pPr>
        <w:pStyle w:val="Default"/>
        <w:spacing w:line="360" w:lineRule="auto"/>
        <w:ind w:firstLine="1440"/>
        <w:rPr>
          <w:sz w:val="26"/>
          <w:szCs w:val="26"/>
        </w:rPr>
      </w:pPr>
      <w:r>
        <w:rPr>
          <w:sz w:val="26"/>
          <w:szCs w:val="26"/>
        </w:rPr>
        <w:t>On August 30, 2017, the Complainant filed a Formal Complaint (Complaint</w:t>
      </w:r>
      <w:r w:rsidR="00E55B56">
        <w:rPr>
          <w:sz w:val="26"/>
          <w:szCs w:val="26"/>
        </w:rPr>
        <w:t>) against PECO</w:t>
      </w:r>
      <w:r>
        <w:rPr>
          <w:sz w:val="26"/>
          <w:szCs w:val="26"/>
        </w:rPr>
        <w:t xml:space="preserve"> </w:t>
      </w:r>
      <w:r w:rsidR="00ED409D">
        <w:rPr>
          <w:sz w:val="26"/>
          <w:szCs w:val="26"/>
        </w:rPr>
        <w:t xml:space="preserve">in which he </w:t>
      </w:r>
      <w:r>
        <w:rPr>
          <w:sz w:val="26"/>
          <w:szCs w:val="26"/>
        </w:rPr>
        <w:t>alleg</w:t>
      </w:r>
      <w:r w:rsidR="00ED409D">
        <w:rPr>
          <w:sz w:val="26"/>
          <w:szCs w:val="26"/>
        </w:rPr>
        <w:t>ed</w:t>
      </w:r>
      <w:r>
        <w:rPr>
          <w:sz w:val="26"/>
          <w:szCs w:val="26"/>
        </w:rPr>
        <w:t xml:space="preserve"> that the Company was threatening or had shut off his utility servic</w:t>
      </w:r>
      <w:r w:rsidR="00664BD4">
        <w:rPr>
          <w:sz w:val="26"/>
          <w:szCs w:val="26"/>
        </w:rPr>
        <w:t>e.  The Complainant requested a payment arrangement and stated</w:t>
      </w:r>
      <w:r>
        <w:rPr>
          <w:sz w:val="26"/>
          <w:szCs w:val="26"/>
        </w:rPr>
        <w:t xml:space="preserve"> that PECO will not honor an agreement he had with the Company.  Fur</w:t>
      </w:r>
      <w:r w:rsidR="00664BD4">
        <w:rPr>
          <w:sz w:val="26"/>
          <w:szCs w:val="26"/>
        </w:rPr>
        <w:t>thermore, the Complainant stated</w:t>
      </w:r>
      <w:r>
        <w:rPr>
          <w:sz w:val="26"/>
          <w:szCs w:val="26"/>
        </w:rPr>
        <w:t xml:space="preserve"> that this account is not his accou</w:t>
      </w:r>
      <w:r w:rsidR="00664BD4">
        <w:rPr>
          <w:sz w:val="26"/>
          <w:szCs w:val="26"/>
        </w:rPr>
        <w:t>nt, but</w:t>
      </w:r>
      <w:r>
        <w:rPr>
          <w:sz w:val="26"/>
          <w:szCs w:val="26"/>
        </w:rPr>
        <w:t xml:space="preserve"> belongs to his wife who is deceased.  As relief</w:t>
      </w:r>
      <w:r w:rsidR="00664BD4">
        <w:rPr>
          <w:sz w:val="26"/>
          <w:szCs w:val="26"/>
        </w:rPr>
        <w:t>, the Complainant requested</w:t>
      </w:r>
      <w:r>
        <w:rPr>
          <w:sz w:val="26"/>
          <w:szCs w:val="26"/>
        </w:rPr>
        <w:t xml:space="preserve"> to have an account in his name without having to be responsible for his wife, Angela Whaumbush’s account.</w:t>
      </w:r>
      <w:r w:rsidR="001441BC">
        <w:rPr>
          <w:sz w:val="26"/>
          <w:szCs w:val="26"/>
        </w:rPr>
        <w:t xml:space="preserve">  Complaint at ¶¶ 4</w:t>
      </w:r>
      <w:r w:rsidR="00D16437">
        <w:rPr>
          <w:sz w:val="26"/>
          <w:szCs w:val="26"/>
        </w:rPr>
        <w:noBreakHyphen/>
      </w:r>
      <w:r w:rsidR="001441BC">
        <w:rPr>
          <w:sz w:val="26"/>
          <w:szCs w:val="26"/>
        </w:rPr>
        <w:t>5.</w:t>
      </w:r>
    </w:p>
    <w:p w14:paraId="4BAFBF31" w14:textId="3FF36D80" w:rsidR="006101F6" w:rsidRPr="00D46080" w:rsidRDefault="006101F6" w:rsidP="00664BD4">
      <w:pPr>
        <w:pStyle w:val="Default"/>
        <w:spacing w:line="360" w:lineRule="auto"/>
        <w:rPr>
          <w:color w:val="auto"/>
          <w:sz w:val="26"/>
          <w:szCs w:val="26"/>
        </w:rPr>
      </w:pPr>
    </w:p>
    <w:p w14:paraId="30468A87" w14:textId="2CBD3F57" w:rsidR="00F47463" w:rsidRDefault="000B5458" w:rsidP="006101F6">
      <w:pPr>
        <w:pStyle w:val="Default"/>
        <w:spacing w:line="360" w:lineRule="auto"/>
        <w:ind w:firstLine="1440"/>
        <w:rPr>
          <w:color w:val="auto"/>
          <w:sz w:val="26"/>
          <w:szCs w:val="26"/>
        </w:rPr>
      </w:pPr>
      <w:r w:rsidRPr="00357E45">
        <w:rPr>
          <w:color w:val="auto"/>
          <w:sz w:val="26"/>
          <w:szCs w:val="26"/>
        </w:rPr>
        <w:t xml:space="preserve">On </w:t>
      </w:r>
      <w:r w:rsidR="001D5D09">
        <w:rPr>
          <w:color w:val="auto"/>
          <w:sz w:val="26"/>
          <w:szCs w:val="26"/>
        </w:rPr>
        <w:t>September 19, 2017</w:t>
      </w:r>
      <w:r w:rsidR="00B63502" w:rsidRPr="00357E45">
        <w:rPr>
          <w:color w:val="auto"/>
          <w:sz w:val="26"/>
          <w:szCs w:val="26"/>
        </w:rPr>
        <w:t>,</w:t>
      </w:r>
      <w:r w:rsidR="001D5D09">
        <w:rPr>
          <w:color w:val="auto"/>
          <w:sz w:val="26"/>
          <w:szCs w:val="26"/>
        </w:rPr>
        <w:t xml:space="preserve"> PECO</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E55B56">
        <w:rPr>
          <w:color w:val="auto"/>
          <w:sz w:val="26"/>
          <w:szCs w:val="26"/>
        </w:rPr>
        <w:t xml:space="preserve"> to the Complaint</w:t>
      </w:r>
      <w:r w:rsidR="003F6A98">
        <w:rPr>
          <w:color w:val="auto"/>
          <w:sz w:val="26"/>
          <w:szCs w:val="26"/>
        </w:rPr>
        <w:t xml:space="preserve"> (Answer</w:t>
      </w:r>
      <w:r w:rsidR="00DB4967">
        <w:rPr>
          <w:color w:val="auto"/>
          <w:sz w:val="26"/>
          <w:szCs w:val="26"/>
        </w:rPr>
        <w:t xml:space="preserve"> to Complaint</w:t>
      </w:r>
      <w:r w:rsidR="003F6A98">
        <w:rPr>
          <w:color w:val="auto"/>
          <w:sz w:val="26"/>
          <w:szCs w:val="26"/>
        </w:rPr>
        <w:t>)</w:t>
      </w:r>
      <w:r w:rsidR="00D75E22">
        <w:rPr>
          <w:color w:val="auto"/>
          <w:sz w:val="26"/>
          <w:szCs w:val="26"/>
        </w:rPr>
        <w:t xml:space="preserve"> </w:t>
      </w:r>
      <w:r w:rsidR="001D5D09">
        <w:rPr>
          <w:color w:val="auto"/>
          <w:sz w:val="26"/>
          <w:szCs w:val="26"/>
        </w:rPr>
        <w:t>denying all</w:t>
      </w:r>
      <w:r w:rsidR="00D75E22">
        <w:rPr>
          <w:color w:val="auto"/>
          <w:sz w:val="26"/>
          <w:szCs w:val="26"/>
        </w:rPr>
        <w:t xml:space="preserve"> material allegations</w:t>
      </w:r>
      <w:r w:rsidR="001D5D09">
        <w:rPr>
          <w:color w:val="auto"/>
          <w:sz w:val="26"/>
          <w:szCs w:val="26"/>
        </w:rPr>
        <w:t xml:space="preserve"> of fact and conclusions of law</w:t>
      </w:r>
      <w:r w:rsidR="00D75E22">
        <w:rPr>
          <w:color w:val="auto"/>
          <w:sz w:val="26"/>
          <w:szCs w:val="26"/>
        </w:rPr>
        <w:t xml:space="preserve"> set f</w:t>
      </w:r>
      <w:r w:rsidR="001D5D09">
        <w:rPr>
          <w:color w:val="auto"/>
          <w:sz w:val="26"/>
          <w:szCs w:val="26"/>
        </w:rPr>
        <w:t>orth in the Complaint</w:t>
      </w:r>
      <w:r w:rsidR="003F6A98">
        <w:rPr>
          <w:color w:val="auto"/>
          <w:sz w:val="26"/>
          <w:szCs w:val="26"/>
        </w:rPr>
        <w:t>.  Answer</w:t>
      </w:r>
      <w:r w:rsidR="00DB4967">
        <w:rPr>
          <w:color w:val="auto"/>
          <w:sz w:val="26"/>
          <w:szCs w:val="26"/>
        </w:rPr>
        <w:t xml:space="preserve"> to Complaint</w:t>
      </w:r>
      <w:r w:rsidR="003F6A98">
        <w:rPr>
          <w:color w:val="auto"/>
          <w:sz w:val="26"/>
          <w:szCs w:val="26"/>
        </w:rPr>
        <w:t xml:space="preserve"> at 1.  PECO provides that the Complainant entered into and defaulted on three prior payment arrangements granted by PECO, as well as defaulting on a prior Commissi</w:t>
      </w:r>
      <w:r w:rsidR="006F0617">
        <w:rPr>
          <w:color w:val="auto"/>
          <w:sz w:val="26"/>
          <w:szCs w:val="26"/>
        </w:rPr>
        <w:t>on-issued payment arrangement established by the Commission’s Bureau of Consumer Services (BCS) at BCS Case No. 003479122.  Answer</w:t>
      </w:r>
      <w:r w:rsidR="00DB4967">
        <w:rPr>
          <w:color w:val="auto"/>
          <w:sz w:val="26"/>
          <w:szCs w:val="26"/>
        </w:rPr>
        <w:t xml:space="preserve"> to Complaint</w:t>
      </w:r>
      <w:r w:rsidR="006F0617">
        <w:rPr>
          <w:color w:val="auto"/>
          <w:sz w:val="26"/>
          <w:szCs w:val="26"/>
        </w:rPr>
        <w:t xml:space="preserve"> at 3.</w:t>
      </w:r>
    </w:p>
    <w:p w14:paraId="7EBF1EBB" w14:textId="3D7551E4" w:rsidR="00247C56" w:rsidRDefault="00247C56" w:rsidP="006101F6">
      <w:pPr>
        <w:pStyle w:val="Default"/>
        <w:spacing w:line="360" w:lineRule="auto"/>
        <w:ind w:firstLine="1440"/>
        <w:rPr>
          <w:color w:val="auto"/>
          <w:sz w:val="26"/>
          <w:szCs w:val="26"/>
        </w:rPr>
      </w:pPr>
    </w:p>
    <w:p w14:paraId="58D3702B" w14:textId="33D419D1" w:rsidR="00247C56" w:rsidRDefault="00247C56" w:rsidP="006101F6">
      <w:pPr>
        <w:pStyle w:val="Default"/>
        <w:spacing w:line="360" w:lineRule="auto"/>
        <w:ind w:firstLine="1440"/>
        <w:rPr>
          <w:color w:val="auto"/>
          <w:sz w:val="26"/>
          <w:szCs w:val="26"/>
        </w:rPr>
      </w:pPr>
      <w:r>
        <w:rPr>
          <w:color w:val="auto"/>
          <w:sz w:val="26"/>
          <w:szCs w:val="26"/>
        </w:rPr>
        <w:t xml:space="preserve">By way of further answer, PECO explained that the Complainant’s late wife had service in her name at the Complainant’s service address, 967 Clyde Lane, Philadelphia, PA, from December 2001 through September 2004.  The Complainant was then billed for service in his name from September 2004 through February 2008. </w:t>
      </w:r>
      <w:r w:rsidR="00310BC5">
        <w:rPr>
          <w:color w:val="auto"/>
          <w:sz w:val="26"/>
          <w:szCs w:val="26"/>
        </w:rPr>
        <w:t xml:space="preserve"> </w:t>
      </w:r>
      <w:r>
        <w:rPr>
          <w:color w:val="auto"/>
          <w:sz w:val="26"/>
          <w:szCs w:val="26"/>
        </w:rPr>
        <w:t xml:space="preserve">Since February 2008, the account had been in the name of the Complainant’s late wife.  </w:t>
      </w:r>
      <w:r w:rsidR="00915051">
        <w:rPr>
          <w:color w:val="auto"/>
          <w:sz w:val="26"/>
          <w:szCs w:val="26"/>
        </w:rPr>
        <w:t>Answer</w:t>
      </w:r>
      <w:r w:rsidR="00DB4967">
        <w:rPr>
          <w:color w:val="auto"/>
          <w:sz w:val="26"/>
          <w:szCs w:val="26"/>
        </w:rPr>
        <w:t xml:space="preserve"> to Complaint</w:t>
      </w:r>
      <w:r w:rsidR="00915051">
        <w:rPr>
          <w:color w:val="auto"/>
          <w:sz w:val="26"/>
          <w:szCs w:val="26"/>
        </w:rPr>
        <w:t xml:space="preserve"> at 2.  </w:t>
      </w:r>
      <w:r w:rsidR="00A45EAA">
        <w:rPr>
          <w:color w:val="auto"/>
          <w:sz w:val="26"/>
          <w:szCs w:val="26"/>
        </w:rPr>
        <w:t>PECO stated</w:t>
      </w:r>
      <w:r w:rsidR="00915051">
        <w:rPr>
          <w:color w:val="auto"/>
          <w:sz w:val="26"/>
          <w:szCs w:val="26"/>
        </w:rPr>
        <w:t xml:space="preserve"> that the balance accumulated by the Complainant is </w:t>
      </w:r>
      <w:r w:rsidR="00915051">
        <w:rPr>
          <w:color w:val="auto"/>
          <w:sz w:val="26"/>
          <w:szCs w:val="26"/>
        </w:rPr>
        <w:lastRenderedPageBreak/>
        <w:t>$7,607.69</w:t>
      </w:r>
      <w:r w:rsidR="00A45EAA">
        <w:rPr>
          <w:color w:val="auto"/>
          <w:sz w:val="26"/>
          <w:szCs w:val="26"/>
        </w:rPr>
        <w:t xml:space="preserve"> and avers that the Complainant is responsible for this outstanding balance that had accrued in his late wife’s name since he also resided at the property and benefited from the service.</w:t>
      </w:r>
      <w:r w:rsidR="00660975">
        <w:rPr>
          <w:color w:val="auto"/>
          <w:sz w:val="26"/>
          <w:szCs w:val="26"/>
        </w:rPr>
        <w:t xml:space="preserve">  </w:t>
      </w:r>
      <w:r w:rsidR="00660975" w:rsidRPr="00660975">
        <w:rPr>
          <w:i/>
          <w:color w:val="auto"/>
          <w:sz w:val="26"/>
          <w:szCs w:val="26"/>
        </w:rPr>
        <w:t>Id.</w:t>
      </w:r>
      <w:r w:rsidR="00660975">
        <w:rPr>
          <w:color w:val="auto"/>
          <w:sz w:val="26"/>
          <w:szCs w:val="26"/>
        </w:rPr>
        <w:t xml:space="preserve"> at 4.  Additionally, PECO asserted</w:t>
      </w:r>
      <w:r w:rsidR="00A45EAA">
        <w:rPr>
          <w:color w:val="auto"/>
          <w:sz w:val="26"/>
          <w:szCs w:val="26"/>
        </w:rPr>
        <w:t xml:space="preserve"> that the Complainant is not entitled to a Commission-issued payment arrangement on the past due balance pursuant to 66 Pa. C.S. § 1405(d), as he has defaulted on a previous Commission-issued payment arrangement</w:t>
      </w:r>
      <w:r w:rsidR="00660975">
        <w:rPr>
          <w:color w:val="auto"/>
          <w:sz w:val="26"/>
          <w:szCs w:val="26"/>
        </w:rPr>
        <w:t xml:space="preserve">.  As such, PECO requested that the instant Complaint be dismissed.  </w:t>
      </w:r>
      <w:r w:rsidR="00660975" w:rsidRPr="00660975">
        <w:rPr>
          <w:i/>
          <w:color w:val="auto"/>
          <w:sz w:val="26"/>
          <w:szCs w:val="26"/>
        </w:rPr>
        <w:t>Id.</w:t>
      </w:r>
      <w:r w:rsidR="00660975">
        <w:rPr>
          <w:i/>
          <w:color w:val="auto"/>
          <w:sz w:val="26"/>
          <w:szCs w:val="26"/>
        </w:rPr>
        <w:t xml:space="preserve"> </w:t>
      </w:r>
      <w:r w:rsidR="00660975">
        <w:rPr>
          <w:color w:val="auto"/>
          <w:sz w:val="26"/>
          <w:szCs w:val="26"/>
        </w:rPr>
        <w:t>at 5.</w:t>
      </w:r>
    </w:p>
    <w:p w14:paraId="1854CA3E" w14:textId="43B27B1F" w:rsidR="0004245D" w:rsidRDefault="0004245D" w:rsidP="00D66F1D">
      <w:pPr>
        <w:pStyle w:val="Default"/>
        <w:spacing w:line="360" w:lineRule="auto"/>
        <w:rPr>
          <w:color w:val="auto"/>
          <w:sz w:val="26"/>
          <w:szCs w:val="26"/>
        </w:rPr>
      </w:pPr>
    </w:p>
    <w:p w14:paraId="4A0EEF82" w14:textId="6AEF239E" w:rsidR="00392BB0" w:rsidRDefault="00392BB0" w:rsidP="00392BB0">
      <w:pPr>
        <w:pStyle w:val="ParaTab1"/>
        <w:spacing w:line="360" w:lineRule="auto"/>
        <w:ind w:firstLine="1354"/>
        <w:rPr>
          <w:rFonts w:ascii="Times New Roman" w:hAnsi="Times New Roman" w:cs="Times New Roman"/>
          <w:sz w:val="26"/>
        </w:rPr>
      </w:pPr>
      <w:r w:rsidRPr="003C2000">
        <w:rPr>
          <w:rFonts w:ascii="Times New Roman" w:hAnsi="Times New Roman" w:cs="Times New Roman"/>
          <w:sz w:val="26"/>
        </w:rPr>
        <w:t xml:space="preserve">By </w:t>
      </w:r>
      <w:r>
        <w:rPr>
          <w:rFonts w:ascii="Times New Roman" w:hAnsi="Times New Roman" w:cs="Times New Roman"/>
          <w:sz w:val="26"/>
        </w:rPr>
        <w:t xml:space="preserve">Hearing Notice </w:t>
      </w:r>
      <w:r w:rsidRPr="003C2000">
        <w:rPr>
          <w:rFonts w:ascii="Times New Roman" w:hAnsi="Times New Roman" w:cs="Times New Roman"/>
          <w:sz w:val="26"/>
        </w:rPr>
        <w:t xml:space="preserve">dated </w:t>
      </w:r>
      <w:r>
        <w:rPr>
          <w:rFonts w:ascii="Times New Roman" w:hAnsi="Times New Roman" w:cs="Times New Roman"/>
          <w:spacing w:val="-3"/>
          <w:sz w:val="26"/>
        </w:rPr>
        <w:t>October 25, 2017</w:t>
      </w:r>
      <w:r w:rsidRPr="003C2000">
        <w:rPr>
          <w:rFonts w:ascii="Times New Roman" w:hAnsi="Times New Roman" w:cs="Times New Roman"/>
          <w:sz w:val="26"/>
        </w:rPr>
        <w:t>, an Initial</w:t>
      </w:r>
      <w:r>
        <w:rPr>
          <w:rFonts w:ascii="Times New Roman" w:hAnsi="Times New Roman" w:cs="Times New Roman"/>
          <w:sz w:val="26"/>
        </w:rPr>
        <w:t xml:space="preserve"> Call-In Telephonic</w:t>
      </w:r>
      <w:r w:rsidRPr="003C2000">
        <w:rPr>
          <w:rFonts w:ascii="Times New Roman" w:hAnsi="Times New Roman" w:cs="Times New Roman"/>
          <w:sz w:val="26"/>
        </w:rPr>
        <w:t xml:space="preserve"> Hearing </w:t>
      </w:r>
      <w:r>
        <w:rPr>
          <w:rFonts w:ascii="Times New Roman" w:hAnsi="Times New Roman" w:cs="Times New Roman"/>
          <w:sz w:val="26"/>
        </w:rPr>
        <w:t>was scheduled for</w:t>
      </w:r>
      <w:r w:rsidRPr="003C2000">
        <w:rPr>
          <w:rFonts w:ascii="Times New Roman" w:hAnsi="Times New Roman" w:cs="Times New Roman"/>
          <w:sz w:val="26"/>
        </w:rPr>
        <w:t xml:space="preserve"> </w:t>
      </w:r>
      <w:r>
        <w:rPr>
          <w:rFonts w:ascii="Times New Roman" w:hAnsi="Times New Roman" w:cs="Times New Roman"/>
          <w:spacing w:val="-3"/>
          <w:sz w:val="26"/>
        </w:rPr>
        <w:t>December 1, 2017</w:t>
      </w:r>
      <w:r w:rsidRPr="003C2000">
        <w:rPr>
          <w:rFonts w:ascii="Times New Roman" w:hAnsi="Times New Roman" w:cs="Times New Roman"/>
          <w:spacing w:val="-3"/>
          <w:sz w:val="26"/>
        </w:rPr>
        <w:t>.</w:t>
      </w:r>
      <w:r w:rsidRPr="003C2000">
        <w:rPr>
          <w:rFonts w:ascii="Times New Roman" w:hAnsi="Times New Roman" w:cs="Times New Roman"/>
          <w:sz w:val="26"/>
        </w:rPr>
        <w:t xml:space="preserve">  The Hearing Notice, including the date, location</w:t>
      </w:r>
      <w:r>
        <w:rPr>
          <w:rFonts w:ascii="Times New Roman" w:hAnsi="Times New Roman" w:cs="Times New Roman"/>
          <w:sz w:val="26"/>
        </w:rPr>
        <w:t>,</w:t>
      </w:r>
      <w:r w:rsidRPr="003C2000">
        <w:rPr>
          <w:rFonts w:ascii="Times New Roman" w:hAnsi="Times New Roman" w:cs="Times New Roman"/>
          <w:sz w:val="26"/>
        </w:rPr>
        <w:t xml:space="preserve"> and time of the hearing, was mailed to </w:t>
      </w:r>
      <w:r>
        <w:rPr>
          <w:rFonts w:ascii="Times New Roman" w:hAnsi="Times New Roman" w:cs="Times New Roman"/>
          <w:sz w:val="26"/>
        </w:rPr>
        <w:t>the Parties</w:t>
      </w:r>
      <w:r w:rsidRPr="003C2000">
        <w:rPr>
          <w:rFonts w:ascii="Times New Roman" w:hAnsi="Times New Roman" w:cs="Times New Roman"/>
          <w:sz w:val="26"/>
        </w:rPr>
        <w:t xml:space="preserve">. </w:t>
      </w:r>
      <w:r w:rsidR="00310BC5">
        <w:rPr>
          <w:rFonts w:ascii="Times New Roman" w:hAnsi="Times New Roman" w:cs="Times New Roman"/>
          <w:sz w:val="26"/>
        </w:rPr>
        <w:t xml:space="preserve"> </w:t>
      </w:r>
      <w:r w:rsidR="005D0B2D" w:rsidRPr="006367B2">
        <w:rPr>
          <w:sz w:val="26"/>
          <w:szCs w:val="26"/>
        </w:rPr>
        <w:t>The Hearing Notice further stated: “</w:t>
      </w:r>
      <w:r w:rsidR="005D0B2D" w:rsidRPr="006367B2">
        <w:rPr>
          <w:i/>
          <w:sz w:val="26"/>
          <w:szCs w:val="26"/>
          <w:u w:val="single"/>
        </w:rPr>
        <w:t>Attention</w:t>
      </w:r>
      <w:r w:rsidR="005D0B2D" w:rsidRPr="006367B2">
        <w:rPr>
          <w:i/>
          <w:sz w:val="26"/>
          <w:szCs w:val="26"/>
        </w:rPr>
        <w:t>:  You may lose the case if you do not take part in this hearing and present facts on the issues raised.</w:t>
      </w:r>
      <w:r w:rsidR="005D0B2D" w:rsidRPr="006367B2">
        <w:rPr>
          <w:sz w:val="26"/>
          <w:szCs w:val="26"/>
        </w:rPr>
        <w:t>”  (emphasis in original).</w:t>
      </w:r>
    </w:p>
    <w:p w14:paraId="125F44B1" w14:textId="30831ACA" w:rsidR="00392BB0" w:rsidRDefault="00392BB0" w:rsidP="00392BB0">
      <w:pPr>
        <w:pStyle w:val="ParaTab1"/>
        <w:spacing w:line="360" w:lineRule="auto"/>
        <w:ind w:firstLine="1354"/>
        <w:rPr>
          <w:rFonts w:ascii="Times New Roman" w:hAnsi="Times New Roman" w:cs="Times New Roman"/>
          <w:sz w:val="26"/>
        </w:rPr>
      </w:pPr>
    </w:p>
    <w:p w14:paraId="2F86C1D9" w14:textId="5B08C6DF" w:rsidR="00392BB0" w:rsidRPr="003C2000" w:rsidRDefault="00392BB0" w:rsidP="00392BB0">
      <w:pPr>
        <w:pStyle w:val="ParaTab1"/>
        <w:spacing w:line="360" w:lineRule="auto"/>
        <w:rPr>
          <w:rFonts w:ascii="Times New Roman" w:hAnsi="Times New Roman" w:cs="Times New Roman"/>
          <w:sz w:val="26"/>
        </w:rPr>
      </w:pPr>
      <w:r>
        <w:rPr>
          <w:rFonts w:ascii="Times New Roman" w:hAnsi="Times New Roman" w:cs="Times New Roman"/>
          <w:sz w:val="26"/>
        </w:rPr>
        <w:t xml:space="preserve">The ALJ issued to the Parties a </w:t>
      </w:r>
      <w:r w:rsidRPr="003C2000">
        <w:rPr>
          <w:rFonts w:ascii="Times New Roman" w:hAnsi="Times New Roman" w:cs="Times New Roman"/>
          <w:sz w:val="26"/>
        </w:rPr>
        <w:t>Prehearing Order</w:t>
      </w:r>
      <w:r w:rsidR="00627843">
        <w:rPr>
          <w:rFonts w:ascii="Times New Roman" w:hAnsi="Times New Roman" w:cs="Times New Roman"/>
          <w:sz w:val="26"/>
        </w:rPr>
        <w:t xml:space="preserve"> dated October</w:t>
      </w:r>
      <w:r>
        <w:rPr>
          <w:rFonts w:ascii="Times New Roman" w:hAnsi="Times New Roman" w:cs="Times New Roman"/>
          <w:sz w:val="26"/>
        </w:rPr>
        <w:t xml:space="preserve"> 25, 2017</w:t>
      </w:r>
      <w:r w:rsidRPr="003C2000">
        <w:rPr>
          <w:rFonts w:ascii="Times New Roman" w:hAnsi="Times New Roman" w:cs="Times New Roman"/>
          <w:sz w:val="26"/>
        </w:rPr>
        <w:t xml:space="preserve">, </w:t>
      </w:r>
      <w:r>
        <w:rPr>
          <w:rFonts w:ascii="Times New Roman" w:hAnsi="Times New Roman" w:cs="Times New Roman"/>
          <w:sz w:val="26"/>
        </w:rPr>
        <w:t xml:space="preserve">which </w:t>
      </w:r>
      <w:r w:rsidRPr="003C2000">
        <w:rPr>
          <w:rFonts w:ascii="Times New Roman" w:hAnsi="Times New Roman" w:cs="Times New Roman"/>
          <w:sz w:val="26"/>
        </w:rPr>
        <w:t>also contain</w:t>
      </w:r>
      <w:r>
        <w:rPr>
          <w:rFonts w:ascii="Times New Roman" w:hAnsi="Times New Roman" w:cs="Times New Roman"/>
          <w:sz w:val="26"/>
        </w:rPr>
        <w:t>ed</w:t>
      </w:r>
      <w:r w:rsidRPr="003C2000">
        <w:rPr>
          <w:rFonts w:ascii="Times New Roman" w:hAnsi="Times New Roman" w:cs="Times New Roman"/>
          <w:sz w:val="26"/>
        </w:rPr>
        <w:t xml:space="preserve"> the date, time</w:t>
      </w:r>
      <w:r>
        <w:rPr>
          <w:rFonts w:ascii="Times New Roman" w:hAnsi="Times New Roman" w:cs="Times New Roman"/>
          <w:sz w:val="26"/>
        </w:rPr>
        <w:t>,</w:t>
      </w:r>
      <w:r w:rsidRPr="003C2000">
        <w:rPr>
          <w:rFonts w:ascii="Times New Roman" w:hAnsi="Times New Roman" w:cs="Times New Roman"/>
          <w:sz w:val="26"/>
        </w:rPr>
        <w:t xml:space="preserve"> and location of the hearing</w:t>
      </w:r>
      <w:r>
        <w:rPr>
          <w:rFonts w:ascii="Times New Roman" w:hAnsi="Times New Roman" w:cs="Times New Roman"/>
          <w:sz w:val="26"/>
        </w:rPr>
        <w:t>.  The Prehearing Order stated that, pursuant to 52 Pa. Code § 1.15(b), a request for a change of the scheduled hearing date must be submitted in writing no later than five business days prior to the hearing.</w:t>
      </w:r>
    </w:p>
    <w:p w14:paraId="0EC14C00" w14:textId="62791B87" w:rsidR="00392BB0" w:rsidRDefault="00392BB0" w:rsidP="00D66F1D">
      <w:pPr>
        <w:pStyle w:val="Default"/>
        <w:spacing w:line="360" w:lineRule="auto"/>
        <w:rPr>
          <w:color w:val="auto"/>
          <w:sz w:val="26"/>
          <w:szCs w:val="26"/>
        </w:rPr>
      </w:pPr>
    </w:p>
    <w:p w14:paraId="234BC74B" w14:textId="73619BFF" w:rsidR="004A319C" w:rsidRDefault="00227C6C" w:rsidP="00357ED4">
      <w:pPr>
        <w:pStyle w:val="Default"/>
        <w:spacing w:line="360" w:lineRule="auto"/>
        <w:ind w:firstLine="1440"/>
        <w:rPr>
          <w:color w:val="auto"/>
          <w:sz w:val="26"/>
          <w:szCs w:val="26"/>
        </w:rPr>
      </w:pPr>
      <w:r>
        <w:rPr>
          <w:color w:val="auto"/>
          <w:sz w:val="26"/>
          <w:szCs w:val="26"/>
        </w:rPr>
        <w:t>On December 1, 2017, the ALJ convened the scheduled</w:t>
      </w:r>
      <w:r w:rsidR="00357ED4">
        <w:rPr>
          <w:color w:val="auto"/>
          <w:sz w:val="26"/>
          <w:szCs w:val="26"/>
        </w:rPr>
        <w:t xml:space="preserve"> telephonic evidentiary hearing </w:t>
      </w:r>
      <w:r>
        <w:rPr>
          <w:color w:val="auto"/>
          <w:sz w:val="26"/>
          <w:szCs w:val="26"/>
        </w:rPr>
        <w:t>at 10:02 a.m.  C</w:t>
      </w:r>
      <w:r w:rsidR="00357ED4">
        <w:rPr>
          <w:color w:val="auto"/>
          <w:sz w:val="26"/>
          <w:szCs w:val="26"/>
        </w:rPr>
        <w:t xml:space="preserve">ounsel for </w:t>
      </w:r>
      <w:r w:rsidR="00FB7C3D">
        <w:rPr>
          <w:color w:val="auto"/>
          <w:sz w:val="26"/>
          <w:szCs w:val="26"/>
        </w:rPr>
        <w:t>PECO appeared with one</w:t>
      </w:r>
      <w:r w:rsidR="00357ED4">
        <w:rPr>
          <w:color w:val="auto"/>
          <w:sz w:val="26"/>
          <w:szCs w:val="26"/>
        </w:rPr>
        <w:t xml:space="preserve"> witness.  </w:t>
      </w:r>
      <w:r>
        <w:rPr>
          <w:color w:val="auto"/>
          <w:sz w:val="26"/>
          <w:szCs w:val="26"/>
        </w:rPr>
        <w:t>T</w:t>
      </w:r>
      <w:r w:rsidR="00357ED4">
        <w:rPr>
          <w:color w:val="auto"/>
          <w:sz w:val="26"/>
          <w:szCs w:val="26"/>
        </w:rPr>
        <w:t xml:space="preserve">he Complainant did not appear for the hearing.  </w:t>
      </w:r>
      <w:r w:rsidR="0011561E">
        <w:rPr>
          <w:color w:val="auto"/>
          <w:sz w:val="26"/>
          <w:szCs w:val="26"/>
        </w:rPr>
        <w:t xml:space="preserve">By approximately 10:27 a.m., the Complainant had not appeared for the </w:t>
      </w:r>
      <w:r w:rsidR="003C48F8">
        <w:rPr>
          <w:color w:val="auto"/>
          <w:sz w:val="26"/>
          <w:szCs w:val="26"/>
        </w:rPr>
        <w:t xml:space="preserve">hearing, nor contacted </w:t>
      </w:r>
      <w:r w:rsidR="00F80953">
        <w:rPr>
          <w:color w:val="auto"/>
          <w:sz w:val="26"/>
          <w:szCs w:val="26"/>
        </w:rPr>
        <w:t xml:space="preserve">the </w:t>
      </w:r>
      <w:r w:rsidR="0011561E">
        <w:rPr>
          <w:color w:val="auto"/>
          <w:sz w:val="26"/>
          <w:szCs w:val="26"/>
        </w:rPr>
        <w:t>Office of Administrative Law Judge (OALJ) in order to explain his absence.</w:t>
      </w:r>
      <w:r w:rsidR="003C48F8">
        <w:rPr>
          <w:color w:val="auto"/>
          <w:sz w:val="26"/>
          <w:szCs w:val="26"/>
        </w:rPr>
        <w:t xml:space="preserve">  Additionally, the ALJ </w:t>
      </w:r>
      <w:r w:rsidR="003B3EDD">
        <w:rPr>
          <w:color w:val="auto"/>
          <w:sz w:val="26"/>
          <w:szCs w:val="26"/>
        </w:rPr>
        <w:t xml:space="preserve">checked and </w:t>
      </w:r>
      <w:r w:rsidR="003C48F8">
        <w:rPr>
          <w:color w:val="auto"/>
          <w:sz w:val="26"/>
          <w:szCs w:val="26"/>
        </w:rPr>
        <w:t>verified that his voice mail and e-mail contained no messages from the Complainant indicating that the Complainant would be unable to attend the hearing.  C</w:t>
      </w:r>
      <w:r w:rsidR="00357ED4">
        <w:rPr>
          <w:color w:val="auto"/>
          <w:sz w:val="26"/>
          <w:szCs w:val="26"/>
        </w:rPr>
        <w:t xml:space="preserve">ounsel for PECO made an oral motion to dismiss the Complaint </w:t>
      </w:r>
      <w:r w:rsidR="006367B2">
        <w:rPr>
          <w:color w:val="auto"/>
          <w:sz w:val="26"/>
          <w:szCs w:val="26"/>
        </w:rPr>
        <w:t xml:space="preserve">for failure to prosecute, which </w:t>
      </w:r>
      <w:r w:rsidR="00FC6665">
        <w:rPr>
          <w:color w:val="auto"/>
          <w:sz w:val="26"/>
          <w:szCs w:val="26"/>
        </w:rPr>
        <w:t>the ALJ took under advisement.</w:t>
      </w:r>
      <w:r w:rsidR="00E90C18">
        <w:rPr>
          <w:color w:val="auto"/>
          <w:sz w:val="26"/>
          <w:szCs w:val="26"/>
        </w:rPr>
        <w:t xml:space="preserve">  I.D. at 2</w:t>
      </w:r>
      <w:r w:rsidR="0019033A">
        <w:rPr>
          <w:color w:val="auto"/>
          <w:sz w:val="26"/>
          <w:szCs w:val="26"/>
        </w:rPr>
        <w:t xml:space="preserve">.  </w:t>
      </w:r>
      <w:r w:rsidR="00FC6665">
        <w:rPr>
          <w:color w:val="auto"/>
          <w:sz w:val="26"/>
          <w:szCs w:val="26"/>
        </w:rPr>
        <w:t xml:space="preserve">The hearing produced a transcript of thirteen </w:t>
      </w:r>
      <w:r w:rsidR="00FC6665">
        <w:rPr>
          <w:color w:val="auto"/>
          <w:sz w:val="26"/>
          <w:szCs w:val="26"/>
        </w:rPr>
        <w:lastRenderedPageBreak/>
        <w:t>pages, and the record closed at 10:3</w:t>
      </w:r>
      <w:r w:rsidR="00DC356B">
        <w:rPr>
          <w:color w:val="auto"/>
          <w:sz w:val="26"/>
          <w:szCs w:val="26"/>
        </w:rPr>
        <w:t xml:space="preserve">6 a.m. on December 1, 2017, upon the adjournment of the hearing. </w:t>
      </w:r>
    </w:p>
    <w:p w14:paraId="44BBEBEA" w14:textId="77777777" w:rsidR="00E90C18" w:rsidRDefault="00E90C18" w:rsidP="00357ED4">
      <w:pPr>
        <w:pStyle w:val="Default"/>
        <w:spacing w:line="360" w:lineRule="auto"/>
        <w:ind w:firstLine="1440"/>
        <w:rPr>
          <w:color w:val="auto"/>
          <w:sz w:val="26"/>
          <w:szCs w:val="26"/>
        </w:rPr>
      </w:pPr>
    </w:p>
    <w:p w14:paraId="2A62960D" w14:textId="39B879F6" w:rsidR="00F438C8" w:rsidRDefault="00227C6C" w:rsidP="00357ED4">
      <w:pPr>
        <w:pStyle w:val="Default"/>
        <w:spacing w:line="360" w:lineRule="auto"/>
        <w:ind w:firstLine="1440"/>
        <w:rPr>
          <w:color w:val="auto"/>
          <w:sz w:val="26"/>
          <w:szCs w:val="26"/>
        </w:rPr>
      </w:pPr>
      <w:r>
        <w:rPr>
          <w:color w:val="auto"/>
          <w:sz w:val="26"/>
          <w:szCs w:val="26"/>
        </w:rPr>
        <w:t>O</w:t>
      </w:r>
      <w:r w:rsidR="00F438C8">
        <w:rPr>
          <w:color w:val="auto"/>
          <w:sz w:val="26"/>
          <w:szCs w:val="26"/>
        </w:rPr>
        <w:t xml:space="preserve">n December 1, 2017, </w:t>
      </w:r>
      <w:r>
        <w:rPr>
          <w:color w:val="auto"/>
          <w:sz w:val="26"/>
          <w:szCs w:val="26"/>
        </w:rPr>
        <w:t xml:space="preserve">at approximately 11:45 a.m., </w:t>
      </w:r>
      <w:r w:rsidR="00F438C8">
        <w:rPr>
          <w:color w:val="auto"/>
          <w:sz w:val="26"/>
          <w:szCs w:val="26"/>
        </w:rPr>
        <w:t>the Complainant called into the Pittsburgh OALJ and explained that his failure to participate in the hearing was due to his lack of heat and that his condition at the time of the hearing, resulting from the low temperature, prevented him from taking part in the proceeding.</w:t>
      </w:r>
      <w:r w:rsidR="00A010F7">
        <w:rPr>
          <w:color w:val="auto"/>
          <w:sz w:val="26"/>
          <w:szCs w:val="26"/>
        </w:rPr>
        <w:t xml:space="preserve">  The ALJ did not deem the Complainant’s excuse sufficiently compelling to warrant reopening the hearing.  I.D. at 2-3.</w:t>
      </w:r>
    </w:p>
    <w:p w14:paraId="21F97493" w14:textId="544881DE" w:rsidR="00051432" w:rsidRDefault="00051432" w:rsidP="006367B2">
      <w:pPr>
        <w:pStyle w:val="Default"/>
        <w:spacing w:line="360" w:lineRule="auto"/>
        <w:rPr>
          <w:color w:val="auto"/>
          <w:sz w:val="26"/>
          <w:szCs w:val="26"/>
        </w:rPr>
      </w:pPr>
    </w:p>
    <w:p w14:paraId="242FE3BF" w14:textId="567DCFB2" w:rsidR="00E90C18" w:rsidRDefault="007B3AFD" w:rsidP="009B317C">
      <w:pPr>
        <w:pStyle w:val="Default"/>
        <w:spacing w:line="360" w:lineRule="auto"/>
        <w:ind w:firstLine="1440"/>
        <w:rPr>
          <w:sz w:val="26"/>
          <w:szCs w:val="26"/>
        </w:rPr>
      </w:pPr>
      <w:r>
        <w:rPr>
          <w:sz w:val="26"/>
          <w:szCs w:val="26"/>
        </w:rPr>
        <w:t xml:space="preserve">On December 12, 2017, the </w:t>
      </w:r>
      <w:r w:rsidR="0088484F">
        <w:rPr>
          <w:sz w:val="26"/>
          <w:szCs w:val="26"/>
        </w:rPr>
        <w:t>Initial Decis</w:t>
      </w:r>
      <w:r w:rsidR="00FB43BA">
        <w:rPr>
          <w:sz w:val="26"/>
          <w:szCs w:val="26"/>
        </w:rPr>
        <w:t>ion</w:t>
      </w:r>
      <w:r>
        <w:rPr>
          <w:sz w:val="26"/>
          <w:szCs w:val="26"/>
        </w:rPr>
        <w:t xml:space="preserve"> of ALJ Johnson was issued by Commission Secretarial Letter.  In his Initial Decision, </w:t>
      </w:r>
      <w:r w:rsidR="0037499E">
        <w:rPr>
          <w:sz w:val="26"/>
          <w:szCs w:val="26"/>
        </w:rPr>
        <w:t>ALJ Johnson dismissed the Complaint</w:t>
      </w:r>
      <w:r w:rsidR="003C48F8">
        <w:rPr>
          <w:sz w:val="26"/>
          <w:szCs w:val="26"/>
        </w:rPr>
        <w:t>,</w:t>
      </w:r>
      <w:r w:rsidR="0037499E">
        <w:rPr>
          <w:sz w:val="26"/>
          <w:szCs w:val="26"/>
        </w:rPr>
        <w:t xml:space="preserve"> with prejudice</w:t>
      </w:r>
      <w:r w:rsidR="003C48F8">
        <w:rPr>
          <w:sz w:val="26"/>
          <w:szCs w:val="26"/>
        </w:rPr>
        <w:t>,</w:t>
      </w:r>
      <w:r w:rsidR="0037499E">
        <w:rPr>
          <w:sz w:val="26"/>
          <w:szCs w:val="26"/>
        </w:rPr>
        <w:t xml:space="preserve"> because the Complainant failed to appear and to satisfy his burden of proof.  The ALJ stated that the Complainant had ample opportunity to appear and be heard in this proceeding, but voluntarily chose not to do so.  Therefore, the due process rights of the Complainant have been fully protected. I.D. at 4-6.</w:t>
      </w:r>
      <w:r w:rsidR="00E90C18">
        <w:rPr>
          <w:sz w:val="26"/>
          <w:szCs w:val="26"/>
        </w:rPr>
        <w:t xml:space="preserve">  </w:t>
      </w:r>
    </w:p>
    <w:p w14:paraId="1F2D3ADB" w14:textId="77777777" w:rsidR="00E90C18" w:rsidRDefault="00E90C18" w:rsidP="009B317C">
      <w:pPr>
        <w:pStyle w:val="Default"/>
        <w:spacing w:line="360" w:lineRule="auto"/>
        <w:ind w:firstLine="1440"/>
        <w:rPr>
          <w:sz w:val="26"/>
          <w:szCs w:val="26"/>
        </w:rPr>
      </w:pPr>
    </w:p>
    <w:p w14:paraId="35DB28FB" w14:textId="6E0EE6E0" w:rsidR="005D0B2D" w:rsidRDefault="00E90C18" w:rsidP="002E40A5">
      <w:pPr>
        <w:pStyle w:val="Default"/>
        <w:spacing w:line="360" w:lineRule="auto"/>
        <w:ind w:firstLine="1440"/>
        <w:rPr>
          <w:sz w:val="26"/>
          <w:szCs w:val="26"/>
        </w:rPr>
      </w:pPr>
      <w:r>
        <w:rPr>
          <w:sz w:val="26"/>
          <w:szCs w:val="26"/>
        </w:rPr>
        <w:t xml:space="preserve">On </w:t>
      </w:r>
      <w:r w:rsidR="002A5184">
        <w:rPr>
          <w:sz w:val="26"/>
          <w:szCs w:val="26"/>
        </w:rPr>
        <w:t>December 11</w:t>
      </w:r>
      <w:r>
        <w:rPr>
          <w:sz w:val="26"/>
          <w:szCs w:val="26"/>
        </w:rPr>
        <w:t>, 2017</w:t>
      </w:r>
      <w:r w:rsidR="002A5184">
        <w:rPr>
          <w:sz w:val="26"/>
          <w:szCs w:val="26"/>
        </w:rPr>
        <w:t xml:space="preserve">, the Commission’s Pittsburgh Office received </w:t>
      </w:r>
      <w:r w:rsidR="00411C48">
        <w:rPr>
          <w:sz w:val="26"/>
          <w:szCs w:val="26"/>
        </w:rPr>
        <w:t>the Complainant’s Letter</w:t>
      </w:r>
      <w:r w:rsidR="002A5184">
        <w:rPr>
          <w:sz w:val="26"/>
          <w:szCs w:val="26"/>
        </w:rPr>
        <w:t>, reques</w:t>
      </w:r>
      <w:r w:rsidR="00705716">
        <w:rPr>
          <w:sz w:val="26"/>
          <w:szCs w:val="26"/>
        </w:rPr>
        <w:t>ting the hearing be rescheduled</w:t>
      </w:r>
      <w:r w:rsidR="005D0B2D">
        <w:rPr>
          <w:sz w:val="26"/>
          <w:szCs w:val="26"/>
        </w:rPr>
        <w:t>.</w:t>
      </w:r>
      <w:r w:rsidR="00705716">
        <w:rPr>
          <w:sz w:val="26"/>
          <w:szCs w:val="26"/>
        </w:rPr>
        <w:t xml:space="preserve">  </w:t>
      </w:r>
      <w:r w:rsidR="005D0B2D">
        <w:rPr>
          <w:sz w:val="26"/>
          <w:szCs w:val="26"/>
        </w:rPr>
        <w:t xml:space="preserve">In the Letter, the </w:t>
      </w:r>
      <w:r w:rsidR="00411C48">
        <w:rPr>
          <w:sz w:val="26"/>
          <w:szCs w:val="26"/>
        </w:rPr>
        <w:t>Complainant claims</w:t>
      </w:r>
      <w:r w:rsidR="005D0B2D" w:rsidRPr="008A0BBD">
        <w:rPr>
          <w:sz w:val="26"/>
          <w:szCs w:val="26"/>
        </w:rPr>
        <w:t xml:space="preserve"> that </w:t>
      </w:r>
      <w:r w:rsidR="00411C48">
        <w:rPr>
          <w:sz w:val="26"/>
          <w:szCs w:val="26"/>
        </w:rPr>
        <w:t xml:space="preserve">he </w:t>
      </w:r>
      <w:r w:rsidR="005D0B2D" w:rsidRPr="008A0BBD">
        <w:rPr>
          <w:sz w:val="26"/>
          <w:szCs w:val="26"/>
        </w:rPr>
        <w:t>was not able to make the telephonic hearing because of a personal medical emergency with his ninety-four-year-old mother-in-law</w:t>
      </w:r>
      <w:r w:rsidR="00227C6C">
        <w:rPr>
          <w:sz w:val="26"/>
          <w:szCs w:val="26"/>
        </w:rPr>
        <w:t>,</w:t>
      </w:r>
      <w:r w:rsidR="005D0B2D" w:rsidRPr="008A0BBD">
        <w:rPr>
          <w:sz w:val="26"/>
          <w:szCs w:val="26"/>
        </w:rPr>
        <w:t xml:space="preserve"> </w:t>
      </w:r>
      <w:r w:rsidR="00411C48">
        <w:rPr>
          <w:sz w:val="26"/>
          <w:szCs w:val="26"/>
        </w:rPr>
        <w:t>requests</w:t>
      </w:r>
      <w:r w:rsidR="005D0B2D" w:rsidRPr="008A0BBD">
        <w:rPr>
          <w:sz w:val="26"/>
          <w:szCs w:val="26"/>
        </w:rPr>
        <w:t xml:space="preserve"> that</w:t>
      </w:r>
      <w:r w:rsidR="00411C48">
        <w:rPr>
          <w:sz w:val="26"/>
          <w:szCs w:val="26"/>
        </w:rPr>
        <w:t xml:space="preserve"> the hearing held in this matter be rescheduled and states that</w:t>
      </w:r>
      <w:r w:rsidR="005D0B2D" w:rsidRPr="008A0BBD">
        <w:rPr>
          <w:sz w:val="26"/>
          <w:szCs w:val="26"/>
        </w:rPr>
        <w:t xml:space="preserve"> </w:t>
      </w:r>
      <w:r w:rsidR="00411C48">
        <w:rPr>
          <w:sz w:val="26"/>
          <w:szCs w:val="26"/>
        </w:rPr>
        <w:t xml:space="preserve">he is ready </w:t>
      </w:r>
      <w:r w:rsidR="005D0B2D" w:rsidRPr="008A0BBD">
        <w:rPr>
          <w:sz w:val="26"/>
          <w:szCs w:val="26"/>
        </w:rPr>
        <w:t xml:space="preserve">to defend his position.  </w:t>
      </w:r>
      <w:r w:rsidR="005D0B2D" w:rsidRPr="00594BDB">
        <w:rPr>
          <w:sz w:val="26"/>
          <w:szCs w:val="26"/>
        </w:rPr>
        <w:t>The Complainant’s</w:t>
      </w:r>
      <w:r w:rsidR="00181FD9">
        <w:rPr>
          <w:sz w:val="26"/>
          <w:szCs w:val="26"/>
        </w:rPr>
        <w:t xml:space="preserve"> Letter</w:t>
      </w:r>
      <w:r w:rsidR="005D0B2D" w:rsidRPr="00594BDB">
        <w:rPr>
          <w:sz w:val="26"/>
          <w:szCs w:val="26"/>
        </w:rPr>
        <w:t xml:space="preserve"> was served on the Pittsburgh OALJ on</w:t>
      </w:r>
      <w:r w:rsidR="005D0B2D">
        <w:rPr>
          <w:sz w:val="26"/>
          <w:szCs w:val="26"/>
        </w:rPr>
        <w:t xml:space="preserve"> December 11, 2017.  However, it</w:t>
      </w:r>
      <w:r w:rsidR="005D0B2D" w:rsidRPr="00594BDB">
        <w:rPr>
          <w:sz w:val="26"/>
          <w:szCs w:val="26"/>
        </w:rPr>
        <w:t xml:space="preserve"> was </w:t>
      </w:r>
      <w:r w:rsidR="00A90D9D">
        <w:rPr>
          <w:sz w:val="26"/>
          <w:szCs w:val="26"/>
        </w:rPr>
        <w:t>filed with</w:t>
      </w:r>
      <w:r w:rsidR="005D0B2D" w:rsidRPr="00594BDB">
        <w:rPr>
          <w:sz w:val="26"/>
          <w:szCs w:val="26"/>
        </w:rPr>
        <w:t xml:space="preserve"> the Commission’s Secretary’s Bureau </w:t>
      </w:r>
      <w:r w:rsidR="00A90D9D">
        <w:rPr>
          <w:sz w:val="26"/>
          <w:szCs w:val="26"/>
        </w:rPr>
        <w:t>on</w:t>
      </w:r>
      <w:r w:rsidR="005D0B2D" w:rsidRPr="00594BDB">
        <w:rPr>
          <w:sz w:val="26"/>
          <w:szCs w:val="26"/>
        </w:rPr>
        <w:t xml:space="preserve"> December 14, 2017</w:t>
      </w:r>
      <w:r w:rsidR="00227C6C">
        <w:rPr>
          <w:sz w:val="26"/>
          <w:szCs w:val="26"/>
        </w:rPr>
        <w:t xml:space="preserve">.  Because the Complainant’s Letter was filed with the Secretary’s Bureau after the issuance of the Initial Decision, </w:t>
      </w:r>
      <w:r w:rsidR="00A90D9D">
        <w:rPr>
          <w:sz w:val="26"/>
          <w:szCs w:val="26"/>
        </w:rPr>
        <w:t xml:space="preserve">we are treating </w:t>
      </w:r>
      <w:r w:rsidR="00227C6C">
        <w:rPr>
          <w:sz w:val="26"/>
          <w:szCs w:val="26"/>
        </w:rPr>
        <w:t>the document as</w:t>
      </w:r>
      <w:r w:rsidR="00A90D9D">
        <w:rPr>
          <w:sz w:val="26"/>
          <w:szCs w:val="26"/>
        </w:rPr>
        <w:t xml:space="preserve"> Exceptions </w:t>
      </w:r>
      <w:r w:rsidR="00227C6C">
        <w:rPr>
          <w:sz w:val="26"/>
          <w:szCs w:val="26"/>
        </w:rPr>
        <w:t xml:space="preserve">pursuant to 52 Pa. Code § 5.433 </w:t>
      </w:r>
      <w:r w:rsidR="00A90D9D">
        <w:rPr>
          <w:sz w:val="26"/>
          <w:szCs w:val="26"/>
        </w:rPr>
        <w:t>for purposes of disposition</w:t>
      </w:r>
      <w:r w:rsidR="00227C6C">
        <w:rPr>
          <w:sz w:val="26"/>
          <w:szCs w:val="26"/>
        </w:rPr>
        <w:t xml:space="preserve"> herein. </w:t>
      </w:r>
    </w:p>
    <w:p w14:paraId="1F9A0CCF" w14:textId="77777777" w:rsidR="005D0B2D" w:rsidRDefault="005D0B2D" w:rsidP="002E40A5">
      <w:pPr>
        <w:pStyle w:val="Default"/>
        <w:spacing w:line="360" w:lineRule="auto"/>
        <w:ind w:firstLine="1440"/>
        <w:rPr>
          <w:sz w:val="26"/>
          <w:szCs w:val="26"/>
        </w:rPr>
      </w:pPr>
    </w:p>
    <w:p w14:paraId="31A944CC" w14:textId="79D0595D" w:rsidR="005D0B2D" w:rsidRDefault="005D0B2D" w:rsidP="00227C6C">
      <w:pPr>
        <w:pStyle w:val="Default"/>
        <w:spacing w:line="360" w:lineRule="auto"/>
        <w:ind w:firstLine="1440"/>
        <w:rPr>
          <w:sz w:val="26"/>
          <w:szCs w:val="26"/>
        </w:rPr>
      </w:pPr>
      <w:r>
        <w:rPr>
          <w:sz w:val="26"/>
          <w:szCs w:val="26"/>
        </w:rPr>
        <w:lastRenderedPageBreak/>
        <w:t>T</w:t>
      </w:r>
      <w:r w:rsidRPr="00E401DC">
        <w:rPr>
          <w:sz w:val="26"/>
          <w:szCs w:val="26"/>
        </w:rPr>
        <w:t>he Complainant</w:t>
      </w:r>
      <w:r w:rsidR="00181FD9">
        <w:rPr>
          <w:sz w:val="26"/>
          <w:szCs w:val="26"/>
        </w:rPr>
        <w:t xml:space="preserve"> did not</w:t>
      </w:r>
      <w:r w:rsidR="00227C6C">
        <w:rPr>
          <w:sz w:val="26"/>
          <w:szCs w:val="26"/>
        </w:rPr>
        <w:t xml:space="preserve"> appear to serve his Exceptions</w:t>
      </w:r>
      <w:r w:rsidRPr="00E401DC">
        <w:rPr>
          <w:sz w:val="26"/>
          <w:szCs w:val="26"/>
        </w:rPr>
        <w:t xml:space="preserve"> on PECO, as a Certificate of Service </w:t>
      </w:r>
      <w:r w:rsidR="00A90D9D">
        <w:rPr>
          <w:sz w:val="26"/>
          <w:szCs w:val="26"/>
        </w:rPr>
        <w:t>was non-existent.</w:t>
      </w:r>
      <w:r w:rsidRPr="00E401DC">
        <w:rPr>
          <w:sz w:val="26"/>
          <w:szCs w:val="26"/>
        </w:rPr>
        <w:t xml:space="preserve">  </w:t>
      </w:r>
      <w:r w:rsidR="00227C6C">
        <w:rPr>
          <w:sz w:val="26"/>
          <w:szCs w:val="26"/>
        </w:rPr>
        <w:t>B</w:t>
      </w:r>
      <w:r w:rsidRPr="00E401DC">
        <w:rPr>
          <w:sz w:val="26"/>
          <w:szCs w:val="26"/>
        </w:rPr>
        <w:t xml:space="preserve">y Secretarial Letter issued May 15, 2018, the </w:t>
      </w:r>
      <w:r w:rsidR="00A90D9D">
        <w:rPr>
          <w:sz w:val="26"/>
          <w:szCs w:val="26"/>
        </w:rPr>
        <w:t>Exceptions were</w:t>
      </w:r>
      <w:r w:rsidRPr="00E401DC">
        <w:rPr>
          <w:sz w:val="26"/>
          <w:szCs w:val="26"/>
        </w:rPr>
        <w:t xml:space="preserve"> </w:t>
      </w:r>
      <w:r w:rsidR="00181FD9">
        <w:rPr>
          <w:sz w:val="26"/>
          <w:szCs w:val="26"/>
        </w:rPr>
        <w:t xml:space="preserve">served on </w:t>
      </w:r>
      <w:r w:rsidRPr="00E401DC">
        <w:rPr>
          <w:sz w:val="26"/>
          <w:szCs w:val="26"/>
        </w:rPr>
        <w:t xml:space="preserve">PECO, </w:t>
      </w:r>
      <w:r w:rsidR="00A90D9D">
        <w:rPr>
          <w:sz w:val="26"/>
          <w:szCs w:val="26"/>
        </w:rPr>
        <w:t>establishing a deadline of</w:t>
      </w:r>
      <w:r w:rsidRPr="00E401DC">
        <w:rPr>
          <w:sz w:val="26"/>
          <w:szCs w:val="26"/>
        </w:rPr>
        <w:t xml:space="preserve"> May 25, 2018 to file </w:t>
      </w:r>
      <w:r w:rsidR="00A90D9D">
        <w:rPr>
          <w:sz w:val="26"/>
          <w:szCs w:val="26"/>
        </w:rPr>
        <w:t>a response.</w:t>
      </w:r>
    </w:p>
    <w:p w14:paraId="4901304F" w14:textId="77777777" w:rsidR="00227C6C" w:rsidRDefault="00227C6C" w:rsidP="00227C6C">
      <w:pPr>
        <w:pStyle w:val="Default"/>
        <w:spacing w:line="360" w:lineRule="auto"/>
        <w:ind w:firstLine="1440"/>
        <w:rPr>
          <w:sz w:val="26"/>
          <w:szCs w:val="26"/>
        </w:rPr>
      </w:pPr>
    </w:p>
    <w:p w14:paraId="1E8D8CFD" w14:textId="56C60808" w:rsidR="00001CD3" w:rsidRDefault="007B2122" w:rsidP="00DB4967">
      <w:pPr>
        <w:spacing w:after="0" w:line="360" w:lineRule="auto"/>
        <w:ind w:firstLine="1440"/>
        <w:jc w:val="both"/>
        <w:rPr>
          <w:sz w:val="26"/>
          <w:szCs w:val="26"/>
        </w:rPr>
      </w:pPr>
      <w:r>
        <w:rPr>
          <w:sz w:val="26"/>
          <w:szCs w:val="26"/>
        </w:rPr>
        <w:t>On M</w:t>
      </w:r>
      <w:r w:rsidR="00DB4967">
        <w:rPr>
          <w:sz w:val="26"/>
          <w:szCs w:val="26"/>
        </w:rPr>
        <w:t xml:space="preserve">ay 24, 2018, </w:t>
      </w:r>
      <w:r w:rsidR="0056063F">
        <w:rPr>
          <w:sz w:val="26"/>
          <w:szCs w:val="26"/>
        </w:rPr>
        <w:t xml:space="preserve">PECO filed its </w:t>
      </w:r>
      <w:r w:rsidR="00181FD9">
        <w:rPr>
          <w:sz w:val="26"/>
          <w:szCs w:val="26"/>
        </w:rPr>
        <w:t>Replies</w:t>
      </w:r>
      <w:r w:rsidR="00A90D9D">
        <w:rPr>
          <w:sz w:val="26"/>
          <w:szCs w:val="26"/>
        </w:rPr>
        <w:t xml:space="preserve"> to Exceptions</w:t>
      </w:r>
      <w:r w:rsidR="00181FD9">
        <w:rPr>
          <w:sz w:val="26"/>
          <w:szCs w:val="26"/>
        </w:rPr>
        <w:t>.</w:t>
      </w:r>
      <w:r w:rsidR="00A90D9D">
        <w:rPr>
          <w:rStyle w:val="FootnoteReference"/>
          <w:sz w:val="26"/>
          <w:szCs w:val="26"/>
        </w:rPr>
        <w:footnoteReference w:id="1"/>
      </w:r>
    </w:p>
    <w:p w14:paraId="2F601721" w14:textId="77777777" w:rsidR="00705716" w:rsidRPr="00155364" w:rsidRDefault="00705716" w:rsidP="00155364">
      <w:pPr>
        <w:jc w:val="both"/>
        <w:rPr>
          <w:sz w:val="26"/>
          <w:szCs w:val="26"/>
        </w:rPr>
      </w:pPr>
    </w:p>
    <w:p w14:paraId="3766860D" w14:textId="6426D749" w:rsidR="00001CD3" w:rsidRDefault="00001CD3" w:rsidP="00227C6C">
      <w:pPr>
        <w:keepNext/>
        <w:keepLines/>
        <w:spacing w:after="0" w:line="360" w:lineRule="auto"/>
        <w:jc w:val="center"/>
        <w:rPr>
          <w:b/>
          <w:sz w:val="26"/>
          <w:szCs w:val="26"/>
        </w:rPr>
      </w:pPr>
      <w:r w:rsidRPr="004A44D1">
        <w:rPr>
          <w:b/>
          <w:sz w:val="26"/>
          <w:szCs w:val="26"/>
        </w:rPr>
        <w:t>Discussion</w:t>
      </w:r>
    </w:p>
    <w:p w14:paraId="411E03C8" w14:textId="27C884A4" w:rsidR="00112628" w:rsidRDefault="00112628" w:rsidP="00227C6C">
      <w:pPr>
        <w:keepNext/>
        <w:keepLines/>
        <w:spacing w:after="0" w:line="360" w:lineRule="auto"/>
        <w:rPr>
          <w:b/>
          <w:sz w:val="26"/>
          <w:szCs w:val="26"/>
        </w:rPr>
      </w:pPr>
    </w:p>
    <w:p w14:paraId="152F56C6" w14:textId="3FF4276E" w:rsidR="00112628" w:rsidRPr="00112628" w:rsidRDefault="00112628" w:rsidP="00780061">
      <w:pPr>
        <w:spacing w:after="0" w:line="360" w:lineRule="auto"/>
        <w:ind w:firstLine="1440"/>
        <w:rPr>
          <w:rFonts w:eastAsia="Times New Roman"/>
          <w:b/>
          <w:sz w:val="26"/>
          <w:szCs w:val="20"/>
        </w:rPr>
      </w:pPr>
      <w:r w:rsidRPr="00112628">
        <w:rPr>
          <w:rFonts w:eastAsia="Times New Roman"/>
          <w:sz w:val="26"/>
          <w:szCs w:val="20"/>
        </w:rPr>
        <w:t xml:space="preserve">Initially, we are reminded that we are not required to consider expressly or at great length each and every contention raised by a party to our proceedings.  </w:t>
      </w:r>
      <w:r w:rsidR="002E40A5" w:rsidRPr="00A711E6">
        <w:rPr>
          <w:rFonts w:eastAsia="Times New Roman"/>
          <w:i/>
          <w:sz w:val="26"/>
          <w:szCs w:val="26"/>
        </w:rPr>
        <w:t>Consolidated Rail Corporation v. Pa. PUC</w:t>
      </w:r>
      <w:r w:rsidR="002E40A5" w:rsidRPr="00A711E6">
        <w:rPr>
          <w:rFonts w:eastAsia="Times New Roman"/>
          <w:sz w:val="26"/>
          <w:szCs w:val="26"/>
        </w:rPr>
        <w:t xml:space="preserve">, 625 A.2d 741 (Pa. Cmwlth. 1993); </w:t>
      </w:r>
      <w:r w:rsidR="002E40A5" w:rsidRPr="00A711E6">
        <w:rPr>
          <w:rFonts w:eastAsia="Times New Roman"/>
          <w:i/>
          <w:sz w:val="26"/>
          <w:szCs w:val="26"/>
        </w:rPr>
        <w:t>see also, generally</w:t>
      </w:r>
      <w:r w:rsidR="002E40A5" w:rsidRPr="00A711E6">
        <w:rPr>
          <w:rFonts w:eastAsia="Times New Roman"/>
          <w:sz w:val="26"/>
          <w:szCs w:val="26"/>
        </w:rPr>
        <w:t xml:space="preserve">, </w:t>
      </w:r>
      <w:r w:rsidR="002E40A5" w:rsidRPr="00A711E6">
        <w:rPr>
          <w:rFonts w:eastAsia="Times New Roman"/>
          <w:i/>
          <w:sz w:val="26"/>
          <w:szCs w:val="26"/>
        </w:rPr>
        <w:t>Univ. of Pa. v. Pa. PUC</w:t>
      </w:r>
      <w:r w:rsidR="002E40A5">
        <w:rPr>
          <w:rFonts w:eastAsia="Times New Roman"/>
          <w:sz w:val="26"/>
          <w:szCs w:val="26"/>
        </w:rPr>
        <w:t>, 485 A.2d 1217 (Pa. Cmwlth.</w:t>
      </w:r>
      <w:r w:rsidR="002E40A5" w:rsidRPr="00A711E6">
        <w:rPr>
          <w:rFonts w:eastAsia="Times New Roman"/>
          <w:sz w:val="26"/>
          <w:szCs w:val="26"/>
        </w:rPr>
        <w:t xml:space="preserve"> 1984).</w:t>
      </w:r>
      <w:r w:rsidR="002E40A5">
        <w:rPr>
          <w:rFonts w:eastAsia="Times New Roman"/>
          <w:sz w:val="26"/>
          <w:szCs w:val="26"/>
        </w:rPr>
        <w:t xml:space="preserve">  </w:t>
      </w:r>
      <w:r w:rsidRPr="00112628">
        <w:rPr>
          <w:rFonts w:eastAsia="Times New Roman"/>
          <w:sz w:val="26"/>
          <w:szCs w:val="20"/>
        </w:rPr>
        <w:t xml:space="preserve">Any exception or argument that is not specifically addressed herein shall be deemed to have been duly considered and denied without further discussion.  </w:t>
      </w:r>
    </w:p>
    <w:p w14:paraId="733166C7" w14:textId="2393CD0C" w:rsidR="004A44D1" w:rsidRDefault="004A44D1" w:rsidP="00203DF7">
      <w:pPr>
        <w:spacing w:after="0" w:line="360" w:lineRule="auto"/>
      </w:pPr>
    </w:p>
    <w:p w14:paraId="4940DA20" w14:textId="77777777" w:rsidR="004A44D1" w:rsidRDefault="004A44D1" w:rsidP="00227C6C">
      <w:pPr>
        <w:keepNext/>
        <w:keepLines/>
        <w:autoSpaceDE w:val="0"/>
        <w:autoSpaceDN w:val="0"/>
        <w:adjustRightInd w:val="0"/>
        <w:spacing w:after="0" w:line="360" w:lineRule="auto"/>
        <w:rPr>
          <w:rFonts w:eastAsiaTheme="minorHAnsi"/>
          <w:b/>
          <w:color w:val="000000"/>
          <w:sz w:val="26"/>
          <w:szCs w:val="26"/>
        </w:rPr>
      </w:pPr>
      <w:r>
        <w:rPr>
          <w:rFonts w:eastAsiaTheme="minorHAnsi"/>
          <w:b/>
          <w:color w:val="000000"/>
          <w:sz w:val="26"/>
          <w:szCs w:val="26"/>
        </w:rPr>
        <w:t>Legal Standards</w:t>
      </w:r>
    </w:p>
    <w:p w14:paraId="57FCE4F3" w14:textId="154372EA" w:rsidR="00B94E5C" w:rsidRDefault="00B94E5C" w:rsidP="00227C6C">
      <w:pPr>
        <w:keepNext/>
        <w:keepLines/>
        <w:autoSpaceDE w:val="0"/>
        <w:autoSpaceDN w:val="0"/>
        <w:adjustRightInd w:val="0"/>
        <w:spacing w:after="0" w:line="360" w:lineRule="auto"/>
        <w:rPr>
          <w:rFonts w:eastAsiaTheme="minorHAnsi"/>
          <w:b/>
          <w:color w:val="000000"/>
          <w:sz w:val="26"/>
          <w:szCs w:val="26"/>
        </w:rPr>
      </w:pPr>
    </w:p>
    <w:p w14:paraId="56A79BB8" w14:textId="77777777" w:rsidR="00C14756" w:rsidRPr="00C14756" w:rsidRDefault="00C14756" w:rsidP="00227C6C">
      <w:pPr>
        <w:keepNext/>
        <w:keepLines/>
        <w:spacing w:after="0" w:line="360" w:lineRule="auto"/>
        <w:ind w:firstLine="720"/>
        <w:jc w:val="both"/>
        <w:rPr>
          <w:b/>
          <w:sz w:val="26"/>
          <w:szCs w:val="26"/>
        </w:rPr>
      </w:pPr>
      <w:r w:rsidRPr="00C14756">
        <w:rPr>
          <w:b/>
          <w:sz w:val="26"/>
          <w:szCs w:val="26"/>
        </w:rPr>
        <w:t>Administrative Due Process and Waiver of Hearing</w:t>
      </w:r>
    </w:p>
    <w:p w14:paraId="770DCDBD" w14:textId="77777777" w:rsidR="00C14756" w:rsidRPr="00C14756" w:rsidRDefault="00C14756" w:rsidP="00227C6C">
      <w:pPr>
        <w:keepNext/>
        <w:keepLines/>
        <w:autoSpaceDE w:val="0"/>
        <w:autoSpaceDN w:val="0"/>
        <w:adjustRightInd w:val="0"/>
        <w:spacing w:after="0" w:line="360" w:lineRule="auto"/>
        <w:rPr>
          <w:rFonts w:eastAsiaTheme="minorHAnsi"/>
          <w:b/>
          <w:color w:val="000000"/>
          <w:sz w:val="26"/>
          <w:szCs w:val="26"/>
        </w:rPr>
      </w:pPr>
    </w:p>
    <w:p w14:paraId="679ABB14" w14:textId="77777777" w:rsidR="00C14756" w:rsidRPr="00C14756" w:rsidRDefault="00C14756" w:rsidP="00C14756">
      <w:pPr>
        <w:spacing w:after="0" w:line="360" w:lineRule="auto"/>
        <w:ind w:firstLine="1440"/>
        <w:rPr>
          <w:sz w:val="26"/>
          <w:szCs w:val="26"/>
        </w:rPr>
      </w:pPr>
      <w:r w:rsidRPr="00C14756">
        <w:rPr>
          <w:sz w:val="26"/>
          <w:szCs w:val="26"/>
        </w:rPr>
        <w:t xml:space="preserve">As an administrative agency of the Commonwealth, the Commission is required to provide due process to the parties appearing before it.  </w:t>
      </w:r>
      <w:r w:rsidRPr="00C14756">
        <w:rPr>
          <w:i/>
          <w:sz w:val="26"/>
          <w:szCs w:val="26"/>
        </w:rPr>
        <w:t>Schneider v. Pa. PUC</w:t>
      </w:r>
      <w:r w:rsidRPr="00C14756">
        <w:rPr>
          <w:sz w:val="26"/>
          <w:szCs w:val="26"/>
        </w:rPr>
        <w:t xml:space="preserve">, 479 A.2d 10, 15 (Pa. Cmwlth. 1984), citing </w:t>
      </w:r>
      <w:r w:rsidRPr="00C14756">
        <w:rPr>
          <w:i/>
          <w:sz w:val="26"/>
          <w:szCs w:val="26"/>
        </w:rPr>
        <w:t>Fusaro v. Pa. PUC</w:t>
      </w:r>
      <w:r w:rsidRPr="00C14756">
        <w:rPr>
          <w:sz w:val="26"/>
          <w:szCs w:val="26"/>
        </w:rPr>
        <w:t xml:space="preserve">, 382 A.2d 794 (Pa. Cmwlth. 1978).  Due process is satisfied when the parties are afforded notice and the </w:t>
      </w:r>
      <w:r w:rsidRPr="00C14756">
        <w:rPr>
          <w:sz w:val="26"/>
          <w:szCs w:val="26"/>
        </w:rPr>
        <w:lastRenderedPageBreak/>
        <w:t xml:space="preserve">opportunity to appear and be heard.  </w:t>
      </w:r>
      <w:r w:rsidRPr="00C14756">
        <w:rPr>
          <w:i/>
          <w:sz w:val="26"/>
          <w:szCs w:val="26"/>
        </w:rPr>
        <w:t>Schneider v. Pa. PUC</w:t>
      </w:r>
      <w:r w:rsidRPr="00C14756">
        <w:rPr>
          <w:sz w:val="26"/>
          <w:szCs w:val="26"/>
        </w:rPr>
        <w:t>, 479 A.2d 10, 15 (Pa.  Cmwlth. 1984).</w:t>
      </w:r>
    </w:p>
    <w:p w14:paraId="3607CC00" w14:textId="77777777" w:rsidR="00C14756" w:rsidRPr="00C14756" w:rsidRDefault="00C14756" w:rsidP="00C14756">
      <w:pPr>
        <w:spacing w:after="0" w:line="360" w:lineRule="auto"/>
        <w:ind w:firstLine="1440"/>
        <w:rPr>
          <w:sz w:val="26"/>
          <w:szCs w:val="26"/>
        </w:rPr>
      </w:pPr>
    </w:p>
    <w:p w14:paraId="6429FEC1" w14:textId="77777777" w:rsidR="00C14756" w:rsidRPr="00C14756" w:rsidRDefault="00C14756" w:rsidP="00C14756">
      <w:pPr>
        <w:spacing w:after="0" w:line="360" w:lineRule="auto"/>
        <w:ind w:firstLine="1440"/>
        <w:rPr>
          <w:sz w:val="26"/>
          <w:szCs w:val="26"/>
        </w:rPr>
      </w:pPr>
      <w:r w:rsidRPr="00C14756">
        <w:rPr>
          <w:sz w:val="26"/>
          <w:szCs w:val="26"/>
        </w:rPr>
        <w:t xml:space="preserve">The Commission is required to fix the time and place of a hearing in a complaint proceeding and to serve notice thereof upon the parties in interest.  </w:t>
      </w:r>
      <w:r w:rsidRPr="00C14756">
        <w:rPr>
          <w:i/>
          <w:sz w:val="26"/>
          <w:szCs w:val="26"/>
        </w:rPr>
        <w:t>See</w:t>
      </w:r>
      <w:r w:rsidRPr="00C14756">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C14756">
        <w:rPr>
          <w:i/>
          <w:sz w:val="26"/>
          <w:szCs w:val="26"/>
        </w:rPr>
        <w:t>See</w:t>
      </w:r>
      <w:r w:rsidRPr="00C14756">
        <w:rPr>
          <w:sz w:val="26"/>
          <w:szCs w:val="26"/>
        </w:rPr>
        <w:t xml:space="preserve">, </w:t>
      </w:r>
      <w:r w:rsidRPr="00C14756">
        <w:rPr>
          <w:rFonts w:eastAsiaTheme="minorHAnsi"/>
          <w:i/>
          <w:color w:val="000000"/>
          <w:sz w:val="26"/>
          <w:szCs w:val="26"/>
        </w:rPr>
        <w:t>Berkowitz v. Mayflower Securities, Inc</w:t>
      </w:r>
      <w:r w:rsidRPr="00C14756">
        <w:rPr>
          <w:rFonts w:eastAsiaTheme="minorHAnsi"/>
          <w:color w:val="000000"/>
          <w:sz w:val="26"/>
          <w:szCs w:val="26"/>
        </w:rPr>
        <w:t>., 455 Pa. 531, 317 A.2d 584 (Pa. 1974) (</w:t>
      </w:r>
      <w:r w:rsidRPr="00C14756">
        <w:rPr>
          <w:rFonts w:eastAsiaTheme="minorHAnsi"/>
          <w:i/>
          <w:color w:val="000000"/>
          <w:sz w:val="26"/>
          <w:szCs w:val="26"/>
        </w:rPr>
        <w:t>Mayflower</w:t>
      </w:r>
      <w:r w:rsidRPr="00C14756">
        <w:rPr>
          <w:rFonts w:eastAsiaTheme="minorHAnsi"/>
          <w:color w:val="000000"/>
          <w:sz w:val="26"/>
          <w:szCs w:val="26"/>
        </w:rPr>
        <w:t xml:space="preserve">); </w:t>
      </w:r>
      <w:r w:rsidRPr="00C14756">
        <w:rPr>
          <w:rFonts w:eastAsiaTheme="minorHAnsi"/>
          <w:i/>
          <w:color w:val="000000"/>
          <w:sz w:val="26"/>
          <w:szCs w:val="26"/>
        </w:rPr>
        <w:t>Meierdierck v. Miller</w:t>
      </w:r>
      <w:r w:rsidRPr="00C14756">
        <w:rPr>
          <w:rFonts w:eastAsiaTheme="minorHAnsi"/>
          <w:color w:val="000000"/>
          <w:sz w:val="26"/>
          <w:szCs w:val="26"/>
        </w:rPr>
        <w:t>, 147 A.2d 406 (Pa. 1959) (</w:t>
      </w:r>
      <w:r w:rsidRPr="00C14756">
        <w:rPr>
          <w:rFonts w:eastAsiaTheme="minorHAnsi"/>
          <w:i/>
          <w:color w:val="000000"/>
          <w:sz w:val="26"/>
          <w:szCs w:val="26"/>
        </w:rPr>
        <w:t>Miller</w:t>
      </w:r>
      <w:r w:rsidRPr="00C14756">
        <w:rPr>
          <w:rFonts w:eastAsiaTheme="minorHAnsi"/>
          <w:color w:val="000000"/>
          <w:sz w:val="26"/>
          <w:szCs w:val="26"/>
        </w:rPr>
        <w:t xml:space="preserve">); </w:t>
      </w:r>
      <w:r w:rsidRPr="00C14756">
        <w:rPr>
          <w:rFonts w:eastAsiaTheme="minorHAnsi"/>
          <w:i/>
          <w:color w:val="000000"/>
          <w:sz w:val="26"/>
          <w:szCs w:val="26"/>
        </w:rPr>
        <w:t>Samaras v. Hartwick</w:t>
      </w:r>
      <w:r w:rsidRPr="00C14756">
        <w:rPr>
          <w:rFonts w:eastAsiaTheme="minorHAnsi"/>
          <w:color w:val="000000"/>
          <w:sz w:val="26"/>
          <w:szCs w:val="26"/>
        </w:rPr>
        <w:t>, 698 A.2d 71 (Pa. Super. 1997) (</w:t>
      </w:r>
      <w:r w:rsidRPr="00C14756">
        <w:rPr>
          <w:rFonts w:eastAsiaTheme="minorHAnsi"/>
          <w:i/>
          <w:color w:val="000000"/>
          <w:sz w:val="26"/>
          <w:szCs w:val="26"/>
        </w:rPr>
        <w:t>Samaras</w:t>
      </w:r>
      <w:r w:rsidRPr="00C14756">
        <w:rPr>
          <w:rFonts w:eastAsiaTheme="minorHAnsi"/>
          <w:color w:val="000000"/>
          <w:sz w:val="26"/>
          <w:szCs w:val="26"/>
        </w:rPr>
        <w:t xml:space="preserve">); </w:t>
      </w:r>
      <w:r w:rsidRPr="00C14756">
        <w:rPr>
          <w:i/>
          <w:sz w:val="26"/>
          <w:szCs w:val="26"/>
        </w:rPr>
        <w:t>Chartiers Industrial and Commercial Development Authority v. Allegheny County Board of Property Assessment Appeals and Review</w:t>
      </w:r>
      <w:r w:rsidRPr="00C14756">
        <w:rPr>
          <w:sz w:val="26"/>
          <w:szCs w:val="26"/>
        </w:rPr>
        <w:t xml:space="preserve">, 645 A.2d 944, 946 (Pa. Cmwlth. 1994), </w:t>
      </w:r>
      <w:r w:rsidRPr="00C14756">
        <w:rPr>
          <w:i/>
          <w:sz w:val="26"/>
          <w:szCs w:val="26"/>
        </w:rPr>
        <w:t>appeal denied</w:t>
      </w:r>
      <w:r w:rsidRPr="00C14756">
        <w:rPr>
          <w:sz w:val="26"/>
          <w:szCs w:val="26"/>
        </w:rPr>
        <w:t xml:space="preserve"> 539 Pa. 696, 653 A.2d 1234 (1994); </w:t>
      </w:r>
      <w:r w:rsidRPr="00C14756">
        <w:rPr>
          <w:i/>
          <w:sz w:val="26"/>
          <w:szCs w:val="26"/>
        </w:rPr>
        <w:t>Geary v. Verizon Pennsylvania Inc</w:t>
      </w:r>
      <w:r w:rsidRPr="00C14756">
        <w:rPr>
          <w:sz w:val="26"/>
          <w:szCs w:val="26"/>
        </w:rPr>
        <w:t>., Docket No. C-2009-2118625 (Order entered September 16, 2010) (</w:t>
      </w:r>
      <w:r w:rsidRPr="00C14756">
        <w:rPr>
          <w:i/>
          <w:sz w:val="26"/>
          <w:szCs w:val="26"/>
        </w:rPr>
        <w:t>Geary</w:t>
      </w:r>
      <w:r w:rsidRPr="00C14756">
        <w:rPr>
          <w:sz w:val="26"/>
          <w:szCs w:val="26"/>
        </w:rPr>
        <w:t>).</w:t>
      </w:r>
    </w:p>
    <w:p w14:paraId="3A1F1B63" w14:textId="77777777" w:rsidR="00C14756" w:rsidRPr="00C14756" w:rsidRDefault="00C14756" w:rsidP="00C14756">
      <w:pPr>
        <w:spacing w:after="0" w:line="360" w:lineRule="auto"/>
        <w:ind w:firstLine="1440"/>
        <w:rPr>
          <w:sz w:val="26"/>
          <w:szCs w:val="26"/>
        </w:rPr>
      </w:pPr>
    </w:p>
    <w:p w14:paraId="566A86AC" w14:textId="77777777" w:rsidR="00C14756" w:rsidRPr="00C14756" w:rsidRDefault="00C14756" w:rsidP="00C14756">
      <w:pPr>
        <w:spacing w:after="0" w:line="360" w:lineRule="auto"/>
        <w:ind w:firstLine="1440"/>
        <w:rPr>
          <w:sz w:val="26"/>
          <w:szCs w:val="26"/>
        </w:rPr>
      </w:pPr>
      <w:r w:rsidRPr="00C14756">
        <w:rPr>
          <w:sz w:val="26"/>
          <w:szCs w:val="26"/>
        </w:rPr>
        <w:t xml:space="preserve">Once notice of a hearing and the opportunity to be heard have been provided by the Commission, it is the responsibility of the parties to appear and participate in the hearing.  </w:t>
      </w:r>
      <w:r w:rsidRPr="00C14756">
        <w:rPr>
          <w:i/>
          <w:sz w:val="26"/>
          <w:szCs w:val="26"/>
        </w:rPr>
        <w:t>Mumma v. PPL Electric Utilities Corporation</w:t>
      </w:r>
      <w:r w:rsidRPr="00C14756">
        <w:rPr>
          <w:sz w:val="26"/>
          <w:szCs w:val="26"/>
        </w:rPr>
        <w:t>, Docket No. C</w:t>
      </w:r>
      <w:r w:rsidRPr="00C14756">
        <w:rPr>
          <w:sz w:val="26"/>
          <w:szCs w:val="26"/>
        </w:rPr>
        <w:noBreakHyphen/>
        <w:t>00014869 (Order entered January 24, 2002) (</w:t>
      </w:r>
      <w:r w:rsidRPr="00C14756">
        <w:rPr>
          <w:i/>
          <w:sz w:val="26"/>
          <w:szCs w:val="26"/>
        </w:rPr>
        <w:t>Mumma</w:t>
      </w:r>
      <w:r w:rsidRPr="00C14756">
        <w:rPr>
          <w:sz w:val="26"/>
          <w:szCs w:val="26"/>
        </w:rPr>
        <w:t xml:space="preserve">); </w:t>
      </w:r>
      <w:r w:rsidRPr="00C14756">
        <w:rPr>
          <w:i/>
          <w:sz w:val="26"/>
          <w:szCs w:val="26"/>
        </w:rPr>
        <w:t>Sentner v. Bell Tel. Co. of PA</w:t>
      </w:r>
      <w:r w:rsidRPr="00C14756">
        <w:rPr>
          <w:sz w:val="26"/>
          <w:szCs w:val="26"/>
        </w:rPr>
        <w:t>, Docket No. F-00161106 (Order entered October 25, 1993) (</w:t>
      </w:r>
      <w:r w:rsidRPr="00C14756">
        <w:rPr>
          <w:i/>
          <w:sz w:val="26"/>
          <w:szCs w:val="26"/>
        </w:rPr>
        <w:t>Sentner</w:t>
      </w:r>
      <w:r w:rsidRPr="00C14756">
        <w:rPr>
          <w:sz w:val="26"/>
          <w:szCs w:val="26"/>
        </w:rPr>
        <w:t>).</w:t>
      </w:r>
    </w:p>
    <w:p w14:paraId="4FBD48EE" w14:textId="77777777" w:rsidR="00C14756" w:rsidRPr="00C14756" w:rsidRDefault="00C14756" w:rsidP="00C14756">
      <w:pPr>
        <w:spacing w:after="0" w:line="360" w:lineRule="auto"/>
        <w:ind w:firstLine="1440"/>
        <w:rPr>
          <w:sz w:val="26"/>
          <w:szCs w:val="26"/>
        </w:rPr>
      </w:pPr>
    </w:p>
    <w:p w14:paraId="2BA3A123" w14:textId="77777777" w:rsidR="00C14756" w:rsidRPr="00C14756" w:rsidRDefault="00C14756" w:rsidP="00C14756">
      <w:pPr>
        <w:spacing w:after="0" w:line="360" w:lineRule="auto"/>
        <w:ind w:firstLine="1440"/>
        <w:rPr>
          <w:sz w:val="26"/>
          <w:szCs w:val="26"/>
        </w:rPr>
      </w:pPr>
      <w:r w:rsidRPr="00C14756">
        <w:rPr>
          <w:sz w:val="26"/>
          <w:szCs w:val="26"/>
        </w:rPr>
        <w:t xml:space="preserve">A party to a proceeding has the right to request a continuance of the hearing, which may be granted by the presiding officer for “good cause.”  </w:t>
      </w:r>
      <w:r w:rsidRPr="00C14756">
        <w:rPr>
          <w:i/>
          <w:sz w:val="26"/>
          <w:szCs w:val="26"/>
        </w:rPr>
        <w:t>See</w:t>
      </w:r>
      <w:r w:rsidRPr="00C14756">
        <w:rPr>
          <w:sz w:val="26"/>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C14756">
        <w:rPr>
          <w:i/>
          <w:sz w:val="26"/>
          <w:szCs w:val="26"/>
        </w:rPr>
        <w:t>Id</w:t>
      </w:r>
      <w:r w:rsidRPr="00C14756">
        <w:rPr>
          <w:sz w:val="26"/>
          <w:szCs w:val="26"/>
        </w:rPr>
        <w:t xml:space="preserve">.  When “good cause” is shown for a hearing continuance, the Commission has acknowledged that the public </w:t>
      </w:r>
      <w:r w:rsidRPr="00C14756">
        <w:rPr>
          <w:sz w:val="26"/>
          <w:szCs w:val="26"/>
        </w:rPr>
        <w:lastRenderedPageBreak/>
        <w:t xml:space="preserve">interest is better served when all litigants, particularly </w:t>
      </w:r>
      <w:r w:rsidRPr="00C14756">
        <w:rPr>
          <w:i/>
          <w:sz w:val="26"/>
          <w:szCs w:val="26"/>
        </w:rPr>
        <w:t xml:space="preserve">pro se </w:t>
      </w:r>
      <w:r w:rsidRPr="00C14756">
        <w:rPr>
          <w:sz w:val="26"/>
          <w:szCs w:val="26"/>
        </w:rPr>
        <w:t xml:space="preserve">litigants, are afforded a meaningful opportunity to be heard. </w:t>
      </w:r>
      <w:r w:rsidRPr="00C14756">
        <w:rPr>
          <w:i/>
          <w:sz w:val="26"/>
          <w:szCs w:val="26"/>
        </w:rPr>
        <w:t xml:space="preserve"> See, e.g., Laurie Loucks v. Metropolitan Edison Company</w:t>
      </w:r>
      <w:r w:rsidRPr="00C14756">
        <w:rPr>
          <w:sz w:val="26"/>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prehearing order’s requirements).</w:t>
      </w:r>
      <w:r w:rsidRPr="00C14756">
        <w:rPr>
          <w:sz w:val="26"/>
          <w:szCs w:val="26"/>
          <w:vertAlign w:val="superscript"/>
        </w:rPr>
        <w:footnoteReference w:id="2"/>
      </w:r>
    </w:p>
    <w:p w14:paraId="3F698AEA" w14:textId="77777777" w:rsidR="00C14756" w:rsidRPr="00C14756" w:rsidRDefault="00C14756" w:rsidP="00C14756">
      <w:pPr>
        <w:spacing w:after="0" w:line="360" w:lineRule="auto"/>
        <w:ind w:firstLine="1440"/>
        <w:rPr>
          <w:sz w:val="26"/>
          <w:szCs w:val="26"/>
        </w:rPr>
      </w:pPr>
    </w:p>
    <w:p w14:paraId="4F030C9F" w14:textId="77777777" w:rsidR="00C14756" w:rsidRPr="00C14756" w:rsidRDefault="00C14756" w:rsidP="00C14756">
      <w:pPr>
        <w:spacing w:after="0" w:line="360" w:lineRule="auto"/>
        <w:ind w:firstLine="1440"/>
        <w:rPr>
          <w:color w:val="000000" w:themeColor="text1"/>
          <w:sz w:val="26"/>
          <w:szCs w:val="26"/>
        </w:rPr>
      </w:pPr>
      <w:r w:rsidRPr="00C14756">
        <w:rPr>
          <w:sz w:val="26"/>
          <w:szCs w:val="26"/>
        </w:rPr>
        <w:t>If a party fails to attend a scheduled hearing, such failure to appear will be deemed a waiver of the party’s opportunity to participate in a hearing, unless the presiding officer determines that such failure was “unavoidable” and that the interests of the other parties and of the public would not be “prejudiced” by permitting such reopening or further examination.  66 Pa. C.S. § 332(f); 52 Pa. Code § 5.245(a)-(b).</w:t>
      </w:r>
    </w:p>
    <w:p w14:paraId="430812E4" w14:textId="77777777" w:rsidR="00C14756" w:rsidRPr="00C14756" w:rsidRDefault="00C14756" w:rsidP="00C14756">
      <w:pPr>
        <w:spacing w:after="0" w:line="360" w:lineRule="auto"/>
        <w:ind w:firstLine="1440"/>
        <w:rPr>
          <w:color w:val="000000" w:themeColor="text1"/>
          <w:sz w:val="26"/>
          <w:szCs w:val="26"/>
        </w:rPr>
      </w:pPr>
    </w:p>
    <w:p w14:paraId="27C99A95" w14:textId="77777777" w:rsidR="00C14756" w:rsidRPr="00C14756" w:rsidRDefault="00C14756" w:rsidP="00C14756">
      <w:pPr>
        <w:spacing w:after="0" w:line="360" w:lineRule="auto"/>
        <w:ind w:firstLine="1440"/>
        <w:rPr>
          <w:spacing w:val="-3"/>
          <w:sz w:val="26"/>
          <w:szCs w:val="26"/>
        </w:rPr>
      </w:pPr>
      <w:r w:rsidRPr="00C14756">
        <w:rPr>
          <w:sz w:val="26"/>
          <w:szCs w:val="26"/>
        </w:rPr>
        <w:t xml:space="preserve">Based on prior cases, to meet the “unavoidable” standard, the Commission will require a complainant to show, with supporting information, that the failure to appear was due to exigent circumstances.  </w:t>
      </w:r>
      <w:r w:rsidRPr="00C14756">
        <w:rPr>
          <w:i/>
          <w:sz w:val="26"/>
          <w:szCs w:val="26"/>
        </w:rPr>
        <w:t>See, e.g., El-Ayazra v. West Penn Power Company</w:t>
      </w:r>
      <w:r w:rsidRPr="00C14756">
        <w:rPr>
          <w:sz w:val="26"/>
          <w:szCs w:val="26"/>
        </w:rPr>
        <w:t>, Docket No. F-2015-2509292 (Opinion and Order entered June 30, 2016) (</w:t>
      </w:r>
      <w:r w:rsidRPr="00C14756">
        <w:rPr>
          <w:i/>
          <w:sz w:val="26"/>
          <w:szCs w:val="26"/>
        </w:rPr>
        <w:t>El-Ayazra</w:t>
      </w:r>
      <w:r w:rsidRPr="00C14756">
        <w:rPr>
          <w:sz w:val="26"/>
          <w:szCs w:val="26"/>
        </w:rPr>
        <w:t xml:space="preserve">) </w:t>
      </w:r>
      <w:r w:rsidRPr="00C14756">
        <w:rPr>
          <w:sz w:val="26"/>
          <w:szCs w:val="26"/>
        </w:rPr>
        <w:lastRenderedPageBreak/>
        <w:t xml:space="preserve">(affirmed ALJ’s decision to dismiss complaint </w:t>
      </w:r>
      <w:r w:rsidRPr="00C14756">
        <w:rPr>
          <w:i/>
          <w:sz w:val="26"/>
          <w:szCs w:val="26"/>
        </w:rPr>
        <w:t>with prejudice</w:t>
      </w:r>
      <w:r w:rsidRPr="00C14756">
        <w:rPr>
          <w:sz w:val="26"/>
          <w:szCs w:val="26"/>
        </w:rPr>
        <w:t xml:space="preserve"> because the complainant failed to follow the call-in instructions for the telephonic hearing).</w:t>
      </w:r>
      <w:r w:rsidRPr="00C14756">
        <w:rPr>
          <w:sz w:val="26"/>
          <w:szCs w:val="26"/>
          <w:vertAlign w:val="superscript"/>
        </w:rPr>
        <w:footnoteReference w:id="3"/>
      </w:r>
    </w:p>
    <w:p w14:paraId="7C3C133A" w14:textId="77777777" w:rsidR="00C14756" w:rsidRPr="00C14756" w:rsidRDefault="00C14756" w:rsidP="00C14756">
      <w:pPr>
        <w:spacing w:after="0" w:line="360" w:lineRule="auto"/>
        <w:ind w:firstLine="1440"/>
        <w:rPr>
          <w:sz w:val="26"/>
          <w:szCs w:val="26"/>
        </w:rPr>
      </w:pPr>
    </w:p>
    <w:p w14:paraId="27BA94C1" w14:textId="77777777" w:rsidR="00C14756" w:rsidRPr="00C14756" w:rsidRDefault="00C14756" w:rsidP="00C14756">
      <w:pPr>
        <w:spacing w:after="0" w:line="360" w:lineRule="auto"/>
        <w:ind w:firstLine="1440"/>
        <w:rPr>
          <w:sz w:val="26"/>
          <w:szCs w:val="26"/>
        </w:rPr>
      </w:pPr>
      <w:r w:rsidRPr="00C14756">
        <w:rPr>
          <w:sz w:val="26"/>
          <w:szCs w:val="26"/>
        </w:rPr>
        <w:t xml:space="preserve">Moreover, the Commission will exercise its discretion and excuse a complainant’s failure to appear at a hearing if the complainant demonstrates that he/she </w:t>
      </w:r>
      <w:r w:rsidRPr="00C14756">
        <w:rPr>
          <w:sz w:val="26"/>
          <w:szCs w:val="26"/>
        </w:rPr>
        <w:lastRenderedPageBreak/>
        <w:t xml:space="preserve">made a good faith attempt to attend the hearing.  </w:t>
      </w:r>
      <w:r w:rsidRPr="00C14756">
        <w:rPr>
          <w:i/>
          <w:sz w:val="26"/>
          <w:szCs w:val="26"/>
        </w:rPr>
        <w:t>See, e.g., Yomari Then v. Philadelphia Gas Works</w:t>
      </w:r>
      <w:r w:rsidRPr="00C14756">
        <w:rPr>
          <w:sz w:val="26"/>
          <w:szCs w:val="26"/>
        </w:rPr>
        <w:t>, Docket No. F-2012-2318264 (Order entered June 13, 2013) (</w:t>
      </w:r>
      <w:r w:rsidRPr="00C14756">
        <w:rPr>
          <w:i/>
          <w:sz w:val="26"/>
          <w:szCs w:val="26"/>
        </w:rPr>
        <w:t>Yomari Then</w:t>
      </w:r>
      <w:r w:rsidRPr="00C14756">
        <w:rPr>
          <w:sz w:val="26"/>
          <w:szCs w:val="26"/>
        </w:rPr>
        <w:t>) (vacated ALJ’s decision to dismiss complaint with prejudice and remanded for hearing because complainant attempted to attend the scheduled hearing, and appeared in the correct building, but was unable to locate the hearing room in the building due to language challenges).</w:t>
      </w:r>
      <w:r w:rsidRPr="00C14756">
        <w:rPr>
          <w:sz w:val="26"/>
          <w:szCs w:val="26"/>
          <w:vertAlign w:val="superscript"/>
        </w:rPr>
        <w:footnoteReference w:id="4"/>
      </w:r>
      <w:r w:rsidRPr="00C14756">
        <w:rPr>
          <w:sz w:val="26"/>
          <w:szCs w:val="26"/>
        </w:rPr>
        <w:t xml:space="preserve">  If a complainant’s failure to appear was unavoidable or if the complainant made a good faith attempt to appear, the Commission has acknowledged that the public interest is better served when all litigants, particularly </w:t>
      </w:r>
      <w:r w:rsidRPr="00C14756">
        <w:rPr>
          <w:i/>
          <w:sz w:val="26"/>
          <w:szCs w:val="26"/>
        </w:rPr>
        <w:t xml:space="preserve">pro se </w:t>
      </w:r>
      <w:r w:rsidRPr="00C14756">
        <w:rPr>
          <w:sz w:val="26"/>
          <w:szCs w:val="26"/>
        </w:rPr>
        <w:t>litigants, are afforded a meaningful opportunity to be heard.</w:t>
      </w:r>
    </w:p>
    <w:p w14:paraId="3BE96D2E" w14:textId="77777777" w:rsidR="00C14756" w:rsidRPr="00C14756" w:rsidRDefault="00C14756" w:rsidP="00C14756">
      <w:pPr>
        <w:spacing w:after="0" w:line="360" w:lineRule="auto"/>
        <w:ind w:firstLine="1440"/>
        <w:rPr>
          <w:sz w:val="26"/>
          <w:szCs w:val="26"/>
        </w:rPr>
      </w:pPr>
    </w:p>
    <w:p w14:paraId="43B81969" w14:textId="3553FAEC" w:rsidR="00C14756" w:rsidRDefault="00C14756" w:rsidP="007D6887">
      <w:pPr>
        <w:spacing w:after="0" w:line="360" w:lineRule="auto"/>
        <w:ind w:firstLine="1440"/>
        <w:rPr>
          <w:rFonts w:eastAsiaTheme="minorHAnsi"/>
          <w:sz w:val="22"/>
          <w:szCs w:val="22"/>
        </w:rPr>
      </w:pPr>
      <w:r w:rsidRPr="00C14756">
        <w:rPr>
          <w:sz w:val="26"/>
          <w:szCs w:val="26"/>
        </w:rPr>
        <w:t xml:space="preserve">However, if a complainant’s failure to appear was not unavoidable, or if the complainant did not make a good faith attempt to attend the duly scheduled hearing, the Commission has recognized that any further procedural activity in the docket would prejudice the public interest due to the wasteful use of the agency’s and the respondent’s time and resources in addressing the complaint.  </w:t>
      </w:r>
      <w:r w:rsidRPr="00C14756">
        <w:rPr>
          <w:i/>
          <w:sz w:val="26"/>
          <w:szCs w:val="26"/>
        </w:rPr>
        <w:t>See Jefferson v. UGI Utilities, Inc.</w:t>
      </w:r>
      <w:r w:rsidRPr="00C14756">
        <w:rPr>
          <w:sz w:val="26"/>
          <w:szCs w:val="26"/>
        </w:rPr>
        <w:t>,</w:t>
      </w:r>
      <w:r w:rsidRPr="00C14756">
        <w:rPr>
          <w:i/>
          <w:sz w:val="26"/>
          <w:szCs w:val="26"/>
        </w:rPr>
        <w:t xml:space="preserve"> </w:t>
      </w:r>
      <w:r w:rsidRPr="00C14756">
        <w:rPr>
          <w:sz w:val="26"/>
          <w:szCs w:val="26"/>
        </w:rPr>
        <w:t>Docket No. Z-00269892 (Order entered December 26, 1995) (“We are concerned with regard to the consequences that these “no-show” cases have on the already strained budget of the Commission</w:t>
      </w:r>
      <w:r w:rsidRPr="00C14756">
        <w:rPr>
          <w:i/>
          <w:sz w:val="26"/>
          <w:szCs w:val="26"/>
        </w:rPr>
        <w:t xml:space="preserve">. </w:t>
      </w:r>
      <w:r w:rsidRPr="00C14756">
        <w:rPr>
          <w:sz w:val="26"/>
          <w:szCs w:val="26"/>
        </w:rPr>
        <w:t xml:space="preserve"> Such cases waste the time and resources of the Commission and the utility.  We cannot condone the wastefulness of [a procedure] that permits a “no-</w:t>
      </w:r>
      <w:r w:rsidRPr="00C14756">
        <w:rPr>
          <w:sz w:val="26"/>
          <w:szCs w:val="26"/>
        </w:rPr>
        <w:lastRenderedPageBreak/>
        <w:t>show complainant” to refile a complaint and thereby institute yet another stay of termination on the account.  Such misuse of the process as in the case before us cannot be tolerated.”) (</w:t>
      </w:r>
      <w:r w:rsidRPr="00C14756">
        <w:rPr>
          <w:i/>
          <w:sz w:val="26"/>
          <w:szCs w:val="26"/>
        </w:rPr>
        <w:t>Jefferson</w:t>
      </w:r>
      <w:r w:rsidRPr="00C14756">
        <w:rPr>
          <w:sz w:val="26"/>
          <w:szCs w:val="26"/>
        </w:rPr>
        <w:t xml:space="preserve">); </w:t>
      </w:r>
      <w:r w:rsidRPr="00C14756">
        <w:rPr>
          <w:i/>
          <w:sz w:val="26"/>
          <w:szCs w:val="26"/>
        </w:rPr>
        <w:t>see also</w:t>
      </w:r>
      <w:r w:rsidRPr="00C14756">
        <w:rPr>
          <w:sz w:val="26"/>
          <w:szCs w:val="26"/>
        </w:rPr>
        <w:t xml:space="preserve">, </w:t>
      </w:r>
      <w:r w:rsidRPr="00C14756">
        <w:rPr>
          <w:i/>
          <w:sz w:val="26"/>
          <w:szCs w:val="26"/>
        </w:rPr>
        <w:t>supra</w:t>
      </w:r>
      <w:r w:rsidRPr="00C14756">
        <w:rPr>
          <w:sz w:val="26"/>
          <w:szCs w:val="26"/>
        </w:rPr>
        <w:t xml:space="preserve">, </w:t>
      </w:r>
      <w:r w:rsidRPr="00C14756">
        <w:rPr>
          <w:i/>
          <w:sz w:val="26"/>
          <w:szCs w:val="26"/>
        </w:rPr>
        <w:t>e.g., El-Ayazra; Santore Smith</w:t>
      </w:r>
      <w:r w:rsidRPr="00C14756">
        <w:rPr>
          <w:sz w:val="26"/>
          <w:szCs w:val="26"/>
        </w:rPr>
        <w:t xml:space="preserve">; </w:t>
      </w:r>
      <w:r w:rsidRPr="00C14756">
        <w:rPr>
          <w:i/>
          <w:sz w:val="26"/>
          <w:szCs w:val="26"/>
        </w:rPr>
        <w:t>Marilyn Day</w:t>
      </w:r>
      <w:r w:rsidRPr="00C14756">
        <w:rPr>
          <w:sz w:val="26"/>
          <w:szCs w:val="26"/>
        </w:rPr>
        <w:t xml:space="preserve">; </w:t>
      </w:r>
      <w:r w:rsidRPr="00C14756">
        <w:rPr>
          <w:i/>
          <w:sz w:val="26"/>
          <w:szCs w:val="26"/>
        </w:rPr>
        <w:t>Deborah</w:t>
      </w:r>
      <w:r w:rsidRPr="00C14756">
        <w:rPr>
          <w:sz w:val="26"/>
          <w:szCs w:val="26"/>
        </w:rPr>
        <w:t xml:space="preserve"> </w:t>
      </w:r>
      <w:r w:rsidRPr="00C14756">
        <w:rPr>
          <w:i/>
          <w:sz w:val="26"/>
          <w:szCs w:val="26"/>
        </w:rPr>
        <w:t>Bethay</w:t>
      </w:r>
      <w:r w:rsidRPr="00C14756">
        <w:rPr>
          <w:sz w:val="26"/>
          <w:szCs w:val="26"/>
        </w:rPr>
        <w:t>;</w:t>
      </w:r>
      <w:r w:rsidRPr="00C14756">
        <w:rPr>
          <w:i/>
          <w:sz w:val="26"/>
          <w:szCs w:val="26"/>
        </w:rPr>
        <w:t xml:space="preserve"> Osuji</w:t>
      </w:r>
      <w:r w:rsidRPr="00C14756">
        <w:rPr>
          <w:sz w:val="26"/>
          <w:szCs w:val="26"/>
        </w:rPr>
        <w:t>;</w:t>
      </w:r>
      <w:r w:rsidRPr="00C14756">
        <w:rPr>
          <w:i/>
          <w:sz w:val="26"/>
          <w:szCs w:val="26"/>
        </w:rPr>
        <w:t xml:space="preserve"> Madajewski</w:t>
      </w:r>
      <w:r w:rsidRPr="00C14756">
        <w:rPr>
          <w:sz w:val="26"/>
          <w:szCs w:val="26"/>
        </w:rPr>
        <w:t xml:space="preserve">; </w:t>
      </w:r>
      <w:r w:rsidRPr="00C14756">
        <w:rPr>
          <w:i/>
          <w:sz w:val="26"/>
          <w:szCs w:val="26"/>
        </w:rPr>
        <w:t>Nichols III</w:t>
      </w:r>
      <w:r w:rsidRPr="00C14756">
        <w:rPr>
          <w:sz w:val="26"/>
          <w:szCs w:val="26"/>
        </w:rPr>
        <w:t xml:space="preserve">.  In such instances, to preserve judicial economy, the Commission typically will dismiss a complaint, </w:t>
      </w:r>
      <w:r w:rsidRPr="00C14756">
        <w:rPr>
          <w:i/>
          <w:sz w:val="26"/>
          <w:szCs w:val="26"/>
        </w:rPr>
        <w:t>with prejudice</w:t>
      </w:r>
      <w:r w:rsidRPr="00C14756">
        <w:rPr>
          <w:sz w:val="26"/>
          <w:szCs w:val="26"/>
        </w:rPr>
        <w:t xml:space="preserve">, barring the complainant from filing another complaint raising the same claims and issues presented in the dismissed complaint.  </w:t>
      </w:r>
    </w:p>
    <w:p w14:paraId="16E9CD28" w14:textId="5BB6551E" w:rsidR="00BB3846" w:rsidRPr="00227C6C" w:rsidRDefault="00BB3846" w:rsidP="00203DF7">
      <w:pPr>
        <w:autoSpaceDE w:val="0"/>
        <w:autoSpaceDN w:val="0"/>
        <w:adjustRightInd w:val="0"/>
        <w:spacing w:after="0" w:line="360" w:lineRule="auto"/>
        <w:rPr>
          <w:b/>
          <w:color w:val="000000"/>
          <w:sz w:val="26"/>
          <w:szCs w:val="26"/>
        </w:rPr>
      </w:pPr>
    </w:p>
    <w:p w14:paraId="7B12556A" w14:textId="77777777" w:rsidR="00F87775" w:rsidRDefault="00F87775" w:rsidP="00203DF7">
      <w:pPr>
        <w:pStyle w:val="ParaTab1"/>
        <w:keepNext/>
        <w:keepLines/>
        <w:suppressAutoHyphens w:val="0"/>
        <w:spacing w:line="360" w:lineRule="auto"/>
        <w:ind w:firstLine="0"/>
        <w:rPr>
          <w:rFonts w:ascii="Times New Roman" w:hAnsi="Times New Roman" w:cs="Times New Roman"/>
          <w:b/>
          <w:sz w:val="26"/>
          <w:szCs w:val="26"/>
        </w:rPr>
      </w:pPr>
      <w:r w:rsidRPr="00FB158D">
        <w:rPr>
          <w:rFonts w:ascii="Times New Roman" w:hAnsi="Times New Roman" w:cs="Times New Roman"/>
          <w:b/>
          <w:sz w:val="26"/>
          <w:szCs w:val="26"/>
        </w:rPr>
        <w:t>ALJ</w:t>
      </w:r>
      <w:r>
        <w:rPr>
          <w:rFonts w:ascii="Times New Roman" w:hAnsi="Times New Roman" w:cs="Times New Roman"/>
          <w:b/>
          <w:sz w:val="26"/>
          <w:szCs w:val="26"/>
        </w:rPr>
        <w:t>’s</w:t>
      </w:r>
      <w:r w:rsidRPr="00FB158D">
        <w:rPr>
          <w:rFonts w:ascii="Times New Roman" w:hAnsi="Times New Roman" w:cs="Times New Roman"/>
          <w:b/>
          <w:sz w:val="26"/>
          <w:szCs w:val="26"/>
        </w:rPr>
        <w:t xml:space="preserve"> </w:t>
      </w:r>
      <w:r>
        <w:rPr>
          <w:rFonts w:ascii="Times New Roman" w:hAnsi="Times New Roman" w:cs="Times New Roman"/>
          <w:b/>
          <w:sz w:val="26"/>
          <w:szCs w:val="26"/>
        </w:rPr>
        <w:t>Initial Decision</w:t>
      </w:r>
      <w:r w:rsidRPr="00FB158D">
        <w:rPr>
          <w:rFonts w:ascii="Times New Roman" w:hAnsi="Times New Roman" w:cs="Times New Roman"/>
          <w:b/>
          <w:sz w:val="26"/>
          <w:szCs w:val="26"/>
        </w:rPr>
        <w:t xml:space="preserve"> </w:t>
      </w:r>
    </w:p>
    <w:p w14:paraId="53AF35FC" w14:textId="378B478D" w:rsidR="00F87775" w:rsidRDefault="00F87775" w:rsidP="00203DF7">
      <w:pPr>
        <w:autoSpaceDE w:val="0"/>
        <w:autoSpaceDN w:val="0"/>
        <w:adjustRightInd w:val="0"/>
        <w:spacing w:after="0" w:line="360" w:lineRule="auto"/>
        <w:rPr>
          <w:sz w:val="26"/>
          <w:szCs w:val="26"/>
        </w:rPr>
      </w:pPr>
    </w:p>
    <w:p w14:paraId="7544B5E0" w14:textId="2426A7BD" w:rsidR="00F87775" w:rsidRDefault="00F87775" w:rsidP="00203DF7">
      <w:pPr>
        <w:autoSpaceDE w:val="0"/>
        <w:autoSpaceDN w:val="0"/>
        <w:adjustRightInd w:val="0"/>
        <w:spacing w:after="0" w:line="360" w:lineRule="auto"/>
        <w:ind w:firstLine="1440"/>
        <w:rPr>
          <w:sz w:val="26"/>
          <w:szCs w:val="26"/>
        </w:rPr>
      </w:pPr>
      <w:r>
        <w:rPr>
          <w:rFonts w:eastAsia="Times New Roman"/>
          <w:sz w:val="26"/>
          <w:szCs w:val="20"/>
        </w:rPr>
        <w:t>In his Initial Decision, ALJ Johnson made eight Findings of Fact</w:t>
      </w:r>
      <w:r w:rsidRPr="00112628">
        <w:rPr>
          <w:rFonts w:eastAsia="Times New Roman"/>
          <w:sz w:val="26"/>
          <w:szCs w:val="20"/>
        </w:rPr>
        <w:t xml:space="preserve"> and</w:t>
      </w:r>
      <w:r>
        <w:rPr>
          <w:rFonts w:eastAsia="Times New Roman"/>
          <w:sz w:val="26"/>
          <w:szCs w:val="20"/>
        </w:rPr>
        <w:t xml:space="preserve"> reached three Conclusions of Law.  I.D. at 3, 5</w:t>
      </w:r>
      <w:r w:rsidRPr="00112628">
        <w:rPr>
          <w:rFonts w:eastAsia="Times New Roman"/>
          <w:sz w:val="26"/>
          <w:szCs w:val="20"/>
        </w:rPr>
        <w:t xml:space="preserve">.  </w:t>
      </w:r>
      <w:r w:rsidRPr="00D64605">
        <w:rPr>
          <w:sz w:val="26"/>
          <w:szCs w:val="26"/>
        </w:rPr>
        <w:t>The Findings of Fact and Conclusions of Law are incorporated herein by reference and are adopted without comment unless they are either expressly or by necessary implication rejected or modified by this Opinion and Order</w:t>
      </w:r>
      <w:r>
        <w:rPr>
          <w:sz w:val="26"/>
          <w:szCs w:val="26"/>
        </w:rPr>
        <w:t>.</w:t>
      </w:r>
    </w:p>
    <w:p w14:paraId="79FDCB95" w14:textId="5F103B82" w:rsidR="00363621" w:rsidRDefault="00363621" w:rsidP="00203DF7">
      <w:pPr>
        <w:autoSpaceDE w:val="0"/>
        <w:autoSpaceDN w:val="0"/>
        <w:adjustRightInd w:val="0"/>
        <w:spacing w:after="0" w:line="360" w:lineRule="auto"/>
        <w:ind w:firstLine="1440"/>
        <w:rPr>
          <w:sz w:val="26"/>
          <w:szCs w:val="26"/>
        </w:rPr>
      </w:pPr>
    </w:p>
    <w:p w14:paraId="0CC7CC29" w14:textId="34A77D55" w:rsidR="00363621" w:rsidRDefault="00363621" w:rsidP="00203DF7">
      <w:pPr>
        <w:autoSpaceDE w:val="0"/>
        <w:autoSpaceDN w:val="0"/>
        <w:adjustRightInd w:val="0"/>
        <w:spacing w:after="0" w:line="360" w:lineRule="auto"/>
        <w:ind w:firstLine="1440"/>
        <w:rPr>
          <w:sz w:val="26"/>
          <w:szCs w:val="26"/>
        </w:rPr>
      </w:pPr>
      <w:r>
        <w:rPr>
          <w:sz w:val="26"/>
          <w:szCs w:val="26"/>
        </w:rPr>
        <w:t xml:space="preserve">The ALJ noted that the Commission sent the Hearing Notice to the Complainant by regular first-class mail to the mailing address stated on the Complaint, and such notice was not returned to sender as undeliverable.  The ALJ also noted that the Prehearing Order was mailed to the Complainant at the address shown on the Complaint and was never returned undeliverable.  The ALJ recognized that, under such circumstances, the presumption is that the Hearing Notice and the Prehearing Order had been received by the Complainant.  I.D. at 4 (citing </w:t>
      </w:r>
      <w:r w:rsidRPr="00E311A4">
        <w:rPr>
          <w:i/>
          <w:sz w:val="26"/>
          <w:szCs w:val="26"/>
        </w:rPr>
        <w:t>Mayflower</w:t>
      </w:r>
      <w:r>
        <w:rPr>
          <w:sz w:val="26"/>
          <w:szCs w:val="26"/>
        </w:rPr>
        <w:t xml:space="preserve">; </w:t>
      </w:r>
      <w:r w:rsidRPr="007A0FF8">
        <w:rPr>
          <w:i/>
          <w:sz w:val="26"/>
          <w:szCs w:val="26"/>
        </w:rPr>
        <w:t>Miller</w:t>
      </w:r>
      <w:r>
        <w:rPr>
          <w:sz w:val="26"/>
          <w:szCs w:val="26"/>
        </w:rPr>
        <w:t xml:space="preserve">; </w:t>
      </w:r>
      <w:r w:rsidRPr="007A0FF8">
        <w:rPr>
          <w:i/>
          <w:sz w:val="26"/>
          <w:szCs w:val="26"/>
        </w:rPr>
        <w:t>Samaras</w:t>
      </w:r>
      <w:r>
        <w:rPr>
          <w:sz w:val="26"/>
          <w:szCs w:val="26"/>
        </w:rPr>
        <w:t>;</w:t>
      </w:r>
      <w:r>
        <w:rPr>
          <w:i/>
          <w:sz w:val="26"/>
          <w:szCs w:val="26"/>
        </w:rPr>
        <w:t xml:space="preserve"> Judge v. Celina Mutual Insurance Co., </w:t>
      </w:r>
      <w:r>
        <w:rPr>
          <w:sz w:val="26"/>
          <w:szCs w:val="26"/>
        </w:rPr>
        <w:t>444 A.2d 658 (Pa. Super. 1982)).</w:t>
      </w:r>
    </w:p>
    <w:p w14:paraId="18800018" w14:textId="371458AA" w:rsidR="008D35A4" w:rsidRDefault="008D35A4" w:rsidP="00203DF7">
      <w:pPr>
        <w:autoSpaceDE w:val="0"/>
        <w:autoSpaceDN w:val="0"/>
        <w:adjustRightInd w:val="0"/>
        <w:spacing w:after="0" w:line="360" w:lineRule="auto"/>
        <w:ind w:firstLine="1440"/>
        <w:rPr>
          <w:sz w:val="26"/>
          <w:szCs w:val="26"/>
        </w:rPr>
      </w:pPr>
    </w:p>
    <w:p w14:paraId="47748F97" w14:textId="62FC9574" w:rsidR="008D35A4" w:rsidRDefault="008D35A4" w:rsidP="00C73EFB">
      <w:pPr>
        <w:autoSpaceDE w:val="0"/>
        <w:autoSpaceDN w:val="0"/>
        <w:adjustRightInd w:val="0"/>
        <w:spacing w:after="0" w:line="360" w:lineRule="auto"/>
        <w:ind w:firstLine="1440"/>
        <w:rPr>
          <w:sz w:val="26"/>
          <w:szCs w:val="26"/>
        </w:rPr>
      </w:pPr>
      <w:r>
        <w:rPr>
          <w:sz w:val="26"/>
          <w:szCs w:val="26"/>
        </w:rPr>
        <w:t xml:space="preserve">The ALJ explained that the Complainant did not appear for the scheduled hearing, but </w:t>
      </w:r>
      <w:r w:rsidR="00A14766">
        <w:rPr>
          <w:sz w:val="26"/>
          <w:szCs w:val="26"/>
        </w:rPr>
        <w:t xml:space="preserve">he </w:t>
      </w:r>
      <w:r w:rsidR="00583C05">
        <w:rPr>
          <w:sz w:val="26"/>
          <w:szCs w:val="26"/>
        </w:rPr>
        <w:t xml:space="preserve">did </w:t>
      </w:r>
      <w:r>
        <w:rPr>
          <w:sz w:val="26"/>
          <w:szCs w:val="26"/>
        </w:rPr>
        <w:t>call the Pittsburgh OALJ approximately an hour after the hearing had concluded, thereby confirming that he had notice of the scheduled hearing.</w:t>
      </w:r>
    </w:p>
    <w:p w14:paraId="7E0A4D53" w14:textId="07A54389" w:rsidR="008D35A4" w:rsidRDefault="008D35A4" w:rsidP="00203DF7">
      <w:pPr>
        <w:autoSpaceDE w:val="0"/>
        <w:autoSpaceDN w:val="0"/>
        <w:adjustRightInd w:val="0"/>
        <w:spacing w:after="0" w:line="360" w:lineRule="auto"/>
        <w:ind w:firstLine="1440"/>
        <w:rPr>
          <w:sz w:val="26"/>
          <w:szCs w:val="26"/>
        </w:rPr>
      </w:pPr>
      <w:r>
        <w:rPr>
          <w:sz w:val="26"/>
          <w:szCs w:val="26"/>
        </w:rPr>
        <w:lastRenderedPageBreak/>
        <w:t>The ALJ reasoned that, under the circumstances, it appeared that the Complainant had ample opportunity to appear and be heard in this proceeding, but voluntarily chose not to do so.  Therefore, the ALJ concluded that the due process rights of the Complainant failed to meet his burden of proof under 66 Pa. C.S. § 332(a).  I.D. at</w:t>
      </w:r>
      <w:r w:rsidR="00965A3B">
        <w:rPr>
          <w:sz w:val="26"/>
          <w:szCs w:val="26"/>
        </w:rPr>
        <w:t> </w:t>
      </w:r>
      <w:r>
        <w:rPr>
          <w:sz w:val="26"/>
          <w:szCs w:val="26"/>
        </w:rPr>
        <w:t>4.</w:t>
      </w:r>
    </w:p>
    <w:p w14:paraId="2B7E2CAB" w14:textId="663A35AA" w:rsidR="0070516C" w:rsidRDefault="0070516C" w:rsidP="00203DF7">
      <w:pPr>
        <w:autoSpaceDE w:val="0"/>
        <w:autoSpaceDN w:val="0"/>
        <w:adjustRightInd w:val="0"/>
        <w:spacing w:after="0" w:line="360" w:lineRule="auto"/>
        <w:ind w:firstLine="1440"/>
        <w:rPr>
          <w:sz w:val="26"/>
          <w:szCs w:val="26"/>
        </w:rPr>
      </w:pPr>
    </w:p>
    <w:p w14:paraId="2A0F3A4F" w14:textId="3C31E817" w:rsidR="0070516C" w:rsidRPr="0003143A" w:rsidRDefault="0070516C" w:rsidP="00203DF7">
      <w:pPr>
        <w:spacing w:after="0" w:line="360" w:lineRule="auto"/>
        <w:ind w:firstLine="1440"/>
        <w:rPr>
          <w:sz w:val="26"/>
          <w:szCs w:val="26"/>
        </w:rPr>
      </w:pPr>
      <w:r w:rsidRPr="0003143A">
        <w:rPr>
          <w:sz w:val="26"/>
          <w:szCs w:val="26"/>
        </w:rPr>
        <w:t xml:space="preserve">Under </w:t>
      </w:r>
      <w:r>
        <w:rPr>
          <w:sz w:val="26"/>
          <w:szCs w:val="26"/>
        </w:rPr>
        <w:t xml:space="preserve">such </w:t>
      </w:r>
      <w:r w:rsidRPr="0003143A">
        <w:rPr>
          <w:sz w:val="26"/>
          <w:szCs w:val="26"/>
        </w:rPr>
        <w:t>circumstances, the</w:t>
      </w:r>
      <w:r>
        <w:rPr>
          <w:sz w:val="26"/>
          <w:szCs w:val="26"/>
        </w:rPr>
        <w:t xml:space="preserve"> ALJ ruled to dismiss the Complaint, </w:t>
      </w:r>
      <w:r w:rsidRPr="0003143A">
        <w:rPr>
          <w:sz w:val="26"/>
          <w:szCs w:val="26"/>
        </w:rPr>
        <w:t xml:space="preserve">with prejudice. </w:t>
      </w:r>
      <w:r>
        <w:rPr>
          <w:sz w:val="26"/>
          <w:szCs w:val="26"/>
        </w:rPr>
        <w:t xml:space="preserve"> I.D. at 5 (citing </w:t>
      </w:r>
      <w:r w:rsidRPr="00273868">
        <w:rPr>
          <w:i/>
          <w:sz w:val="26"/>
          <w:szCs w:val="26"/>
        </w:rPr>
        <w:t>J</w:t>
      </w:r>
      <w:r>
        <w:rPr>
          <w:i/>
          <w:sz w:val="26"/>
          <w:szCs w:val="26"/>
        </w:rPr>
        <w:t>efferson</w:t>
      </w:r>
      <w:r w:rsidRPr="0003143A">
        <w:rPr>
          <w:sz w:val="26"/>
          <w:szCs w:val="26"/>
        </w:rPr>
        <w:t xml:space="preserve">; </w:t>
      </w:r>
      <w:r w:rsidRPr="0014180D">
        <w:rPr>
          <w:i/>
          <w:sz w:val="26"/>
          <w:szCs w:val="26"/>
        </w:rPr>
        <w:t>El-Ayazra</w:t>
      </w:r>
      <w:r>
        <w:rPr>
          <w:sz w:val="26"/>
          <w:szCs w:val="26"/>
        </w:rPr>
        <w:t xml:space="preserve">; 52 Pa. Code § 5.245).  </w:t>
      </w:r>
    </w:p>
    <w:p w14:paraId="5B141546" w14:textId="13948186" w:rsidR="0056063F" w:rsidRDefault="0056063F" w:rsidP="00203DF7">
      <w:pPr>
        <w:autoSpaceDE w:val="0"/>
        <w:autoSpaceDN w:val="0"/>
        <w:adjustRightInd w:val="0"/>
        <w:spacing w:after="0" w:line="360" w:lineRule="auto"/>
        <w:rPr>
          <w:sz w:val="26"/>
          <w:szCs w:val="26"/>
        </w:rPr>
      </w:pPr>
    </w:p>
    <w:p w14:paraId="227023F7" w14:textId="1F3E7D52" w:rsidR="00B776E7" w:rsidRDefault="00A90D9D" w:rsidP="00203DF7">
      <w:pPr>
        <w:autoSpaceDE w:val="0"/>
        <w:autoSpaceDN w:val="0"/>
        <w:adjustRightInd w:val="0"/>
        <w:spacing w:after="0" w:line="360" w:lineRule="auto"/>
        <w:rPr>
          <w:b/>
          <w:sz w:val="26"/>
          <w:szCs w:val="26"/>
        </w:rPr>
      </w:pPr>
      <w:r>
        <w:rPr>
          <w:b/>
          <w:sz w:val="26"/>
          <w:szCs w:val="26"/>
        </w:rPr>
        <w:t>Exceptions</w:t>
      </w:r>
      <w:r w:rsidR="002F4C93">
        <w:rPr>
          <w:b/>
          <w:sz w:val="26"/>
          <w:szCs w:val="26"/>
        </w:rPr>
        <w:t xml:space="preserve"> and</w:t>
      </w:r>
      <w:r w:rsidR="007326F7">
        <w:rPr>
          <w:b/>
          <w:sz w:val="26"/>
          <w:szCs w:val="26"/>
        </w:rPr>
        <w:t xml:space="preserve"> </w:t>
      </w:r>
      <w:r w:rsidR="003C58D6">
        <w:rPr>
          <w:b/>
          <w:sz w:val="26"/>
          <w:szCs w:val="26"/>
        </w:rPr>
        <w:t>Disposition</w:t>
      </w:r>
    </w:p>
    <w:p w14:paraId="1AB0183B" w14:textId="3F4BF8CF" w:rsidR="002E40A5" w:rsidRDefault="002E40A5" w:rsidP="00203DF7">
      <w:pPr>
        <w:autoSpaceDE w:val="0"/>
        <w:autoSpaceDN w:val="0"/>
        <w:adjustRightInd w:val="0"/>
        <w:spacing w:after="0" w:line="360" w:lineRule="auto"/>
        <w:rPr>
          <w:b/>
          <w:sz w:val="26"/>
          <w:szCs w:val="26"/>
        </w:rPr>
      </w:pPr>
    </w:p>
    <w:p w14:paraId="78914068" w14:textId="4C0C183B" w:rsidR="002E40A5" w:rsidRDefault="00A51899" w:rsidP="00A51899">
      <w:pPr>
        <w:pStyle w:val="Default"/>
        <w:spacing w:line="360" w:lineRule="auto"/>
        <w:ind w:firstLine="1440"/>
        <w:rPr>
          <w:sz w:val="26"/>
          <w:szCs w:val="26"/>
        </w:rPr>
      </w:pPr>
      <w:r>
        <w:rPr>
          <w:sz w:val="26"/>
          <w:szCs w:val="26"/>
        </w:rPr>
        <w:t xml:space="preserve">The Complainant’s </w:t>
      </w:r>
      <w:r w:rsidR="00A90D9D">
        <w:rPr>
          <w:sz w:val="26"/>
          <w:szCs w:val="26"/>
        </w:rPr>
        <w:t>Exceptions are</w:t>
      </w:r>
      <w:r>
        <w:rPr>
          <w:sz w:val="26"/>
          <w:szCs w:val="26"/>
        </w:rPr>
        <w:t xml:space="preserve"> succinct:</w:t>
      </w:r>
    </w:p>
    <w:p w14:paraId="72D24A50" w14:textId="77777777" w:rsidR="00A51899" w:rsidRDefault="00A51899" w:rsidP="00A51899">
      <w:pPr>
        <w:pStyle w:val="Default"/>
        <w:spacing w:line="360" w:lineRule="auto"/>
        <w:ind w:firstLine="1440"/>
        <w:rPr>
          <w:sz w:val="26"/>
          <w:szCs w:val="26"/>
        </w:rPr>
      </w:pPr>
    </w:p>
    <w:p w14:paraId="7760D169" w14:textId="5195A751" w:rsidR="002E40A5" w:rsidRDefault="00A51899" w:rsidP="002E40A5">
      <w:pPr>
        <w:pStyle w:val="Default"/>
        <w:keepNext/>
        <w:keepLines/>
        <w:ind w:left="1440" w:right="1440"/>
        <w:rPr>
          <w:sz w:val="26"/>
          <w:szCs w:val="26"/>
        </w:rPr>
      </w:pPr>
      <w:r>
        <w:rPr>
          <w:sz w:val="26"/>
          <w:szCs w:val="26"/>
        </w:rPr>
        <w:t>My name is Jacque Whaumbush I was scheduled for a conference call on December 1</w:t>
      </w:r>
      <w:r w:rsidRPr="00A51899">
        <w:rPr>
          <w:sz w:val="26"/>
          <w:szCs w:val="26"/>
          <w:vertAlign w:val="superscript"/>
        </w:rPr>
        <w:t>st</w:t>
      </w:r>
      <w:r>
        <w:rPr>
          <w:sz w:val="26"/>
          <w:szCs w:val="26"/>
        </w:rPr>
        <w:t xml:space="preserve"> at 10:00 am.  </w:t>
      </w:r>
      <w:r w:rsidR="002E40A5">
        <w:rPr>
          <w:sz w:val="26"/>
          <w:szCs w:val="26"/>
        </w:rPr>
        <w:t xml:space="preserve">It was unfortunate that I was not able to make the call because of a personal medical emergency with my 94-year [old] mother in law who because of my wife’s passing I have become her care giver.  </w:t>
      </w:r>
    </w:p>
    <w:p w14:paraId="584E9E42" w14:textId="77777777" w:rsidR="002E40A5" w:rsidRDefault="002E40A5" w:rsidP="002E40A5">
      <w:pPr>
        <w:pStyle w:val="Default"/>
        <w:keepNext/>
        <w:keepLines/>
        <w:ind w:left="1440" w:right="1440"/>
        <w:rPr>
          <w:sz w:val="26"/>
          <w:szCs w:val="26"/>
        </w:rPr>
      </w:pPr>
    </w:p>
    <w:p w14:paraId="5B1A2038" w14:textId="5FBF449E" w:rsidR="002E40A5" w:rsidRDefault="002E40A5" w:rsidP="002E40A5">
      <w:pPr>
        <w:pStyle w:val="Default"/>
        <w:keepNext/>
        <w:keepLines/>
        <w:ind w:left="1440" w:right="1440"/>
        <w:rPr>
          <w:sz w:val="26"/>
          <w:szCs w:val="26"/>
        </w:rPr>
      </w:pPr>
      <w:r>
        <w:rPr>
          <w:sz w:val="26"/>
          <w:szCs w:val="26"/>
        </w:rPr>
        <w:t>Judge Johnson if given the opportunity to reschedule a second call I feel that I am and will be prepared to defend my position in this case.</w:t>
      </w:r>
      <w:r w:rsidR="00A51899">
        <w:rPr>
          <w:sz w:val="26"/>
          <w:szCs w:val="26"/>
        </w:rPr>
        <w:t xml:space="preserve">  Thank you for your consideration.</w:t>
      </w:r>
    </w:p>
    <w:p w14:paraId="47B85217" w14:textId="053228DB" w:rsidR="008100A8" w:rsidRDefault="008100A8" w:rsidP="002E40A5">
      <w:pPr>
        <w:pStyle w:val="Default"/>
        <w:keepNext/>
        <w:keepLines/>
        <w:ind w:left="1440" w:right="1440"/>
        <w:rPr>
          <w:sz w:val="26"/>
          <w:szCs w:val="26"/>
        </w:rPr>
      </w:pPr>
    </w:p>
    <w:p w14:paraId="70560DA2" w14:textId="77777777" w:rsidR="008100A8" w:rsidRDefault="008100A8" w:rsidP="002E40A5">
      <w:pPr>
        <w:pStyle w:val="Default"/>
        <w:keepNext/>
        <w:keepLines/>
        <w:ind w:left="1440" w:right="1440"/>
        <w:rPr>
          <w:sz w:val="26"/>
          <w:szCs w:val="26"/>
        </w:rPr>
      </w:pPr>
    </w:p>
    <w:p w14:paraId="43A61B96" w14:textId="2BEA2DEE" w:rsidR="00A51899" w:rsidRDefault="007B3AFD" w:rsidP="00203DF7">
      <w:pPr>
        <w:autoSpaceDE w:val="0"/>
        <w:autoSpaceDN w:val="0"/>
        <w:adjustRightInd w:val="0"/>
        <w:spacing w:after="0" w:line="360" w:lineRule="auto"/>
        <w:rPr>
          <w:sz w:val="26"/>
          <w:szCs w:val="26"/>
        </w:rPr>
      </w:pPr>
      <w:r>
        <w:rPr>
          <w:sz w:val="26"/>
          <w:szCs w:val="26"/>
        </w:rPr>
        <w:t xml:space="preserve">Exc. </w:t>
      </w:r>
      <w:r w:rsidR="00A51899">
        <w:rPr>
          <w:sz w:val="26"/>
          <w:szCs w:val="26"/>
        </w:rPr>
        <w:t>at 1.</w:t>
      </w:r>
    </w:p>
    <w:p w14:paraId="0FF9CA20" w14:textId="4EE81F50" w:rsidR="00A51899" w:rsidRDefault="00A51899" w:rsidP="00203DF7">
      <w:pPr>
        <w:autoSpaceDE w:val="0"/>
        <w:autoSpaceDN w:val="0"/>
        <w:adjustRightInd w:val="0"/>
        <w:spacing w:after="0" w:line="360" w:lineRule="auto"/>
        <w:rPr>
          <w:sz w:val="26"/>
          <w:szCs w:val="26"/>
        </w:rPr>
      </w:pPr>
    </w:p>
    <w:p w14:paraId="3A063075" w14:textId="7878C27B" w:rsidR="00A51899" w:rsidRPr="00A51899" w:rsidRDefault="00A51899" w:rsidP="00A51899">
      <w:pPr>
        <w:autoSpaceDE w:val="0"/>
        <w:autoSpaceDN w:val="0"/>
        <w:adjustRightInd w:val="0"/>
        <w:spacing w:after="0" w:line="360" w:lineRule="auto"/>
        <w:ind w:firstLine="1440"/>
        <w:rPr>
          <w:sz w:val="26"/>
          <w:szCs w:val="26"/>
        </w:rPr>
      </w:pPr>
      <w:r>
        <w:rPr>
          <w:sz w:val="26"/>
          <w:szCs w:val="26"/>
        </w:rPr>
        <w:t>In its</w:t>
      </w:r>
      <w:r w:rsidR="002F4C93">
        <w:rPr>
          <w:sz w:val="26"/>
          <w:szCs w:val="26"/>
        </w:rPr>
        <w:t xml:space="preserve"> </w:t>
      </w:r>
      <w:r w:rsidR="007B3AFD">
        <w:rPr>
          <w:sz w:val="26"/>
          <w:szCs w:val="26"/>
        </w:rPr>
        <w:t>Replies</w:t>
      </w:r>
      <w:r>
        <w:rPr>
          <w:sz w:val="26"/>
          <w:szCs w:val="26"/>
        </w:rPr>
        <w:t>, PECO contends the Complainan</w:t>
      </w:r>
      <w:r w:rsidR="00DE59B2">
        <w:rPr>
          <w:sz w:val="26"/>
          <w:szCs w:val="26"/>
        </w:rPr>
        <w:t>t’s due process rights have been adequately preserved, the Complainant failed to show that his participation in the hearing was not unavoidable by the absence of any proof that he had a medical emergency</w:t>
      </w:r>
      <w:r w:rsidR="000730CE">
        <w:rPr>
          <w:sz w:val="26"/>
          <w:szCs w:val="26"/>
        </w:rPr>
        <w:t>.</w:t>
      </w:r>
      <w:r w:rsidR="00DE59B2">
        <w:rPr>
          <w:sz w:val="26"/>
          <w:szCs w:val="26"/>
        </w:rPr>
        <w:t xml:space="preserve"> </w:t>
      </w:r>
      <w:r w:rsidR="000730CE">
        <w:rPr>
          <w:sz w:val="26"/>
          <w:szCs w:val="26"/>
        </w:rPr>
        <w:t xml:space="preserve"> Additionally, </w:t>
      </w:r>
      <w:r w:rsidR="007B3AFD">
        <w:rPr>
          <w:sz w:val="26"/>
          <w:szCs w:val="26"/>
        </w:rPr>
        <w:t>PECO contend</w:t>
      </w:r>
      <w:r w:rsidR="000730CE">
        <w:rPr>
          <w:sz w:val="26"/>
          <w:szCs w:val="26"/>
        </w:rPr>
        <w:t xml:space="preserve">s that it </w:t>
      </w:r>
      <w:r w:rsidR="00DE59B2">
        <w:rPr>
          <w:sz w:val="26"/>
          <w:szCs w:val="26"/>
        </w:rPr>
        <w:t xml:space="preserve">would suffer prejudice if the matter were reopened based on “having to expend an inordinate amount of its resources to </w:t>
      </w:r>
      <w:r w:rsidR="00DE59B2">
        <w:rPr>
          <w:sz w:val="26"/>
          <w:szCs w:val="26"/>
        </w:rPr>
        <w:lastRenderedPageBreak/>
        <w:t xml:space="preserve">prepare for hearings </w:t>
      </w:r>
      <w:r w:rsidR="00B949E2">
        <w:rPr>
          <w:sz w:val="26"/>
          <w:szCs w:val="26"/>
        </w:rPr>
        <w:t xml:space="preserve">in which the Complainant does not </w:t>
      </w:r>
      <w:r w:rsidR="00034140">
        <w:rPr>
          <w:sz w:val="26"/>
          <w:szCs w:val="26"/>
        </w:rPr>
        <w:t>appear</w:t>
      </w:r>
      <w:r w:rsidR="00DE59B2">
        <w:rPr>
          <w:sz w:val="26"/>
          <w:szCs w:val="26"/>
        </w:rPr>
        <w:t>.”</w:t>
      </w:r>
      <w:r w:rsidR="00D226D4">
        <w:rPr>
          <w:sz w:val="26"/>
          <w:szCs w:val="26"/>
        </w:rPr>
        <w:t xml:space="preserve">  </w:t>
      </w:r>
      <w:r w:rsidR="007B3AFD">
        <w:rPr>
          <w:sz w:val="26"/>
          <w:szCs w:val="26"/>
        </w:rPr>
        <w:t>R. Exc.</w:t>
      </w:r>
      <w:r w:rsidR="00D226D4">
        <w:rPr>
          <w:sz w:val="26"/>
          <w:szCs w:val="26"/>
        </w:rPr>
        <w:t xml:space="preserve"> at 3-4.  </w:t>
      </w:r>
      <w:r w:rsidR="000730CE">
        <w:rPr>
          <w:sz w:val="26"/>
          <w:szCs w:val="26"/>
        </w:rPr>
        <w:t>PECO further asserts that t</w:t>
      </w:r>
      <w:r w:rsidR="00D226D4">
        <w:rPr>
          <w:sz w:val="26"/>
          <w:szCs w:val="26"/>
        </w:rPr>
        <w:t xml:space="preserve">he public would be prejudiced by reopening the matter, by </w:t>
      </w:r>
      <w:r w:rsidR="00755DD5">
        <w:rPr>
          <w:sz w:val="26"/>
          <w:szCs w:val="26"/>
        </w:rPr>
        <w:t xml:space="preserve">“. . . the Complainant’s wasteful use of the PUC’s and utility company’s resources.”  </w:t>
      </w:r>
      <w:r w:rsidR="00755DD5" w:rsidRPr="00755DD5">
        <w:rPr>
          <w:i/>
          <w:sz w:val="26"/>
          <w:szCs w:val="26"/>
        </w:rPr>
        <w:t>Id.</w:t>
      </w:r>
      <w:r w:rsidR="00946E44">
        <w:rPr>
          <w:sz w:val="26"/>
          <w:szCs w:val="26"/>
        </w:rPr>
        <w:t xml:space="preserve"> at 5.  PECO points out that this Complaint is the second formal complaint and scheduled hearing, disputing incorrect billing, </w:t>
      </w:r>
      <w:r w:rsidR="000730CE">
        <w:rPr>
          <w:sz w:val="26"/>
          <w:szCs w:val="26"/>
        </w:rPr>
        <w:t xml:space="preserve">and </w:t>
      </w:r>
      <w:r w:rsidR="00946E44">
        <w:rPr>
          <w:sz w:val="26"/>
          <w:szCs w:val="26"/>
        </w:rPr>
        <w:t>that the Complainant has failed to attend without requesting</w:t>
      </w:r>
      <w:r w:rsidR="00B949E2">
        <w:rPr>
          <w:sz w:val="26"/>
          <w:szCs w:val="26"/>
        </w:rPr>
        <w:t xml:space="preserve"> a continuance.  </w:t>
      </w:r>
      <w:r w:rsidR="00B949E2" w:rsidRPr="00755DD5">
        <w:rPr>
          <w:i/>
          <w:sz w:val="26"/>
          <w:szCs w:val="26"/>
        </w:rPr>
        <w:t>Id.</w:t>
      </w:r>
      <w:r w:rsidR="00B949E2">
        <w:rPr>
          <w:sz w:val="26"/>
          <w:szCs w:val="26"/>
        </w:rPr>
        <w:t xml:space="preserve"> at </w:t>
      </w:r>
      <w:r w:rsidR="00034140">
        <w:rPr>
          <w:sz w:val="26"/>
          <w:szCs w:val="26"/>
        </w:rPr>
        <w:t xml:space="preserve">2, </w:t>
      </w:r>
      <w:r w:rsidR="00B949E2">
        <w:rPr>
          <w:sz w:val="26"/>
          <w:szCs w:val="26"/>
        </w:rPr>
        <w:t>4</w:t>
      </w:r>
      <w:r w:rsidR="00034140">
        <w:rPr>
          <w:sz w:val="26"/>
          <w:szCs w:val="26"/>
        </w:rPr>
        <w:t>, citing Docket No. C-2013-2351152</w:t>
      </w:r>
      <w:r w:rsidR="00B949E2">
        <w:rPr>
          <w:sz w:val="26"/>
          <w:szCs w:val="26"/>
        </w:rPr>
        <w:t xml:space="preserve">.  </w:t>
      </w:r>
    </w:p>
    <w:p w14:paraId="58867C01" w14:textId="561028F5" w:rsidR="007326F7" w:rsidRDefault="007326F7" w:rsidP="00203DF7">
      <w:pPr>
        <w:autoSpaceDE w:val="0"/>
        <w:autoSpaceDN w:val="0"/>
        <w:adjustRightInd w:val="0"/>
        <w:spacing w:after="0" w:line="360" w:lineRule="auto"/>
        <w:rPr>
          <w:iCs/>
          <w:sz w:val="26"/>
          <w:szCs w:val="26"/>
        </w:rPr>
      </w:pPr>
    </w:p>
    <w:p w14:paraId="13B8B339" w14:textId="2883572F" w:rsidR="007D6887" w:rsidRDefault="007D6887" w:rsidP="007D6887">
      <w:pPr>
        <w:overflowPunct w:val="0"/>
        <w:autoSpaceDE w:val="0"/>
        <w:autoSpaceDN w:val="0"/>
        <w:adjustRightInd w:val="0"/>
        <w:spacing w:after="0" w:line="360" w:lineRule="auto"/>
        <w:ind w:firstLine="1440"/>
        <w:textAlignment w:val="baseline"/>
        <w:rPr>
          <w:sz w:val="26"/>
          <w:szCs w:val="26"/>
        </w:rPr>
      </w:pPr>
      <w:r w:rsidRPr="007D6887">
        <w:rPr>
          <w:color w:val="000000" w:themeColor="text1"/>
          <w:sz w:val="26"/>
        </w:rPr>
        <w:t xml:space="preserve">On consideration of the positions of the </w:t>
      </w:r>
      <w:r w:rsidR="008100A8">
        <w:rPr>
          <w:color w:val="000000" w:themeColor="text1"/>
          <w:sz w:val="26"/>
        </w:rPr>
        <w:t>P</w:t>
      </w:r>
      <w:r w:rsidRPr="007D6887">
        <w:rPr>
          <w:color w:val="000000" w:themeColor="text1"/>
          <w:sz w:val="26"/>
        </w:rPr>
        <w:t xml:space="preserve">arties, we note that it is within the </w:t>
      </w:r>
      <w:r w:rsidRPr="007D6887">
        <w:rPr>
          <w:color w:val="000000" w:themeColor="text1"/>
          <w:sz w:val="26"/>
          <w:szCs w:val="26"/>
        </w:rPr>
        <w:t xml:space="preserve">sound discretion of the ALJ to decide whether the Complainant’s failure to appear was unavoidable and whether permitting a hearing after a “no-show” would prejudice the public interest or the interest of the other party.  </w:t>
      </w:r>
      <w:r w:rsidRPr="007D6887">
        <w:rPr>
          <w:i/>
          <w:sz w:val="26"/>
          <w:szCs w:val="26"/>
        </w:rPr>
        <w:t xml:space="preserve">See </w:t>
      </w:r>
      <w:r w:rsidRPr="007D6887">
        <w:rPr>
          <w:sz w:val="26"/>
          <w:szCs w:val="26"/>
        </w:rPr>
        <w:t xml:space="preserve">66 Pa. C.S. § 332(f); </w:t>
      </w:r>
      <w:r w:rsidRPr="007D6887">
        <w:rPr>
          <w:i/>
          <w:sz w:val="26"/>
          <w:szCs w:val="26"/>
        </w:rPr>
        <w:t>see also</w:t>
      </w:r>
      <w:r w:rsidRPr="007D6887">
        <w:rPr>
          <w:sz w:val="26"/>
          <w:szCs w:val="26"/>
        </w:rPr>
        <w:t xml:space="preserve"> 52 Pa. Code § 5.245(a)-(b). </w:t>
      </w:r>
      <w:r w:rsidRPr="007D6887">
        <w:rPr>
          <w:color w:val="000000" w:themeColor="text1"/>
          <w:sz w:val="26"/>
          <w:szCs w:val="26"/>
        </w:rPr>
        <w:t xml:space="preserve"> In the matter before us, the ALJ ruled to dismiss the </w:t>
      </w:r>
      <w:r w:rsidR="00323D36">
        <w:rPr>
          <w:color w:val="000000" w:themeColor="text1"/>
          <w:sz w:val="26"/>
          <w:szCs w:val="26"/>
        </w:rPr>
        <w:t>C</w:t>
      </w:r>
      <w:r w:rsidRPr="007D6887">
        <w:rPr>
          <w:color w:val="000000" w:themeColor="text1"/>
          <w:sz w:val="26"/>
          <w:szCs w:val="26"/>
        </w:rPr>
        <w:t xml:space="preserve">omplaint, </w:t>
      </w:r>
      <w:r w:rsidRPr="007D6887">
        <w:rPr>
          <w:i/>
          <w:color w:val="000000" w:themeColor="text1"/>
          <w:sz w:val="26"/>
          <w:szCs w:val="26"/>
        </w:rPr>
        <w:t>with prejudice</w:t>
      </w:r>
      <w:r w:rsidRPr="007D6887">
        <w:rPr>
          <w:color w:val="000000" w:themeColor="text1"/>
          <w:sz w:val="26"/>
          <w:szCs w:val="26"/>
        </w:rPr>
        <w:t>, finding that</w:t>
      </w:r>
      <w:r w:rsidRPr="007D6887">
        <w:rPr>
          <w:sz w:val="26"/>
          <w:szCs w:val="26"/>
        </w:rPr>
        <w:t xml:space="preserve"> the Complainant had sufficient notice and ample opportunity to appear and be heard in this proceeding</w:t>
      </w:r>
      <w:r w:rsidR="00323D36">
        <w:rPr>
          <w:sz w:val="26"/>
          <w:szCs w:val="26"/>
        </w:rPr>
        <w:t>,</w:t>
      </w:r>
      <w:r w:rsidRPr="007D6887">
        <w:rPr>
          <w:sz w:val="26"/>
          <w:szCs w:val="26"/>
        </w:rPr>
        <w:t xml:space="preserve"> but the Complainant chose not to appear at the telephone hearing.</w:t>
      </w:r>
    </w:p>
    <w:p w14:paraId="2B41695A" w14:textId="236B2F25" w:rsidR="007D6887" w:rsidRDefault="007D6887" w:rsidP="007D6887">
      <w:pPr>
        <w:overflowPunct w:val="0"/>
        <w:autoSpaceDE w:val="0"/>
        <w:autoSpaceDN w:val="0"/>
        <w:adjustRightInd w:val="0"/>
        <w:spacing w:after="0" w:line="360" w:lineRule="auto"/>
        <w:ind w:firstLine="1440"/>
        <w:textAlignment w:val="baseline"/>
        <w:rPr>
          <w:sz w:val="26"/>
          <w:szCs w:val="26"/>
        </w:rPr>
      </w:pPr>
    </w:p>
    <w:p w14:paraId="098E0AAC" w14:textId="77777777" w:rsidR="007D6887" w:rsidRPr="007D6887" w:rsidRDefault="007D6887" w:rsidP="007D6887">
      <w:pPr>
        <w:spacing w:after="0" w:line="360" w:lineRule="auto"/>
        <w:ind w:firstLine="1440"/>
        <w:rPr>
          <w:color w:val="000000" w:themeColor="text1"/>
          <w:sz w:val="26"/>
          <w:szCs w:val="26"/>
        </w:rPr>
      </w:pPr>
      <w:r w:rsidRPr="007D6887">
        <w:rPr>
          <w:color w:val="000000" w:themeColor="text1"/>
          <w:sz w:val="26"/>
          <w:szCs w:val="26"/>
        </w:rPr>
        <w:t xml:space="preserve">From an administrative due process standpoint, the question is whether the Complainant’s failure to appear shall be deemed the Complainant’s waiver of the opportunity to participate in a hearing in this Complaint proceeding, pursuant to 66 Pa. C.S. § 332(f) and 52 Pa. Code § 5.245(a)-(b). </w:t>
      </w:r>
    </w:p>
    <w:p w14:paraId="61FC62C6" w14:textId="0EBDAC53" w:rsidR="007D6887" w:rsidRDefault="007D6887" w:rsidP="007D6887">
      <w:pPr>
        <w:overflowPunct w:val="0"/>
        <w:autoSpaceDE w:val="0"/>
        <w:autoSpaceDN w:val="0"/>
        <w:adjustRightInd w:val="0"/>
        <w:spacing w:after="0" w:line="360" w:lineRule="auto"/>
        <w:ind w:firstLine="1440"/>
        <w:textAlignment w:val="baseline"/>
        <w:rPr>
          <w:sz w:val="26"/>
          <w:szCs w:val="26"/>
        </w:rPr>
      </w:pPr>
    </w:p>
    <w:p w14:paraId="106DE0F1" w14:textId="045E48A9" w:rsidR="002B185B" w:rsidRPr="007D6887" w:rsidRDefault="007D6887" w:rsidP="007D6887">
      <w:pPr>
        <w:spacing w:after="0" w:line="360" w:lineRule="auto"/>
        <w:ind w:firstLine="1440"/>
        <w:rPr>
          <w:sz w:val="26"/>
          <w:szCs w:val="26"/>
        </w:rPr>
      </w:pPr>
      <w:r w:rsidRPr="007D6887">
        <w:rPr>
          <w:color w:val="000000" w:themeColor="text1"/>
          <w:sz w:val="26"/>
          <w:szCs w:val="26"/>
        </w:rPr>
        <w:t>To begin our analysis, we agree with the ALJ that b</w:t>
      </w:r>
      <w:r w:rsidRPr="007D6887">
        <w:rPr>
          <w:sz w:val="26"/>
          <w:szCs w:val="26"/>
        </w:rPr>
        <w:t xml:space="preserve">ecause both the </w:t>
      </w:r>
      <w:r>
        <w:rPr>
          <w:sz w:val="26"/>
          <w:szCs w:val="26"/>
        </w:rPr>
        <w:t xml:space="preserve">notice of the Initial Call-In Telephonic Hearing </w:t>
      </w:r>
      <w:r w:rsidRPr="007D6887">
        <w:rPr>
          <w:sz w:val="26"/>
          <w:szCs w:val="26"/>
        </w:rPr>
        <w:t>and the Prehearing Order had been sent to the Complainant’s mailing address listed on the Complaint and had not been returned by the post office as undeliverable, we are to presume that the Hearing Notice and the Prehearing Order were received by the Complainant.  N</w:t>
      </w:r>
      <w:r>
        <w:rPr>
          <w:sz w:val="26"/>
          <w:szCs w:val="26"/>
        </w:rPr>
        <w:t xml:space="preserve">o evidence was submitted by the Complainant </w:t>
      </w:r>
      <w:r w:rsidRPr="007D6887">
        <w:rPr>
          <w:sz w:val="26"/>
          <w:szCs w:val="26"/>
        </w:rPr>
        <w:t>to overcome this presumption.  Therefore, we agree with the ALJ that the Complainant received sufficient notice of the hearing.</w:t>
      </w:r>
    </w:p>
    <w:p w14:paraId="6ED12CB6" w14:textId="77777777" w:rsidR="00A767E3" w:rsidRPr="004F1AA1" w:rsidRDefault="00A767E3" w:rsidP="00203DF7">
      <w:pPr>
        <w:spacing w:after="0" w:line="360" w:lineRule="auto"/>
        <w:ind w:firstLine="1440"/>
        <w:rPr>
          <w:rFonts w:eastAsia="Times New Roman"/>
          <w:sz w:val="26"/>
          <w:szCs w:val="26"/>
        </w:rPr>
      </w:pPr>
    </w:p>
    <w:p w14:paraId="401FDA45" w14:textId="6110375D" w:rsidR="00823014" w:rsidRDefault="004C102D" w:rsidP="00920EB3">
      <w:pPr>
        <w:spacing w:after="0" w:line="360" w:lineRule="auto"/>
        <w:ind w:firstLine="1440"/>
        <w:rPr>
          <w:sz w:val="26"/>
          <w:szCs w:val="26"/>
        </w:rPr>
      </w:pPr>
      <w:r w:rsidRPr="004C102D">
        <w:rPr>
          <w:color w:val="000000" w:themeColor="text1"/>
          <w:sz w:val="26"/>
          <w:szCs w:val="26"/>
        </w:rPr>
        <w:t>After convening the hearing at the scheduled date and time, it appears the ALJ took additional reasonable steps to ensure a meaningful opportunity for the</w:t>
      </w:r>
      <w:r w:rsidR="00920EB3">
        <w:rPr>
          <w:color w:val="000000" w:themeColor="text1"/>
          <w:sz w:val="26"/>
          <w:szCs w:val="26"/>
        </w:rPr>
        <w:t xml:space="preserve"> Complainant to call into the telephonic hearing</w:t>
      </w:r>
      <w:r w:rsidRPr="004C102D">
        <w:rPr>
          <w:color w:val="000000" w:themeColor="text1"/>
          <w:sz w:val="26"/>
          <w:szCs w:val="26"/>
        </w:rPr>
        <w:t xml:space="preserve">.  Specifically, the ALJ </w:t>
      </w:r>
      <w:r w:rsidR="00920EB3">
        <w:rPr>
          <w:color w:val="000000" w:themeColor="text1"/>
          <w:sz w:val="26"/>
          <w:szCs w:val="26"/>
        </w:rPr>
        <w:t>recessed the hearing for approximately twenty-two minutes to permit additional time for the Complainant to appear or contact the OALJ, during which time the ALJ verified with support staff that the Complainant had not contacted the OALJ.</w:t>
      </w:r>
      <w:r w:rsidR="00920EB3">
        <w:rPr>
          <w:sz w:val="26"/>
          <w:szCs w:val="26"/>
        </w:rPr>
        <w:t xml:space="preserve">  </w:t>
      </w:r>
      <w:r w:rsidRPr="004C102D">
        <w:rPr>
          <w:sz w:val="26"/>
          <w:szCs w:val="26"/>
        </w:rPr>
        <w:t xml:space="preserve">Additionally, the ALJ verified that his voice mail and e-mail contained no messages from the Complainant indicating the Complainant’s status.  </w:t>
      </w:r>
      <w:r w:rsidR="00DD10BF">
        <w:rPr>
          <w:sz w:val="26"/>
          <w:szCs w:val="26"/>
        </w:rPr>
        <w:t>After these measures were taken, t</w:t>
      </w:r>
      <w:r w:rsidR="007B3AFD">
        <w:rPr>
          <w:sz w:val="26"/>
          <w:szCs w:val="26"/>
        </w:rPr>
        <w:t>he ALJ concluded the hearing.</w:t>
      </w:r>
    </w:p>
    <w:p w14:paraId="5C718534" w14:textId="77777777" w:rsidR="00823014" w:rsidRDefault="00823014" w:rsidP="00920EB3">
      <w:pPr>
        <w:spacing w:after="0" w:line="360" w:lineRule="auto"/>
        <w:ind w:firstLine="1440"/>
        <w:rPr>
          <w:sz w:val="26"/>
          <w:szCs w:val="26"/>
        </w:rPr>
      </w:pPr>
    </w:p>
    <w:p w14:paraId="227871EF" w14:textId="0292CD88" w:rsidR="00787C36" w:rsidRDefault="00823014" w:rsidP="00823014">
      <w:pPr>
        <w:spacing w:after="0" w:line="360" w:lineRule="auto"/>
        <w:ind w:firstLine="1440"/>
        <w:rPr>
          <w:sz w:val="26"/>
          <w:szCs w:val="26"/>
        </w:rPr>
      </w:pPr>
      <w:r>
        <w:rPr>
          <w:sz w:val="26"/>
          <w:szCs w:val="26"/>
        </w:rPr>
        <w:t>Ap</w:t>
      </w:r>
      <w:r w:rsidR="007B3AFD">
        <w:rPr>
          <w:sz w:val="26"/>
          <w:szCs w:val="26"/>
        </w:rPr>
        <w:t>proximately one</w:t>
      </w:r>
      <w:r>
        <w:rPr>
          <w:sz w:val="26"/>
          <w:szCs w:val="26"/>
        </w:rPr>
        <w:t xml:space="preserve"> hour after the hearing concluded, t</w:t>
      </w:r>
      <w:r w:rsidR="004C102D" w:rsidRPr="004C102D">
        <w:rPr>
          <w:sz w:val="26"/>
          <w:szCs w:val="26"/>
        </w:rPr>
        <w:t xml:space="preserve">he </w:t>
      </w:r>
      <w:r w:rsidR="007B3AFD">
        <w:rPr>
          <w:sz w:val="26"/>
          <w:szCs w:val="26"/>
        </w:rPr>
        <w:t xml:space="preserve">Pittsburgh </w:t>
      </w:r>
      <w:r>
        <w:rPr>
          <w:sz w:val="26"/>
          <w:szCs w:val="26"/>
        </w:rPr>
        <w:t>O</w:t>
      </w:r>
      <w:r w:rsidR="004C102D" w:rsidRPr="004C102D">
        <w:rPr>
          <w:sz w:val="26"/>
          <w:szCs w:val="26"/>
        </w:rPr>
        <w:t xml:space="preserve">ALJ </w:t>
      </w:r>
      <w:r>
        <w:rPr>
          <w:sz w:val="26"/>
          <w:szCs w:val="26"/>
        </w:rPr>
        <w:t>received a phone call from the Complainant</w:t>
      </w:r>
      <w:r w:rsidR="007B3AFD">
        <w:rPr>
          <w:sz w:val="26"/>
          <w:szCs w:val="26"/>
        </w:rPr>
        <w:t xml:space="preserve"> explaining his failure to appear at the hearing.  </w:t>
      </w:r>
      <w:r>
        <w:rPr>
          <w:spacing w:val="-3"/>
          <w:sz w:val="26"/>
          <w:szCs w:val="26"/>
        </w:rPr>
        <w:t>We note the inconsistency in the Complainant’s stated reasons for failing to appear for the hearing</w:t>
      </w:r>
      <w:r w:rsidR="007B3AFD">
        <w:rPr>
          <w:spacing w:val="-3"/>
          <w:sz w:val="26"/>
          <w:szCs w:val="26"/>
        </w:rPr>
        <w:t xml:space="preserve"> between what he orally stated to the Pittsburgh OALJ</w:t>
      </w:r>
      <w:r w:rsidR="00227C6C">
        <w:rPr>
          <w:spacing w:val="-3"/>
          <w:sz w:val="26"/>
          <w:szCs w:val="26"/>
        </w:rPr>
        <w:t xml:space="preserve"> when he called</w:t>
      </w:r>
      <w:r w:rsidR="007B3AFD">
        <w:rPr>
          <w:spacing w:val="-3"/>
          <w:sz w:val="26"/>
          <w:szCs w:val="26"/>
        </w:rPr>
        <w:t xml:space="preserve"> and what he stated in his written Exceptions</w:t>
      </w:r>
      <w:r>
        <w:rPr>
          <w:spacing w:val="-3"/>
          <w:sz w:val="26"/>
          <w:szCs w:val="26"/>
        </w:rPr>
        <w:t>.  When he</w:t>
      </w:r>
      <w:r w:rsidR="00787C36">
        <w:rPr>
          <w:sz w:val="26"/>
          <w:szCs w:val="26"/>
        </w:rPr>
        <w:t xml:space="preserve"> called into the Pittsburgh OALJ</w:t>
      </w:r>
      <w:r>
        <w:rPr>
          <w:sz w:val="26"/>
          <w:szCs w:val="26"/>
        </w:rPr>
        <w:t xml:space="preserve">, the Complainant </w:t>
      </w:r>
      <w:r w:rsidR="00787C36">
        <w:rPr>
          <w:sz w:val="26"/>
          <w:szCs w:val="26"/>
        </w:rPr>
        <w:t xml:space="preserve">explained that his failure to participate in the hearing was due to his lack of heat and that his condition at the time of the hearing, resulting from the low temperature, prevented him from taking part in the proceeding.  </w:t>
      </w:r>
      <w:r w:rsidR="007B3AFD">
        <w:rPr>
          <w:sz w:val="26"/>
          <w:szCs w:val="26"/>
        </w:rPr>
        <w:t xml:space="preserve">In his Exceptions, </w:t>
      </w:r>
      <w:r w:rsidR="00BE01E2">
        <w:rPr>
          <w:sz w:val="26"/>
          <w:szCs w:val="26"/>
        </w:rPr>
        <w:t xml:space="preserve">however, </w:t>
      </w:r>
      <w:r w:rsidR="0071269B">
        <w:rPr>
          <w:sz w:val="26"/>
          <w:szCs w:val="26"/>
        </w:rPr>
        <w:t>t</w:t>
      </w:r>
      <w:r w:rsidR="00BE01E2">
        <w:rPr>
          <w:sz w:val="26"/>
          <w:szCs w:val="26"/>
        </w:rPr>
        <w:t>he Complainant</w:t>
      </w:r>
      <w:r w:rsidR="007B3AFD">
        <w:rPr>
          <w:sz w:val="26"/>
          <w:szCs w:val="26"/>
        </w:rPr>
        <w:t xml:space="preserve"> states</w:t>
      </w:r>
      <w:r w:rsidR="00787C36">
        <w:rPr>
          <w:sz w:val="26"/>
          <w:szCs w:val="26"/>
        </w:rPr>
        <w:t xml:space="preserve"> a</w:t>
      </w:r>
      <w:r w:rsidR="007B3AFD">
        <w:rPr>
          <w:sz w:val="26"/>
          <w:szCs w:val="26"/>
        </w:rPr>
        <w:t xml:space="preserve"> different reason </w:t>
      </w:r>
      <w:r w:rsidR="00787C36">
        <w:rPr>
          <w:sz w:val="26"/>
          <w:szCs w:val="26"/>
        </w:rPr>
        <w:t>for his absence, indicating that his mother-in-law was experiencing a medical emergency on the date and time of the hearing.</w:t>
      </w:r>
    </w:p>
    <w:p w14:paraId="2F3B3A68" w14:textId="1D36C620" w:rsidR="00035660" w:rsidRDefault="00035660" w:rsidP="00823014">
      <w:pPr>
        <w:spacing w:after="0" w:line="360" w:lineRule="auto"/>
        <w:ind w:firstLine="1440"/>
        <w:rPr>
          <w:sz w:val="26"/>
          <w:szCs w:val="26"/>
        </w:rPr>
      </w:pPr>
    </w:p>
    <w:p w14:paraId="595B7784" w14:textId="18A1268B" w:rsidR="00035660" w:rsidRPr="00035660" w:rsidRDefault="00035660" w:rsidP="00035660">
      <w:pPr>
        <w:overflowPunct w:val="0"/>
        <w:autoSpaceDE w:val="0"/>
        <w:autoSpaceDN w:val="0"/>
        <w:adjustRightInd w:val="0"/>
        <w:spacing w:line="360" w:lineRule="auto"/>
        <w:ind w:firstLine="1440"/>
        <w:textAlignment w:val="baseline"/>
        <w:rPr>
          <w:sz w:val="26"/>
          <w:szCs w:val="26"/>
        </w:rPr>
      </w:pPr>
      <w:r>
        <w:rPr>
          <w:sz w:val="26"/>
          <w:szCs w:val="26"/>
        </w:rPr>
        <w:t xml:space="preserve">At the exceptions stage of a proceeding before the Commission, the record is closed, and the party filing exceptions is charged with not only challenging the findings and conclusions of the Initial Decision but with providing a compelling explanation of why he failed to raise his excuse in a timely fashion so that the ALJ could determine whether to reschedule his hearing.  </w:t>
      </w:r>
    </w:p>
    <w:p w14:paraId="5671F0D5" w14:textId="008BA476" w:rsidR="00787C36" w:rsidRDefault="00787C36" w:rsidP="00787C36">
      <w:pPr>
        <w:spacing w:after="0" w:line="360" w:lineRule="auto"/>
        <w:ind w:firstLine="1440"/>
        <w:rPr>
          <w:sz w:val="26"/>
          <w:szCs w:val="26"/>
        </w:rPr>
      </w:pPr>
    </w:p>
    <w:p w14:paraId="04B689E5" w14:textId="54E391C7" w:rsidR="00DD6001" w:rsidRPr="00595A19" w:rsidRDefault="005928B6" w:rsidP="00595A19">
      <w:pPr>
        <w:spacing w:after="0" w:line="360" w:lineRule="auto"/>
        <w:ind w:firstLine="1440"/>
        <w:rPr>
          <w:sz w:val="26"/>
          <w:szCs w:val="26"/>
        </w:rPr>
      </w:pPr>
      <w:r>
        <w:rPr>
          <w:spacing w:val="-3"/>
          <w:sz w:val="26"/>
          <w:szCs w:val="26"/>
        </w:rPr>
        <w:t xml:space="preserve">While a medical emergency, concerning </w:t>
      </w:r>
      <w:r w:rsidR="00595A19">
        <w:rPr>
          <w:spacing w:val="-3"/>
          <w:sz w:val="26"/>
          <w:szCs w:val="26"/>
        </w:rPr>
        <w:t xml:space="preserve">a close family member, </w:t>
      </w:r>
      <w:r>
        <w:rPr>
          <w:spacing w:val="-3"/>
          <w:sz w:val="26"/>
          <w:szCs w:val="26"/>
        </w:rPr>
        <w:t xml:space="preserve">may be considered an “unavoidable” circumstance and a valid excuse for failing to appear at the hearing, the Complainant </w:t>
      </w:r>
      <w:r w:rsidR="00035660">
        <w:rPr>
          <w:spacing w:val="-3"/>
          <w:sz w:val="26"/>
          <w:szCs w:val="26"/>
        </w:rPr>
        <w:t>did not offer this reason to the O</w:t>
      </w:r>
      <w:r>
        <w:rPr>
          <w:spacing w:val="-3"/>
          <w:sz w:val="26"/>
          <w:szCs w:val="26"/>
        </w:rPr>
        <w:t>ALJ</w:t>
      </w:r>
      <w:r w:rsidR="00BE01E2">
        <w:rPr>
          <w:spacing w:val="-3"/>
          <w:sz w:val="26"/>
          <w:szCs w:val="26"/>
        </w:rPr>
        <w:t xml:space="preserve"> when he called the Pittsburgh OALJ on December 1, 2017</w:t>
      </w:r>
      <w:r w:rsidR="00035660">
        <w:rPr>
          <w:spacing w:val="-3"/>
          <w:sz w:val="26"/>
          <w:szCs w:val="26"/>
        </w:rPr>
        <w:t>.  Rather,</w:t>
      </w:r>
      <w:r w:rsidR="00595A19">
        <w:rPr>
          <w:spacing w:val="-3"/>
          <w:sz w:val="26"/>
          <w:szCs w:val="26"/>
        </w:rPr>
        <w:t xml:space="preserve"> </w:t>
      </w:r>
      <w:r w:rsidR="00035660">
        <w:rPr>
          <w:spacing w:val="-3"/>
          <w:sz w:val="26"/>
          <w:szCs w:val="26"/>
        </w:rPr>
        <w:t xml:space="preserve">he noted </w:t>
      </w:r>
      <w:r>
        <w:rPr>
          <w:spacing w:val="-3"/>
          <w:sz w:val="26"/>
          <w:szCs w:val="26"/>
        </w:rPr>
        <w:t xml:space="preserve">his failure to participate in the hearing </w:t>
      </w:r>
      <w:r w:rsidR="00035660">
        <w:rPr>
          <w:spacing w:val="-3"/>
          <w:sz w:val="26"/>
          <w:szCs w:val="26"/>
        </w:rPr>
        <w:t xml:space="preserve">was </w:t>
      </w:r>
      <w:r>
        <w:rPr>
          <w:spacing w:val="-3"/>
          <w:sz w:val="26"/>
          <w:szCs w:val="26"/>
        </w:rPr>
        <w:t xml:space="preserve">due to his lack of heat.  </w:t>
      </w:r>
      <w:r w:rsidR="00035660">
        <w:rPr>
          <w:spacing w:val="-3"/>
          <w:sz w:val="26"/>
          <w:szCs w:val="26"/>
        </w:rPr>
        <w:t xml:space="preserve">The ALJ concluded that such reason was not a sufficient excuse to warrant a rescheduling of a hearing.  </w:t>
      </w:r>
      <w:r w:rsidR="00035660">
        <w:rPr>
          <w:sz w:val="26"/>
          <w:szCs w:val="26"/>
        </w:rPr>
        <w:t>In this situation, the Complainant did not present any reason in his Exceptions why he failed to explain his family situation to the OALJ when he c</w:t>
      </w:r>
      <w:r w:rsidR="00BE01E2">
        <w:rPr>
          <w:sz w:val="26"/>
          <w:szCs w:val="26"/>
        </w:rPr>
        <w:t xml:space="preserve">alled </w:t>
      </w:r>
      <w:r w:rsidR="00035660">
        <w:rPr>
          <w:sz w:val="26"/>
          <w:szCs w:val="26"/>
        </w:rPr>
        <w:t xml:space="preserve">one hour after the hearing concluded.  Accordingly, </w:t>
      </w:r>
      <w:r w:rsidR="00BE01E2">
        <w:rPr>
          <w:sz w:val="26"/>
          <w:szCs w:val="26"/>
        </w:rPr>
        <w:t xml:space="preserve">based on these circumstances, we are compelled to </w:t>
      </w:r>
      <w:r w:rsidR="00035660">
        <w:rPr>
          <w:sz w:val="26"/>
          <w:szCs w:val="26"/>
        </w:rPr>
        <w:t xml:space="preserve">affirm the Initial Decision and dismiss </w:t>
      </w:r>
      <w:r w:rsidR="00035660" w:rsidRPr="00B52E2C">
        <w:rPr>
          <w:i/>
          <w:sz w:val="26"/>
          <w:szCs w:val="26"/>
        </w:rPr>
        <w:t>with prejudice</w:t>
      </w:r>
      <w:r w:rsidR="00035660">
        <w:rPr>
          <w:sz w:val="26"/>
          <w:szCs w:val="26"/>
        </w:rPr>
        <w:t xml:space="preserve"> the Complaint.  A dismissal </w:t>
      </w:r>
      <w:r w:rsidR="00035660" w:rsidRPr="00086E47">
        <w:rPr>
          <w:i/>
          <w:sz w:val="26"/>
          <w:szCs w:val="26"/>
        </w:rPr>
        <w:t>with prejudice</w:t>
      </w:r>
      <w:r w:rsidR="00035660">
        <w:rPr>
          <w:sz w:val="26"/>
          <w:szCs w:val="26"/>
        </w:rPr>
        <w:t xml:space="preserve"> means that the Complainant is barred from filing another complaint with the Commission raising the same issues or claims as raised in the dismissed complaint.</w:t>
      </w:r>
    </w:p>
    <w:p w14:paraId="1EF39087" w14:textId="08CDE36A" w:rsidR="00003318" w:rsidRPr="00D409E4" w:rsidRDefault="00003318" w:rsidP="00203DF7">
      <w:pPr>
        <w:autoSpaceDE w:val="0"/>
        <w:autoSpaceDN w:val="0"/>
        <w:adjustRightInd w:val="0"/>
        <w:spacing w:after="0" w:line="360" w:lineRule="auto"/>
        <w:rPr>
          <w:iCs/>
          <w:sz w:val="26"/>
          <w:szCs w:val="26"/>
        </w:rPr>
      </w:pPr>
    </w:p>
    <w:p w14:paraId="082DC060" w14:textId="77777777" w:rsidR="00B776E7" w:rsidRDefault="00B776E7" w:rsidP="0056063F">
      <w:pPr>
        <w:autoSpaceDE w:val="0"/>
        <w:autoSpaceDN w:val="0"/>
        <w:adjustRightInd w:val="0"/>
        <w:spacing w:after="0" w:line="360" w:lineRule="auto"/>
        <w:jc w:val="center"/>
        <w:rPr>
          <w:sz w:val="26"/>
          <w:szCs w:val="26"/>
        </w:rPr>
      </w:pPr>
      <w:r>
        <w:rPr>
          <w:b/>
          <w:sz w:val="26"/>
          <w:szCs w:val="26"/>
        </w:rPr>
        <w:t>Conclusion</w:t>
      </w:r>
    </w:p>
    <w:p w14:paraId="5E39DC45" w14:textId="77777777" w:rsidR="00B776E7" w:rsidRDefault="00B776E7" w:rsidP="00203DF7">
      <w:pPr>
        <w:autoSpaceDE w:val="0"/>
        <w:autoSpaceDN w:val="0"/>
        <w:adjustRightInd w:val="0"/>
        <w:spacing w:after="0" w:line="360" w:lineRule="auto"/>
        <w:rPr>
          <w:sz w:val="26"/>
          <w:szCs w:val="26"/>
        </w:rPr>
      </w:pPr>
    </w:p>
    <w:p w14:paraId="6CC42226" w14:textId="2B62C44B" w:rsidR="00B776E7" w:rsidRDefault="00511DE8" w:rsidP="0056063F">
      <w:pPr>
        <w:autoSpaceDE w:val="0"/>
        <w:autoSpaceDN w:val="0"/>
        <w:adjustRightInd w:val="0"/>
        <w:spacing w:after="0" w:line="360" w:lineRule="auto"/>
        <w:ind w:firstLine="1440"/>
        <w:rPr>
          <w:sz w:val="26"/>
          <w:szCs w:val="26"/>
        </w:rPr>
      </w:pPr>
      <w:r>
        <w:rPr>
          <w:sz w:val="26"/>
          <w:szCs w:val="26"/>
        </w:rPr>
        <w:t xml:space="preserve">For the reasons discussed herein we shall deny the Complainant’s </w:t>
      </w:r>
      <w:r w:rsidR="00BE01E2">
        <w:rPr>
          <w:sz w:val="26"/>
          <w:szCs w:val="26"/>
        </w:rPr>
        <w:t xml:space="preserve">Exceptions, </w:t>
      </w:r>
      <w:r>
        <w:rPr>
          <w:sz w:val="26"/>
          <w:szCs w:val="26"/>
        </w:rPr>
        <w:t>adopt the ALJ’s Initial Decision</w:t>
      </w:r>
      <w:r w:rsidR="00BE01E2">
        <w:rPr>
          <w:sz w:val="26"/>
          <w:szCs w:val="26"/>
        </w:rPr>
        <w:t xml:space="preserve"> and dismiss the Complaint </w:t>
      </w:r>
      <w:r w:rsidR="00BE01E2" w:rsidRPr="00595A19">
        <w:rPr>
          <w:i/>
          <w:sz w:val="26"/>
          <w:szCs w:val="26"/>
        </w:rPr>
        <w:t>with prejudice</w:t>
      </w:r>
      <w:r w:rsidR="00BE01E2">
        <w:rPr>
          <w:sz w:val="26"/>
          <w:szCs w:val="26"/>
        </w:rPr>
        <w:t>,</w:t>
      </w:r>
      <w:r>
        <w:rPr>
          <w:sz w:val="26"/>
          <w:szCs w:val="26"/>
        </w:rPr>
        <w:t xml:space="preserve"> </w:t>
      </w:r>
      <w:r w:rsidR="00B776E7">
        <w:rPr>
          <w:sz w:val="26"/>
          <w:szCs w:val="26"/>
        </w:rPr>
        <w:t xml:space="preserve">consistent with this Opinion and Order; </w:t>
      </w:r>
      <w:r w:rsidR="00B776E7">
        <w:rPr>
          <w:b/>
          <w:sz w:val="26"/>
          <w:szCs w:val="26"/>
        </w:rPr>
        <w:t>THEREFORE</w:t>
      </w:r>
      <w:r w:rsidR="00B776E7">
        <w:rPr>
          <w:sz w:val="26"/>
          <w:szCs w:val="26"/>
        </w:rPr>
        <w:t>,</w:t>
      </w:r>
    </w:p>
    <w:p w14:paraId="3B5EF8E7" w14:textId="77777777" w:rsidR="00B776E7" w:rsidRDefault="00B776E7" w:rsidP="00203DF7">
      <w:pPr>
        <w:autoSpaceDE w:val="0"/>
        <w:autoSpaceDN w:val="0"/>
        <w:adjustRightInd w:val="0"/>
        <w:spacing w:after="0" w:line="360" w:lineRule="auto"/>
        <w:rPr>
          <w:sz w:val="26"/>
          <w:szCs w:val="26"/>
        </w:rPr>
      </w:pPr>
    </w:p>
    <w:p w14:paraId="457F7B60" w14:textId="0B670CEA" w:rsidR="00B776E7" w:rsidRDefault="00B776E7" w:rsidP="00203DF7">
      <w:pPr>
        <w:keepNext/>
        <w:keepLines/>
        <w:spacing w:after="0" w:line="360" w:lineRule="auto"/>
        <w:rPr>
          <w:b/>
          <w:sz w:val="26"/>
          <w:szCs w:val="26"/>
        </w:rPr>
      </w:pPr>
      <w:r>
        <w:rPr>
          <w:sz w:val="26"/>
          <w:szCs w:val="26"/>
        </w:rPr>
        <w:tab/>
      </w:r>
      <w:r w:rsidR="0056063F">
        <w:rPr>
          <w:sz w:val="26"/>
          <w:szCs w:val="26"/>
        </w:rPr>
        <w:tab/>
      </w:r>
      <w:r w:rsidRPr="000D6043">
        <w:rPr>
          <w:b/>
          <w:sz w:val="26"/>
          <w:szCs w:val="26"/>
        </w:rPr>
        <w:t>IT IS ORDERED:</w:t>
      </w:r>
    </w:p>
    <w:p w14:paraId="46ACFA53" w14:textId="77777777" w:rsidR="00B776E7" w:rsidRDefault="00B776E7" w:rsidP="00203DF7">
      <w:pPr>
        <w:keepNext/>
        <w:keepLines/>
        <w:spacing w:after="0" w:line="360" w:lineRule="auto"/>
        <w:rPr>
          <w:b/>
          <w:sz w:val="26"/>
          <w:szCs w:val="26"/>
        </w:rPr>
      </w:pPr>
    </w:p>
    <w:p w14:paraId="750C23EE" w14:textId="1ADD50AF" w:rsidR="00B776E7" w:rsidRDefault="00B776E7" w:rsidP="00203DF7">
      <w:pPr>
        <w:spacing w:after="0" w:line="360" w:lineRule="auto"/>
        <w:rPr>
          <w:sz w:val="26"/>
          <w:szCs w:val="26"/>
        </w:rPr>
      </w:pPr>
      <w:r>
        <w:rPr>
          <w:b/>
          <w:sz w:val="26"/>
          <w:szCs w:val="26"/>
        </w:rPr>
        <w:tab/>
      </w:r>
      <w:r w:rsidR="0056063F">
        <w:rPr>
          <w:b/>
          <w:sz w:val="26"/>
          <w:szCs w:val="26"/>
        </w:rPr>
        <w:tab/>
      </w:r>
      <w:r>
        <w:rPr>
          <w:sz w:val="26"/>
          <w:szCs w:val="26"/>
        </w:rPr>
        <w:t>1.</w:t>
      </w:r>
      <w:r>
        <w:rPr>
          <w:sz w:val="26"/>
          <w:szCs w:val="26"/>
        </w:rPr>
        <w:tab/>
        <w:t xml:space="preserve">That the </w:t>
      </w:r>
      <w:r w:rsidR="00035660">
        <w:rPr>
          <w:sz w:val="26"/>
          <w:szCs w:val="26"/>
        </w:rPr>
        <w:t>Exceptions</w:t>
      </w:r>
      <w:r w:rsidR="00AC03EB">
        <w:rPr>
          <w:sz w:val="26"/>
          <w:szCs w:val="26"/>
        </w:rPr>
        <w:t xml:space="preserve"> filed by Jacque Whaumbu</w:t>
      </w:r>
      <w:r w:rsidR="00511DE8">
        <w:rPr>
          <w:sz w:val="26"/>
          <w:szCs w:val="26"/>
        </w:rPr>
        <w:t xml:space="preserve">sh on December 14, 2017, </w:t>
      </w:r>
      <w:r w:rsidR="00035660">
        <w:rPr>
          <w:sz w:val="26"/>
          <w:szCs w:val="26"/>
        </w:rPr>
        <w:t xml:space="preserve">are </w:t>
      </w:r>
      <w:r w:rsidR="00511DE8">
        <w:rPr>
          <w:sz w:val="26"/>
          <w:szCs w:val="26"/>
        </w:rPr>
        <w:t>denied</w:t>
      </w:r>
    </w:p>
    <w:p w14:paraId="6DCB633C" w14:textId="77777777" w:rsidR="00B776E7" w:rsidRDefault="00B776E7" w:rsidP="00203DF7">
      <w:pPr>
        <w:spacing w:after="0" w:line="360" w:lineRule="auto"/>
        <w:rPr>
          <w:sz w:val="26"/>
          <w:szCs w:val="26"/>
        </w:rPr>
      </w:pPr>
    </w:p>
    <w:p w14:paraId="2EAAE5B7" w14:textId="52299AA7" w:rsidR="00B776E7" w:rsidRDefault="00B776E7" w:rsidP="00203DF7">
      <w:pPr>
        <w:spacing w:after="0" w:line="360" w:lineRule="auto"/>
        <w:ind w:firstLine="1440"/>
        <w:rPr>
          <w:sz w:val="26"/>
          <w:szCs w:val="26"/>
        </w:rPr>
      </w:pPr>
      <w:r>
        <w:rPr>
          <w:sz w:val="26"/>
          <w:szCs w:val="26"/>
        </w:rPr>
        <w:t>2.</w:t>
      </w:r>
      <w:r>
        <w:rPr>
          <w:sz w:val="26"/>
          <w:szCs w:val="26"/>
        </w:rPr>
        <w:tab/>
        <w:t xml:space="preserve">That the Initial Decision of Administrative Law Judge </w:t>
      </w:r>
      <w:r w:rsidR="00511DE8">
        <w:rPr>
          <w:sz w:val="26"/>
          <w:szCs w:val="26"/>
        </w:rPr>
        <w:t>Conrad</w:t>
      </w:r>
      <w:r w:rsidR="00740CE3">
        <w:rPr>
          <w:sz w:val="26"/>
          <w:szCs w:val="26"/>
        </w:rPr>
        <w:t> </w:t>
      </w:r>
      <w:r w:rsidR="00511DE8">
        <w:rPr>
          <w:sz w:val="26"/>
          <w:szCs w:val="26"/>
        </w:rPr>
        <w:t>A.</w:t>
      </w:r>
      <w:r w:rsidR="00740CE3">
        <w:rPr>
          <w:sz w:val="26"/>
          <w:szCs w:val="26"/>
        </w:rPr>
        <w:t> </w:t>
      </w:r>
      <w:r w:rsidR="00511DE8">
        <w:rPr>
          <w:sz w:val="26"/>
          <w:szCs w:val="26"/>
        </w:rPr>
        <w:t>Johnson</w:t>
      </w:r>
      <w:r>
        <w:rPr>
          <w:sz w:val="26"/>
          <w:szCs w:val="26"/>
        </w:rPr>
        <w:t>, issued on</w:t>
      </w:r>
      <w:r w:rsidR="000A2650">
        <w:rPr>
          <w:sz w:val="26"/>
          <w:szCs w:val="26"/>
        </w:rPr>
        <w:t xml:space="preserve"> </w:t>
      </w:r>
      <w:r w:rsidR="00511DE8">
        <w:rPr>
          <w:sz w:val="26"/>
          <w:szCs w:val="26"/>
        </w:rPr>
        <w:t>December 12</w:t>
      </w:r>
      <w:r w:rsidR="00D86BAE">
        <w:rPr>
          <w:sz w:val="26"/>
          <w:szCs w:val="26"/>
        </w:rPr>
        <w:t>, 2017</w:t>
      </w:r>
      <w:r>
        <w:rPr>
          <w:sz w:val="26"/>
          <w:szCs w:val="26"/>
        </w:rPr>
        <w:t>, is adopted</w:t>
      </w:r>
      <w:r w:rsidR="00595A19">
        <w:rPr>
          <w:sz w:val="26"/>
          <w:szCs w:val="26"/>
        </w:rPr>
        <w:t>.</w:t>
      </w:r>
    </w:p>
    <w:p w14:paraId="236CFED0" w14:textId="7A969926" w:rsidR="00035660" w:rsidRDefault="00035660" w:rsidP="00203DF7">
      <w:pPr>
        <w:spacing w:after="0" w:line="360" w:lineRule="auto"/>
        <w:ind w:firstLine="1440"/>
        <w:rPr>
          <w:sz w:val="26"/>
          <w:szCs w:val="26"/>
        </w:rPr>
      </w:pPr>
    </w:p>
    <w:p w14:paraId="7E7E3505" w14:textId="77777777" w:rsidR="00035660" w:rsidRDefault="00035660" w:rsidP="00203DF7">
      <w:pPr>
        <w:spacing w:after="0" w:line="360" w:lineRule="auto"/>
        <w:ind w:firstLine="1440"/>
        <w:rPr>
          <w:sz w:val="26"/>
          <w:szCs w:val="26"/>
        </w:rPr>
      </w:pPr>
    </w:p>
    <w:p w14:paraId="23FD4AE4" w14:textId="77777777" w:rsidR="00035660" w:rsidRDefault="00410FC5" w:rsidP="00035660">
      <w:pPr>
        <w:spacing w:after="0" w:line="360" w:lineRule="auto"/>
        <w:ind w:firstLine="1440"/>
        <w:rPr>
          <w:sz w:val="26"/>
          <w:szCs w:val="26"/>
        </w:rPr>
      </w:pPr>
      <w:r>
        <w:rPr>
          <w:sz w:val="26"/>
          <w:szCs w:val="26"/>
        </w:rPr>
        <w:t>3</w:t>
      </w:r>
      <w:r w:rsidR="006E1AA7">
        <w:rPr>
          <w:sz w:val="26"/>
          <w:szCs w:val="26"/>
        </w:rPr>
        <w:t>.</w:t>
      </w:r>
      <w:r w:rsidR="006E1AA7">
        <w:rPr>
          <w:sz w:val="26"/>
          <w:szCs w:val="26"/>
        </w:rPr>
        <w:tab/>
      </w:r>
      <w:r w:rsidR="00035660" w:rsidRPr="00FC3806">
        <w:rPr>
          <w:sz w:val="26"/>
          <w:szCs w:val="26"/>
        </w:rPr>
        <w:t>That</w:t>
      </w:r>
      <w:r w:rsidR="00035660" w:rsidRPr="00C838C4">
        <w:rPr>
          <w:sz w:val="26"/>
          <w:szCs w:val="26"/>
        </w:rPr>
        <w:t xml:space="preserve">, pursuant to 66 Pa. C.S. § 332(f) and 52 Pa. Code § 5.245, the Complainant, </w:t>
      </w:r>
      <w:r w:rsidR="00035660">
        <w:rPr>
          <w:sz w:val="26"/>
          <w:szCs w:val="26"/>
        </w:rPr>
        <w:t>Jacque Whaumbush</w:t>
      </w:r>
      <w:r w:rsidR="00035660" w:rsidRPr="00C838C4">
        <w:rPr>
          <w:sz w:val="26"/>
          <w:szCs w:val="26"/>
        </w:rPr>
        <w:t>, is deemed to have waived h</w:t>
      </w:r>
      <w:r w:rsidR="00035660">
        <w:rPr>
          <w:sz w:val="26"/>
          <w:szCs w:val="26"/>
        </w:rPr>
        <w:t>is</w:t>
      </w:r>
      <w:r w:rsidR="00035660" w:rsidRPr="00C838C4">
        <w:rPr>
          <w:sz w:val="26"/>
          <w:szCs w:val="26"/>
        </w:rPr>
        <w:t xml:space="preserve"> opportunity to parti</w:t>
      </w:r>
      <w:r w:rsidR="00035660">
        <w:rPr>
          <w:sz w:val="26"/>
          <w:szCs w:val="26"/>
        </w:rPr>
        <w:t>cipate in a hearing regarding his</w:t>
      </w:r>
      <w:r w:rsidR="00035660" w:rsidRPr="00C838C4">
        <w:rPr>
          <w:sz w:val="26"/>
          <w:szCs w:val="26"/>
        </w:rPr>
        <w:t xml:space="preserve"> Formal Complaint filed on </w:t>
      </w:r>
      <w:r w:rsidR="00035660">
        <w:rPr>
          <w:sz w:val="26"/>
          <w:szCs w:val="26"/>
        </w:rPr>
        <w:t>August 30, 2017, due to his</w:t>
      </w:r>
      <w:r w:rsidR="00035660" w:rsidRPr="00C838C4">
        <w:rPr>
          <w:sz w:val="26"/>
          <w:szCs w:val="26"/>
        </w:rPr>
        <w:t xml:space="preserve"> failure to appear at the </w:t>
      </w:r>
      <w:r w:rsidR="00035660">
        <w:rPr>
          <w:sz w:val="26"/>
          <w:szCs w:val="26"/>
        </w:rPr>
        <w:t>December 1</w:t>
      </w:r>
      <w:r w:rsidR="00035660" w:rsidRPr="00C838C4">
        <w:rPr>
          <w:sz w:val="26"/>
          <w:szCs w:val="26"/>
        </w:rPr>
        <w:t xml:space="preserve">, 2017 hearing held at this </w:t>
      </w:r>
      <w:r w:rsidR="00035660">
        <w:rPr>
          <w:sz w:val="26"/>
          <w:szCs w:val="26"/>
        </w:rPr>
        <w:t>proceeding.</w:t>
      </w:r>
    </w:p>
    <w:p w14:paraId="06121190" w14:textId="77777777" w:rsidR="00035660" w:rsidRDefault="00035660" w:rsidP="00035660">
      <w:pPr>
        <w:spacing w:after="0" w:line="360" w:lineRule="auto"/>
        <w:ind w:firstLine="1440"/>
        <w:rPr>
          <w:sz w:val="26"/>
          <w:szCs w:val="26"/>
        </w:rPr>
      </w:pPr>
    </w:p>
    <w:p w14:paraId="5D9FC45E" w14:textId="036F231C" w:rsidR="000A2650" w:rsidRDefault="00035660" w:rsidP="00035660">
      <w:pPr>
        <w:spacing w:after="0" w:line="360" w:lineRule="auto"/>
        <w:ind w:firstLine="1440"/>
        <w:rPr>
          <w:sz w:val="26"/>
          <w:szCs w:val="26"/>
        </w:rPr>
      </w:pPr>
      <w:r>
        <w:rPr>
          <w:sz w:val="26"/>
          <w:szCs w:val="26"/>
        </w:rPr>
        <w:t>4.</w:t>
      </w:r>
      <w:r>
        <w:rPr>
          <w:sz w:val="26"/>
          <w:szCs w:val="26"/>
        </w:rPr>
        <w:tab/>
      </w:r>
      <w:r w:rsidR="00B776E7">
        <w:rPr>
          <w:sz w:val="26"/>
          <w:szCs w:val="26"/>
        </w:rPr>
        <w:t xml:space="preserve">That the Formal Complaint filed on </w:t>
      </w:r>
      <w:r w:rsidR="00511DE8">
        <w:rPr>
          <w:sz w:val="26"/>
          <w:szCs w:val="26"/>
        </w:rPr>
        <w:t>August 30, 2017</w:t>
      </w:r>
      <w:r w:rsidR="00B776E7">
        <w:rPr>
          <w:sz w:val="26"/>
          <w:szCs w:val="26"/>
        </w:rPr>
        <w:t xml:space="preserve">, by </w:t>
      </w:r>
      <w:r w:rsidR="00511DE8">
        <w:rPr>
          <w:sz w:val="26"/>
          <w:szCs w:val="26"/>
        </w:rPr>
        <w:t xml:space="preserve">Jacque Whaumbush </w:t>
      </w:r>
      <w:r w:rsidR="00B776E7">
        <w:rPr>
          <w:sz w:val="26"/>
          <w:szCs w:val="26"/>
        </w:rPr>
        <w:t xml:space="preserve">against </w:t>
      </w:r>
      <w:r w:rsidR="00511DE8">
        <w:rPr>
          <w:sz w:val="26"/>
          <w:szCs w:val="26"/>
        </w:rPr>
        <w:t>PECO Energy Company at Docket No. C-2017-2622269</w:t>
      </w:r>
      <w:r w:rsidR="00B776E7">
        <w:rPr>
          <w:sz w:val="26"/>
          <w:szCs w:val="26"/>
        </w:rPr>
        <w:t xml:space="preserve"> is dismissed</w:t>
      </w:r>
      <w:r w:rsidR="00511DE8">
        <w:rPr>
          <w:sz w:val="26"/>
          <w:szCs w:val="26"/>
        </w:rPr>
        <w:t xml:space="preserve">, </w:t>
      </w:r>
      <w:r w:rsidR="00511DE8" w:rsidRPr="00227C6C">
        <w:rPr>
          <w:i/>
          <w:sz w:val="26"/>
          <w:szCs w:val="26"/>
        </w:rPr>
        <w:t>with prejudice</w:t>
      </w:r>
      <w:r w:rsidR="006E1AA7">
        <w:rPr>
          <w:sz w:val="26"/>
          <w:szCs w:val="26"/>
        </w:rPr>
        <w:t>, consistent with this Opinion and Order</w:t>
      </w:r>
      <w:r w:rsidR="005A7121">
        <w:rPr>
          <w:sz w:val="26"/>
          <w:szCs w:val="26"/>
        </w:rPr>
        <w:t>,</w:t>
      </w:r>
      <w:r w:rsidR="00B776E7">
        <w:rPr>
          <w:sz w:val="26"/>
          <w:szCs w:val="26"/>
        </w:rPr>
        <w:t xml:space="preserve"> </w:t>
      </w:r>
      <w:r w:rsidR="005A7121" w:rsidRPr="00C838C4">
        <w:rPr>
          <w:sz w:val="26"/>
          <w:szCs w:val="26"/>
        </w:rPr>
        <w:t xml:space="preserve">barring the Complainant from filing another formal complaint with the Public Utility Commission raising the same issues or claims as raised in the Formal Complaint filed on </w:t>
      </w:r>
      <w:r w:rsidR="005A7121">
        <w:rPr>
          <w:sz w:val="26"/>
          <w:szCs w:val="26"/>
        </w:rPr>
        <w:t>August 30</w:t>
      </w:r>
      <w:r w:rsidR="005A7121" w:rsidRPr="00C838C4">
        <w:rPr>
          <w:sz w:val="26"/>
          <w:szCs w:val="26"/>
        </w:rPr>
        <w:t>, 2017, at this docket</w:t>
      </w:r>
      <w:r w:rsidR="005A7121">
        <w:rPr>
          <w:sz w:val="26"/>
          <w:szCs w:val="26"/>
        </w:rPr>
        <w:t>.</w:t>
      </w:r>
    </w:p>
    <w:p w14:paraId="553D203D" w14:textId="77777777" w:rsidR="000A2650" w:rsidRDefault="000A2650" w:rsidP="00203DF7">
      <w:pPr>
        <w:spacing w:after="0" w:line="360" w:lineRule="auto"/>
        <w:ind w:firstLine="1440"/>
        <w:rPr>
          <w:sz w:val="26"/>
          <w:szCs w:val="26"/>
        </w:rPr>
      </w:pPr>
    </w:p>
    <w:p w14:paraId="250AB90D" w14:textId="0AA37814" w:rsidR="000A2650" w:rsidRDefault="00035660" w:rsidP="00A14766">
      <w:pPr>
        <w:keepNext/>
        <w:keepLines/>
        <w:spacing w:after="0" w:line="360" w:lineRule="auto"/>
        <w:ind w:firstLine="1440"/>
        <w:rPr>
          <w:sz w:val="26"/>
          <w:szCs w:val="26"/>
        </w:rPr>
      </w:pPr>
      <w:r>
        <w:rPr>
          <w:sz w:val="26"/>
          <w:szCs w:val="26"/>
        </w:rPr>
        <w:t>5</w:t>
      </w:r>
      <w:r w:rsidR="00B776E7">
        <w:rPr>
          <w:sz w:val="26"/>
          <w:szCs w:val="26"/>
        </w:rPr>
        <w:t>.</w:t>
      </w:r>
      <w:r w:rsidR="00B776E7">
        <w:rPr>
          <w:sz w:val="26"/>
          <w:szCs w:val="26"/>
        </w:rPr>
        <w:tab/>
        <w:t xml:space="preserve">That the proceeding </w:t>
      </w:r>
      <w:r w:rsidR="00511DE8">
        <w:rPr>
          <w:sz w:val="26"/>
          <w:szCs w:val="26"/>
        </w:rPr>
        <w:t>docketed at C-2017-2622269</w:t>
      </w:r>
      <w:r w:rsidR="00B776E7">
        <w:rPr>
          <w:sz w:val="26"/>
          <w:szCs w:val="26"/>
        </w:rPr>
        <w:t xml:space="preserve"> be marked closed.</w:t>
      </w:r>
    </w:p>
    <w:p w14:paraId="3C6100E8" w14:textId="5B04A026" w:rsidR="006E1AA7" w:rsidRPr="004B1976" w:rsidRDefault="006E1AA7" w:rsidP="00A14766">
      <w:pPr>
        <w:keepNext/>
        <w:keepLines/>
        <w:spacing w:after="0" w:line="360" w:lineRule="auto"/>
        <w:rPr>
          <w:sz w:val="26"/>
          <w:szCs w:val="26"/>
        </w:rPr>
      </w:pPr>
    </w:p>
    <w:p w14:paraId="706C943A" w14:textId="5B80B17D" w:rsidR="00B776E7" w:rsidRPr="00740CE3" w:rsidRDefault="00333816" w:rsidP="00A14766">
      <w:pPr>
        <w:keepNext/>
        <w:keepLines/>
        <w:spacing w:after="0" w:line="240" w:lineRule="auto"/>
        <w:rPr>
          <w:b/>
          <w:sz w:val="26"/>
          <w:szCs w:val="26"/>
        </w:rPr>
      </w:pPr>
      <w:r>
        <w:rPr>
          <w:noProof/>
        </w:rPr>
        <w:drawing>
          <wp:anchor distT="0" distB="0" distL="114300" distR="114300" simplePos="0" relativeHeight="251659264" behindDoc="1" locked="0" layoutInCell="1" allowOverlap="1" wp14:anchorId="6A97D275" wp14:editId="11985A74">
            <wp:simplePos x="0" y="0"/>
            <wp:positionH relativeFrom="column">
              <wp:posOffset>3248025</wp:posOffset>
            </wp:positionH>
            <wp:positionV relativeFrom="paragraph">
              <wp:posOffset>133985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CE3">
        <w:rPr>
          <w:b/>
          <w:sz w:val="26"/>
          <w:szCs w:val="26"/>
        </w:rPr>
        <w:tab/>
      </w:r>
      <w:r w:rsidR="00740CE3">
        <w:rPr>
          <w:b/>
          <w:sz w:val="26"/>
          <w:szCs w:val="26"/>
        </w:rPr>
        <w:tab/>
      </w:r>
      <w:r w:rsidR="00740CE3">
        <w:rPr>
          <w:b/>
          <w:sz w:val="26"/>
          <w:szCs w:val="26"/>
        </w:rPr>
        <w:tab/>
      </w:r>
      <w:r w:rsidR="00740CE3">
        <w:rPr>
          <w:b/>
          <w:sz w:val="26"/>
          <w:szCs w:val="26"/>
        </w:rPr>
        <w:tab/>
      </w:r>
      <w:r w:rsidR="00740CE3">
        <w:rPr>
          <w:b/>
          <w:sz w:val="26"/>
          <w:szCs w:val="26"/>
        </w:rPr>
        <w:tab/>
      </w:r>
      <w:r w:rsidR="00740CE3">
        <w:rPr>
          <w:b/>
          <w:sz w:val="26"/>
          <w:szCs w:val="26"/>
        </w:rPr>
        <w:tab/>
      </w:r>
      <w:r w:rsidR="00740CE3">
        <w:rPr>
          <w:b/>
          <w:sz w:val="26"/>
          <w:szCs w:val="26"/>
        </w:rPr>
        <w:tab/>
      </w:r>
      <w:r w:rsidR="00B776E7" w:rsidRPr="00740CE3">
        <w:rPr>
          <w:b/>
          <w:sz w:val="26"/>
          <w:szCs w:val="26"/>
        </w:rPr>
        <w:t>BY THE COMMISSION,</w:t>
      </w:r>
    </w:p>
    <w:p w14:paraId="107F6E02" w14:textId="77777777" w:rsidR="00B776E7" w:rsidRDefault="00B776E7" w:rsidP="00A14766">
      <w:pPr>
        <w:keepNext/>
        <w:keepLines/>
        <w:spacing w:after="0" w:line="240" w:lineRule="auto"/>
        <w:rPr>
          <w:sz w:val="26"/>
          <w:szCs w:val="26"/>
        </w:rPr>
      </w:pPr>
    </w:p>
    <w:p w14:paraId="03ABFCCD" w14:textId="187D0F1C" w:rsidR="00B776E7" w:rsidRDefault="00B776E7" w:rsidP="00A14766">
      <w:pPr>
        <w:keepNext/>
        <w:keepLines/>
        <w:spacing w:after="0" w:line="240" w:lineRule="auto"/>
        <w:rPr>
          <w:sz w:val="26"/>
          <w:szCs w:val="26"/>
        </w:rPr>
      </w:pPr>
    </w:p>
    <w:p w14:paraId="10B966E3" w14:textId="77777777" w:rsidR="00740CE3" w:rsidRDefault="00740CE3" w:rsidP="00A14766">
      <w:pPr>
        <w:keepNext/>
        <w:keepLines/>
        <w:spacing w:after="0" w:line="240" w:lineRule="auto"/>
        <w:rPr>
          <w:sz w:val="26"/>
          <w:szCs w:val="26"/>
        </w:rPr>
      </w:pPr>
    </w:p>
    <w:p w14:paraId="2C79E314" w14:textId="77777777" w:rsidR="0056063F" w:rsidRDefault="0056063F" w:rsidP="00A14766">
      <w:pPr>
        <w:keepNext/>
        <w:keepLines/>
        <w:spacing w:after="0" w:line="240" w:lineRule="auto"/>
        <w:rPr>
          <w:sz w:val="26"/>
          <w:szCs w:val="26"/>
        </w:rPr>
      </w:pPr>
    </w:p>
    <w:p w14:paraId="780DEF2E" w14:textId="77777777" w:rsidR="00B776E7" w:rsidRPr="000D6043" w:rsidRDefault="00B776E7" w:rsidP="00A14766">
      <w:pPr>
        <w:keepNext/>
        <w:keepLines/>
        <w:spacing w:after="0" w:line="240" w:lineRule="auto"/>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499DA614" w14:textId="77777777" w:rsidR="00B776E7" w:rsidRDefault="00B776E7" w:rsidP="00A14766">
      <w:pPr>
        <w:keepNext/>
        <w:keepLines/>
        <w:spacing w:after="0" w:line="240" w:lineRule="auto"/>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3FF93C89" w14:textId="77777777" w:rsidR="00B776E7" w:rsidRDefault="00B776E7" w:rsidP="00A14766">
      <w:pPr>
        <w:keepNext/>
        <w:keepLines/>
        <w:tabs>
          <w:tab w:val="left" w:pos="-720"/>
        </w:tabs>
        <w:suppressAutoHyphens/>
        <w:spacing w:after="0" w:line="240" w:lineRule="auto"/>
        <w:rPr>
          <w:sz w:val="26"/>
          <w:szCs w:val="26"/>
        </w:rPr>
      </w:pPr>
    </w:p>
    <w:p w14:paraId="5794237E" w14:textId="77777777" w:rsidR="00B776E7" w:rsidRDefault="00B776E7" w:rsidP="00A14766">
      <w:pPr>
        <w:keepNext/>
        <w:keepLines/>
        <w:tabs>
          <w:tab w:val="left" w:pos="-720"/>
        </w:tabs>
        <w:suppressAutoHyphens/>
        <w:spacing w:after="0" w:line="240" w:lineRule="auto"/>
        <w:rPr>
          <w:sz w:val="26"/>
          <w:szCs w:val="26"/>
        </w:rPr>
      </w:pPr>
    </w:p>
    <w:p w14:paraId="69227CCD" w14:textId="77777777" w:rsidR="00B776E7" w:rsidRPr="001B2BFB" w:rsidRDefault="00B776E7" w:rsidP="00A14766">
      <w:pPr>
        <w:keepNext/>
        <w:keepLines/>
        <w:tabs>
          <w:tab w:val="left" w:pos="-720"/>
        </w:tabs>
        <w:suppressAutoHyphens/>
        <w:rPr>
          <w:sz w:val="26"/>
          <w:szCs w:val="26"/>
        </w:rPr>
      </w:pPr>
      <w:r w:rsidRPr="00AD292A">
        <w:rPr>
          <w:sz w:val="26"/>
          <w:szCs w:val="26"/>
        </w:rPr>
        <w:t>(SEAL)</w:t>
      </w:r>
    </w:p>
    <w:p w14:paraId="6B1AB11E" w14:textId="0DDAADB4" w:rsidR="00B776E7" w:rsidRDefault="00B776E7" w:rsidP="00A14766">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w:t>
      </w:r>
      <w:r w:rsidR="005A7121">
        <w:rPr>
          <w:sz w:val="26"/>
          <w:szCs w:val="26"/>
        </w:rPr>
        <w:t>August 23</w:t>
      </w:r>
      <w:r>
        <w:rPr>
          <w:sz w:val="26"/>
          <w:szCs w:val="26"/>
        </w:rPr>
        <w:t>, 201</w:t>
      </w:r>
      <w:r w:rsidR="005B43BA">
        <w:rPr>
          <w:sz w:val="26"/>
          <w:szCs w:val="26"/>
        </w:rPr>
        <w:t>8</w:t>
      </w:r>
    </w:p>
    <w:p w14:paraId="31265601" w14:textId="02C0297C" w:rsidR="000544CF" w:rsidRPr="000544CF" w:rsidRDefault="00B776E7" w:rsidP="00A14766">
      <w:pPr>
        <w:keepNext/>
        <w:keepLines/>
        <w:tabs>
          <w:tab w:val="left" w:pos="-720"/>
        </w:tabs>
        <w:suppressAutoHyphens/>
        <w:rPr>
          <w:sz w:val="26"/>
          <w:szCs w:val="26"/>
        </w:rPr>
      </w:pPr>
      <w:r w:rsidRPr="00507493">
        <w:rPr>
          <w:sz w:val="26"/>
          <w:szCs w:val="26"/>
        </w:rPr>
        <w:t xml:space="preserve">ORDER ENTERED: </w:t>
      </w:r>
      <w:r>
        <w:rPr>
          <w:sz w:val="26"/>
          <w:szCs w:val="26"/>
        </w:rPr>
        <w:t xml:space="preserve"> </w:t>
      </w:r>
      <w:r w:rsidR="00333816">
        <w:rPr>
          <w:sz w:val="26"/>
          <w:szCs w:val="26"/>
        </w:rPr>
        <w:t>August 23, 2018</w:t>
      </w:r>
      <w:bookmarkStart w:id="0" w:name="_GoBack"/>
      <w:bookmarkEnd w:id="0"/>
    </w:p>
    <w:sectPr w:rsidR="000544CF"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C6F7" w14:textId="77777777" w:rsidR="00987560" w:rsidRDefault="00987560" w:rsidP="00181C10">
      <w:pPr>
        <w:spacing w:line="240" w:lineRule="auto"/>
      </w:pPr>
      <w:r>
        <w:separator/>
      </w:r>
    </w:p>
  </w:endnote>
  <w:endnote w:type="continuationSeparator" w:id="0">
    <w:p w14:paraId="24ADDFCC" w14:textId="77777777" w:rsidR="00987560" w:rsidRDefault="00987560" w:rsidP="0018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1F307F36" w14:textId="7F9D2148" w:rsidR="0005540D" w:rsidRDefault="0005540D" w:rsidP="00203DF7">
        <w:pPr>
          <w:pStyle w:val="Footer"/>
          <w:jc w:val="center"/>
        </w:pPr>
        <w:r>
          <w:fldChar w:fldCharType="begin"/>
        </w:r>
        <w:r>
          <w:instrText xml:space="preserve"> PAGE   \* MERGEFORMAT </w:instrText>
        </w:r>
        <w:r>
          <w:fldChar w:fldCharType="separate"/>
        </w:r>
        <w:r w:rsidR="00C73EFB">
          <w:rPr>
            <w:noProof/>
          </w:rPr>
          <w:t>2</w:t>
        </w:r>
        <w:r>
          <w:rPr>
            <w:noProof/>
          </w:rPr>
          <w:fldChar w:fldCharType="end"/>
        </w:r>
      </w:p>
    </w:sdtContent>
  </w:sdt>
  <w:p w14:paraId="228CFB95" w14:textId="77777777" w:rsidR="0005540D" w:rsidRDefault="0005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C3C78" w14:textId="77777777" w:rsidR="00987560" w:rsidRDefault="00987560" w:rsidP="00203DF7">
      <w:pPr>
        <w:spacing w:after="0" w:line="240" w:lineRule="auto"/>
      </w:pPr>
      <w:r>
        <w:separator/>
      </w:r>
    </w:p>
  </w:footnote>
  <w:footnote w:type="continuationSeparator" w:id="0">
    <w:p w14:paraId="5ED5A647" w14:textId="77777777" w:rsidR="00987560" w:rsidRDefault="00987560" w:rsidP="00181C10">
      <w:pPr>
        <w:spacing w:line="240" w:lineRule="auto"/>
      </w:pPr>
      <w:r>
        <w:continuationSeparator/>
      </w:r>
    </w:p>
  </w:footnote>
  <w:footnote w:id="1">
    <w:p w14:paraId="0D2BB61A" w14:textId="361B698D" w:rsidR="00A90D9D" w:rsidRPr="00A90D9D" w:rsidRDefault="00A90D9D" w:rsidP="00A90D9D">
      <w:pPr>
        <w:pStyle w:val="FootnoteText"/>
        <w:ind w:firstLine="720"/>
        <w:rPr>
          <w:sz w:val="26"/>
          <w:szCs w:val="26"/>
        </w:rPr>
      </w:pPr>
      <w:r w:rsidRPr="00A90D9D">
        <w:rPr>
          <w:rStyle w:val="FootnoteReference"/>
          <w:sz w:val="26"/>
          <w:szCs w:val="26"/>
        </w:rPr>
        <w:footnoteRef/>
      </w:r>
      <w:r w:rsidRPr="00A90D9D">
        <w:rPr>
          <w:sz w:val="26"/>
          <w:szCs w:val="26"/>
        </w:rPr>
        <w:t xml:space="preserve"> </w:t>
      </w:r>
      <w:r w:rsidRPr="00A90D9D">
        <w:rPr>
          <w:sz w:val="26"/>
          <w:szCs w:val="26"/>
        </w:rPr>
        <w:tab/>
        <w:t xml:space="preserve">PECO’s </w:t>
      </w:r>
      <w:r w:rsidR="00227C6C">
        <w:rPr>
          <w:sz w:val="26"/>
          <w:szCs w:val="26"/>
        </w:rPr>
        <w:t>filed document</w:t>
      </w:r>
      <w:r w:rsidRPr="00A90D9D">
        <w:rPr>
          <w:sz w:val="26"/>
          <w:szCs w:val="26"/>
        </w:rPr>
        <w:t xml:space="preserve"> was styled as an Answer to a Petition to Reopen the Record, but for purposes of disposition herein, we will treat PECO’s response as Replies to Exceptions</w:t>
      </w:r>
      <w:r w:rsidR="00227C6C">
        <w:rPr>
          <w:sz w:val="26"/>
          <w:szCs w:val="26"/>
        </w:rPr>
        <w:t xml:space="preserve"> pursuant to 52 Pa. Code § 5.535</w:t>
      </w:r>
      <w:r w:rsidR="00853436">
        <w:rPr>
          <w:sz w:val="26"/>
          <w:szCs w:val="26"/>
        </w:rPr>
        <w:t>.</w:t>
      </w:r>
    </w:p>
  </w:footnote>
  <w:footnote w:id="2">
    <w:p w14:paraId="12782B71" w14:textId="0DD9B856" w:rsidR="00C14756" w:rsidRDefault="00C14756" w:rsidP="00C73EFB">
      <w:pPr>
        <w:pStyle w:val="FootnoteText"/>
        <w:ind w:firstLine="720"/>
      </w:pPr>
      <w:r w:rsidRPr="00C73EFB">
        <w:rPr>
          <w:rStyle w:val="FootnoteReference"/>
          <w:sz w:val="26"/>
          <w:szCs w:val="26"/>
        </w:rPr>
        <w:footnoteRef/>
      </w:r>
      <w:r w:rsidRPr="00C73EFB">
        <w:rPr>
          <w:sz w:val="26"/>
          <w:szCs w:val="26"/>
        </w:rPr>
        <w:tab/>
      </w:r>
      <w:r w:rsidRPr="00C73EFB">
        <w:rPr>
          <w:i/>
          <w:sz w:val="26"/>
          <w:szCs w:val="26"/>
        </w:rPr>
        <w:t>See also</w:t>
      </w:r>
      <w:r w:rsidRPr="00E44C75">
        <w:rPr>
          <w:i/>
          <w:sz w:val="26"/>
          <w:szCs w:val="26"/>
        </w:rPr>
        <w:t>, e.g.,</w:t>
      </w:r>
      <w:r>
        <w:t xml:space="preserve"> </w:t>
      </w:r>
      <w:r w:rsidRPr="00827E17">
        <w:rPr>
          <w:i/>
          <w:sz w:val="26"/>
          <w:szCs w:val="26"/>
        </w:rPr>
        <w:t>Miro Kamenik v. PECO Energy Company</w:t>
      </w:r>
      <w:r w:rsidRPr="00827E17">
        <w:rPr>
          <w:sz w:val="26"/>
          <w:szCs w:val="26"/>
        </w:rPr>
        <w:t>, Docket No. C</w:t>
      </w:r>
      <w:r w:rsidR="00853436">
        <w:rPr>
          <w:sz w:val="26"/>
          <w:szCs w:val="26"/>
        </w:rPr>
        <w:noBreakHyphen/>
      </w:r>
      <w:r w:rsidRPr="00827E17">
        <w:rPr>
          <w:sz w:val="26"/>
          <w:szCs w:val="26"/>
        </w:rPr>
        <w:t xml:space="preserve">2013-2379058 (Order entered July 29, 2015) (complaint dismissed, </w:t>
      </w:r>
      <w:r w:rsidRPr="00827E17">
        <w:rPr>
          <w:i/>
          <w:sz w:val="26"/>
          <w:szCs w:val="26"/>
        </w:rPr>
        <w:t>without prejudice</w:t>
      </w:r>
      <w:r w:rsidRPr="00827E17">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827E17">
        <w:rPr>
          <w:i/>
          <w:sz w:val="26"/>
          <w:szCs w:val="26"/>
        </w:rPr>
        <w:t>Amir V. Williams v. PECO Energy Co</w:t>
      </w:r>
      <w:r w:rsidRPr="00827E17">
        <w:rPr>
          <w:sz w:val="26"/>
          <w:szCs w:val="26"/>
        </w:rPr>
        <w:t xml:space="preserve">., Docket No. C-2010-2190024 (Order entered January 14, 2011) </w:t>
      </w:r>
      <w:r>
        <w:rPr>
          <w:sz w:val="26"/>
          <w:szCs w:val="26"/>
        </w:rPr>
        <w:t>(</w:t>
      </w:r>
      <w:r w:rsidRPr="00E44C75">
        <w:rPr>
          <w:i/>
          <w:sz w:val="26"/>
          <w:szCs w:val="26"/>
        </w:rPr>
        <w:t>Amir</w:t>
      </w:r>
      <w:r>
        <w:rPr>
          <w:sz w:val="26"/>
          <w:szCs w:val="26"/>
        </w:rPr>
        <w:t xml:space="preserve"> </w:t>
      </w:r>
      <w:r w:rsidRPr="00D759B3">
        <w:rPr>
          <w:i/>
          <w:sz w:val="26"/>
          <w:szCs w:val="26"/>
        </w:rPr>
        <w:t>Williams</w:t>
      </w:r>
      <w:r>
        <w:rPr>
          <w:sz w:val="26"/>
          <w:szCs w:val="26"/>
        </w:rPr>
        <w:t>)</w:t>
      </w:r>
      <w:r w:rsidRPr="00827E17">
        <w:rPr>
          <w:sz w:val="26"/>
          <w:szCs w:val="26"/>
        </w:rPr>
        <w:t xml:space="preserve"> (complaint dismissed, </w:t>
      </w:r>
      <w:r w:rsidRPr="00827E17">
        <w:rPr>
          <w:i/>
          <w:sz w:val="26"/>
          <w:szCs w:val="26"/>
        </w:rPr>
        <w:t>without prejudice</w:t>
      </w:r>
      <w:r w:rsidRPr="00827E17">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3">
    <w:p w14:paraId="27273F81" w14:textId="77777777" w:rsidR="00C14756" w:rsidRDefault="00C14756" w:rsidP="00C73EFB">
      <w:pPr>
        <w:pStyle w:val="FootnoteText"/>
        <w:keepNext/>
        <w:keepLines/>
        <w:ind w:firstLine="720"/>
      </w:pPr>
      <w:r w:rsidRPr="00C73EFB">
        <w:rPr>
          <w:rStyle w:val="FootnoteReference"/>
          <w:sz w:val="26"/>
          <w:szCs w:val="26"/>
        </w:rPr>
        <w:footnoteRef/>
      </w:r>
      <w:r w:rsidRPr="00C73EFB">
        <w:rPr>
          <w:sz w:val="26"/>
          <w:szCs w:val="26"/>
        </w:rPr>
        <w:t xml:space="preserve"> </w:t>
      </w:r>
      <w:r w:rsidRPr="00C73EFB">
        <w:rPr>
          <w:sz w:val="26"/>
          <w:szCs w:val="26"/>
        </w:rPr>
        <w:tab/>
      </w:r>
      <w:r w:rsidRPr="00C73EFB">
        <w:rPr>
          <w:i/>
          <w:sz w:val="26"/>
          <w:szCs w:val="26"/>
        </w:rPr>
        <w:t>See also, e.g.,</w:t>
      </w:r>
      <w:r w:rsidRPr="00C73EFB">
        <w:rPr>
          <w:sz w:val="26"/>
          <w:szCs w:val="26"/>
        </w:rPr>
        <w:t xml:space="preserve"> </w:t>
      </w:r>
      <w:r w:rsidRPr="00C73EFB">
        <w:rPr>
          <w:i/>
          <w:sz w:val="26"/>
          <w:szCs w:val="26"/>
        </w:rPr>
        <w:t>Cynthia Santore Smith v. PECO Energy Company</w:t>
      </w:r>
      <w:r w:rsidRPr="00C73EFB">
        <w:rPr>
          <w:sz w:val="26"/>
          <w:szCs w:val="26"/>
        </w:rPr>
        <w:t>, Docket No. F-2014-2446204 (Order entered September 3, 2015) (</w:t>
      </w:r>
      <w:r w:rsidRPr="00C73EFB">
        <w:rPr>
          <w:i/>
          <w:sz w:val="26"/>
          <w:szCs w:val="26"/>
        </w:rPr>
        <w:t>Santore Smith</w:t>
      </w:r>
      <w:r w:rsidRPr="00C73EFB">
        <w:rPr>
          <w:sz w:val="26"/>
          <w:szCs w:val="26"/>
        </w:rPr>
        <w:t xml:space="preserve">) (affirmed ALJ’s decision to dismiss complaint </w:t>
      </w:r>
      <w:r w:rsidRPr="00C73EFB">
        <w:rPr>
          <w:i/>
          <w:sz w:val="26"/>
          <w:szCs w:val="26"/>
        </w:rPr>
        <w:t>with prejudice</w:t>
      </w:r>
      <w:r w:rsidRPr="00C73EFB">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C73EFB">
        <w:rPr>
          <w:i/>
          <w:sz w:val="26"/>
          <w:szCs w:val="26"/>
        </w:rPr>
        <w:t xml:space="preserve"> Marilyn Day v. PECO Energy Company</w:t>
      </w:r>
      <w:r w:rsidRPr="00C73EFB">
        <w:rPr>
          <w:sz w:val="26"/>
          <w:szCs w:val="26"/>
        </w:rPr>
        <w:t>, Docket No. C-2010-2181515 (Order entered June 10, 2011) (</w:t>
      </w:r>
      <w:r w:rsidRPr="00C73EFB">
        <w:rPr>
          <w:i/>
          <w:sz w:val="26"/>
          <w:szCs w:val="26"/>
        </w:rPr>
        <w:t>Marilyn Day</w:t>
      </w:r>
      <w:r w:rsidRPr="00C73EFB">
        <w:rPr>
          <w:sz w:val="26"/>
          <w:szCs w:val="26"/>
        </w:rPr>
        <w:t xml:space="preserve">) (affirmed ALJ’s decision to dismiss complaint </w:t>
      </w:r>
      <w:r w:rsidRPr="00C73EFB">
        <w:rPr>
          <w:i/>
          <w:sz w:val="26"/>
          <w:szCs w:val="26"/>
        </w:rPr>
        <w:t>with prejudice</w:t>
      </w:r>
      <w:r w:rsidRPr="00C73EFB">
        <w:rPr>
          <w:sz w:val="26"/>
          <w:szCs w:val="26"/>
        </w:rPr>
        <w:t xml:space="preserve"> because, although the complainant’s failure to</w:t>
      </w:r>
      <w:r w:rsidRPr="00827E17">
        <w:rPr>
          <w:sz w:val="26"/>
          <w:szCs w:val="26"/>
        </w:rPr>
        <w:t xml:space="preserve"> appear at hearing was due to a scheduling conflict</w:t>
      </w:r>
      <w:r>
        <w:rPr>
          <w:sz w:val="26"/>
          <w:szCs w:val="26"/>
        </w:rPr>
        <w:t xml:space="preserve"> with the start date of </w:t>
      </w:r>
      <w:r w:rsidRPr="00827E17">
        <w:rPr>
          <w:sz w:val="26"/>
          <w:szCs w:val="26"/>
        </w:rPr>
        <w:t>the complainant’s</w:t>
      </w:r>
      <w:r>
        <w:rPr>
          <w:sz w:val="26"/>
          <w:szCs w:val="26"/>
        </w:rPr>
        <w:t xml:space="preserve"> new employment</w:t>
      </w:r>
      <w:r w:rsidRPr="00827E17">
        <w:rPr>
          <w:sz w:val="26"/>
          <w:szCs w:val="26"/>
        </w:rPr>
        <w:t xml:space="preserve">, the oral request for continuance was made the same morning of the hearing and not supported by any written documentation); </w:t>
      </w:r>
      <w:r w:rsidRPr="00827E17">
        <w:rPr>
          <w:i/>
          <w:sz w:val="26"/>
          <w:szCs w:val="26"/>
        </w:rPr>
        <w:t>Deborah</w:t>
      </w:r>
      <w:r w:rsidRPr="00827E17">
        <w:rPr>
          <w:sz w:val="26"/>
          <w:szCs w:val="26"/>
        </w:rPr>
        <w:t xml:space="preserve"> </w:t>
      </w:r>
      <w:r w:rsidRPr="00827E17">
        <w:rPr>
          <w:i/>
          <w:sz w:val="26"/>
          <w:szCs w:val="26"/>
        </w:rPr>
        <w:t>Bethay v. PECO Energy Co</w:t>
      </w:r>
      <w:r w:rsidRPr="00827E17">
        <w:rPr>
          <w:sz w:val="26"/>
          <w:szCs w:val="26"/>
        </w:rPr>
        <w:t>., Docket No. F-2011-2266250 (Order entered August 2, 2012)</w:t>
      </w:r>
      <w:r w:rsidRPr="00870320">
        <w:rPr>
          <w:i/>
          <w:sz w:val="26"/>
          <w:szCs w:val="26"/>
        </w:rPr>
        <w:t xml:space="preserve"> </w:t>
      </w:r>
      <w:r>
        <w:rPr>
          <w:sz w:val="26"/>
          <w:szCs w:val="26"/>
        </w:rPr>
        <w:t>(</w:t>
      </w:r>
      <w:r w:rsidRPr="00827E17">
        <w:rPr>
          <w:i/>
          <w:sz w:val="26"/>
          <w:szCs w:val="26"/>
        </w:rPr>
        <w:t>Deborah</w:t>
      </w:r>
      <w:r w:rsidRPr="00827E17">
        <w:rPr>
          <w:sz w:val="26"/>
          <w:szCs w:val="26"/>
        </w:rPr>
        <w:t xml:space="preserve"> </w:t>
      </w:r>
      <w:r w:rsidRPr="00827E17">
        <w:rPr>
          <w:i/>
          <w:sz w:val="26"/>
          <w:szCs w:val="26"/>
        </w:rPr>
        <w:t>Bethay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hospitalization for surgery and rehabilitation and supported by written documentation attached to the complainant’s exceptions, the complainant had ample time and opportunity to timely request a hearing continuance prior to the scheduled hearing, but failed to do so); </w:t>
      </w:r>
      <w:r w:rsidRPr="00827E17">
        <w:rPr>
          <w:i/>
          <w:sz w:val="26"/>
          <w:szCs w:val="26"/>
        </w:rPr>
        <w:t>Osuji v. PECO Energy Co</w:t>
      </w:r>
      <w:r w:rsidRPr="00827E17">
        <w:rPr>
          <w:sz w:val="26"/>
          <w:szCs w:val="26"/>
        </w:rPr>
        <w:t xml:space="preserve">., Docket No. C-2008-2071982 (Order entered July 24, 2009) </w:t>
      </w:r>
      <w:r>
        <w:rPr>
          <w:sz w:val="26"/>
          <w:szCs w:val="26"/>
        </w:rPr>
        <w:t>(</w:t>
      </w:r>
      <w:r w:rsidRPr="00827E17">
        <w:rPr>
          <w:i/>
          <w:sz w:val="26"/>
          <w:szCs w:val="26"/>
        </w:rPr>
        <w:t>Osuji</w:t>
      </w:r>
      <w:r>
        <w:rPr>
          <w:sz w:val="26"/>
          <w:szCs w:val="26"/>
        </w:rPr>
        <w:t xml:space="preserve">) </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 </w:t>
      </w:r>
      <w:r w:rsidRPr="00827E17">
        <w:rPr>
          <w:i/>
          <w:sz w:val="26"/>
          <w:szCs w:val="26"/>
        </w:rPr>
        <w:t>Madajewski v. UGI Utilities, Inc</w:t>
      </w:r>
      <w:r w:rsidRPr="00827E17">
        <w:rPr>
          <w:sz w:val="26"/>
          <w:szCs w:val="26"/>
        </w:rPr>
        <w:t xml:space="preserve">., Docket No. C-2008-2070793 (Order entered July 30, 2009) </w:t>
      </w:r>
      <w:r>
        <w:rPr>
          <w:sz w:val="26"/>
          <w:szCs w:val="26"/>
        </w:rPr>
        <w:t>(</w:t>
      </w:r>
      <w:r w:rsidRPr="00827E17">
        <w:rPr>
          <w:i/>
          <w:sz w:val="26"/>
          <w:szCs w:val="26"/>
        </w:rPr>
        <w:t>Madajewski</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the complainant sent a letter to presiding officer in advance of hearing not requesting a continuance but stating that his employer would not permit his participation in the hearing by telephone and it was “not worth the hassle” for him to request leave from his employment in order</w:t>
      </w:r>
      <w:r>
        <w:rPr>
          <w:sz w:val="26"/>
          <w:szCs w:val="26"/>
        </w:rPr>
        <w:t xml:space="preserve"> to participate in the hearing); </w:t>
      </w:r>
      <w:r w:rsidRPr="0019321F">
        <w:rPr>
          <w:i/>
          <w:sz w:val="26"/>
          <w:szCs w:val="26"/>
        </w:rPr>
        <w:t>Charles Nichols III v. Bell-Atlantic-Pennsyl</w:t>
      </w:r>
      <w:r w:rsidRPr="0019321F">
        <w:rPr>
          <w:i/>
          <w:sz w:val="26"/>
          <w:szCs w:val="26"/>
        </w:rPr>
        <w:softHyphen/>
        <w:t xml:space="preserve">vania, </w:t>
      </w:r>
      <w:r w:rsidRPr="0019321F">
        <w:rPr>
          <w:sz w:val="26"/>
          <w:szCs w:val="26"/>
        </w:rPr>
        <w:t>Docket No. </w:t>
      </w:r>
      <w:r w:rsidRPr="0019321F">
        <w:rPr>
          <w:spacing w:val="-3"/>
          <w:sz w:val="26"/>
          <w:szCs w:val="26"/>
        </w:rPr>
        <w:t>C</w:t>
      </w:r>
      <w:r w:rsidRPr="0019321F">
        <w:rPr>
          <w:spacing w:val="-3"/>
          <w:sz w:val="26"/>
          <w:szCs w:val="26"/>
        </w:rPr>
        <w:noBreakHyphen/>
        <w:t>00956667 (Opinion and Order entered August 4, 1995) (</w:t>
      </w:r>
      <w:r w:rsidRPr="0019321F">
        <w:rPr>
          <w:i/>
          <w:spacing w:val="-3"/>
          <w:sz w:val="26"/>
          <w:szCs w:val="26"/>
        </w:rPr>
        <w:t>Nichols</w:t>
      </w:r>
      <w:r>
        <w:rPr>
          <w:i/>
          <w:spacing w:val="-3"/>
          <w:sz w:val="26"/>
          <w:szCs w:val="26"/>
        </w:rPr>
        <w:t xml:space="preserve"> III</w:t>
      </w:r>
      <w:r>
        <w:rPr>
          <w:spacing w:val="-3"/>
          <w:sz w:val="26"/>
          <w:szCs w:val="26"/>
        </w:rPr>
        <w:t>) (affirmed ALJ’s decision to dismiss the complainant and found that the complainant’s excuse, as stated in the complainant’s exceptions - that he worked the graveyard shift and overslept and missed the hearing – “was not caused by unavoidable circumstances, but instead was caused by his own lack of diligence”).</w:t>
      </w:r>
    </w:p>
  </w:footnote>
  <w:footnote w:id="4">
    <w:p w14:paraId="27BC0D35" w14:textId="77777777" w:rsidR="00C14756" w:rsidRDefault="00C14756" w:rsidP="00C73EFB">
      <w:pPr>
        <w:pStyle w:val="FootnoteText"/>
        <w:keepNext/>
        <w:keepLines/>
        <w:ind w:firstLine="720"/>
      </w:pPr>
      <w:r w:rsidRPr="00C73EFB">
        <w:rPr>
          <w:rStyle w:val="FootnoteReference"/>
          <w:sz w:val="26"/>
          <w:szCs w:val="26"/>
        </w:rPr>
        <w:footnoteRef/>
      </w:r>
      <w:r w:rsidRPr="00C73EFB">
        <w:rPr>
          <w:sz w:val="26"/>
          <w:szCs w:val="26"/>
        </w:rPr>
        <w:t xml:space="preserve"> </w:t>
      </w:r>
      <w:r w:rsidRPr="00C73EFB">
        <w:rPr>
          <w:sz w:val="26"/>
          <w:szCs w:val="26"/>
        </w:rPr>
        <w:tab/>
      </w:r>
      <w:r w:rsidRPr="00C73EFB">
        <w:rPr>
          <w:i/>
          <w:sz w:val="26"/>
          <w:szCs w:val="26"/>
        </w:rPr>
        <w:t>See also, e.g</w:t>
      </w:r>
      <w:r w:rsidRPr="00C73EFB">
        <w:rPr>
          <w:sz w:val="26"/>
          <w:szCs w:val="26"/>
        </w:rPr>
        <w:t xml:space="preserve">., </w:t>
      </w:r>
      <w:r w:rsidRPr="00C73EFB">
        <w:rPr>
          <w:i/>
          <w:sz w:val="26"/>
          <w:szCs w:val="26"/>
        </w:rPr>
        <w:t>Windell C. Wiggins v. PECO Energy Company</w:t>
      </w:r>
      <w:r w:rsidRPr="00C73EFB">
        <w:rPr>
          <w:sz w:val="26"/>
          <w:szCs w:val="26"/>
        </w:rPr>
        <w:t>, Docket No. C-2010-2190335 (Order entered October 27, 2011) (</w:t>
      </w:r>
      <w:r w:rsidRPr="00C73EFB">
        <w:rPr>
          <w:i/>
          <w:sz w:val="26"/>
          <w:szCs w:val="26"/>
        </w:rPr>
        <w:t>Wiggins</w:t>
      </w:r>
      <w:r w:rsidRPr="00C73EFB">
        <w:rPr>
          <w:sz w:val="26"/>
          <w:szCs w:val="26"/>
        </w:rPr>
        <w:t xml:space="preserve">) (complaint dismissed </w:t>
      </w:r>
      <w:r w:rsidRPr="00C73EFB">
        <w:rPr>
          <w:i/>
          <w:sz w:val="26"/>
          <w:szCs w:val="26"/>
        </w:rPr>
        <w:t>without prejudice</w:t>
      </w:r>
      <w:r w:rsidRPr="00C73EFB">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C73EFB">
        <w:rPr>
          <w:i/>
          <w:sz w:val="26"/>
          <w:szCs w:val="26"/>
        </w:rPr>
        <w:t>Edward</w:t>
      </w:r>
      <w:r w:rsidRPr="00827E17">
        <w:rPr>
          <w:i/>
          <w:sz w:val="26"/>
          <w:szCs w:val="26"/>
        </w:rPr>
        <w:t xml:space="preserve"> B. Ference v. Equitable Gas Company</w:t>
      </w:r>
      <w:r w:rsidRPr="00827E17">
        <w:rPr>
          <w:sz w:val="26"/>
          <w:szCs w:val="26"/>
        </w:rPr>
        <w:t>, Docket No. C</w:t>
      </w:r>
      <w:r>
        <w:rPr>
          <w:sz w:val="26"/>
          <w:szCs w:val="26"/>
        </w:rPr>
        <w:noBreakHyphen/>
      </w:r>
      <w:r w:rsidRPr="00827E17">
        <w:rPr>
          <w:sz w:val="26"/>
          <w:szCs w:val="26"/>
        </w:rPr>
        <w:t>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 was supported by a letter submitted in the record from the cab company conf</w:t>
      </w:r>
      <w:r>
        <w:rPr>
          <w:sz w:val="26"/>
          <w:szCs w:val="26"/>
        </w:rPr>
        <w:t>irming arrival time of the cab)</w:t>
      </w:r>
      <w:r w:rsidRPr="00827E17">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B3"/>
    <w:multiLevelType w:val="hybridMultilevel"/>
    <w:tmpl w:val="646626BA"/>
    <w:lvl w:ilvl="0" w:tplc="BA5CD02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3318"/>
    <w:rsid w:val="00005B07"/>
    <w:rsid w:val="0000670A"/>
    <w:rsid w:val="00013AD6"/>
    <w:rsid w:val="00016E12"/>
    <w:rsid w:val="000246BF"/>
    <w:rsid w:val="000275E7"/>
    <w:rsid w:val="000311A3"/>
    <w:rsid w:val="00034140"/>
    <w:rsid w:val="00035660"/>
    <w:rsid w:val="0004245D"/>
    <w:rsid w:val="000478A2"/>
    <w:rsid w:val="00051432"/>
    <w:rsid w:val="000544CF"/>
    <w:rsid w:val="0005540D"/>
    <w:rsid w:val="00064B5B"/>
    <w:rsid w:val="00070DDD"/>
    <w:rsid w:val="00072C6C"/>
    <w:rsid w:val="000730CE"/>
    <w:rsid w:val="00083EDF"/>
    <w:rsid w:val="000845C0"/>
    <w:rsid w:val="00090342"/>
    <w:rsid w:val="00093206"/>
    <w:rsid w:val="000A2361"/>
    <w:rsid w:val="000A2650"/>
    <w:rsid w:val="000B5458"/>
    <w:rsid w:val="000D2DC4"/>
    <w:rsid w:val="000D68DB"/>
    <w:rsid w:val="000F04F4"/>
    <w:rsid w:val="000F3EFD"/>
    <w:rsid w:val="00104F93"/>
    <w:rsid w:val="00105025"/>
    <w:rsid w:val="001076FD"/>
    <w:rsid w:val="00112628"/>
    <w:rsid w:val="00112B08"/>
    <w:rsid w:val="00113BC3"/>
    <w:rsid w:val="0011561E"/>
    <w:rsid w:val="00136811"/>
    <w:rsid w:val="00137987"/>
    <w:rsid w:val="00137AB2"/>
    <w:rsid w:val="00137C8F"/>
    <w:rsid w:val="001402EC"/>
    <w:rsid w:val="001441BC"/>
    <w:rsid w:val="00145ECA"/>
    <w:rsid w:val="00155364"/>
    <w:rsid w:val="00156981"/>
    <w:rsid w:val="00170121"/>
    <w:rsid w:val="0017039E"/>
    <w:rsid w:val="001803DB"/>
    <w:rsid w:val="00181C10"/>
    <w:rsid w:val="00181FD9"/>
    <w:rsid w:val="001821BC"/>
    <w:rsid w:val="0019033A"/>
    <w:rsid w:val="001B3A6F"/>
    <w:rsid w:val="001C2822"/>
    <w:rsid w:val="001C2ED3"/>
    <w:rsid w:val="001D2418"/>
    <w:rsid w:val="001D541C"/>
    <w:rsid w:val="001D5D09"/>
    <w:rsid w:val="001D698E"/>
    <w:rsid w:val="001E2F89"/>
    <w:rsid w:val="001E47F7"/>
    <w:rsid w:val="001F1AD4"/>
    <w:rsid w:val="001F3862"/>
    <w:rsid w:val="00202599"/>
    <w:rsid w:val="00203DF7"/>
    <w:rsid w:val="00205C67"/>
    <w:rsid w:val="002252FF"/>
    <w:rsid w:val="00227C6C"/>
    <w:rsid w:val="00236FC7"/>
    <w:rsid w:val="00247C56"/>
    <w:rsid w:val="00247EAC"/>
    <w:rsid w:val="00250751"/>
    <w:rsid w:val="00254A4B"/>
    <w:rsid w:val="00257335"/>
    <w:rsid w:val="0026146A"/>
    <w:rsid w:val="00264570"/>
    <w:rsid w:val="002749F4"/>
    <w:rsid w:val="0027544D"/>
    <w:rsid w:val="002824A5"/>
    <w:rsid w:val="00286FD1"/>
    <w:rsid w:val="002A38EA"/>
    <w:rsid w:val="002A5184"/>
    <w:rsid w:val="002B185B"/>
    <w:rsid w:val="002B2B0B"/>
    <w:rsid w:val="002C7C42"/>
    <w:rsid w:val="002D251D"/>
    <w:rsid w:val="002D6DA3"/>
    <w:rsid w:val="002E03FB"/>
    <w:rsid w:val="002E40A5"/>
    <w:rsid w:val="002F4C93"/>
    <w:rsid w:val="00310BC5"/>
    <w:rsid w:val="00313CCE"/>
    <w:rsid w:val="0031727B"/>
    <w:rsid w:val="003213FC"/>
    <w:rsid w:val="00323D36"/>
    <w:rsid w:val="00332D27"/>
    <w:rsid w:val="00333816"/>
    <w:rsid w:val="00334A42"/>
    <w:rsid w:val="003419FE"/>
    <w:rsid w:val="00345330"/>
    <w:rsid w:val="0034537A"/>
    <w:rsid w:val="003464F8"/>
    <w:rsid w:val="0035286A"/>
    <w:rsid w:val="00353058"/>
    <w:rsid w:val="0035730E"/>
    <w:rsid w:val="00357E45"/>
    <w:rsid w:val="00357ED4"/>
    <w:rsid w:val="00363621"/>
    <w:rsid w:val="0036771D"/>
    <w:rsid w:val="003708B4"/>
    <w:rsid w:val="0037499E"/>
    <w:rsid w:val="0038324E"/>
    <w:rsid w:val="00385D79"/>
    <w:rsid w:val="0039099D"/>
    <w:rsid w:val="00392BB0"/>
    <w:rsid w:val="003A1EF6"/>
    <w:rsid w:val="003A390E"/>
    <w:rsid w:val="003B3EDD"/>
    <w:rsid w:val="003B68C2"/>
    <w:rsid w:val="003C251B"/>
    <w:rsid w:val="003C2FE7"/>
    <w:rsid w:val="003C3B50"/>
    <w:rsid w:val="003C48F8"/>
    <w:rsid w:val="003C58D6"/>
    <w:rsid w:val="003C6DCF"/>
    <w:rsid w:val="003D004B"/>
    <w:rsid w:val="003D6930"/>
    <w:rsid w:val="003D6FC9"/>
    <w:rsid w:val="003E3481"/>
    <w:rsid w:val="003E7290"/>
    <w:rsid w:val="003F2C2C"/>
    <w:rsid w:val="003F3876"/>
    <w:rsid w:val="003F4CE3"/>
    <w:rsid w:val="003F6A98"/>
    <w:rsid w:val="0040414E"/>
    <w:rsid w:val="00404695"/>
    <w:rsid w:val="00410FC5"/>
    <w:rsid w:val="00411C48"/>
    <w:rsid w:val="00434C01"/>
    <w:rsid w:val="00436688"/>
    <w:rsid w:val="00444C8D"/>
    <w:rsid w:val="004543AC"/>
    <w:rsid w:val="00457E6D"/>
    <w:rsid w:val="004600E4"/>
    <w:rsid w:val="00491833"/>
    <w:rsid w:val="0049549E"/>
    <w:rsid w:val="004A319C"/>
    <w:rsid w:val="004A44D1"/>
    <w:rsid w:val="004B0779"/>
    <w:rsid w:val="004B1976"/>
    <w:rsid w:val="004B2A99"/>
    <w:rsid w:val="004B536F"/>
    <w:rsid w:val="004B7217"/>
    <w:rsid w:val="004C0C3A"/>
    <w:rsid w:val="004C102D"/>
    <w:rsid w:val="004C38DC"/>
    <w:rsid w:val="004D5527"/>
    <w:rsid w:val="004E1183"/>
    <w:rsid w:val="004F1AA1"/>
    <w:rsid w:val="0050700C"/>
    <w:rsid w:val="00511DE8"/>
    <w:rsid w:val="00517584"/>
    <w:rsid w:val="0051783B"/>
    <w:rsid w:val="00523B3C"/>
    <w:rsid w:val="00530632"/>
    <w:rsid w:val="0055610A"/>
    <w:rsid w:val="0056063F"/>
    <w:rsid w:val="00566309"/>
    <w:rsid w:val="005671E6"/>
    <w:rsid w:val="0057189A"/>
    <w:rsid w:val="00572342"/>
    <w:rsid w:val="00573339"/>
    <w:rsid w:val="00577A7C"/>
    <w:rsid w:val="00583C05"/>
    <w:rsid w:val="005928B6"/>
    <w:rsid w:val="00594BDB"/>
    <w:rsid w:val="00595A19"/>
    <w:rsid w:val="00597988"/>
    <w:rsid w:val="005A0B1E"/>
    <w:rsid w:val="005A7121"/>
    <w:rsid w:val="005B3F8B"/>
    <w:rsid w:val="005B43BA"/>
    <w:rsid w:val="005B68C4"/>
    <w:rsid w:val="005B6A65"/>
    <w:rsid w:val="005C041B"/>
    <w:rsid w:val="005C6800"/>
    <w:rsid w:val="005D0B2D"/>
    <w:rsid w:val="005D41CD"/>
    <w:rsid w:val="005E3D21"/>
    <w:rsid w:val="005E5331"/>
    <w:rsid w:val="005E7403"/>
    <w:rsid w:val="005F226B"/>
    <w:rsid w:val="005F36EC"/>
    <w:rsid w:val="005F4030"/>
    <w:rsid w:val="00604522"/>
    <w:rsid w:val="00607935"/>
    <w:rsid w:val="006101F6"/>
    <w:rsid w:val="00627486"/>
    <w:rsid w:val="00627843"/>
    <w:rsid w:val="0063396C"/>
    <w:rsid w:val="006367B2"/>
    <w:rsid w:val="006565D7"/>
    <w:rsid w:val="00660975"/>
    <w:rsid w:val="00662EDC"/>
    <w:rsid w:val="006649E6"/>
    <w:rsid w:val="00664BD4"/>
    <w:rsid w:val="006701AA"/>
    <w:rsid w:val="00673D55"/>
    <w:rsid w:val="00677EFC"/>
    <w:rsid w:val="00685136"/>
    <w:rsid w:val="006917A2"/>
    <w:rsid w:val="006957DC"/>
    <w:rsid w:val="006C3B00"/>
    <w:rsid w:val="006D4A4C"/>
    <w:rsid w:val="006E1AA7"/>
    <w:rsid w:val="006E34FB"/>
    <w:rsid w:val="006F0617"/>
    <w:rsid w:val="006F1468"/>
    <w:rsid w:val="006F454B"/>
    <w:rsid w:val="007032B0"/>
    <w:rsid w:val="0070516C"/>
    <w:rsid w:val="00705716"/>
    <w:rsid w:val="00705EA0"/>
    <w:rsid w:val="0071269B"/>
    <w:rsid w:val="00712F91"/>
    <w:rsid w:val="007163D4"/>
    <w:rsid w:val="00722546"/>
    <w:rsid w:val="007326F7"/>
    <w:rsid w:val="00734483"/>
    <w:rsid w:val="00740CE3"/>
    <w:rsid w:val="00750E23"/>
    <w:rsid w:val="0075548F"/>
    <w:rsid w:val="00755DD5"/>
    <w:rsid w:val="007603D5"/>
    <w:rsid w:val="007608DA"/>
    <w:rsid w:val="00760B25"/>
    <w:rsid w:val="00763393"/>
    <w:rsid w:val="0077091B"/>
    <w:rsid w:val="0077306B"/>
    <w:rsid w:val="00780061"/>
    <w:rsid w:val="0078288F"/>
    <w:rsid w:val="00784492"/>
    <w:rsid w:val="00787C36"/>
    <w:rsid w:val="0079150C"/>
    <w:rsid w:val="0079203B"/>
    <w:rsid w:val="00792E6A"/>
    <w:rsid w:val="007A28E8"/>
    <w:rsid w:val="007A4121"/>
    <w:rsid w:val="007A77E7"/>
    <w:rsid w:val="007B2122"/>
    <w:rsid w:val="007B34A4"/>
    <w:rsid w:val="007B36CE"/>
    <w:rsid w:val="007B3AFD"/>
    <w:rsid w:val="007C5499"/>
    <w:rsid w:val="007C76B6"/>
    <w:rsid w:val="007D6887"/>
    <w:rsid w:val="007E448F"/>
    <w:rsid w:val="007F3BD6"/>
    <w:rsid w:val="007F5012"/>
    <w:rsid w:val="008034ED"/>
    <w:rsid w:val="00803AB0"/>
    <w:rsid w:val="00803DEC"/>
    <w:rsid w:val="00805406"/>
    <w:rsid w:val="008100A8"/>
    <w:rsid w:val="00810D70"/>
    <w:rsid w:val="0081458B"/>
    <w:rsid w:val="0081669B"/>
    <w:rsid w:val="00823014"/>
    <w:rsid w:val="008242A5"/>
    <w:rsid w:val="00837378"/>
    <w:rsid w:val="0084020F"/>
    <w:rsid w:val="00840AEB"/>
    <w:rsid w:val="00843E64"/>
    <w:rsid w:val="00853436"/>
    <w:rsid w:val="00854F3B"/>
    <w:rsid w:val="008610D3"/>
    <w:rsid w:val="00875128"/>
    <w:rsid w:val="0088484F"/>
    <w:rsid w:val="00885639"/>
    <w:rsid w:val="008901F4"/>
    <w:rsid w:val="00892B0E"/>
    <w:rsid w:val="008A0BBD"/>
    <w:rsid w:val="008A247A"/>
    <w:rsid w:val="008A2651"/>
    <w:rsid w:val="008B44B2"/>
    <w:rsid w:val="008B5AAA"/>
    <w:rsid w:val="008D01EE"/>
    <w:rsid w:val="008D14A0"/>
    <w:rsid w:val="008D35A4"/>
    <w:rsid w:val="008D4612"/>
    <w:rsid w:val="008D5A51"/>
    <w:rsid w:val="008F3CBF"/>
    <w:rsid w:val="009118EE"/>
    <w:rsid w:val="00914835"/>
    <w:rsid w:val="00915051"/>
    <w:rsid w:val="00917E49"/>
    <w:rsid w:val="00920EB3"/>
    <w:rsid w:val="00931126"/>
    <w:rsid w:val="009377BD"/>
    <w:rsid w:val="00941A79"/>
    <w:rsid w:val="00946E44"/>
    <w:rsid w:val="00963445"/>
    <w:rsid w:val="00965A3B"/>
    <w:rsid w:val="00987560"/>
    <w:rsid w:val="009A0644"/>
    <w:rsid w:val="009A0EFE"/>
    <w:rsid w:val="009A6BF2"/>
    <w:rsid w:val="009B317C"/>
    <w:rsid w:val="009B3622"/>
    <w:rsid w:val="009B3959"/>
    <w:rsid w:val="009B56BE"/>
    <w:rsid w:val="009C18C5"/>
    <w:rsid w:val="009C3C42"/>
    <w:rsid w:val="009D42CD"/>
    <w:rsid w:val="009E548E"/>
    <w:rsid w:val="009F3CA9"/>
    <w:rsid w:val="009F5DAD"/>
    <w:rsid w:val="00A010F7"/>
    <w:rsid w:val="00A11E3C"/>
    <w:rsid w:val="00A121B1"/>
    <w:rsid w:val="00A14766"/>
    <w:rsid w:val="00A27EA8"/>
    <w:rsid w:val="00A45520"/>
    <w:rsid w:val="00A45EAA"/>
    <w:rsid w:val="00A46841"/>
    <w:rsid w:val="00A50A56"/>
    <w:rsid w:val="00A51899"/>
    <w:rsid w:val="00A55144"/>
    <w:rsid w:val="00A60CA9"/>
    <w:rsid w:val="00A61546"/>
    <w:rsid w:val="00A63DE8"/>
    <w:rsid w:val="00A71D80"/>
    <w:rsid w:val="00A767E3"/>
    <w:rsid w:val="00A82450"/>
    <w:rsid w:val="00A9079B"/>
    <w:rsid w:val="00A90D9D"/>
    <w:rsid w:val="00A90FA4"/>
    <w:rsid w:val="00A92891"/>
    <w:rsid w:val="00A92FE3"/>
    <w:rsid w:val="00A94A9C"/>
    <w:rsid w:val="00A957E2"/>
    <w:rsid w:val="00AA5F56"/>
    <w:rsid w:val="00AC03EB"/>
    <w:rsid w:val="00AC21DF"/>
    <w:rsid w:val="00AC2E04"/>
    <w:rsid w:val="00AD3D5F"/>
    <w:rsid w:val="00AE2953"/>
    <w:rsid w:val="00AE4D73"/>
    <w:rsid w:val="00AE534A"/>
    <w:rsid w:val="00AE6606"/>
    <w:rsid w:val="00B052BA"/>
    <w:rsid w:val="00B14EF6"/>
    <w:rsid w:val="00B17A1A"/>
    <w:rsid w:val="00B20755"/>
    <w:rsid w:val="00B250B9"/>
    <w:rsid w:val="00B265D7"/>
    <w:rsid w:val="00B27449"/>
    <w:rsid w:val="00B3046D"/>
    <w:rsid w:val="00B361EF"/>
    <w:rsid w:val="00B4613A"/>
    <w:rsid w:val="00B471E4"/>
    <w:rsid w:val="00B53CCA"/>
    <w:rsid w:val="00B556E4"/>
    <w:rsid w:val="00B63502"/>
    <w:rsid w:val="00B662FF"/>
    <w:rsid w:val="00B7396B"/>
    <w:rsid w:val="00B746FE"/>
    <w:rsid w:val="00B776E7"/>
    <w:rsid w:val="00B8626B"/>
    <w:rsid w:val="00B87BD9"/>
    <w:rsid w:val="00B949E2"/>
    <w:rsid w:val="00B94E5C"/>
    <w:rsid w:val="00BA4F1C"/>
    <w:rsid w:val="00BB3846"/>
    <w:rsid w:val="00BB7E2A"/>
    <w:rsid w:val="00BC6254"/>
    <w:rsid w:val="00BD39A6"/>
    <w:rsid w:val="00BE01E2"/>
    <w:rsid w:val="00BF3EBC"/>
    <w:rsid w:val="00C06C56"/>
    <w:rsid w:val="00C10A53"/>
    <w:rsid w:val="00C110F6"/>
    <w:rsid w:val="00C14756"/>
    <w:rsid w:val="00C173FD"/>
    <w:rsid w:val="00C24EDB"/>
    <w:rsid w:val="00C43E49"/>
    <w:rsid w:val="00C5324C"/>
    <w:rsid w:val="00C676D4"/>
    <w:rsid w:val="00C71E5F"/>
    <w:rsid w:val="00C73EFB"/>
    <w:rsid w:val="00C83BF5"/>
    <w:rsid w:val="00C91C73"/>
    <w:rsid w:val="00C931D8"/>
    <w:rsid w:val="00C9509F"/>
    <w:rsid w:val="00CB0217"/>
    <w:rsid w:val="00CC6168"/>
    <w:rsid w:val="00CD3AC9"/>
    <w:rsid w:val="00D044E2"/>
    <w:rsid w:val="00D05888"/>
    <w:rsid w:val="00D07E78"/>
    <w:rsid w:val="00D1217A"/>
    <w:rsid w:val="00D16437"/>
    <w:rsid w:val="00D17076"/>
    <w:rsid w:val="00D17C2D"/>
    <w:rsid w:val="00D2044A"/>
    <w:rsid w:val="00D226D4"/>
    <w:rsid w:val="00D3706D"/>
    <w:rsid w:val="00D409E4"/>
    <w:rsid w:val="00D46080"/>
    <w:rsid w:val="00D51C18"/>
    <w:rsid w:val="00D66F1D"/>
    <w:rsid w:val="00D674DA"/>
    <w:rsid w:val="00D71357"/>
    <w:rsid w:val="00D75E22"/>
    <w:rsid w:val="00D86BAE"/>
    <w:rsid w:val="00D90A05"/>
    <w:rsid w:val="00DA532B"/>
    <w:rsid w:val="00DB1428"/>
    <w:rsid w:val="00DB4967"/>
    <w:rsid w:val="00DC18D4"/>
    <w:rsid w:val="00DC356B"/>
    <w:rsid w:val="00DD10BF"/>
    <w:rsid w:val="00DD4A24"/>
    <w:rsid w:val="00DD6001"/>
    <w:rsid w:val="00DE4328"/>
    <w:rsid w:val="00DE59B2"/>
    <w:rsid w:val="00E033D0"/>
    <w:rsid w:val="00E1752F"/>
    <w:rsid w:val="00E36214"/>
    <w:rsid w:val="00E37594"/>
    <w:rsid w:val="00E401DC"/>
    <w:rsid w:val="00E436FB"/>
    <w:rsid w:val="00E4459F"/>
    <w:rsid w:val="00E455D3"/>
    <w:rsid w:val="00E469F2"/>
    <w:rsid w:val="00E55B56"/>
    <w:rsid w:val="00E56C73"/>
    <w:rsid w:val="00E615CF"/>
    <w:rsid w:val="00E6760A"/>
    <w:rsid w:val="00E709E3"/>
    <w:rsid w:val="00E90C18"/>
    <w:rsid w:val="00E97C9E"/>
    <w:rsid w:val="00EA441A"/>
    <w:rsid w:val="00EA63F6"/>
    <w:rsid w:val="00EA7851"/>
    <w:rsid w:val="00EA7EEC"/>
    <w:rsid w:val="00EB5B12"/>
    <w:rsid w:val="00ED35F9"/>
    <w:rsid w:val="00ED409D"/>
    <w:rsid w:val="00ED6232"/>
    <w:rsid w:val="00EF5830"/>
    <w:rsid w:val="00F029A7"/>
    <w:rsid w:val="00F06D90"/>
    <w:rsid w:val="00F07EBD"/>
    <w:rsid w:val="00F14949"/>
    <w:rsid w:val="00F15367"/>
    <w:rsid w:val="00F1588E"/>
    <w:rsid w:val="00F23EA7"/>
    <w:rsid w:val="00F27014"/>
    <w:rsid w:val="00F331E2"/>
    <w:rsid w:val="00F40EA5"/>
    <w:rsid w:val="00F415C5"/>
    <w:rsid w:val="00F438C8"/>
    <w:rsid w:val="00F44A79"/>
    <w:rsid w:val="00F47463"/>
    <w:rsid w:val="00F632E1"/>
    <w:rsid w:val="00F66EFD"/>
    <w:rsid w:val="00F67021"/>
    <w:rsid w:val="00F80953"/>
    <w:rsid w:val="00F87775"/>
    <w:rsid w:val="00F95258"/>
    <w:rsid w:val="00F957B4"/>
    <w:rsid w:val="00FA1B9F"/>
    <w:rsid w:val="00FA6932"/>
    <w:rsid w:val="00FB110C"/>
    <w:rsid w:val="00FB11A1"/>
    <w:rsid w:val="00FB43BA"/>
    <w:rsid w:val="00FB4CD1"/>
    <w:rsid w:val="00FB5773"/>
    <w:rsid w:val="00FB5CAE"/>
    <w:rsid w:val="00FB7C3D"/>
    <w:rsid w:val="00FC11AE"/>
    <w:rsid w:val="00FC3DD6"/>
    <w:rsid w:val="00FC6665"/>
    <w:rsid w:val="00FC6DEC"/>
    <w:rsid w:val="00FD19B9"/>
    <w:rsid w:val="00FD7B85"/>
    <w:rsid w:val="00FE6E73"/>
    <w:rsid w:val="00FF1D03"/>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1F5903B"/>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D51C18"/>
    <w:pPr>
      <w:spacing w:line="240" w:lineRule="auto"/>
    </w:pPr>
    <w:rPr>
      <w:sz w:val="20"/>
      <w:szCs w:val="20"/>
    </w:rPr>
  </w:style>
  <w:style w:type="character" w:customStyle="1" w:styleId="FootnoteTextChar">
    <w:name w:val="Footnote Text Char"/>
    <w:basedOn w:val="DefaultParagraphFont"/>
    <w:link w:val="FootnoteText"/>
    <w:uiPriority w:val="99"/>
    <w:semiHidden/>
    <w:rsid w:val="00D51C18"/>
    <w:rPr>
      <w:rFonts w:ascii="Times New Roman" w:eastAsia="Calibri" w:hAnsi="Times New Roman" w:cs="Times New Roman"/>
      <w:sz w:val="20"/>
      <w:szCs w:val="20"/>
    </w:rPr>
  </w:style>
  <w:style w:type="character" w:styleId="FootnoteReference">
    <w:name w:val="footnote reference"/>
    <w:aliases w:val="o,fr,Style 6,Style 20,Appel note de bas de p,Style 8,Style 7,Style 3,Style 17,Style 19"/>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3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7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37378"/>
    <w:rPr>
      <w:sz w:val="16"/>
      <w:szCs w:val="16"/>
    </w:rPr>
  </w:style>
  <w:style w:type="paragraph" w:styleId="CommentText">
    <w:name w:val="annotation text"/>
    <w:basedOn w:val="Normal"/>
    <w:link w:val="CommentTextChar"/>
    <w:uiPriority w:val="99"/>
    <w:semiHidden/>
    <w:unhideWhenUsed/>
    <w:rsid w:val="00837378"/>
    <w:pPr>
      <w:spacing w:line="240" w:lineRule="auto"/>
    </w:pPr>
    <w:rPr>
      <w:sz w:val="20"/>
      <w:szCs w:val="20"/>
    </w:rPr>
  </w:style>
  <w:style w:type="character" w:customStyle="1" w:styleId="CommentTextChar">
    <w:name w:val="Comment Text Char"/>
    <w:basedOn w:val="DefaultParagraphFont"/>
    <w:link w:val="CommentText"/>
    <w:uiPriority w:val="99"/>
    <w:semiHidden/>
    <w:rsid w:val="00837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378"/>
    <w:rPr>
      <w:b/>
      <w:bCs/>
    </w:rPr>
  </w:style>
  <w:style w:type="character" w:customStyle="1" w:styleId="CommentSubjectChar">
    <w:name w:val="Comment Subject Char"/>
    <w:basedOn w:val="CommentTextChar"/>
    <w:link w:val="CommentSubject"/>
    <w:uiPriority w:val="99"/>
    <w:semiHidden/>
    <w:rsid w:val="00837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09337">
      <w:bodyDiv w:val="1"/>
      <w:marLeft w:val="0"/>
      <w:marRight w:val="0"/>
      <w:marTop w:val="0"/>
      <w:marBottom w:val="0"/>
      <w:divBdr>
        <w:top w:val="none" w:sz="0" w:space="0" w:color="auto"/>
        <w:left w:val="none" w:sz="0" w:space="0" w:color="auto"/>
        <w:bottom w:val="none" w:sz="0" w:space="0" w:color="auto"/>
        <w:right w:val="none" w:sz="0" w:space="0" w:color="auto"/>
      </w:divBdr>
    </w:div>
    <w:div w:id="1476338898">
      <w:bodyDiv w:val="1"/>
      <w:marLeft w:val="0"/>
      <w:marRight w:val="0"/>
      <w:marTop w:val="0"/>
      <w:marBottom w:val="0"/>
      <w:divBdr>
        <w:top w:val="none" w:sz="0" w:space="0" w:color="auto"/>
        <w:left w:val="none" w:sz="0" w:space="0" w:color="auto"/>
        <w:bottom w:val="none" w:sz="0" w:space="0" w:color="auto"/>
        <w:right w:val="none" w:sz="0" w:space="0" w:color="auto"/>
      </w:divBdr>
    </w:div>
    <w:div w:id="1690839523">
      <w:bodyDiv w:val="1"/>
      <w:marLeft w:val="0"/>
      <w:marRight w:val="0"/>
      <w:marTop w:val="0"/>
      <w:marBottom w:val="0"/>
      <w:divBdr>
        <w:top w:val="none" w:sz="0" w:space="0" w:color="auto"/>
        <w:left w:val="none" w:sz="0" w:space="0" w:color="auto"/>
        <w:bottom w:val="none" w:sz="0" w:space="0" w:color="auto"/>
        <w:right w:val="none" w:sz="0" w:space="0" w:color="auto"/>
      </w:divBdr>
    </w:div>
    <w:div w:id="20322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EB6B-04B3-4EAB-BE4A-7D355A64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2017-12-27T19:03:00Z</cp:lastPrinted>
  <dcterms:created xsi:type="dcterms:W3CDTF">2018-08-13T14:36:00Z</dcterms:created>
  <dcterms:modified xsi:type="dcterms:W3CDTF">2018-08-23T12:18:00Z</dcterms:modified>
</cp:coreProperties>
</file>