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93C31" w14:textId="77777777" w:rsidR="006F5428" w:rsidRDefault="006F5428" w:rsidP="0061437C">
      <w:pPr>
        <w:pStyle w:val="Heading1"/>
        <w:keepNext w:val="0"/>
        <w:tabs>
          <w:tab w:val="clear" w:pos="-720"/>
          <w:tab w:val="center" w:pos="4680"/>
        </w:tabs>
        <w:spacing w:line="240" w:lineRule="auto"/>
        <w:jc w:val="center"/>
      </w:pPr>
      <w:r>
        <w:t>PENNSYLVANIA</w:t>
      </w:r>
    </w:p>
    <w:p w14:paraId="58F71025"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PUBLIC UTILITY COMMISSION</w:t>
      </w:r>
    </w:p>
    <w:p w14:paraId="19334E4F"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Harrisburg, PA  17105-3265</w:t>
      </w:r>
    </w:p>
    <w:p w14:paraId="604FF1A2" w14:textId="77777777" w:rsidR="006F5428" w:rsidRPr="00B50E61" w:rsidRDefault="006F5428" w:rsidP="0061437C">
      <w:pPr>
        <w:tabs>
          <w:tab w:val="right" w:pos="9360"/>
        </w:tabs>
        <w:suppressAutoHyphens/>
        <w:jc w:val="both"/>
        <w:rPr>
          <w:rFonts w:ascii="Times New Roman" w:hAnsi="Times New Roman"/>
          <w:sz w:val="26"/>
        </w:rPr>
      </w:pPr>
    </w:p>
    <w:p w14:paraId="75F5B1E2" w14:textId="77777777" w:rsidR="007C1BE9" w:rsidRDefault="007C1BE9" w:rsidP="0061437C">
      <w:pPr>
        <w:tabs>
          <w:tab w:val="right" w:pos="9360"/>
        </w:tabs>
        <w:suppressAutoHyphens/>
        <w:jc w:val="both"/>
        <w:rPr>
          <w:rFonts w:ascii="Times New Roman" w:hAnsi="Times New Roman"/>
          <w:sz w:val="26"/>
        </w:rPr>
      </w:pPr>
    </w:p>
    <w:p w14:paraId="6DB629BA" w14:textId="780E5E90" w:rsidR="006F5428" w:rsidRDefault="00A854CB" w:rsidP="0061437C">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C006DE">
        <w:rPr>
          <w:rFonts w:ascii="Times New Roman" w:hAnsi="Times New Roman"/>
          <w:sz w:val="26"/>
        </w:rPr>
        <w:t>August 2</w:t>
      </w:r>
      <w:r w:rsidR="006C318E">
        <w:rPr>
          <w:rFonts w:ascii="Times New Roman" w:hAnsi="Times New Roman"/>
          <w:sz w:val="26"/>
        </w:rPr>
        <w:t>3</w:t>
      </w:r>
      <w:r w:rsidR="0022383D">
        <w:rPr>
          <w:rFonts w:ascii="Times New Roman" w:hAnsi="Times New Roman"/>
          <w:sz w:val="26"/>
        </w:rPr>
        <w:t>, 201</w:t>
      </w:r>
      <w:r w:rsidR="008B6185">
        <w:rPr>
          <w:rFonts w:ascii="Times New Roman" w:hAnsi="Times New Roman"/>
          <w:sz w:val="26"/>
        </w:rPr>
        <w:t>8</w:t>
      </w:r>
    </w:p>
    <w:p w14:paraId="006BC3E1" w14:textId="77777777" w:rsidR="006F5428" w:rsidRDefault="006F5428" w:rsidP="0061437C">
      <w:pPr>
        <w:tabs>
          <w:tab w:val="left" w:pos="-720"/>
        </w:tabs>
        <w:suppressAutoHyphens/>
        <w:rPr>
          <w:rFonts w:ascii="Times New Roman" w:hAnsi="Times New Roman"/>
          <w:sz w:val="26"/>
        </w:rPr>
      </w:pPr>
    </w:p>
    <w:p w14:paraId="4146333B" w14:textId="77777777" w:rsidR="006F5428" w:rsidRDefault="00897FB7" w:rsidP="0061437C">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14:paraId="3D282385" w14:textId="77777777" w:rsidR="006F5428" w:rsidRDefault="006F5428" w:rsidP="0061437C">
      <w:pPr>
        <w:tabs>
          <w:tab w:val="left" w:pos="-720"/>
        </w:tabs>
        <w:suppressAutoHyphens/>
        <w:rPr>
          <w:rFonts w:ascii="Times New Roman" w:hAnsi="Times New Roman"/>
          <w:sz w:val="26"/>
        </w:rPr>
      </w:pPr>
    </w:p>
    <w:p w14:paraId="47E77663" w14:textId="77777777"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14:paraId="15B5A256" w14:textId="616AA948"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r w:rsidR="003658F3">
        <w:rPr>
          <w:rFonts w:ascii="Times New Roman" w:hAnsi="Times New Roman"/>
          <w:sz w:val="26"/>
          <w:szCs w:val="26"/>
        </w:rPr>
        <w:t>, Statement</w:t>
      </w:r>
    </w:p>
    <w:p w14:paraId="74218612" w14:textId="77777777" w:rsidR="00721BCB" w:rsidRDefault="00721BCB" w:rsidP="0061437C">
      <w:pPr>
        <w:tabs>
          <w:tab w:val="left" w:pos="705"/>
        </w:tabs>
        <w:ind w:firstLine="720"/>
        <w:rPr>
          <w:rFonts w:ascii="Times New Roman" w:hAnsi="Times New Roman"/>
          <w:sz w:val="26"/>
          <w:szCs w:val="26"/>
        </w:rPr>
      </w:pPr>
      <w:r>
        <w:rPr>
          <w:rFonts w:ascii="Times New Roman" w:hAnsi="Times New Roman"/>
          <w:sz w:val="26"/>
          <w:szCs w:val="26"/>
        </w:rPr>
        <w:t>Norman J. Kennard</w:t>
      </w:r>
    </w:p>
    <w:p w14:paraId="45214FA8" w14:textId="77777777" w:rsidR="0013360B" w:rsidRDefault="0013360B" w:rsidP="0061437C">
      <w:pPr>
        <w:ind w:left="720"/>
        <w:rPr>
          <w:rFonts w:ascii="Times New Roman" w:hAnsi="Times New Roman"/>
          <w:sz w:val="26"/>
          <w:szCs w:val="26"/>
        </w:rPr>
      </w:pPr>
      <w:r>
        <w:rPr>
          <w:rFonts w:ascii="Times New Roman" w:hAnsi="Times New Roman"/>
          <w:sz w:val="26"/>
          <w:szCs w:val="26"/>
        </w:rPr>
        <w:t>David W. Sweet</w:t>
      </w:r>
    </w:p>
    <w:p w14:paraId="29F9C842" w14:textId="77777777" w:rsidR="00721BCB" w:rsidRPr="0060709A" w:rsidRDefault="00721BCB" w:rsidP="0061437C">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14:paraId="6E8458DA" w14:textId="77777777" w:rsidR="009916D6" w:rsidRDefault="009916D6" w:rsidP="0061437C">
      <w:pPr>
        <w:tabs>
          <w:tab w:val="left" w:pos="-720"/>
        </w:tabs>
        <w:suppressAutoHyphens/>
        <w:rPr>
          <w:rFonts w:ascii="Times New Roman" w:hAnsi="Times New Roman"/>
          <w:sz w:val="26"/>
        </w:rPr>
      </w:pPr>
    </w:p>
    <w:p w14:paraId="66518AF8" w14:textId="77777777" w:rsidR="00B50E61" w:rsidRDefault="00B50E61" w:rsidP="0061437C">
      <w:pPr>
        <w:tabs>
          <w:tab w:val="left" w:pos="-720"/>
        </w:tabs>
        <w:suppressAutoHyphens/>
        <w:rPr>
          <w:rFonts w:ascii="Times New Roman" w:hAnsi="Times New Roman"/>
          <w:sz w:val="26"/>
        </w:rPr>
      </w:pPr>
    </w:p>
    <w:p w14:paraId="614D3BF6" w14:textId="4871ABEF" w:rsidR="00753982" w:rsidRDefault="00427981" w:rsidP="0061437C">
      <w:pPr>
        <w:tabs>
          <w:tab w:val="left" w:pos="-720"/>
        </w:tabs>
        <w:suppressAutoHyphens/>
        <w:rPr>
          <w:rFonts w:ascii="Times New Roman" w:hAnsi="Times New Roman"/>
          <w:sz w:val="26"/>
        </w:rPr>
      </w:pPr>
      <w:r>
        <w:rPr>
          <w:rFonts w:ascii="Times New Roman" w:hAnsi="Times New Roman"/>
          <w:sz w:val="26"/>
        </w:rPr>
        <w:t>Stephanie Maxwell</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933DB6">
        <w:rPr>
          <w:rFonts w:ascii="Times New Roman" w:hAnsi="Times New Roman"/>
          <w:sz w:val="26"/>
        </w:rPr>
        <w:tab/>
      </w:r>
      <w:r w:rsidR="00933DB6">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sidR="00114B34">
        <w:rPr>
          <w:rFonts w:ascii="Times New Roman" w:hAnsi="Times New Roman"/>
          <w:sz w:val="26"/>
        </w:rPr>
        <w:t>7-2</w:t>
      </w:r>
      <w:r>
        <w:rPr>
          <w:rFonts w:ascii="Times New Roman" w:hAnsi="Times New Roman"/>
          <w:sz w:val="26"/>
        </w:rPr>
        <w:t>607397</w:t>
      </w:r>
    </w:p>
    <w:p w14:paraId="6B022D79" w14:textId="77777777" w:rsidR="00933DB6" w:rsidRDefault="00933DB6" w:rsidP="0061437C">
      <w:pPr>
        <w:tabs>
          <w:tab w:val="left" w:pos="-720"/>
        </w:tabs>
        <w:suppressAutoHyphens/>
        <w:rPr>
          <w:rFonts w:ascii="Times New Roman" w:hAnsi="Times New Roman"/>
          <w:sz w:val="26"/>
        </w:rPr>
      </w:pPr>
    </w:p>
    <w:p w14:paraId="4D976461" w14:textId="77777777" w:rsidR="00933DB6" w:rsidRDefault="00933DB6" w:rsidP="0061437C">
      <w:pPr>
        <w:tabs>
          <w:tab w:val="left" w:pos="-720"/>
        </w:tabs>
        <w:suppressAutoHyphens/>
        <w:rPr>
          <w:rFonts w:ascii="Times New Roman" w:hAnsi="Times New Roman"/>
          <w:sz w:val="26"/>
        </w:rPr>
      </w:pPr>
      <w:r>
        <w:rPr>
          <w:rFonts w:ascii="Times New Roman" w:hAnsi="Times New Roman"/>
          <w:sz w:val="26"/>
        </w:rPr>
        <w:tab/>
        <w:t>v.</w:t>
      </w:r>
    </w:p>
    <w:p w14:paraId="43F2CCF5" w14:textId="77777777" w:rsidR="00FD6A63" w:rsidRDefault="00FD6A63" w:rsidP="0061437C">
      <w:pPr>
        <w:tabs>
          <w:tab w:val="left" w:pos="-720"/>
        </w:tabs>
        <w:suppressAutoHyphens/>
        <w:rPr>
          <w:rFonts w:ascii="Times New Roman" w:hAnsi="Times New Roman"/>
          <w:sz w:val="26"/>
        </w:rPr>
      </w:pPr>
    </w:p>
    <w:p w14:paraId="54ADA62C" w14:textId="77777777" w:rsidR="00FD6A63" w:rsidRDefault="00717365" w:rsidP="0061437C">
      <w:pPr>
        <w:tabs>
          <w:tab w:val="left" w:pos="-720"/>
        </w:tabs>
        <w:suppressAutoHyphens/>
        <w:rPr>
          <w:rFonts w:ascii="Times New Roman" w:hAnsi="Times New Roman"/>
          <w:sz w:val="26"/>
        </w:rPr>
      </w:pPr>
      <w:r>
        <w:rPr>
          <w:rFonts w:ascii="Times New Roman" w:hAnsi="Times New Roman"/>
          <w:sz w:val="26"/>
        </w:rPr>
        <w:t>P</w:t>
      </w:r>
      <w:r w:rsidR="00427981">
        <w:rPr>
          <w:rFonts w:ascii="Times New Roman" w:hAnsi="Times New Roman"/>
          <w:sz w:val="26"/>
        </w:rPr>
        <w:t>hiladelphia Gas Works</w:t>
      </w:r>
      <w:r w:rsidR="00692EA8">
        <w:rPr>
          <w:rFonts w:ascii="Times New Roman" w:hAnsi="Times New Roman"/>
          <w:sz w:val="26"/>
        </w:rPr>
        <w:t xml:space="preserve"> </w:t>
      </w:r>
      <w:r w:rsidR="005604BD">
        <w:rPr>
          <w:rFonts w:ascii="Times New Roman" w:hAnsi="Times New Roman"/>
          <w:sz w:val="26"/>
        </w:rPr>
        <w:t xml:space="preserve"> </w:t>
      </w:r>
    </w:p>
    <w:p w14:paraId="24CCD7A7" w14:textId="77777777" w:rsidR="00813768" w:rsidRDefault="00813768" w:rsidP="0061437C">
      <w:pPr>
        <w:tabs>
          <w:tab w:val="left" w:pos="-720"/>
        </w:tabs>
        <w:suppressAutoHyphens/>
        <w:spacing w:line="360" w:lineRule="auto"/>
        <w:rPr>
          <w:rFonts w:ascii="Times New Roman" w:hAnsi="Times New Roman"/>
          <w:b/>
          <w:sz w:val="26"/>
        </w:rPr>
      </w:pPr>
    </w:p>
    <w:p w14:paraId="6179EA32" w14:textId="77777777" w:rsidR="00B50E61" w:rsidRPr="00B50E61" w:rsidRDefault="00B50E61" w:rsidP="0061437C">
      <w:pPr>
        <w:tabs>
          <w:tab w:val="left" w:pos="-720"/>
        </w:tabs>
        <w:suppressAutoHyphens/>
        <w:spacing w:line="360" w:lineRule="auto"/>
        <w:rPr>
          <w:rFonts w:ascii="Times New Roman" w:hAnsi="Times New Roman"/>
          <w:b/>
          <w:sz w:val="26"/>
        </w:rPr>
      </w:pPr>
    </w:p>
    <w:p w14:paraId="1D1A79C6" w14:textId="77777777" w:rsidR="0025740E" w:rsidRDefault="006F5428" w:rsidP="0061437C">
      <w:pPr>
        <w:tabs>
          <w:tab w:val="center" w:pos="4680"/>
        </w:tabs>
        <w:suppressAutoHyphens/>
        <w:jc w:val="center"/>
        <w:rPr>
          <w:rFonts w:ascii="Times New Roman" w:hAnsi="Times New Roman"/>
          <w:b/>
          <w:sz w:val="26"/>
        </w:rPr>
      </w:pPr>
      <w:r>
        <w:rPr>
          <w:rFonts w:ascii="Times New Roman" w:hAnsi="Times New Roman"/>
          <w:b/>
          <w:sz w:val="26"/>
        </w:rPr>
        <w:t>OPINION AND ORDER</w:t>
      </w:r>
    </w:p>
    <w:p w14:paraId="1BBE7334" w14:textId="77777777" w:rsidR="00B50E61" w:rsidRDefault="00B50E61" w:rsidP="0061437C">
      <w:pPr>
        <w:tabs>
          <w:tab w:val="left" w:pos="-720"/>
        </w:tabs>
        <w:suppressAutoHyphens/>
        <w:spacing w:after="120"/>
        <w:rPr>
          <w:rFonts w:ascii="Times New Roman" w:hAnsi="Times New Roman"/>
          <w:b/>
          <w:sz w:val="26"/>
        </w:rPr>
      </w:pPr>
    </w:p>
    <w:p w14:paraId="7456564C" w14:textId="77777777" w:rsidR="00B50E61" w:rsidRDefault="00B50E61" w:rsidP="0061437C">
      <w:pPr>
        <w:tabs>
          <w:tab w:val="left" w:pos="-720"/>
        </w:tabs>
        <w:suppressAutoHyphens/>
        <w:spacing w:after="120"/>
        <w:rPr>
          <w:rFonts w:ascii="Times New Roman" w:hAnsi="Times New Roman"/>
          <w:b/>
          <w:sz w:val="26"/>
        </w:rPr>
      </w:pPr>
    </w:p>
    <w:p w14:paraId="2F399B98" w14:textId="77777777" w:rsidR="006F5428" w:rsidRDefault="006F5428" w:rsidP="0061437C">
      <w:pPr>
        <w:tabs>
          <w:tab w:val="left" w:pos="-720"/>
        </w:tabs>
        <w:suppressAutoHyphens/>
        <w:spacing w:after="120"/>
        <w:rPr>
          <w:rFonts w:ascii="Times New Roman" w:hAnsi="Times New Roman"/>
          <w:sz w:val="26"/>
        </w:rPr>
      </w:pPr>
      <w:r>
        <w:rPr>
          <w:rFonts w:ascii="Times New Roman" w:hAnsi="Times New Roman"/>
          <w:b/>
          <w:sz w:val="26"/>
        </w:rPr>
        <w:t>BY THE COMMISSION:</w:t>
      </w:r>
    </w:p>
    <w:p w14:paraId="5012E4F8" w14:textId="77777777" w:rsidR="006F5428" w:rsidRDefault="006F5428" w:rsidP="0061437C">
      <w:pPr>
        <w:tabs>
          <w:tab w:val="left" w:pos="-720"/>
        </w:tabs>
        <w:suppressAutoHyphens/>
        <w:spacing w:line="360" w:lineRule="auto"/>
        <w:rPr>
          <w:rFonts w:ascii="Times New Roman" w:hAnsi="Times New Roman"/>
          <w:sz w:val="26"/>
        </w:rPr>
      </w:pPr>
    </w:p>
    <w:p w14:paraId="7FE6D442" w14:textId="2DDC0CAD" w:rsidR="00F76B5D" w:rsidRDefault="00642F4F" w:rsidP="0061437C">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427981">
        <w:rPr>
          <w:rFonts w:ascii="Times New Roman" w:hAnsi="Times New Roman"/>
          <w:sz w:val="26"/>
        </w:rPr>
        <w:t>Stephanie Maxwell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w:t>
      </w:r>
      <w:r w:rsidR="00427981">
        <w:rPr>
          <w:rFonts w:ascii="Times New Roman" w:hAnsi="Times New Roman"/>
          <w:sz w:val="26"/>
        </w:rPr>
        <w:t>s</w:t>
      </w:r>
      <w:r w:rsidR="008D03C2">
        <w:rPr>
          <w:rFonts w:ascii="Times New Roman" w:hAnsi="Times New Roman"/>
          <w:sz w:val="26"/>
        </w:rPr>
        <w:t xml:space="preserve">. </w:t>
      </w:r>
      <w:r w:rsidR="00427981">
        <w:rPr>
          <w:rFonts w:ascii="Times New Roman" w:hAnsi="Times New Roman"/>
          <w:sz w:val="26"/>
        </w:rPr>
        <w:t>Maxwell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427981">
        <w:rPr>
          <w:rFonts w:ascii="Times New Roman" w:hAnsi="Times New Roman"/>
          <w:sz w:val="26"/>
        </w:rPr>
        <w:t>May 30</w:t>
      </w:r>
      <w:r w:rsidR="00114B34">
        <w:rPr>
          <w:rFonts w:ascii="Times New Roman" w:hAnsi="Times New Roman"/>
          <w:sz w:val="26"/>
        </w:rPr>
        <w:t>, 2017</w:t>
      </w:r>
      <w:r w:rsidR="0079236E">
        <w:rPr>
          <w:rFonts w:ascii="Times New Roman" w:hAnsi="Times New Roman"/>
          <w:sz w:val="26"/>
        </w:rPr>
        <w:t>,</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427981">
        <w:rPr>
          <w:rFonts w:ascii="Times New Roman" w:hAnsi="Times New Roman"/>
          <w:sz w:val="26"/>
        </w:rPr>
        <w:t>Eranda Vero</w:t>
      </w:r>
      <w:r w:rsidR="008D03C2">
        <w:rPr>
          <w:rFonts w:ascii="Times New Roman" w:hAnsi="Times New Roman"/>
          <w:sz w:val="26"/>
        </w:rPr>
        <w:t>, i</w:t>
      </w:r>
      <w:r w:rsidR="00F3224F">
        <w:rPr>
          <w:rFonts w:ascii="Times New Roman" w:hAnsi="Times New Roman"/>
          <w:sz w:val="26"/>
        </w:rPr>
        <w:t xml:space="preserve">ssued </w:t>
      </w:r>
      <w:r w:rsidR="00D5042B">
        <w:rPr>
          <w:rFonts w:ascii="Times New Roman" w:hAnsi="Times New Roman"/>
          <w:sz w:val="26"/>
        </w:rPr>
        <w:t xml:space="preserve">on </w:t>
      </w:r>
      <w:bookmarkStart w:id="0" w:name="_Hlk501454911"/>
      <w:r w:rsidR="00427981">
        <w:rPr>
          <w:rFonts w:ascii="Times New Roman" w:hAnsi="Times New Roman"/>
          <w:sz w:val="26"/>
        </w:rPr>
        <w:t xml:space="preserve">January </w:t>
      </w:r>
      <w:r w:rsidR="00114B34">
        <w:rPr>
          <w:rFonts w:ascii="Times New Roman" w:hAnsi="Times New Roman"/>
          <w:sz w:val="26"/>
        </w:rPr>
        <w:t>3</w:t>
      </w:r>
      <w:r w:rsidR="00427981">
        <w:rPr>
          <w:rFonts w:ascii="Times New Roman" w:hAnsi="Times New Roman"/>
          <w:sz w:val="26"/>
        </w:rPr>
        <w:t>0</w:t>
      </w:r>
      <w:r w:rsidR="00FF39E4">
        <w:rPr>
          <w:rFonts w:ascii="Times New Roman" w:hAnsi="Times New Roman"/>
          <w:sz w:val="26"/>
        </w:rPr>
        <w:t xml:space="preserve">, </w:t>
      </w:r>
      <w:r w:rsidR="0079236E">
        <w:rPr>
          <w:rFonts w:ascii="Times New Roman" w:hAnsi="Times New Roman"/>
          <w:sz w:val="26"/>
        </w:rPr>
        <w:t>201</w:t>
      </w:r>
      <w:bookmarkEnd w:id="0"/>
      <w:r w:rsidR="00427981">
        <w:rPr>
          <w:rFonts w:ascii="Times New Roman" w:hAnsi="Times New Roman"/>
          <w:sz w:val="26"/>
        </w:rPr>
        <w:t>8</w:t>
      </w:r>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P</w:t>
      </w:r>
      <w:r w:rsidR="00427981">
        <w:rPr>
          <w:rFonts w:ascii="Times New Roman" w:hAnsi="Times New Roman"/>
          <w:sz w:val="26"/>
        </w:rPr>
        <w:t>hiladelphia Gas Works</w:t>
      </w:r>
      <w:r w:rsidR="00695D2C">
        <w:rPr>
          <w:rFonts w:ascii="Times New Roman" w:hAnsi="Times New Roman"/>
          <w:sz w:val="26"/>
        </w:rPr>
        <w:t xml:space="preserve"> </w:t>
      </w:r>
      <w:r w:rsidR="002B4CDF">
        <w:rPr>
          <w:rFonts w:ascii="Times New Roman" w:hAnsi="Times New Roman"/>
          <w:sz w:val="26"/>
        </w:rPr>
        <w:t>(P</w:t>
      </w:r>
      <w:r w:rsidR="00695D2C">
        <w:rPr>
          <w:rFonts w:ascii="Times New Roman" w:hAnsi="Times New Roman"/>
          <w:sz w:val="26"/>
        </w:rPr>
        <w:t>GW</w:t>
      </w:r>
      <w:r w:rsidR="009332F7">
        <w:rPr>
          <w:rFonts w:ascii="Times New Roman" w:hAnsi="Times New Roman"/>
          <w:sz w:val="26"/>
        </w:rPr>
        <w:t xml:space="preserve"> or Company</w:t>
      </w:r>
      <w:r w:rsidR="002B4CDF">
        <w:rPr>
          <w:rFonts w:ascii="Times New Roman" w:hAnsi="Times New Roman"/>
          <w:sz w:val="26"/>
        </w:rPr>
        <w:t xml:space="preserve">) </w:t>
      </w:r>
      <w:r w:rsidR="00E325BC">
        <w:rPr>
          <w:rFonts w:ascii="Times New Roman" w:hAnsi="Times New Roman"/>
          <w:sz w:val="26"/>
        </w:rPr>
        <w:t xml:space="preserve">did not </w:t>
      </w:r>
      <w:r w:rsidR="00F7057C">
        <w:rPr>
          <w:rFonts w:ascii="Times New Roman" w:hAnsi="Times New Roman"/>
          <w:sz w:val="26"/>
        </w:rPr>
        <w:t>file Replies to Exceptions</w:t>
      </w:r>
      <w:r w:rsidR="00E325B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t>
      </w:r>
      <w:r w:rsidR="00185DCB" w:rsidRPr="00E75670">
        <w:rPr>
          <w:rFonts w:ascii="Times New Roman" w:hAnsi="Times New Roman"/>
          <w:sz w:val="26"/>
          <w:szCs w:val="26"/>
        </w:rPr>
        <w:t>d</w:t>
      </w:r>
      <w:r w:rsidR="00E65E1A">
        <w:rPr>
          <w:rFonts w:ascii="Times New Roman" w:hAnsi="Times New Roman"/>
          <w:sz w:val="26"/>
          <w:szCs w:val="26"/>
        </w:rPr>
        <w:t xml:space="preserve">eny </w:t>
      </w:r>
      <w:r w:rsidR="00012A3C" w:rsidRPr="00E75670">
        <w:rPr>
          <w:rFonts w:ascii="Times New Roman" w:hAnsi="Times New Roman"/>
          <w:sz w:val="26"/>
          <w:szCs w:val="26"/>
        </w:rPr>
        <w:t xml:space="preserve">the </w:t>
      </w:r>
      <w:r w:rsidR="00185DCB" w:rsidRPr="00E75670">
        <w:rPr>
          <w:rFonts w:ascii="Times New Roman" w:hAnsi="Times New Roman"/>
          <w:sz w:val="26"/>
          <w:szCs w:val="26"/>
        </w:rPr>
        <w:t>Complainant</w:t>
      </w:r>
      <w:r w:rsidR="00012A3C" w:rsidRPr="00E75670">
        <w:rPr>
          <w:rFonts w:ascii="Times New Roman" w:hAnsi="Times New Roman"/>
          <w:sz w:val="26"/>
          <w:szCs w:val="26"/>
        </w:rPr>
        <w:t>’s Exceptions</w:t>
      </w:r>
      <w:r w:rsidR="00B01381">
        <w:rPr>
          <w:rFonts w:ascii="Times New Roman" w:hAnsi="Times New Roman"/>
          <w:sz w:val="26"/>
          <w:szCs w:val="26"/>
        </w:rPr>
        <w:t xml:space="preserve">, </w:t>
      </w:r>
      <w:r w:rsidR="00185DCB" w:rsidRPr="00E75670">
        <w:rPr>
          <w:rFonts w:ascii="Times New Roman" w:hAnsi="Times New Roman"/>
          <w:sz w:val="26"/>
          <w:szCs w:val="26"/>
        </w:rPr>
        <w:t>a</w:t>
      </w:r>
      <w:r w:rsidR="00B01381">
        <w:rPr>
          <w:rFonts w:ascii="Times New Roman" w:hAnsi="Times New Roman"/>
          <w:sz w:val="26"/>
          <w:szCs w:val="26"/>
        </w:rPr>
        <w:t>ffirm</w:t>
      </w:r>
      <w:r w:rsidR="00F07450" w:rsidRPr="00E75670">
        <w:rPr>
          <w:rFonts w:ascii="Times New Roman" w:hAnsi="Times New Roman"/>
          <w:sz w:val="26"/>
          <w:szCs w:val="26"/>
        </w:rPr>
        <w:t xml:space="preserve"> the Initial Decision</w:t>
      </w:r>
      <w:r w:rsidR="00E65E1A">
        <w:rPr>
          <w:rFonts w:ascii="Times New Roman" w:hAnsi="Times New Roman"/>
          <w:sz w:val="26"/>
          <w:szCs w:val="26"/>
        </w:rPr>
        <w:t xml:space="preserve"> </w:t>
      </w:r>
      <w:r w:rsidR="00B01381">
        <w:rPr>
          <w:rFonts w:ascii="Times New Roman" w:hAnsi="Times New Roman"/>
          <w:sz w:val="26"/>
          <w:szCs w:val="26"/>
        </w:rPr>
        <w:t>and</w:t>
      </w:r>
      <w:r w:rsidR="00E65E1A">
        <w:rPr>
          <w:rFonts w:ascii="Times New Roman" w:hAnsi="Times New Roman"/>
          <w:sz w:val="26"/>
          <w:szCs w:val="26"/>
        </w:rPr>
        <w:t xml:space="preserve"> dismiss the Complaint</w:t>
      </w:r>
      <w:r w:rsidR="00B01381">
        <w:rPr>
          <w:rFonts w:ascii="Times New Roman" w:hAnsi="Times New Roman"/>
          <w:sz w:val="26"/>
          <w:szCs w:val="26"/>
        </w:rPr>
        <w:t>,</w:t>
      </w:r>
      <w:r w:rsidR="00E325BC">
        <w:rPr>
          <w:rFonts w:ascii="Times New Roman" w:hAnsi="Times New Roman"/>
          <w:sz w:val="26"/>
          <w:szCs w:val="26"/>
        </w:rPr>
        <w:t xml:space="preserve"> </w:t>
      </w:r>
      <w:r w:rsidR="00E325BC" w:rsidRPr="00B01381">
        <w:rPr>
          <w:rFonts w:ascii="Times New Roman" w:hAnsi="Times New Roman"/>
          <w:i/>
          <w:sz w:val="26"/>
          <w:szCs w:val="26"/>
        </w:rPr>
        <w:t>with prejudice</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14:paraId="5569E3D5" w14:textId="77777777" w:rsidR="00F76B5D" w:rsidRDefault="00A57216" w:rsidP="0061437C">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14:paraId="5A5645F5" w14:textId="77777777" w:rsidR="00A57216" w:rsidRDefault="00A57216" w:rsidP="0061437C">
      <w:pPr>
        <w:keepNext/>
        <w:keepLines/>
        <w:tabs>
          <w:tab w:val="left" w:pos="-720"/>
        </w:tabs>
        <w:suppressAutoHyphens/>
        <w:spacing w:line="360" w:lineRule="auto"/>
        <w:jc w:val="center"/>
        <w:rPr>
          <w:rFonts w:ascii="Times New Roman" w:hAnsi="Times New Roman"/>
          <w:b/>
          <w:sz w:val="26"/>
          <w:szCs w:val="24"/>
        </w:rPr>
      </w:pPr>
    </w:p>
    <w:p w14:paraId="7388F2A0" w14:textId="69BF5DC8" w:rsidR="00086384" w:rsidRPr="00086384" w:rsidRDefault="007072FF" w:rsidP="0061437C">
      <w:pPr>
        <w:spacing w:line="360" w:lineRule="auto"/>
        <w:rPr>
          <w:rFonts w:ascii="Times New Roman" w:hAnsi="Times New Roman" w:cs="CG Times"/>
          <w:sz w:val="26"/>
          <w:szCs w:val="24"/>
        </w:rPr>
      </w:pPr>
      <w:r w:rsidRPr="007072FF">
        <w:rPr>
          <w:rFonts w:ascii="Times New Roman" w:hAnsi="Times New Roman"/>
          <w:szCs w:val="24"/>
        </w:rPr>
        <w:tab/>
      </w:r>
      <w:r>
        <w:rPr>
          <w:rFonts w:ascii="Times New Roman" w:hAnsi="Times New Roman"/>
          <w:szCs w:val="24"/>
        </w:rPr>
        <w:tab/>
      </w:r>
      <w:r w:rsidR="00086384" w:rsidRPr="00551035">
        <w:rPr>
          <w:rFonts w:ascii="Times New Roman" w:hAnsi="Times New Roman"/>
          <w:sz w:val="26"/>
          <w:szCs w:val="24"/>
        </w:rPr>
        <w:t xml:space="preserve">On </w:t>
      </w:r>
      <w:r w:rsidR="00E325BC">
        <w:rPr>
          <w:rFonts w:ascii="Times New Roman" w:hAnsi="Times New Roman"/>
          <w:sz w:val="26"/>
          <w:szCs w:val="24"/>
        </w:rPr>
        <w:t>May 30</w:t>
      </w:r>
      <w:r w:rsidR="00114B34">
        <w:rPr>
          <w:rFonts w:ascii="Times New Roman" w:hAnsi="Times New Roman"/>
          <w:sz w:val="26"/>
          <w:szCs w:val="24"/>
        </w:rPr>
        <w:t>, 2017</w:t>
      </w:r>
      <w:r w:rsidR="00086384" w:rsidRPr="00551035">
        <w:rPr>
          <w:rFonts w:ascii="Times New Roman" w:hAnsi="Times New Roman"/>
          <w:sz w:val="26"/>
          <w:szCs w:val="24"/>
        </w:rPr>
        <w:t xml:space="preserve">, </w:t>
      </w:r>
      <w:r w:rsidR="00551035">
        <w:rPr>
          <w:rFonts w:ascii="Times New Roman" w:hAnsi="Times New Roman"/>
          <w:sz w:val="26"/>
          <w:szCs w:val="24"/>
        </w:rPr>
        <w:t>M</w:t>
      </w:r>
      <w:r w:rsidR="00E325BC">
        <w:rPr>
          <w:rFonts w:ascii="Times New Roman" w:hAnsi="Times New Roman"/>
          <w:sz w:val="26"/>
          <w:szCs w:val="24"/>
        </w:rPr>
        <w:t>s</w:t>
      </w:r>
      <w:r w:rsidR="00551035">
        <w:rPr>
          <w:rFonts w:ascii="Times New Roman" w:hAnsi="Times New Roman"/>
          <w:sz w:val="26"/>
          <w:szCs w:val="24"/>
        </w:rPr>
        <w:t xml:space="preserve">. </w:t>
      </w:r>
      <w:r w:rsidR="00E325BC">
        <w:rPr>
          <w:rFonts w:ascii="Times New Roman" w:hAnsi="Times New Roman"/>
          <w:sz w:val="26"/>
          <w:szCs w:val="24"/>
        </w:rPr>
        <w:t xml:space="preserve">Maxwell </w:t>
      </w:r>
      <w:r w:rsidR="00086384" w:rsidRPr="00551035">
        <w:rPr>
          <w:rFonts w:ascii="Times New Roman" w:hAnsi="Times New Roman"/>
          <w:sz w:val="26"/>
          <w:szCs w:val="24"/>
        </w:rPr>
        <w:t xml:space="preserve">filed a </w:t>
      </w:r>
      <w:r w:rsidR="00551035">
        <w:rPr>
          <w:rFonts w:ascii="Times New Roman" w:hAnsi="Times New Roman"/>
          <w:sz w:val="26"/>
          <w:szCs w:val="24"/>
        </w:rPr>
        <w:t>F</w:t>
      </w:r>
      <w:r w:rsidR="00086384" w:rsidRPr="00551035">
        <w:rPr>
          <w:rFonts w:ascii="Times New Roman" w:hAnsi="Times New Roman"/>
          <w:sz w:val="26"/>
          <w:szCs w:val="24"/>
        </w:rPr>
        <w:t xml:space="preserve">ormal </w:t>
      </w:r>
      <w:r w:rsidR="00551035">
        <w:rPr>
          <w:rFonts w:ascii="Times New Roman" w:hAnsi="Times New Roman"/>
          <w:sz w:val="26"/>
          <w:szCs w:val="24"/>
        </w:rPr>
        <w:t>C</w:t>
      </w:r>
      <w:r w:rsidR="00086384" w:rsidRPr="00551035">
        <w:rPr>
          <w:rFonts w:ascii="Times New Roman" w:hAnsi="Times New Roman"/>
          <w:sz w:val="26"/>
          <w:szCs w:val="24"/>
        </w:rPr>
        <w:t xml:space="preserve">omplaint </w:t>
      </w:r>
      <w:r w:rsidR="00086384" w:rsidRPr="00551035">
        <w:rPr>
          <w:rFonts w:ascii="Times New Roman" w:hAnsi="Times New Roman" w:cs="CG Times"/>
          <w:sz w:val="26"/>
          <w:szCs w:val="24"/>
        </w:rPr>
        <w:t>at Docket No. C</w:t>
      </w:r>
      <w:r w:rsidR="008228FF">
        <w:rPr>
          <w:rFonts w:ascii="Times New Roman" w:hAnsi="Times New Roman" w:cs="CG Times"/>
          <w:sz w:val="26"/>
          <w:szCs w:val="24"/>
        </w:rPr>
        <w:noBreakHyphen/>
      </w:r>
      <w:r w:rsidR="00086384" w:rsidRPr="00551035">
        <w:rPr>
          <w:rFonts w:ascii="Times New Roman" w:hAnsi="Times New Roman" w:cs="CG Times"/>
          <w:sz w:val="26"/>
          <w:szCs w:val="24"/>
        </w:rPr>
        <w:t>201</w:t>
      </w:r>
      <w:r w:rsidR="00114B34">
        <w:rPr>
          <w:rFonts w:ascii="Times New Roman" w:hAnsi="Times New Roman" w:cs="CG Times"/>
          <w:sz w:val="26"/>
          <w:szCs w:val="24"/>
        </w:rPr>
        <w:t>7</w:t>
      </w:r>
      <w:r w:rsidR="00086384" w:rsidRPr="00551035">
        <w:rPr>
          <w:rFonts w:ascii="Times New Roman" w:hAnsi="Times New Roman" w:cs="CG Times"/>
          <w:sz w:val="26"/>
          <w:szCs w:val="24"/>
        </w:rPr>
        <w:t>-2</w:t>
      </w:r>
      <w:r w:rsidR="00E325BC">
        <w:rPr>
          <w:rFonts w:ascii="Times New Roman" w:hAnsi="Times New Roman" w:cs="CG Times"/>
          <w:sz w:val="26"/>
          <w:szCs w:val="24"/>
        </w:rPr>
        <w:t>607397</w:t>
      </w:r>
      <w:r w:rsidR="00551035">
        <w:rPr>
          <w:rFonts w:ascii="Times New Roman" w:hAnsi="Times New Roman" w:cs="CG Times"/>
          <w:sz w:val="26"/>
          <w:szCs w:val="24"/>
        </w:rPr>
        <w:t xml:space="preserve"> (Complaint), alleging</w:t>
      </w:r>
      <w:r w:rsidR="00086384" w:rsidRPr="00551035">
        <w:rPr>
          <w:rFonts w:ascii="Times New Roman" w:hAnsi="Times New Roman" w:cs="CG Times"/>
          <w:sz w:val="26"/>
          <w:szCs w:val="24"/>
        </w:rPr>
        <w:t xml:space="preserve"> </w:t>
      </w:r>
      <w:r w:rsidR="00E325BC">
        <w:rPr>
          <w:rFonts w:ascii="Times New Roman" w:hAnsi="Times New Roman" w:cs="CG Times"/>
          <w:sz w:val="26"/>
          <w:szCs w:val="24"/>
        </w:rPr>
        <w:t xml:space="preserve">that she is unable to pay her gas bills and that she has a </w:t>
      </w:r>
      <w:r w:rsidR="00086384" w:rsidRPr="00551035">
        <w:rPr>
          <w:rFonts w:ascii="Times New Roman" w:hAnsi="Times New Roman" w:cs="CG Times"/>
          <w:sz w:val="26"/>
          <w:szCs w:val="24"/>
        </w:rPr>
        <w:t>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 with h</w:t>
      </w:r>
      <w:r w:rsidR="00E325BC">
        <w:rPr>
          <w:rFonts w:ascii="Times New Roman" w:hAnsi="Times New Roman" w:cs="CG Times"/>
          <w:sz w:val="26"/>
          <w:szCs w:val="24"/>
        </w:rPr>
        <w:t>er</w:t>
      </w:r>
      <w:r w:rsidR="00086384" w:rsidRPr="00551035">
        <w:rPr>
          <w:rFonts w:ascii="Times New Roman" w:hAnsi="Times New Roman" w:cs="CG Times"/>
          <w:sz w:val="26"/>
          <w:szCs w:val="24"/>
        </w:rPr>
        <w:t xml:space="preserve"> </w:t>
      </w:r>
      <w:r w:rsidR="00E325BC">
        <w:rPr>
          <w:rFonts w:ascii="Times New Roman" w:hAnsi="Times New Roman" w:cs="CG Times"/>
          <w:sz w:val="26"/>
          <w:szCs w:val="24"/>
        </w:rPr>
        <w:t xml:space="preserve">natural gas </w:t>
      </w:r>
      <w:r w:rsidR="00086384" w:rsidRPr="00551035">
        <w:rPr>
          <w:rFonts w:ascii="Times New Roman" w:hAnsi="Times New Roman" w:cs="CG Times"/>
          <w:sz w:val="26"/>
          <w:szCs w:val="24"/>
        </w:rPr>
        <w:t xml:space="preserve">service.  As relief, </w:t>
      </w:r>
      <w:r w:rsidR="00551035">
        <w:rPr>
          <w:rFonts w:ascii="Times New Roman" w:hAnsi="Times New Roman" w:cs="CG Times"/>
          <w:sz w:val="26"/>
          <w:szCs w:val="24"/>
        </w:rPr>
        <w:t>M</w:t>
      </w:r>
      <w:r w:rsidR="00E325BC">
        <w:rPr>
          <w:rFonts w:ascii="Times New Roman" w:hAnsi="Times New Roman" w:cs="CG Times"/>
          <w:sz w:val="26"/>
          <w:szCs w:val="24"/>
        </w:rPr>
        <w:t>s</w:t>
      </w:r>
      <w:r w:rsidR="00551035">
        <w:rPr>
          <w:rFonts w:ascii="Times New Roman" w:hAnsi="Times New Roman" w:cs="CG Times"/>
          <w:sz w:val="26"/>
          <w:szCs w:val="24"/>
        </w:rPr>
        <w:t>.</w:t>
      </w:r>
      <w:r w:rsidR="002A7A3C">
        <w:rPr>
          <w:rFonts w:ascii="Times New Roman" w:hAnsi="Times New Roman" w:cs="CG Times"/>
          <w:sz w:val="26"/>
          <w:szCs w:val="24"/>
        </w:rPr>
        <w:t> </w:t>
      </w:r>
      <w:r w:rsidR="00E325BC">
        <w:rPr>
          <w:rFonts w:ascii="Times New Roman" w:hAnsi="Times New Roman" w:cs="CG Times"/>
          <w:sz w:val="26"/>
          <w:szCs w:val="24"/>
        </w:rPr>
        <w:t>Maxwell</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E325BC">
        <w:rPr>
          <w:rFonts w:ascii="Times New Roman" w:hAnsi="Times New Roman" w:cs="CG Times"/>
          <w:sz w:val="26"/>
          <w:szCs w:val="24"/>
        </w:rPr>
        <w:t>an affordable payment arrangement</w:t>
      </w:r>
      <w:r w:rsidR="008228FF">
        <w:rPr>
          <w:rFonts w:ascii="Times New Roman" w:hAnsi="Times New Roman" w:cs="CG Times"/>
          <w:sz w:val="26"/>
          <w:szCs w:val="24"/>
        </w:rPr>
        <w:t>.</w:t>
      </w:r>
    </w:p>
    <w:p w14:paraId="67D0E30D" w14:textId="77777777" w:rsidR="00086384" w:rsidRPr="00086384" w:rsidRDefault="00086384" w:rsidP="0061437C">
      <w:pPr>
        <w:autoSpaceDE w:val="0"/>
        <w:autoSpaceDN w:val="0"/>
        <w:spacing w:line="360" w:lineRule="auto"/>
        <w:rPr>
          <w:rFonts w:ascii="Times New Roman" w:hAnsi="Times New Roman" w:cs="CG Times"/>
          <w:sz w:val="26"/>
          <w:szCs w:val="24"/>
        </w:rPr>
      </w:pPr>
    </w:p>
    <w:p w14:paraId="53A35E89" w14:textId="283D0EF4" w:rsidR="00086384" w:rsidRPr="00086384" w:rsidRDefault="00086384" w:rsidP="0061437C">
      <w:pPr>
        <w:autoSpaceDE w:val="0"/>
        <w:autoSpaceDN w:val="0"/>
        <w:spacing w:line="360" w:lineRule="auto"/>
        <w:rPr>
          <w:rFonts w:ascii="Times New Roman" w:hAnsi="Times New Roman"/>
          <w:sz w:val="26"/>
          <w:szCs w:val="24"/>
        </w:rPr>
      </w:pPr>
      <w:r w:rsidRPr="00086384">
        <w:rPr>
          <w:rFonts w:ascii="Times New Roman" w:hAnsi="Times New Roman" w:cs="CG Times"/>
          <w:sz w:val="26"/>
          <w:szCs w:val="24"/>
        </w:rPr>
        <w:tab/>
      </w:r>
      <w:r w:rsidRPr="00086384">
        <w:rPr>
          <w:rFonts w:ascii="Times New Roman" w:hAnsi="Times New Roman" w:cs="CG Times"/>
          <w:sz w:val="26"/>
          <w:szCs w:val="24"/>
        </w:rPr>
        <w:tab/>
      </w:r>
      <w:r w:rsidR="00C36A08">
        <w:rPr>
          <w:rFonts w:ascii="Times New Roman" w:hAnsi="Times New Roman" w:cs="CG Times"/>
          <w:sz w:val="26"/>
          <w:szCs w:val="24"/>
        </w:rPr>
        <w:t>P</w:t>
      </w:r>
      <w:r w:rsidR="00E325BC">
        <w:rPr>
          <w:rFonts w:ascii="Times New Roman" w:hAnsi="Times New Roman" w:cs="CG Times"/>
          <w:sz w:val="26"/>
          <w:szCs w:val="24"/>
        </w:rPr>
        <w:t>GW</w:t>
      </w:r>
      <w:r w:rsidRPr="00086384">
        <w:rPr>
          <w:rFonts w:ascii="Times New Roman" w:hAnsi="Times New Roman"/>
          <w:sz w:val="26"/>
          <w:szCs w:val="24"/>
        </w:rPr>
        <w:t xml:space="preserve"> filed </w:t>
      </w:r>
      <w:r w:rsidR="00114B34">
        <w:rPr>
          <w:rFonts w:ascii="Times New Roman" w:hAnsi="Times New Roman"/>
          <w:sz w:val="26"/>
          <w:szCs w:val="24"/>
        </w:rPr>
        <w:t xml:space="preserve">an </w:t>
      </w:r>
      <w:r w:rsidR="00C36A08">
        <w:rPr>
          <w:rFonts w:ascii="Times New Roman" w:hAnsi="Times New Roman"/>
          <w:sz w:val="26"/>
          <w:szCs w:val="24"/>
        </w:rPr>
        <w:t>A</w:t>
      </w:r>
      <w:r w:rsidRPr="00086384">
        <w:rPr>
          <w:rFonts w:ascii="Times New Roman" w:hAnsi="Times New Roman"/>
          <w:sz w:val="26"/>
          <w:szCs w:val="24"/>
        </w:rPr>
        <w:t xml:space="preserve">nswer to </w:t>
      </w:r>
      <w:r w:rsidR="00240F99">
        <w:rPr>
          <w:rFonts w:ascii="Times New Roman" w:hAnsi="Times New Roman"/>
          <w:sz w:val="26"/>
          <w:szCs w:val="24"/>
        </w:rPr>
        <w:t xml:space="preserve">the Complaint </w:t>
      </w:r>
      <w:r w:rsidRPr="00086384">
        <w:rPr>
          <w:rFonts w:ascii="Times New Roman" w:hAnsi="Times New Roman"/>
          <w:sz w:val="26"/>
          <w:szCs w:val="24"/>
        </w:rPr>
        <w:t xml:space="preserve">on </w:t>
      </w:r>
      <w:r w:rsidR="00E325BC">
        <w:rPr>
          <w:rFonts w:ascii="Times New Roman" w:hAnsi="Times New Roman"/>
          <w:sz w:val="26"/>
          <w:szCs w:val="24"/>
        </w:rPr>
        <w:t>June 23</w:t>
      </w:r>
      <w:r w:rsidR="00114B34">
        <w:rPr>
          <w:rFonts w:ascii="Times New Roman" w:hAnsi="Times New Roman"/>
          <w:sz w:val="26"/>
          <w:szCs w:val="24"/>
        </w:rPr>
        <w:t>, 2017</w:t>
      </w:r>
      <w:r w:rsidR="00240F99">
        <w:rPr>
          <w:rFonts w:ascii="Times New Roman" w:hAnsi="Times New Roman"/>
          <w:sz w:val="26"/>
          <w:szCs w:val="24"/>
        </w:rPr>
        <w:t xml:space="preserve">, denying the material allegations </w:t>
      </w:r>
      <w:r w:rsidR="00621B28">
        <w:rPr>
          <w:rFonts w:ascii="Times New Roman" w:hAnsi="Times New Roman"/>
          <w:sz w:val="26"/>
          <w:szCs w:val="24"/>
        </w:rPr>
        <w:t>of</w:t>
      </w:r>
      <w:r w:rsidR="00240F99">
        <w:rPr>
          <w:rFonts w:ascii="Times New Roman" w:hAnsi="Times New Roman"/>
          <w:sz w:val="26"/>
          <w:szCs w:val="24"/>
        </w:rPr>
        <w:t xml:space="preserve"> the Complaint</w:t>
      </w:r>
      <w:r w:rsidR="0070746E">
        <w:rPr>
          <w:rFonts w:ascii="Times New Roman" w:hAnsi="Times New Roman"/>
          <w:sz w:val="26"/>
          <w:szCs w:val="24"/>
        </w:rPr>
        <w:t xml:space="preserve"> and admitting that the Company issued a termination notice to the Complainant’s service address due to the Complainant’s failure to make a payment in accordance with her most recent Company-issued payment arrangement.  Such payment arrangement was issued by </w:t>
      </w:r>
      <w:r w:rsidR="002A7A3C">
        <w:rPr>
          <w:rFonts w:ascii="Times New Roman" w:hAnsi="Times New Roman"/>
          <w:sz w:val="26"/>
          <w:szCs w:val="24"/>
        </w:rPr>
        <w:t xml:space="preserve">the </w:t>
      </w:r>
      <w:r w:rsidR="0070746E">
        <w:rPr>
          <w:rFonts w:ascii="Times New Roman" w:hAnsi="Times New Roman"/>
          <w:sz w:val="26"/>
          <w:szCs w:val="24"/>
        </w:rPr>
        <w:t>Company as a formal settlement to the Complainant’s prior formal complaint filed with the Commission at Docket No. C-2016-2575653.  Answer ¶¶ 4, 5.</w:t>
      </w:r>
    </w:p>
    <w:p w14:paraId="3D6E8E6D" w14:textId="77777777" w:rsidR="00086384" w:rsidRPr="00086384" w:rsidRDefault="00086384" w:rsidP="0061437C">
      <w:pPr>
        <w:autoSpaceDE w:val="0"/>
        <w:autoSpaceDN w:val="0"/>
        <w:spacing w:line="360" w:lineRule="auto"/>
        <w:rPr>
          <w:rFonts w:ascii="Times New Roman" w:hAnsi="Times New Roman"/>
          <w:sz w:val="26"/>
          <w:szCs w:val="24"/>
        </w:rPr>
      </w:pPr>
    </w:p>
    <w:p w14:paraId="56536611" w14:textId="77777777" w:rsidR="00B01381" w:rsidRDefault="00086384" w:rsidP="00EF6167">
      <w:pPr>
        <w:autoSpaceDE w:val="0"/>
        <w:autoSpaceDN w:val="0"/>
        <w:spacing w:line="360" w:lineRule="auto"/>
        <w:rPr>
          <w:rFonts w:ascii="Times New Roman" w:hAnsi="Times New Roman"/>
          <w:sz w:val="26"/>
          <w:szCs w:val="24"/>
        </w:rPr>
      </w:pPr>
      <w:r w:rsidRPr="00086384">
        <w:rPr>
          <w:rFonts w:ascii="Times New Roman" w:hAnsi="Times New Roman"/>
          <w:sz w:val="26"/>
          <w:szCs w:val="24"/>
        </w:rPr>
        <w:tab/>
      </w:r>
      <w:r w:rsidRPr="00086384">
        <w:rPr>
          <w:rFonts w:ascii="Times New Roman" w:hAnsi="Times New Roman"/>
          <w:sz w:val="26"/>
          <w:szCs w:val="24"/>
        </w:rPr>
        <w:tab/>
      </w:r>
      <w:r w:rsidR="00EF5220">
        <w:rPr>
          <w:rFonts w:ascii="Times New Roman" w:hAnsi="Times New Roman"/>
          <w:sz w:val="26"/>
          <w:szCs w:val="24"/>
        </w:rPr>
        <w:t xml:space="preserve">The hearing </w:t>
      </w:r>
      <w:r w:rsidR="00416FAA">
        <w:rPr>
          <w:rFonts w:ascii="Times New Roman" w:hAnsi="Times New Roman"/>
          <w:sz w:val="26"/>
          <w:szCs w:val="24"/>
        </w:rPr>
        <w:t xml:space="preserve">convened as scheduled on September 13, 2017.  </w:t>
      </w:r>
      <w:r w:rsidR="00EF5220">
        <w:rPr>
          <w:rFonts w:ascii="Times New Roman" w:hAnsi="Times New Roman"/>
          <w:bCs/>
          <w:spacing w:val="-3"/>
          <w:sz w:val="26"/>
          <w:szCs w:val="24"/>
        </w:rPr>
        <w:t xml:space="preserve">The </w:t>
      </w:r>
      <w:r w:rsidRPr="00086384">
        <w:rPr>
          <w:rFonts w:ascii="Times New Roman" w:hAnsi="Times New Roman"/>
          <w:sz w:val="26"/>
          <w:szCs w:val="24"/>
        </w:rPr>
        <w:t xml:space="preserve">Complainant appeared </w:t>
      </w:r>
      <w:r w:rsidRPr="00086384">
        <w:rPr>
          <w:rFonts w:ascii="Times New Roman" w:hAnsi="Times New Roman"/>
          <w:i/>
          <w:sz w:val="26"/>
          <w:szCs w:val="24"/>
        </w:rPr>
        <w:t>pro se</w:t>
      </w:r>
      <w:r w:rsidRPr="00086384">
        <w:rPr>
          <w:rFonts w:ascii="Times New Roman" w:hAnsi="Times New Roman"/>
          <w:sz w:val="26"/>
          <w:szCs w:val="24"/>
        </w:rPr>
        <w:t xml:space="preserve"> and testified on h</w:t>
      </w:r>
      <w:r w:rsidR="00416FAA">
        <w:rPr>
          <w:rFonts w:ascii="Times New Roman" w:hAnsi="Times New Roman"/>
          <w:sz w:val="26"/>
          <w:szCs w:val="24"/>
        </w:rPr>
        <w:t>er</w:t>
      </w:r>
      <w:r w:rsidRPr="00086384">
        <w:rPr>
          <w:rFonts w:ascii="Times New Roman" w:hAnsi="Times New Roman"/>
          <w:sz w:val="26"/>
          <w:szCs w:val="24"/>
        </w:rPr>
        <w:t xml:space="preserve"> own behalf.  </w:t>
      </w:r>
      <w:r w:rsidR="00416FAA">
        <w:rPr>
          <w:rFonts w:ascii="Times New Roman" w:hAnsi="Times New Roman"/>
          <w:sz w:val="26"/>
          <w:szCs w:val="24"/>
        </w:rPr>
        <w:t>PGW</w:t>
      </w:r>
      <w:r w:rsidRPr="00086384">
        <w:rPr>
          <w:rFonts w:ascii="Times New Roman" w:hAnsi="Times New Roman"/>
          <w:sz w:val="26"/>
          <w:szCs w:val="24"/>
        </w:rPr>
        <w:t xml:space="preserve"> was represented by </w:t>
      </w:r>
      <w:r w:rsidR="00CF2348">
        <w:rPr>
          <w:rFonts w:ascii="Times New Roman" w:hAnsi="Times New Roman"/>
          <w:sz w:val="26"/>
          <w:szCs w:val="24"/>
        </w:rPr>
        <w:t xml:space="preserve">counsel </w:t>
      </w:r>
      <w:r w:rsidRPr="00086384">
        <w:rPr>
          <w:rFonts w:ascii="Times New Roman" w:hAnsi="Times New Roman"/>
          <w:sz w:val="26"/>
          <w:szCs w:val="24"/>
        </w:rPr>
        <w:t>who presented</w:t>
      </w:r>
      <w:r w:rsidR="00416FAA">
        <w:rPr>
          <w:rFonts w:ascii="Times New Roman" w:hAnsi="Times New Roman"/>
          <w:sz w:val="26"/>
          <w:szCs w:val="24"/>
        </w:rPr>
        <w:t xml:space="preserve"> the</w:t>
      </w:r>
      <w:r w:rsidRPr="00086384">
        <w:rPr>
          <w:rFonts w:ascii="Times New Roman" w:hAnsi="Times New Roman"/>
          <w:sz w:val="26"/>
          <w:szCs w:val="24"/>
        </w:rPr>
        <w:t xml:space="preserve"> testimony </w:t>
      </w:r>
      <w:r w:rsidR="00416FAA">
        <w:rPr>
          <w:rFonts w:ascii="Times New Roman" w:hAnsi="Times New Roman"/>
          <w:sz w:val="26"/>
          <w:szCs w:val="24"/>
        </w:rPr>
        <w:t xml:space="preserve">of one </w:t>
      </w:r>
      <w:r w:rsidRPr="00086384">
        <w:rPr>
          <w:rFonts w:ascii="Times New Roman" w:hAnsi="Times New Roman"/>
          <w:sz w:val="26"/>
          <w:szCs w:val="24"/>
        </w:rPr>
        <w:t>witness</w:t>
      </w:r>
      <w:r w:rsidR="00B61189">
        <w:rPr>
          <w:rFonts w:ascii="Times New Roman" w:hAnsi="Times New Roman"/>
          <w:sz w:val="26"/>
          <w:szCs w:val="24"/>
        </w:rPr>
        <w:t xml:space="preserve"> and offered </w:t>
      </w:r>
      <w:r w:rsidR="00416FAA">
        <w:rPr>
          <w:rFonts w:ascii="Times New Roman" w:hAnsi="Times New Roman"/>
          <w:sz w:val="26"/>
          <w:szCs w:val="24"/>
        </w:rPr>
        <w:t>three</w:t>
      </w:r>
      <w:r w:rsidR="00B61189">
        <w:rPr>
          <w:rFonts w:ascii="Times New Roman" w:hAnsi="Times New Roman"/>
          <w:sz w:val="26"/>
          <w:szCs w:val="24"/>
        </w:rPr>
        <w:t xml:space="preserve"> exhibit</w:t>
      </w:r>
      <w:r w:rsidR="00712BB8">
        <w:rPr>
          <w:rFonts w:ascii="Times New Roman" w:hAnsi="Times New Roman"/>
          <w:sz w:val="26"/>
          <w:szCs w:val="24"/>
        </w:rPr>
        <w:t>s</w:t>
      </w:r>
      <w:r w:rsidR="00B61189">
        <w:rPr>
          <w:rFonts w:ascii="Times New Roman" w:hAnsi="Times New Roman"/>
          <w:sz w:val="26"/>
          <w:szCs w:val="24"/>
        </w:rPr>
        <w:t xml:space="preserve"> which w</w:t>
      </w:r>
      <w:r w:rsidR="00416FAA">
        <w:rPr>
          <w:rFonts w:ascii="Times New Roman" w:hAnsi="Times New Roman"/>
          <w:sz w:val="26"/>
          <w:szCs w:val="24"/>
        </w:rPr>
        <w:t>ere</w:t>
      </w:r>
      <w:r w:rsidR="00B61189">
        <w:rPr>
          <w:rFonts w:ascii="Times New Roman" w:hAnsi="Times New Roman"/>
          <w:sz w:val="26"/>
          <w:szCs w:val="24"/>
        </w:rPr>
        <w:t xml:space="preserve"> entered into evidence</w:t>
      </w:r>
      <w:r w:rsidRPr="00086384">
        <w:rPr>
          <w:rFonts w:ascii="Times New Roman" w:hAnsi="Times New Roman"/>
          <w:sz w:val="26"/>
          <w:szCs w:val="24"/>
        </w:rPr>
        <w:t>.</w:t>
      </w:r>
      <w:r w:rsidR="00CF2348">
        <w:rPr>
          <w:rFonts w:ascii="Times New Roman" w:hAnsi="Times New Roman"/>
          <w:sz w:val="26"/>
          <w:szCs w:val="24"/>
        </w:rPr>
        <w:t xml:space="preserve">  </w:t>
      </w:r>
    </w:p>
    <w:p w14:paraId="4C3C8E25" w14:textId="77777777" w:rsidR="00B01381" w:rsidRDefault="00B01381" w:rsidP="00B01381">
      <w:pPr>
        <w:autoSpaceDE w:val="0"/>
        <w:autoSpaceDN w:val="0"/>
        <w:spacing w:line="360" w:lineRule="auto"/>
        <w:ind w:firstLine="1440"/>
        <w:rPr>
          <w:rFonts w:ascii="Times New Roman" w:hAnsi="Times New Roman"/>
          <w:spacing w:val="4"/>
          <w:sz w:val="26"/>
          <w:szCs w:val="24"/>
        </w:rPr>
      </w:pPr>
    </w:p>
    <w:p w14:paraId="4F853689" w14:textId="6585DB05" w:rsidR="00B01381" w:rsidRDefault="00B01381" w:rsidP="00B01381">
      <w:pPr>
        <w:autoSpaceDE w:val="0"/>
        <w:autoSpaceDN w:val="0"/>
        <w:spacing w:line="360" w:lineRule="auto"/>
        <w:ind w:firstLine="1440"/>
        <w:rPr>
          <w:rFonts w:ascii="Times New Roman" w:hAnsi="Times New Roman"/>
          <w:sz w:val="26"/>
          <w:szCs w:val="24"/>
        </w:rPr>
      </w:pPr>
      <w:r w:rsidRPr="00B43C9F">
        <w:rPr>
          <w:rFonts w:ascii="Times New Roman" w:hAnsi="Times New Roman"/>
          <w:spacing w:val="4"/>
          <w:sz w:val="26"/>
          <w:szCs w:val="24"/>
        </w:rPr>
        <w:t xml:space="preserve">During the hearing, PGW’s counsel made an oral motion to dismiss the portion of Ms. Maxwell’s Complaint alleging a </w:t>
      </w:r>
      <w:r w:rsidR="0035089F">
        <w:rPr>
          <w:rFonts w:ascii="Times New Roman" w:hAnsi="Times New Roman"/>
          <w:spacing w:val="4"/>
          <w:sz w:val="26"/>
          <w:szCs w:val="24"/>
        </w:rPr>
        <w:t>billing</w:t>
      </w:r>
      <w:r w:rsidRPr="00B43C9F">
        <w:rPr>
          <w:rFonts w:ascii="Times New Roman" w:hAnsi="Times New Roman"/>
          <w:spacing w:val="4"/>
          <w:sz w:val="26"/>
          <w:szCs w:val="24"/>
        </w:rPr>
        <w:t xml:space="preserve"> problem with her gas service that occurred </w:t>
      </w:r>
      <w:r w:rsidR="0035089F">
        <w:rPr>
          <w:rFonts w:ascii="Times New Roman" w:hAnsi="Times New Roman"/>
          <w:spacing w:val="4"/>
          <w:sz w:val="26"/>
          <w:szCs w:val="24"/>
        </w:rPr>
        <w:t xml:space="preserve">between 1996 and 2007, which is </w:t>
      </w:r>
      <w:r w:rsidRPr="00B43C9F">
        <w:rPr>
          <w:rFonts w:ascii="Times New Roman" w:hAnsi="Times New Roman"/>
          <w:spacing w:val="4"/>
          <w:sz w:val="26"/>
          <w:szCs w:val="24"/>
        </w:rPr>
        <w:t>before</w:t>
      </w:r>
      <w:r w:rsidR="0035089F">
        <w:rPr>
          <w:rFonts w:ascii="Times New Roman" w:hAnsi="Times New Roman"/>
          <w:spacing w:val="4"/>
          <w:sz w:val="26"/>
          <w:szCs w:val="24"/>
        </w:rPr>
        <w:t xml:space="preserve"> the relevant statute of limitations, which is three years preceding her complaint, which for purposes of the Complaint would be</w:t>
      </w:r>
      <w:r w:rsidRPr="00B43C9F">
        <w:rPr>
          <w:rFonts w:ascii="Times New Roman" w:hAnsi="Times New Roman"/>
          <w:spacing w:val="4"/>
          <w:sz w:val="26"/>
          <w:szCs w:val="24"/>
        </w:rPr>
        <w:t xml:space="preserve"> May 30, 2014</w:t>
      </w:r>
      <w:r w:rsidR="006C7D6F">
        <w:rPr>
          <w:rFonts w:ascii="Times New Roman" w:hAnsi="Times New Roman"/>
          <w:spacing w:val="4"/>
          <w:sz w:val="26"/>
          <w:szCs w:val="24"/>
        </w:rPr>
        <w:t>,</w:t>
      </w:r>
      <w:r w:rsidR="0035089F">
        <w:rPr>
          <w:rFonts w:ascii="Times New Roman" w:hAnsi="Times New Roman"/>
          <w:spacing w:val="4"/>
          <w:sz w:val="26"/>
          <w:szCs w:val="24"/>
        </w:rPr>
        <w:t xml:space="preserve"> and beyond.  Tr. at 8.</w:t>
      </w:r>
      <w:r w:rsidRPr="00B43C9F">
        <w:rPr>
          <w:rFonts w:ascii="Times New Roman" w:hAnsi="Times New Roman"/>
          <w:spacing w:val="4"/>
          <w:sz w:val="26"/>
          <w:szCs w:val="24"/>
        </w:rPr>
        <w:t xml:space="preserve">  The</w:t>
      </w:r>
      <w:r w:rsidR="0035089F">
        <w:rPr>
          <w:rFonts w:ascii="Times New Roman" w:hAnsi="Times New Roman"/>
          <w:spacing w:val="4"/>
          <w:sz w:val="26"/>
          <w:szCs w:val="24"/>
        </w:rPr>
        <w:t xml:space="preserve"> ALJ granted the oral motion</w:t>
      </w:r>
      <w:r w:rsidRPr="00B43C9F">
        <w:rPr>
          <w:rFonts w:ascii="Times New Roman" w:hAnsi="Times New Roman"/>
          <w:spacing w:val="4"/>
          <w:sz w:val="26"/>
          <w:szCs w:val="24"/>
        </w:rPr>
        <w:t>.  Tr. at 10.  Later in the</w:t>
      </w:r>
      <w:r w:rsidR="0035089F">
        <w:rPr>
          <w:rFonts w:ascii="Times New Roman" w:hAnsi="Times New Roman"/>
          <w:spacing w:val="4"/>
          <w:sz w:val="26"/>
          <w:szCs w:val="24"/>
        </w:rPr>
        <w:t xml:space="preserve"> hearing</w:t>
      </w:r>
      <w:r w:rsidRPr="00B43C9F">
        <w:rPr>
          <w:rFonts w:ascii="Times New Roman" w:hAnsi="Times New Roman"/>
          <w:spacing w:val="4"/>
          <w:sz w:val="26"/>
          <w:szCs w:val="24"/>
        </w:rPr>
        <w:t xml:space="preserve">, the Complainant </w:t>
      </w:r>
      <w:r w:rsidR="0035089F">
        <w:rPr>
          <w:rFonts w:ascii="Times New Roman" w:hAnsi="Times New Roman"/>
          <w:spacing w:val="4"/>
          <w:sz w:val="26"/>
          <w:szCs w:val="24"/>
        </w:rPr>
        <w:t>indicated her agreement</w:t>
      </w:r>
      <w:r w:rsidRPr="00B43C9F">
        <w:rPr>
          <w:rFonts w:ascii="Times New Roman" w:hAnsi="Times New Roman"/>
          <w:spacing w:val="4"/>
          <w:sz w:val="26"/>
          <w:szCs w:val="24"/>
        </w:rPr>
        <w:t xml:space="preserve"> </w:t>
      </w:r>
      <w:r w:rsidR="0035089F">
        <w:rPr>
          <w:rFonts w:ascii="Times New Roman" w:hAnsi="Times New Roman"/>
          <w:spacing w:val="4"/>
          <w:sz w:val="26"/>
          <w:szCs w:val="24"/>
        </w:rPr>
        <w:t xml:space="preserve">to limit the prosecution of her claims in the Complaint </w:t>
      </w:r>
      <w:r w:rsidRPr="00B43C9F">
        <w:rPr>
          <w:rFonts w:ascii="Times New Roman" w:hAnsi="Times New Roman"/>
          <w:spacing w:val="4"/>
          <w:sz w:val="26"/>
          <w:szCs w:val="24"/>
        </w:rPr>
        <w:t xml:space="preserve">to address </w:t>
      </w:r>
      <w:r w:rsidR="0035089F">
        <w:rPr>
          <w:rFonts w:ascii="Times New Roman" w:hAnsi="Times New Roman"/>
          <w:spacing w:val="4"/>
          <w:sz w:val="26"/>
          <w:szCs w:val="24"/>
        </w:rPr>
        <w:t xml:space="preserve">only her request for a </w:t>
      </w:r>
      <w:r w:rsidRPr="00B43C9F">
        <w:rPr>
          <w:rFonts w:ascii="Times New Roman" w:hAnsi="Times New Roman"/>
          <w:spacing w:val="4"/>
          <w:sz w:val="26"/>
          <w:szCs w:val="24"/>
        </w:rPr>
        <w:t>payment arrangement, and nothing else.  Tr. at 21.</w:t>
      </w:r>
      <w:r>
        <w:rPr>
          <w:rFonts w:ascii="Times New Roman" w:hAnsi="Times New Roman"/>
          <w:spacing w:val="4"/>
          <w:sz w:val="26"/>
          <w:szCs w:val="24"/>
        </w:rPr>
        <w:t xml:space="preserve"> </w:t>
      </w:r>
    </w:p>
    <w:p w14:paraId="555AD193" w14:textId="2A41D844" w:rsidR="00086384" w:rsidRPr="00B01381" w:rsidRDefault="00CF2348" w:rsidP="00B01381">
      <w:pPr>
        <w:autoSpaceDE w:val="0"/>
        <w:autoSpaceDN w:val="0"/>
        <w:spacing w:line="360" w:lineRule="auto"/>
        <w:ind w:firstLine="1440"/>
        <w:rPr>
          <w:rFonts w:ascii="Times New Roman" w:hAnsi="Times New Roman"/>
          <w:sz w:val="26"/>
          <w:szCs w:val="24"/>
        </w:rPr>
      </w:pPr>
      <w:r>
        <w:rPr>
          <w:rFonts w:ascii="Times New Roman" w:hAnsi="Times New Roman"/>
          <w:sz w:val="26"/>
          <w:szCs w:val="24"/>
        </w:rPr>
        <w:lastRenderedPageBreak/>
        <w:t xml:space="preserve">The hearing resulted in a </w:t>
      </w:r>
      <w:r w:rsidR="00416FAA">
        <w:rPr>
          <w:rFonts w:ascii="Times New Roman" w:hAnsi="Times New Roman"/>
          <w:sz w:val="26"/>
          <w:szCs w:val="24"/>
        </w:rPr>
        <w:t>fifty-four</w:t>
      </w:r>
      <w:r>
        <w:rPr>
          <w:rFonts w:ascii="Times New Roman" w:hAnsi="Times New Roman"/>
          <w:sz w:val="26"/>
          <w:szCs w:val="24"/>
        </w:rPr>
        <w:t>-page</w:t>
      </w:r>
      <w:r w:rsidR="00086384" w:rsidRPr="00086384">
        <w:rPr>
          <w:rFonts w:ascii="Times New Roman" w:hAnsi="Times New Roman"/>
          <w:bCs/>
          <w:spacing w:val="-3"/>
          <w:sz w:val="26"/>
          <w:szCs w:val="24"/>
        </w:rPr>
        <w:t xml:space="preserve"> transcript.  The record </w:t>
      </w:r>
      <w:r>
        <w:rPr>
          <w:rFonts w:ascii="Times New Roman" w:hAnsi="Times New Roman"/>
          <w:bCs/>
          <w:spacing w:val="-3"/>
          <w:sz w:val="26"/>
          <w:szCs w:val="24"/>
        </w:rPr>
        <w:t xml:space="preserve">was </w:t>
      </w:r>
      <w:r w:rsidR="00086384" w:rsidRPr="00086384">
        <w:rPr>
          <w:rFonts w:ascii="Times New Roman" w:hAnsi="Times New Roman"/>
          <w:bCs/>
          <w:spacing w:val="-3"/>
          <w:sz w:val="26"/>
          <w:szCs w:val="24"/>
        </w:rPr>
        <w:t xml:space="preserve">closed upon receipt of the transcript on </w:t>
      </w:r>
      <w:r w:rsidR="00416FAA">
        <w:rPr>
          <w:rFonts w:ascii="Times New Roman" w:hAnsi="Times New Roman"/>
          <w:bCs/>
          <w:spacing w:val="-3"/>
          <w:sz w:val="26"/>
          <w:szCs w:val="24"/>
        </w:rPr>
        <w:t>October</w:t>
      </w:r>
      <w:r w:rsidR="00114B34">
        <w:rPr>
          <w:rFonts w:ascii="Times New Roman" w:hAnsi="Times New Roman"/>
          <w:bCs/>
          <w:spacing w:val="-3"/>
          <w:sz w:val="26"/>
          <w:szCs w:val="24"/>
        </w:rPr>
        <w:t xml:space="preserve"> 1</w:t>
      </w:r>
      <w:r w:rsidR="00416FAA">
        <w:rPr>
          <w:rFonts w:ascii="Times New Roman" w:hAnsi="Times New Roman"/>
          <w:bCs/>
          <w:spacing w:val="-3"/>
          <w:sz w:val="26"/>
          <w:szCs w:val="24"/>
        </w:rPr>
        <w:t>7</w:t>
      </w:r>
      <w:r w:rsidR="00114B34">
        <w:rPr>
          <w:rFonts w:ascii="Times New Roman" w:hAnsi="Times New Roman"/>
          <w:bCs/>
          <w:spacing w:val="-3"/>
          <w:sz w:val="26"/>
          <w:szCs w:val="24"/>
        </w:rPr>
        <w:t>, 2017</w:t>
      </w:r>
      <w:r w:rsidR="00086384" w:rsidRPr="00086384">
        <w:rPr>
          <w:rFonts w:ascii="Times New Roman" w:hAnsi="Times New Roman"/>
          <w:bCs/>
          <w:spacing w:val="-3"/>
          <w:sz w:val="26"/>
          <w:szCs w:val="24"/>
        </w:rPr>
        <w:t>.</w:t>
      </w:r>
    </w:p>
    <w:p w14:paraId="1826D669" w14:textId="77777777" w:rsidR="007072FF" w:rsidRPr="007072FF" w:rsidRDefault="007072FF" w:rsidP="0061437C">
      <w:pPr>
        <w:autoSpaceDE w:val="0"/>
        <w:autoSpaceDN w:val="0"/>
        <w:spacing w:line="360" w:lineRule="auto"/>
        <w:rPr>
          <w:rFonts w:ascii="Times New Roman" w:hAnsi="Times New Roman"/>
          <w:bCs/>
          <w:spacing w:val="-3"/>
          <w:sz w:val="26"/>
          <w:szCs w:val="24"/>
        </w:rPr>
      </w:pPr>
    </w:p>
    <w:p w14:paraId="24FC441A" w14:textId="5D0C1890" w:rsidR="00350000" w:rsidRDefault="00A34A98" w:rsidP="0061437C">
      <w:pPr>
        <w:autoSpaceDE w:val="0"/>
        <w:autoSpaceDN w:val="0"/>
        <w:spacing w:line="360" w:lineRule="auto"/>
        <w:rPr>
          <w:rFonts w:ascii="Times New Roman" w:hAnsi="Times New Roman"/>
          <w:sz w:val="26"/>
          <w:szCs w:val="24"/>
        </w:rPr>
      </w:pPr>
      <w:r w:rsidRPr="007072FF">
        <w:rPr>
          <w:rFonts w:ascii="Times New Roman" w:hAnsi="Times New Roman"/>
          <w:sz w:val="26"/>
          <w:szCs w:val="24"/>
        </w:rPr>
        <w:tab/>
      </w:r>
      <w:r w:rsidRPr="007072FF">
        <w:rPr>
          <w:rFonts w:ascii="Times New Roman" w:hAnsi="Times New Roman"/>
          <w:sz w:val="26"/>
          <w:szCs w:val="24"/>
        </w:rPr>
        <w:tab/>
      </w:r>
      <w:r w:rsidR="00B82AD6">
        <w:rPr>
          <w:rFonts w:ascii="Times New Roman" w:hAnsi="Times New Roman"/>
          <w:sz w:val="26"/>
          <w:szCs w:val="24"/>
        </w:rPr>
        <w:t xml:space="preserve">In the Initial Decision, issued </w:t>
      </w:r>
      <w:r w:rsidR="00416FAA">
        <w:rPr>
          <w:rFonts w:ascii="Times New Roman" w:hAnsi="Times New Roman"/>
          <w:sz w:val="26"/>
          <w:szCs w:val="24"/>
        </w:rPr>
        <w:t xml:space="preserve">January </w:t>
      </w:r>
      <w:r w:rsidR="00114B34">
        <w:rPr>
          <w:rFonts w:ascii="Times New Roman" w:hAnsi="Times New Roman"/>
          <w:sz w:val="26"/>
          <w:szCs w:val="24"/>
        </w:rPr>
        <w:t>3</w:t>
      </w:r>
      <w:r w:rsidR="00416FAA">
        <w:rPr>
          <w:rFonts w:ascii="Times New Roman" w:hAnsi="Times New Roman"/>
          <w:sz w:val="26"/>
          <w:szCs w:val="24"/>
        </w:rPr>
        <w:t>0</w:t>
      </w:r>
      <w:r w:rsidR="00114B34">
        <w:rPr>
          <w:rFonts w:ascii="Times New Roman" w:hAnsi="Times New Roman"/>
          <w:sz w:val="26"/>
          <w:szCs w:val="24"/>
        </w:rPr>
        <w:t>, 201</w:t>
      </w:r>
      <w:r w:rsidR="00416FAA">
        <w:rPr>
          <w:rFonts w:ascii="Times New Roman" w:hAnsi="Times New Roman"/>
          <w:sz w:val="26"/>
          <w:szCs w:val="24"/>
        </w:rPr>
        <w:t>8</w:t>
      </w:r>
      <w:r w:rsidR="00CF2348">
        <w:rPr>
          <w:rFonts w:ascii="Times New Roman" w:hAnsi="Times New Roman"/>
          <w:sz w:val="26"/>
        </w:rPr>
        <w:t>,</w:t>
      </w:r>
      <w:r w:rsidR="00A602B5">
        <w:rPr>
          <w:rFonts w:ascii="Times New Roman" w:hAnsi="Times New Roman"/>
          <w:sz w:val="26"/>
          <w:szCs w:val="24"/>
        </w:rPr>
        <w:t xml:space="preserve"> ALJ </w:t>
      </w:r>
      <w:r w:rsidR="00416FAA">
        <w:rPr>
          <w:rFonts w:ascii="Times New Roman" w:hAnsi="Times New Roman"/>
          <w:sz w:val="26"/>
          <w:szCs w:val="24"/>
        </w:rPr>
        <w:t>Vero</w:t>
      </w:r>
      <w:r w:rsidR="00A602B5">
        <w:rPr>
          <w:rFonts w:ascii="Times New Roman" w:hAnsi="Times New Roman"/>
          <w:sz w:val="26"/>
          <w:szCs w:val="24"/>
        </w:rPr>
        <w:t xml:space="preserve"> d</w:t>
      </w:r>
      <w:r w:rsidR="006D232A">
        <w:rPr>
          <w:rFonts w:ascii="Times New Roman" w:hAnsi="Times New Roman"/>
          <w:sz w:val="26"/>
          <w:szCs w:val="24"/>
        </w:rPr>
        <w:t>ismissed</w:t>
      </w:r>
      <w:r w:rsidR="00220A0A" w:rsidRPr="00220A0A">
        <w:rPr>
          <w:rFonts w:ascii="Times New Roman" w:hAnsi="Times New Roman"/>
          <w:sz w:val="26"/>
          <w:szCs w:val="24"/>
        </w:rPr>
        <w:t xml:space="preserve"> </w:t>
      </w:r>
      <w:r w:rsidR="00DA6EC4">
        <w:rPr>
          <w:rFonts w:ascii="Times New Roman" w:hAnsi="Times New Roman"/>
          <w:sz w:val="26"/>
          <w:szCs w:val="24"/>
        </w:rPr>
        <w:t>the Complaint</w:t>
      </w:r>
      <w:r w:rsidR="00416FAA">
        <w:rPr>
          <w:rFonts w:ascii="Times New Roman" w:hAnsi="Times New Roman"/>
          <w:sz w:val="26"/>
          <w:szCs w:val="24"/>
        </w:rPr>
        <w:t xml:space="preserve">, in its entirety, </w:t>
      </w:r>
      <w:r w:rsidR="00416FAA" w:rsidRPr="004925CD">
        <w:rPr>
          <w:rFonts w:ascii="Times New Roman" w:hAnsi="Times New Roman"/>
          <w:i/>
          <w:sz w:val="26"/>
          <w:szCs w:val="24"/>
        </w:rPr>
        <w:t>with prejudice</w:t>
      </w:r>
      <w:r w:rsidR="004925CD">
        <w:rPr>
          <w:rFonts w:ascii="Times New Roman" w:hAnsi="Times New Roman"/>
          <w:sz w:val="26"/>
          <w:szCs w:val="24"/>
        </w:rPr>
        <w:t>,</w:t>
      </w:r>
      <w:r w:rsidR="004925CD">
        <w:rPr>
          <w:rStyle w:val="FootnoteReference"/>
          <w:rFonts w:ascii="Times New Roman" w:hAnsi="Times New Roman"/>
          <w:sz w:val="26"/>
          <w:szCs w:val="24"/>
        </w:rPr>
        <w:footnoteReference w:id="2"/>
      </w:r>
      <w:r w:rsidR="00E503A4">
        <w:rPr>
          <w:rFonts w:ascii="Times New Roman" w:hAnsi="Times New Roman"/>
          <w:sz w:val="26"/>
          <w:szCs w:val="24"/>
        </w:rPr>
        <w:t xml:space="preserve"> on the basis that the Complainant failed to meet h</w:t>
      </w:r>
      <w:r w:rsidR="00416FAA">
        <w:rPr>
          <w:rFonts w:ascii="Times New Roman" w:hAnsi="Times New Roman"/>
          <w:sz w:val="26"/>
          <w:szCs w:val="24"/>
        </w:rPr>
        <w:t>er</w:t>
      </w:r>
      <w:r w:rsidR="00E503A4">
        <w:rPr>
          <w:rFonts w:ascii="Times New Roman" w:hAnsi="Times New Roman"/>
          <w:sz w:val="26"/>
          <w:szCs w:val="24"/>
        </w:rPr>
        <w:t xml:space="preserve"> burden of proof</w:t>
      </w:r>
      <w:r w:rsidR="00416FAA">
        <w:rPr>
          <w:rFonts w:ascii="Times New Roman" w:hAnsi="Times New Roman"/>
          <w:sz w:val="26"/>
          <w:szCs w:val="24"/>
        </w:rPr>
        <w:t xml:space="preserve"> that she qualifies for a payment arrangement.</w:t>
      </w:r>
    </w:p>
    <w:p w14:paraId="7CCD57A2" w14:textId="77777777" w:rsidR="00350000" w:rsidRDefault="00350000" w:rsidP="0061437C">
      <w:pPr>
        <w:autoSpaceDE w:val="0"/>
        <w:autoSpaceDN w:val="0"/>
        <w:spacing w:line="360" w:lineRule="auto"/>
        <w:rPr>
          <w:rFonts w:ascii="Times New Roman" w:hAnsi="Times New Roman"/>
          <w:sz w:val="26"/>
          <w:szCs w:val="24"/>
        </w:rPr>
      </w:pPr>
    </w:p>
    <w:p w14:paraId="6CA7D8E9" w14:textId="77777777" w:rsidR="00DA6EC4" w:rsidRDefault="00350000" w:rsidP="0061437C">
      <w:pPr>
        <w:autoSpaceDE w:val="0"/>
        <w:autoSpaceDN w:val="0"/>
        <w:spacing w:line="360" w:lineRule="auto"/>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b/>
      </w:r>
      <w:r w:rsidR="00CF2348">
        <w:rPr>
          <w:rFonts w:ascii="Times New Roman" w:hAnsi="Times New Roman"/>
          <w:sz w:val="26"/>
          <w:szCs w:val="24"/>
        </w:rPr>
        <w:t>As previously noted, t</w:t>
      </w:r>
      <w:r w:rsidR="00DA6EC4">
        <w:rPr>
          <w:rFonts w:ascii="Times New Roman" w:hAnsi="Times New Roman"/>
          <w:sz w:val="26"/>
          <w:szCs w:val="24"/>
        </w:rPr>
        <w:t xml:space="preserve">he </w:t>
      </w:r>
      <w:r w:rsidR="002E0D0F">
        <w:rPr>
          <w:rFonts w:ascii="Times New Roman" w:hAnsi="Times New Roman"/>
          <w:sz w:val="26"/>
          <w:szCs w:val="24"/>
        </w:rPr>
        <w:t>Complainant</w:t>
      </w:r>
      <w:r w:rsidR="00DA6EC4">
        <w:rPr>
          <w:rFonts w:ascii="Times New Roman" w:hAnsi="Times New Roman"/>
          <w:sz w:val="26"/>
          <w:szCs w:val="24"/>
        </w:rPr>
        <w:t xml:space="preserve"> </w:t>
      </w:r>
      <w:r w:rsidR="002E0D0F">
        <w:rPr>
          <w:rFonts w:ascii="Times New Roman" w:hAnsi="Times New Roman"/>
          <w:sz w:val="26"/>
          <w:szCs w:val="24"/>
        </w:rPr>
        <w:t xml:space="preserve">filed </w:t>
      </w:r>
      <w:r w:rsidR="00DA6EC4">
        <w:rPr>
          <w:rFonts w:ascii="Times New Roman" w:hAnsi="Times New Roman"/>
          <w:sz w:val="26"/>
          <w:szCs w:val="24"/>
        </w:rPr>
        <w:t xml:space="preserve">Exceptions </w:t>
      </w:r>
      <w:r w:rsidR="002E0D0F">
        <w:rPr>
          <w:rFonts w:ascii="Times New Roman" w:hAnsi="Times New Roman"/>
          <w:sz w:val="26"/>
          <w:szCs w:val="24"/>
        </w:rPr>
        <w:t xml:space="preserve">on </w:t>
      </w:r>
      <w:r w:rsidR="00416FAA">
        <w:rPr>
          <w:rFonts w:ascii="Times New Roman" w:hAnsi="Times New Roman"/>
          <w:sz w:val="26"/>
          <w:szCs w:val="24"/>
        </w:rPr>
        <w:t>February 9</w:t>
      </w:r>
      <w:r w:rsidR="00114B34">
        <w:rPr>
          <w:rFonts w:ascii="Times New Roman" w:hAnsi="Times New Roman"/>
          <w:sz w:val="26"/>
          <w:szCs w:val="24"/>
        </w:rPr>
        <w:t>, 201</w:t>
      </w:r>
      <w:r w:rsidR="00416FAA">
        <w:rPr>
          <w:rFonts w:ascii="Times New Roman" w:hAnsi="Times New Roman"/>
          <w:sz w:val="26"/>
          <w:szCs w:val="24"/>
        </w:rPr>
        <w:t xml:space="preserve">8.  PGW did not </w:t>
      </w:r>
      <w:r w:rsidR="00CF2348">
        <w:rPr>
          <w:rFonts w:ascii="Times New Roman" w:hAnsi="Times New Roman"/>
          <w:sz w:val="26"/>
          <w:szCs w:val="24"/>
        </w:rPr>
        <w:t>file Replies to Exceptions</w:t>
      </w:r>
      <w:r w:rsidR="00416FAA">
        <w:rPr>
          <w:rFonts w:ascii="Times New Roman" w:hAnsi="Times New Roman"/>
          <w:sz w:val="26"/>
          <w:szCs w:val="24"/>
        </w:rPr>
        <w:t xml:space="preserve">.  </w:t>
      </w:r>
    </w:p>
    <w:p w14:paraId="7E39549B" w14:textId="77777777" w:rsidR="00544EC6" w:rsidRPr="00544EC6" w:rsidRDefault="00544EC6" w:rsidP="0061437C">
      <w:pPr>
        <w:autoSpaceDE w:val="0"/>
        <w:autoSpaceDN w:val="0"/>
        <w:spacing w:line="360" w:lineRule="auto"/>
        <w:rPr>
          <w:rFonts w:ascii="Times New Roman" w:hAnsi="Times New Roman" w:cs="CG Times"/>
          <w:sz w:val="26"/>
          <w:szCs w:val="24"/>
        </w:rPr>
      </w:pPr>
    </w:p>
    <w:p w14:paraId="786FC926" w14:textId="3E7900EC" w:rsidR="005B0042" w:rsidRDefault="002C3034" w:rsidP="00EF73F6">
      <w:pPr>
        <w:keepNext/>
        <w:keepLines/>
        <w:autoSpaceDE w:val="0"/>
        <w:autoSpaceDN w:val="0"/>
        <w:spacing w:line="360" w:lineRule="auto"/>
        <w:jc w:val="center"/>
        <w:rPr>
          <w:rFonts w:ascii="Times New Roman" w:hAnsi="Times New Roman"/>
          <w:b/>
          <w:sz w:val="26"/>
        </w:rPr>
      </w:pPr>
      <w:r w:rsidRPr="0034252B">
        <w:rPr>
          <w:rFonts w:ascii="Times New Roman" w:hAnsi="Times New Roman"/>
          <w:b/>
          <w:sz w:val="26"/>
        </w:rPr>
        <w:t>Discussion</w:t>
      </w:r>
    </w:p>
    <w:p w14:paraId="43253A7F" w14:textId="77777777" w:rsidR="001D1950" w:rsidRDefault="001D1950" w:rsidP="001D1950">
      <w:pPr>
        <w:keepNext/>
        <w:keepLines/>
        <w:autoSpaceDE w:val="0"/>
        <w:autoSpaceDN w:val="0"/>
        <w:spacing w:line="360" w:lineRule="auto"/>
        <w:rPr>
          <w:rFonts w:ascii="Times New Roman" w:hAnsi="Times New Roman"/>
          <w:sz w:val="26"/>
        </w:rPr>
      </w:pPr>
    </w:p>
    <w:p w14:paraId="7384A6F8" w14:textId="77777777" w:rsidR="00EE0F2E" w:rsidRPr="00EE0F2E" w:rsidRDefault="00FB568D" w:rsidP="00EF73F6">
      <w:pPr>
        <w:keepNext/>
        <w:keepLines/>
        <w:tabs>
          <w:tab w:val="left" w:pos="-720"/>
        </w:tab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14:paraId="43067526" w14:textId="77777777" w:rsidR="00295A0D" w:rsidRPr="00922E2C" w:rsidRDefault="00295A0D" w:rsidP="00EF73F6">
      <w:pPr>
        <w:keepNext/>
        <w:keepLines/>
        <w:tabs>
          <w:tab w:val="left" w:pos="-1440"/>
          <w:tab w:val="left" w:pos="-720"/>
        </w:tabs>
        <w:spacing w:line="360" w:lineRule="auto"/>
        <w:rPr>
          <w:rFonts w:ascii="Times New Roman" w:hAnsi="Times New Roman"/>
          <w:spacing w:val="-3"/>
          <w:sz w:val="26"/>
          <w:szCs w:val="26"/>
        </w:rPr>
      </w:pPr>
    </w:p>
    <w:p w14:paraId="406A5E02" w14:textId="24C6AA01" w:rsidR="003105EC" w:rsidRPr="001D1950" w:rsidRDefault="001D1950" w:rsidP="001D1950">
      <w:pPr>
        <w:keepNext/>
        <w:keepLines/>
        <w:spacing w:line="360" w:lineRule="auto"/>
        <w:ind w:firstLine="720"/>
        <w:rPr>
          <w:rFonts w:ascii="Times New Roman" w:hAnsi="Times New Roman"/>
          <w:b/>
          <w:sz w:val="26"/>
          <w:szCs w:val="26"/>
        </w:rPr>
      </w:pPr>
      <w:r w:rsidRPr="001D1950">
        <w:rPr>
          <w:rFonts w:ascii="Times New Roman" w:hAnsi="Times New Roman"/>
          <w:b/>
          <w:sz w:val="26"/>
          <w:szCs w:val="26"/>
        </w:rPr>
        <w:t>Responsible Utility Customer Protection Act</w:t>
      </w:r>
      <w:r>
        <w:rPr>
          <w:rFonts w:ascii="Times New Roman" w:hAnsi="Times New Roman"/>
          <w:b/>
          <w:sz w:val="26"/>
          <w:szCs w:val="26"/>
        </w:rPr>
        <w:t xml:space="preserve"> (Chapter 14)</w:t>
      </w:r>
    </w:p>
    <w:p w14:paraId="61D6FF07" w14:textId="77777777" w:rsidR="001D1950" w:rsidRPr="003105EC" w:rsidRDefault="001D1950" w:rsidP="00EF73F6">
      <w:pPr>
        <w:keepNext/>
        <w:keepLines/>
        <w:spacing w:line="360" w:lineRule="auto"/>
        <w:rPr>
          <w:rFonts w:ascii="Times New Roman" w:hAnsi="Times New Roman"/>
          <w:sz w:val="26"/>
          <w:szCs w:val="26"/>
        </w:rPr>
      </w:pPr>
    </w:p>
    <w:p w14:paraId="5B248AB4" w14:textId="35008CBE" w:rsidR="004142E6" w:rsidRDefault="003105EC" w:rsidP="00245677">
      <w:pPr>
        <w:spacing w:line="360" w:lineRule="auto"/>
        <w:ind w:firstLine="1440"/>
        <w:rPr>
          <w:rFonts w:ascii="Times New Roman" w:hAnsi="Times New Roman"/>
          <w:sz w:val="26"/>
          <w:szCs w:val="26"/>
        </w:rPr>
      </w:pPr>
      <w:r w:rsidRPr="00FA24F7">
        <w:rPr>
          <w:rFonts w:ascii="Times New Roman" w:hAnsi="Times New Roman"/>
          <w:sz w:val="26"/>
          <w:szCs w:val="26"/>
        </w:rPr>
        <w:t>The Responsible Utility Customer Protection Act,</w:t>
      </w:r>
      <w:r w:rsidR="00A24BEC">
        <w:rPr>
          <w:rFonts w:ascii="Times New Roman" w:hAnsi="Times New Roman"/>
          <w:sz w:val="26"/>
          <w:szCs w:val="26"/>
        </w:rPr>
        <w:t xml:space="preserve"> as codified in Chapter 14 of the Public Utility Code (Code), at</w:t>
      </w:r>
      <w:r w:rsidRPr="00FA24F7">
        <w:rPr>
          <w:rFonts w:ascii="Times New Roman" w:hAnsi="Times New Roman"/>
          <w:sz w:val="26"/>
          <w:szCs w:val="26"/>
        </w:rPr>
        <w:t xml:space="preserve"> 66 Pa.</w:t>
      </w:r>
      <w:r w:rsidR="00F64E2D">
        <w:rPr>
          <w:rFonts w:ascii="Times New Roman" w:hAnsi="Times New Roman"/>
          <w:sz w:val="26"/>
          <w:szCs w:val="26"/>
        </w:rPr>
        <w:t xml:space="preserve"> </w:t>
      </w:r>
      <w:r w:rsidRPr="00FA24F7">
        <w:rPr>
          <w:rFonts w:ascii="Times New Roman" w:hAnsi="Times New Roman"/>
          <w:sz w:val="26"/>
          <w:szCs w:val="26"/>
        </w:rPr>
        <w:t>C.S. §</w:t>
      </w:r>
      <w:r w:rsidR="00A24BEC">
        <w:rPr>
          <w:rFonts w:ascii="Times New Roman" w:hAnsi="Times New Roman"/>
          <w:sz w:val="26"/>
          <w:szCs w:val="26"/>
        </w:rPr>
        <w:t>§</w:t>
      </w:r>
      <w:r w:rsidRPr="00FA24F7">
        <w:rPr>
          <w:rFonts w:ascii="Times New Roman" w:hAnsi="Times New Roman"/>
          <w:sz w:val="26"/>
          <w:szCs w:val="26"/>
        </w:rPr>
        <w:t xml:space="preserve"> 1401</w:t>
      </w:r>
      <w:r w:rsidR="004142E6">
        <w:rPr>
          <w:rFonts w:ascii="Times New Roman" w:hAnsi="Times New Roman"/>
          <w:sz w:val="26"/>
          <w:szCs w:val="26"/>
        </w:rPr>
        <w:t xml:space="preserve"> – 1419</w:t>
      </w:r>
      <w:r w:rsidR="00A24BEC">
        <w:rPr>
          <w:rFonts w:ascii="Times New Roman" w:hAnsi="Times New Roman"/>
          <w:sz w:val="26"/>
          <w:szCs w:val="26"/>
        </w:rPr>
        <w:t>,</w:t>
      </w:r>
      <w:r w:rsidRPr="00FA24F7">
        <w:rPr>
          <w:rFonts w:ascii="Times New Roman" w:hAnsi="Times New Roman"/>
          <w:sz w:val="26"/>
          <w:szCs w:val="26"/>
        </w:rPr>
        <w:t xml:space="preserve"> applies to complaints alleging inability to pay and request</w:t>
      </w:r>
      <w:r>
        <w:rPr>
          <w:rFonts w:ascii="Times New Roman" w:hAnsi="Times New Roman"/>
          <w:sz w:val="26"/>
          <w:szCs w:val="26"/>
        </w:rPr>
        <w:t>ing</w:t>
      </w:r>
      <w:r w:rsidRPr="00FA24F7">
        <w:rPr>
          <w:rFonts w:ascii="Times New Roman" w:hAnsi="Times New Roman"/>
          <w:sz w:val="26"/>
          <w:szCs w:val="26"/>
        </w:rPr>
        <w:t xml:space="preserve"> Commission-ordered payment arrangements.  </w:t>
      </w:r>
      <w:r w:rsidR="00912F2C" w:rsidRPr="001B2B72">
        <w:rPr>
          <w:rFonts w:ascii="Times New Roman" w:hAnsi="Times New Roman"/>
          <w:sz w:val="26"/>
          <w:szCs w:val="26"/>
        </w:rPr>
        <w:t>A “payment arrangement”</w:t>
      </w:r>
      <w:r w:rsidR="00912F2C">
        <w:rPr>
          <w:rFonts w:ascii="Times New Roman" w:hAnsi="Times New Roman"/>
          <w:sz w:val="26"/>
          <w:szCs w:val="26"/>
        </w:rPr>
        <w:t xml:space="preserve"> is defined as: “[a]</w:t>
      </w:r>
      <w:r w:rsidR="00912F2C" w:rsidRPr="000E59EE">
        <w:rPr>
          <w:rFonts w:ascii="Times New Roman" w:hAnsi="Times New Roman"/>
          <w:color w:val="212121"/>
          <w:sz w:val="26"/>
          <w:szCs w:val="26"/>
        </w:rPr>
        <w:t>n agreement whereby a customer who admits liability for billed service is permitted to amortize or pay the unpaid balance of the account in one or more payments.</w:t>
      </w:r>
      <w:r w:rsidR="00912F2C">
        <w:rPr>
          <w:rFonts w:ascii="Times New Roman" w:hAnsi="Times New Roman"/>
          <w:color w:val="212121"/>
          <w:sz w:val="26"/>
          <w:szCs w:val="26"/>
        </w:rPr>
        <w:t xml:space="preserve">”  </w:t>
      </w:r>
      <w:r w:rsidR="00912F2C" w:rsidRPr="001B2B72">
        <w:rPr>
          <w:rFonts w:ascii="Times New Roman" w:hAnsi="Times New Roman"/>
          <w:sz w:val="26"/>
          <w:szCs w:val="26"/>
        </w:rPr>
        <w:t>66 Pa. C.S. § 1403</w:t>
      </w:r>
      <w:r w:rsidR="00912F2C">
        <w:rPr>
          <w:rFonts w:ascii="Times New Roman" w:hAnsi="Times New Roman"/>
          <w:sz w:val="26"/>
          <w:szCs w:val="26"/>
        </w:rPr>
        <w:t>.</w:t>
      </w:r>
      <w:r>
        <w:rPr>
          <w:rFonts w:ascii="Times New Roman" w:hAnsi="Times New Roman"/>
          <w:sz w:val="26"/>
          <w:szCs w:val="26"/>
        </w:rPr>
        <w:t xml:space="preserve"> </w:t>
      </w:r>
    </w:p>
    <w:p w14:paraId="7978953D" w14:textId="77777777" w:rsidR="004142E6" w:rsidRDefault="004142E6" w:rsidP="00245677">
      <w:pPr>
        <w:spacing w:line="360" w:lineRule="auto"/>
        <w:ind w:firstLine="1440"/>
        <w:rPr>
          <w:rFonts w:ascii="Times New Roman" w:hAnsi="Times New Roman"/>
          <w:sz w:val="26"/>
          <w:szCs w:val="26"/>
        </w:rPr>
      </w:pPr>
    </w:p>
    <w:p w14:paraId="7A84720E" w14:textId="0D534104" w:rsidR="004142E6" w:rsidRDefault="00245677" w:rsidP="00E9579E">
      <w:pPr>
        <w:keepNext/>
        <w:keepLines/>
        <w:spacing w:line="360" w:lineRule="auto"/>
        <w:ind w:firstLine="1440"/>
        <w:rPr>
          <w:rFonts w:ascii="Times New Roman" w:hAnsi="Times New Roman"/>
          <w:sz w:val="26"/>
          <w:szCs w:val="26"/>
        </w:rPr>
      </w:pPr>
      <w:r>
        <w:rPr>
          <w:rFonts w:ascii="Times New Roman" w:hAnsi="Times New Roman"/>
          <w:sz w:val="26"/>
          <w:szCs w:val="26"/>
        </w:rPr>
        <w:lastRenderedPageBreak/>
        <w:t>Section 1405</w:t>
      </w:r>
      <w:r w:rsidR="004142E6">
        <w:rPr>
          <w:rFonts w:ascii="Times New Roman" w:hAnsi="Times New Roman"/>
          <w:sz w:val="26"/>
          <w:szCs w:val="26"/>
        </w:rPr>
        <w:t xml:space="preserve">(a) </w:t>
      </w:r>
      <w:r w:rsidR="00777BAE">
        <w:rPr>
          <w:rFonts w:ascii="Times New Roman" w:hAnsi="Times New Roman"/>
          <w:sz w:val="26"/>
          <w:szCs w:val="26"/>
        </w:rPr>
        <w:t>makes explicit the</w:t>
      </w:r>
      <w:r w:rsidR="004142E6">
        <w:rPr>
          <w:rFonts w:ascii="Times New Roman" w:hAnsi="Times New Roman"/>
          <w:sz w:val="26"/>
          <w:szCs w:val="26"/>
        </w:rPr>
        <w:t xml:space="preserve"> power of the Commission to investigate payment disputes between a public utility and its applicants and customers.  It also </w:t>
      </w:r>
      <w:r w:rsidR="00777BAE">
        <w:rPr>
          <w:rFonts w:ascii="Times New Roman" w:hAnsi="Times New Roman"/>
          <w:sz w:val="26"/>
          <w:szCs w:val="26"/>
        </w:rPr>
        <w:t xml:space="preserve">makes explicit </w:t>
      </w:r>
      <w:r w:rsidR="004142E6">
        <w:rPr>
          <w:rFonts w:ascii="Times New Roman" w:hAnsi="Times New Roman"/>
          <w:sz w:val="26"/>
          <w:szCs w:val="26"/>
        </w:rPr>
        <w:t xml:space="preserve">the Commission’s </w:t>
      </w:r>
      <w:r w:rsidR="00451FB0">
        <w:rPr>
          <w:rFonts w:ascii="Times New Roman" w:hAnsi="Times New Roman"/>
          <w:sz w:val="26"/>
          <w:szCs w:val="26"/>
        </w:rPr>
        <w:t>authority to establish at least one payment arrangement per customer subject to the limitations of Section 1405.</w:t>
      </w:r>
      <w:r w:rsidR="00451FB0">
        <w:rPr>
          <w:rStyle w:val="FootnoteReference"/>
          <w:rFonts w:ascii="Times New Roman" w:hAnsi="Times New Roman"/>
          <w:sz w:val="26"/>
          <w:szCs w:val="26"/>
        </w:rPr>
        <w:footnoteReference w:id="3"/>
      </w:r>
      <w:r w:rsidR="00451FB0">
        <w:rPr>
          <w:rFonts w:ascii="Times New Roman" w:hAnsi="Times New Roman"/>
          <w:sz w:val="26"/>
          <w:szCs w:val="26"/>
        </w:rPr>
        <w:t xml:space="preserve">  </w:t>
      </w:r>
      <w:r w:rsidR="00451FB0" w:rsidRPr="0019499B">
        <w:rPr>
          <w:rFonts w:ascii="Times New Roman" w:hAnsi="Times New Roman"/>
          <w:i/>
          <w:sz w:val="26"/>
          <w:szCs w:val="26"/>
        </w:rPr>
        <w:t>See</w:t>
      </w:r>
      <w:r w:rsidR="00451FB0">
        <w:rPr>
          <w:rFonts w:ascii="Times New Roman" w:hAnsi="Times New Roman"/>
          <w:i/>
          <w:sz w:val="26"/>
          <w:szCs w:val="26"/>
        </w:rPr>
        <w:t xml:space="preserve"> </w:t>
      </w:r>
      <w:r w:rsidR="00451FB0" w:rsidRPr="0011525B">
        <w:rPr>
          <w:rFonts w:ascii="Times New Roman" w:hAnsi="Times New Roman"/>
          <w:sz w:val="26"/>
          <w:szCs w:val="26"/>
        </w:rPr>
        <w:t>66 Pa. C.S. § 1405(a)</w:t>
      </w:r>
      <w:r w:rsidR="00451FB0">
        <w:rPr>
          <w:rFonts w:ascii="Times New Roman" w:hAnsi="Times New Roman"/>
          <w:sz w:val="26"/>
          <w:szCs w:val="26"/>
        </w:rPr>
        <w:t xml:space="preserve">.  </w:t>
      </w:r>
    </w:p>
    <w:p w14:paraId="7751CE13" w14:textId="77777777" w:rsidR="00777BAE" w:rsidRDefault="00777BAE" w:rsidP="00245677">
      <w:pPr>
        <w:spacing w:line="360" w:lineRule="auto"/>
        <w:ind w:firstLine="1440"/>
        <w:rPr>
          <w:rFonts w:ascii="Times New Roman" w:hAnsi="Times New Roman"/>
          <w:sz w:val="26"/>
          <w:szCs w:val="26"/>
        </w:rPr>
      </w:pPr>
    </w:p>
    <w:p w14:paraId="71973039" w14:textId="303EF687" w:rsidR="003105EC" w:rsidRPr="003105EC" w:rsidRDefault="004142E6" w:rsidP="00245677">
      <w:pPr>
        <w:spacing w:line="360" w:lineRule="auto"/>
        <w:ind w:firstLine="1440"/>
        <w:rPr>
          <w:rFonts w:ascii="Times New Roman" w:hAnsi="Times New Roman"/>
          <w:sz w:val="26"/>
          <w:szCs w:val="26"/>
        </w:rPr>
      </w:pPr>
      <w:r>
        <w:rPr>
          <w:rFonts w:ascii="Times New Roman" w:hAnsi="Times New Roman"/>
          <w:sz w:val="26"/>
          <w:szCs w:val="26"/>
        </w:rPr>
        <w:t>Section 1405(a)</w:t>
      </w:r>
      <w:r w:rsidR="00245677">
        <w:rPr>
          <w:rFonts w:ascii="Times New Roman" w:hAnsi="Times New Roman"/>
          <w:sz w:val="26"/>
          <w:szCs w:val="26"/>
        </w:rPr>
        <w:t xml:space="preserve"> </w:t>
      </w:r>
      <w:r w:rsidR="00F37B7D">
        <w:rPr>
          <w:rFonts w:ascii="Times New Roman" w:hAnsi="Times New Roman"/>
          <w:sz w:val="26"/>
          <w:szCs w:val="26"/>
        </w:rPr>
        <w:t>states</w:t>
      </w:r>
      <w:r w:rsidR="0011525B">
        <w:rPr>
          <w:rFonts w:ascii="Times New Roman" w:hAnsi="Times New Roman"/>
          <w:sz w:val="26"/>
          <w:szCs w:val="26"/>
        </w:rPr>
        <w:t xml:space="preserve"> as follows</w:t>
      </w:r>
      <w:r w:rsidR="003105EC" w:rsidRPr="003105EC">
        <w:rPr>
          <w:rFonts w:ascii="Times New Roman" w:hAnsi="Times New Roman"/>
          <w:sz w:val="26"/>
          <w:szCs w:val="26"/>
        </w:rPr>
        <w:t>:</w:t>
      </w:r>
    </w:p>
    <w:p w14:paraId="5021F1B1" w14:textId="77777777" w:rsidR="003105EC" w:rsidRPr="003105EC" w:rsidRDefault="003105EC" w:rsidP="003105EC">
      <w:pPr>
        <w:rPr>
          <w:rFonts w:ascii="Times New Roman" w:hAnsi="Times New Roman"/>
          <w:sz w:val="26"/>
          <w:szCs w:val="26"/>
        </w:rPr>
      </w:pPr>
    </w:p>
    <w:p w14:paraId="4141FE39" w14:textId="5DF865BE" w:rsidR="003105EC" w:rsidRDefault="003105EC" w:rsidP="003105EC">
      <w:pPr>
        <w:ind w:left="1440" w:right="1440"/>
        <w:rPr>
          <w:rFonts w:ascii="Times New Roman" w:hAnsi="Times New Roman"/>
          <w:sz w:val="26"/>
          <w:szCs w:val="26"/>
        </w:rPr>
      </w:pPr>
      <w:r w:rsidRPr="003105EC">
        <w:rPr>
          <w:rFonts w:ascii="Times New Roman" w:hAnsi="Times New Roman"/>
          <w:sz w:val="26"/>
          <w:szCs w:val="26"/>
        </w:rPr>
        <w:t>(a)</w:t>
      </w:r>
      <w:r w:rsidRPr="003105EC">
        <w:rPr>
          <w:rFonts w:ascii="Times New Roman" w:hAnsi="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1D640045" w14:textId="77777777" w:rsidR="00B37EE3" w:rsidRPr="003105EC" w:rsidRDefault="00B37EE3" w:rsidP="003105EC">
      <w:pPr>
        <w:ind w:left="1440" w:right="1440"/>
        <w:rPr>
          <w:rFonts w:ascii="Times New Roman" w:hAnsi="Times New Roman"/>
          <w:sz w:val="26"/>
          <w:szCs w:val="26"/>
        </w:rPr>
      </w:pPr>
    </w:p>
    <w:p w14:paraId="1BC2B244" w14:textId="77777777" w:rsidR="003105EC" w:rsidRPr="003105EC" w:rsidRDefault="003105EC" w:rsidP="003105EC">
      <w:pPr>
        <w:ind w:left="1440" w:right="1440"/>
        <w:rPr>
          <w:rFonts w:ascii="Times New Roman" w:hAnsi="Times New Roman"/>
          <w:sz w:val="26"/>
          <w:szCs w:val="26"/>
        </w:rPr>
      </w:pPr>
    </w:p>
    <w:p w14:paraId="7A6EB0D3" w14:textId="327390CE" w:rsidR="003C45B0" w:rsidRDefault="00F37B7D" w:rsidP="00245677">
      <w:pPr>
        <w:autoSpaceDE w:val="0"/>
        <w:autoSpaceDN w:val="0"/>
        <w:adjustRightInd w:val="0"/>
        <w:spacing w:line="360" w:lineRule="auto"/>
        <w:rPr>
          <w:rFonts w:ascii="Times New Roman" w:hAnsi="Times New Roman"/>
          <w:sz w:val="26"/>
          <w:szCs w:val="26"/>
        </w:rPr>
      </w:pPr>
      <w:r w:rsidRPr="00FA24F7">
        <w:rPr>
          <w:rFonts w:ascii="Times New Roman" w:hAnsi="Times New Roman"/>
          <w:sz w:val="26"/>
          <w:szCs w:val="26"/>
        </w:rPr>
        <w:t>66 Pa. C.S. §1405(a)</w:t>
      </w:r>
      <w:r>
        <w:rPr>
          <w:rFonts w:ascii="Times New Roman" w:hAnsi="Times New Roman"/>
          <w:sz w:val="26"/>
          <w:szCs w:val="26"/>
        </w:rPr>
        <w:t>.</w:t>
      </w:r>
    </w:p>
    <w:p w14:paraId="1687071B" w14:textId="77777777" w:rsidR="00F37B7D" w:rsidRDefault="00F37B7D" w:rsidP="00245677">
      <w:pPr>
        <w:autoSpaceDE w:val="0"/>
        <w:autoSpaceDN w:val="0"/>
        <w:adjustRightInd w:val="0"/>
        <w:spacing w:line="360" w:lineRule="auto"/>
        <w:rPr>
          <w:rFonts w:ascii="Times New Roman" w:hAnsi="Times New Roman"/>
          <w:sz w:val="26"/>
          <w:szCs w:val="26"/>
        </w:rPr>
      </w:pPr>
    </w:p>
    <w:p w14:paraId="3997E08F" w14:textId="77777777" w:rsidR="007978E7" w:rsidRDefault="00777BAE" w:rsidP="00451FB0">
      <w:pPr>
        <w:spacing w:line="360" w:lineRule="auto"/>
        <w:ind w:firstLine="1440"/>
        <w:rPr>
          <w:rFonts w:ascii="Times New Roman" w:hAnsi="Times New Roman"/>
          <w:sz w:val="26"/>
          <w:szCs w:val="26"/>
        </w:rPr>
      </w:pPr>
      <w:r>
        <w:rPr>
          <w:rFonts w:ascii="Times New Roman" w:hAnsi="Times New Roman"/>
          <w:sz w:val="26"/>
          <w:szCs w:val="26"/>
        </w:rPr>
        <w:t xml:space="preserve">While Section 1405(a) </w:t>
      </w:r>
      <w:r w:rsidR="00451FB0">
        <w:rPr>
          <w:rFonts w:ascii="Times New Roman" w:hAnsi="Times New Roman"/>
          <w:sz w:val="26"/>
          <w:szCs w:val="26"/>
        </w:rPr>
        <w:t xml:space="preserve">generally </w:t>
      </w:r>
      <w:r>
        <w:rPr>
          <w:rFonts w:ascii="Times New Roman" w:hAnsi="Times New Roman"/>
          <w:sz w:val="26"/>
          <w:szCs w:val="26"/>
        </w:rPr>
        <w:t>authorizes the Commission to issue a payment arrangement for a customer, it does not require it.  Thus, t</w:t>
      </w:r>
      <w:r w:rsidR="003C45B0" w:rsidRPr="0019499B">
        <w:rPr>
          <w:rFonts w:ascii="Times New Roman" w:hAnsi="Times New Roman"/>
          <w:sz w:val="26"/>
          <w:szCs w:val="26"/>
        </w:rPr>
        <w:t xml:space="preserve">he issuance of a payment arrangement </w:t>
      </w:r>
      <w:r w:rsidR="00F37B7D">
        <w:rPr>
          <w:rFonts w:ascii="Times New Roman" w:hAnsi="Times New Roman"/>
          <w:sz w:val="26"/>
          <w:szCs w:val="26"/>
        </w:rPr>
        <w:t xml:space="preserve">by the Commission </w:t>
      </w:r>
      <w:r w:rsidR="003C45B0">
        <w:rPr>
          <w:rFonts w:ascii="Times New Roman" w:hAnsi="Times New Roman"/>
          <w:sz w:val="26"/>
          <w:szCs w:val="26"/>
        </w:rPr>
        <w:t>pursuant to</w:t>
      </w:r>
      <w:r w:rsidR="003C45B0" w:rsidRPr="0019499B">
        <w:rPr>
          <w:rFonts w:ascii="Times New Roman" w:hAnsi="Times New Roman"/>
          <w:sz w:val="26"/>
          <w:szCs w:val="26"/>
        </w:rPr>
        <w:t xml:space="preserve"> </w:t>
      </w:r>
      <w:r w:rsidR="003C45B0" w:rsidRPr="003105EC">
        <w:rPr>
          <w:rFonts w:ascii="Times New Roman" w:hAnsi="Times New Roman"/>
          <w:sz w:val="26"/>
          <w:szCs w:val="26"/>
        </w:rPr>
        <w:t>Section 1405</w:t>
      </w:r>
      <w:r w:rsidR="003C45B0">
        <w:rPr>
          <w:rFonts w:ascii="Times New Roman" w:hAnsi="Times New Roman"/>
          <w:sz w:val="26"/>
          <w:szCs w:val="26"/>
        </w:rPr>
        <w:t xml:space="preserve">(a) </w:t>
      </w:r>
      <w:r w:rsidR="003C45B0" w:rsidRPr="0019499B">
        <w:rPr>
          <w:rFonts w:ascii="Times New Roman" w:hAnsi="Times New Roman"/>
          <w:sz w:val="26"/>
          <w:szCs w:val="26"/>
        </w:rPr>
        <w:t>is a</w:t>
      </w:r>
      <w:r w:rsidR="00F37B7D">
        <w:rPr>
          <w:rFonts w:ascii="Times New Roman" w:hAnsi="Times New Roman"/>
          <w:sz w:val="26"/>
          <w:szCs w:val="26"/>
        </w:rPr>
        <w:t>n exercise of</w:t>
      </w:r>
      <w:r w:rsidR="003C45B0">
        <w:rPr>
          <w:rFonts w:ascii="Times New Roman" w:hAnsi="Times New Roman"/>
          <w:sz w:val="26"/>
          <w:szCs w:val="26"/>
        </w:rPr>
        <w:t xml:space="preserve"> the Commission’s </w:t>
      </w:r>
      <w:r w:rsidR="003C45B0" w:rsidRPr="0019499B">
        <w:rPr>
          <w:rFonts w:ascii="Times New Roman" w:hAnsi="Times New Roman"/>
          <w:sz w:val="26"/>
          <w:szCs w:val="26"/>
        </w:rPr>
        <w:t>discretion.</w:t>
      </w:r>
      <w:r>
        <w:rPr>
          <w:rFonts w:ascii="Times New Roman" w:hAnsi="Times New Roman"/>
          <w:sz w:val="26"/>
          <w:szCs w:val="26"/>
        </w:rPr>
        <w:t xml:space="preserve"> </w:t>
      </w:r>
      <w:r w:rsidR="003C45B0" w:rsidRPr="0019499B">
        <w:rPr>
          <w:rFonts w:ascii="Times New Roman" w:hAnsi="Times New Roman"/>
          <w:sz w:val="26"/>
          <w:szCs w:val="26"/>
        </w:rPr>
        <w:t xml:space="preserve"> </w:t>
      </w:r>
      <w:r w:rsidRPr="00777BAE">
        <w:rPr>
          <w:rFonts w:ascii="Times New Roman" w:hAnsi="Times New Roman"/>
          <w:i/>
          <w:sz w:val="26"/>
          <w:szCs w:val="26"/>
        </w:rPr>
        <w:t>S</w:t>
      </w:r>
      <w:r w:rsidR="003C45B0">
        <w:rPr>
          <w:rFonts w:ascii="Times New Roman" w:hAnsi="Times New Roman"/>
          <w:i/>
          <w:sz w:val="26"/>
          <w:szCs w:val="26"/>
        </w:rPr>
        <w:t xml:space="preserve">ee </w:t>
      </w:r>
      <w:r w:rsidRPr="00451FB0">
        <w:rPr>
          <w:rFonts w:ascii="Times New Roman" w:hAnsi="Times New Roman"/>
          <w:i/>
          <w:sz w:val="26"/>
          <w:szCs w:val="26"/>
        </w:rPr>
        <w:t>Susan</w:t>
      </w:r>
      <w:r>
        <w:rPr>
          <w:rFonts w:ascii="Times New Roman" w:hAnsi="Times New Roman"/>
          <w:sz w:val="26"/>
          <w:szCs w:val="26"/>
        </w:rPr>
        <w:t xml:space="preserve"> </w:t>
      </w:r>
      <w:r w:rsidRPr="0019499B">
        <w:rPr>
          <w:rFonts w:ascii="Times New Roman" w:hAnsi="Times New Roman"/>
          <w:i/>
          <w:iCs/>
          <w:sz w:val="26"/>
          <w:szCs w:val="26"/>
        </w:rPr>
        <w:t>Hewitt v. PECO Energy Co</w:t>
      </w:r>
      <w:r w:rsidRPr="0019499B">
        <w:rPr>
          <w:rFonts w:ascii="Times New Roman" w:hAnsi="Times New Roman"/>
          <w:sz w:val="26"/>
          <w:szCs w:val="26"/>
        </w:rPr>
        <w:t>., Docket No. F</w:t>
      </w:r>
      <w:r w:rsidR="00B37EE3">
        <w:rPr>
          <w:rFonts w:ascii="Times New Roman" w:hAnsi="Times New Roman"/>
          <w:sz w:val="26"/>
          <w:szCs w:val="26"/>
        </w:rPr>
        <w:noBreakHyphen/>
      </w:r>
      <w:r w:rsidRPr="0019499B">
        <w:rPr>
          <w:rFonts w:ascii="Times New Roman" w:hAnsi="Times New Roman"/>
          <w:sz w:val="26"/>
          <w:szCs w:val="26"/>
        </w:rPr>
        <w:t>2011-2273271 (Order entered September 12, 2013)</w:t>
      </w:r>
      <w:r>
        <w:rPr>
          <w:rFonts w:ascii="Times New Roman" w:hAnsi="Times New Roman"/>
          <w:sz w:val="26"/>
          <w:szCs w:val="26"/>
        </w:rPr>
        <w:t xml:space="preserve"> </w:t>
      </w:r>
      <w:r w:rsidR="00451FB0">
        <w:rPr>
          <w:rFonts w:ascii="Times New Roman" w:hAnsi="Times New Roman"/>
          <w:sz w:val="26"/>
          <w:szCs w:val="26"/>
        </w:rPr>
        <w:t>(</w:t>
      </w:r>
      <w:r w:rsidR="00451FB0" w:rsidRPr="00451FB0">
        <w:rPr>
          <w:rFonts w:ascii="Times New Roman" w:hAnsi="Times New Roman"/>
          <w:i/>
          <w:sz w:val="26"/>
          <w:szCs w:val="26"/>
        </w:rPr>
        <w:t>Hewitt</w:t>
      </w:r>
      <w:r w:rsidR="00451FB0">
        <w:rPr>
          <w:rFonts w:ascii="Times New Roman" w:hAnsi="Times New Roman"/>
          <w:sz w:val="26"/>
          <w:szCs w:val="26"/>
        </w:rPr>
        <w:t xml:space="preserve">) </w:t>
      </w:r>
      <w:r w:rsidR="003C45B0" w:rsidRPr="0019499B">
        <w:rPr>
          <w:rFonts w:ascii="Times New Roman" w:hAnsi="Times New Roman"/>
          <w:sz w:val="26"/>
          <w:szCs w:val="26"/>
        </w:rPr>
        <w:t>at 11</w:t>
      </w:r>
      <w:r w:rsidR="003C45B0">
        <w:rPr>
          <w:rFonts w:ascii="Times New Roman" w:hAnsi="Times New Roman"/>
          <w:sz w:val="26"/>
          <w:szCs w:val="26"/>
        </w:rPr>
        <w:t>-12</w:t>
      </w:r>
      <w:r w:rsidR="003C45B0" w:rsidRPr="0019499B">
        <w:rPr>
          <w:rFonts w:ascii="Times New Roman" w:hAnsi="Times New Roman"/>
          <w:sz w:val="26"/>
          <w:szCs w:val="26"/>
        </w:rPr>
        <w:t xml:space="preserve">. </w:t>
      </w:r>
      <w:r w:rsidR="003C45B0">
        <w:rPr>
          <w:rFonts w:ascii="Times New Roman" w:hAnsi="Times New Roman"/>
          <w:sz w:val="26"/>
          <w:szCs w:val="26"/>
        </w:rPr>
        <w:t xml:space="preserve"> </w:t>
      </w:r>
      <w:r>
        <w:rPr>
          <w:rFonts w:ascii="Times New Roman" w:hAnsi="Times New Roman"/>
          <w:sz w:val="26"/>
          <w:szCs w:val="26"/>
        </w:rPr>
        <w:t>We exercise such</w:t>
      </w:r>
      <w:r w:rsidRPr="0011525B">
        <w:rPr>
          <w:rFonts w:ascii="Times New Roman" w:hAnsi="Times New Roman"/>
          <w:sz w:val="26"/>
          <w:szCs w:val="26"/>
        </w:rPr>
        <w:t xml:space="preserve"> </w:t>
      </w:r>
      <w:r>
        <w:rPr>
          <w:rFonts w:ascii="Times New Roman" w:hAnsi="Times New Roman"/>
          <w:sz w:val="26"/>
          <w:szCs w:val="26"/>
        </w:rPr>
        <w:t>discretion</w:t>
      </w:r>
      <w:r w:rsidRPr="0011525B">
        <w:rPr>
          <w:rFonts w:ascii="Times New Roman" w:hAnsi="Times New Roman"/>
          <w:sz w:val="26"/>
          <w:szCs w:val="26"/>
        </w:rPr>
        <w:t xml:space="preserve"> </w:t>
      </w:r>
      <w:r w:rsidRPr="00D42BF6">
        <w:rPr>
          <w:rFonts w:ascii="Times New Roman" w:hAnsi="Times New Roman"/>
          <w:sz w:val="26"/>
          <w:szCs w:val="26"/>
        </w:rPr>
        <w:t xml:space="preserve">judiciously, particularly in </w:t>
      </w:r>
      <w:r>
        <w:rPr>
          <w:rFonts w:ascii="Times New Roman" w:hAnsi="Times New Roman"/>
          <w:sz w:val="26"/>
          <w:szCs w:val="26"/>
        </w:rPr>
        <w:t xml:space="preserve">mixed-arrearage cases, out of concern for the </w:t>
      </w:r>
      <w:r w:rsidR="00451FB0">
        <w:rPr>
          <w:rFonts w:ascii="Times New Roman" w:hAnsi="Times New Roman"/>
          <w:sz w:val="26"/>
          <w:szCs w:val="26"/>
        </w:rPr>
        <w:t xml:space="preserve">rate </w:t>
      </w:r>
      <w:r>
        <w:rPr>
          <w:rFonts w:ascii="Times New Roman" w:hAnsi="Times New Roman"/>
          <w:sz w:val="26"/>
          <w:szCs w:val="26"/>
        </w:rPr>
        <w:t>burden</w:t>
      </w:r>
      <w:r w:rsidR="003C45B0" w:rsidRPr="0011525B">
        <w:rPr>
          <w:rFonts w:ascii="Times New Roman" w:hAnsi="Times New Roman"/>
          <w:sz w:val="26"/>
          <w:szCs w:val="26"/>
        </w:rPr>
        <w:t xml:space="preserve"> </w:t>
      </w:r>
      <w:r w:rsidR="00451FB0">
        <w:rPr>
          <w:rFonts w:ascii="Times New Roman" w:hAnsi="Times New Roman"/>
          <w:sz w:val="26"/>
          <w:szCs w:val="26"/>
        </w:rPr>
        <w:t>to be borne by other customers due to a</w:t>
      </w:r>
      <w:r w:rsidR="003C45B0">
        <w:rPr>
          <w:rFonts w:ascii="Times New Roman" w:hAnsi="Times New Roman"/>
          <w:sz w:val="26"/>
          <w:szCs w:val="26"/>
        </w:rPr>
        <w:t xml:space="preserve"> utility’s uncollectible expense resulting from unpaid customer arrearages</w:t>
      </w:r>
      <w:r w:rsidR="006C318E">
        <w:rPr>
          <w:rFonts w:ascii="Times New Roman" w:hAnsi="Times New Roman"/>
          <w:sz w:val="26"/>
          <w:szCs w:val="26"/>
        </w:rPr>
        <w:t xml:space="preserve">, </w:t>
      </w:r>
      <w:r w:rsidR="003C45B0" w:rsidRPr="00D42BF6">
        <w:rPr>
          <w:rFonts w:ascii="Times New Roman" w:hAnsi="Times New Roman"/>
          <w:i/>
          <w:sz w:val="26"/>
          <w:szCs w:val="26"/>
        </w:rPr>
        <w:t>See Alfredo Caraballo v. PPL Electric Utilities Corporation</w:t>
      </w:r>
      <w:r w:rsidR="003C45B0" w:rsidRPr="00D42BF6">
        <w:rPr>
          <w:rFonts w:ascii="Times New Roman" w:hAnsi="Times New Roman"/>
          <w:sz w:val="26"/>
          <w:szCs w:val="26"/>
        </w:rPr>
        <w:t>, Docket No. C-2017-2615246 (Order entered April 5, 2018)</w:t>
      </w:r>
      <w:r w:rsidR="003C45B0">
        <w:rPr>
          <w:rFonts w:ascii="Times New Roman" w:hAnsi="Times New Roman"/>
          <w:sz w:val="26"/>
          <w:szCs w:val="26"/>
        </w:rPr>
        <w:t xml:space="preserve"> </w:t>
      </w:r>
    </w:p>
    <w:p w14:paraId="325CC0E0" w14:textId="00BEFA60" w:rsidR="00451FB0" w:rsidRDefault="003C45B0" w:rsidP="007978E7">
      <w:pPr>
        <w:keepNext/>
        <w:keepLines/>
        <w:spacing w:line="360" w:lineRule="auto"/>
        <w:rPr>
          <w:rFonts w:ascii="Times New Roman" w:hAnsi="Times New Roman"/>
          <w:sz w:val="26"/>
          <w:szCs w:val="26"/>
        </w:rPr>
      </w:pPr>
      <w:r>
        <w:rPr>
          <w:rFonts w:ascii="Times New Roman" w:hAnsi="Times New Roman"/>
          <w:sz w:val="26"/>
          <w:szCs w:val="26"/>
        </w:rPr>
        <w:lastRenderedPageBreak/>
        <w:t>(</w:t>
      </w:r>
      <w:r w:rsidRPr="00037E5C">
        <w:rPr>
          <w:rFonts w:ascii="Times New Roman" w:hAnsi="Times New Roman"/>
          <w:i/>
          <w:sz w:val="26"/>
          <w:szCs w:val="26"/>
        </w:rPr>
        <w:t>Caraballo</w:t>
      </w:r>
      <w:r>
        <w:rPr>
          <w:rFonts w:ascii="Times New Roman" w:hAnsi="Times New Roman"/>
          <w:sz w:val="26"/>
          <w:szCs w:val="26"/>
        </w:rPr>
        <w:t>) at 16</w:t>
      </w:r>
      <w:r w:rsidRPr="00D42BF6">
        <w:rPr>
          <w:rFonts w:ascii="Times New Roman" w:hAnsi="Times New Roman"/>
          <w:sz w:val="26"/>
          <w:szCs w:val="26"/>
        </w:rPr>
        <w:t xml:space="preserve">.  </w:t>
      </w:r>
      <w:r w:rsidR="00451FB0">
        <w:rPr>
          <w:rFonts w:ascii="Times New Roman" w:hAnsi="Times New Roman"/>
          <w:sz w:val="26"/>
          <w:szCs w:val="26"/>
        </w:rPr>
        <w:t>In exercising our discretion to issue a payment arrangement</w:t>
      </w:r>
      <w:r w:rsidR="006C318E">
        <w:rPr>
          <w:rFonts w:ascii="Times New Roman" w:hAnsi="Times New Roman"/>
          <w:sz w:val="26"/>
          <w:szCs w:val="26"/>
        </w:rPr>
        <w:t xml:space="preserve">, we typically examine </w:t>
      </w:r>
      <w:r w:rsidRPr="00D42BF6">
        <w:rPr>
          <w:rFonts w:ascii="Times New Roman" w:hAnsi="Times New Roman"/>
          <w:sz w:val="26"/>
          <w:szCs w:val="26"/>
        </w:rPr>
        <w:t xml:space="preserve">the customer’s </w:t>
      </w:r>
      <w:r>
        <w:rPr>
          <w:rFonts w:ascii="Times New Roman" w:hAnsi="Times New Roman"/>
          <w:sz w:val="26"/>
          <w:szCs w:val="26"/>
        </w:rPr>
        <w:t xml:space="preserve">demonstrated </w:t>
      </w:r>
      <w:r w:rsidRPr="00D42BF6">
        <w:rPr>
          <w:rFonts w:ascii="Times New Roman" w:hAnsi="Times New Roman"/>
          <w:sz w:val="26"/>
          <w:szCs w:val="26"/>
        </w:rPr>
        <w:t>payment history</w:t>
      </w:r>
      <w:r w:rsidR="006C318E">
        <w:rPr>
          <w:rFonts w:ascii="Times New Roman" w:hAnsi="Times New Roman"/>
          <w:sz w:val="26"/>
          <w:szCs w:val="26"/>
        </w:rPr>
        <w:t>, or lack thereof,</w:t>
      </w:r>
      <w:r w:rsidRPr="00D42BF6">
        <w:rPr>
          <w:rFonts w:ascii="Times New Roman" w:hAnsi="Times New Roman"/>
          <w:sz w:val="26"/>
          <w:szCs w:val="26"/>
        </w:rPr>
        <w:t xml:space="preserve"> and compliance history with </w:t>
      </w:r>
      <w:r w:rsidR="00451FB0">
        <w:rPr>
          <w:rFonts w:ascii="Times New Roman" w:hAnsi="Times New Roman"/>
          <w:sz w:val="26"/>
          <w:szCs w:val="26"/>
        </w:rPr>
        <w:t>utility</w:t>
      </w:r>
      <w:r>
        <w:rPr>
          <w:rFonts w:ascii="Times New Roman" w:hAnsi="Times New Roman"/>
          <w:sz w:val="26"/>
          <w:szCs w:val="26"/>
        </w:rPr>
        <w:t xml:space="preserve">-issued payment arrangements.  </w:t>
      </w:r>
      <w:r w:rsidRPr="00645C30">
        <w:rPr>
          <w:rFonts w:ascii="Times New Roman" w:hAnsi="Times New Roman"/>
          <w:i/>
          <w:sz w:val="26"/>
          <w:szCs w:val="26"/>
        </w:rPr>
        <w:t>Caraballo</w:t>
      </w:r>
      <w:r>
        <w:rPr>
          <w:rFonts w:ascii="Times New Roman" w:hAnsi="Times New Roman"/>
          <w:sz w:val="26"/>
          <w:szCs w:val="26"/>
        </w:rPr>
        <w:t xml:space="preserve"> at 16 (citing </w:t>
      </w:r>
      <w:r w:rsidRPr="00645C30">
        <w:rPr>
          <w:rFonts w:ascii="Times New Roman" w:hAnsi="Times New Roman"/>
          <w:i/>
          <w:sz w:val="26"/>
          <w:szCs w:val="26"/>
        </w:rPr>
        <w:t>Hewitt</w:t>
      </w:r>
      <w:r>
        <w:rPr>
          <w:rFonts w:ascii="Times New Roman" w:hAnsi="Times New Roman"/>
          <w:sz w:val="26"/>
          <w:szCs w:val="26"/>
        </w:rPr>
        <w:t>).</w:t>
      </w:r>
    </w:p>
    <w:p w14:paraId="598DB79C" w14:textId="3EAD7821" w:rsidR="003C45B0" w:rsidRPr="00D42BF6" w:rsidRDefault="003C45B0" w:rsidP="003C45B0">
      <w:pPr>
        <w:spacing w:line="360" w:lineRule="auto"/>
        <w:ind w:firstLine="1440"/>
        <w:rPr>
          <w:rFonts w:ascii="Times New Roman" w:hAnsi="Times New Roman"/>
          <w:sz w:val="26"/>
          <w:szCs w:val="26"/>
        </w:rPr>
      </w:pPr>
    </w:p>
    <w:p w14:paraId="45F41F49" w14:textId="34666835" w:rsidR="00451FB0" w:rsidRDefault="00451FB0" w:rsidP="00451FB0">
      <w:pPr>
        <w:autoSpaceDE w:val="0"/>
        <w:autoSpaceDN w:val="0"/>
        <w:adjustRightInd w:val="0"/>
        <w:spacing w:line="360" w:lineRule="auto"/>
        <w:ind w:firstLine="1440"/>
        <w:rPr>
          <w:sz w:val="23"/>
          <w:szCs w:val="23"/>
        </w:rPr>
      </w:pPr>
      <w:r>
        <w:rPr>
          <w:rFonts w:ascii="Times New Roman" w:hAnsi="Times New Roman"/>
          <w:sz w:val="26"/>
          <w:szCs w:val="26"/>
        </w:rPr>
        <w:t xml:space="preserve">Section 1405(c) provides an express limitation to the Commission’s general power to grant a payment arrangement.  Specifically, it prohibits the Commission from establishing a payment arrangement where the customer’s unpaid arrears </w:t>
      </w:r>
      <w:r w:rsidR="00030E0C">
        <w:rPr>
          <w:rFonts w:ascii="Times New Roman" w:hAnsi="Times New Roman"/>
          <w:sz w:val="26"/>
          <w:szCs w:val="26"/>
        </w:rPr>
        <w:t>result</w:t>
      </w:r>
      <w:r>
        <w:rPr>
          <w:rFonts w:ascii="Times New Roman" w:hAnsi="Times New Roman"/>
          <w:sz w:val="26"/>
          <w:szCs w:val="26"/>
        </w:rPr>
        <w:t xml:space="preserve"> from unpaid rates billed under a utility’s customer assistance program or “CAP”.  </w:t>
      </w:r>
      <w:r w:rsidRPr="003105EC">
        <w:rPr>
          <w:rFonts w:ascii="Times New Roman" w:hAnsi="Times New Roman"/>
          <w:sz w:val="26"/>
          <w:szCs w:val="26"/>
        </w:rPr>
        <w:t>66 Pa. C.S. §</w:t>
      </w:r>
      <w:r w:rsidR="00794C08">
        <w:rPr>
          <w:rFonts w:ascii="Times New Roman" w:hAnsi="Times New Roman"/>
          <w:sz w:val="26"/>
          <w:szCs w:val="26"/>
        </w:rPr>
        <w:t> </w:t>
      </w:r>
      <w:r w:rsidRPr="003105EC">
        <w:rPr>
          <w:rFonts w:ascii="Times New Roman" w:hAnsi="Times New Roman"/>
          <w:sz w:val="26"/>
          <w:szCs w:val="26"/>
        </w:rPr>
        <w:t>1405(c</w:t>
      </w:r>
      <w:r>
        <w:rPr>
          <w:rFonts w:ascii="Times New Roman" w:hAnsi="Times New Roman"/>
          <w:sz w:val="26"/>
          <w:szCs w:val="26"/>
        </w:rPr>
        <w:t xml:space="preserve">); </w:t>
      </w:r>
      <w:r w:rsidRPr="0019499B">
        <w:rPr>
          <w:rFonts w:ascii="Times New Roman" w:hAnsi="Times New Roman"/>
          <w:i/>
          <w:sz w:val="26"/>
          <w:szCs w:val="26"/>
        </w:rPr>
        <w:t>see</w:t>
      </w:r>
      <w:r w:rsidRPr="0019499B">
        <w:rPr>
          <w:rFonts w:ascii="Times New Roman" w:hAnsi="Times New Roman"/>
          <w:sz w:val="26"/>
          <w:szCs w:val="26"/>
        </w:rPr>
        <w:t xml:space="preserve"> </w:t>
      </w:r>
      <w:r w:rsidRPr="00EB4956">
        <w:rPr>
          <w:rFonts w:ascii="Times New Roman" w:hAnsi="Times New Roman"/>
          <w:i/>
          <w:sz w:val="26"/>
          <w:szCs w:val="26"/>
        </w:rPr>
        <w:t>also</w:t>
      </w:r>
      <w:r>
        <w:rPr>
          <w:rFonts w:ascii="Times New Roman" w:hAnsi="Times New Roman"/>
          <w:sz w:val="26"/>
          <w:szCs w:val="26"/>
        </w:rPr>
        <w:t xml:space="preserve"> </w:t>
      </w:r>
      <w:r>
        <w:rPr>
          <w:rFonts w:ascii="Times New Roman" w:hAnsi="Times New Roman"/>
          <w:i/>
          <w:iCs/>
          <w:sz w:val="26"/>
          <w:szCs w:val="26"/>
        </w:rPr>
        <w:t>Hewitt</w:t>
      </w:r>
      <w:r>
        <w:rPr>
          <w:rFonts w:ascii="Times New Roman" w:hAnsi="Times New Roman"/>
          <w:iCs/>
          <w:sz w:val="26"/>
          <w:szCs w:val="26"/>
        </w:rPr>
        <w:t>.</w:t>
      </w:r>
      <w:r>
        <w:rPr>
          <w:sz w:val="23"/>
          <w:szCs w:val="23"/>
        </w:rPr>
        <w:t xml:space="preserve"> </w:t>
      </w:r>
    </w:p>
    <w:p w14:paraId="416110A8" w14:textId="77777777" w:rsidR="00451FB0" w:rsidRDefault="00451FB0" w:rsidP="00451FB0">
      <w:pPr>
        <w:autoSpaceDE w:val="0"/>
        <w:autoSpaceDN w:val="0"/>
        <w:adjustRightInd w:val="0"/>
        <w:spacing w:line="360" w:lineRule="auto"/>
        <w:ind w:firstLine="1440"/>
        <w:rPr>
          <w:sz w:val="23"/>
          <w:szCs w:val="23"/>
        </w:rPr>
      </w:pPr>
    </w:p>
    <w:p w14:paraId="43C8CE67" w14:textId="77777777" w:rsidR="00451FB0" w:rsidRDefault="00451FB0" w:rsidP="00451FB0">
      <w:pPr>
        <w:autoSpaceDE w:val="0"/>
        <w:autoSpaceDN w:val="0"/>
        <w:adjustRightInd w:val="0"/>
        <w:spacing w:line="360" w:lineRule="auto"/>
        <w:ind w:firstLine="1440"/>
        <w:rPr>
          <w:rFonts w:ascii="Times New Roman" w:hAnsi="Times New Roman"/>
          <w:sz w:val="26"/>
          <w:szCs w:val="26"/>
        </w:rPr>
      </w:pPr>
      <w:r w:rsidRPr="00245677">
        <w:rPr>
          <w:rFonts w:ascii="Times New Roman" w:hAnsi="Times New Roman"/>
          <w:sz w:val="26"/>
          <w:szCs w:val="26"/>
        </w:rPr>
        <w:t xml:space="preserve">Section 1405(c) states: </w:t>
      </w:r>
    </w:p>
    <w:p w14:paraId="09A3294D" w14:textId="77777777" w:rsidR="00451FB0" w:rsidRDefault="00451FB0" w:rsidP="00451FB0">
      <w:pPr>
        <w:autoSpaceDE w:val="0"/>
        <w:autoSpaceDN w:val="0"/>
        <w:adjustRightInd w:val="0"/>
        <w:ind w:firstLine="1440"/>
        <w:rPr>
          <w:rFonts w:ascii="Times New Roman" w:hAnsi="Times New Roman"/>
          <w:sz w:val="26"/>
          <w:szCs w:val="26"/>
        </w:rPr>
      </w:pPr>
    </w:p>
    <w:p w14:paraId="53742751" w14:textId="756ACF6C" w:rsidR="00451FB0" w:rsidRDefault="00451FB0" w:rsidP="00451FB0">
      <w:pPr>
        <w:autoSpaceDE w:val="0"/>
        <w:autoSpaceDN w:val="0"/>
        <w:adjustRightInd w:val="0"/>
        <w:ind w:left="1440" w:right="1440"/>
        <w:rPr>
          <w:rFonts w:ascii="Times New Roman" w:hAnsi="Times New Roman"/>
          <w:sz w:val="26"/>
          <w:szCs w:val="26"/>
        </w:rPr>
      </w:pPr>
      <w:r w:rsidRPr="00F9568A">
        <w:rPr>
          <w:rFonts w:ascii="Times New Roman" w:hAnsi="Times New Roman"/>
          <w:sz w:val="26"/>
          <w:szCs w:val="26"/>
        </w:rPr>
        <w:t>Customer assistance program rates shall be timely paid and shall not be the subject of payment arrangements negotiated or approved by the commission.</w:t>
      </w:r>
    </w:p>
    <w:p w14:paraId="1DA46762" w14:textId="471EEBE6" w:rsidR="00794C08" w:rsidRDefault="00794C08" w:rsidP="00451FB0">
      <w:pPr>
        <w:autoSpaceDE w:val="0"/>
        <w:autoSpaceDN w:val="0"/>
        <w:adjustRightInd w:val="0"/>
        <w:ind w:left="1440" w:right="1440"/>
        <w:rPr>
          <w:rFonts w:ascii="Times New Roman" w:hAnsi="Times New Roman"/>
          <w:sz w:val="26"/>
          <w:szCs w:val="26"/>
        </w:rPr>
      </w:pPr>
    </w:p>
    <w:p w14:paraId="084CB378" w14:textId="77777777" w:rsidR="00794C08" w:rsidRPr="00F9568A" w:rsidRDefault="00794C08" w:rsidP="00451FB0">
      <w:pPr>
        <w:autoSpaceDE w:val="0"/>
        <w:autoSpaceDN w:val="0"/>
        <w:adjustRightInd w:val="0"/>
        <w:ind w:left="1440" w:right="1440"/>
        <w:rPr>
          <w:rFonts w:ascii="Times New Roman" w:hAnsi="Times New Roman"/>
          <w:sz w:val="26"/>
          <w:szCs w:val="26"/>
        </w:rPr>
      </w:pPr>
    </w:p>
    <w:p w14:paraId="0C206310" w14:textId="77777777" w:rsidR="00451FB0" w:rsidRDefault="00451FB0" w:rsidP="00451FB0">
      <w:pPr>
        <w:autoSpaceDE w:val="0"/>
        <w:autoSpaceDN w:val="0"/>
        <w:adjustRightInd w:val="0"/>
        <w:spacing w:line="360" w:lineRule="auto"/>
        <w:rPr>
          <w:rFonts w:ascii="Times New Roman" w:hAnsi="Times New Roman"/>
          <w:sz w:val="26"/>
          <w:szCs w:val="26"/>
        </w:rPr>
      </w:pPr>
      <w:r w:rsidRPr="00245677">
        <w:rPr>
          <w:rFonts w:ascii="Times New Roman" w:hAnsi="Times New Roman"/>
          <w:sz w:val="26"/>
          <w:szCs w:val="26"/>
        </w:rPr>
        <w:t>66 Pa. C.S. § 1405(c)</w:t>
      </w:r>
      <w:r>
        <w:rPr>
          <w:rFonts w:ascii="Times New Roman" w:hAnsi="Times New Roman"/>
          <w:sz w:val="26"/>
          <w:szCs w:val="26"/>
        </w:rPr>
        <w:t xml:space="preserve"> (emphasis added).  </w:t>
      </w:r>
    </w:p>
    <w:p w14:paraId="51851D06" w14:textId="77777777" w:rsidR="00451FB0" w:rsidRDefault="00451FB0" w:rsidP="00451FB0">
      <w:pPr>
        <w:autoSpaceDE w:val="0"/>
        <w:autoSpaceDN w:val="0"/>
        <w:adjustRightInd w:val="0"/>
        <w:spacing w:line="360" w:lineRule="auto"/>
        <w:ind w:firstLine="1440"/>
        <w:rPr>
          <w:rFonts w:ascii="Times New Roman" w:hAnsi="Times New Roman"/>
          <w:sz w:val="26"/>
          <w:szCs w:val="26"/>
        </w:rPr>
      </w:pPr>
    </w:p>
    <w:p w14:paraId="7AB76291" w14:textId="77777777" w:rsidR="00451FB0" w:rsidRPr="002B21EF" w:rsidRDefault="00451FB0" w:rsidP="00451FB0">
      <w:pPr>
        <w:autoSpaceDE w:val="0"/>
        <w:autoSpaceDN w:val="0"/>
        <w:adjustRightInd w:val="0"/>
        <w:spacing w:line="360" w:lineRule="auto"/>
        <w:ind w:firstLine="1440"/>
        <w:rPr>
          <w:sz w:val="23"/>
          <w:szCs w:val="23"/>
        </w:rPr>
      </w:pPr>
      <w:r>
        <w:rPr>
          <w:rFonts w:ascii="Times New Roman" w:hAnsi="Times New Roman"/>
          <w:sz w:val="26"/>
          <w:szCs w:val="26"/>
        </w:rPr>
        <w:t>A “customer assistance program”</w:t>
      </w:r>
      <w:r w:rsidRPr="003105EC">
        <w:rPr>
          <w:rFonts w:ascii="Times New Roman" w:hAnsi="Times New Roman"/>
          <w:sz w:val="26"/>
          <w:szCs w:val="26"/>
        </w:rPr>
        <w:t xml:space="preserve"> </w:t>
      </w:r>
      <w:r>
        <w:rPr>
          <w:rFonts w:ascii="Times New Roman" w:hAnsi="Times New Roman"/>
          <w:sz w:val="26"/>
          <w:szCs w:val="26"/>
        </w:rPr>
        <w:t xml:space="preserve">is defined </w:t>
      </w:r>
      <w:r w:rsidRPr="003105EC">
        <w:rPr>
          <w:rFonts w:ascii="Times New Roman" w:hAnsi="Times New Roman"/>
          <w:sz w:val="26"/>
          <w:szCs w:val="26"/>
        </w:rPr>
        <w:t>as follows:</w:t>
      </w:r>
    </w:p>
    <w:p w14:paraId="684D4A63" w14:textId="77777777" w:rsidR="00451FB0" w:rsidRPr="003105EC" w:rsidRDefault="00451FB0" w:rsidP="00451FB0">
      <w:pPr>
        <w:keepNext/>
        <w:ind w:left="1440" w:right="1440"/>
        <w:rPr>
          <w:rFonts w:ascii="Times New Roman" w:hAnsi="Times New Roman"/>
          <w:sz w:val="26"/>
          <w:szCs w:val="26"/>
        </w:rPr>
      </w:pPr>
    </w:p>
    <w:p w14:paraId="1B98342F" w14:textId="77777777" w:rsidR="007978E7" w:rsidRDefault="00451FB0" w:rsidP="00451FB0">
      <w:pPr>
        <w:ind w:left="1440" w:right="1440"/>
        <w:rPr>
          <w:rFonts w:ascii="Times New Roman" w:hAnsi="Times New Roman"/>
          <w:sz w:val="26"/>
          <w:szCs w:val="26"/>
        </w:rPr>
      </w:pPr>
      <w:r w:rsidRPr="003105EC">
        <w:rPr>
          <w:rFonts w:ascii="Times New Roman" w:hAnsi="Times New Roman"/>
          <w:sz w:val="26"/>
          <w:szCs w:val="26"/>
        </w:rPr>
        <w:t xml:space="preserve">A plan or program sponsored by a public utility for the purpose of providing universal service and energy conservation, as defined by Section 2202 (relating to definitions) or Section 2803 (relating to definitions), in which customers make monthly payments based on household </w:t>
      </w:r>
    </w:p>
    <w:p w14:paraId="782B9F96" w14:textId="13B1806B" w:rsidR="00451FB0" w:rsidRDefault="00451FB0" w:rsidP="007978E7">
      <w:pPr>
        <w:keepNext/>
        <w:keepLines/>
        <w:ind w:left="1440" w:right="1440"/>
        <w:rPr>
          <w:rFonts w:ascii="Times New Roman" w:hAnsi="Times New Roman"/>
          <w:sz w:val="26"/>
          <w:szCs w:val="26"/>
        </w:rPr>
      </w:pPr>
      <w:r w:rsidRPr="003105EC">
        <w:rPr>
          <w:rFonts w:ascii="Times New Roman" w:hAnsi="Times New Roman"/>
          <w:sz w:val="26"/>
          <w:szCs w:val="26"/>
        </w:rPr>
        <w:t>income and household size and under which customers must comply with certain responsibilities and restrictions in order to remain eligible for the program.</w:t>
      </w:r>
    </w:p>
    <w:p w14:paraId="35E792B1" w14:textId="0FF36DE4" w:rsidR="00794C08" w:rsidRDefault="00794C08" w:rsidP="007978E7">
      <w:pPr>
        <w:keepNext/>
        <w:keepLines/>
        <w:ind w:left="1440" w:right="1440"/>
        <w:rPr>
          <w:rFonts w:ascii="Times New Roman" w:hAnsi="Times New Roman"/>
          <w:sz w:val="26"/>
          <w:szCs w:val="26"/>
        </w:rPr>
      </w:pPr>
    </w:p>
    <w:p w14:paraId="08CB7DC0" w14:textId="77777777" w:rsidR="00794C08" w:rsidRPr="003105EC" w:rsidRDefault="00794C08" w:rsidP="007978E7">
      <w:pPr>
        <w:keepNext/>
        <w:keepLines/>
        <w:ind w:left="1440" w:right="1440"/>
        <w:rPr>
          <w:rFonts w:ascii="Times New Roman" w:hAnsi="Times New Roman"/>
          <w:sz w:val="26"/>
          <w:szCs w:val="26"/>
        </w:rPr>
      </w:pPr>
    </w:p>
    <w:p w14:paraId="6BFD39A5" w14:textId="77777777" w:rsidR="00451FB0" w:rsidRDefault="00451FB0" w:rsidP="00451FB0">
      <w:pPr>
        <w:spacing w:line="360" w:lineRule="auto"/>
        <w:rPr>
          <w:rFonts w:ascii="Times New Roman" w:hAnsi="Times New Roman"/>
          <w:sz w:val="26"/>
          <w:szCs w:val="26"/>
        </w:rPr>
      </w:pPr>
      <w:r>
        <w:rPr>
          <w:rFonts w:ascii="Times New Roman" w:hAnsi="Times New Roman"/>
          <w:sz w:val="26"/>
          <w:szCs w:val="26"/>
        </w:rPr>
        <w:t>66 Pa. C.S. § 1403.</w:t>
      </w:r>
    </w:p>
    <w:p w14:paraId="6C9969AC" w14:textId="77777777" w:rsidR="00451FB0" w:rsidRDefault="00451FB0" w:rsidP="00451FB0">
      <w:pPr>
        <w:spacing w:line="360" w:lineRule="auto"/>
        <w:rPr>
          <w:rFonts w:ascii="Times New Roman" w:hAnsi="Times New Roman"/>
          <w:sz w:val="26"/>
          <w:szCs w:val="26"/>
        </w:rPr>
      </w:pPr>
    </w:p>
    <w:p w14:paraId="5477D9B4" w14:textId="01A3F1E4" w:rsidR="00451FB0" w:rsidRDefault="00451FB0" w:rsidP="00451FB0">
      <w:pPr>
        <w:spacing w:line="360" w:lineRule="auto"/>
        <w:ind w:firstLine="1440"/>
        <w:rPr>
          <w:rFonts w:ascii="Times New Roman" w:hAnsi="Times New Roman"/>
          <w:sz w:val="26"/>
          <w:szCs w:val="26"/>
        </w:rPr>
      </w:pPr>
      <w:r w:rsidRPr="0019499B">
        <w:rPr>
          <w:rFonts w:ascii="Times New Roman" w:hAnsi="Times New Roman"/>
          <w:sz w:val="26"/>
          <w:szCs w:val="26"/>
        </w:rPr>
        <w:lastRenderedPageBreak/>
        <w:t xml:space="preserve">Although the term “customer assistance program rates” is not </w:t>
      </w:r>
      <w:r>
        <w:rPr>
          <w:rFonts w:ascii="Times New Roman" w:hAnsi="Times New Roman"/>
          <w:sz w:val="26"/>
          <w:szCs w:val="26"/>
        </w:rPr>
        <w:t xml:space="preserve">itself a defined term under Chapter 14 of the Code, we have previously recognized such term </w:t>
      </w:r>
      <w:r w:rsidRPr="0019499B">
        <w:rPr>
          <w:rFonts w:ascii="Times New Roman" w:hAnsi="Times New Roman"/>
          <w:sz w:val="26"/>
          <w:szCs w:val="26"/>
        </w:rPr>
        <w:t>as including</w:t>
      </w:r>
      <w:r>
        <w:rPr>
          <w:rFonts w:ascii="Times New Roman" w:hAnsi="Times New Roman"/>
          <w:sz w:val="26"/>
          <w:szCs w:val="26"/>
        </w:rPr>
        <w:t xml:space="preserve"> </w:t>
      </w:r>
      <w:r w:rsidRPr="0019499B">
        <w:rPr>
          <w:rFonts w:ascii="Times New Roman" w:hAnsi="Times New Roman"/>
          <w:sz w:val="26"/>
          <w:szCs w:val="26"/>
        </w:rPr>
        <w:t>rates charged to customers currently enrolled in CAP programs, including rates for current service and rates for deferred pre-CAP arrearages</w:t>
      </w:r>
      <w:r>
        <w:rPr>
          <w:rFonts w:ascii="Times New Roman" w:hAnsi="Times New Roman"/>
          <w:sz w:val="26"/>
          <w:szCs w:val="26"/>
        </w:rPr>
        <w:t xml:space="preserve">, and </w:t>
      </w:r>
      <w:r w:rsidRPr="0019499B">
        <w:rPr>
          <w:rFonts w:ascii="Times New Roman" w:hAnsi="Times New Roman"/>
          <w:sz w:val="26"/>
          <w:szCs w:val="26"/>
        </w:rPr>
        <w:t xml:space="preserve">arrearages that accumulated while a customer formerly was enrolled in a CAP program, </w:t>
      </w:r>
      <w:r>
        <w:rPr>
          <w:rFonts w:ascii="Times New Roman" w:hAnsi="Times New Roman"/>
          <w:sz w:val="26"/>
          <w:szCs w:val="26"/>
        </w:rPr>
        <w:t xml:space="preserve">given that </w:t>
      </w:r>
      <w:r w:rsidRPr="0019499B">
        <w:rPr>
          <w:rFonts w:ascii="Times New Roman" w:hAnsi="Times New Roman"/>
          <w:sz w:val="26"/>
          <w:szCs w:val="26"/>
        </w:rPr>
        <w:t>these arrearages accum</w:t>
      </w:r>
      <w:r>
        <w:rPr>
          <w:rFonts w:ascii="Times New Roman" w:hAnsi="Times New Roman"/>
          <w:sz w:val="26"/>
          <w:szCs w:val="26"/>
        </w:rPr>
        <w:t xml:space="preserve">ulated from the non-payment of </w:t>
      </w:r>
      <w:r w:rsidRPr="0019499B">
        <w:rPr>
          <w:rFonts w:ascii="Times New Roman" w:hAnsi="Times New Roman"/>
          <w:sz w:val="26"/>
          <w:szCs w:val="26"/>
        </w:rPr>
        <w:t>cus</w:t>
      </w:r>
      <w:r>
        <w:rPr>
          <w:rFonts w:ascii="Times New Roman" w:hAnsi="Times New Roman"/>
          <w:sz w:val="26"/>
          <w:szCs w:val="26"/>
        </w:rPr>
        <w:t>tomer assistance program rates.</w:t>
      </w:r>
      <w:r w:rsidRPr="0019499B">
        <w:rPr>
          <w:rFonts w:ascii="Times New Roman" w:hAnsi="Times New Roman"/>
          <w:sz w:val="26"/>
          <w:szCs w:val="26"/>
        </w:rPr>
        <w:t xml:space="preserve">  </w:t>
      </w:r>
      <w:r w:rsidRPr="0019499B">
        <w:rPr>
          <w:rFonts w:ascii="Times New Roman" w:hAnsi="Times New Roman"/>
          <w:i/>
          <w:sz w:val="26"/>
          <w:szCs w:val="26"/>
        </w:rPr>
        <w:t>See Hewitt</w:t>
      </w:r>
      <w:r>
        <w:rPr>
          <w:rFonts w:ascii="Times New Roman" w:hAnsi="Times New Roman"/>
          <w:sz w:val="26"/>
          <w:szCs w:val="26"/>
        </w:rPr>
        <w:t xml:space="preserve"> at 10.</w:t>
      </w:r>
    </w:p>
    <w:p w14:paraId="38A2FD41" w14:textId="77777777" w:rsidR="00912F2C" w:rsidRDefault="00912F2C" w:rsidP="00451FB0">
      <w:pPr>
        <w:spacing w:line="360" w:lineRule="auto"/>
        <w:ind w:firstLine="1440"/>
        <w:rPr>
          <w:rFonts w:ascii="Times New Roman" w:hAnsi="Times New Roman"/>
          <w:sz w:val="26"/>
          <w:szCs w:val="26"/>
        </w:rPr>
      </w:pPr>
    </w:p>
    <w:p w14:paraId="755289C4" w14:textId="5422B2A7" w:rsidR="00F37B7D" w:rsidRDefault="00F37B7D" w:rsidP="003C45B0">
      <w:pPr>
        <w:spacing w:line="360" w:lineRule="auto"/>
        <w:ind w:firstLine="1440"/>
        <w:rPr>
          <w:rFonts w:ascii="Times New Roman" w:hAnsi="Times New Roman"/>
          <w:sz w:val="26"/>
          <w:szCs w:val="26"/>
        </w:rPr>
      </w:pPr>
      <w:bookmarkStart w:id="1" w:name="_Hlk521923541"/>
      <w:r>
        <w:rPr>
          <w:rFonts w:ascii="Times New Roman" w:hAnsi="Times New Roman"/>
          <w:sz w:val="26"/>
          <w:szCs w:val="26"/>
        </w:rPr>
        <w:t xml:space="preserve">For </w:t>
      </w:r>
      <w:r w:rsidR="002B21EF">
        <w:rPr>
          <w:rFonts w:ascii="Times New Roman" w:hAnsi="Times New Roman"/>
          <w:sz w:val="26"/>
          <w:szCs w:val="26"/>
        </w:rPr>
        <w:t>any</w:t>
      </w:r>
      <w:r>
        <w:rPr>
          <w:rFonts w:ascii="Times New Roman" w:hAnsi="Times New Roman"/>
          <w:sz w:val="26"/>
          <w:szCs w:val="26"/>
        </w:rPr>
        <w:t xml:space="preserve"> </w:t>
      </w:r>
      <w:r w:rsidR="002B21EF">
        <w:rPr>
          <w:rFonts w:ascii="Times New Roman" w:hAnsi="Times New Roman"/>
          <w:sz w:val="26"/>
          <w:szCs w:val="26"/>
        </w:rPr>
        <w:t xml:space="preserve">customer </w:t>
      </w:r>
      <w:r>
        <w:rPr>
          <w:rFonts w:ascii="Times New Roman" w:hAnsi="Times New Roman"/>
          <w:sz w:val="26"/>
          <w:szCs w:val="26"/>
        </w:rPr>
        <w:t>who default</w:t>
      </w:r>
      <w:r w:rsidR="002B21EF">
        <w:rPr>
          <w:rFonts w:ascii="Times New Roman" w:hAnsi="Times New Roman"/>
          <w:sz w:val="26"/>
          <w:szCs w:val="26"/>
        </w:rPr>
        <w:t>s</w:t>
      </w:r>
      <w:r w:rsidR="00D253B3">
        <w:rPr>
          <w:rFonts w:ascii="Times New Roman" w:hAnsi="Times New Roman"/>
          <w:sz w:val="26"/>
          <w:szCs w:val="26"/>
        </w:rPr>
        <w:t xml:space="preserve"> on a </w:t>
      </w:r>
      <w:r>
        <w:rPr>
          <w:rFonts w:ascii="Times New Roman" w:hAnsi="Times New Roman"/>
          <w:sz w:val="26"/>
          <w:szCs w:val="26"/>
        </w:rPr>
        <w:t xml:space="preserve">Commission-issued payment arrangement, </w:t>
      </w:r>
      <w:r w:rsidR="002B21EF">
        <w:rPr>
          <w:rFonts w:ascii="Times New Roman" w:hAnsi="Times New Roman"/>
          <w:sz w:val="26"/>
          <w:szCs w:val="26"/>
        </w:rPr>
        <w:t xml:space="preserve">the customer may </w:t>
      </w:r>
      <w:r w:rsidR="002625C9">
        <w:rPr>
          <w:rFonts w:ascii="Times New Roman" w:hAnsi="Times New Roman"/>
          <w:sz w:val="26"/>
          <w:szCs w:val="26"/>
        </w:rPr>
        <w:t>receive</w:t>
      </w:r>
      <w:r w:rsidR="00F9568A">
        <w:rPr>
          <w:rFonts w:ascii="Times New Roman" w:hAnsi="Times New Roman"/>
          <w:sz w:val="26"/>
          <w:szCs w:val="26"/>
        </w:rPr>
        <w:t xml:space="preserve"> relief from the Commission</w:t>
      </w:r>
      <w:r w:rsidR="002B21EF">
        <w:rPr>
          <w:rFonts w:ascii="Times New Roman" w:hAnsi="Times New Roman"/>
          <w:sz w:val="26"/>
          <w:szCs w:val="26"/>
        </w:rPr>
        <w:t xml:space="preserve"> if the customer demonstrates</w:t>
      </w:r>
      <w:r>
        <w:rPr>
          <w:rFonts w:ascii="Times New Roman" w:hAnsi="Times New Roman"/>
          <w:sz w:val="26"/>
          <w:szCs w:val="26"/>
        </w:rPr>
        <w:t xml:space="preserve"> a “change in income” or a “sig</w:t>
      </w:r>
      <w:r w:rsidR="00F9568A">
        <w:rPr>
          <w:rFonts w:ascii="Times New Roman" w:hAnsi="Times New Roman"/>
          <w:sz w:val="26"/>
          <w:szCs w:val="26"/>
        </w:rPr>
        <w:t>nificant change in circumstance</w:t>
      </w:r>
      <w:r w:rsidR="00912F2C">
        <w:rPr>
          <w:rFonts w:ascii="Times New Roman" w:hAnsi="Times New Roman"/>
          <w:sz w:val="26"/>
          <w:szCs w:val="26"/>
        </w:rPr>
        <w:t>.</w:t>
      </w:r>
      <w:r>
        <w:rPr>
          <w:rFonts w:ascii="Times New Roman" w:hAnsi="Times New Roman"/>
          <w:sz w:val="26"/>
          <w:szCs w:val="26"/>
        </w:rPr>
        <w:t>”</w:t>
      </w:r>
      <w:r w:rsidR="00912F2C">
        <w:rPr>
          <w:rFonts w:ascii="Times New Roman" w:hAnsi="Times New Roman"/>
          <w:sz w:val="26"/>
          <w:szCs w:val="26"/>
        </w:rPr>
        <w:t xml:space="preserve"> </w:t>
      </w:r>
      <w:r w:rsidRPr="00F37B7D">
        <w:rPr>
          <w:rFonts w:ascii="Times New Roman" w:hAnsi="Times New Roman"/>
          <w:sz w:val="26"/>
          <w:szCs w:val="26"/>
        </w:rPr>
        <w:t xml:space="preserve"> </w:t>
      </w:r>
      <w:r>
        <w:rPr>
          <w:rFonts w:ascii="Times New Roman" w:hAnsi="Times New Roman"/>
          <w:sz w:val="26"/>
          <w:szCs w:val="26"/>
        </w:rPr>
        <w:t>66 Pa. C.S. § 1405(d), (e).</w:t>
      </w:r>
      <w:bookmarkEnd w:id="1"/>
    </w:p>
    <w:p w14:paraId="7E0A8214" w14:textId="77777777" w:rsidR="00F37B7D" w:rsidRDefault="00F37B7D" w:rsidP="003C45B0">
      <w:pPr>
        <w:spacing w:line="360" w:lineRule="auto"/>
        <w:ind w:firstLine="1440"/>
        <w:rPr>
          <w:rFonts w:ascii="Times New Roman" w:hAnsi="Times New Roman"/>
          <w:sz w:val="26"/>
          <w:szCs w:val="26"/>
        </w:rPr>
      </w:pPr>
    </w:p>
    <w:p w14:paraId="31E52282" w14:textId="2C8A104B" w:rsidR="003C45B0" w:rsidRDefault="00F37B7D" w:rsidP="00F37B7D">
      <w:pPr>
        <w:spacing w:line="360" w:lineRule="auto"/>
        <w:ind w:firstLine="1440"/>
        <w:rPr>
          <w:rFonts w:ascii="Times New Roman" w:hAnsi="Times New Roman"/>
          <w:sz w:val="26"/>
          <w:szCs w:val="26"/>
        </w:rPr>
      </w:pPr>
      <w:r>
        <w:rPr>
          <w:rFonts w:ascii="Times New Roman" w:hAnsi="Times New Roman"/>
          <w:sz w:val="26"/>
          <w:szCs w:val="26"/>
        </w:rPr>
        <w:t xml:space="preserve"> </w:t>
      </w:r>
      <w:r w:rsidR="003C45B0">
        <w:rPr>
          <w:rFonts w:ascii="Times New Roman" w:hAnsi="Times New Roman"/>
          <w:sz w:val="26"/>
          <w:szCs w:val="26"/>
        </w:rPr>
        <w:t xml:space="preserve">A “change of income” is defined as follows: </w:t>
      </w:r>
    </w:p>
    <w:p w14:paraId="479FE224" w14:textId="77777777" w:rsidR="00F37B7D" w:rsidRDefault="00F37B7D" w:rsidP="00F9568A">
      <w:pPr>
        <w:ind w:firstLine="1440"/>
        <w:rPr>
          <w:rFonts w:ascii="Times New Roman" w:hAnsi="Times New Roman"/>
          <w:sz w:val="26"/>
          <w:szCs w:val="26"/>
        </w:rPr>
      </w:pPr>
    </w:p>
    <w:p w14:paraId="3E69B296" w14:textId="098361B7" w:rsidR="003C45B0" w:rsidRDefault="003C45B0" w:rsidP="003C45B0">
      <w:pPr>
        <w:ind w:left="1440" w:right="1440"/>
        <w:rPr>
          <w:rFonts w:ascii="Times New Roman" w:hAnsi="Times New Roman"/>
          <w:color w:val="212121"/>
          <w:sz w:val="26"/>
          <w:szCs w:val="26"/>
        </w:rPr>
      </w:pPr>
      <w:r w:rsidRPr="00FD279E">
        <w:rPr>
          <w:rFonts w:ascii="Times New Roman" w:hAnsi="Times New Roman"/>
          <w:color w:val="212121"/>
          <w:sz w:val="26"/>
          <w:szCs w:val="26"/>
        </w:rPr>
        <w:t>A decrease in household income of 20% or more if the customer's household income level exceeds 200% of the Federal poverty level or a decrease in household income of 10% or more if the customer's household income level is 200% or less of the Federal poverty level.</w:t>
      </w:r>
    </w:p>
    <w:p w14:paraId="10487191" w14:textId="46397C9D" w:rsidR="00794C08" w:rsidRDefault="00794C08" w:rsidP="003C45B0">
      <w:pPr>
        <w:ind w:left="1440" w:right="1440"/>
        <w:rPr>
          <w:rFonts w:ascii="Times New Roman" w:hAnsi="Times New Roman"/>
          <w:color w:val="212121"/>
          <w:sz w:val="26"/>
          <w:szCs w:val="26"/>
        </w:rPr>
      </w:pPr>
    </w:p>
    <w:p w14:paraId="266E6652" w14:textId="77777777" w:rsidR="00794C08" w:rsidRDefault="00794C08" w:rsidP="003C45B0">
      <w:pPr>
        <w:ind w:left="1440" w:right="1440"/>
        <w:rPr>
          <w:rFonts w:ascii="Times New Roman" w:hAnsi="Times New Roman"/>
          <w:color w:val="212121"/>
          <w:sz w:val="26"/>
          <w:szCs w:val="26"/>
        </w:rPr>
      </w:pPr>
    </w:p>
    <w:p w14:paraId="0EAAFF16" w14:textId="27B9A744" w:rsidR="003C45B0" w:rsidRDefault="003C45B0" w:rsidP="003C45B0">
      <w:pPr>
        <w:spacing w:line="360" w:lineRule="auto"/>
        <w:rPr>
          <w:rFonts w:ascii="Times New Roman" w:hAnsi="Times New Roman"/>
          <w:sz w:val="26"/>
          <w:szCs w:val="26"/>
        </w:rPr>
      </w:pPr>
      <w:r w:rsidRPr="00FD279E">
        <w:rPr>
          <w:rFonts w:ascii="Times New Roman" w:hAnsi="Times New Roman"/>
          <w:sz w:val="26"/>
          <w:szCs w:val="26"/>
        </w:rPr>
        <w:t xml:space="preserve">66 Pa. C.S. § 1403. </w:t>
      </w:r>
    </w:p>
    <w:p w14:paraId="1852A9DB" w14:textId="77777777" w:rsidR="00451FB0" w:rsidRPr="00FD279E" w:rsidRDefault="00451FB0" w:rsidP="003C45B0">
      <w:pPr>
        <w:spacing w:line="360" w:lineRule="auto"/>
        <w:rPr>
          <w:rFonts w:ascii="Times New Roman" w:hAnsi="Times New Roman"/>
        </w:rPr>
      </w:pPr>
    </w:p>
    <w:p w14:paraId="54339CEB" w14:textId="228E6881" w:rsidR="003C45B0" w:rsidRPr="00FA24F7" w:rsidRDefault="003C45B0" w:rsidP="003C45B0">
      <w:pPr>
        <w:spacing w:line="360" w:lineRule="auto"/>
        <w:ind w:firstLine="1440"/>
        <w:rPr>
          <w:rFonts w:ascii="Times New Roman" w:hAnsi="Times New Roman"/>
          <w:sz w:val="26"/>
          <w:szCs w:val="26"/>
        </w:rPr>
      </w:pPr>
      <w:r>
        <w:rPr>
          <w:rFonts w:ascii="Times New Roman" w:hAnsi="Times New Roman"/>
          <w:sz w:val="26"/>
          <w:szCs w:val="26"/>
        </w:rPr>
        <w:t xml:space="preserve">A “significant change in circumstance” is </w:t>
      </w:r>
      <w:r w:rsidRPr="00FA24F7">
        <w:rPr>
          <w:rFonts w:ascii="Times New Roman" w:hAnsi="Times New Roman"/>
          <w:sz w:val="26"/>
          <w:szCs w:val="26"/>
        </w:rPr>
        <w:t xml:space="preserve">defined as follows: </w:t>
      </w:r>
    </w:p>
    <w:p w14:paraId="5B17CC58" w14:textId="77777777" w:rsidR="003C45B0" w:rsidRDefault="003C45B0" w:rsidP="003C45B0">
      <w:pPr>
        <w:ind w:left="1440" w:right="1440"/>
        <w:rPr>
          <w:rFonts w:ascii="Times New Roman" w:hAnsi="Times New Roman"/>
          <w:sz w:val="26"/>
          <w:szCs w:val="26"/>
        </w:rPr>
      </w:pPr>
    </w:p>
    <w:p w14:paraId="3B07382A" w14:textId="206A2D84" w:rsidR="003C45B0" w:rsidRPr="00FD279E" w:rsidRDefault="003C45B0" w:rsidP="003C45B0">
      <w:pPr>
        <w:ind w:left="1440" w:right="1440"/>
        <w:rPr>
          <w:rFonts w:ascii="Times New Roman" w:hAnsi="Times New Roman"/>
          <w:sz w:val="26"/>
          <w:szCs w:val="26"/>
        </w:rPr>
      </w:pPr>
      <w:r w:rsidRPr="00FA24F7">
        <w:rPr>
          <w:rFonts w:ascii="Times New Roman" w:hAnsi="Times New Roman"/>
          <w:sz w:val="26"/>
          <w:szCs w:val="26"/>
        </w:rPr>
        <w:t xml:space="preserve">Any of the following criteria when verified by the public </w:t>
      </w:r>
      <w:r w:rsidRPr="00FD279E">
        <w:rPr>
          <w:rFonts w:ascii="Times New Roman" w:hAnsi="Times New Roman"/>
          <w:sz w:val="26"/>
          <w:szCs w:val="26"/>
        </w:rPr>
        <w:t xml:space="preserve">utility and experienced by customers with household income less than 300% of the Federal poverty level: </w:t>
      </w:r>
    </w:p>
    <w:p w14:paraId="1F028830" w14:textId="77777777" w:rsidR="003C45B0" w:rsidRPr="00FD279E" w:rsidRDefault="003C45B0" w:rsidP="003C45B0">
      <w:pPr>
        <w:ind w:left="1440" w:right="1440"/>
        <w:rPr>
          <w:rFonts w:ascii="Times New Roman" w:hAnsi="Times New Roman"/>
          <w:sz w:val="26"/>
          <w:szCs w:val="26"/>
        </w:rPr>
      </w:pPr>
    </w:p>
    <w:p w14:paraId="3F2F669D" w14:textId="77777777" w:rsidR="003C45B0" w:rsidRPr="00FD279E" w:rsidRDefault="003C45B0" w:rsidP="003C45B0">
      <w:pPr>
        <w:pStyle w:val="ListParagraph"/>
        <w:widowControl w:val="0"/>
        <w:numPr>
          <w:ilvl w:val="0"/>
          <w:numId w:val="33"/>
        </w:numPr>
        <w:ind w:right="1440"/>
        <w:rPr>
          <w:rFonts w:ascii="Times New Roman" w:hAnsi="Times New Roman"/>
          <w:sz w:val="26"/>
          <w:szCs w:val="26"/>
        </w:rPr>
      </w:pPr>
      <w:r w:rsidRPr="00FD279E">
        <w:rPr>
          <w:rFonts w:ascii="Times New Roman" w:hAnsi="Times New Roman"/>
          <w:sz w:val="26"/>
          <w:szCs w:val="26"/>
        </w:rPr>
        <w:t>The onset of a chronic or acute illness resulting in a significant loss in the customer’s household income.</w:t>
      </w:r>
    </w:p>
    <w:p w14:paraId="18807253" w14:textId="77777777" w:rsidR="003C45B0" w:rsidRPr="00FD279E" w:rsidRDefault="003C45B0" w:rsidP="003C45B0">
      <w:pPr>
        <w:pStyle w:val="ListParagraph"/>
        <w:ind w:left="1800" w:right="1440"/>
        <w:rPr>
          <w:rFonts w:ascii="Times New Roman" w:hAnsi="Times New Roman"/>
          <w:sz w:val="26"/>
          <w:szCs w:val="26"/>
        </w:rPr>
      </w:pPr>
    </w:p>
    <w:p w14:paraId="12AE931A" w14:textId="77777777" w:rsidR="003C45B0" w:rsidRPr="00FD279E" w:rsidRDefault="003C45B0" w:rsidP="003C45B0">
      <w:pPr>
        <w:pStyle w:val="ListParagraph"/>
        <w:widowControl w:val="0"/>
        <w:numPr>
          <w:ilvl w:val="0"/>
          <w:numId w:val="33"/>
        </w:numPr>
        <w:ind w:right="1440"/>
        <w:rPr>
          <w:rFonts w:ascii="Times New Roman" w:hAnsi="Times New Roman"/>
          <w:sz w:val="26"/>
          <w:szCs w:val="26"/>
        </w:rPr>
      </w:pPr>
      <w:r w:rsidRPr="00FD279E">
        <w:rPr>
          <w:rFonts w:ascii="Times New Roman" w:hAnsi="Times New Roman"/>
          <w:sz w:val="26"/>
          <w:szCs w:val="26"/>
        </w:rPr>
        <w:t xml:space="preserve">Catastrophic damage to the customer’s residence resulting </w:t>
      </w:r>
      <w:r w:rsidRPr="00FD279E">
        <w:rPr>
          <w:rFonts w:ascii="Times New Roman" w:hAnsi="Times New Roman"/>
          <w:sz w:val="26"/>
          <w:szCs w:val="26"/>
        </w:rPr>
        <w:lastRenderedPageBreak/>
        <w:t xml:space="preserve">in a significant net cost to the customer’s household. </w:t>
      </w:r>
    </w:p>
    <w:p w14:paraId="4E4E01B8" w14:textId="77777777" w:rsidR="003C45B0" w:rsidRPr="00FD279E" w:rsidRDefault="003C45B0" w:rsidP="003C45B0">
      <w:pPr>
        <w:ind w:left="1800" w:right="1440"/>
        <w:rPr>
          <w:rFonts w:ascii="Times New Roman" w:hAnsi="Times New Roman"/>
          <w:sz w:val="26"/>
          <w:szCs w:val="26"/>
        </w:rPr>
      </w:pPr>
    </w:p>
    <w:p w14:paraId="21A4CF4E" w14:textId="77777777" w:rsidR="003C45B0" w:rsidRPr="00FD279E" w:rsidRDefault="003C45B0" w:rsidP="00E9579E">
      <w:pPr>
        <w:pStyle w:val="ListParagraph"/>
        <w:keepNext/>
        <w:keepLines/>
        <w:widowControl w:val="0"/>
        <w:numPr>
          <w:ilvl w:val="0"/>
          <w:numId w:val="33"/>
        </w:numPr>
        <w:ind w:right="1440"/>
        <w:rPr>
          <w:rFonts w:ascii="Times New Roman" w:hAnsi="Times New Roman"/>
          <w:sz w:val="26"/>
          <w:szCs w:val="26"/>
        </w:rPr>
      </w:pPr>
      <w:r w:rsidRPr="00FD279E">
        <w:rPr>
          <w:rFonts w:ascii="Times New Roman" w:hAnsi="Times New Roman"/>
          <w:sz w:val="26"/>
          <w:szCs w:val="26"/>
        </w:rPr>
        <w:t xml:space="preserve">Loss of customer’s residence. </w:t>
      </w:r>
    </w:p>
    <w:p w14:paraId="4AB1A68C" w14:textId="77777777" w:rsidR="003C45B0" w:rsidRPr="00FD279E" w:rsidRDefault="003C45B0" w:rsidP="00E9579E">
      <w:pPr>
        <w:keepNext/>
        <w:keepLines/>
        <w:ind w:left="1800" w:right="1440"/>
        <w:rPr>
          <w:rFonts w:ascii="Times New Roman" w:hAnsi="Times New Roman"/>
          <w:sz w:val="26"/>
          <w:szCs w:val="26"/>
        </w:rPr>
      </w:pPr>
    </w:p>
    <w:p w14:paraId="1C4F2014" w14:textId="3D11B45D" w:rsidR="003C45B0" w:rsidRDefault="003C45B0" w:rsidP="00E9579E">
      <w:pPr>
        <w:pStyle w:val="ListParagraph"/>
        <w:keepNext/>
        <w:keepLines/>
        <w:widowControl w:val="0"/>
        <w:numPr>
          <w:ilvl w:val="0"/>
          <w:numId w:val="33"/>
        </w:numPr>
        <w:ind w:right="1440"/>
        <w:rPr>
          <w:rFonts w:ascii="Times New Roman" w:hAnsi="Times New Roman"/>
          <w:sz w:val="26"/>
          <w:szCs w:val="26"/>
        </w:rPr>
      </w:pPr>
      <w:r w:rsidRPr="00FD279E">
        <w:rPr>
          <w:rFonts w:ascii="Times New Roman" w:hAnsi="Times New Roman"/>
          <w:sz w:val="26"/>
          <w:szCs w:val="26"/>
        </w:rPr>
        <w:t xml:space="preserve">Increase in the customer’s number of dependents in the household. </w:t>
      </w:r>
    </w:p>
    <w:p w14:paraId="6B4118B8" w14:textId="77777777" w:rsidR="00794C08" w:rsidRPr="00794C08" w:rsidRDefault="00794C08" w:rsidP="00794C08">
      <w:pPr>
        <w:keepNext/>
        <w:keepLines/>
        <w:widowControl w:val="0"/>
        <w:ind w:right="1440"/>
        <w:rPr>
          <w:rFonts w:ascii="Times New Roman" w:hAnsi="Times New Roman"/>
          <w:sz w:val="26"/>
          <w:szCs w:val="26"/>
        </w:rPr>
      </w:pPr>
    </w:p>
    <w:p w14:paraId="228E633A" w14:textId="77777777" w:rsidR="003C45B0" w:rsidRPr="00FD279E" w:rsidRDefault="003C45B0" w:rsidP="00794C08">
      <w:pPr>
        <w:keepNext/>
        <w:keepLines/>
        <w:rPr>
          <w:rFonts w:ascii="Times New Roman" w:hAnsi="Times New Roman"/>
          <w:sz w:val="26"/>
          <w:szCs w:val="26"/>
        </w:rPr>
      </w:pPr>
    </w:p>
    <w:p w14:paraId="4B81783E" w14:textId="7139A3A1" w:rsidR="003C45B0" w:rsidRDefault="003C45B0" w:rsidP="003C45B0">
      <w:pPr>
        <w:spacing w:line="360" w:lineRule="auto"/>
        <w:rPr>
          <w:rFonts w:ascii="Times New Roman" w:hAnsi="Times New Roman"/>
          <w:sz w:val="26"/>
          <w:szCs w:val="26"/>
        </w:rPr>
      </w:pPr>
      <w:r w:rsidRPr="00FD279E">
        <w:rPr>
          <w:rFonts w:ascii="Times New Roman" w:hAnsi="Times New Roman"/>
          <w:sz w:val="26"/>
          <w:szCs w:val="26"/>
        </w:rPr>
        <w:t>66 Pa. C.S. § 1403.</w:t>
      </w:r>
    </w:p>
    <w:p w14:paraId="6736D18B" w14:textId="77777777" w:rsidR="00794C08" w:rsidRDefault="00794C08" w:rsidP="003C45B0">
      <w:pPr>
        <w:spacing w:line="360" w:lineRule="auto"/>
        <w:rPr>
          <w:rFonts w:ascii="Times New Roman" w:hAnsi="Times New Roman"/>
          <w:sz w:val="26"/>
          <w:szCs w:val="26"/>
        </w:rPr>
      </w:pPr>
    </w:p>
    <w:p w14:paraId="762FA2D8" w14:textId="7C0073CB" w:rsidR="00F37B7D" w:rsidRDefault="00F37B7D" w:rsidP="00F37B7D">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If the </w:t>
      </w:r>
      <w:r w:rsidR="00F9568A">
        <w:rPr>
          <w:rFonts w:ascii="Times New Roman" w:hAnsi="Times New Roman"/>
          <w:sz w:val="26"/>
          <w:szCs w:val="26"/>
        </w:rPr>
        <w:t>payment-defaulted</w:t>
      </w:r>
      <w:r>
        <w:rPr>
          <w:rFonts w:ascii="Times New Roman" w:hAnsi="Times New Roman"/>
          <w:sz w:val="26"/>
          <w:szCs w:val="26"/>
        </w:rPr>
        <w:t xml:space="preserve"> customer establishes that he/she experienced a “change in income” since the</w:t>
      </w:r>
      <w:r w:rsidR="002B21EF">
        <w:rPr>
          <w:rFonts w:ascii="Times New Roman" w:hAnsi="Times New Roman"/>
          <w:sz w:val="26"/>
          <w:szCs w:val="26"/>
        </w:rPr>
        <w:t xml:space="preserve"> time </w:t>
      </w:r>
      <w:r w:rsidR="00F9568A">
        <w:rPr>
          <w:rFonts w:ascii="Times New Roman" w:hAnsi="Times New Roman"/>
          <w:sz w:val="26"/>
          <w:szCs w:val="26"/>
        </w:rPr>
        <w:t>of the previously Commission-ordered payment arrangement</w:t>
      </w:r>
      <w:r>
        <w:rPr>
          <w:rFonts w:ascii="Times New Roman" w:hAnsi="Times New Roman"/>
          <w:sz w:val="26"/>
          <w:szCs w:val="26"/>
        </w:rPr>
        <w:t xml:space="preserve">, the Commission is authorized to exercise its discretion </w:t>
      </w:r>
      <w:r w:rsidR="00D253B3">
        <w:rPr>
          <w:rFonts w:ascii="Times New Roman" w:hAnsi="Times New Roman"/>
          <w:sz w:val="26"/>
          <w:szCs w:val="26"/>
        </w:rPr>
        <w:t xml:space="preserve">and grant </w:t>
      </w:r>
      <w:r>
        <w:rPr>
          <w:rFonts w:ascii="Times New Roman" w:hAnsi="Times New Roman"/>
          <w:sz w:val="26"/>
          <w:szCs w:val="26"/>
        </w:rPr>
        <w:t>a second or subsequent payment arrangement</w:t>
      </w:r>
      <w:r w:rsidR="002B21EF">
        <w:rPr>
          <w:rFonts w:ascii="Times New Roman" w:hAnsi="Times New Roman"/>
          <w:sz w:val="26"/>
          <w:szCs w:val="26"/>
        </w:rPr>
        <w:t xml:space="preserve"> to the customer</w:t>
      </w:r>
      <w:r>
        <w:rPr>
          <w:rFonts w:ascii="Times New Roman" w:hAnsi="Times New Roman"/>
          <w:sz w:val="26"/>
          <w:szCs w:val="26"/>
        </w:rPr>
        <w:t xml:space="preserve">. </w:t>
      </w:r>
      <w:r w:rsidR="00F9568A" w:rsidRPr="00FA24F7">
        <w:rPr>
          <w:rFonts w:ascii="Times New Roman" w:hAnsi="Times New Roman"/>
          <w:sz w:val="26"/>
          <w:szCs w:val="26"/>
        </w:rPr>
        <w:t>66 Pa.</w:t>
      </w:r>
      <w:r w:rsidR="00F9568A">
        <w:rPr>
          <w:rFonts w:ascii="Times New Roman" w:hAnsi="Times New Roman"/>
          <w:sz w:val="26"/>
          <w:szCs w:val="26"/>
        </w:rPr>
        <w:t xml:space="preserve"> C.S. § 1405(d</w:t>
      </w:r>
      <w:r w:rsidR="00F9568A" w:rsidRPr="00FA24F7">
        <w:rPr>
          <w:rFonts w:ascii="Times New Roman" w:hAnsi="Times New Roman"/>
          <w:sz w:val="26"/>
          <w:szCs w:val="26"/>
        </w:rPr>
        <w:t>).</w:t>
      </w:r>
    </w:p>
    <w:p w14:paraId="7D28E2D7" w14:textId="77777777" w:rsidR="00F37B7D" w:rsidRDefault="00F37B7D" w:rsidP="00F37B7D">
      <w:pPr>
        <w:autoSpaceDE w:val="0"/>
        <w:autoSpaceDN w:val="0"/>
        <w:adjustRightInd w:val="0"/>
        <w:spacing w:line="360" w:lineRule="auto"/>
        <w:ind w:firstLine="1440"/>
        <w:rPr>
          <w:rFonts w:ascii="Times New Roman" w:hAnsi="Times New Roman"/>
          <w:sz w:val="26"/>
          <w:szCs w:val="26"/>
        </w:rPr>
      </w:pPr>
    </w:p>
    <w:p w14:paraId="4C09A324" w14:textId="61D2B946" w:rsidR="00F9568A" w:rsidRDefault="00F37B7D" w:rsidP="00912F2C">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If the </w:t>
      </w:r>
      <w:r w:rsidR="00F9568A">
        <w:rPr>
          <w:rFonts w:ascii="Times New Roman" w:hAnsi="Times New Roman"/>
          <w:sz w:val="26"/>
          <w:szCs w:val="26"/>
        </w:rPr>
        <w:t>payment-defaulted</w:t>
      </w:r>
      <w:r>
        <w:rPr>
          <w:rFonts w:ascii="Times New Roman" w:hAnsi="Times New Roman"/>
          <w:sz w:val="26"/>
          <w:szCs w:val="26"/>
        </w:rPr>
        <w:t xml:space="preserve"> customer establishes that </w:t>
      </w:r>
      <w:r w:rsidR="00F9568A">
        <w:rPr>
          <w:rFonts w:ascii="Times New Roman" w:hAnsi="Times New Roman"/>
          <w:sz w:val="26"/>
          <w:szCs w:val="26"/>
        </w:rPr>
        <w:t>such</w:t>
      </w:r>
      <w:r>
        <w:rPr>
          <w:rFonts w:ascii="Times New Roman" w:hAnsi="Times New Roman"/>
          <w:sz w:val="26"/>
          <w:szCs w:val="26"/>
        </w:rPr>
        <w:t xml:space="preserve"> payment default was a result of a “significant change in circumstance,” the Commission is authorized to reinstate, and extend the remaining term for a period of six months, the previously Commission-ordered payment arrangement.  </w:t>
      </w:r>
      <w:r w:rsidRPr="00FA24F7">
        <w:rPr>
          <w:rFonts w:ascii="Times New Roman" w:hAnsi="Times New Roman"/>
          <w:sz w:val="26"/>
          <w:szCs w:val="26"/>
        </w:rPr>
        <w:t>66 Pa.</w:t>
      </w:r>
      <w:r w:rsidR="00F9568A">
        <w:rPr>
          <w:rFonts w:ascii="Times New Roman" w:hAnsi="Times New Roman"/>
          <w:sz w:val="26"/>
          <w:szCs w:val="26"/>
        </w:rPr>
        <w:t xml:space="preserve"> </w:t>
      </w:r>
      <w:r w:rsidRPr="00FA24F7">
        <w:rPr>
          <w:rFonts w:ascii="Times New Roman" w:hAnsi="Times New Roman"/>
          <w:sz w:val="26"/>
          <w:szCs w:val="26"/>
        </w:rPr>
        <w:t>C.S. § 1405(e).</w:t>
      </w:r>
    </w:p>
    <w:p w14:paraId="6CA70117" w14:textId="2574B1B6" w:rsidR="00D253B3" w:rsidRDefault="00D253B3" w:rsidP="00912F2C">
      <w:pPr>
        <w:autoSpaceDE w:val="0"/>
        <w:autoSpaceDN w:val="0"/>
        <w:adjustRightInd w:val="0"/>
        <w:spacing w:line="360" w:lineRule="auto"/>
        <w:ind w:firstLine="1440"/>
        <w:rPr>
          <w:rFonts w:ascii="Times New Roman" w:hAnsi="Times New Roman"/>
          <w:sz w:val="26"/>
          <w:szCs w:val="26"/>
        </w:rPr>
      </w:pPr>
    </w:p>
    <w:p w14:paraId="08D24759" w14:textId="5444B591" w:rsidR="00D253B3" w:rsidRDefault="00D253B3" w:rsidP="00912F2C">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In either case, however, the Commission will examine </w:t>
      </w:r>
      <w:r w:rsidR="001C653C">
        <w:rPr>
          <w:rFonts w:ascii="Times New Roman" w:hAnsi="Times New Roman"/>
          <w:sz w:val="26"/>
          <w:szCs w:val="26"/>
        </w:rPr>
        <w:t xml:space="preserve">all relevant </w:t>
      </w:r>
      <w:r>
        <w:rPr>
          <w:rFonts w:ascii="Times New Roman" w:hAnsi="Times New Roman"/>
          <w:sz w:val="26"/>
          <w:szCs w:val="26"/>
        </w:rPr>
        <w:t xml:space="preserve">circumstances </w:t>
      </w:r>
      <w:r w:rsidR="001C653C">
        <w:rPr>
          <w:rFonts w:ascii="Times New Roman" w:hAnsi="Times New Roman"/>
          <w:sz w:val="26"/>
          <w:szCs w:val="26"/>
        </w:rPr>
        <w:t>related to the payment-defaulted customer</w:t>
      </w:r>
      <w:r>
        <w:rPr>
          <w:rFonts w:ascii="Times New Roman" w:hAnsi="Times New Roman"/>
          <w:sz w:val="26"/>
          <w:szCs w:val="26"/>
        </w:rPr>
        <w:t xml:space="preserve">, as noted above, to ensure that the granting of </w:t>
      </w:r>
      <w:r w:rsidR="001C653C">
        <w:rPr>
          <w:rFonts w:ascii="Times New Roman" w:hAnsi="Times New Roman"/>
          <w:sz w:val="26"/>
          <w:szCs w:val="26"/>
        </w:rPr>
        <w:t xml:space="preserve">the </w:t>
      </w:r>
      <w:r>
        <w:rPr>
          <w:rFonts w:ascii="Times New Roman" w:hAnsi="Times New Roman"/>
          <w:sz w:val="26"/>
          <w:szCs w:val="26"/>
        </w:rPr>
        <w:t>appropriate relief is a prudent exercise of our discretion.</w:t>
      </w:r>
    </w:p>
    <w:p w14:paraId="4B1A7F26" w14:textId="2BAF860C" w:rsidR="002B21EF" w:rsidRDefault="002B21EF" w:rsidP="003105EC">
      <w:pPr>
        <w:spacing w:line="360" w:lineRule="auto"/>
        <w:rPr>
          <w:rFonts w:ascii="Times New Roman" w:hAnsi="Times New Roman"/>
          <w:sz w:val="26"/>
          <w:szCs w:val="26"/>
        </w:rPr>
      </w:pPr>
    </w:p>
    <w:p w14:paraId="5E4F630C" w14:textId="61FF232D" w:rsidR="003105EC" w:rsidRPr="003105EC" w:rsidRDefault="003105EC" w:rsidP="00661F33">
      <w:pPr>
        <w:keepNext/>
        <w:keepLines/>
        <w:spacing w:line="360" w:lineRule="auto"/>
        <w:ind w:firstLine="720"/>
        <w:rPr>
          <w:rFonts w:ascii="Times New Roman" w:hAnsi="Times New Roman"/>
          <w:b/>
          <w:sz w:val="26"/>
          <w:szCs w:val="26"/>
        </w:rPr>
      </w:pPr>
      <w:r w:rsidRPr="003105EC">
        <w:rPr>
          <w:rFonts w:ascii="Times New Roman" w:hAnsi="Times New Roman"/>
          <w:b/>
          <w:sz w:val="26"/>
          <w:szCs w:val="26"/>
        </w:rPr>
        <w:t>Burden of Proof</w:t>
      </w:r>
    </w:p>
    <w:p w14:paraId="13F562BF" w14:textId="77777777" w:rsidR="003105EC" w:rsidRDefault="003105EC" w:rsidP="00661F33">
      <w:pPr>
        <w:keepNext/>
        <w:keepLines/>
        <w:spacing w:line="360" w:lineRule="auto"/>
        <w:rPr>
          <w:rFonts w:ascii="Times New Roman" w:hAnsi="Times New Roman"/>
          <w:sz w:val="26"/>
          <w:szCs w:val="26"/>
        </w:rPr>
      </w:pPr>
    </w:p>
    <w:p w14:paraId="258BE193" w14:textId="0F43E547" w:rsidR="00D42BF6" w:rsidRDefault="00AE0D2B" w:rsidP="00D42BF6">
      <w:pPr>
        <w:spacing w:line="360" w:lineRule="auto"/>
        <w:ind w:firstLine="1440"/>
        <w:rPr>
          <w:rFonts w:ascii="Arial" w:hAnsi="Arial" w:cs="Arial"/>
          <w:sz w:val="21"/>
          <w:szCs w:val="21"/>
        </w:rPr>
      </w:pPr>
      <w:r w:rsidRPr="00AE0D2B">
        <w:rPr>
          <w:rFonts w:ascii="Times New Roman" w:hAnsi="Times New Roman"/>
          <w:sz w:val="26"/>
          <w:szCs w:val="26"/>
        </w:rPr>
        <w:t>As the pro</w:t>
      </w:r>
      <w:r w:rsidR="002B21EF">
        <w:rPr>
          <w:rFonts w:ascii="Times New Roman" w:hAnsi="Times New Roman"/>
          <w:sz w:val="26"/>
          <w:szCs w:val="26"/>
        </w:rPr>
        <w:t>ponent of a rule or order, the complainant</w:t>
      </w:r>
      <w:r w:rsidRPr="00AE0D2B">
        <w:rPr>
          <w:rFonts w:ascii="Times New Roman" w:hAnsi="Times New Roman"/>
          <w:sz w:val="26"/>
          <w:szCs w:val="26"/>
        </w:rPr>
        <w:t xml:space="preserve"> bears the burden of proof pursuant to Section 332(a) of the Code.  66 Pa. C.S. § 332(a).  To establish a sufficient case and sa</w:t>
      </w:r>
      <w:r w:rsidR="002B21EF">
        <w:rPr>
          <w:rFonts w:ascii="Times New Roman" w:hAnsi="Times New Roman"/>
          <w:sz w:val="26"/>
          <w:szCs w:val="26"/>
        </w:rPr>
        <w:t>tisfy the burden of proof, the c</w:t>
      </w:r>
      <w:r w:rsidRPr="00AE0D2B">
        <w:rPr>
          <w:rFonts w:ascii="Times New Roman" w:hAnsi="Times New Roman"/>
          <w:sz w:val="26"/>
          <w:szCs w:val="26"/>
        </w:rPr>
        <w:t>omp</w:t>
      </w:r>
      <w:r w:rsidR="002B21EF">
        <w:rPr>
          <w:rFonts w:ascii="Times New Roman" w:hAnsi="Times New Roman"/>
          <w:sz w:val="26"/>
          <w:szCs w:val="26"/>
        </w:rPr>
        <w:t>lainant must show that the r</w:t>
      </w:r>
      <w:r w:rsidRPr="00AE0D2B">
        <w:rPr>
          <w:rFonts w:ascii="Times New Roman" w:hAnsi="Times New Roman"/>
          <w:sz w:val="26"/>
          <w:szCs w:val="26"/>
        </w:rPr>
        <w:t>espondent is responsible or accountable fo</w:t>
      </w:r>
      <w:r w:rsidR="002B21EF">
        <w:rPr>
          <w:rFonts w:ascii="Times New Roman" w:hAnsi="Times New Roman"/>
          <w:sz w:val="26"/>
          <w:szCs w:val="26"/>
        </w:rPr>
        <w:t>r the problem described in the c</w:t>
      </w:r>
      <w:r w:rsidRPr="00AE0D2B">
        <w:rPr>
          <w:rFonts w:ascii="Times New Roman" w:hAnsi="Times New Roman"/>
          <w:sz w:val="26"/>
          <w:szCs w:val="26"/>
        </w:rPr>
        <w:t xml:space="preserve">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w:t>
      </w:r>
      <w:r w:rsidRPr="00AE0D2B">
        <w:rPr>
          <w:rFonts w:ascii="Times New Roman" w:hAnsi="Times New Roman"/>
          <w:sz w:val="26"/>
          <w:szCs w:val="26"/>
        </w:rPr>
        <w:lastRenderedPageBreak/>
        <w:t xml:space="preserve">Such a showing must be by a </w:t>
      </w:r>
      <w:r w:rsidR="00D42BF6">
        <w:rPr>
          <w:rFonts w:ascii="Times New Roman" w:hAnsi="Times New Roman"/>
          <w:sz w:val="26"/>
          <w:szCs w:val="26"/>
        </w:rPr>
        <w:t>“</w:t>
      </w:r>
      <w:r w:rsidRPr="00AE0D2B">
        <w:rPr>
          <w:rFonts w:ascii="Times New Roman" w:hAnsi="Times New Roman"/>
          <w:sz w:val="26"/>
          <w:szCs w:val="26"/>
        </w:rPr>
        <w:t>preponderance of the evidence.</w:t>
      </w:r>
      <w:r w:rsidR="00D42BF6">
        <w:rPr>
          <w:rFonts w:ascii="Times New Roman" w:hAnsi="Times New Roman"/>
          <w:sz w:val="26"/>
          <w:szCs w:val="26"/>
        </w:rPr>
        <w:t>”</w:t>
      </w:r>
      <w:r w:rsidRPr="00AE0D2B">
        <w:rPr>
          <w:rFonts w:ascii="Times New Roman" w:hAnsi="Times New Roman"/>
          <w:sz w:val="26"/>
          <w:szCs w:val="26"/>
        </w:rPr>
        <w:t xml:space="preserv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w:t>
      </w:r>
      <w:r w:rsidR="00D42BF6" w:rsidRPr="00D42BF6">
        <w:rPr>
          <w:rFonts w:ascii="Times New Roman" w:hAnsi="Times New Roman"/>
          <w:sz w:val="26"/>
          <w:szCs w:val="26"/>
        </w:rPr>
        <w:t xml:space="preserve">To establish a fact or claim by a preponderance of the evidence means to offer the greater weight of the evidence, or evidence that outweighs, or is more convincing than, by even the smallest amount, the probative value of the evidence presented by the other party.  </w:t>
      </w:r>
      <w:r w:rsidR="00D42BF6" w:rsidRPr="00D42BF6">
        <w:rPr>
          <w:rFonts w:ascii="Times New Roman" w:hAnsi="Times New Roman"/>
          <w:i/>
          <w:sz w:val="26"/>
          <w:szCs w:val="26"/>
        </w:rPr>
        <w:t xml:space="preserve">See </w:t>
      </w:r>
      <w:r w:rsidR="00D42BF6" w:rsidRPr="00D42BF6">
        <w:rPr>
          <w:rFonts w:ascii="Times New Roman" w:hAnsi="Times New Roman"/>
          <w:i/>
          <w:iCs/>
          <w:sz w:val="26"/>
          <w:szCs w:val="26"/>
        </w:rPr>
        <w:t>Se-Ling Hosiery, Inc. v. Margulies,</w:t>
      </w:r>
      <w:r w:rsidR="00D42BF6" w:rsidRPr="00D42BF6">
        <w:rPr>
          <w:rFonts w:ascii="Times New Roman" w:hAnsi="Times New Roman"/>
          <w:sz w:val="26"/>
          <w:szCs w:val="26"/>
        </w:rPr>
        <w:t xml:space="preserve"> 364 Pa. 45, 48-49, 70 A.2d 854, 855 (1950).</w:t>
      </w:r>
    </w:p>
    <w:p w14:paraId="69C912C9" w14:textId="0D8795D6" w:rsidR="00AE0D2B" w:rsidRDefault="00AE0D2B" w:rsidP="0061437C">
      <w:pPr>
        <w:spacing w:line="360" w:lineRule="auto"/>
        <w:ind w:firstLine="1440"/>
        <w:rPr>
          <w:rFonts w:ascii="Times New Roman" w:hAnsi="Times New Roman"/>
          <w:sz w:val="26"/>
          <w:szCs w:val="26"/>
        </w:rPr>
      </w:pPr>
    </w:p>
    <w:p w14:paraId="5961E0E2" w14:textId="59691DA6" w:rsidR="001D1950" w:rsidRPr="001D1950" w:rsidRDefault="001D1950" w:rsidP="001D1950">
      <w:pPr>
        <w:spacing w:line="360" w:lineRule="auto"/>
        <w:ind w:firstLine="1440"/>
        <w:rPr>
          <w:rFonts w:ascii="Times New Roman" w:hAnsi="Times New Roman"/>
          <w:iCs/>
          <w:sz w:val="26"/>
        </w:rPr>
      </w:pPr>
      <w:r w:rsidRPr="001D1950">
        <w:rPr>
          <w:rFonts w:ascii="Times New Roman" w:hAnsi="Times New Roman"/>
          <w:sz w:val="26"/>
          <w:szCs w:val="26"/>
        </w:rPr>
        <w:t xml:space="preserve">The burden of proof is comprised of two distinct burdens:  the burden of production and the burden of persuasion.  </w:t>
      </w:r>
      <w:r w:rsidRPr="001D1950">
        <w:rPr>
          <w:rFonts w:ascii="Times New Roman" w:hAnsi="Times New Roman"/>
          <w:i/>
          <w:sz w:val="26"/>
          <w:szCs w:val="26"/>
        </w:rPr>
        <w:t>Hurley v. Hurley</w:t>
      </w:r>
      <w:r w:rsidRPr="001D1950">
        <w:rPr>
          <w:rFonts w:ascii="Times New Roman" w:hAnsi="Times New Roman"/>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1D1950">
        <w:rPr>
          <w:rFonts w:ascii="Times New Roman" w:hAnsi="Times New Roman"/>
          <w:i/>
          <w:sz w:val="26"/>
          <w:szCs w:val="26"/>
        </w:rPr>
        <w:t>Scott and Linda Moore v. National Fuel Gas Distribution</w:t>
      </w:r>
      <w:r w:rsidRPr="001D1950">
        <w:rPr>
          <w:rFonts w:ascii="Times New Roman" w:hAnsi="Times New Roman"/>
          <w:sz w:val="26"/>
          <w:szCs w:val="26"/>
        </w:rPr>
        <w:t>, Docket No. C-2014-2458555 (Initial Decision issued May 11, 2015) (</w:t>
      </w:r>
      <w:r w:rsidRPr="001D1950">
        <w:rPr>
          <w:rFonts w:ascii="Times New Roman" w:hAnsi="Times New Roman"/>
          <w:i/>
          <w:sz w:val="26"/>
          <w:szCs w:val="26"/>
        </w:rPr>
        <w:t>Moore</w:t>
      </w:r>
      <w:r w:rsidRPr="001D1950">
        <w:rPr>
          <w:rFonts w:ascii="Times New Roman" w:hAnsi="Times New Roman"/>
          <w:sz w:val="26"/>
          <w:szCs w:val="26"/>
        </w:rPr>
        <w:t xml:space="preserve">).  The burden of production goes to the legal sufficiency of a party’s claim or affirmative defense.  </w:t>
      </w:r>
      <w:r w:rsidRPr="001D1950">
        <w:rPr>
          <w:rFonts w:ascii="Times New Roman" w:hAnsi="Times New Roman"/>
          <w:i/>
          <w:sz w:val="26"/>
          <w:szCs w:val="26"/>
        </w:rPr>
        <w:t>See Id</w:t>
      </w:r>
      <w:r w:rsidRPr="001D1950">
        <w:rPr>
          <w:rFonts w:ascii="Times New Roman" w:hAnsi="Times New Roman"/>
          <w:sz w:val="26"/>
          <w:szCs w:val="26"/>
        </w:rPr>
        <w:t xml:space="preserve">.  It may shift between the parties during a hearing.  </w:t>
      </w:r>
      <w:r w:rsidRPr="001D1950">
        <w:rPr>
          <w:rFonts w:ascii="Times New Roman" w:hAnsi="Times New Roman"/>
          <w:sz w:val="26"/>
        </w:rPr>
        <w:t xml:space="preserve">If a complainant introduces sufficient evidence to establish legal sufficiency of the claim, also called a </w:t>
      </w:r>
      <w:r w:rsidRPr="001D1950">
        <w:rPr>
          <w:rFonts w:ascii="Times New Roman" w:hAnsi="Times New Roman"/>
          <w:i/>
          <w:sz w:val="26"/>
        </w:rPr>
        <w:t>prima facie</w:t>
      </w:r>
      <w:r w:rsidRPr="001D1950">
        <w:rPr>
          <w:rFonts w:ascii="Times New Roman" w:hAnsi="Times New Roman"/>
          <w:sz w:val="26"/>
        </w:rPr>
        <w:t xml:space="preserve"> case, the burden of production shifts to the utility to rebut the complainant’s evidence.  </w:t>
      </w:r>
      <w:r w:rsidRPr="001D1950">
        <w:rPr>
          <w:rFonts w:ascii="Times New Roman" w:hAnsi="Times New Roman"/>
          <w:i/>
          <w:sz w:val="26"/>
          <w:szCs w:val="26"/>
        </w:rPr>
        <w:t>See Id</w:t>
      </w:r>
      <w:r w:rsidRPr="001D1950">
        <w:rPr>
          <w:rFonts w:ascii="Times New Roman" w:hAnsi="Times New Roman"/>
          <w:sz w:val="26"/>
          <w:szCs w:val="26"/>
        </w:rPr>
        <w:t xml:space="preserve">.  </w:t>
      </w:r>
      <w:r w:rsidRPr="001D1950">
        <w:rPr>
          <w:rFonts w:ascii="Times New Roman" w:hAnsi="Times New Roman"/>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1D1950">
        <w:rPr>
          <w:rFonts w:ascii="Times New Roman" w:hAnsi="Times New Roman"/>
          <w:i/>
          <w:sz w:val="26"/>
        </w:rPr>
        <w:t xml:space="preserve">Milkie v. Pa. PUC, </w:t>
      </w:r>
      <w:r w:rsidRPr="001D1950">
        <w:rPr>
          <w:rFonts w:ascii="Times New Roman" w:hAnsi="Times New Roman"/>
          <w:sz w:val="26"/>
        </w:rPr>
        <w:t xml:space="preserve">768 A.2d 1217 (Pa. Cmwlth. 2001); </w:t>
      </w:r>
      <w:hyperlink r:id="rId8" w:history="1">
        <w:r w:rsidRPr="001D1950">
          <w:rPr>
            <w:rFonts w:ascii="Times New Roman" w:hAnsi="Times New Roman"/>
            <w:i/>
            <w:iCs/>
            <w:sz w:val="26"/>
          </w:rPr>
          <w:t>Burleson v. Pa. PUC,</w:t>
        </w:r>
        <w:r w:rsidRPr="001D1950">
          <w:rPr>
            <w:rFonts w:ascii="Times New Roman" w:hAnsi="Times New Roman"/>
            <w:iCs/>
            <w:sz w:val="26"/>
          </w:rPr>
          <w:t xml:space="preserve"> 443 A.2d 1373 (Pa. Cmwlth. 1982), </w:t>
        </w:r>
        <w:r w:rsidRPr="001D1950">
          <w:rPr>
            <w:rFonts w:ascii="Times New Roman" w:hAnsi="Times New Roman"/>
            <w:i/>
            <w:iCs/>
            <w:sz w:val="26"/>
          </w:rPr>
          <w:t>aff’d,</w:t>
        </w:r>
        <w:r w:rsidRPr="001D1950">
          <w:rPr>
            <w:rFonts w:ascii="Times New Roman" w:hAnsi="Times New Roman"/>
            <w:iCs/>
            <w:sz w:val="26"/>
          </w:rPr>
          <w:t xml:space="preserve"> 501 Pa. 433, 461 A.2d 1234 (1983).</w:t>
        </w:r>
      </w:hyperlink>
      <w:r w:rsidRPr="001D1950">
        <w:rPr>
          <w:rFonts w:ascii="Times New Roman" w:hAnsi="Times New Roman"/>
          <w:iCs/>
          <w:sz w:val="26"/>
        </w:rPr>
        <w:t xml:space="preserve">  </w:t>
      </w:r>
    </w:p>
    <w:p w14:paraId="1AFD1BC4" w14:textId="77777777" w:rsidR="001D1950" w:rsidRPr="001D1950" w:rsidRDefault="001D1950" w:rsidP="001D1950">
      <w:pPr>
        <w:spacing w:line="360" w:lineRule="auto"/>
        <w:ind w:firstLine="1440"/>
        <w:rPr>
          <w:rFonts w:ascii="Times New Roman" w:hAnsi="Times New Roman"/>
          <w:sz w:val="26"/>
        </w:rPr>
      </w:pPr>
    </w:p>
    <w:p w14:paraId="6D206C19" w14:textId="77777777" w:rsidR="007978E7" w:rsidRDefault="001D1950" w:rsidP="007978E7">
      <w:pPr>
        <w:keepNext/>
        <w:keepLines/>
        <w:spacing w:line="360" w:lineRule="auto"/>
        <w:ind w:firstLine="1440"/>
        <w:rPr>
          <w:rFonts w:ascii="Times New Roman" w:hAnsi="Times New Roman"/>
          <w:sz w:val="26"/>
        </w:rPr>
      </w:pPr>
      <w:r w:rsidRPr="001D1950">
        <w:rPr>
          <w:rFonts w:ascii="Times New Roman" w:hAnsi="Times New Roman"/>
          <w:sz w:val="26"/>
        </w:rPr>
        <w:lastRenderedPageBreak/>
        <w:t xml:space="preserve">Having produced sufficient evidence to establish legal sufficiency of a claim, the party with the burden of proof must also carry the burden of persuasion to be </w:t>
      </w:r>
    </w:p>
    <w:p w14:paraId="7B1EE3A0" w14:textId="7F90B298" w:rsidR="001D1950" w:rsidRPr="001D1950" w:rsidRDefault="001D1950" w:rsidP="007978E7">
      <w:pPr>
        <w:spacing w:line="360" w:lineRule="auto"/>
        <w:rPr>
          <w:rFonts w:ascii="Times New Roman" w:hAnsi="Times New Roman"/>
          <w:sz w:val="26"/>
          <w:szCs w:val="26"/>
        </w:rPr>
      </w:pPr>
      <w:r w:rsidRPr="001D1950">
        <w:rPr>
          <w:rFonts w:ascii="Times New Roman" w:hAnsi="Times New Roman"/>
          <w:sz w:val="26"/>
        </w:rPr>
        <w:t xml:space="preserve">entitled to a favorable ruling.  </w:t>
      </w:r>
      <w:r w:rsidRPr="001D1950">
        <w:rPr>
          <w:rFonts w:ascii="Times New Roman" w:hAnsi="Times New Roman"/>
          <w:i/>
          <w:sz w:val="26"/>
        </w:rPr>
        <w:t>See Moore</w:t>
      </w:r>
      <w:r w:rsidRPr="001D1950">
        <w:rPr>
          <w:rFonts w:ascii="Times New Roman" w:hAnsi="Times New Roman"/>
          <w:sz w:val="26"/>
        </w:rPr>
        <w:t xml:space="preserve">.  While the burden of production may shift back and forth during a proceeding, the burden of persuasion never shifts; it always remains on a complainant as the party seeking affirmative relief from the Commission.  </w:t>
      </w:r>
      <w:r w:rsidRPr="001D1950">
        <w:rPr>
          <w:rFonts w:ascii="Times New Roman" w:hAnsi="Times New Roman"/>
          <w:i/>
          <w:sz w:val="26"/>
        </w:rPr>
        <w:t xml:space="preserve">Milkie v. Pa. PUC, </w:t>
      </w:r>
      <w:r w:rsidRPr="001D1950">
        <w:rPr>
          <w:rFonts w:ascii="Times New Roman" w:hAnsi="Times New Roman"/>
          <w:sz w:val="26"/>
        </w:rPr>
        <w:t xml:space="preserve">768 A.2d 1217 (Pa. Cmwlth. 2001); </w:t>
      </w:r>
      <w:r w:rsidRPr="001D1950">
        <w:rPr>
          <w:rFonts w:ascii="Times New Roman" w:hAnsi="Times New Roman"/>
          <w:i/>
          <w:sz w:val="26"/>
        </w:rPr>
        <w:t>see also, Riedel v. County of Allegheny</w:t>
      </w:r>
      <w:r w:rsidRPr="001D1950">
        <w:rPr>
          <w:rFonts w:ascii="Times New Roman" w:hAnsi="Times New Roman"/>
          <w:sz w:val="26"/>
        </w:rPr>
        <w:t xml:space="preserve">, 633 A.2d 1325, 1328, n.11 (Pa. Cmwlth. 1993); </w:t>
      </w:r>
      <w:r w:rsidRPr="001D1950">
        <w:rPr>
          <w:rFonts w:ascii="Times New Roman" w:hAnsi="Times New Roman"/>
          <w:i/>
          <w:sz w:val="26"/>
        </w:rPr>
        <w:t>see also</w:t>
      </w:r>
      <w:r w:rsidRPr="001D1950">
        <w:rPr>
          <w:rFonts w:ascii="Times New Roman" w:hAnsi="Times New Roman"/>
          <w:sz w:val="26"/>
        </w:rPr>
        <w:t>,</w:t>
      </w:r>
      <w:r w:rsidRPr="001D1950">
        <w:rPr>
          <w:rFonts w:ascii="Times New Roman" w:hAnsi="Times New Roman"/>
          <w:i/>
          <w:sz w:val="26"/>
        </w:rPr>
        <w:t xml:space="preserve"> Burleson v. Pa. Pub. Util. Comm’n</w:t>
      </w:r>
      <w:r w:rsidRPr="001D1950">
        <w:rPr>
          <w:rFonts w:ascii="Times New Roman" w:hAnsi="Times New Roman"/>
          <w:sz w:val="26"/>
        </w:rPr>
        <w:t xml:space="preserve">, 4443 A.2d 1373 (Pa. Cmwlth. 1982), </w:t>
      </w:r>
      <w:r w:rsidRPr="001D1950">
        <w:rPr>
          <w:rFonts w:ascii="Times New Roman" w:hAnsi="Times New Roman"/>
          <w:szCs w:val="24"/>
        </w:rPr>
        <w:t xml:space="preserve">aff'd. </w:t>
      </w:r>
      <w:hyperlink r:id="rId9" w:history="1">
        <w:r w:rsidRPr="001D1950">
          <w:rPr>
            <w:rFonts w:ascii="Times New Roman" w:hAnsi="Times New Roman"/>
            <w:sz w:val="26"/>
            <w:szCs w:val="26"/>
          </w:rPr>
          <w:t>501 Pa. 443, 461 A.2d 1234.</w:t>
        </w:r>
      </w:hyperlink>
      <w:r w:rsidRPr="001D1950">
        <w:rPr>
          <w:rFonts w:ascii="Times New Roman" w:hAnsi="Times New Roman"/>
          <w:sz w:val="26"/>
          <w:szCs w:val="26"/>
        </w:rPr>
        <w:t xml:space="preserve">  It is entirely possible for a party to carry the burden of production but not be entitled to a favorable ruling because the party did not carry the burden of persuasion.  </w:t>
      </w:r>
      <w:r w:rsidRPr="001D1950">
        <w:rPr>
          <w:rFonts w:ascii="Times New Roman" w:hAnsi="Times New Roman"/>
          <w:i/>
          <w:sz w:val="26"/>
          <w:szCs w:val="26"/>
        </w:rPr>
        <w:t>See Moore.</w:t>
      </w:r>
      <w:r w:rsidRPr="001D1950">
        <w:rPr>
          <w:rFonts w:ascii="Times New Roman" w:hAnsi="Times New Roman"/>
          <w:sz w:val="26"/>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1D1950">
        <w:rPr>
          <w:rFonts w:ascii="Times New Roman" w:hAnsi="Times New Roman"/>
          <w:i/>
          <w:sz w:val="26"/>
          <w:szCs w:val="26"/>
        </w:rPr>
        <w:t xml:space="preserve">  See Moore</w:t>
      </w:r>
      <w:r w:rsidRPr="001D1950">
        <w:rPr>
          <w:rFonts w:ascii="Times New Roman" w:hAnsi="Times New Roman"/>
          <w:sz w:val="26"/>
          <w:szCs w:val="26"/>
        </w:rPr>
        <w:t>,</w:t>
      </w:r>
      <w:r w:rsidRPr="001D1950">
        <w:rPr>
          <w:rFonts w:ascii="Times New Roman" w:hAnsi="Times New Roman"/>
          <w:i/>
          <w:sz w:val="26"/>
          <w:szCs w:val="26"/>
        </w:rPr>
        <w:t xml:space="preserve"> </w:t>
      </w:r>
      <w:r w:rsidRPr="001D1950">
        <w:rPr>
          <w:rFonts w:ascii="Times New Roman" w:hAnsi="Times New Roman"/>
          <w:sz w:val="26"/>
          <w:szCs w:val="26"/>
        </w:rPr>
        <w:t xml:space="preserve">citing </w:t>
      </w:r>
      <w:r w:rsidRPr="001D1950">
        <w:rPr>
          <w:rFonts w:ascii="Times New Roman" w:hAnsi="Times New Roman"/>
          <w:i/>
          <w:sz w:val="26"/>
          <w:szCs w:val="26"/>
        </w:rPr>
        <w:t>Suber</w:t>
      </w:r>
      <w:r w:rsidRPr="001D1950">
        <w:rPr>
          <w:rFonts w:ascii="Times New Roman" w:hAnsi="Times New Roman"/>
          <w:sz w:val="26"/>
          <w:szCs w:val="26"/>
        </w:rPr>
        <w:t>.</w:t>
      </w:r>
    </w:p>
    <w:p w14:paraId="67BA4E53" w14:textId="2086BB3A" w:rsidR="00D42BF6" w:rsidRDefault="00D42BF6" w:rsidP="0061437C">
      <w:pPr>
        <w:spacing w:line="360" w:lineRule="auto"/>
        <w:ind w:firstLine="1440"/>
        <w:rPr>
          <w:rFonts w:ascii="Times New Roman" w:hAnsi="Times New Roman"/>
          <w:sz w:val="26"/>
        </w:rPr>
      </w:pPr>
    </w:p>
    <w:p w14:paraId="6BC96AB2" w14:textId="6D474881" w:rsidR="00D42BF6" w:rsidRPr="001D1950" w:rsidRDefault="00D42BF6" w:rsidP="00C53381">
      <w:pPr>
        <w:spacing w:line="360" w:lineRule="auto"/>
        <w:ind w:firstLine="720"/>
        <w:rPr>
          <w:rFonts w:ascii="Times New Roman" w:hAnsi="Times New Roman"/>
          <w:b/>
          <w:sz w:val="26"/>
        </w:rPr>
      </w:pPr>
      <w:r w:rsidRPr="001D1950">
        <w:rPr>
          <w:rFonts w:ascii="Times New Roman" w:hAnsi="Times New Roman"/>
          <w:b/>
          <w:sz w:val="26"/>
        </w:rPr>
        <w:t>Substantial Evidence</w:t>
      </w:r>
    </w:p>
    <w:p w14:paraId="62B5756C" w14:textId="17F37E92" w:rsidR="00D42BF6" w:rsidRDefault="00D42BF6" w:rsidP="0061437C">
      <w:pPr>
        <w:spacing w:line="360" w:lineRule="auto"/>
        <w:ind w:firstLine="1440"/>
        <w:rPr>
          <w:rFonts w:ascii="Times New Roman" w:hAnsi="Times New Roman"/>
          <w:sz w:val="26"/>
        </w:rPr>
      </w:pPr>
    </w:p>
    <w:p w14:paraId="377766E9" w14:textId="0B42511C" w:rsidR="001D1950" w:rsidRPr="001D1950" w:rsidRDefault="002B21EF" w:rsidP="001D1950">
      <w:pPr>
        <w:spacing w:line="360" w:lineRule="auto"/>
        <w:ind w:firstLine="1440"/>
        <w:rPr>
          <w:rFonts w:ascii="Times New Roman" w:hAnsi="Times New Roman"/>
          <w:sz w:val="26"/>
        </w:rPr>
      </w:pPr>
      <w:r>
        <w:rPr>
          <w:rFonts w:ascii="Times New Roman" w:hAnsi="Times New Roman"/>
          <w:sz w:val="26"/>
          <w:szCs w:val="26"/>
        </w:rPr>
        <w:t>A</w:t>
      </w:r>
      <w:r w:rsidR="001D649F">
        <w:rPr>
          <w:rFonts w:ascii="Times New Roman" w:hAnsi="Times New Roman"/>
          <w:sz w:val="26"/>
          <w:szCs w:val="26"/>
        </w:rPr>
        <w:t>djudications by the</w:t>
      </w:r>
      <w:r w:rsidR="001D1950" w:rsidRPr="001D1950">
        <w:rPr>
          <w:rFonts w:ascii="Times New Roman" w:hAnsi="Times New Roman"/>
          <w:sz w:val="26"/>
          <w:szCs w:val="26"/>
        </w:rPr>
        <w:t xml:space="preserve"> Commission must be supported by substantial evidence in the record.  2 Pa.C.S. § 704.  </w:t>
      </w:r>
      <w:r w:rsidR="00C53381" w:rsidRPr="00C53381">
        <w:rPr>
          <w:rFonts w:ascii="Times New Roman" w:hAnsi="Times New Roman"/>
          <w:sz w:val="26"/>
          <w:szCs w:val="26"/>
        </w:rPr>
        <w:t xml:space="preserve">“Substantial evidence” is an appellate standard of review and not a standard of evidence.  </w:t>
      </w:r>
      <w:r w:rsidR="00C53381" w:rsidRPr="00C53381">
        <w:rPr>
          <w:rFonts w:ascii="Times New Roman" w:hAnsi="Times New Roman"/>
          <w:i/>
          <w:iCs/>
          <w:sz w:val="26"/>
          <w:szCs w:val="26"/>
        </w:rPr>
        <w:t>Samuel J. Lansberry, Inc. v. Pa. PUC</w:t>
      </w:r>
      <w:r w:rsidR="00C53381" w:rsidRPr="00C53381">
        <w:rPr>
          <w:rFonts w:ascii="Times New Roman" w:hAnsi="Times New Roman"/>
          <w:sz w:val="26"/>
          <w:szCs w:val="26"/>
        </w:rPr>
        <w:t xml:space="preserve">, 578 A.2d 600, 602 (Pa. Cmwlth. 1990), </w:t>
      </w:r>
      <w:r w:rsidR="00C53381" w:rsidRPr="00C53381">
        <w:rPr>
          <w:rFonts w:ascii="Times New Roman" w:hAnsi="Times New Roman"/>
          <w:i/>
          <w:sz w:val="26"/>
          <w:szCs w:val="26"/>
        </w:rPr>
        <w:t>alloc. denied,</w:t>
      </w:r>
      <w:r w:rsidR="00C53381" w:rsidRPr="00C53381">
        <w:rPr>
          <w:rFonts w:ascii="Times New Roman" w:hAnsi="Times New Roman"/>
          <w:sz w:val="26"/>
          <w:szCs w:val="26"/>
        </w:rPr>
        <w:t xml:space="preserve"> 529 Pa. 654, 602 A.2d 863 (1992).  Substantial evidence is such relevant evidence that a reasonable mind might accept as adequate to support a conclusion.  </w:t>
      </w:r>
      <w:r w:rsidR="00C53381" w:rsidRPr="00C53381">
        <w:rPr>
          <w:rFonts w:ascii="Times New Roman" w:hAnsi="Times New Roman"/>
          <w:i/>
          <w:sz w:val="26"/>
          <w:szCs w:val="26"/>
        </w:rPr>
        <w:t>Consolidated Edison Company of New York v. National Labor Relations Board</w:t>
      </w:r>
      <w:r w:rsidR="00C53381" w:rsidRPr="00C53381">
        <w:rPr>
          <w:rFonts w:ascii="Times New Roman" w:hAnsi="Times New Roman"/>
          <w:sz w:val="26"/>
          <w:szCs w:val="26"/>
        </w:rPr>
        <w:t xml:space="preserve">, 305 U.S. 197, 229, 59 S.Ct. 206, 217.   More is required than a mere trace of evidence or a suspicion of the existence of a fact sought to be established.  </w:t>
      </w:r>
      <w:r w:rsidR="00C53381" w:rsidRPr="00C53381">
        <w:rPr>
          <w:rFonts w:ascii="Times New Roman" w:hAnsi="Times New Roman"/>
          <w:i/>
          <w:sz w:val="26"/>
          <w:szCs w:val="26"/>
        </w:rPr>
        <w:t xml:space="preserve">Norfolk &amp; Western Ry. Co. v. Pa. PUC, </w:t>
      </w:r>
      <w:r w:rsidR="00C53381" w:rsidRPr="00C53381">
        <w:rPr>
          <w:rFonts w:ascii="Times New Roman" w:hAnsi="Times New Roman"/>
          <w:sz w:val="26"/>
          <w:szCs w:val="26"/>
        </w:rPr>
        <w:t>489 Pa. 109, 413 A.2d 1037 (1980)</w:t>
      </w:r>
      <w:r w:rsidR="00C53381">
        <w:rPr>
          <w:rFonts w:ascii="Times New Roman" w:hAnsi="Times New Roman"/>
          <w:sz w:val="26"/>
          <w:szCs w:val="26"/>
        </w:rPr>
        <w:t>.</w:t>
      </w:r>
    </w:p>
    <w:p w14:paraId="2F6C1373" w14:textId="77777777" w:rsidR="00BA1171" w:rsidRDefault="00BA1171" w:rsidP="0061437C">
      <w:pPr>
        <w:spacing w:line="360" w:lineRule="auto"/>
        <w:ind w:firstLine="1440"/>
        <w:rPr>
          <w:rFonts w:ascii="Times New Roman" w:hAnsi="Times New Roman"/>
          <w:sz w:val="26"/>
        </w:rPr>
      </w:pPr>
    </w:p>
    <w:p w14:paraId="5519E106" w14:textId="7BD0AECE" w:rsidR="009419FB" w:rsidRDefault="009419FB" w:rsidP="00427981">
      <w:pPr>
        <w:keepNext/>
        <w:keepLines/>
        <w:tabs>
          <w:tab w:val="left" w:pos="-720"/>
        </w:tabs>
        <w:suppressAutoHyphens/>
        <w:spacing w:line="360" w:lineRule="auto"/>
        <w:rPr>
          <w:rFonts w:ascii="Times New Roman" w:hAnsi="Times New Roman"/>
          <w:b/>
          <w:sz w:val="26"/>
        </w:rPr>
      </w:pPr>
      <w:r w:rsidRPr="006B1E42">
        <w:rPr>
          <w:rFonts w:ascii="Times New Roman" w:hAnsi="Times New Roman"/>
          <w:b/>
          <w:sz w:val="26"/>
        </w:rPr>
        <w:lastRenderedPageBreak/>
        <w:t>ALJ</w:t>
      </w:r>
      <w:r w:rsidR="00E011A8">
        <w:rPr>
          <w:rFonts w:ascii="Times New Roman" w:hAnsi="Times New Roman"/>
          <w:b/>
          <w:sz w:val="26"/>
        </w:rPr>
        <w:t>’</w:t>
      </w:r>
      <w:r w:rsidRPr="006B1E42">
        <w:rPr>
          <w:rFonts w:ascii="Times New Roman" w:hAnsi="Times New Roman"/>
          <w:b/>
          <w:sz w:val="26"/>
        </w:rPr>
        <w:t>s Initial Decision</w:t>
      </w:r>
    </w:p>
    <w:p w14:paraId="5CDA85A2" w14:textId="77777777" w:rsidR="00996729" w:rsidRDefault="00996729" w:rsidP="00427981">
      <w:pPr>
        <w:keepNext/>
        <w:keepLines/>
        <w:tabs>
          <w:tab w:val="left" w:pos="-720"/>
        </w:tabs>
        <w:suppressAutoHyphens/>
        <w:spacing w:line="360" w:lineRule="auto"/>
        <w:rPr>
          <w:rFonts w:ascii="Times New Roman" w:hAnsi="Times New Roman"/>
          <w:b/>
          <w:sz w:val="26"/>
        </w:rPr>
      </w:pPr>
    </w:p>
    <w:p w14:paraId="46458B9E" w14:textId="77777777" w:rsidR="00996729" w:rsidRDefault="00996729" w:rsidP="00996729">
      <w:pPr>
        <w:spacing w:line="360" w:lineRule="auto"/>
        <w:ind w:firstLine="1440"/>
        <w:rPr>
          <w:rFonts w:ascii="Times New Roman" w:hAnsi="Times New Roman"/>
          <w:sz w:val="26"/>
        </w:rPr>
      </w:pPr>
      <w:r>
        <w:rPr>
          <w:rFonts w:ascii="Times New Roman" w:hAnsi="Times New Roman"/>
          <w:sz w:val="26"/>
        </w:rPr>
        <w:t>In the Initial Decision, the ALJ made eighteen Findings of Fact and reached eight Conclusions of Law.  I.D. at 2-4 and 9-10.  We shall adopt and incorporate herein by reference the ALJ’s Findings of Fact and Conclusions of Law unless they are either expressly or by necessary implication overruled or modified by this Opinion and Order.</w:t>
      </w:r>
    </w:p>
    <w:p w14:paraId="7509F839" w14:textId="77777777" w:rsidR="004272F6" w:rsidRPr="004272F6" w:rsidRDefault="004272F6" w:rsidP="00661F33">
      <w:pPr>
        <w:spacing w:line="360" w:lineRule="auto"/>
        <w:ind w:firstLine="1440"/>
        <w:textAlignment w:val="baseline"/>
        <w:rPr>
          <w:rFonts w:ascii="Times New Roman" w:hAnsi="Times New Roman"/>
          <w:spacing w:val="4"/>
          <w:sz w:val="26"/>
          <w:szCs w:val="24"/>
        </w:rPr>
      </w:pPr>
    </w:p>
    <w:p w14:paraId="1A849C05" w14:textId="5AF023C2" w:rsidR="00BD2A35" w:rsidRDefault="00BD2A35"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The </w:t>
      </w:r>
      <w:r w:rsidR="00E95937">
        <w:rPr>
          <w:rFonts w:ascii="Times New Roman" w:hAnsi="Times New Roman"/>
          <w:spacing w:val="4"/>
          <w:sz w:val="26"/>
          <w:szCs w:val="24"/>
        </w:rPr>
        <w:t xml:space="preserve">ALJ </w:t>
      </w:r>
      <w:r>
        <w:rPr>
          <w:rFonts w:ascii="Times New Roman" w:hAnsi="Times New Roman"/>
          <w:spacing w:val="4"/>
          <w:sz w:val="26"/>
          <w:szCs w:val="24"/>
        </w:rPr>
        <w:t>noted that the Complainant alleged her inabilit</w:t>
      </w:r>
      <w:r w:rsidR="00397888">
        <w:rPr>
          <w:rFonts w:ascii="Times New Roman" w:hAnsi="Times New Roman"/>
          <w:spacing w:val="4"/>
          <w:sz w:val="26"/>
          <w:szCs w:val="24"/>
        </w:rPr>
        <w:t>y to pay her gas bills to PGW and the requested relief in the form of a Commission-ordered payment arrangement.  I.D. at 4.</w:t>
      </w:r>
    </w:p>
    <w:p w14:paraId="6C622249" w14:textId="77777777" w:rsidR="00633BF3" w:rsidRDefault="00633BF3" w:rsidP="0061437C">
      <w:pPr>
        <w:spacing w:line="360" w:lineRule="auto"/>
        <w:ind w:firstLine="1440"/>
        <w:textAlignment w:val="baseline"/>
        <w:rPr>
          <w:rFonts w:ascii="Times New Roman" w:hAnsi="Times New Roman"/>
          <w:spacing w:val="4"/>
          <w:sz w:val="26"/>
          <w:szCs w:val="24"/>
        </w:rPr>
      </w:pPr>
    </w:p>
    <w:p w14:paraId="0BCA4CC0" w14:textId="501E9FBF" w:rsidR="00633BF3" w:rsidRDefault="00633BF3"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The ALJ noted that the Complainant’s </w:t>
      </w:r>
      <w:r w:rsidR="00A5758B">
        <w:rPr>
          <w:rFonts w:ascii="Times New Roman" w:hAnsi="Times New Roman"/>
          <w:spacing w:val="4"/>
          <w:sz w:val="26"/>
          <w:szCs w:val="24"/>
        </w:rPr>
        <w:t xml:space="preserve">current </w:t>
      </w:r>
      <w:r>
        <w:rPr>
          <w:rFonts w:ascii="Times New Roman" w:hAnsi="Times New Roman"/>
          <w:spacing w:val="4"/>
          <w:sz w:val="26"/>
          <w:szCs w:val="24"/>
        </w:rPr>
        <w:t xml:space="preserve">household consists of six individuals:  three adults and three children.  </w:t>
      </w:r>
      <w:r w:rsidR="00C13796">
        <w:rPr>
          <w:rFonts w:ascii="Times New Roman" w:hAnsi="Times New Roman"/>
          <w:spacing w:val="4"/>
          <w:sz w:val="26"/>
          <w:szCs w:val="24"/>
        </w:rPr>
        <w:t xml:space="preserve">The ALJ </w:t>
      </w:r>
      <w:r w:rsidR="00661F33">
        <w:rPr>
          <w:rFonts w:ascii="Times New Roman" w:hAnsi="Times New Roman"/>
          <w:spacing w:val="4"/>
          <w:sz w:val="26"/>
          <w:szCs w:val="24"/>
        </w:rPr>
        <w:t>found</w:t>
      </w:r>
      <w:r w:rsidR="00C13796">
        <w:rPr>
          <w:rFonts w:ascii="Times New Roman" w:hAnsi="Times New Roman"/>
          <w:spacing w:val="4"/>
          <w:sz w:val="26"/>
          <w:szCs w:val="24"/>
        </w:rPr>
        <w:t xml:space="preserve"> that </w:t>
      </w:r>
      <w:r w:rsidR="00B849FC">
        <w:rPr>
          <w:rFonts w:ascii="Times New Roman" w:hAnsi="Times New Roman"/>
          <w:spacing w:val="4"/>
          <w:sz w:val="26"/>
          <w:szCs w:val="24"/>
        </w:rPr>
        <w:t>the Complainant’s</w:t>
      </w:r>
      <w:r w:rsidR="00976C2F">
        <w:rPr>
          <w:rFonts w:ascii="Times New Roman" w:hAnsi="Times New Roman"/>
          <w:spacing w:val="4"/>
          <w:sz w:val="26"/>
          <w:szCs w:val="24"/>
        </w:rPr>
        <w:t xml:space="preserve"> </w:t>
      </w:r>
      <w:r w:rsidR="007A01A7">
        <w:rPr>
          <w:rFonts w:ascii="Times New Roman" w:hAnsi="Times New Roman"/>
          <w:spacing w:val="4"/>
          <w:sz w:val="26"/>
          <w:szCs w:val="24"/>
        </w:rPr>
        <w:t xml:space="preserve">total </w:t>
      </w:r>
      <w:r w:rsidR="00976C2F">
        <w:rPr>
          <w:rFonts w:ascii="Times New Roman" w:hAnsi="Times New Roman"/>
          <w:spacing w:val="4"/>
          <w:sz w:val="26"/>
          <w:szCs w:val="24"/>
        </w:rPr>
        <w:t xml:space="preserve">household income </w:t>
      </w:r>
      <w:r w:rsidR="007A01A7">
        <w:rPr>
          <w:rFonts w:ascii="Times New Roman" w:hAnsi="Times New Roman"/>
          <w:spacing w:val="4"/>
          <w:sz w:val="26"/>
          <w:szCs w:val="24"/>
        </w:rPr>
        <w:t>is $</w:t>
      </w:r>
      <w:r w:rsidR="001916FD">
        <w:rPr>
          <w:rFonts w:ascii="Times New Roman" w:hAnsi="Times New Roman"/>
          <w:spacing w:val="4"/>
          <w:sz w:val="26"/>
          <w:szCs w:val="24"/>
        </w:rPr>
        <w:t>960</w:t>
      </w:r>
      <w:r w:rsidR="00683051">
        <w:rPr>
          <w:rFonts w:ascii="Times New Roman" w:hAnsi="Times New Roman"/>
          <w:spacing w:val="4"/>
          <w:sz w:val="26"/>
          <w:szCs w:val="24"/>
        </w:rPr>
        <w:t xml:space="preserve"> per month</w:t>
      </w:r>
      <w:r w:rsidR="007A01A7">
        <w:rPr>
          <w:rFonts w:ascii="Times New Roman" w:hAnsi="Times New Roman"/>
          <w:spacing w:val="4"/>
          <w:sz w:val="26"/>
          <w:szCs w:val="24"/>
        </w:rPr>
        <w:t xml:space="preserve">, which is comprised of </w:t>
      </w:r>
      <w:r w:rsidR="00C13796">
        <w:rPr>
          <w:rFonts w:ascii="Times New Roman" w:hAnsi="Times New Roman"/>
          <w:spacing w:val="4"/>
          <w:sz w:val="26"/>
          <w:szCs w:val="24"/>
        </w:rPr>
        <w:t>$755.00 per month in Supplemental Security Income</w:t>
      </w:r>
      <w:r w:rsidR="00976C2F">
        <w:rPr>
          <w:rFonts w:ascii="Times New Roman" w:hAnsi="Times New Roman"/>
          <w:spacing w:val="4"/>
          <w:sz w:val="26"/>
          <w:szCs w:val="24"/>
        </w:rPr>
        <w:t xml:space="preserve"> received by her son</w:t>
      </w:r>
      <w:r w:rsidR="00C13796">
        <w:rPr>
          <w:rFonts w:ascii="Times New Roman" w:hAnsi="Times New Roman"/>
          <w:spacing w:val="4"/>
          <w:sz w:val="26"/>
          <w:szCs w:val="24"/>
        </w:rPr>
        <w:t>, and $102.50 biweekly</w:t>
      </w:r>
      <w:r w:rsidR="00976C2F">
        <w:rPr>
          <w:rFonts w:ascii="Times New Roman" w:hAnsi="Times New Roman"/>
          <w:spacing w:val="4"/>
          <w:sz w:val="26"/>
          <w:szCs w:val="24"/>
        </w:rPr>
        <w:t xml:space="preserve"> received by the Complainant</w:t>
      </w:r>
      <w:r w:rsidR="00C13796">
        <w:rPr>
          <w:rFonts w:ascii="Times New Roman" w:hAnsi="Times New Roman"/>
          <w:spacing w:val="4"/>
          <w:sz w:val="26"/>
          <w:szCs w:val="24"/>
        </w:rPr>
        <w:t xml:space="preserve"> from the Department of Human Services.  I.D. at 5</w:t>
      </w:r>
      <w:r w:rsidR="00397888">
        <w:rPr>
          <w:rFonts w:ascii="Times New Roman" w:hAnsi="Times New Roman"/>
          <w:spacing w:val="4"/>
          <w:sz w:val="26"/>
          <w:szCs w:val="24"/>
        </w:rPr>
        <w:t>-6</w:t>
      </w:r>
      <w:r w:rsidR="00C13796">
        <w:rPr>
          <w:rFonts w:ascii="Times New Roman" w:hAnsi="Times New Roman"/>
          <w:spacing w:val="4"/>
          <w:sz w:val="26"/>
          <w:szCs w:val="24"/>
        </w:rPr>
        <w:t xml:space="preserve"> (citing Tr. at</w:t>
      </w:r>
      <w:r w:rsidR="007A01A7">
        <w:rPr>
          <w:rFonts w:ascii="Times New Roman" w:hAnsi="Times New Roman"/>
          <w:spacing w:val="4"/>
          <w:sz w:val="26"/>
          <w:szCs w:val="24"/>
        </w:rPr>
        <w:t> </w:t>
      </w:r>
      <w:r w:rsidR="00C13796">
        <w:rPr>
          <w:rFonts w:ascii="Times New Roman" w:hAnsi="Times New Roman"/>
          <w:spacing w:val="4"/>
          <w:sz w:val="26"/>
          <w:szCs w:val="24"/>
        </w:rPr>
        <w:t>17-18).</w:t>
      </w:r>
    </w:p>
    <w:p w14:paraId="6AEF0989" w14:textId="77777777" w:rsidR="00C13796" w:rsidRDefault="00C13796" w:rsidP="0061437C">
      <w:pPr>
        <w:spacing w:line="360" w:lineRule="auto"/>
        <w:ind w:firstLine="1440"/>
        <w:textAlignment w:val="baseline"/>
        <w:rPr>
          <w:rFonts w:ascii="Times New Roman" w:hAnsi="Times New Roman"/>
          <w:spacing w:val="4"/>
          <w:sz w:val="26"/>
          <w:szCs w:val="24"/>
        </w:rPr>
      </w:pPr>
    </w:p>
    <w:p w14:paraId="6F4DB7EA" w14:textId="00543D9D" w:rsidR="00B849FC" w:rsidRDefault="00C13796"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The ALJ </w:t>
      </w:r>
      <w:r w:rsidR="007A01A7">
        <w:rPr>
          <w:rFonts w:ascii="Times New Roman" w:hAnsi="Times New Roman"/>
          <w:spacing w:val="4"/>
          <w:sz w:val="26"/>
          <w:szCs w:val="24"/>
        </w:rPr>
        <w:t xml:space="preserve">also found </w:t>
      </w:r>
      <w:r>
        <w:rPr>
          <w:rFonts w:ascii="Times New Roman" w:hAnsi="Times New Roman"/>
          <w:spacing w:val="4"/>
          <w:sz w:val="26"/>
          <w:szCs w:val="24"/>
        </w:rPr>
        <w:t xml:space="preserve">that the last actual payment made by Ms. Maxwell toward her PGW account was made on October 1, 2008.  </w:t>
      </w:r>
      <w:r w:rsidR="00B849FC">
        <w:rPr>
          <w:rFonts w:ascii="Times New Roman" w:hAnsi="Times New Roman"/>
          <w:spacing w:val="4"/>
          <w:sz w:val="26"/>
          <w:szCs w:val="24"/>
        </w:rPr>
        <w:t>I.D. at 6 (citing Tr. at</w:t>
      </w:r>
      <w:r w:rsidR="00806CFE">
        <w:rPr>
          <w:rFonts w:ascii="Times New Roman" w:hAnsi="Times New Roman"/>
          <w:spacing w:val="4"/>
          <w:sz w:val="26"/>
          <w:szCs w:val="24"/>
        </w:rPr>
        <w:t> </w:t>
      </w:r>
      <w:r w:rsidR="00B849FC">
        <w:rPr>
          <w:rFonts w:ascii="Times New Roman" w:hAnsi="Times New Roman"/>
          <w:spacing w:val="4"/>
          <w:sz w:val="26"/>
          <w:szCs w:val="24"/>
        </w:rPr>
        <w:t>29</w:t>
      </w:r>
      <w:r w:rsidR="00806CFE">
        <w:rPr>
          <w:rFonts w:ascii="Times New Roman" w:hAnsi="Times New Roman"/>
          <w:spacing w:val="4"/>
          <w:sz w:val="26"/>
          <w:szCs w:val="24"/>
        </w:rPr>
        <w:noBreakHyphen/>
      </w:r>
      <w:r w:rsidR="00B849FC">
        <w:rPr>
          <w:rFonts w:ascii="Times New Roman" w:hAnsi="Times New Roman"/>
          <w:spacing w:val="4"/>
          <w:sz w:val="26"/>
          <w:szCs w:val="24"/>
        </w:rPr>
        <w:t>30).  The ALJ noted that the remainder of payments in the Complainant’s account consisted of grant payments or returned checks due to insufficient funds.  During the period of June 20, 2014</w:t>
      </w:r>
      <w:r w:rsidR="004925CD">
        <w:rPr>
          <w:rFonts w:ascii="Times New Roman" w:hAnsi="Times New Roman"/>
          <w:spacing w:val="4"/>
          <w:sz w:val="26"/>
          <w:szCs w:val="24"/>
        </w:rPr>
        <w:t>,</w:t>
      </w:r>
      <w:r w:rsidR="00B849FC">
        <w:rPr>
          <w:rFonts w:ascii="Times New Roman" w:hAnsi="Times New Roman"/>
          <w:spacing w:val="4"/>
          <w:sz w:val="26"/>
          <w:szCs w:val="24"/>
        </w:rPr>
        <w:t xml:space="preserve"> to September 13, 2017, one CRISIS and four LIHEAP grants were deposited in the Complainant’s account.  I.D. at 6 (citing Tr. at 27-28, PGW Exhibit 1).  </w:t>
      </w:r>
      <w:r w:rsidR="000826C7">
        <w:rPr>
          <w:rFonts w:ascii="Times New Roman" w:hAnsi="Times New Roman"/>
          <w:spacing w:val="4"/>
          <w:sz w:val="26"/>
          <w:szCs w:val="24"/>
        </w:rPr>
        <w:t>During that same period, t</w:t>
      </w:r>
      <w:r w:rsidR="00B849FC">
        <w:rPr>
          <w:rFonts w:ascii="Times New Roman" w:hAnsi="Times New Roman"/>
          <w:spacing w:val="4"/>
          <w:sz w:val="26"/>
          <w:szCs w:val="24"/>
        </w:rPr>
        <w:t xml:space="preserve">he ALJ </w:t>
      </w:r>
      <w:r w:rsidR="000826C7">
        <w:rPr>
          <w:rFonts w:ascii="Times New Roman" w:hAnsi="Times New Roman"/>
          <w:spacing w:val="4"/>
          <w:sz w:val="26"/>
          <w:szCs w:val="24"/>
        </w:rPr>
        <w:t xml:space="preserve">found that </w:t>
      </w:r>
      <w:r w:rsidR="00B849FC">
        <w:rPr>
          <w:rFonts w:ascii="Times New Roman" w:hAnsi="Times New Roman"/>
          <w:spacing w:val="4"/>
          <w:sz w:val="26"/>
          <w:szCs w:val="24"/>
        </w:rPr>
        <w:t xml:space="preserve">the Complainant submitted five payments to PGW, which were all cancelled or returned due to insufficient funds.  I.D. at 6 </w:t>
      </w:r>
      <w:r w:rsidR="009332F7">
        <w:rPr>
          <w:rFonts w:ascii="Times New Roman" w:hAnsi="Times New Roman"/>
          <w:spacing w:val="4"/>
          <w:sz w:val="26"/>
          <w:szCs w:val="24"/>
        </w:rPr>
        <w:t>(</w:t>
      </w:r>
      <w:r w:rsidR="00B849FC">
        <w:rPr>
          <w:rFonts w:ascii="Times New Roman" w:hAnsi="Times New Roman"/>
          <w:spacing w:val="4"/>
          <w:sz w:val="26"/>
          <w:szCs w:val="24"/>
        </w:rPr>
        <w:t>citing Tr. at 27, 29, PGW Exhibit 1).</w:t>
      </w:r>
    </w:p>
    <w:p w14:paraId="1395829F" w14:textId="77777777" w:rsidR="00B849FC" w:rsidRDefault="00B849FC" w:rsidP="0061437C">
      <w:pPr>
        <w:spacing w:line="360" w:lineRule="auto"/>
        <w:ind w:firstLine="1440"/>
        <w:textAlignment w:val="baseline"/>
        <w:rPr>
          <w:rFonts w:ascii="Times New Roman" w:hAnsi="Times New Roman"/>
          <w:spacing w:val="4"/>
          <w:sz w:val="26"/>
          <w:szCs w:val="24"/>
        </w:rPr>
      </w:pPr>
    </w:p>
    <w:p w14:paraId="69C0D5EA" w14:textId="788B75FA" w:rsidR="00BD2A35" w:rsidRDefault="000E5683" w:rsidP="0061437C">
      <w:pPr>
        <w:spacing w:line="360" w:lineRule="auto"/>
        <w:ind w:firstLine="1440"/>
        <w:textAlignment w:val="baseline"/>
        <w:rPr>
          <w:rFonts w:ascii="Times New Roman" w:hAnsi="Times New Roman"/>
          <w:spacing w:val="4"/>
          <w:sz w:val="26"/>
          <w:szCs w:val="24"/>
        </w:rPr>
      </w:pPr>
      <w:r w:rsidRPr="000E5683">
        <w:rPr>
          <w:rFonts w:ascii="Times New Roman" w:hAnsi="Times New Roman"/>
          <w:spacing w:val="4"/>
          <w:sz w:val="26"/>
          <w:szCs w:val="24"/>
        </w:rPr>
        <w:lastRenderedPageBreak/>
        <w:t>The ALJ noted that, f</w:t>
      </w:r>
      <w:r w:rsidR="004925CD" w:rsidRPr="000E5683">
        <w:rPr>
          <w:rFonts w:ascii="Times New Roman" w:hAnsi="Times New Roman"/>
          <w:spacing w:val="4"/>
          <w:sz w:val="26"/>
          <w:szCs w:val="24"/>
        </w:rPr>
        <w:t>rom</w:t>
      </w:r>
      <w:r w:rsidR="004925CD">
        <w:rPr>
          <w:rFonts w:ascii="Times New Roman" w:hAnsi="Times New Roman"/>
          <w:spacing w:val="4"/>
          <w:sz w:val="26"/>
          <w:szCs w:val="24"/>
        </w:rPr>
        <w:t xml:space="preserve"> 2002 to </w:t>
      </w:r>
      <w:r w:rsidR="00B31A8A">
        <w:rPr>
          <w:rFonts w:ascii="Times New Roman" w:hAnsi="Times New Roman"/>
          <w:spacing w:val="4"/>
          <w:sz w:val="26"/>
          <w:szCs w:val="24"/>
        </w:rPr>
        <w:t xml:space="preserve">2017, the Complainant filed </w:t>
      </w:r>
      <w:r w:rsidR="00C006DE">
        <w:rPr>
          <w:rFonts w:ascii="Times New Roman" w:hAnsi="Times New Roman"/>
          <w:spacing w:val="4"/>
          <w:sz w:val="26"/>
          <w:szCs w:val="24"/>
        </w:rPr>
        <w:t>seventeen</w:t>
      </w:r>
      <w:r w:rsidR="00B31A8A">
        <w:rPr>
          <w:rFonts w:ascii="Times New Roman" w:hAnsi="Times New Roman"/>
          <w:spacing w:val="4"/>
          <w:sz w:val="26"/>
          <w:szCs w:val="24"/>
        </w:rPr>
        <w:t xml:space="preserve"> informal complaints with the Commission’s Bureau of Consumer Services and three </w:t>
      </w:r>
      <w:r w:rsidR="000826C7">
        <w:rPr>
          <w:rFonts w:ascii="Times New Roman" w:hAnsi="Times New Roman"/>
          <w:spacing w:val="4"/>
          <w:sz w:val="26"/>
          <w:szCs w:val="24"/>
        </w:rPr>
        <w:t>F</w:t>
      </w:r>
      <w:r w:rsidR="00B31A8A">
        <w:rPr>
          <w:rFonts w:ascii="Times New Roman" w:hAnsi="Times New Roman"/>
          <w:spacing w:val="4"/>
          <w:sz w:val="26"/>
          <w:szCs w:val="24"/>
        </w:rPr>
        <w:t xml:space="preserve">ormal Complaints </w:t>
      </w:r>
      <w:r w:rsidR="000826C7">
        <w:rPr>
          <w:rFonts w:ascii="Times New Roman" w:hAnsi="Times New Roman"/>
          <w:spacing w:val="4"/>
          <w:sz w:val="26"/>
          <w:szCs w:val="24"/>
        </w:rPr>
        <w:t xml:space="preserve">with the Commission </w:t>
      </w:r>
      <w:r w:rsidR="00B31A8A">
        <w:rPr>
          <w:rFonts w:ascii="Times New Roman" w:hAnsi="Times New Roman"/>
          <w:spacing w:val="4"/>
          <w:sz w:val="26"/>
          <w:szCs w:val="24"/>
        </w:rPr>
        <w:t xml:space="preserve">at Docket Nos. F-2015-2486874, C-2016-2575653, and C-2017-2607397.  I.D. at 6 (citing Tr. at 31, PGW Exhibit 2).  The </w:t>
      </w:r>
      <w:r w:rsidR="000826C7">
        <w:rPr>
          <w:rFonts w:ascii="Times New Roman" w:hAnsi="Times New Roman"/>
          <w:spacing w:val="4"/>
          <w:sz w:val="26"/>
          <w:szCs w:val="24"/>
        </w:rPr>
        <w:t>F</w:t>
      </w:r>
      <w:r w:rsidR="00B31A8A">
        <w:rPr>
          <w:rFonts w:ascii="Times New Roman" w:hAnsi="Times New Roman"/>
          <w:spacing w:val="4"/>
          <w:sz w:val="26"/>
          <w:szCs w:val="24"/>
        </w:rPr>
        <w:t xml:space="preserve">ormal Complaints were resolved through settlement agreements involving payment arrangements with PGW.  However, the Complainant failed to honor the terms of </w:t>
      </w:r>
      <w:r w:rsidR="000826C7">
        <w:rPr>
          <w:rFonts w:ascii="Times New Roman" w:hAnsi="Times New Roman"/>
          <w:spacing w:val="4"/>
          <w:sz w:val="26"/>
          <w:szCs w:val="24"/>
        </w:rPr>
        <w:t xml:space="preserve">each of </w:t>
      </w:r>
      <w:r w:rsidR="00B31A8A">
        <w:rPr>
          <w:rFonts w:ascii="Times New Roman" w:hAnsi="Times New Roman"/>
          <w:spacing w:val="4"/>
          <w:sz w:val="26"/>
          <w:szCs w:val="24"/>
        </w:rPr>
        <w:t xml:space="preserve">the settlement agreements.  I.D. at 6 (citing Tr. at 31, 33). </w:t>
      </w:r>
    </w:p>
    <w:p w14:paraId="25DB6F24" w14:textId="77777777" w:rsidR="00B31A8A" w:rsidRDefault="00B31A8A" w:rsidP="0061437C">
      <w:pPr>
        <w:spacing w:line="360" w:lineRule="auto"/>
        <w:ind w:firstLine="1440"/>
        <w:textAlignment w:val="baseline"/>
        <w:rPr>
          <w:rFonts w:ascii="Times New Roman" w:hAnsi="Times New Roman"/>
          <w:spacing w:val="4"/>
          <w:sz w:val="26"/>
          <w:szCs w:val="24"/>
        </w:rPr>
      </w:pPr>
    </w:p>
    <w:p w14:paraId="1CDE1E2C" w14:textId="424D5A22" w:rsidR="000E5683" w:rsidRDefault="00B31A8A" w:rsidP="000E5683">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Regarding payment arrangements, the ALJ noted that the Complainant entered into and defaulted on five Company</w:t>
      </w:r>
      <w:r w:rsidR="00C006DE">
        <w:rPr>
          <w:rFonts w:ascii="Times New Roman" w:hAnsi="Times New Roman"/>
          <w:spacing w:val="4"/>
          <w:sz w:val="26"/>
          <w:szCs w:val="24"/>
        </w:rPr>
        <w:t>-</w:t>
      </w:r>
      <w:r>
        <w:rPr>
          <w:rFonts w:ascii="Times New Roman" w:hAnsi="Times New Roman"/>
          <w:spacing w:val="4"/>
          <w:sz w:val="26"/>
          <w:szCs w:val="24"/>
        </w:rPr>
        <w:t xml:space="preserve">issued payment arrangements </w:t>
      </w:r>
      <w:r w:rsidR="000E5683">
        <w:rPr>
          <w:rFonts w:ascii="Times New Roman" w:hAnsi="Times New Roman"/>
          <w:spacing w:val="4"/>
          <w:sz w:val="26"/>
          <w:szCs w:val="24"/>
        </w:rPr>
        <w:t>between</w:t>
      </w:r>
      <w:r>
        <w:rPr>
          <w:rFonts w:ascii="Times New Roman" w:hAnsi="Times New Roman"/>
          <w:spacing w:val="4"/>
          <w:sz w:val="26"/>
          <w:szCs w:val="24"/>
        </w:rPr>
        <w:t xml:space="preserve"> 2002 </w:t>
      </w:r>
      <w:r w:rsidR="000E5683">
        <w:rPr>
          <w:rFonts w:ascii="Times New Roman" w:hAnsi="Times New Roman"/>
          <w:spacing w:val="4"/>
          <w:sz w:val="26"/>
          <w:szCs w:val="24"/>
        </w:rPr>
        <w:t>and</w:t>
      </w:r>
      <w:r>
        <w:rPr>
          <w:rFonts w:ascii="Times New Roman" w:hAnsi="Times New Roman"/>
          <w:spacing w:val="4"/>
          <w:sz w:val="26"/>
          <w:szCs w:val="24"/>
        </w:rPr>
        <w:t xml:space="preserve"> 2017.  </w:t>
      </w:r>
      <w:r w:rsidR="000E5683">
        <w:rPr>
          <w:rFonts w:ascii="Times New Roman" w:hAnsi="Times New Roman"/>
          <w:spacing w:val="4"/>
          <w:sz w:val="26"/>
          <w:szCs w:val="24"/>
        </w:rPr>
        <w:t xml:space="preserve">The ALJ also noted that the Commission previously issued a payment arrangement on the Complainant’s behalf on March 9, 2005, and that the Complaint defaulted on this Commission-issued payment arrangement.  I.D. at 4; Findings of Fact Nos. 14-15; I.D. at 6 (citing Tr. at 32, 40, 49-50).  </w:t>
      </w:r>
    </w:p>
    <w:p w14:paraId="2D7621C2" w14:textId="77777777" w:rsidR="00996729" w:rsidRDefault="00996729" w:rsidP="0061437C">
      <w:pPr>
        <w:spacing w:line="360" w:lineRule="auto"/>
        <w:ind w:firstLine="1440"/>
        <w:textAlignment w:val="baseline"/>
        <w:rPr>
          <w:rFonts w:ascii="Times New Roman" w:hAnsi="Times New Roman"/>
          <w:spacing w:val="4"/>
          <w:sz w:val="26"/>
          <w:szCs w:val="24"/>
        </w:rPr>
      </w:pPr>
    </w:p>
    <w:p w14:paraId="4FB7A1D5" w14:textId="2E44A977" w:rsidR="00996729" w:rsidRDefault="00996729"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The ALJ noted that the Complainant’s outstanding balance with PGW was $10,059.30</w:t>
      </w:r>
      <w:r w:rsidR="0040314A">
        <w:rPr>
          <w:rFonts w:ascii="Times New Roman" w:hAnsi="Times New Roman"/>
          <w:spacing w:val="4"/>
          <w:sz w:val="26"/>
          <w:szCs w:val="24"/>
        </w:rPr>
        <w:t>,</w:t>
      </w:r>
      <w:r>
        <w:rPr>
          <w:rFonts w:ascii="Times New Roman" w:hAnsi="Times New Roman"/>
          <w:spacing w:val="4"/>
          <w:sz w:val="26"/>
          <w:szCs w:val="24"/>
        </w:rPr>
        <w:t xml:space="preserve"> and $4,484.64 of th</w:t>
      </w:r>
      <w:r w:rsidR="009332F7">
        <w:rPr>
          <w:rFonts w:ascii="Times New Roman" w:hAnsi="Times New Roman"/>
          <w:spacing w:val="4"/>
          <w:sz w:val="26"/>
          <w:szCs w:val="24"/>
        </w:rPr>
        <w:t>at</w:t>
      </w:r>
      <w:r>
        <w:rPr>
          <w:rFonts w:ascii="Times New Roman" w:hAnsi="Times New Roman"/>
          <w:spacing w:val="4"/>
          <w:sz w:val="26"/>
          <w:szCs w:val="24"/>
        </w:rPr>
        <w:t xml:space="preserve"> balance consist</w:t>
      </w:r>
      <w:r w:rsidR="0040314A">
        <w:rPr>
          <w:rFonts w:ascii="Times New Roman" w:hAnsi="Times New Roman"/>
          <w:spacing w:val="4"/>
          <w:sz w:val="26"/>
          <w:szCs w:val="24"/>
        </w:rPr>
        <w:t>ed</w:t>
      </w:r>
      <w:r>
        <w:rPr>
          <w:rFonts w:ascii="Times New Roman" w:hAnsi="Times New Roman"/>
          <w:spacing w:val="4"/>
          <w:sz w:val="26"/>
          <w:szCs w:val="24"/>
        </w:rPr>
        <w:t xml:space="preserve"> of arrearages accumulated during the Complainant’s participation in PGW’s Customer Responsibility Program </w:t>
      </w:r>
      <w:r w:rsidR="009332F7">
        <w:rPr>
          <w:rFonts w:ascii="Times New Roman" w:hAnsi="Times New Roman"/>
          <w:spacing w:val="4"/>
          <w:sz w:val="26"/>
          <w:szCs w:val="24"/>
        </w:rPr>
        <w:t xml:space="preserve">(CRP) </w:t>
      </w:r>
      <w:r>
        <w:rPr>
          <w:rFonts w:ascii="Times New Roman" w:hAnsi="Times New Roman"/>
          <w:spacing w:val="4"/>
          <w:sz w:val="26"/>
          <w:szCs w:val="24"/>
        </w:rPr>
        <w:t>from August 13, 2013</w:t>
      </w:r>
      <w:r w:rsidR="004925CD">
        <w:rPr>
          <w:rFonts w:ascii="Times New Roman" w:hAnsi="Times New Roman"/>
          <w:spacing w:val="4"/>
          <w:sz w:val="26"/>
          <w:szCs w:val="24"/>
        </w:rPr>
        <w:t>,</w:t>
      </w:r>
      <w:r>
        <w:rPr>
          <w:rFonts w:ascii="Times New Roman" w:hAnsi="Times New Roman"/>
          <w:spacing w:val="4"/>
          <w:sz w:val="26"/>
          <w:szCs w:val="24"/>
        </w:rPr>
        <w:t xml:space="preserve"> through April 16, 2016.  I.D. at 6-7 </w:t>
      </w:r>
      <w:r w:rsidR="004925CD">
        <w:rPr>
          <w:rFonts w:ascii="Times New Roman" w:hAnsi="Times New Roman"/>
          <w:spacing w:val="4"/>
          <w:sz w:val="26"/>
          <w:szCs w:val="24"/>
        </w:rPr>
        <w:t>(</w:t>
      </w:r>
      <w:r>
        <w:rPr>
          <w:rFonts w:ascii="Times New Roman" w:hAnsi="Times New Roman"/>
          <w:spacing w:val="4"/>
          <w:sz w:val="26"/>
          <w:szCs w:val="24"/>
        </w:rPr>
        <w:t>citing Tr. at 26, 35, 37, PGW Exhibit 1</w:t>
      </w:r>
      <w:r w:rsidR="004925CD">
        <w:rPr>
          <w:rFonts w:ascii="Times New Roman" w:hAnsi="Times New Roman"/>
          <w:spacing w:val="4"/>
          <w:sz w:val="26"/>
          <w:szCs w:val="24"/>
        </w:rPr>
        <w:t>)</w:t>
      </w:r>
      <w:r w:rsidR="00397888">
        <w:rPr>
          <w:rFonts w:ascii="Times New Roman" w:hAnsi="Times New Roman"/>
          <w:spacing w:val="4"/>
          <w:sz w:val="26"/>
          <w:szCs w:val="24"/>
        </w:rPr>
        <w:t xml:space="preserve">.  </w:t>
      </w:r>
      <w:r>
        <w:rPr>
          <w:rFonts w:ascii="Times New Roman" w:hAnsi="Times New Roman"/>
          <w:spacing w:val="4"/>
          <w:sz w:val="26"/>
          <w:szCs w:val="24"/>
        </w:rPr>
        <w:t xml:space="preserve">The ALJ </w:t>
      </w:r>
      <w:r w:rsidR="00373914">
        <w:rPr>
          <w:rFonts w:ascii="Times New Roman" w:hAnsi="Times New Roman"/>
          <w:spacing w:val="4"/>
          <w:sz w:val="26"/>
          <w:szCs w:val="24"/>
        </w:rPr>
        <w:t xml:space="preserve">noted that </w:t>
      </w:r>
      <w:r>
        <w:rPr>
          <w:rFonts w:ascii="Times New Roman" w:hAnsi="Times New Roman"/>
          <w:spacing w:val="4"/>
          <w:sz w:val="26"/>
          <w:szCs w:val="24"/>
        </w:rPr>
        <w:t>PGW’s CRP mee</w:t>
      </w:r>
      <w:r w:rsidR="00397888">
        <w:rPr>
          <w:rFonts w:ascii="Times New Roman" w:hAnsi="Times New Roman"/>
          <w:spacing w:val="4"/>
          <w:sz w:val="26"/>
          <w:szCs w:val="24"/>
        </w:rPr>
        <w:t>ts the definition of “Customer a</w:t>
      </w:r>
      <w:r>
        <w:rPr>
          <w:rFonts w:ascii="Times New Roman" w:hAnsi="Times New Roman"/>
          <w:spacing w:val="4"/>
          <w:sz w:val="26"/>
          <w:szCs w:val="24"/>
        </w:rPr>
        <w:t xml:space="preserve">ssistance </w:t>
      </w:r>
      <w:r w:rsidR="00397888">
        <w:rPr>
          <w:rFonts w:ascii="Times New Roman" w:hAnsi="Times New Roman"/>
          <w:spacing w:val="4"/>
          <w:sz w:val="26"/>
          <w:szCs w:val="24"/>
        </w:rPr>
        <w:t>p</w:t>
      </w:r>
      <w:r>
        <w:rPr>
          <w:rFonts w:ascii="Times New Roman" w:hAnsi="Times New Roman"/>
          <w:spacing w:val="4"/>
          <w:sz w:val="26"/>
          <w:szCs w:val="24"/>
        </w:rPr>
        <w:t xml:space="preserve">rogram” as found in 66 Pa. C.S. § 1403.  The ALJ explained </w:t>
      </w:r>
      <w:r w:rsidR="00397888">
        <w:rPr>
          <w:rFonts w:ascii="Times New Roman" w:hAnsi="Times New Roman"/>
          <w:spacing w:val="4"/>
          <w:sz w:val="26"/>
          <w:szCs w:val="24"/>
        </w:rPr>
        <w:t xml:space="preserve">that </w:t>
      </w:r>
      <w:r>
        <w:rPr>
          <w:rFonts w:ascii="Times New Roman" w:hAnsi="Times New Roman"/>
          <w:spacing w:val="4"/>
          <w:sz w:val="26"/>
          <w:szCs w:val="24"/>
        </w:rPr>
        <w:t>the Commission has no authority to establish a payment arrangement on amounts subject to CAP rates</w:t>
      </w:r>
      <w:r w:rsidR="00990C1F">
        <w:rPr>
          <w:rFonts w:ascii="Times New Roman" w:hAnsi="Times New Roman"/>
          <w:spacing w:val="4"/>
          <w:sz w:val="26"/>
          <w:szCs w:val="24"/>
        </w:rPr>
        <w:t xml:space="preserve"> and</w:t>
      </w:r>
      <w:r w:rsidR="004925CD">
        <w:rPr>
          <w:rFonts w:ascii="Times New Roman" w:hAnsi="Times New Roman"/>
          <w:spacing w:val="4"/>
          <w:sz w:val="26"/>
          <w:szCs w:val="24"/>
        </w:rPr>
        <w:t>,</w:t>
      </w:r>
      <w:r w:rsidR="00990C1F">
        <w:rPr>
          <w:rFonts w:ascii="Times New Roman" w:hAnsi="Times New Roman"/>
          <w:spacing w:val="4"/>
          <w:sz w:val="26"/>
          <w:szCs w:val="24"/>
        </w:rPr>
        <w:t xml:space="preserve"> therefore, cannot establish a payment arrangement on the portion of the Complainant’s outstanding balance that consists of CAP arrears.  Th</w:t>
      </w:r>
      <w:r w:rsidR="007F71F3">
        <w:rPr>
          <w:rFonts w:ascii="Times New Roman" w:hAnsi="Times New Roman"/>
          <w:spacing w:val="4"/>
          <w:sz w:val="26"/>
          <w:szCs w:val="24"/>
        </w:rPr>
        <w:t xml:space="preserve">us, the </w:t>
      </w:r>
      <w:r w:rsidR="00990C1F">
        <w:rPr>
          <w:rFonts w:ascii="Times New Roman" w:hAnsi="Times New Roman"/>
          <w:spacing w:val="4"/>
          <w:sz w:val="26"/>
          <w:szCs w:val="24"/>
        </w:rPr>
        <w:t xml:space="preserve">ALJ </w:t>
      </w:r>
      <w:r w:rsidR="00560BA6">
        <w:rPr>
          <w:rFonts w:ascii="Times New Roman" w:hAnsi="Times New Roman"/>
          <w:spacing w:val="4"/>
          <w:sz w:val="26"/>
          <w:szCs w:val="24"/>
        </w:rPr>
        <w:t xml:space="preserve">denied the </w:t>
      </w:r>
      <w:r w:rsidR="0027069C">
        <w:rPr>
          <w:rFonts w:ascii="Times New Roman" w:hAnsi="Times New Roman"/>
          <w:spacing w:val="4"/>
          <w:sz w:val="26"/>
          <w:szCs w:val="24"/>
        </w:rPr>
        <w:t xml:space="preserve">Complainant’s request for a payment arrangement on the balance that was subject to CAP rates and </w:t>
      </w:r>
      <w:r w:rsidR="007F71F3">
        <w:rPr>
          <w:rFonts w:ascii="Times New Roman" w:hAnsi="Times New Roman"/>
          <w:spacing w:val="4"/>
          <w:sz w:val="26"/>
          <w:szCs w:val="24"/>
        </w:rPr>
        <w:t xml:space="preserve">concluded that </w:t>
      </w:r>
      <w:r w:rsidR="00990C1F">
        <w:rPr>
          <w:rFonts w:ascii="Times New Roman" w:hAnsi="Times New Roman"/>
          <w:spacing w:val="4"/>
          <w:sz w:val="26"/>
          <w:szCs w:val="24"/>
        </w:rPr>
        <w:t xml:space="preserve">the </w:t>
      </w:r>
      <w:r w:rsidR="007F71F3">
        <w:rPr>
          <w:rFonts w:ascii="Times New Roman" w:hAnsi="Times New Roman"/>
          <w:spacing w:val="4"/>
          <w:sz w:val="26"/>
          <w:szCs w:val="24"/>
        </w:rPr>
        <w:t xml:space="preserve">Complainant must pay the </w:t>
      </w:r>
      <w:r w:rsidR="00990C1F">
        <w:rPr>
          <w:rFonts w:ascii="Times New Roman" w:hAnsi="Times New Roman"/>
          <w:spacing w:val="4"/>
          <w:sz w:val="26"/>
          <w:szCs w:val="24"/>
        </w:rPr>
        <w:t>$4,484.64</w:t>
      </w:r>
      <w:r w:rsidR="007F71F3">
        <w:rPr>
          <w:rFonts w:ascii="Times New Roman" w:hAnsi="Times New Roman"/>
          <w:spacing w:val="4"/>
          <w:sz w:val="26"/>
          <w:szCs w:val="24"/>
        </w:rPr>
        <w:t xml:space="preserve"> balance associated with CAP arrears,</w:t>
      </w:r>
      <w:r w:rsidR="00990C1F">
        <w:rPr>
          <w:rFonts w:ascii="Times New Roman" w:hAnsi="Times New Roman"/>
          <w:spacing w:val="4"/>
          <w:sz w:val="26"/>
          <w:szCs w:val="24"/>
        </w:rPr>
        <w:t xml:space="preserve"> pursuant to 66 Pa. C.S. §</w:t>
      </w:r>
      <w:r w:rsidR="007F71F3">
        <w:rPr>
          <w:rFonts w:ascii="Times New Roman" w:hAnsi="Times New Roman"/>
          <w:spacing w:val="4"/>
          <w:sz w:val="26"/>
          <w:szCs w:val="24"/>
        </w:rPr>
        <w:t> </w:t>
      </w:r>
      <w:r w:rsidR="00990C1F">
        <w:rPr>
          <w:rFonts w:ascii="Times New Roman" w:hAnsi="Times New Roman"/>
          <w:spacing w:val="4"/>
          <w:sz w:val="26"/>
          <w:szCs w:val="24"/>
        </w:rPr>
        <w:t xml:space="preserve">1405(c).  </w:t>
      </w:r>
      <w:r w:rsidR="00990C1F">
        <w:rPr>
          <w:rFonts w:ascii="Times New Roman" w:hAnsi="Times New Roman"/>
          <w:spacing w:val="4"/>
          <w:sz w:val="26"/>
          <w:szCs w:val="24"/>
        </w:rPr>
        <w:lastRenderedPageBreak/>
        <w:t>I.D. at 7.</w:t>
      </w:r>
      <w:r w:rsidR="004925CD">
        <w:rPr>
          <w:rFonts w:ascii="Times New Roman" w:hAnsi="Times New Roman"/>
          <w:spacing w:val="4"/>
          <w:sz w:val="26"/>
          <w:szCs w:val="24"/>
        </w:rPr>
        <w:t xml:space="preserve">  </w:t>
      </w:r>
      <w:r w:rsidR="00990C1F">
        <w:rPr>
          <w:rFonts w:ascii="Times New Roman" w:hAnsi="Times New Roman"/>
          <w:spacing w:val="4"/>
          <w:sz w:val="26"/>
          <w:szCs w:val="24"/>
        </w:rPr>
        <w:t xml:space="preserve">I.D. at 7 </w:t>
      </w:r>
      <w:r w:rsidR="004925CD">
        <w:rPr>
          <w:rFonts w:ascii="Times New Roman" w:hAnsi="Times New Roman"/>
          <w:spacing w:val="4"/>
          <w:sz w:val="26"/>
          <w:szCs w:val="24"/>
        </w:rPr>
        <w:t>(c</w:t>
      </w:r>
      <w:r w:rsidR="00990C1F">
        <w:rPr>
          <w:rFonts w:ascii="Times New Roman" w:hAnsi="Times New Roman"/>
          <w:spacing w:val="4"/>
          <w:sz w:val="26"/>
          <w:szCs w:val="24"/>
        </w:rPr>
        <w:t xml:space="preserve">iting </w:t>
      </w:r>
      <w:r w:rsidR="00990C1F" w:rsidRPr="00990C1F">
        <w:rPr>
          <w:rFonts w:ascii="Times New Roman" w:hAnsi="Times New Roman"/>
          <w:i/>
          <w:spacing w:val="4"/>
          <w:sz w:val="26"/>
          <w:szCs w:val="24"/>
        </w:rPr>
        <w:t>Hewitt v. PECO Energy Co.</w:t>
      </w:r>
      <w:r w:rsidR="00990C1F">
        <w:rPr>
          <w:rFonts w:ascii="Times New Roman" w:hAnsi="Times New Roman"/>
          <w:spacing w:val="4"/>
          <w:sz w:val="26"/>
          <w:szCs w:val="24"/>
        </w:rPr>
        <w:t>, Docket No. F-201102273271 (Order entered September 12, 2013)</w:t>
      </w:r>
      <w:r w:rsidR="004925CD">
        <w:rPr>
          <w:rFonts w:ascii="Times New Roman" w:hAnsi="Times New Roman"/>
          <w:spacing w:val="4"/>
          <w:sz w:val="26"/>
          <w:szCs w:val="24"/>
        </w:rPr>
        <w:t>)</w:t>
      </w:r>
      <w:r w:rsidR="00990C1F">
        <w:rPr>
          <w:rFonts w:ascii="Times New Roman" w:hAnsi="Times New Roman"/>
          <w:spacing w:val="4"/>
          <w:sz w:val="26"/>
          <w:szCs w:val="24"/>
        </w:rPr>
        <w:t xml:space="preserve">.  </w:t>
      </w:r>
    </w:p>
    <w:p w14:paraId="52C8492F" w14:textId="77777777" w:rsidR="00990C1F" w:rsidRDefault="00990C1F" w:rsidP="0061437C">
      <w:pPr>
        <w:spacing w:line="360" w:lineRule="auto"/>
        <w:ind w:firstLine="1440"/>
        <w:textAlignment w:val="baseline"/>
        <w:rPr>
          <w:rFonts w:ascii="Times New Roman" w:hAnsi="Times New Roman"/>
          <w:spacing w:val="4"/>
          <w:sz w:val="26"/>
          <w:szCs w:val="24"/>
        </w:rPr>
      </w:pPr>
    </w:p>
    <w:p w14:paraId="4EB3698D" w14:textId="24F6811E" w:rsidR="00D21C8E" w:rsidRDefault="0040314A" w:rsidP="00E9579E">
      <w:pPr>
        <w:keepNext/>
        <w:keepLines/>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Regarding the customer’s request for a</w:t>
      </w:r>
      <w:r w:rsidR="00990C1F">
        <w:rPr>
          <w:rFonts w:ascii="Times New Roman" w:hAnsi="Times New Roman"/>
          <w:spacing w:val="4"/>
          <w:sz w:val="26"/>
          <w:szCs w:val="24"/>
        </w:rPr>
        <w:t xml:space="preserve"> payment arrangement for the non-CAP portion of the Complainant’s arrearage,</w:t>
      </w:r>
      <w:r>
        <w:rPr>
          <w:rFonts w:ascii="Times New Roman" w:hAnsi="Times New Roman"/>
          <w:spacing w:val="4"/>
          <w:sz w:val="26"/>
          <w:szCs w:val="24"/>
        </w:rPr>
        <w:t xml:space="preserve"> or the $5,574.66 </w:t>
      </w:r>
      <w:r w:rsidR="00663DFD">
        <w:rPr>
          <w:rFonts w:ascii="Times New Roman" w:hAnsi="Times New Roman"/>
          <w:spacing w:val="4"/>
          <w:sz w:val="26"/>
          <w:szCs w:val="24"/>
        </w:rPr>
        <w:t xml:space="preserve">remaining </w:t>
      </w:r>
      <w:r>
        <w:rPr>
          <w:rFonts w:ascii="Times New Roman" w:hAnsi="Times New Roman"/>
          <w:spacing w:val="4"/>
          <w:sz w:val="26"/>
          <w:szCs w:val="24"/>
        </w:rPr>
        <w:t>balance,</w:t>
      </w:r>
      <w:r w:rsidR="00990C1F">
        <w:rPr>
          <w:rFonts w:ascii="Times New Roman" w:hAnsi="Times New Roman"/>
          <w:spacing w:val="4"/>
          <w:sz w:val="26"/>
          <w:szCs w:val="24"/>
        </w:rPr>
        <w:t xml:space="preserve"> the </w:t>
      </w:r>
      <w:r w:rsidR="00D21C8E">
        <w:rPr>
          <w:rFonts w:ascii="Times New Roman" w:hAnsi="Times New Roman"/>
          <w:spacing w:val="4"/>
          <w:sz w:val="26"/>
          <w:szCs w:val="24"/>
        </w:rPr>
        <w:t>ALJ noted that the last good payment that PGW received from the Complainant was in October 2008.  The ALJ opined that over the last ten years, beyond applying for grants, the Complainant exercised little good</w:t>
      </w:r>
      <w:r w:rsidR="0027069C">
        <w:rPr>
          <w:rFonts w:ascii="Times New Roman" w:hAnsi="Times New Roman"/>
          <w:spacing w:val="4"/>
          <w:sz w:val="26"/>
          <w:szCs w:val="24"/>
        </w:rPr>
        <w:t>-</w:t>
      </w:r>
      <w:r w:rsidR="00D21C8E">
        <w:rPr>
          <w:rFonts w:ascii="Times New Roman" w:hAnsi="Times New Roman"/>
          <w:spacing w:val="4"/>
          <w:sz w:val="26"/>
          <w:szCs w:val="24"/>
        </w:rPr>
        <w:t xml:space="preserve">faith effort to pay for her gas service.  The ALJ opined further that </w:t>
      </w:r>
      <w:r w:rsidR="0027069C">
        <w:rPr>
          <w:rFonts w:ascii="Times New Roman" w:hAnsi="Times New Roman"/>
          <w:spacing w:val="4"/>
          <w:sz w:val="26"/>
          <w:szCs w:val="24"/>
        </w:rPr>
        <w:t xml:space="preserve">the </w:t>
      </w:r>
      <w:r w:rsidR="00D21C8E">
        <w:rPr>
          <w:rFonts w:ascii="Times New Roman" w:hAnsi="Times New Roman"/>
          <w:spacing w:val="4"/>
          <w:sz w:val="26"/>
          <w:szCs w:val="24"/>
        </w:rPr>
        <w:t xml:space="preserve">Complainant </w:t>
      </w:r>
      <w:r w:rsidR="004925CD">
        <w:rPr>
          <w:rFonts w:ascii="Times New Roman" w:hAnsi="Times New Roman"/>
          <w:spacing w:val="4"/>
          <w:sz w:val="26"/>
          <w:szCs w:val="24"/>
        </w:rPr>
        <w:t>previously</w:t>
      </w:r>
      <w:r w:rsidR="00D21C8E">
        <w:rPr>
          <w:rFonts w:ascii="Times New Roman" w:hAnsi="Times New Roman"/>
          <w:spacing w:val="4"/>
          <w:sz w:val="26"/>
          <w:szCs w:val="24"/>
        </w:rPr>
        <w:t xml:space="preserve"> entered into </w:t>
      </w:r>
      <w:r w:rsidR="004925CD">
        <w:rPr>
          <w:rFonts w:ascii="Times New Roman" w:hAnsi="Times New Roman"/>
          <w:spacing w:val="4"/>
          <w:sz w:val="26"/>
          <w:szCs w:val="24"/>
        </w:rPr>
        <w:t xml:space="preserve">Company-issued </w:t>
      </w:r>
      <w:r w:rsidR="00D21C8E">
        <w:rPr>
          <w:rFonts w:ascii="Times New Roman" w:hAnsi="Times New Roman"/>
          <w:spacing w:val="4"/>
          <w:sz w:val="26"/>
          <w:szCs w:val="24"/>
        </w:rPr>
        <w:t xml:space="preserve">payment arrangements and settlement agreements without an intention of honoring them and </w:t>
      </w:r>
      <w:r w:rsidR="009332F7">
        <w:rPr>
          <w:rFonts w:ascii="Times New Roman" w:hAnsi="Times New Roman"/>
          <w:spacing w:val="4"/>
          <w:sz w:val="26"/>
          <w:szCs w:val="24"/>
        </w:rPr>
        <w:t>has</w:t>
      </w:r>
      <w:r w:rsidR="00D21C8E">
        <w:rPr>
          <w:rFonts w:ascii="Times New Roman" w:hAnsi="Times New Roman"/>
          <w:spacing w:val="4"/>
          <w:sz w:val="26"/>
          <w:szCs w:val="24"/>
        </w:rPr>
        <w:t xml:space="preserve"> submitt</w:t>
      </w:r>
      <w:r w:rsidR="009332F7">
        <w:rPr>
          <w:rFonts w:ascii="Times New Roman" w:hAnsi="Times New Roman"/>
          <w:spacing w:val="4"/>
          <w:sz w:val="26"/>
          <w:szCs w:val="24"/>
        </w:rPr>
        <w:t xml:space="preserve">ed </w:t>
      </w:r>
      <w:r w:rsidR="00D21C8E">
        <w:rPr>
          <w:rFonts w:ascii="Times New Roman" w:hAnsi="Times New Roman"/>
          <w:spacing w:val="4"/>
          <w:sz w:val="26"/>
          <w:szCs w:val="24"/>
        </w:rPr>
        <w:t>a series of bad checks in lieu of payments.  I.D. at 8-9.</w:t>
      </w:r>
    </w:p>
    <w:p w14:paraId="53E523BB" w14:textId="77777777" w:rsidR="009332F7" w:rsidRDefault="009332F7" w:rsidP="0061437C">
      <w:pPr>
        <w:spacing w:line="360" w:lineRule="auto"/>
        <w:ind w:firstLine="1440"/>
        <w:textAlignment w:val="baseline"/>
        <w:rPr>
          <w:rFonts w:ascii="Times New Roman" w:hAnsi="Times New Roman"/>
          <w:spacing w:val="4"/>
          <w:sz w:val="26"/>
          <w:szCs w:val="24"/>
        </w:rPr>
      </w:pPr>
    </w:p>
    <w:p w14:paraId="1898B126" w14:textId="5F47DEE4" w:rsidR="009332F7" w:rsidRDefault="00CC507E"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T</w:t>
      </w:r>
      <w:r w:rsidR="0040314A">
        <w:rPr>
          <w:rFonts w:ascii="Times New Roman" w:hAnsi="Times New Roman"/>
          <w:spacing w:val="4"/>
          <w:sz w:val="26"/>
          <w:szCs w:val="24"/>
        </w:rPr>
        <w:t>he ALJ</w:t>
      </w:r>
      <w:r>
        <w:rPr>
          <w:rFonts w:ascii="Times New Roman" w:hAnsi="Times New Roman"/>
          <w:spacing w:val="4"/>
          <w:sz w:val="26"/>
          <w:szCs w:val="24"/>
        </w:rPr>
        <w:t>, therefore,</w:t>
      </w:r>
      <w:r w:rsidR="0040314A">
        <w:rPr>
          <w:rFonts w:ascii="Times New Roman" w:hAnsi="Times New Roman"/>
          <w:spacing w:val="4"/>
          <w:sz w:val="26"/>
          <w:szCs w:val="24"/>
        </w:rPr>
        <w:t xml:space="preserve"> concluded that the Complainant failed to carry her burden of proving by a preponderance of the evidence that she qualifies for a subsequent payment arrangement and</w:t>
      </w:r>
      <w:r w:rsidR="008B4A87">
        <w:rPr>
          <w:rFonts w:ascii="Times New Roman" w:hAnsi="Times New Roman"/>
          <w:spacing w:val="4"/>
          <w:sz w:val="26"/>
          <w:szCs w:val="24"/>
        </w:rPr>
        <w:t xml:space="preserve"> </w:t>
      </w:r>
      <w:r w:rsidR="0040314A">
        <w:rPr>
          <w:rFonts w:ascii="Times New Roman" w:hAnsi="Times New Roman"/>
          <w:spacing w:val="4"/>
          <w:sz w:val="26"/>
          <w:szCs w:val="24"/>
        </w:rPr>
        <w:t xml:space="preserve">denied the Complainant’s request for a payment arrangement on the non-CAP portion of her outstanding balance with PGW.  I.D. at 9.  </w:t>
      </w:r>
      <w:r w:rsidR="009332F7">
        <w:rPr>
          <w:rFonts w:ascii="Times New Roman" w:hAnsi="Times New Roman"/>
          <w:spacing w:val="4"/>
          <w:sz w:val="26"/>
          <w:szCs w:val="24"/>
        </w:rPr>
        <w:t xml:space="preserve">The ALJ </w:t>
      </w:r>
      <w:r w:rsidR="0040314A">
        <w:rPr>
          <w:rFonts w:ascii="Times New Roman" w:hAnsi="Times New Roman"/>
          <w:spacing w:val="4"/>
          <w:sz w:val="26"/>
          <w:szCs w:val="24"/>
        </w:rPr>
        <w:t>explained</w:t>
      </w:r>
      <w:r w:rsidR="009332F7">
        <w:rPr>
          <w:rFonts w:ascii="Times New Roman" w:hAnsi="Times New Roman"/>
          <w:spacing w:val="4"/>
          <w:sz w:val="26"/>
          <w:szCs w:val="24"/>
        </w:rPr>
        <w:t xml:space="preserve"> that the Complainant </w:t>
      </w:r>
      <w:r w:rsidR="0040314A">
        <w:rPr>
          <w:rFonts w:ascii="Times New Roman" w:hAnsi="Times New Roman"/>
          <w:spacing w:val="4"/>
          <w:sz w:val="26"/>
          <w:szCs w:val="24"/>
        </w:rPr>
        <w:t>must</w:t>
      </w:r>
      <w:r w:rsidR="009332F7">
        <w:rPr>
          <w:rFonts w:ascii="Times New Roman" w:hAnsi="Times New Roman"/>
          <w:spacing w:val="4"/>
          <w:sz w:val="26"/>
          <w:szCs w:val="24"/>
        </w:rPr>
        <w:t xml:space="preserve"> pay PGW for the gas she consumed</w:t>
      </w:r>
      <w:r w:rsidR="008B4A87">
        <w:rPr>
          <w:rFonts w:ascii="Times New Roman" w:hAnsi="Times New Roman"/>
          <w:spacing w:val="4"/>
          <w:sz w:val="26"/>
          <w:szCs w:val="24"/>
        </w:rPr>
        <w:t xml:space="preserve"> because, </w:t>
      </w:r>
      <w:r w:rsidR="00E9479D">
        <w:rPr>
          <w:rFonts w:ascii="Times New Roman" w:hAnsi="Times New Roman"/>
          <w:spacing w:val="4"/>
          <w:sz w:val="26"/>
          <w:szCs w:val="24"/>
        </w:rPr>
        <w:t>b</w:t>
      </w:r>
      <w:r w:rsidR="009332F7">
        <w:rPr>
          <w:rFonts w:ascii="Times New Roman" w:hAnsi="Times New Roman"/>
          <w:spacing w:val="4"/>
          <w:sz w:val="26"/>
          <w:szCs w:val="24"/>
        </w:rPr>
        <w:t>y law</w:t>
      </w:r>
      <w:r w:rsidR="00E9479D">
        <w:rPr>
          <w:rFonts w:ascii="Times New Roman" w:hAnsi="Times New Roman"/>
          <w:spacing w:val="4"/>
          <w:sz w:val="26"/>
          <w:szCs w:val="24"/>
        </w:rPr>
        <w:t>,</w:t>
      </w:r>
      <w:r w:rsidR="009332F7">
        <w:rPr>
          <w:rFonts w:ascii="Times New Roman" w:hAnsi="Times New Roman"/>
          <w:spacing w:val="4"/>
          <w:sz w:val="26"/>
          <w:szCs w:val="24"/>
        </w:rPr>
        <w:t xml:space="preserve"> a public utility is entitled to receive payment for the service it provides.</w:t>
      </w:r>
      <w:r>
        <w:rPr>
          <w:rStyle w:val="FootnoteReference"/>
          <w:rFonts w:ascii="Times New Roman" w:hAnsi="Times New Roman"/>
          <w:spacing w:val="4"/>
          <w:sz w:val="26"/>
          <w:szCs w:val="24"/>
        </w:rPr>
        <w:footnoteReference w:id="4"/>
      </w:r>
      <w:r w:rsidR="009332F7">
        <w:rPr>
          <w:rFonts w:ascii="Times New Roman" w:hAnsi="Times New Roman"/>
          <w:spacing w:val="4"/>
          <w:sz w:val="26"/>
          <w:szCs w:val="24"/>
        </w:rPr>
        <w:t xml:space="preserve">  </w:t>
      </w:r>
      <w:r w:rsidR="002F694F">
        <w:rPr>
          <w:rFonts w:ascii="Times New Roman" w:hAnsi="Times New Roman"/>
          <w:spacing w:val="4"/>
          <w:sz w:val="26"/>
          <w:szCs w:val="24"/>
        </w:rPr>
        <w:t xml:space="preserve">Otherwise, </w:t>
      </w:r>
      <w:r w:rsidR="009332F7">
        <w:rPr>
          <w:rFonts w:ascii="Times New Roman" w:hAnsi="Times New Roman"/>
          <w:spacing w:val="4"/>
          <w:sz w:val="26"/>
          <w:szCs w:val="24"/>
        </w:rPr>
        <w:t xml:space="preserve">customers’ unpaid bills are included in the utility’s uncollectible expenses and </w:t>
      </w:r>
      <w:r w:rsidR="00B43C9F">
        <w:rPr>
          <w:rFonts w:ascii="Times New Roman" w:hAnsi="Times New Roman"/>
          <w:spacing w:val="4"/>
          <w:sz w:val="26"/>
          <w:szCs w:val="24"/>
        </w:rPr>
        <w:t>ultimately</w:t>
      </w:r>
      <w:r w:rsidR="009332F7">
        <w:rPr>
          <w:rFonts w:ascii="Times New Roman" w:hAnsi="Times New Roman"/>
          <w:spacing w:val="4"/>
          <w:sz w:val="26"/>
          <w:szCs w:val="24"/>
        </w:rPr>
        <w:t xml:space="preserve"> paid by the remaining ratepayers.</w:t>
      </w:r>
      <w:r w:rsidR="002F694F">
        <w:rPr>
          <w:rStyle w:val="FootnoteReference"/>
          <w:rFonts w:ascii="Times New Roman" w:hAnsi="Times New Roman"/>
          <w:spacing w:val="4"/>
          <w:sz w:val="26"/>
          <w:szCs w:val="24"/>
        </w:rPr>
        <w:footnoteReference w:id="5"/>
      </w:r>
      <w:r w:rsidR="009332F7">
        <w:rPr>
          <w:rFonts w:ascii="Times New Roman" w:hAnsi="Times New Roman"/>
          <w:spacing w:val="4"/>
          <w:sz w:val="26"/>
          <w:szCs w:val="24"/>
        </w:rPr>
        <w:t xml:space="preserve">  I.D. at 9</w:t>
      </w:r>
      <w:r w:rsidR="002F694F">
        <w:rPr>
          <w:rFonts w:ascii="Times New Roman" w:hAnsi="Times New Roman"/>
          <w:spacing w:val="4"/>
          <w:sz w:val="26"/>
          <w:szCs w:val="24"/>
        </w:rPr>
        <w:t>.</w:t>
      </w:r>
      <w:r w:rsidR="009332F7">
        <w:rPr>
          <w:rFonts w:ascii="Times New Roman" w:hAnsi="Times New Roman"/>
          <w:spacing w:val="4"/>
          <w:sz w:val="26"/>
          <w:szCs w:val="24"/>
        </w:rPr>
        <w:t xml:space="preserve"> </w:t>
      </w:r>
    </w:p>
    <w:p w14:paraId="1D1324D8" w14:textId="652DE546" w:rsidR="0013045F" w:rsidRDefault="0013045F" w:rsidP="0061437C">
      <w:pPr>
        <w:tabs>
          <w:tab w:val="left" w:pos="-720"/>
        </w:tabs>
        <w:suppressAutoHyphens/>
        <w:spacing w:line="360" w:lineRule="auto"/>
        <w:rPr>
          <w:rFonts w:ascii="Times New Roman" w:hAnsi="Times New Roman"/>
          <w:b/>
          <w:sz w:val="26"/>
        </w:rPr>
      </w:pPr>
    </w:p>
    <w:p w14:paraId="0279323D" w14:textId="19BF3D4F" w:rsidR="00BB76A3" w:rsidRDefault="00BB76A3" w:rsidP="00B63E5C">
      <w:pPr>
        <w:keepNext/>
        <w:keepLines/>
        <w:tabs>
          <w:tab w:val="left" w:pos="-720"/>
        </w:tabs>
        <w:suppressAutoHyphens/>
        <w:spacing w:line="360" w:lineRule="auto"/>
        <w:rPr>
          <w:rFonts w:ascii="Times New Roman" w:hAnsi="Times New Roman"/>
          <w:b/>
          <w:sz w:val="26"/>
        </w:rPr>
      </w:pPr>
      <w:r>
        <w:rPr>
          <w:rFonts w:ascii="Times New Roman" w:hAnsi="Times New Roman"/>
          <w:b/>
          <w:sz w:val="26"/>
        </w:rPr>
        <w:lastRenderedPageBreak/>
        <w:t>Exceptions</w:t>
      </w:r>
      <w:r w:rsidR="00EC3CE6">
        <w:rPr>
          <w:rFonts w:ascii="Times New Roman" w:hAnsi="Times New Roman"/>
          <w:b/>
          <w:sz w:val="26"/>
        </w:rPr>
        <w:t xml:space="preserve"> </w:t>
      </w:r>
    </w:p>
    <w:p w14:paraId="7E88F15F" w14:textId="56A92177" w:rsidR="00C006DE" w:rsidRDefault="00C006DE" w:rsidP="00B63E5C">
      <w:pPr>
        <w:keepNext/>
        <w:keepLines/>
        <w:tabs>
          <w:tab w:val="left" w:pos="-720"/>
        </w:tabs>
        <w:suppressAutoHyphens/>
        <w:spacing w:line="360" w:lineRule="auto"/>
        <w:rPr>
          <w:rFonts w:ascii="Times New Roman" w:hAnsi="Times New Roman"/>
          <w:b/>
          <w:sz w:val="26"/>
        </w:rPr>
      </w:pPr>
    </w:p>
    <w:p w14:paraId="0D08E12D" w14:textId="06B1D20D" w:rsidR="00446219" w:rsidRDefault="00446219" w:rsidP="00B63E5C">
      <w:pPr>
        <w:keepNext/>
        <w:keepLines/>
        <w:spacing w:line="360" w:lineRule="auto"/>
        <w:ind w:firstLine="1440"/>
        <w:rPr>
          <w:rFonts w:ascii="Times New Roman" w:hAnsi="Times New Roman"/>
          <w:sz w:val="26"/>
          <w:szCs w:val="26"/>
        </w:rPr>
      </w:pPr>
      <w:r>
        <w:rPr>
          <w:rFonts w:ascii="Times New Roman" w:hAnsi="Times New Roman"/>
          <w:sz w:val="26"/>
          <w:szCs w:val="26"/>
        </w:rPr>
        <w:t>W</w:t>
      </w:r>
      <w:r w:rsidRPr="00AE0D2B">
        <w:rPr>
          <w:rFonts w:ascii="Times New Roman" w:hAnsi="Times New Roman"/>
          <w:sz w:val="26"/>
          <w:szCs w:val="26"/>
        </w:rPr>
        <w:t xml:space="preserve">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10"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1"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14:paraId="3175BE0E" w14:textId="77777777" w:rsidR="00446219" w:rsidRPr="00446219" w:rsidRDefault="00446219" w:rsidP="0061437C">
      <w:pPr>
        <w:tabs>
          <w:tab w:val="left" w:pos="-720"/>
        </w:tabs>
        <w:suppressAutoHyphens/>
        <w:spacing w:line="360" w:lineRule="auto"/>
        <w:rPr>
          <w:rFonts w:ascii="Times New Roman" w:hAnsi="Times New Roman"/>
          <w:color w:val="000000"/>
          <w:sz w:val="26"/>
          <w:szCs w:val="26"/>
        </w:rPr>
      </w:pPr>
    </w:p>
    <w:p w14:paraId="0652593D" w14:textId="77777777" w:rsidR="00B01381" w:rsidRDefault="00B01381" w:rsidP="00C006DE">
      <w:pPr>
        <w:spacing w:line="360" w:lineRule="auto"/>
        <w:ind w:firstLine="1440"/>
        <w:rPr>
          <w:rFonts w:ascii="Times New Roman" w:hAnsi="Times New Roman"/>
          <w:sz w:val="26"/>
        </w:rPr>
      </w:pPr>
      <w:r w:rsidRPr="00A5758B">
        <w:rPr>
          <w:rFonts w:ascii="Times New Roman" w:hAnsi="Times New Roman"/>
          <w:sz w:val="26"/>
        </w:rPr>
        <w:t>The Complainant’s Exceptions consist of a single handwritten page in which she generally expresses her disagreement with the ALJ’s ruling.  The Complainant reiterates her contention that she is unable to make payments and repeats her request for a payment arrangement.</w:t>
      </w:r>
      <w:r>
        <w:rPr>
          <w:rFonts w:ascii="Times New Roman" w:hAnsi="Times New Roman"/>
          <w:sz w:val="26"/>
        </w:rPr>
        <w:t xml:space="preserve">  Exc. at 1.</w:t>
      </w:r>
    </w:p>
    <w:p w14:paraId="416EA08D" w14:textId="77777777" w:rsidR="001C653C" w:rsidRPr="00B01381" w:rsidRDefault="001C653C" w:rsidP="0061437C">
      <w:pPr>
        <w:tabs>
          <w:tab w:val="left" w:pos="-720"/>
        </w:tabs>
        <w:suppressAutoHyphens/>
        <w:spacing w:line="360" w:lineRule="auto"/>
        <w:rPr>
          <w:rFonts w:ascii="Times New Roman" w:hAnsi="Times New Roman"/>
          <w:b/>
          <w:sz w:val="26"/>
        </w:rPr>
      </w:pPr>
    </w:p>
    <w:p w14:paraId="3505A476" w14:textId="77777777" w:rsidR="00662F4E" w:rsidRPr="00662F4E" w:rsidRDefault="00662F4E" w:rsidP="001C653C">
      <w:pPr>
        <w:keepNext/>
        <w:keepLines/>
        <w:tabs>
          <w:tab w:val="left" w:pos="-720"/>
        </w:tabs>
        <w:suppressAutoHyphens/>
        <w:spacing w:line="360" w:lineRule="auto"/>
        <w:rPr>
          <w:rFonts w:ascii="Times New Roman" w:hAnsi="Times New Roman"/>
          <w:b/>
          <w:sz w:val="26"/>
        </w:rPr>
      </w:pPr>
      <w:r>
        <w:rPr>
          <w:rFonts w:ascii="Times New Roman" w:hAnsi="Times New Roman"/>
          <w:b/>
          <w:sz w:val="26"/>
        </w:rPr>
        <w:t>Disposition</w:t>
      </w:r>
    </w:p>
    <w:p w14:paraId="348305EE" w14:textId="0F06DF39" w:rsidR="00662F4E" w:rsidRDefault="00662F4E" w:rsidP="001C653C">
      <w:pPr>
        <w:keepNext/>
        <w:keepLines/>
        <w:tabs>
          <w:tab w:val="left" w:pos="-720"/>
        </w:tabs>
        <w:suppressAutoHyphens/>
        <w:spacing w:line="360" w:lineRule="auto"/>
        <w:rPr>
          <w:rFonts w:ascii="Times New Roman" w:hAnsi="Times New Roman"/>
          <w:sz w:val="26"/>
        </w:rPr>
      </w:pPr>
    </w:p>
    <w:p w14:paraId="7215C804" w14:textId="4BAAEFF4" w:rsidR="00B43C9F" w:rsidRDefault="00441243"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530E82">
        <w:rPr>
          <w:rFonts w:ascii="Times New Roman" w:hAnsi="Times New Roman"/>
          <w:sz w:val="26"/>
        </w:rPr>
        <w:t>Upon our review and consideration of the record evidence and the Complainant’s Exceptions, we</w:t>
      </w:r>
      <w:r w:rsidR="000E5683">
        <w:rPr>
          <w:rFonts w:ascii="Times New Roman" w:hAnsi="Times New Roman"/>
          <w:sz w:val="26"/>
        </w:rPr>
        <w:t xml:space="preserve"> affirm the conclusion of the ALJ that we lack the authority to establish a payment arrangement on the CAP portion, </w:t>
      </w:r>
      <w:r w:rsidR="00550776">
        <w:rPr>
          <w:rFonts w:ascii="Times New Roman" w:hAnsi="Times New Roman"/>
          <w:sz w:val="26"/>
        </w:rPr>
        <w:t xml:space="preserve">or the </w:t>
      </w:r>
      <w:r w:rsidR="00550776">
        <w:rPr>
          <w:rFonts w:ascii="Times New Roman" w:hAnsi="Times New Roman"/>
          <w:spacing w:val="4"/>
          <w:sz w:val="26"/>
          <w:szCs w:val="24"/>
        </w:rPr>
        <w:t>$4,484.64,</w:t>
      </w:r>
      <w:r w:rsidR="000E5683">
        <w:rPr>
          <w:rFonts w:ascii="Times New Roman" w:hAnsi="Times New Roman"/>
          <w:sz w:val="26"/>
        </w:rPr>
        <w:t xml:space="preserve"> of the Complainant’s</w:t>
      </w:r>
      <w:r w:rsidR="00550776">
        <w:rPr>
          <w:rFonts w:ascii="Times New Roman" w:hAnsi="Times New Roman"/>
          <w:sz w:val="26"/>
        </w:rPr>
        <w:t xml:space="preserve"> outstanding</w:t>
      </w:r>
      <w:r w:rsidR="000E5683">
        <w:rPr>
          <w:rFonts w:ascii="Times New Roman" w:hAnsi="Times New Roman"/>
          <w:sz w:val="26"/>
        </w:rPr>
        <w:t xml:space="preserve"> arrearage.</w:t>
      </w:r>
      <w:r w:rsidR="00550776">
        <w:rPr>
          <w:rFonts w:ascii="Times New Roman" w:hAnsi="Times New Roman"/>
          <w:sz w:val="26"/>
        </w:rPr>
        <w:t xml:space="preserve">  </w:t>
      </w:r>
      <w:r w:rsidR="00F41C7E" w:rsidRPr="00F41C7E">
        <w:rPr>
          <w:rFonts w:ascii="Times New Roman" w:hAnsi="Times New Roman"/>
          <w:i/>
          <w:sz w:val="26"/>
        </w:rPr>
        <w:t>See</w:t>
      </w:r>
      <w:r w:rsidR="00F41C7E">
        <w:rPr>
          <w:rFonts w:ascii="Times New Roman" w:hAnsi="Times New Roman"/>
          <w:sz w:val="26"/>
        </w:rPr>
        <w:t xml:space="preserve"> 66 Pa. C.S. § 1405(c).  </w:t>
      </w:r>
      <w:r w:rsidR="00550776">
        <w:rPr>
          <w:rFonts w:ascii="Times New Roman" w:hAnsi="Times New Roman"/>
          <w:sz w:val="26"/>
        </w:rPr>
        <w:t>Nothing in the Complainant’s Exceptions challenged the ALJ’s conclusion of law or analysis with respect to the CAP-portion of the Complainant’s mixed arrearage.</w:t>
      </w:r>
    </w:p>
    <w:p w14:paraId="2B3DC12F" w14:textId="77777777" w:rsidR="00B43C9F" w:rsidRDefault="00B43C9F" w:rsidP="0061437C">
      <w:pPr>
        <w:tabs>
          <w:tab w:val="left" w:pos="-720"/>
        </w:tabs>
        <w:suppressAutoHyphens/>
        <w:spacing w:line="360" w:lineRule="auto"/>
        <w:rPr>
          <w:rFonts w:ascii="Times New Roman" w:hAnsi="Times New Roman"/>
          <w:sz w:val="26"/>
        </w:rPr>
      </w:pPr>
    </w:p>
    <w:p w14:paraId="1733FC4F" w14:textId="443CDDBE" w:rsidR="00B01381" w:rsidRDefault="00550776" w:rsidP="00B43C9F">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As for the non-CAP portion of the arrearage, or </w:t>
      </w:r>
      <w:r>
        <w:rPr>
          <w:rFonts w:ascii="Times New Roman" w:hAnsi="Times New Roman"/>
          <w:spacing w:val="4"/>
          <w:sz w:val="26"/>
          <w:szCs w:val="24"/>
        </w:rPr>
        <w:t xml:space="preserve">the $5,574.66, </w:t>
      </w:r>
      <w:r w:rsidR="00B01381">
        <w:rPr>
          <w:rFonts w:ascii="Times New Roman" w:hAnsi="Times New Roman"/>
          <w:spacing w:val="4"/>
          <w:sz w:val="26"/>
          <w:szCs w:val="24"/>
        </w:rPr>
        <w:t>t</w:t>
      </w:r>
      <w:r w:rsidR="00B43C9F">
        <w:rPr>
          <w:rFonts w:ascii="Times New Roman" w:hAnsi="Times New Roman"/>
          <w:sz w:val="26"/>
        </w:rPr>
        <w:t>he</w:t>
      </w:r>
      <w:r w:rsidR="00EA40BB">
        <w:rPr>
          <w:rFonts w:ascii="Times New Roman" w:hAnsi="Times New Roman"/>
          <w:sz w:val="26"/>
        </w:rPr>
        <w:t xml:space="preserve"> record shows that</w:t>
      </w:r>
      <w:r w:rsidR="00B43C9F">
        <w:rPr>
          <w:rFonts w:ascii="Times New Roman" w:hAnsi="Times New Roman"/>
          <w:sz w:val="26"/>
        </w:rPr>
        <w:t xml:space="preserve"> Complainant received a Commission-issued payment arrangement in 2005, </w:t>
      </w:r>
      <w:r w:rsidR="00F41C7E">
        <w:rPr>
          <w:rFonts w:ascii="Times New Roman" w:hAnsi="Times New Roman"/>
          <w:sz w:val="26"/>
        </w:rPr>
        <w:t>on which she defaulted</w:t>
      </w:r>
      <w:r w:rsidR="00890BDA">
        <w:rPr>
          <w:rFonts w:ascii="Times New Roman" w:hAnsi="Times New Roman"/>
          <w:sz w:val="26"/>
        </w:rPr>
        <w:t>.</w:t>
      </w:r>
      <w:r w:rsidR="00B43C9F">
        <w:rPr>
          <w:rFonts w:ascii="Times New Roman" w:hAnsi="Times New Roman"/>
          <w:sz w:val="26"/>
        </w:rPr>
        <w:t xml:space="preserve">  Tr. </w:t>
      </w:r>
      <w:r w:rsidR="00EA40BB">
        <w:rPr>
          <w:rFonts w:ascii="Times New Roman" w:hAnsi="Times New Roman"/>
          <w:sz w:val="26"/>
        </w:rPr>
        <w:t xml:space="preserve">at 40. </w:t>
      </w:r>
      <w:r w:rsidR="00F41C7E">
        <w:rPr>
          <w:rFonts w:ascii="Times New Roman" w:hAnsi="Times New Roman"/>
          <w:sz w:val="26"/>
        </w:rPr>
        <w:t xml:space="preserve"> </w:t>
      </w:r>
      <w:r w:rsidR="001C653C">
        <w:rPr>
          <w:rFonts w:ascii="Times New Roman" w:hAnsi="Times New Roman"/>
          <w:sz w:val="26"/>
        </w:rPr>
        <w:t xml:space="preserve">Thus, this is not a case involving the Complainant’s request for a first or initial payment arrangement.  Rather, it is a request by the Complainant for a second or subsequent payment arrangement.  </w:t>
      </w:r>
      <w:r w:rsidR="004A0E34">
        <w:rPr>
          <w:rFonts w:ascii="Times New Roman" w:hAnsi="Times New Roman"/>
          <w:sz w:val="26"/>
        </w:rPr>
        <w:t>As noted, f</w:t>
      </w:r>
      <w:r w:rsidR="004A0E34">
        <w:rPr>
          <w:rFonts w:ascii="Times New Roman" w:hAnsi="Times New Roman"/>
          <w:sz w:val="26"/>
          <w:szCs w:val="26"/>
        </w:rPr>
        <w:t xml:space="preserve">or any </w:t>
      </w:r>
      <w:r w:rsidR="004A0E34">
        <w:rPr>
          <w:rFonts w:ascii="Times New Roman" w:hAnsi="Times New Roman"/>
          <w:sz w:val="26"/>
          <w:szCs w:val="26"/>
        </w:rPr>
        <w:lastRenderedPageBreak/>
        <w:t xml:space="preserve">customer who defaults on a Commission-issued payment arrangement, the customer may receive relief from the Commission if the customer demonstrates a “change in income” or a “significant change in circumstance.” </w:t>
      </w:r>
      <w:r w:rsidR="004A0E34" w:rsidRPr="00F37B7D">
        <w:rPr>
          <w:rFonts w:ascii="Times New Roman" w:hAnsi="Times New Roman"/>
          <w:sz w:val="26"/>
          <w:szCs w:val="26"/>
        </w:rPr>
        <w:t xml:space="preserve"> </w:t>
      </w:r>
      <w:r w:rsidR="004A0E34">
        <w:rPr>
          <w:rFonts w:ascii="Times New Roman" w:hAnsi="Times New Roman"/>
          <w:sz w:val="26"/>
          <w:szCs w:val="26"/>
        </w:rPr>
        <w:t xml:space="preserve">66 Pa. C.S. § 1405(d), (e).  </w:t>
      </w:r>
      <w:r w:rsidR="001C653C">
        <w:rPr>
          <w:rFonts w:ascii="Times New Roman" w:hAnsi="Times New Roman"/>
          <w:sz w:val="26"/>
        </w:rPr>
        <w:t xml:space="preserve">However, </w:t>
      </w:r>
      <w:r w:rsidR="004A0E34">
        <w:rPr>
          <w:rFonts w:ascii="Times New Roman" w:hAnsi="Times New Roman"/>
          <w:sz w:val="26"/>
        </w:rPr>
        <w:t xml:space="preserve">as discussed, </w:t>
      </w:r>
      <w:r w:rsidR="004A0E34" w:rsidRPr="004A0E34">
        <w:rPr>
          <w:rFonts w:ascii="Times New Roman" w:hAnsi="Times New Roman"/>
          <w:i/>
          <w:sz w:val="26"/>
        </w:rPr>
        <w:t>infra</w:t>
      </w:r>
      <w:r w:rsidR="004A0E34" w:rsidRPr="004A0E34">
        <w:rPr>
          <w:rFonts w:ascii="Times New Roman" w:hAnsi="Times New Roman"/>
          <w:sz w:val="26"/>
        </w:rPr>
        <w:t>,</w:t>
      </w:r>
      <w:r w:rsidR="004A0E34">
        <w:rPr>
          <w:rFonts w:ascii="Times New Roman" w:hAnsi="Times New Roman"/>
          <w:i/>
          <w:sz w:val="26"/>
        </w:rPr>
        <w:t xml:space="preserve"> </w:t>
      </w:r>
      <w:r w:rsidR="001C653C" w:rsidRPr="004A0E34">
        <w:rPr>
          <w:rFonts w:ascii="Times New Roman" w:hAnsi="Times New Roman"/>
          <w:sz w:val="26"/>
        </w:rPr>
        <w:t>t</w:t>
      </w:r>
      <w:r w:rsidR="00F41C7E" w:rsidRPr="004A0E34">
        <w:rPr>
          <w:rFonts w:ascii="Times New Roman" w:hAnsi="Times New Roman"/>
          <w:sz w:val="26"/>
        </w:rPr>
        <w:t>he C</w:t>
      </w:r>
      <w:r w:rsidR="00F41C7E">
        <w:rPr>
          <w:rFonts w:ascii="Times New Roman" w:hAnsi="Times New Roman"/>
          <w:sz w:val="26"/>
        </w:rPr>
        <w:t xml:space="preserve">omplainant did not make a showing of either a “change in income” or a “significant change in circumstances” </w:t>
      </w:r>
      <w:r w:rsidR="00473D48">
        <w:rPr>
          <w:rFonts w:ascii="Times New Roman" w:hAnsi="Times New Roman"/>
          <w:sz w:val="26"/>
        </w:rPr>
        <w:t xml:space="preserve">after defaulting on the </w:t>
      </w:r>
      <w:r w:rsidR="00F41C7E">
        <w:rPr>
          <w:rFonts w:ascii="Times New Roman" w:hAnsi="Times New Roman"/>
          <w:sz w:val="26"/>
        </w:rPr>
        <w:t>previously Commission-ordered payment arrangement</w:t>
      </w:r>
      <w:r w:rsidR="00473D48">
        <w:rPr>
          <w:rFonts w:ascii="Times New Roman" w:hAnsi="Times New Roman"/>
          <w:sz w:val="26"/>
        </w:rPr>
        <w:t>.</w:t>
      </w:r>
    </w:p>
    <w:p w14:paraId="0C427DE3" w14:textId="77777777" w:rsidR="00B01381" w:rsidRDefault="00B01381" w:rsidP="00B43C9F">
      <w:pPr>
        <w:tabs>
          <w:tab w:val="left" w:pos="-720"/>
        </w:tabs>
        <w:suppressAutoHyphens/>
        <w:spacing w:line="360" w:lineRule="auto"/>
        <w:ind w:firstLine="1440"/>
        <w:rPr>
          <w:rFonts w:ascii="Times New Roman" w:hAnsi="Times New Roman"/>
          <w:sz w:val="26"/>
        </w:rPr>
      </w:pPr>
    </w:p>
    <w:p w14:paraId="458688F6" w14:textId="71F2D89D" w:rsidR="00B01381" w:rsidRDefault="001916FD" w:rsidP="00E9579E">
      <w:pPr>
        <w:keepNext/>
        <w:keepLines/>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First , </w:t>
      </w:r>
      <w:r w:rsidR="00F41C7E">
        <w:rPr>
          <w:rFonts w:ascii="Times New Roman" w:hAnsi="Times New Roman"/>
          <w:sz w:val="26"/>
        </w:rPr>
        <w:t>t</w:t>
      </w:r>
      <w:r w:rsidR="00B43C9F">
        <w:rPr>
          <w:rFonts w:ascii="Times New Roman" w:hAnsi="Times New Roman"/>
          <w:sz w:val="26"/>
        </w:rPr>
        <w:t xml:space="preserve">he Complainant </w:t>
      </w:r>
      <w:r w:rsidR="00EA40BB">
        <w:rPr>
          <w:rFonts w:ascii="Times New Roman" w:hAnsi="Times New Roman"/>
          <w:sz w:val="26"/>
        </w:rPr>
        <w:t>failed to</w:t>
      </w:r>
      <w:r w:rsidR="00B43C9F">
        <w:rPr>
          <w:rFonts w:ascii="Times New Roman" w:hAnsi="Times New Roman"/>
          <w:sz w:val="26"/>
        </w:rPr>
        <w:t xml:space="preserve"> demonstrate that she experienced a </w:t>
      </w:r>
      <w:r w:rsidR="00EA40BB">
        <w:rPr>
          <w:rFonts w:ascii="Times New Roman" w:hAnsi="Times New Roman"/>
          <w:sz w:val="26"/>
        </w:rPr>
        <w:t>“</w:t>
      </w:r>
      <w:r w:rsidR="00B43C9F">
        <w:rPr>
          <w:rFonts w:ascii="Times New Roman" w:hAnsi="Times New Roman"/>
          <w:sz w:val="26"/>
        </w:rPr>
        <w:t>change in income</w:t>
      </w:r>
      <w:r w:rsidR="00EA40BB">
        <w:rPr>
          <w:rFonts w:ascii="Times New Roman" w:hAnsi="Times New Roman"/>
          <w:sz w:val="26"/>
        </w:rPr>
        <w:t xml:space="preserve">” since 2005.  Tr. at 41-42.  </w:t>
      </w:r>
      <w:r w:rsidR="00B01381">
        <w:rPr>
          <w:rFonts w:ascii="Times New Roman" w:hAnsi="Times New Roman"/>
          <w:sz w:val="26"/>
        </w:rPr>
        <w:t>Rather</w:t>
      </w:r>
      <w:r w:rsidR="00EA40BB">
        <w:rPr>
          <w:rFonts w:ascii="Times New Roman" w:hAnsi="Times New Roman"/>
          <w:sz w:val="26"/>
        </w:rPr>
        <w:t xml:space="preserve">, the record </w:t>
      </w:r>
      <w:r w:rsidR="00B01381">
        <w:rPr>
          <w:rFonts w:ascii="Times New Roman" w:hAnsi="Times New Roman"/>
          <w:sz w:val="26"/>
        </w:rPr>
        <w:t>indicates</w:t>
      </w:r>
      <w:r w:rsidR="00EA40BB">
        <w:rPr>
          <w:rFonts w:ascii="Times New Roman" w:hAnsi="Times New Roman"/>
          <w:sz w:val="26"/>
        </w:rPr>
        <w:t xml:space="preserve"> that her</w:t>
      </w:r>
      <w:r w:rsidR="0017122B">
        <w:rPr>
          <w:rFonts w:ascii="Times New Roman" w:hAnsi="Times New Roman"/>
          <w:sz w:val="26"/>
        </w:rPr>
        <w:t xml:space="preserve"> income increased.  </w:t>
      </w:r>
      <w:r w:rsidR="00683051">
        <w:rPr>
          <w:rFonts w:ascii="Times New Roman" w:hAnsi="Times New Roman"/>
          <w:sz w:val="26"/>
        </w:rPr>
        <w:t xml:space="preserve">In this regard, </w:t>
      </w:r>
      <w:r w:rsidR="00B01381">
        <w:rPr>
          <w:rFonts w:ascii="Times New Roman" w:hAnsi="Times New Roman"/>
          <w:sz w:val="26"/>
        </w:rPr>
        <w:t>the record shows that i</w:t>
      </w:r>
      <w:r w:rsidR="0017122B">
        <w:rPr>
          <w:rFonts w:ascii="Times New Roman" w:hAnsi="Times New Roman"/>
          <w:sz w:val="26"/>
        </w:rPr>
        <w:t xml:space="preserve">n 2005, the Complainant estimated her income to be approximately </w:t>
      </w:r>
      <w:r w:rsidR="00EA40BB">
        <w:rPr>
          <w:rFonts w:ascii="Times New Roman" w:hAnsi="Times New Roman"/>
          <w:sz w:val="26"/>
        </w:rPr>
        <w:t>$</w:t>
      </w:r>
      <w:r w:rsidR="0017122B">
        <w:rPr>
          <w:rFonts w:ascii="Times New Roman" w:hAnsi="Times New Roman"/>
          <w:sz w:val="26"/>
        </w:rPr>
        <w:t xml:space="preserve">371 biweekly, or $742 monthly, from the Department of Human Services.  Tr. at 41.  She testified that her income at the time of the hearing consists of $102.50 biweekly from the Department of Human Services and $755 per month in her son’s Supplement Security Income, for a total of $960 per month.  Tr. at 18; Findings of Fact Nos. 4-5. </w:t>
      </w:r>
      <w:r w:rsidR="00EA40BB">
        <w:rPr>
          <w:rFonts w:ascii="Times New Roman" w:hAnsi="Times New Roman"/>
          <w:sz w:val="26"/>
        </w:rPr>
        <w:t xml:space="preserve"> Accordingly, </w:t>
      </w:r>
      <w:r w:rsidR="00F41C7E">
        <w:rPr>
          <w:rFonts w:ascii="Times New Roman" w:hAnsi="Times New Roman"/>
          <w:sz w:val="26"/>
        </w:rPr>
        <w:t xml:space="preserve">because the </w:t>
      </w:r>
      <w:r w:rsidR="00B01381">
        <w:rPr>
          <w:rFonts w:ascii="Times New Roman" w:hAnsi="Times New Roman"/>
          <w:sz w:val="26"/>
        </w:rPr>
        <w:t>Complainant</w:t>
      </w:r>
      <w:r w:rsidR="00F41C7E">
        <w:rPr>
          <w:rFonts w:ascii="Times New Roman" w:hAnsi="Times New Roman"/>
          <w:sz w:val="26"/>
        </w:rPr>
        <w:t xml:space="preserve"> showed an increase</w:t>
      </w:r>
      <w:r w:rsidR="00F446F6">
        <w:rPr>
          <w:rFonts w:ascii="Times New Roman" w:hAnsi="Times New Roman"/>
          <w:sz w:val="26"/>
        </w:rPr>
        <w:t>, rather than a decrease,</w:t>
      </w:r>
      <w:r w:rsidR="00F41C7E">
        <w:rPr>
          <w:rFonts w:ascii="Times New Roman" w:hAnsi="Times New Roman"/>
          <w:sz w:val="26"/>
        </w:rPr>
        <w:t xml:space="preserve"> in income, she</w:t>
      </w:r>
      <w:r w:rsidR="00B01381">
        <w:rPr>
          <w:rFonts w:ascii="Times New Roman" w:hAnsi="Times New Roman"/>
          <w:sz w:val="26"/>
        </w:rPr>
        <w:t xml:space="preserve"> </w:t>
      </w:r>
      <w:r w:rsidR="00F41C7E">
        <w:rPr>
          <w:rFonts w:ascii="Times New Roman" w:hAnsi="Times New Roman"/>
          <w:sz w:val="26"/>
        </w:rPr>
        <w:t>ha</w:t>
      </w:r>
      <w:r w:rsidR="000B047A">
        <w:rPr>
          <w:rFonts w:ascii="Times New Roman" w:hAnsi="Times New Roman"/>
          <w:sz w:val="26"/>
        </w:rPr>
        <w:t xml:space="preserve">s not established the statutory </w:t>
      </w:r>
      <w:r w:rsidR="00210422">
        <w:rPr>
          <w:rFonts w:ascii="Times New Roman" w:hAnsi="Times New Roman"/>
          <w:sz w:val="26"/>
        </w:rPr>
        <w:t xml:space="preserve">requirement or threshold </w:t>
      </w:r>
      <w:r w:rsidR="000B047A">
        <w:rPr>
          <w:rFonts w:ascii="Times New Roman" w:hAnsi="Times New Roman"/>
          <w:sz w:val="26"/>
        </w:rPr>
        <w:t>to warrant relief.  66 Pa. C.S. § 1405(d).  Indeed, due to this failure, it is unnecessary</w:t>
      </w:r>
      <w:r w:rsidR="00834445">
        <w:rPr>
          <w:rFonts w:ascii="Times New Roman" w:hAnsi="Times New Roman"/>
          <w:sz w:val="26"/>
        </w:rPr>
        <w:t xml:space="preserve">, and thus we shall refrain from, </w:t>
      </w:r>
      <w:r w:rsidR="00FA1A9C">
        <w:rPr>
          <w:rFonts w:ascii="Times New Roman" w:hAnsi="Times New Roman"/>
          <w:sz w:val="26"/>
        </w:rPr>
        <w:t>address</w:t>
      </w:r>
      <w:r w:rsidR="00834445">
        <w:rPr>
          <w:rFonts w:ascii="Times New Roman" w:hAnsi="Times New Roman"/>
          <w:sz w:val="26"/>
        </w:rPr>
        <w:t>ing</w:t>
      </w:r>
      <w:r w:rsidR="00FA1A9C">
        <w:rPr>
          <w:rFonts w:ascii="Times New Roman" w:hAnsi="Times New Roman"/>
          <w:sz w:val="26"/>
        </w:rPr>
        <w:t xml:space="preserve"> </w:t>
      </w:r>
      <w:r w:rsidR="00F41C7E">
        <w:rPr>
          <w:rFonts w:ascii="Times New Roman" w:hAnsi="Times New Roman"/>
          <w:sz w:val="26"/>
        </w:rPr>
        <w:t xml:space="preserve">the second step of </w:t>
      </w:r>
      <w:r w:rsidR="00D253B3">
        <w:rPr>
          <w:rFonts w:ascii="Times New Roman" w:hAnsi="Times New Roman"/>
          <w:sz w:val="26"/>
        </w:rPr>
        <w:t xml:space="preserve">our </w:t>
      </w:r>
      <w:r w:rsidR="00781156">
        <w:rPr>
          <w:rFonts w:ascii="Times New Roman" w:hAnsi="Times New Roman"/>
          <w:sz w:val="26"/>
        </w:rPr>
        <w:t>analysis</w:t>
      </w:r>
      <w:r w:rsidR="00FA1A9C">
        <w:rPr>
          <w:rFonts w:ascii="Times New Roman" w:hAnsi="Times New Roman"/>
          <w:sz w:val="26"/>
        </w:rPr>
        <w:t xml:space="preserve"> that would </w:t>
      </w:r>
      <w:r w:rsidR="00781156">
        <w:rPr>
          <w:rFonts w:ascii="Times New Roman" w:hAnsi="Times New Roman"/>
          <w:sz w:val="26"/>
        </w:rPr>
        <w:t>determine whether granting a</w:t>
      </w:r>
      <w:r w:rsidR="00B01381">
        <w:rPr>
          <w:rFonts w:ascii="Times New Roman" w:hAnsi="Times New Roman"/>
          <w:sz w:val="26"/>
        </w:rPr>
        <w:t xml:space="preserve"> second payment arrangement</w:t>
      </w:r>
      <w:r w:rsidR="00F41C7E">
        <w:rPr>
          <w:rFonts w:ascii="Times New Roman" w:hAnsi="Times New Roman"/>
          <w:sz w:val="26"/>
        </w:rPr>
        <w:t xml:space="preserve"> </w:t>
      </w:r>
      <w:r w:rsidR="000B047A">
        <w:rPr>
          <w:rFonts w:ascii="Times New Roman" w:hAnsi="Times New Roman"/>
          <w:sz w:val="26"/>
        </w:rPr>
        <w:t xml:space="preserve">to the Complainant </w:t>
      </w:r>
      <w:r w:rsidR="00F41C7E">
        <w:rPr>
          <w:rFonts w:ascii="Times New Roman" w:hAnsi="Times New Roman"/>
          <w:sz w:val="26"/>
        </w:rPr>
        <w:t xml:space="preserve">is a prudent exercise of our discretion </w:t>
      </w:r>
      <w:r w:rsidR="00781156">
        <w:rPr>
          <w:rFonts w:ascii="Times New Roman" w:hAnsi="Times New Roman"/>
          <w:sz w:val="26"/>
        </w:rPr>
        <w:t>under</w:t>
      </w:r>
      <w:r w:rsidR="00D253B3">
        <w:rPr>
          <w:rFonts w:ascii="Times New Roman" w:hAnsi="Times New Roman"/>
          <w:sz w:val="26"/>
        </w:rPr>
        <w:t xml:space="preserve"> the</w:t>
      </w:r>
      <w:r w:rsidR="00F41C7E">
        <w:rPr>
          <w:rFonts w:ascii="Times New Roman" w:hAnsi="Times New Roman"/>
          <w:sz w:val="26"/>
        </w:rPr>
        <w:t xml:space="preserve"> circumstances</w:t>
      </w:r>
      <w:r w:rsidR="00FA1A9C">
        <w:rPr>
          <w:rFonts w:ascii="Times New Roman" w:hAnsi="Times New Roman"/>
          <w:sz w:val="26"/>
        </w:rPr>
        <w:t xml:space="preserve"> of the case</w:t>
      </w:r>
      <w:r w:rsidR="00F41C7E">
        <w:rPr>
          <w:rFonts w:ascii="Times New Roman" w:hAnsi="Times New Roman"/>
          <w:sz w:val="26"/>
        </w:rPr>
        <w:t xml:space="preserve">. </w:t>
      </w:r>
      <w:r w:rsidR="00D253B3">
        <w:rPr>
          <w:rFonts w:ascii="Times New Roman" w:hAnsi="Times New Roman"/>
          <w:sz w:val="26"/>
        </w:rPr>
        <w:t xml:space="preserve"> </w:t>
      </w:r>
    </w:p>
    <w:p w14:paraId="0F58B3A6" w14:textId="77777777" w:rsidR="00B01381" w:rsidRDefault="00B01381" w:rsidP="00B43C9F">
      <w:pPr>
        <w:tabs>
          <w:tab w:val="left" w:pos="-720"/>
        </w:tabs>
        <w:suppressAutoHyphens/>
        <w:spacing w:line="360" w:lineRule="auto"/>
        <w:ind w:firstLine="1440"/>
        <w:rPr>
          <w:rFonts w:ascii="Times New Roman" w:hAnsi="Times New Roman"/>
          <w:sz w:val="26"/>
        </w:rPr>
      </w:pPr>
    </w:p>
    <w:p w14:paraId="218744BE" w14:textId="3AA3DCDC" w:rsidR="00793B45" w:rsidRDefault="000B047A" w:rsidP="00B43C9F">
      <w:pPr>
        <w:tabs>
          <w:tab w:val="left" w:pos="-720"/>
        </w:tabs>
        <w:suppressAutoHyphens/>
        <w:spacing w:line="360" w:lineRule="auto"/>
        <w:ind w:firstLine="1440"/>
        <w:rPr>
          <w:rFonts w:ascii="Times New Roman" w:hAnsi="Times New Roman"/>
          <w:sz w:val="26"/>
        </w:rPr>
      </w:pPr>
      <w:r>
        <w:rPr>
          <w:rFonts w:ascii="Times New Roman" w:hAnsi="Times New Roman"/>
          <w:sz w:val="26"/>
        </w:rPr>
        <w:t>S</w:t>
      </w:r>
      <w:r w:rsidR="00834445">
        <w:rPr>
          <w:rFonts w:ascii="Times New Roman" w:hAnsi="Times New Roman"/>
          <w:sz w:val="26"/>
        </w:rPr>
        <w:t xml:space="preserve">econd, </w:t>
      </w:r>
      <w:r w:rsidR="00EA40BB">
        <w:rPr>
          <w:rFonts w:ascii="Times New Roman" w:hAnsi="Times New Roman"/>
          <w:sz w:val="26"/>
        </w:rPr>
        <w:t xml:space="preserve">the Complainant </w:t>
      </w:r>
      <w:r w:rsidR="00834445">
        <w:rPr>
          <w:rFonts w:ascii="Times New Roman" w:hAnsi="Times New Roman"/>
          <w:sz w:val="26"/>
        </w:rPr>
        <w:t xml:space="preserve">similarly </w:t>
      </w:r>
      <w:r w:rsidR="00EA40BB">
        <w:rPr>
          <w:rFonts w:ascii="Times New Roman" w:hAnsi="Times New Roman"/>
          <w:sz w:val="26"/>
        </w:rPr>
        <w:t xml:space="preserve">failed to </w:t>
      </w:r>
      <w:r w:rsidR="00B43C9F">
        <w:rPr>
          <w:rFonts w:ascii="Times New Roman" w:hAnsi="Times New Roman"/>
          <w:sz w:val="26"/>
        </w:rPr>
        <w:t>demonstrate</w:t>
      </w:r>
      <w:r w:rsidR="00EA40BB">
        <w:rPr>
          <w:rFonts w:ascii="Times New Roman" w:hAnsi="Times New Roman"/>
          <w:sz w:val="26"/>
        </w:rPr>
        <w:t xml:space="preserve"> </w:t>
      </w:r>
      <w:r w:rsidR="00B01381">
        <w:rPr>
          <w:rFonts w:ascii="Times New Roman" w:hAnsi="Times New Roman"/>
          <w:sz w:val="26"/>
        </w:rPr>
        <w:t xml:space="preserve">that she defaulted </w:t>
      </w:r>
      <w:r w:rsidR="00EA40BB">
        <w:rPr>
          <w:rFonts w:ascii="Times New Roman" w:hAnsi="Times New Roman"/>
          <w:sz w:val="26"/>
        </w:rPr>
        <w:t xml:space="preserve">on her 2005 </w:t>
      </w:r>
      <w:r w:rsidR="00B01381">
        <w:rPr>
          <w:rFonts w:ascii="Times New Roman" w:hAnsi="Times New Roman"/>
          <w:sz w:val="26"/>
        </w:rPr>
        <w:t xml:space="preserve">Commission-issued </w:t>
      </w:r>
      <w:r w:rsidR="00EA40BB">
        <w:rPr>
          <w:rFonts w:ascii="Times New Roman" w:hAnsi="Times New Roman"/>
          <w:sz w:val="26"/>
        </w:rPr>
        <w:t xml:space="preserve">payment arrangement </w:t>
      </w:r>
      <w:r w:rsidR="00B01381">
        <w:rPr>
          <w:rFonts w:ascii="Times New Roman" w:hAnsi="Times New Roman"/>
          <w:sz w:val="26"/>
        </w:rPr>
        <w:t xml:space="preserve">“as a </w:t>
      </w:r>
      <w:r w:rsidR="00EA40BB">
        <w:rPr>
          <w:rFonts w:ascii="Times New Roman" w:hAnsi="Times New Roman"/>
          <w:sz w:val="26"/>
        </w:rPr>
        <w:t xml:space="preserve">result of a significant change in circumstances.”  </w:t>
      </w:r>
      <w:r w:rsidR="00B01381">
        <w:rPr>
          <w:rFonts w:ascii="Times New Roman" w:hAnsi="Times New Roman"/>
          <w:sz w:val="26"/>
        </w:rPr>
        <w:t xml:space="preserve">66 Pa. C.S. 1405(e).  </w:t>
      </w:r>
      <w:r w:rsidR="0017122B">
        <w:rPr>
          <w:rFonts w:ascii="Times New Roman" w:hAnsi="Times New Roman"/>
          <w:sz w:val="26"/>
        </w:rPr>
        <w:t>Thus,</w:t>
      </w:r>
      <w:r w:rsidR="00EA40BB">
        <w:rPr>
          <w:rFonts w:ascii="Times New Roman" w:hAnsi="Times New Roman"/>
          <w:sz w:val="26"/>
        </w:rPr>
        <w:t xml:space="preserve"> </w:t>
      </w:r>
      <w:r w:rsidR="00834445">
        <w:rPr>
          <w:rFonts w:ascii="Times New Roman" w:hAnsi="Times New Roman"/>
          <w:sz w:val="26"/>
        </w:rPr>
        <w:t xml:space="preserve">we find that </w:t>
      </w:r>
      <w:r w:rsidR="00EA40BB">
        <w:rPr>
          <w:rFonts w:ascii="Times New Roman" w:hAnsi="Times New Roman"/>
          <w:sz w:val="26"/>
        </w:rPr>
        <w:t>there is no record evidence to support a reinstatement of her 2005 payment arrangement.</w:t>
      </w:r>
    </w:p>
    <w:p w14:paraId="5D64F939" w14:textId="77777777" w:rsidR="00E9479D" w:rsidRDefault="00E9479D" w:rsidP="0061437C">
      <w:pPr>
        <w:tabs>
          <w:tab w:val="left" w:pos="-720"/>
        </w:tabs>
        <w:suppressAutoHyphens/>
        <w:spacing w:line="360" w:lineRule="auto"/>
        <w:rPr>
          <w:rFonts w:ascii="Times New Roman" w:hAnsi="Times New Roman"/>
          <w:sz w:val="26"/>
        </w:rPr>
      </w:pPr>
    </w:p>
    <w:p w14:paraId="42690103" w14:textId="74C6204F" w:rsidR="008B287D" w:rsidRDefault="00793B45"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B01381">
        <w:rPr>
          <w:rFonts w:ascii="Times New Roman" w:hAnsi="Times New Roman"/>
          <w:sz w:val="26"/>
        </w:rPr>
        <w:t>Based on the foregoing</w:t>
      </w:r>
      <w:r w:rsidR="008B287D">
        <w:rPr>
          <w:rFonts w:ascii="Times New Roman" w:hAnsi="Times New Roman"/>
          <w:sz w:val="26"/>
        </w:rPr>
        <w:t xml:space="preserve">, we </w:t>
      </w:r>
      <w:r w:rsidR="00834445">
        <w:rPr>
          <w:rFonts w:ascii="Times New Roman" w:hAnsi="Times New Roman"/>
          <w:sz w:val="26"/>
        </w:rPr>
        <w:t>shall d</w:t>
      </w:r>
      <w:r w:rsidR="00B01381">
        <w:rPr>
          <w:rFonts w:ascii="Times New Roman" w:hAnsi="Times New Roman"/>
          <w:sz w:val="26"/>
        </w:rPr>
        <w:t xml:space="preserve">eny the Complainant’s Exceptions, </w:t>
      </w:r>
      <w:r w:rsidR="0017122B">
        <w:rPr>
          <w:rFonts w:ascii="Times New Roman" w:hAnsi="Times New Roman"/>
          <w:sz w:val="26"/>
        </w:rPr>
        <w:t>affirm the ALJ’s Initial Decision and</w:t>
      </w:r>
      <w:r w:rsidR="008B287D">
        <w:rPr>
          <w:rFonts w:ascii="Times New Roman" w:hAnsi="Times New Roman"/>
          <w:sz w:val="26"/>
        </w:rPr>
        <w:t xml:space="preserve"> dismiss the Complaint</w:t>
      </w:r>
      <w:r w:rsidR="003105EC">
        <w:rPr>
          <w:rFonts w:ascii="Times New Roman" w:hAnsi="Times New Roman"/>
          <w:sz w:val="26"/>
        </w:rPr>
        <w:t xml:space="preserve">, </w:t>
      </w:r>
      <w:r w:rsidR="003105EC" w:rsidRPr="003105EC">
        <w:rPr>
          <w:rFonts w:ascii="Times New Roman" w:hAnsi="Times New Roman"/>
          <w:i/>
          <w:sz w:val="26"/>
        </w:rPr>
        <w:t>with prejudice</w:t>
      </w:r>
      <w:r w:rsidR="008B287D">
        <w:rPr>
          <w:rFonts w:ascii="Times New Roman" w:hAnsi="Times New Roman"/>
          <w:sz w:val="26"/>
        </w:rPr>
        <w:t xml:space="preserve">.  </w:t>
      </w:r>
      <w:r w:rsidR="004925CD">
        <w:rPr>
          <w:rFonts w:ascii="Times New Roman" w:hAnsi="Times New Roman"/>
          <w:sz w:val="26"/>
        </w:rPr>
        <w:t xml:space="preserve">As stated </w:t>
      </w:r>
      <w:r w:rsidR="004925CD">
        <w:rPr>
          <w:rFonts w:ascii="Times New Roman" w:hAnsi="Times New Roman"/>
          <w:sz w:val="26"/>
        </w:rPr>
        <w:lastRenderedPageBreak/>
        <w:t>above in this Order, a</w:t>
      </w:r>
      <w:r w:rsidR="003105EC" w:rsidRPr="003105EC">
        <w:rPr>
          <w:rFonts w:ascii="Times New Roman" w:hAnsi="Times New Roman"/>
          <w:sz w:val="26"/>
          <w:szCs w:val="26"/>
        </w:rPr>
        <w:t xml:space="preserve"> dismissal </w:t>
      </w:r>
      <w:r w:rsidR="003105EC" w:rsidRPr="003105EC">
        <w:rPr>
          <w:rFonts w:ascii="Times New Roman" w:hAnsi="Times New Roman"/>
          <w:i/>
          <w:sz w:val="26"/>
          <w:szCs w:val="26"/>
        </w:rPr>
        <w:t>with prejudice</w:t>
      </w:r>
      <w:r w:rsidR="003105EC" w:rsidRPr="003105EC">
        <w:rPr>
          <w:rFonts w:ascii="Times New Roman" w:hAnsi="Times New Roman"/>
          <w:sz w:val="26"/>
          <w:szCs w:val="26"/>
        </w:rPr>
        <w:t xml:space="preserve"> means that the Complainant is barred from filing another complaint with the Commission raising the same issues or claims as raised in the dismissed complaint.</w:t>
      </w:r>
      <w:r w:rsidR="008B287D">
        <w:rPr>
          <w:rFonts w:ascii="Times New Roman" w:hAnsi="Times New Roman"/>
          <w:sz w:val="26"/>
        </w:rPr>
        <w:t xml:space="preserve"> </w:t>
      </w:r>
    </w:p>
    <w:p w14:paraId="53700AA1" w14:textId="177E315C" w:rsidR="005F4E90" w:rsidRPr="005F4E90" w:rsidRDefault="005F4E90" w:rsidP="004925CD">
      <w:pPr>
        <w:tabs>
          <w:tab w:val="left" w:pos="-720"/>
        </w:tabs>
        <w:suppressAutoHyphens/>
        <w:spacing w:line="360" w:lineRule="auto"/>
        <w:rPr>
          <w:rFonts w:ascii="Times New Roman" w:hAnsi="Times New Roman"/>
          <w:sz w:val="26"/>
          <w:szCs w:val="26"/>
        </w:rPr>
      </w:pPr>
    </w:p>
    <w:p w14:paraId="0C54A7B8" w14:textId="77777777" w:rsidR="00DF212A" w:rsidRPr="00D07633" w:rsidRDefault="001B3D85" w:rsidP="00427981">
      <w:pPr>
        <w:keepNext/>
        <w:keepLines/>
        <w:tabs>
          <w:tab w:val="left" w:pos="792"/>
        </w:tabs>
        <w:spacing w:line="360" w:lineRule="auto"/>
        <w:jc w:val="center"/>
        <w:rPr>
          <w:rFonts w:ascii="Times New Roman Bold" w:hAnsi="Times New Roman Bold"/>
          <w:b/>
          <w:sz w:val="26"/>
        </w:rPr>
      </w:pPr>
      <w:r w:rsidRPr="004925CD">
        <w:rPr>
          <w:rFonts w:ascii="Times New Roman" w:hAnsi="Times New Roman"/>
          <w:b/>
          <w:sz w:val="26"/>
        </w:rPr>
        <w:t>C</w:t>
      </w:r>
      <w:r w:rsidR="006F5428" w:rsidRPr="00D07633">
        <w:rPr>
          <w:rFonts w:ascii="Times New Roman Bold" w:hAnsi="Times New Roman Bold"/>
          <w:b/>
          <w:sz w:val="26"/>
        </w:rPr>
        <w:t>onclusion</w:t>
      </w:r>
    </w:p>
    <w:p w14:paraId="26B30088" w14:textId="77777777" w:rsidR="00DF212A" w:rsidRDefault="00DF212A" w:rsidP="00427981">
      <w:pPr>
        <w:keepNext/>
        <w:keepLines/>
        <w:tabs>
          <w:tab w:val="left" w:pos="-720"/>
        </w:tabs>
        <w:suppressAutoHyphens/>
        <w:spacing w:line="360" w:lineRule="auto"/>
        <w:rPr>
          <w:rFonts w:ascii="Times New Roman" w:hAnsi="Times New Roman"/>
          <w:sz w:val="26"/>
        </w:rPr>
      </w:pPr>
    </w:p>
    <w:p w14:paraId="3C282E35" w14:textId="47731C8B" w:rsidR="00F00C82" w:rsidRPr="00F00C82" w:rsidRDefault="00433DD9"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xml:space="preserve">, and the applicable law, we </w:t>
      </w:r>
      <w:r w:rsidR="00E16903">
        <w:rPr>
          <w:rFonts w:ascii="Times New Roman" w:hAnsi="Times New Roman"/>
          <w:sz w:val="26"/>
        </w:rPr>
        <w:t xml:space="preserve">shall </w:t>
      </w:r>
      <w:r w:rsidR="0017122B">
        <w:rPr>
          <w:rFonts w:ascii="Times New Roman" w:hAnsi="Times New Roman"/>
          <w:sz w:val="26"/>
        </w:rPr>
        <w:t xml:space="preserve">affirm </w:t>
      </w:r>
      <w:r>
        <w:rPr>
          <w:rFonts w:ascii="Times New Roman" w:hAnsi="Times New Roman"/>
          <w:sz w:val="26"/>
        </w:rPr>
        <w:t>the ALJ’s Initial Decision</w:t>
      </w:r>
      <w:r w:rsidR="0017122B">
        <w:rPr>
          <w:rFonts w:ascii="Times New Roman" w:hAnsi="Times New Roman"/>
          <w:sz w:val="26"/>
        </w:rPr>
        <w:t xml:space="preserve">, deny the Complainant’s Exceptions and dismiss the Complaint, </w:t>
      </w:r>
      <w:r w:rsidR="0017122B" w:rsidRPr="0017122B">
        <w:rPr>
          <w:rFonts w:ascii="Times New Roman" w:hAnsi="Times New Roman"/>
          <w:i/>
          <w:sz w:val="26"/>
        </w:rPr>
        <w:t>with prejudice</w:t>
      </w:r>
      <w:r w:rsidR="0017122B">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14:paraId="6C81880F" w14:textId="77777777" w:rsidR="00F00C82" w:rsidRPr="00F00C82" w:rsidRDefault="00F00C82" w:rsidP="0061437C">
      <w:pPr>
        <w:tabs>
          <w:tab w:val="left" w:pos="-720"/>
        </w:tabs>
        <w:suppressAutoHyphens/>
        <w:spacing w:line="360" w:lineRule="auto"/>
        <w:rPr>
          <w:rFonts w:ascii="Times New Roman" w:hAnsi="Times New Roman"/>
          <w:sz w:val="26"/>
        </w:rPr>
      </w:pPr>
    </w:p>
    <w:p w14:paraId="404D9B5D" w14:textId="77777777" w:rsidR="00F00C82" w:rsidRPr="00F00C82" w:rsidRDefault="00F00C82" w:rsidP="0061437C">
      <w:pPr>
        <w:keepNext/>
        <w:keepLines/>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14:paraId="7C4E189F" w14:textId="77777777" w:rsidR="00F00C82" w:rsidRPr="00F00C82" w:rsidRDefault="00F00C82" w:rsidP="0061437C">
      <w:pPr>
        <w:keepNext/>
        <w:keepLines/>
        <w:tabs>
          <w:tab w:val="left" w:pos="-720"/>
        </w:tabs>
        <w:suppressAutoHyphens/>
        <w:spacing w:line="360" w:lineRule="auto"/>
        <w:rPr>
          <w:rFonts w:ascii="Times New Roman" w:hAnsi="Times New Roman"/>
          <w:sz w:val="26"/>
        </w:rPr>
      </w:pPr>
    </w:p>
    <w:p w14:paraId="5B1383CC" w14:textId="77777777" w:rsidR="00A76804" w:rsidRDefault="00F00C82" w:rsidP="0061437C">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filed by </w:t>
      </w:r>
      <w:r w:rsidR="0078189C">
        <w:rPr>
          <w:rFonts w:ascii="Times New Roman" w:hAnsi="Times New Roman"/>
          <w:sz w:val="26"/>
        </w:rPr>
        <w:t>Stephanie Maxwell</w:t>
      </w:r>
      <w:r w:rsidR="009C6BD1">
        <w:rPr>
          <w:rFonts w:ascii="Times New Roman" w:hAnsi="Times New Roman"/>
          <w:sz w:val="26"/>
        </w:rPr>
        <w:t xml:space="preserve"> on </w:t>
      </w:r>
      <w:r w:rsidR="0078189C">
        <w:rPr>
          <w:rFonts w:ascii="Times New Roman" w:hAnsi="Times New Roman"/>
          <w:sz w:val="26"/>
        </w:rPr>
        <w:t>February 9</w:t>
      </w:r>
      <w:r w:rsidR="00433841">
        <w:rPr>
          <w:rFonts w:ascii="Times New Roman" w:hAnsi="Times New Roman"/>
          <w:sz w:val="26"/>
        </w:rPr>
        <w:t>, 201</w:t>
      </w:r>
      <w:r w:rsidR="0078189C">
        <w:rPr>
          <w:rFonts w:ascii="Times New Roman" w:hAnsi="Times New Roman"/>
          <w:sz w:val="26"/>
        </w:rPr>
        <w:t>8</w:t>
      </w:r>
      <w:r w:rsidR="00433841">
        <w:rPr>
          <w:rFonts w:ascii="Times New Roman" w:hAnsi="Times New Roman"/>
          <w:sz w:val="26"/>
        </w:rPr>
        <w:t xml:space="preserve">, </w:t>
      </w:r>
      <w:r w:rsidR="009C6BD1">
        <w:rPr>
          <w:rFonts w:ascii="Times New Roman" w:hAnsi="Times New Roman"/>
          <w:sz w:val="26"/>
        </w:rPr>
        <w:t>are denied.</w:t>
      </w:r>
    </w:p>
    <w:p w14:paraId="16B402A7" w14:textId="77777777" w:rsidR="009C6BD1" w:rsidRDefault="009C6BD1" w:rsidP="0061437C">
      <w:pPr>
        <w:tabs>
          <w:tab w:val="left" w:pos="-720"/>
        </w:tabs>
        <w:suppressAutoHyphens/>
        <w:spacing w:line="360" w:lineRule="auto"/>
        <w:ind w:firstLine="1440"/>
        <w:rPr>
          <w:rFonts w:ascii="Times New Roman" w:hAnsi="Times New Roman"/>
          <w:sz w:val="26"/>
        </w:rPr>
      </w:pPr>
    </w:p>
    <w:p w14:paraId="12D67678" w14:textId="6FB56139" w:rsidR="003842A9" w:rsidRDefault="009C6BD1"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Pr>
          <w:rFonts w:ascii="Times New Roman" w:hAnsi="Times New Roman"/>
          <w:sz w:val="26"/>
        </w:rPr>
        <w:tab/>
        <w:t xml:space="preserve">That the Initial Decision of Administrative Law Judge </w:t>
      </w:r>
      <w:r w:rsidR="00B2506C">
        <w:rPr>
          <w:rFonts w:ascii="Times New Roman" w:hAnsi="Times New Roman"/>
          <w:sz w:val="26"/>
        </w:rPr>
        <w:t>Eranda Vero</w:t>
      </w:r>
      <w:r>
        <w:rPr>
          <w:rFonts w:ascii="Times New Roman" w:hAnsi="Times New Roman"/>
          <w:sz w:val="26"/>
        </w:rPr>
        <w:t xml:space="preserve">, issued on </w:t>
      </w:r>
      <w:r w:rsidR="00B2506C">
        <w:rPr>
          <w:rFonts w:ascii="Times New Roman" w:hAnsi="Times New Roman"/>
          <w:sz w:val="26"/>
        </w:rPr>
        <w:t>January 30, 2018</w:t>
      </w:r>
      <w:r w:rsidR="00433841">
        <w:rPr>
          <w:rFonts w:ascii="Times New Roman" w:hAnsi="Times New Roman"/>
          <w:sz w:val="26"/>
        </w:rPr>
        <w:t>,</w:t>
      </w:r>
      <w:r>
        <w:rPr>
          <w:rFonts w:ascii="Times New Roman" w:hAnsi="Times New Roman"/>
          <w:sz w:val="26"/>
        </w:rPr>
        <w:t xml:space="preserve"> is adopted</w:t>
      </w:r>
      <w:r w:rsidR="001B3D85">
        <w:rPr>
          <w:rFonts w:ascii="Times New Roman" w:hAnsi="Times New Roman"/>
          <w:sz w:val="26"/>
        </w:rPr>
        <w:t>.</w:t>
      </w:r>
    </w:p>
    <w:p w14:paraId="488B9D1B" w14:textId="77777777" w:rsidR="0048592A" w:rsidRDefault="0048592A" w:rsidP="0061437C">
      <w:pPr>
        <w:tabs>
          <w:tab w:val="left" w:pos="-720"/>
        </w:tabs>
        <w:suppressAutoHyphens/>
        <w:spacing w:line="360" w:lineRule="auto"/>
        <w:ind w:firstLine="1440"/>
        <w:rPr>
          <w:rFonts w:ascii="Times New Roman" w:hAnsi="Times New Roman"/>
          <w:sz w:val="26"/>
        </w:rPr>
      </w:pPr>
    </w:p>
    <w:p w14:paraId="2F16E189" w14:textId="14A17A28" w:rsidR="0048592A" w:rsidRDefault="0048592A"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Pr>
          <w:rFonts w:ascii="Times New Roman" w:hAnsi="Times New Roman"/>
          <w:sz w:val="26"/>
        </w:rPr>
        <w:tab/>
        <w:t xml:space="preserve">That the Formal Complaint filed by </w:t>
      </w:r>
      <w:r w:rsidR="00B2506C">
        <w:rPr>
          <w:rFonts w:ascii="Times New Roman" w:hAnsi="Times New Roman"/>
          <w:sz w:val="26"/>
        </w:rPr>
        <w:t xml:space="preserve">Stephanie Maxwell </w:t>
      </w:r>
      <w:r>
        <w:rPr>
          <w:rFonts w:ascii="Times New Roman" w:hAnsi="Times New Roman"/>
          <w:sz w:val="26"/>
        </w:rPr>
        <w:t xml:space="preserve">against </w:t>
      </w:r>
      <w:r w:rsidR="00B2506C">
        <w:rPr>
          <w:rFonts w:ascii="Times New Roman" w:hAnsi="Times New Roman"/>
          <w:sz w:val="26"/>
        </w:rPr>
        <w:t xml:space="preserve">Philadelphia Gas Works </w:t>
      </w:r>
      <w:r w:rsidR="003105EC">
        <w:rPr>
          <w:rFonts w:ascii="Times New Roman" w:hAnsi="Times New Roman"/>
          <w:sz w:val="26"/>
        </w:rPr>
        <w:t xml:space="preserve">on May 30, 2017, </w:t>
      </w:r>
      <w:r w:rsidR="00B2506C">
        <w:rPr>
          <w:rFonts w:ascii="Times New Roman" w:hAnsi="Times New Roman"/>
          <w:sz w:val="26"/>
        </w:rPr>
        <w:t>a</w:t>
      </w:r>
      <w:r>
        <w:rPr>
          <w:rFonts w:ascii="Times New Roman" w:hAnsi="Times New Roman"/>
          <w:sz w:val="26"/>
        </w:rPr>
        <w:t>t Docket No. C-201</w:t>
      </w:r>
      <w:r w:rsidR="00114B34">
        <w:rPr>
          <w:rFonts w:ascii="Times New Roman" w:hAnsi="Times New Roman"/>
          <w:sz w:val="26"/>
        </w:rPr>
        <w:t>7</w:t>
      </w:r>
      <w:r>
        <w:rPr>
          <w:rFonts w:ascii="Times New Roman" w:hAnsi="Times New Roman"/>
          <w:sz w:val="26"/>
        </w:rPr>
        <w:t>-</w:t>
      </w:r>
      <w:r w:rsidR="00114B34">
        <w:rPr>
          <w:rFonts w:ascii="Times New Roman" w:hAnsi="Times New Roman"/>
          <w:sz w:val="26"/>
        </w:rPr>
        <w:t>2</w:t>
      </w:r>
      <w:r w:rsidR="00B2506C">
        <w:rPr>
          <w:rFonts w:ascii="Times New Roman" w:hAnsi="Times New Roman"/>
          <w:sz w:val="26"/>
        </w:rPr>
        <w:t>607397</w:t>
      </w:r>
      <w:r w:rsidR="003105EC">
        <w:rPr>
          <w:rFonts w:ascii="Times New Roman" w:hAnsi="Times New Roman"/>
          <w:sz w:val="26"/>
        </w:rPr>
        <w:t>,</w:t>
      </w:r>
      <w:r w:rsidR="00114B34">
        <w:rPr>
          <w:rFonts w:ascii="Times New Roman" w:hAnsi="Times New Roman"/>
          <w:sz w:val="26"/>
        </w:rPr>
        <w:t xml:space="preserve"> is</w:t>
      </w:r>
      <w:r w:rsidR="00A36820">
        <w:rPr>
          <w:rFonts w:ascii="Times New Roman" w:hAnsi="Times New Roman"/>
          <w:sz w:val="26"/>
        </w:rPr>
        <w:t xml:space="preserve"> d</w:t>
      </w:r>
      <w:r w:rsidR="00C47FF4">
        <w:rPr>
          <w:rFonts w:ascii="Times New Roman" w:hAnsi="Times New Roman"/>
          <w:sz w:val="26"/>
        </w:rPr>
        <w:t>ismissed</w:t>
      </w:r>
      <w:r w:rsidR="003105EC" w:rsidRPr="003105EC">
        <w:rPr>
          <w:i/>
          <w:sz w:val="26"/>
          <w:szCs w:val="26"/>
        </w:rPr>
        <w:t xml:space="preserve"> </w:t>
      </w:r>
      <w:r w:rsidR="003105EC" w:rsidRPr="003105EC">
        <w:rPr>
          <w:rFonts w:ascii="Times New Roman" w:hAnsi="Times New Roman"/>
          <w:i/>
          <w:sz w:val="26"/>
          <w:szCs w:val="26"/>
        </w:rPr>
        <w:t>with prejudice</w:t>
      </w:r>
      <w:r w:rsidR="003105EC" w:rsidRPr="003105EC">
        <w:rPr>
          <w:rFonts w:ascii="Times New Roman" w:hAnsi="Times New Roman"/>
          <w:sz w:val="26"/>
          <w:szCs w:val="26"/>
        </w:rPr>
        <w:t xml:space="preserve">, </w:t>
      </w:r>
      <w:r w:rsidR="003105EC">
        <w:rPr>
          <w:rFonts w:ascii="Times New Roman" w:hAnsi="Times New Roman"/>
          <w:sz w:val="26"/>
          <w:szCs w:val="26"/>
        </w:rPr>
        <w:t>and the</w:t>
      </w:r>
      <w:r w:rsidR="003105EC" w:rsidRPr="003105EC">
        <w:rPr>
          <w:rFonts w:ascii="Times New Roman" w:hAnsi="Times New Roman"/>
          <w:sz w:val="26"/>
          <w:szCs w:val="26"/>
        </w:rPr>
        <w:t xml:space="preserve"> Complainant </w:t>
      </w:r>
      <w:r w:rsidR="003105EC">
        <w:rPr>
          <w:rFonts w:ascii="Times New Roman" w:hAnsi="Times New Roman"/>
          <w:sz w:val="26"/>
          <w:szCs w:val="26"/>
        </w:rPr>
        <w:t xml:space="preserve">is barred </w:t>
      </w:r>
      <w:r w:rsidR="003105EC" w:rsidRPr="003105EC">
        <w:rPr>
          <w:rFonts w:ascii="Times New Roman" w:hAnsi="Times New Roman"/>
          <w:sz w:val="26"/>
          <w:szCs w:val="26"/>
        </w:rPr>
        <w:t>from filing another formal complaint with the Public Utility Commission raising the same issues or claims as raised in the Formal Complaint filed on May 30, 2017, in this docket</w:t>
      </w:r>
      <w:r w:rsidR="00C47FF4">
        <w:rPr>
          <w:rFonts w:ascii="Times New Roman" w:hAnsi="Times New Roman"/>
          <w:sz w:val="26"/>
        </w:rPr>
        <w:t>.</w:t>
      </w:r>
    </w:p>
    <w:p w14:paraId="1BD71E9C" w14:textId="77777777" w:rsidR="00927420" w:rsidRDefault="00927420" w:rsidP="0061437C">
      <w:pPr>
        <w:tabs>
          <w:tab w:val="left" w:pos="-720"/>
        </w:tabs>
        <w:suppressAutoHyphens/>
        <w:spacing w:line="360" w:lineRule="auto"/>
        <w:ind w:firstLine="1440"/>
        <w:rPr>
          <w:rFonts w:ascii="Times New Roman" w:hAnsi="Times New Roman"/>
          <w:sz w:val="26"/>
        </w:rPr>
      </w:pPr>
    </w:p>
    <w:p w14:paraId="26BE1858" w14:textId="2244F803" w:rsidR="003C2524" w:rsidRPr="003C2524" w:rsidRDefault="002A6E79" w:rsidP="0061437C">
      <w:pPr>
        <w:keepNext/>
        <w:keepLines/>
        <w:spacing w:line="360" w:lineRule="auto"/>
        <w:ind w:firstLine="1440"/>
        <w:rPr>
          <w:rFonts w:ascii="Times New Roman" w:hAnsi="Times New Roman"/>
          <w:sz w:val="26"/>
          <w:szCs w:val="26"/>
        </w:rPr>
      </w:pPr>
      <w:r>
        <w:rPr>
          <w:rFonts w:ascii="Times New Roman" w:hAnsi="Times New Roman"/>
          <w:sz w:val="26"/>
          <w:szCs w:val="24"/>
        </w:rPr>
        <w:lastRenderedPageBreak/>
        <w:t>4</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sidR="00A36820">
        <w:rPr>
          <w:rFonts w:ascii="Times New Roman" w:hAnsi="Times New Roman"/>
          <w:sz w:val="26"/>
          <w:szCs w:val="24"/>
        </w:rPr>
        <w:t xml:space="preserve">e proceeding at Docket No. </w:t>
      </w:r>
      <w:r w:rsidR="00A36820">
        <w:rPr>
          <w:rFonts w:ascii="Times New Roman" w:hAnsi="Times New Roman"/>
          <w:sz w:val="26"/>
        </w:rPr>
        <w:t>C-201</w:t>
      </w:r>
      <w:r w:rsidR="00114B34">
        <w:rPr>
          <w:rFonts w:ascii="Times New Roman" w:hAnsi="Times New Roman"/>
          <w:sz w:val="26"/>
        </w:rPr>
        <w:t>7</w:t>
      </w:r>
      <w:r w:rsidR="00A36820">
        <w:rPr>
          <w:rFonts w:ascii="Times New Roman" w:hAnsi="Times New Roman"/>
          <w:sz w:val="26"/>
        </w:rPr>
        <w:t>-2</w:t>
      </w:r>
      <w:r w:rsidR="00B2506C">
        <w:rPr>
          <w:rFonts w:ascii="Times New Roman" w:hAnsi="Times New Roman"/>
          <w:sz w:val="26"/>
        </w:rPr>
        <w:t>607397</w:t>
      </w:r>
      <w:r w:rsidR="00A36820">
        <w:rPr>
          <w:rFonts w:ascii="Times New Roman" w:hAnsi="Times New Roman"/>
          <w:sz w:val="26"/>
        </w:rPr>
        <w:t xml:space="preserve"> </w:t>
      </w:r>
      <w:r w:rsidR="00E90EB1">
        <w:rPr>
          <w:rFonts w:ascii="Times New Roman" w:hAnsi="Times New Roman"/>
          <w:sz w:val="26"/>
          <w:szCs w:val="24"/>
        </w:rPr>
        <w:t xml:space="preserve">be marked </w:t>
      </w:r>
      <w:r w:rsidR="003C2524" w:rsidRPr="003C2524">
        <w:rPr>
          <w:rFonts w:ascii="Times New Roman" w:hAnsi="Times New Roman"/>
          <w:sz w:val="26"/>
          <w:szCs w:val="24"/>
        </w:rPr>
        <w:t>closed.</w:t>
      </w:r>
      <w:r w:rsidR="00DB0419" w:rsidRPr="00DB0419">
        <w:rPr>
          <w:noProof/>
        </w:rPr>
        <w:t xml:space="preserve"> </w:t>
      </w:r>
    </w:p>
    <w:p w14:paraId="65B8C15B" w14:textId="679CD612" w:rsidR="00DF5CB4" w:rsidRDefault="00DF5CB4" w:rsidP="0061437C">
      <w:pPr>
        <w:pStyle w:val="BodyTextIndent2"/>
        <w:keepNext/>
        <w:keepLines/>
        <w:spacing w:after="0" w:line="360" w:lineRule="auto"/>
        <w:ind w:left="0" w:firstLine="1440"/>
        <w:rPr>
          <w:sz w:val="26"/>
          <w:szCs w:val="26"/>
        </w:rPr>
      </w:pPr>
    </w:p>
    <w:p w14:paraId="7BDEB4A5" w14:textId="4AEB5F29" w:rsidR="009C41BD" w:rsidRDefault="00DB0419" w:rsidP="0061437C">
      <w:pPr>
        <w:keepNext/>
        <w:keepLines/>
        <w:tabs>
          <w:tab w:val="left" w:pos="-720"/>
        </w:tabs>
        <w:suppressAutoHyphens/>
        <w:rPr>
          <w:rFonts w:ascii="Times New Roman" w:hAnsi="Times New Roman"/>
          <w:sz w:val="26"/>
        </w:rPr>
      </w:pPr>
      <w:r>
        <w:rPr>
          <w:noProof/>
        </w:rPr>
        <w:drawing>
          <wp:anchor distT="0" distB="0" distL="114300" distR="114300" simplePos="0" relativeHeight="251659264" behindDoc="1" locked="0" layoutInCell="1" allowOverlap="1" wp14:anchorId="7AA26F42" wp14:editId="09A09966">
            <wp:simplePos x="0" y="0"/>
            <wp:positionH relativeFrom="column">
              <wp:posOffset>3181350</wp:posOffset>
            </wp:positionH>
            <wp:positionV relativeFrom="paragraph">
              <wp:posOffset>192405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14:paraId="29C5100F" w14:textId="77777777" w:rsidR="009C41BD" w:rsidRDefault="009C41BD" w:rsidP="0061437C">
      <w:pPr>
        <w:keepNext/>
        <w:keepLines/>
        <w:tabs>
          <w:tab w:val="left" w:pos="-720"/>
        </w:tabs>
        <w:suppressAutoHyphens/>
        <w:rPr>
          <w:rFonts w:ascii="Times New Roman" w:hAnsi="Times New Roman"/>
          <w:sz w:val="26"/>
        </w:rPr>
      </w:pPr>
    </w:p>
    <w:p w14:paraId="0805DB81" w14:textId="77777777" w:rsidR="008007CF" w:rsidRDefault="008007CF" w:rsidP="0061437C">
      <w:pPr>
        <w:keepNext/>
        <w:keepLines/>
        <w:tabs>
          <w:tab w:val="left" w:pos="-720"/>
        </w:tabs>
        <w:suppressAutoHyphens/>
        <w:rPr>
          <w:rFonts w:ascii="Times New Roman" w:hAnsi="Times New Roman"/>
          <w:sz w:val="26"/>
        </w:rPr>
      </w:pPr>
      <w:bookmarkStart w:id="2" w:name="_GoBack"/>
      <w:bookmarkEnd w:id="2"/>
    </w:p>
    <w:p w14:paraId="63C2A559" w14:textId="77777777" w:rsidR="008007CF" w:rsidRDefault="008007CF" w:rsidP="0061437C">
      <w:pPr>
        <w:keepNext/>
        <w:keepLines/>
        <w:tabs>
          <w:tab w:val="left" w:pos="-720"/>
        </w:tabs>
        <w:suppressAutoHyphens/>
        <w:rPr>
          <w:rFonts w:ascii="Times New Roman" w:hAnsi="Times New Roman"/>
          <w:sz w:val="26"/>
        </w:rPr>
      </w:pPr>
    </w:p>
    <w:p w14:paraId="3D4E3E18" w14:textId="77777777" w:rsidR="008F2C2B" w:rsidRDefault="008F2C2B" w:rsidP="0061437C">
      <w:pPr>
        <w:keepNext/>
        <w:keepLines/>
        <w:tabs>
          <w:tab w:val="left" w:pos="-720"/>
        </w:tabs>
        <w:suppressAutoHyphens/>
        <w:rPr>
          <w:rFonts w:ascii="Times New Roman" w:hAnsi="Times New Roman"/>
          <w:sz w:val="26"/>
        </w:rPr>
      </w:pPr>
    </w:p>
    <w:p w14:paraId="7DB0F4BC" w14:textId="77777777" w:rsidR="006F5428" w:rsidRDefault="008007CF"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14:paraId="08A9BE38" w14:textId="77777777"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14:paraId="72F32FCD" w14:textId="77777777" w:rsidR="009F5D88" w:rsidRDefault="009F5D88" w:rsidP="0061437C">
      <w:pPr>
        <w:keepNext/>
        <w:keepLines/>
        <w:tabs>
          <w:tab w:val="left" w:pos="-720"/>
        </w:tabs>
        <w:suppressAutoHyphens/>
        <w:rPr>
          <w:rFonts w:ascii="Times New Roman" w:hAnsi="Times New Roman"/>
          <w:sz w:val="26"/>
        </w:rPr>
      </w:pPr>
    </w:p>
    <w:p w14:paraId="767DB3EB" w14:textId="77777777"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(SEAL)</w:t>
      </w:r>
    </w:p>
    <w:p w14:paraId="4F6C46AA" w14:textId="77777777" w:rsidR="00312F4C" w:rsidRDefault="00312F4C" w:rsidP="0061437C">
      <w:pPr>
        <w:keepNext/>
        <w:keepLines/>
        <w:tabs>
          <w:tab w:val="left" w:pos="-720"/>
        </w:tabs>
        <w:suppressAutoHyphens/>
        <w:rPr>
          <w:rFonts w:ascii="Times New Roman" w:hAnsi="Times New Roman"/>
          <w:sz w:val="26"/>
        </w:rPr>
      </w:pPr>
    </w:p>
    <w:p w14:paraId="07DFD130" w14:textId="10A476E2" w:rsidR="000515D9" w:rsidRDefault="008F5A11" w:rsidP="0061437C">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325A7E">
        <w:rPr>
          <w:rFonts w:ascii="Times New Roman" w:hAnsi="Times New Roman"/>
          <w:sz w:val="26"/>
        </w:rPr>
        <w:t>August 2</w:t>
      </w:r>
      <w:r w:rsidR="006C318E">
        <w:rPr>
          <w:rFonts w:ascii="Times New Roman" w:hAnsi="Times New Roman"/>
          <w:sz w:val="26"/>
        </w:rPr>
        <w:t>3</w:t>
      </w:r>
      <w:r w:rsidR="00927420">
        <w:rPr>
          <w:rFonts w:ascii="Times New Roman" w:hAnsi="Times New Roman"/>
          <w:sz w:val="26"/>
        </w:rPr>
        <w:t>, 2018</w:t>
      </w:r>
      <w:r>
        <w:rPr>
          <w:rFonts w:ascii="Times New Roman" w:hAnsi="Times New Roman"/>
          <w:sz w:val="26"/>
        </w:rPr>
        <w:t xml:space="preserve">  </w:t>
      </w:r>
    </w:p>
    <w:p w14:paraId="3068C15B" w14:textId="77777777" w:rsidR="000515D9" w:rsidRDefault="000515D9" w:rsidP="0061437C">
      <w:pPr>
        <w:keepNext/>
        <w:keepLines/>
        <w:tabs>
          <w:tab w:val="left" w:pos="-720"/>
        </w:tabs>
        <w:suppressAutoHyphens/>
        <w:rPr>
          <w:rFonts w:ascii="Times New Roman" w:hAnsi="Times New Roman"/>
          <w:sz w:val="26"/>
        </w:rPr>
      </w:pPr>
    </w:p>
    <w:p w14:paraId="3DCE8C43" w14:textId="6D2803FD" w:rsidR="008B375E" w:rsidRDefault="006F5428" w:rsidP="0061437C">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DB0419">
        <w:rPr>
          <w:rFonts w:ascii="Times New Roman" w:hAnsi="Times New Roman"/>
          <w:sz w:val="26"/>
        </w:rPr>
        <w:t>August 23, 2018</w:t>
      </w:r>
    </w:p>
    <w:sectPr w:rsidR="008B375E" w:rsidSect="00F40641">
      <w:headerReference w:type="default" r:id="rId13"/>
      <w:footerReference w:type="default" r:id="rId14"/>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C5C6" w14:textId="77777777" w:rsidR="00685138" w:rsidRDefault="00685138">
      <w:pPr>
        <w:spacing w:line="20" w:lineRule="exact"/>
      </w:pPr>
    </w:p>
  </w:endnote>
  <w:endnote w:type="continuationSeparator" w:id="0">
    <w:p w14:paraId="69032CD4" w14:textId="77777777" w:rsidR="00685138" w:rsidRDefault="00685138">
      <w:r>
        <w:t xml:space="preserve"> </w:t>
      </w:r>
    </w:p>
  </w:endnote>
  <w:endnote w:type="continuationNotice" w:id="1">
    <w:p w14:paraId="3E9BD280" w14:textId="77777777" w:rsidR="00685138" w:rsidRDefault="006851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6837" w14:textId="77777777"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71B12306" wp14:editId="33998CC0">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D00BB64" w14:textId="7C7079B9"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210422">
                            <w:rPr>
                              <w:rFonts w:ascii="Times New Roman" w:hAnsi="Times New Roman"/>
                              <w:noProof/>
                              <w:spacing w:val="-3"/>
                              <w:sz w:val="26"/>
                            </w:rPr>
                            <w:t>15</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12306"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14:paraId="3D00BB64" w14:textId="7C7079B9"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210422">
                      <w:rPr>
                        <w:rFonts w:ascii="Times New Roman" w:hAnsi="Times New Roman"/>
                        <w:noProof/>
                        <w:spacing w:val="-3"/>
                        <w:sz w:val="26"/>
                      </w:rPr>
                      <w:t>15</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DE3DA" w14:textId="77777777" w:rsidR="00685138" w:rsidRDefault="00685138">
      <w:r>
        <w:separator/>
      </w:r>
    </w:p>
  </w:footnote>
  <w:footnote w:type="continuationSeparator" w:id="0">
    <w:p w14:paraId="44996C48" w14:textId="77777777" w:rsidR="00685138" w:rsidRDefault="00685138">
      <w:r>
        <w:continuationSeparator/>
      </w:r>
    </w:p>
  </w:footnote>
  <w:footnote w:type="continuationNotice" w:id="1">
    <w:p w14:paraId="28867E52" w14:textId="77777777" w:rsidR="00685138" w:rsidRDefault="00685138"/>
  </w:footnote>
  <w:footnote w:id="2">
    <w:p w14:paraId="34173F54" w14:textId="1FA904C4" w:rsidR="004925CD" w:rsidRPr="000454E1" w:rsidRDefault="004925CD" w:rsidP="004925CD">
      <w:pPr>
        <w:pStyle w:val="FootnoteText"/>
        <w:ind w:firstLine="720"/>
        <w:rPr>
          <w:rFonts w:ascii="Times New Roman" w:hAnsi="Times New Roman"/>
          <w:sz w:val="26"/>
          <w:szCs w:val="26"/>
        </w:rPr>
      </w:pPr>
      <w:r w:rsidRPr="004925CD">
        <w:rPr>
          <w:rStyle w:val="FootnoteReference"/>
          <w:rFonts w:ascii="Times New Roman" w:hAnsi="Times New Roman"/>
          <w:sz w:val="26"/>
          <w:szCs w:val="26"/>
        </w:rPr>
        <w:footnoteRef/>
      </w:r>
      <w:r>
        <w:rPr>
          <w:rFonts w:ascii="Times New Roman" w:hAnsi="Times New Roman"/>
          <w:sz w:val="26"/>
          <w:szCs w:val="26"/>
        </w:rPr>
        <w:tab/>
      </w:r>
      <w:r w:rsidRPr="003105EC">
        <w:rPr>
          <w:rFonts w:ascii="Times New Roman" w:hAnsi="Times New Roman"/>
          <w:sz w:val="26"/>
          <w:szCs w:val="26"/>
        </w:rPr>
        <w:t xml:space="preserve">A dismissal </w:t>
      </w:r>
      <w:r w:rsidRPr="003105EC">
        <w:rPr>
          <w:rFonts w:ascii="Times New Roman" w:hAnsi="Times New Roman"/>
          <w:i/>
          <w:sz w:val="26"/>
          <w:szCs w:val="26"/>
        </w:rPr>
        <w:t>with prejudice</w:t>
      </w:r>
      <w:r w:rsidRPr="003105EC">
        <w:rPr>
          <w:rFonts w:ascii="Times New Roman" w:hAnsi="Times New Roman"/>
          <w:sz w:val="26"/>
          <w:szCs w:val="26"/>
        </w:rPr>
        <w:t xml:space="preserve"> means that the Complainant is barred from filing another complaint with the Commission raising the same issues or claims as raised in the dismissed complaint.</w:t>
      </w:r>
    </w:p>
  </w:footnote>
  <w:footnote w:id="3">
    <w:p w14:paraId="4DF1E967" w14:textId="35ACF781" w:rsidR="00451FB0" w:rsidRPr="00451FB0" w:rsidRDefault="00451FB0" w:rsidP="00451FB0">
      <w:pPr>
        <w:pStyle w:val="FootnoteText"/>
        <w:ind w:firstLine="720"/>
        <w:rPr>
          <w:rFonts w:ascii="Times New Roman" w:hAnsi="Times New Roman"/>
          <w:sz w:val="26"/>
          <w:szCs w:val="26"/>
        </w:rPr>
      </w:pPr>
      <w:r w:rsidRPr="00451FB0">
        <w:rPr>
          <w:rStyle w:val="FootnoteReference"/>
          <w:rFonts w:ascii="Times New Roman" w:hAnsi="Times New Roman"/>
          <w:sz w:val="26"/>
          <w:szCs w:val="26"/>
        </w:rPr>
        <w:footnoteRef/>
      </w:r>
      <w:r w:rsidRPr="00451FB0">
        <w:rPr>
          <w:rFonts w:ascii="Times New Roman" w:hAnsi="Times New Roman"/>
          <w:sz w:val="26"/>
          <w:szCs w:val="26"/>
        </w:rPr>
        <w:t xml:space="preserve"> </w:t>
      </w:r>
      <w:r>
        <w:rPr>
          <w:rFonts w:ascii="Times New Roman" w:hAnsi="Times New Roman"/>
          <w:sz w:val="26"/>
          <w:szCs w:val="26"/>
        </w:rPr>
        <w:tab/>
      </w:r>
      <w:r w:rsidRPr="00451FB0">
        <w:rPr>
          <w:rFonts w:ascii="Times New Roman" w:hAnsi="Times New Roman"/>
          <w:sz w:val="26"/>
          <w:szCs w:val="26"/>
        </w:rPr>
        <w:t xml:space="preserve">The Commission’s power to establish a payment arrangement is not limited by the fact that the customer </w:t>
      </w:r>
      <w:r w:rsidR="002625C9">
        <w:rPr>
          <w:rFonts w:ascii="Times New Roman" w:hAnsi="Times New Roman"/>
          <w:sz w:val="26"/>
          <w:szCs w:val="26"/>
        </w:rPr>
        <w:t xml:space="preserve">previously </w:t>
      </w:r>
      <w:r w:rsidRPr="00451FB0">
        <w:rPr>
          <w:rFonts w:ascii="Times New Roman" w:hAnsi="Times New Roman"/>
          <w:sz w:val="26"/>
          <w:szCs w:val="26"/>
        </w:rPr>
        <w:t xml:space="preserve">received a utility-issued payment arrangement.  </w:t>
      </w:r>
      <w:r w:rsidRPr="00451FB0">
        <w:rPr>
          <w:rFonts w:ascii="Times New Roman" w:hAnsi="Times New Roman"/>
          <w:i/>
          <w:sz w:val="26"/>
          <w:szCs w:val="26"/>
        </w:rPr>
        <w:t>See</w:t>
      </w:r>
      <w:r w:rsidRPr="00451FB0">
        <w:rPr>
          <w:rFonts w:ascii="Times New Roman" w:hAnsi="Times New Roman"/>
          <w:sz w:val="26"/>
          <w:szCs w:val="26"/>
        </w:rPr>
        <w:t xml:space="preserve"> </w:t>
      </w:r>
      <w:r w:rsidRPr="002625C9">
        <w:rPr>
          <w:rFonts w:ascii="Times New Roman" w:hAnsi="Times New Roman"/>
          <w:i/>
          <w:sz w:val="26"/>
          <w:szCs w:val="26"/>
        </w:rPr>
        <w:t>Chapter 14 Implementation, Reconsideration of Implementation Order</w:t>
      </w:r>
      <w:r w:rsidRPr="00451FB0">
        <w:rPr>
          <w:rFonts w:ascii="Times New Roman" w:hAnsi="Times New Roman"/>
          <w:sz w:val="26"/>
          <w:szCs w:val="26"/>
        </w:rPr>
        <w:t>, Docket No. M-0004180F0002 (Order entered October 27, 2005).</w:t>
      </w:r>
    </w:p>
  </w:footnote>
  <w:footnote w:id="4">
    <w:p w14:paraId="03E1547F" w14:textId="4D20646F" w:rsidR="00CC507E" w:rsidRPr="002F694F" w:rsidRDefault="00CC507E">
      <w:pPr>
        <w:pStyle w:val="FootnoteText"/>
        <w:rPr>
          <w:rFonts w:ascii="Times New Roman" w:hAnsi="Times New Roman"/>
          <w:spacing w:val="4"/>
          <w:sz w:val="26"/>
          <w:szCs w:val="24"/>
        </w:rPr>
      </w:pPr>
      <w:r>
        <w:tab/>
      </w:r>
      <w:r>
        <w:rPr>
          <w:rStyle w:val="FootnoteReference"/>
        </w:rPr>
        <w:footnoteRef/>
      </w:r>
      <w:r>
        <w:tab/>
      </w:r>
      <w:r w:rsidR="002F694F" w:rsidRPr="002F694F">
        <w:rPr>
          <w:rFonts w:ascii="Times New Roman" w:hAnsi="Times New Roman"/>
          <w:i/>
          <w:spacing w:val="4"/>
          <w:sz w:val="26"/>
          <w:szCs w:val="24"/>
        </w:rPr>
        <w:t xml:space="preserve">See, </w:t>
      </w:r>
      <w:r w:rsidRPr="009332F7">
        <w:rPr>
          <w:rFonts w:ascii="Times New Roman" w:hAnsi="Times New Roman"/>
          <w:i/>
          <w:spacing w:val="4"/>
          <w:sz w:val="26"/>
          <w:szCs w:val="24"/>
        </w:rPr>
        <w:t>Scaccia v. West Penn Power Company</w:t>
      </w:r>
      <w:r>
        <w:rPr>
          <w:rFonts w:ascii="Times New Roman" w:hAnsi="Times New Roman"/>
          <w:spacing w:val="4"/>
          <w:sz w:val="26"/>
          <w:szCs w:val="24"/>
        </w:rPr>
        <w:t>, 55 Pa. PUC 637 (1982).</w:t>
      </w:r>
    </w:p>
  </w:footnote>
  <w:footnote w:id="5">
    <w:p w14:paraId="633EB980" w14:textId="0E979AD1" w:rsidR="002F694F" w:rsidRPr="002F694F" w:rsidRDefault="002F694F">
      <w:pPr>
        <w:pStyle w:val="FootnoteText"/>
        <w:rPr>
          <w:rFonts w:ascii="Times New Roman" w:hAnsi="Times New Roman"/>
          <w:spacing w:val="4"/>
          <w:sz w:val="26"/>
          <w:szCs w:val="24"/>
        </w:rPr>
      </w:pPr>
      <w:r>
        <w:tab/>
      </w:r>
      <w:r>
        <w:rPr>
          <w:rStyle w:val="FootnoteReference"/>
        </w:rPr>
        <w:footnoteRef/>
      </w:r>
      <w:r>
        <w:tab/>
      </w:r>
      <w:r w:rsidRPr="002F694F">
        <w:rPr>
          <w:rFonts w:ascii="Times New Roman" w:hAnsi="Times New Roman"/>
          <w:i/>
          <w:spacing w:val="4"/>
          <w:sz w:val="26"/>
          <w:szCs w:val="24"/>
        </w:rPr>
        <w:t xml:space="preserve">See, </w:t>
      </w:r>
      <w:r w:rsidRPr="009332F7">
        <w:rPr>
          <w:rFonts w:ascii="Times New Roman" w:hAnsi="Times New Roman"/>
          <w:i/>
          <w:spacing w:val="4"/>
          <w:sz w:val="26"/>
          <w:szCs w:val="24"/>
        </w:rPr>
        <w:t>Bolt v. Duquesne Light Co.</w:t>
      </w:r>
      <w:r>
        <w:rPr>
          <w:rFonts w:ascii="Times New Roman" w:hAnsi="Times New Roman"/>
          <w:spacing w:val="4"/>
          <w:sz w:val="26"/>
          <w:szCs w:val="24"/>
        </w:rPr>
        <w:t>, 66 Pa. PUC 463 (1988).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B4D1" w14:textId="77777777" w:rsidR="00D015B7" w:rsidRDefault="00D01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4"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5"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6"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8"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0"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5"/>
  </w:num>
  <w:num w:numId="3">
    <w:abstractNumId w:val="1"/>
  </w:num>
  <w:num w:numId="4">
    <w:abstractNumId w:val="4"/>
  </w:num>
  <w:num w:numId="5">
    <w:abstractNumId w:val="9"/>
  </w:num>
  <w:num w:numId="6">
    <w:abstractNumId w:val="14"/>
  </w:num>
  <w:num w:numId="7">
    <w:abstractNumId w:val="23"/>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9"/>
  </w:num>
  <w:num w:numId="12">
    <w:abstractNumId w:val="5"/>
  </w:num>
  <w:num w:numId="13">
    <w:abstractNumId w:val="13"/>
  </w:num>
  <w:num w:numId="14">
    <w:abstractNumId w:val="18"/>
  </w:num>
  <w:num w:numId="15">
    <w:abstractNumId w:val="10"/>
  </w:num>
  <w:num w:numId="16">
    <w:abstractNumId w:val="24"/>
  </w:num>
  <w:num w:numId="17">
    <w:abstractNumId w:val="12"/>
  </w:num>
  <w:num w:numId="18">
    <w:abstractNumId w:val="2"/>
  </w:num>
  <w:num w:numId="19">
    <w:abstractNumId w:val="16"/>
  </w:num>
  <w:num w:numId="20">
    <w:abstractNumId w:val="31"/>
  </w:num>
  <w:num w:numId="21">
    <w:abstractNumId w:val="28"/>
  </w:num>
  <w:num w:numId="22">
    <w:abstractNumId w:val="27"/>
  </w:num>
  <w:num w:numId="23">
    <w:abstractNumId w:val="26"/>
  </w:num>
  <w:num w:numId="24">
    <w:abstractNumId w:val="30"/>
  </w:num>
  <w:num w:numId="25">
    <w:abstractNumId w:val="11"/>
  </w:num>
  <w:num w:numId="26">
    <w:abstractNumId w:val="17"/>
  </w:num>
  <w:num w:numId="27">
    <w:abstractNumId w:val="20"/>
  </w:num>
  <w:num w:numId="28">
    <w:abstractNumId w:val="6"/>
  </w:num>
  <w:num w:numId="29">
    <w:abstractNumId w:val="22"/>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ABF"/>
    <w:rsid w:val="00030D3E"/>
    <w:rsid w:val="00030E0C"/>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6B8"/>
    <w:rsid w:val="00037AC3"/>
    <w:rsid w:val="00037D01"/>
    <w:rsid w:val="00037E5C"/>
    <w:rsid w:val="0004052A"/>
    <w:rsid w:val="00040C48"/>
    <w:rsid w:val="0004175D"/>
    <w:rsid w:val="00041BA2"/>
    <w:rsid w:val="00043750"/>
    <w:rsid w:val="00043D1F"/>
    <w:rsid w:val="0004473C"/>
    <w:rsid w:val="00044767"/>
    <w:rsid w:val="00044979"/>
    <w:rsid w:val="000454E1"/>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0C"/>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9"/>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6C7"/>
    <w:rsid w:val="00082854"/>
    <w:rsid w:val="000828B3"/>
    <w:rsid w:val="00082916"/>
    <w:rsid w:val="00082B42"/>
    <w:rsid w:val="00083105"/>
    <w:rsid w:val="0008338E"/>
    <w:rsid w:val="000835C3"/>
    <w:rsid w:val="00084D1E"/>
    <w:rsid w:val="00084EBC"/>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47A"/>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5683"/>
    <w:rsid w:val="000E59EE"/>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B34"/>
    <w:rsid w:val="0011525B"/>
    <w:rsid w:val="001152D7"/>
    <w:rsid w:val="001161FA"/>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45A0"/>
    <w:rsid w:val="00144646"/>
    <w:rsid w:val="0014472E"/>
    <w:rsid w:val="00144C0B"/>
    <w:rsid w:val="00145C4E"/>
    <w:rsid w:val="00145F43"/>
    <w:rsid w:val="001469ED"/>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22B"/>
    <w:rsid w:val="00171349"/>
    <w:rsid w:val="00171350"/>
    <w:rsid w:val="0017253C"/>
    <w:rsid w:val="00173747"/>
    <w:rsid w:val="0017391C"/>
    <w:rsid w:val="00173E3F"/>
    <w:rsid w:val="00174390"/>
    <w:rsid w:val="00174883"/>
    <w:rsid w:val="00174E96"/>
    <w:rsid w:val="00175566"/>
    <w:rsid w:val="0017604C"/>
    <w:rsid w:val="00177205"/>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16FD"/>
    <w:rsid w:val="00192049"/>
    <w:rsid w:val="001922B7"/>
    <w:rsid w:val="001923EB"/>
    <w:rsid w:val="00192F7B"/>
    <w:rsid w:val="001931A0"/>
    <w:rsid w:val="001937AD"/>
    <w:rsid w:val="00193ADC"/>
    <w:rsid w:val="00194037"/>
    <w:rsid w:val="0019411A"/>
    <w:rsid w:val="0019417A"/>
    <w:rsid w:val="001942B4"/>
    <w:rsid w:val="0019433F"/>
    <w:rsid w:val="001945D1"/>
    <w:rsid w:val="0019499B"/>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254A"/>
    <w:rsid w:val="001B257D"/>
    <w:rsid w:val="001B2999"/>
    <w:rsid w:val="001B2A0A"/>
    <w:rsid w:val="001B2B72"/>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3C"/>
    <w:rsid w:val="001C65BF"/>
    <w:rsid w:val="001C66D8"/>
    <w:rsid w:val="001C66F3"/>
    <w:rsid w:val="001C68EC"/>
    <w:rsid w:val="001C6B51"/>
    <w:rsid w:val="001C7100"/>
    <w:rsid w:val="001C7242"/>
    <w:rsid w:val="001C7C46"/>
    <w:rsid w:val="001D035C"/>
    <w:rsid w:val="001D0A30"/>
    <w:rsid w:val="001D0E05"/>
    <w:rsid w:val="001D185E"/>
    <w:rsid w:val="001D18CB"/>
    <w:rsid w:val="001D1950"/>
    <w:rsid w:val="001D1BDB"/>
    <w:rsid w:val="001D20E4"/>
    <w:rsid w:val="001D23D3"/>
    <w:rsid w:val="001D3C6E"/>
    <w:rsid w:val="001D4794"/>
    <w:rsid w:val="001D4DCB"/>
    <w:rsid w:val="001D4F80"/>
    <w:rsid w:val="001D570C"/>
    <w:rsid w:val="001D5943"/>
    <w:rsid w:val="001D5DA7"/>
    <w:rsid w:val="001D5E7A"/>
    <w:rsid w:val="001D649F"/>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9F8"/>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660"/>
    <w:rsid w:val="001F6A75"/>
    <w:rsid w:val="001F7E30"/>
    <w:rsid w:val="002000D7"/>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422"/>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677"/>
    <w:rsid w:val="00245A0E"/>
    <w:rsid w:val="0024696B"/>
    <w:rsid w:val="00246BFD"/>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5C9"/>
    <w:rsid w:val="002626CE"/>
    <w:rsid w:val="00262821"/>
    <w:rsid w:val="00262A81"/>
    <w:rsid w:val="00262E62"/>
    <w:rsid w:val="00263E9C"/>
    <w:rsid w:val="00264109"/>
    <w:rsid w:val="00264E72"/>
    <w:rsid w:val="0026607B"/>
    <w:rsid w:val="00266A8E"/>
    <w:rsid w:val="00266BFD"/>
    <w:rsid w:val="00267783"/>
    <w:rsid w:val="0026799C"/>
    <w:rsid w:val="002703B0"/>
    <w:rsid w:val="0027069C"/>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67E0"/>
    <w:rsid w:val="00277849"/>
    <w:rsid w:val="00277B75"/>
    <w:rsid w:val="002801D8"/>
    <w:rsid w:val="00280580"/>
    <w:rsid w:val="00280C7E"/>
    <w:rsid w:val="00280DDC"/>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9"/>
    <w:rsid w:val="002A6E7E"/>
    <w:rsid w:val="002A71FC"/>
    <w:rsid w:val="002A739A"/>
    <w:rsid w:val="002A7514"/>
    <w:rsid w:val="002A79DF"/>
    <w:rsid w:val="002A7A3C"/>
    <w:rsid w:val="002B0121"/>
    <w:rsid w:val="002B0194"/>
    <w:rsid w:val="002B03EE"/>
    <w:rsid w:val="002B04A9"/>
    <w:rsid w:val="002B04F0"/>
    <w:rsid w:val="002B178E"/>
    <w:rsid w:val="002B1EE3"/>
    <w:rsid w:val="002B2177"/>
    <w:rsid w:val="002B21EF"/>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39ED"/>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4A3"/>
    <w:rsid w:val="002E3969"/>
    <w:rsid w:val="002E3A70"/>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94F"/>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2C5"/>
    <w:rsid w:val="003105EC"/>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650D"/>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60B"/>
    <w:rsid w:val="003259FD"/>
    <w:rsid w:val="00325A7E"/>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89F"/>
    <w:rsid w:val="00350BB1"/>
    <w:rsid w:val="00351270"/>
    <w:rsid w:val="003513C9"/>
    <w:rsid w:val="00351530"/>
    <w:rsid w:val="00351E88"/>
    <w:rsid w:val="00351EE8"/>
    <w:rsid w:val="00351F90"/>
    <w:rsid w:val="0035349F"/>
    <w:rsid w:val="00353610"/>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4F3A"/>
    <w:rsid w:val="003658F3"/>
    <w:rsid w:val="0036593E"/>
    <w:rsid w:val="00365CBE"/>
    <w:rsid w:val="003667A8"/>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14"/>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0FB"/>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88"/>
    <w:rsid w:val="003978D0"/>
    <w:rsid w:val="00397FF0"/>
    <w:rsid w:val="003A042C"/>
    <w:rsid w:val="003A05A7"/>
    <w:rsid w:val="003A08FC"/>
    <w:rsid w:val="003A0B67"/>
    <w:rsid w:val="003A0F9F"/>
    <w:rsid w:val="003A15E9"/>
    <w:rsid w:val="003A1C1F"/>
    <w:rsid w:val="003A1F84"/>
    <w:rsid w:val="003A1FE5"/>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2B9"/>
    <w:rsid w:val="003C4316"/>
    <w:rsid w:val="003C45B0"/>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99D"/>
    <w:rsid w:val="00401D61"/>
    <w:rsid w:val="00402E41"/>
    <w:rsid w:val="0040313B"/>
    <w:rsid w:val="0040314A"/>
    <w:rsid w:val="00403504"/>
    <w:rsid w:val="00403535"/>
    <w:rsid w:val="00403A70"/>
    <w:rsid w:val="00404981"/>
    <w:rsid w:val="00404997"/>
    <w:rsid w:val="00404A88"/>
    <w:rsid w:val="00405003"/>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3E9"/>
    <w:rsid w:val="004138EE"/>
    <w:rsid w:val="00413F3C"/>
    <w:rsid w:val="00413FDE"/>
    <w:rsid w:val="004142E6"/>
    <w:rsid w:val="004149D9"/>
    <w:rsid w:val="004150BD"/>
    <w:rsid w:val="00415496"/>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E5"/>
    <w:rsid w:val="0042629E"/>
    <w:rsid w:val="004266F1"/>
    <w:rsid w:val="00426B41"/>
    <w:rsid w:val="00426DF4"/>
    <w:rsid w:val="0042724B"/>
    <w:rsid w:val="004272F6"/>
    <w:rsid w:val="00427981"/>
    <w:rsid w:val="00430A7A"/>
    <w:rsid w:val="00430B1E"/>
    <w:rsid w:val="00431795"/>
    <w:rsid w:val="00431A6B"/>
    <w:rsid w:val="00432176"/>
    <w:rsid w:val="00432744"/>
    <w:rsid w:val="004327B6"/>
    <w:rsid w:val="00433218"/>
    <w:rsid w:val="00433841"/>
    <w:rsid w:val="00433ABB"/>
    <w:rsid w:val="00433DD9"/>
    <w:rsid w:val="0043473D"/>
    <w:rsid w:val="0043497B"/>
    <w:rsid w:val="00434FD3"/>
    <w:rsid w:val="00435698"/>
    <w:rsid w:val="0043627B"/>
    <w:rsid w:val="0043641B"/>
    <w:rsid w:val="004373E0"/>
    <w:rsid w:val="004377BF"/>
    <w:rsid w:val="00437BF2"/>
    <w:rsid w:val="00437DF2"/>
    <w:rsid w:val="00437F51"/>
    <w:rsid w:val="0044060E"/>
    <w:rsid w:val="00440F20"/>
    <w:rsid w:val="00441243"/>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219"/>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FB0"/>
    <w:rsid w:val="00452468"/>
    <w:rsid w:val="00452766"/>
    <w:rsid w:val="00453597"/>
    <w:rsid w:val="00453B92"/>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D48"/>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309"/>
    <w:rsid w:val="00490883"/>
    <w:rsid w:val="00490C79"/>
    <w:rsid w:val="00490E93"/>
    <w:rsid w:val="00491373"/>
    <w:rsid w:val="004918AF"/>
    <w:rsid w:val="00491C62"/>
    <w:rsid w:val="00492443"/>
    <w:rsid w:val="004925CD"/>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34"/>
    <w:rsid w:val="004A0EAB"/>
    <w:rsid w:val="004A160D"/>
    <w:rsid w:val="004A203F"/>
    <w:rsid w:val="004A24E6"/>
    <w:rsid w:val="004A332C"/>
    <w:rsid w:val="004A3669"/>
    <w:rsid w:val="004A48B5"/>
    <w:rsid w:val="004A5604"/>
    <w:rsid w:val="004A5740"/>
    <w:rsid w:val="004A5BCA"/>
    <w:rsid w:val="004A5BE8"/>
    <w:rsid w:val="004A5D8F"/>
    <w:rsid w:val="004A635F"/>
    <w:rsid w:val="004A6DEE"/>
    <w:rsid w:val="004A7037"/>
    <w:rsid w:val="004A70EC"/>
    <w:rsid w:val="004A78AB"/>
    <w:rsid w:val="004B0944"/>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8C2"/>
    <w:rsid w:val="004D79A7"/>
    <w:rsid w:val="004E0511"/>
    <w:rsid w:val="004E0EA9"/>
    <w:rsid w:val="004E108A"/>
    <w:rsid w:val="004E1953"/>
    <w:rsid w:val="004E2154"/>
    <w:rsid w:val="004E228D"/>
    <w:rsid w:val="004E2851"/>
    <w:rsid w:val="004E3819"/>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2C4"/>
    <w:rsid w:val="005308C3"/>
    <w:rsid w:val="00530C2D"/>
    <w:rsid w:val="00530C80"/>
    <w:rsid w:val="00530E21"/>
    <w:rsid w:val="00530E82"/>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37B8C"/>
    <w:rsid w:val="0054057F"/>
    <w:rsid w:val="00540A7A"/>
    <w:rsid w:val="005412ED"/>
    <w:rsid w:val="00541DCA"/>
    <w:rsid w:val="005420CB"/>
    <w:rsid w:val="00542897"/>
    <w:rsid w:val="00542B32"/>
    <w:rsid w:val="00542F95"/>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776"/>
    <w:rsid w:val="00550B39"/>
    <w:rsid w:val="00550CE9"/>
    <w:rsid w:val="00550D1C"/>
    <w:rsid w:val="00551035"/>
    <w:rsid w:val="005513F2"/>
    <w:rsid w:val="00551923"/>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0BA6"/>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128"/>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440"/>
    <w:rsid w:val="00595D0D"/>
    <w:rsid w:val="00595DC2"/>
    <w:rsid w:val="0059602A"/>
    <w:rsid w:val="00596736"/>
    <w:rsid w:val="005A0BBD"/>
    <w:rsid w:val="005A0E67"/>
    <w:rsid w:val="005A2025"/>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5DA4"/>
    <w:rsid w:val="00606D21"/>
    <w:rsid w:val="00606FC1"/>
    <w:rsid w:val="0060717D"/>
    <w:rsid w:val="0060722F"/>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437C"/>
    <w:rsid w:val="0061600C"/>
    <w:rsid w:val="00616995"/>
    <w:rsid w:val="00616EF7"/>
    <w:rsid w:val="0061753E"/>
    <w:rsid w:val="006178D1"/>
    <w:rsid w:val="00620E4F"/>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3BF3"/>
    <w:rsid w:val="00634260"/>
    <w:rsid w:val="00634856"/>
    <w:rsid w:val="0063493F"/>
    <w:rsid w:val="00634C07"/>
    <w:rsid w:val="00634C98"/>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5C30"/>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1F33"/>
    <w:rsid w:val="00662AC6"/>
    <w:rsid w:val="00662F4E"/>
    <w:rsid w:val="0066317B"/>
    <w:rsid w:val="00663343"/>
    <w:rsid w:val="0066358E"/>
    <w:rsid w:val="00663DFD"/>
    <w:rsid w:val="00664055"/>
    <w:rsid w:val="00664421"/>
    <w:rsid w:val="0066447A"/>
    <w:rsid w:val="0066453B"/>
    <w:rsid w:val="00664AFF"/>
    <w:rsid w:val="00664F60"/>
    <w:rsid w:val="006653B4"/>
    <w:rsid w:val="0066630C"/>
    <w:rsid w:val="00666379"/>
    <w:rsid w:val="00666A3A"/>
    <w:rsid w:val="0067006D"/>
    <w:rsid w:val="0067063C"/>
    <w:rsid w:val="00670ED3"/>
    <w:rsid w:val="00671E6A"/>
    <w:rsid w:val="00672549"/>
    <w:rsid w:val="00672796"/>
    <w:rsid w:val="006730A3"/>
    <w:rsid w:val="00673347"/>
    <w:rsid w:val="00673AAB"/>
    <w:rsid w:val="00673E13"/>
    <w:rsid w:val="0067409B"/>
    <w:rsid w:val="00674277"/>
    <w:rsid w:val="00674516"/>
    <w:rsid w:val="00674ED2"/>
    <w:rsid w:val="0067524D"/>
    <w:rsid w:val="006758B4"/>
    <w:rsid w:val="00675A06"/>
    <w:rsid w:val="00675D4B"/>
    <w:rsid w:val="00675EA6"/>
    <w:rsid w:val="00676CA4"/>
    <w:rsid w:val="0067707D"/>
    <w:rsid w:val="00677C4B"/>
    <w:rsid w:val="00680102"/>
    <w:rsid w:val="00681016"/>
    <w:rsid w:val="00681A93"/>
    <w:rsid w:val="006820EF"/>
    <w:rsid w:val="006828F3"/>
    <w:rsid w:val="00683051"/>
    <w:rsid w:val="006836C0"/>
    <w:rsid w:val="0068373B"/>
    <w:rsid w:val="00683775"/>
    <w:rsid w:val="0068389A"/>
    <w:rsid w:val="00683FB5"/>
    <w:rsid w:val="0068401E"/>
    <w:rsid w:val="006843C7"/>
    <w:rsid w:val="006847C5"/>
    <w:rsid w:val="00684AAE"/>
    <w:rsid w:val="00685138"/>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18E"/>
    <w:rsid w:val="006C3964"/>
    <w:rsid w:val="006C3A2A"/>
    <w:rsid w:val="006C3F36"/>
    <w:rsid w:val="006C418C"/>
    <w:rsid w:val="006C5077"/>
    <w:rsid w:val="006C59FE"/>
    <w:rsid w:val="006C66E1"/>
    <w:rsid w:val="006C67FA"/>
    <w:rsid w:val="006C6F08"/>
    <w:rsid w:val="006C7784"/>
    <w:rsid w:val="006C7D6F"/>
    <w:rsid w:val="006D065C"/>
    <w:rsid w:val="006D0BC7"/>
    <w:rsid w:val="006D0CB0"/>
    <w:rsid w:val="006D12E6"/>
    <w:rsid w:val="006D1828"/>
    <w:rsid w:val="006D22D5"/>
    <w:rsid w:val="006D232A"/>
    <w:rsid w:val="006D23C5"/>
    <w:rsid w:val="006D2533"/>
    <w:rsid w:val="006D2551"/>
    <w:rsid w:val="006D26DD"/>
    <w:rsid w:val="006D3067"/>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4D3"/>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46E"/>
    <w:rsid w:val="007076E4"/>
    <w:rsid w:val="0070770B"/>
    <w:rsid w:val="007109E3"/>
    <w:rsid w:val="007120D9"/>
    <w:rsid w:val="007124CD"/>
    <w:rsid w:val="00712969"/>
    <w:rsid w:val="00712BB8"/>
    <w:rsid w:val="007142CB"/>
    <w:rsid w:val="00714601"/>
    <w:rsid w:val="007149E8"/>
    <w:rsid w:val="00714CA6"/>
    <w:rsid w:val="0071565E"/>
    <w:rsid w:val="00715830"/>
    <w:rsid w:val="00715934"/>
    <w:rsid w:val="00715FAC"/>
    <w:rsid w:val="007167B7"/>
    <w:rsid w:val="00716AD9"/>
    <w:rsid w:val="00716B91"/>
    <w:rsid w:val="00716D38"/>
    <w:rsid w:val="00717365"/>
    <w:rsid w:val="00720EC2"/>
    <w:rsid w:val="0072169C"/>
    <w:rsid w:val="00721BCB"/>
    <w:rsid w:val="00721CA1"/>
    <w:rsid w:val="00722412"/>
    <w:rsid w:val="00722851"/>
    <w:rsid w:val="0072285E"/>
    <w:rsid w:val="00723A97"/>
    <w:rsid w:val="00723EF5"/>
    <w:rsid w:val="00724D30"/>
    <w:rsid w:val="0072502F"/>
    <w:rsid w:val="00725A1C"/>
    <w:rsid w:val="007264D1"/>
    <w:rsid w:val="00726DD1"/>
    <w:rsid w:val="007270D4"/>
    <w:rsid w:val="00727918"/>
    <w:rsid w:val="0073005B"/>
    <w:rsid w:val="0073035A"/>
    <w:rsid w:val="00730A55"/>
    <w:rsid w:val="0073164C"/>
    <w:rsid w:val="00731A4E"/>
    <w:rsid w:val="00731C45"/>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C57"/>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4D13"/>
    <w:rsid w:val="00775553"/>
    <w:rsid w:val="00775E33"/>
    <w:rsid w:val="0077640B"/>
    <w:rsid w:val="00776B4B"/>
    <w:rsid w:val="00776B6A"/>
    <w:rsid w:val="00776D20"/>
    <w:rsid w:val="007772BE"/>
    <w:rsid w:val="00777ADE"/>
    <w:rsid w:val="00777B16"/>
    <w:rsid w:val="00777BAE"/>
    <w:rsid w:val="00777D92"/>
    <w:rsid w:val="00780102"/>
    <w:rsid w:val="0078072C"/>
    <w:rsid w:val="00780D7F"/>
    <w:rsid w:val="00781132"/>
    <w:rsid w:val="00781156"/>
    <w:rsid w:val="00781755"/>
    <w:rsid w:val="0078189C"/>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4C08"/>
    <w:rsid w:val="007959BD"/>
    <w:rsid w:val="00795D30"/>
    <w:rsid w:val="007961D1"/>
    <w:rsid w:val="0079623A"/>
    <w:rsid w:val="007965F4"/>
    <w:rsid w:val="00796ECB"/>
    <w:rsid w:val="00797042"/>
    <w:rsid w:val="0079723A"/>
    <w:rsid w:val="007974AB"/>
    <w:rsid w:val="0079756A"/>
    <w:rsid w:val="00797620"/>
    <w:rsid w:val="007978E7"/>
    <w:rsid w:val="00797999"/>
    <w:rsid w:val="007A01A7"/>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71F3"/>
    <w:rsid w:val="007F7475"/>
    <w:rsid w:val="007F76E7"/>
    <w:rsid w:val="007F7E9B"/>
    <w:rsid w:val="008007CF"/>
    <w:rsid w:val="008008CC"/>
    <w:rsid w:val="0080113E"/>
    <w:rsid w:val="0080157E"/>
    <w:rsid w:val="00801597"/>
    <w:rsid w:val="008017F2"/>
    <w:rsid w:val="00802272"/>
    <w:rsid w:val="008024E2"/>
    <w:rsid w:val="0080311C"/>
    <w:rsid w:val="008035A8"/>
    <w:rsid w:val="00803C64"/>
    <w:rsid w:val="00804518"/>
    <w:rsid w:val="0080501B"/>
    <w:rsid w:val="0080529F"/>
    <w:rsid w:val="00805443"/>
    <w:rsid w:val="0080553B"/>
    <w:rsid w:val="0080597D"/>
    <w:rsid w:val="00805A31"/>
    <w:rsid w:val="00805DF2"/>
    <w:rsid w:val="00806CFE"/>
    <w:rsid w:val="0081012A"/>
    <w:rsid w:val="00810308"/>
    <w:rsid w:val="008111E7"/>
    <w:rsid w:val="0081178C"/>
    <w:rsid w:val="00811DDC"/>
    <w:rsid w:val="00812AC3"/>
    <w:rsid w:val="00812B3C"/>
    <w:rsid w:val="00812C7D"/>
    <w:rsid w:val="008132FD"/>
    <w:rsid w:val="008134D9"/>
    <w:rsid w:val="00813768"/>
    <w:rsid w:val="00813824"/>
    <w:rsid w:val="00813968"/>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3F9"/>
    <w:rsid w:val="0082249F"/>
    <w:rsid w:val="008227FE"/>
    <w:rsid w:val="00822872"/>
    <w:rsid w:val="008228FF"/>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4445"/>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3F5A"/>
    <w:rsid w:val="008641E6"/>
    <w:rsid w:val="0086497B"/>
    <w:rsid w:val="008650E3"/>
    <w:rsid w:val="0086574F"/>
    <w:rsid w:val="00865DFA"/>
    <w:rsid w:val="0086636A"/>
    <w:rsid w:val="008667DF"/>
    <w:rsid w:val="0086788D"/>
    <w:rsid w:val="00867B60"/>
    <w:rsid w:val="008706CD"/>
    <w:rsid w:val="00870F1D"/>
    <w:rsid w:val="00871024"/>
    <w:rsid w:val="00871DB2"/>
    <w:rsid w:val="008722BA"/>
    <w:rsid w:val="00872663"/>
    <w:rsid w:val="0087266A"/>
    <w:rsid w:val="0087276C"/>
    <w:rsid w:val="008727E7"/>
    <w:rsid w:val="008732DF"/>
    <w:rsid w:val="0087366F"/>
    <w:rsid w:val="00873821"/>
    <w:rsid w:val="00873974"/>
    <w:rsid w:val="008742E9"/>
    <w:rsid w:val="0087538B"/>
    <w:rsid w:val="008753B2"/>
    <w:rsid w:val="00875897"/>
    <w:rsid w:val="0087605E"/>
    <w:rsid w:val="0087655C"/>
    <w:rsid w:val="00876862"/>
    <w:rsid w:val="008772AC"/>
    <w:rsid w:val="008775C8"/>
    <w:rsid w:val="0087784C"/>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BDA"/>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931"/>
    <w:rsid w:val="008B23F6"/>
    <w:rsid w:val="008B287D"/>
    <w:rsid w:val="008B2E7F"/>
    <w:rsid w:val="008B3189"/>
    <w:rsid w:val="008B375E"/>
    <w:rsid w:val="008B3DC9"/>
    <w:rsid w:val="008B4A87"/>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512"/>
    <w:rsid w:val="00912686"/>
    <w:rsid w:val="00912F2C"/>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47A6E"/>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6C2F"/>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BEC"/>
    <w:rsid w:val="00A24C2E"/>
    <w:rsid w:val="00A24C7C"/>
    <w:rsid w:val="00A251D8"/>
    <w:rsid w:val="00A25BDE"/>
    <w:rsid w:val="00A260DD"/>
    <w:rsid w:val="00A261F5"/>
    <w:rsid w:val="00A262B9"/>
    <w:rsid w:val="00A265FD"/>
    <w:rsid w:val="00A26B36"/>
    <w:rsid w:val="00A272B7"/>
    <w:rsid w:val="00A27930"/>
    <w:rsid w:val="00A30248"/>
    <w:rsid w:val="00A30F24"/>
    <w:rsid w:val="00A31D2F"/>
    <w:rsid w:val="00A32118"/>
    <w:rsid w:val="00A321ED"/>
    <w:rsid w:val="00A32D80"/>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58B"/>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6C3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381"/>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A8A"/>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37EE3"/>
    <w:rsid w:val="00B40091"/>
    <w:rsid w:val="00B4024D"/>
    <w:rsid w:val="00B40382"/>
    <w:rsid w:val="00B4055C"/>
    <w:rsid w:val="00B40B5E"/>
    <w:rsid w:val="00B410F9"/>
    <w:rsid w:val="00B41776"/>
    <w:rsid w:val="00B42545"/>
    <w:rsid w:val="00B42592"/>
    <w:rsid w:val="00B42C16"/>
    <w:rsid w:val="00B43C9F"/>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189"/>
    <w:rsid w:val="00B61549"/>
    <w:rsid w:val="00B61F37"/>
    <w:rsid w:val="00B61F90"/>
    <w:rsid w:val="00B62EF9"/>
    <w:rsid w:val="00B6355F"/>
    <w:rsid w:val="00B63927"/>
    <w:rsid w:val="00B63D10"/>
    <w:rsid w:val="00B63E5C"/>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9FC"/>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530"/>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06DE"/>
    <w:rsid w:val="00C0209C"/>
    <w:rsid w:val="00C02812"/>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96"/>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75E2"/>
    <w:rsid w:val="00C278F7"/>
    <w:rsid w:val="00C27B59"/>
    <w:rsid w:val="00C27D00"/>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38F9"/>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381"/>
    <w:rsid w:val="00C5394C"/>
    <w:rsid w:val="00C53B0A"/>
    <w:rsid w:val="00C542A5"/>
    <w:rsid w:val="00C5474B"/>
    <w:rsid w:val="00C5475A"/>
    <w:rsid w:val="00C5561D"/>
    <w:rsid w:val="00C557D4"/>
    <w:rsid w:val="00C557E1"/>
    <w:rsid w:val="00C559A1"/>
    <w:rsid w:val="00C55AAD"/>
    <w:rsid w:val="00C55DBD"/>
    <w:rsid w:val="00C565F9"/>
    <w:rsid w:val="00C56917"/>
    <w:rsid w:val="00C56A71"/>
    <w:rsid w:val="00C572EC"/>
    <w:rsid w:val="00C5735E"/>
    <w:rsid w:val="00C5795E"/>
    <w:rsid w:val="00C61695"/>
    <w:rsid w:val="00C61FFB"/>
    <w:rsid w:val="00C620E6"/>
    <w:rsid w:val="00C62EC0"/>
    <w:rsid w:val="00C63A40"/>
    <w:rsid w:val="00C64A8B"/>
    <w:rsid w:val="00C65197"/>
    <w:rsid w:val="00C65705"/>
    <w:rsid w:val="00C65801"/>
    <w:rsid w:val="00C65CB5"/>
    <w:rsid w:val="00C65F46"/>
    <w:rsid w:val="00C6650D"/>
    <w:rsid w:val="00C6665D"/>
    <w:rsid w:val="00C66AAC"/>
    <w:rsid w:val="00C66E55"/>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FA5"/>
    <w:rsid w:val="00C74119"/>
    <w:rsid w:val="00C74745"/>
    <w:rsid w:val="00C74B9C"/>
    <w:rsid w:val="00C74F68"/>
    <w:rsid w:val="00C75872"/>
    <w:rsid w:val="00C75B68"/>
    <w:rsid w:val="00C75E35"/>
    <w:rsid w:val="00C75E3C"/>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6DB"/>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4C82"/>
    <w:rsid w:val="00CC507E"/>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5B7"/>
    <w:rsid w:val="00D01F7F"/>
    <w:rsid w:val="00D023D6"/>
    <w:rsid w:val="00D042C3"/>
    <w:rsid w:val="00D04613"/>
    <w:rsid w:val="00D04CBD"/>
    <w:rsid w:val="00D05483"/>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C8E"/>
    <w:rsid w:val="00D21F26"/>
    <w:rsid w:val="00D22345"/>
    <w:rsid w:val="00D22833"/>
    <w:rsid w:val="00D22F6E"/>
    <w:rsid w:val="00D22FDF"/>
    <w:rsid w:val="00D23419"/>
    <w:rsid w:val="00D24273"/>
    <w:rsid w:val="00D24288"/>
    <w:rsid w:val="00D24D38"/>
    <w:rsid w:val="00D25328"/>
    <w:rsid w:val="00D253B3"/>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BF6"/>
    <w:rsid w:val="00D42E3D"/>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579"/>
    <w:rsid w:val="00D65936"/>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212"/>
    <w:rsid w:val="00DA06BB"/>
    <w:rsid w:val="00DA097C"/>
    <w:rsid w:val="00DA1215"/>
    <w:rsid w:val="00DA1772"/>
    <w:rsid w:val="00DA1E86"/>
    <w:rsid w:val="00DA1FC9"/>
    <w:rsid w:val="00DA1FFA"/>
    <w:rsid w:val="00DA226D"/>
    <w:rsid w:val="00DA34FC"/>
    <w:rsid w:val="00DA3D3B"/>
    <w:rsid w:val="00DA463F"/>
    <w:rsid w:val="00DA5AA7"/>
    <w:rsid w:val="00DA6934"/>
    <w:rsid w:val="00DA6EC4"/>
    <w:rsid w:val="00DA70CE"/>
    <w:rsid w:val="00DA7EEC"/>
    <w:rsid w:val="00DB029E"/>
    <w:rsid w:val="00DB0419"/>
    <w:rsid w:val="00DB0BF6"/>
    <w:rsid w:val="00DB0D8C"/>
    <w:rsid w:val="00DB1E94"/>
    <w:rsid w:val="00DB206F"/>
    <w:rsid w:val="00DB20A8"/>
    <w:rsid w:val="00DB395E"/>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903"/>
    <w:rsid w:val="00E16AB6"/>
    <w:rsid w:val="00E16DA0"/>
    <w:rsid w:val="00E16E64"/>
    <w:rsid w:val="00E176F1"/>
    <w:rsid w:val="00E17C67"/>
    <w:rsid w:val="00E2006A"/>
    <w:rsid w:val="00E201FE"/>
    <w:rsid w:val="00E20B27"/>
    <w:rsid w:val="00E20B3B"/>
    <w:rsid w:val="00E2172C"/>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79D"/>
    <w:rsid w:val="00E94FF0"/>
    <w:rsid w:val="00E9514C"/>
    <w:rsid w:val="00E952EF"/>
    <w:rsid w:val="00E9536E"/>
    <w:rsid w:val="00E955A4"/>
    <w:rsid w:val="00E9579E"/>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0BB"/>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4956"/>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3CE6"/>
    <w:rsid w:val="00EC3FCC"/>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167"/>
    <w:rsid w:val="00EF62B4"/>
    <w:rsid w:val="00EF65DC"/>
    <w:rsid w:val="00EF6BFC"/>
    <w:rsid w:val="00EF73F6"/>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4D37"/>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37B7D"/>
    <w:rsid w:val="00F40352"/>
    <w:rsid w:val="00F40580"/>
    <w:rsid w:val="00F40641"/>
    <w:rsid w:val="00F4065C"/>
    <w:rsid w:val="00F41316"/>
    <w:rsid w:val="00F41ADC"/>
    <w:rsid w:val="00F41BC9"/>
    <w:rsid w:val="00F41C7E"/>
    <w:rsid w:val="00F4243A"/>
    <w:rsid w:val="00F429BC"/>
    <w:rsid w:val="00F43691"/>
    <w:rsid w:val="00F43D65"/>
    <w:rsid w:val="00F446F6"/>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5BD9"/>
    <w:rsid w:val="00F55DDF"/>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4E2D"/>
    <w:rsid w:val="00F65319"/>
    <w:rsid w:val="00F65552"/>
    <w:rsid w:val="00F65591"/>
    <w:rsid w:val="00F656E2"/>
    <w:rsid w:val="00F657CD"/>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6AC"/>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305E"/>
    <w:rsid w:val="00F9353B"/>
    <w:rsid w:val="00F9393A"/>
    <w:rsid w:val="00F93AE6"/>
    <w:rsid w:val="00F93C7F"/>
    <w:rsid w:val="00F9410C"/>
    <w:rsid w:val="00F9434F"/>
    <w:rsid w:val="00F94535"/>
    <w:rsid w:val="00F949E9"/>
    <w:rsid w:val="00F9568A"/>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1A9C"/>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79E"/>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034B0"/>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paragraph" w:styleId="NormalWeb">
    <w:name w:val="Normal (Web)"/>
    <w:basedOn w:val="Normal"/>
    <w:uiPriority w:val="99"/>
    <w:unhideWhenUsed/>
    <w:rsid w:val="000E59E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421870">
      <w:bodyDiv w:val="1"/>
      <w:marLeft w:val="0"/>
      <w:marRight w:val="0"/>
      <w:marTop w:val="0"/>
      <w:marBottom w:val="0"/>
      <w:divBdr>
        <w:top w:val="none" w:sz="0" w:space="0" w:color="auto"/>
        <w:left w:val="none" w:sz="0" w:space="0" w:color="auto"/>
        <w:bottom w:val="none" w:sz="0" w:space="0" w:color="auto"/>
        <w:right w:val="none" w:sz="0" w:space="0" w:color="auto"/>
      </w:divBdr>
      <w:divsChild>
        <w:div w:id="1461217586">
          <w:marLeft w:val="0"/>
          <w:marRight w:val="0"/>
          <w:marTop w:val="0"/>
          <w:marBottom w:val="0"/>
          <w:divBdr>
            <w:top w:val="none" w:sz="0" w:space="0" w:color="auto"/>
            <w:left w:val="single" w:sz="6" w:space="0" w:color="BBBBBB"/>
            <w:bottom w:val="single" w:sz="6" w:space="0" w:color="BBBBBB"/>
            <w:right w:val="single" w:sz="6" w:space="0" w:color="BBBBBB"/>
          </w:divBdr>
          <w:divsChild>
            <w:div w:id="1922056866">
              <w:marLeft w:val="0"/>
              <w:marRight w:val="0"/>
              <w:marTop w:val="0"/>
              <w:marBottom w:val="0"/>
              <w:divBdr>
                <w:top w:val="none" w:sz="0" w:space="0" w:color="auto"/>
                <w:left w:val="none" w:sz="0" w:space="0" w:color="auto"/>
                <w:bottom w:val="none" w:sz="0" w:space="0" w:color="auto"/>
                <w:right w:val="none" w:sz="0" w:space="0" w:color="auto"/>
              </w:divBdr>
              <w:divsChild>
                <w:div w:id="524052487">
                  <w:marLeft w:val="0"/>
                  <w:marRight w:val="0"/>
                  <w:marTop w:val="75"/>
                  <w:marBottom w:val="0"/>
                  <w:divBdr>
                    <w:top w:val="none" w:sz="0" w:space="0" w:color="auto"/>
                    <w:left w:val="none" w:sz="0" w:space="0" w:color="auto"/>
                    <w:bottom w:val="none" w:sz="0" w:space="0" w:color="auto"/>
                    <w:right w:val="none" w:sz="0" w:space="0" w:color="auto"/>
                  </w:divBdr>
                  <w:divsChild>
                    <w:div w:id="146360816">
                      <w:marLeft w:val="0"/>
                      <w:marRight w:val="0"/>
                      <w:marTop w:val="0"/>
                      <w:marBottom w:val="0"/>
                      <w:divBdr>
                        <w:top w:val="none" w:sz="0" w:space="0" w:color="auto"/>
                        <w:left w:val="none" w:sz="0" w:space="0" w:color="auto"/>
                        <w:bottom w:val="none" w:sz="0" w:space="0" w:color="auto"/>
                        <w:right w:val="none" w:sz="0" w:space="0" w:color="auto"/>
                      </w:divBdr>
                      <w:divsChild>
                        <w:div w:id="589462720">
                          <w:marLeft w:val="0"/>
                          <w:marRight w:val="0"/>
                          <w:marTop w:val="0"/>
                          <w:marBottom w:val="0"/>
                          <w:divBdr>
                            <w:top w:val="none" w:sz="0" w:space="0" w:color="auto"/>
                            <w:left w:val="none" w:sz="0" w:space="0" w:color="auto"/>
                            <w:bottom w:val="none" w:sz="0" w:space="0" w:color="auto"/>
                            <w:right w:val="none" w:sz="0" w:space="0" w:color="auto"/>
                          </w:divBdr>
                          <w:divsChild>
                            <w:div w:id="945767216">
                              <w:marLeft w:val="0"/>
                              <w:marRight w:val="0"/>
                              <w:marTop w:val="0"/>
                              <w:marBottom w:val="0"/>
                              <w:divBdr>
                                <w:top w:val="none" w:sz="0" w:space="0" w:color="auto"/>
                                <w:left w:val="none" w:sz="0" w:space="0" w:color="auto"/>
                                <w:bottom w:val="none" w:sz="0" w:space="0" w:color="auto"/>
                                <w:right w:val="none" w:sz="0" w:space="0" w:color="auto"/>
                              </w:divBdr>
                              <w:divsChild>
                                <w:div w:id="1536844648">
                                  <w:marLeft w:val="0"/>
                                  <w:marRight w:val="0"/>
                                  <w:marTop w:val="0"/>
                                  <w:marBottom w:val="0"/>
                                  <w:divBdr>
                                    <w:top w:val="none" w:sz="0" w:space="0" w:color="auto"/>
                                    <w:left w:val="none" w:sz="0" w:space="0" w:color="auto"/>
                                    <w:bottom w:val="none" w:sz="0" w:space="0" w:color="auto"/>
                                    <w:right w:val="none" w:sz="0" w:space="0" w:color="auto"/>
                                  </w:divBdr>
                                  <w:divsChild>
                                    <w:div w:id="1235776139">
                                      <w:marLeft w:val="0"/>
                                      <w:marRight w:val="0"/>
                                      <w:marTop w:val="0"/>
                                      <w:marBottom w:val="0"/>
                                      <w:divBdr>
                                        <w:top w:val="none" w:sz="0" w:space="0" w:color="auto"/>
                                        <w:left w:val="none" w:sz="0" w:space="0" w:color="auto"/>
                                        <w:bottom w:val="none" w:sz="0" w:space="0" w:color="auto"/>
                                        <w:right w:val="none" w:sz="0" w:space="0" w:color="auto"/>
                                      </w:divBdr>
                                      <w:divsChild>
                                        <w:div w:id="1224677219">
                                          <w:marLeft w:val="1200"/>
                                          <w:marRight w:val="1200"/>
                                          <w:marTop w:val="0"/>
                                          <w:marBottom w:val="0"/>
                                          <w:divBdr>
                                            <w:top w:val="none" w:sz="0" w:space="0" w:color="auto"/>
                                            <w:left w:val="none" w:sz="0" w:space="0" w:color="auto"/>
                                            <w:bottom w:val="none" w:sz="0" w:space="0" w:color="auto"/>
                                            <w:right w:val="none" w:sz="0" w:space="0" w:color="auto"/>
                                          </w:divBdr>
                                          <w:divsChild>
                                            <w:div w:id="536822257">
                                              <w:marLeft w:val="0"/>
                                              <w:marRight w:val="0"/>
                                              <w:marTop w:val="0"/>
                                              <w:marBottom w:val="0"/>
                                              <w:divBdr>
                                                <w:top w:val="none" w:sz="0" w:space="0" w:color="auto"/>
                                                <w:left w:val="none" w:sz="0" w:space="0" w:color="auto"/>
                                                <w:bottom w:val="none" w:sz="0" w:space="0" w:color="auto"/>
                                                <w:right w:val="none" w:sz="0" w:space="0" w:color="auto"/>
                                              </w:divBdr>
                                              <w:divsChild>
                                                <w:div w:id="1052389387">
                                                  <w:marLeft w:val="0"/>
                                                  <w:marRight w:val="0"/>
                                                  <w:marTop w:val="0"/>
                                                  <w:marBottom w:val="0"/>
                                                  <w:divBdr>
                                                    <w:top w:val="none" w:sz="0" w:space="0" w:color="auto"/>
                                                    <w:left w:val="none" w:sz="0" w:space="0" w:color="auto"/>
                                                    <w:bottom w:val="none" w:sz="0" w:space="0" w:color="auto"/>
                                                    <w:right w:val="none" w:sz="0" w:space="0" w:color="auto"/>
                                                  </w:divBdr>
                                                  <w:divsChild>
                                                    <w:div w:id="13042580">
                                                      <w:marLeft w:val="0"/>
                                                      <w:marRight w:val="0"/>
                                                      <w:marTop w:val="0"/>
                                                      <w:marBottom w:val="0"/>
                                                      <w:divBdr>
                                                        <w:top w:val="none" w:sz="0" w:space="0" w:color="auto"/>
                                                        <w:left w:val="none" w:sz="0" w:space="0" w:color="auto"/>
                                                        <w:bottom w:val="none" w:sz="0" w:space="0" w:color="auto"/>
                                                        <w:right w:val="none" w:sz="0" w:space="0" w:color="auto"/>
                                                      </w:divBdr>
                                                      <w:divsChild>
                                                        <w:div w:id="36122988">
                                                          <w:marLeft w:val="0"/>
                                                          <w:marRight w:val="0"/>
                                                          <w:marTop w:val="0"/>
                                                          <w:marBottom w:val="0"/>
                                                          <w:divBdr>
                                                            <w:top w:val="none" w:sz="0" w:space="0" w:color="auto"/>
                                                            <w:left w:val="none" w:sz="0" w:space="0" w:color="auto"/>
                                                            <w:bottom w:val="none" w:sz="0" w:space="0" w:color="auto"/>
                                                            <w:right w:val="none" w:sz="0" w:space="0" w:color="auto"/>
                                                          </w:divBdr>
                                                          <w:divsChild>
                                                            <w:div w:id="15442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7386602">
      <w:bodyDiv w:val="1"/>
      <w:marLeft w:val="0"/>
      <w:marRight w:val="0"/>
      <w:marTop w:val="0"/>
      <w:marBottom w:val="0"/>
      <w:divBdr>
        <w:top w:val="none" w:sz="0" w:space="0" w:color="auto"/>
        <w:left w:val="none" w:sz="0" w:space="0" w:color="auto"/>
        <w:bottom w:val="none" w:sz="0" w:space="0" w:color="auto"/>
        <w:right w:val="none" w:sz="0" w:space="0" w:color="auto"/>
      </w:divBdr>
      <w:divsChild>
        <w:div w:id="1667710416">
          <w:marLeft w:val="0"/>
          <w:marRight w:val="0"/>
          <w:marTop w:val="0"/>
          <w:marBottom w:val="0"/>
          <w:divBdr>
            <w:top w:val="none" w:sz="0" w:space="0" w:color="auto"/>
            <w:left w:val="single" w:sz="6" w:space="0" w:color="BBBBBB"/>
            <w:bottom w:val="single" w:sz="6" w:space="0" w:color="BBBBBB"/>
            <w:right w:val="single" w:sz="6" w:space="0" w:color="BBBBBB"/>
          </w:divBdr>
          <w:divsChild>
            <w:div w:id="847597176">
              <w:marLeft w:val="0"/>
              <w:marRight w:val="0"/>
              <w:marTop w:val="0"/>
              <w:marBottom w:val="0"/>
              <w:divBdr>
                <w:top w:val="none" w:sz="0" w:space="0" w:color="auto"/>
                <w:left w:val="none" w:sz="0" w:space="0" w:color="auto"/>
                <w:bottom w:val="none" w:sz="0" w:space="0" w:color="auto"/>
                <w:right w:val="none" w:sz="0" w:space="0" w:color="auto"/>
              </w:divBdr>
              <w:divsChild>
                <w:div w:id="563567280">
                  <w:marLeft w:val="0"/>
                  <w:marRight w:val="0"/>
                  <w:marTop w:val="75"/>
                  <w:marBottom w:val="0"/>
                  <w:divBdr>
                    <w:top w:val="none" w:sz="0" w:space="0" w:color="auto"/>
                    <w:left w:val="none" w:sz="0" w:space="0" w:color="auto"/>
                    <w:bottom w:val="none" w:sz="0" w:space="0" w:color="auto"/>
                    <w:right w:val="none" w:sz="0" w:space="0" w:color="auto"/>
                  </w:divBdr>
                  <w:divsChild>
                    <w:div w:id="1887796394">
                      <w:marLeft w:val="0"/>
                      <w:marRight w:val="0"/>
                      <w:marTop w:val="0"/>
                      <w:marBottom w:val="0"/>
                      <w:divBdr>
                        <w:top w:val="none" w:sz="0" w:space="0" w:color="auto"/>
                        <w:left w:val="none" w:sz="0" w:space="0" w:color="auto"/>
                        <w:bottom w:val="none" w:sz="0" w:space="0" w:color="auto"/>
                        <w:right w:val="none" w:sz="0" w:space="0" w:color="auto"/>
                      </w:divBdr>
                      <w:divsChild>
                        <w:div w:id="578176475">
                          <w:marLeft w:val="0"/>
                          <w:marRight w:val="0"/>
                          <w:marTop w:val="0"/>
                          <w:marBottom w:val="0"/>
                          <w:divBdr>
                            <w:top w:val="none" w:sz="0" w:space="0" w:color="auto"/>
                            <w:left w:val="none" w:sz="0" w:space="0" w:color="auto"/>
                            <w:bottom w:val="none" w:sz="0" w:space="0" w:color="auto"/>
                            <w:right w:val="none" w:sz="0" w:space="0" w:color="auto"/>
                          </w:divBdr>
                          <w:divsChild>
                            <w:div w:id="1568109133">
                              <w:marLeft w:val="0"/>
                              <w:marRight w:val="0"/>
                              <w:marTop w:val="0"/>
                              <w:marBottom w:val="0"/>
                              <w:divBdr>
                                <w:top w:val="none" w:sz="0" w:space="0" w:color="auto"/>
                                <w:left w:val="none" w:sz="0" w:space="0" w:color="auto"/>
                                <w:bottom w:val="none" w:sz="0" w:space="0" w:color="auto"/>
                                <w:right w:val="none" w:sz="0" w:space="0" w:color="auto"/>
                              </w:divBdr>
                              <w:divsChild>
                                <w:div w:id="1336689157">
                                  <w:marLeft w:val="0"/>
                                  <w:marRight w:val="0"/>
                                  <w:marTop w:val="0"/>
                                  <w:marBottom w:val="0"/>
                                  <w:divBdr>
                                    <w:top w:val="none" w:sz="0" w:space="0" w:color="auto"/>
                                    <w:left w:val="none" w:sz="0" w:space="0" w:color="auto"/>
                                    <w:bottom w:val="none" w:sz="0" w:space="0" w:color="auto"/>
                                    <w:right w:val="none" w:sz="0" w:space="0" w:color="auto"/>
                                  </w:divBdr>
                                  <w:divsChild>
                                    <w:div w:id="848446541">
                                      <w:marLeft w:val="0"/>
                                      <w:marRight w:val="0"/>
                                      <w:marTop w:val="0"/>
                                      <w:marBottom w:val="0"/>
                                      <w:divBdr>
                                        <w:top w:val="none" w:sz="0" w:space="0" w:color="auto"/>
                                        <w:left w:val="none" w:sz="0" w:space="0" w:color="auto"/>
                                        <w:bottom w:val="none" w:sz="0" w:space="0" w:color="auto"/>
                                        <w:right w:val="none" w:sz="0" w:space="0" w:color="auto"/>
                                      </w:divBdr>
                                      <w:divsChild>
                                        <w:div w:id="937718767">
                                          <w:marLeft w:val="1200"/>
                                          <w:marRight w:val="1200"/>
                                          <w:marTop w:val="0"/>
                                          <w:marBottom w:val="0"/>
                                          <w:divBdr>
                                            <w:top w:val="none" w:sz="0" w:space="0" w:color="auto"/>
                                            <w:left w:val="none" w:sz="0" w:space="0" w:color="auto"/>
                                            <w:bottom w:val="none" w:sz="0" w:space="0" w:color="auto"/>
                                            <w:right w:val="none" w:sz="0" w:space="0" w:color="auto"/>
                                          </w:divBdr>
                                          <w:divsChild>
                                            <w:div w:id="919339320">
                                              <w:marLeft w:val="0"/>
                                              <w:marRight w:val="0"/>
                                              <w:marTop w:val="0"/>
                                              <w:marBottom w:val="0"/>
                                              <w:divBdr>
                                                <w:top w:val="none" w:sz="0" w:space="0" w:color="auto"/>
                                                <w:left w:val="none" w:sz="0" w:space="0" w:color="auto"/>
                                                <w:bottom w:val="none" w:sz="0" w:space="0" w:color="auto"/>
                                                <w:right w:val="none" w:sz="0" w:space="0" w:color="auto"/>
                                              </w:divBdr>
                                              <w:divsChild>
                                                <w:div w:id="397215556">
                                                  <w:marLeft w:val="0"/>
                                                  <w:marRight w:val="0"/>
                                                  <w:marTop w:val="0"/>
                                                  <w:marBottom w:val="0"/>
                                                  <w:divBdr>
                                                    <w:top w:val="none" w:sz="0" w:space="0" w:color="auto"/>
                                                    <w:left w:val="none" w:sz="0" w:space="0" w:color="auto"/>
                                                    <w:bottom w:val="none" w:sz="0" w:space="0" w:color="auto"/>
                                                    <w:right w:val="none" w:sz="0" w:space="0" w:color="auto"/>
                                                  </w:divBdr>
                                                  <w:divsChild>
                                                    <w:div w:id="1086656971">
                                                      <w:marLeft w:val="0"/>
                                                      <w:marRight w:val="0"/>
                                                      <w:marTop w:val="0"/>
                                                      <w:marBottom w:val="0"/>
                                                      <w:divBdr>
                                                        <w:top w:val="none" w:sz="0" w:space="0" w:color="auto"/>
                                                        <w:left w:val="none" w:sz="0" w:space="0" w:color="auto"/>
                                                        <w:bottom w:val="none" w:sz="0" w:space="0" w:color="auto"/>
                                                        <w:right w:val="none" w:sz="0" w:space="0" w:color="auto"/>
                                                      </w:divBdr>
                                                      <w:divsChild>
                                                        <w:div w:id="516701617">
                                                          <w:marLeft w:val="0"/>
                                                          <w:marRight w:val="0"/>
                                                          <w:marTop w:val="0"/>
                                                          <w:marBottom w:val="0"/>
                                                          <w:divBdr>
                                                            <w:top w:val="none" w:sz="0" w:space="0" w:color="auto"/>
                                                            <w:left w:val="none" w:sz="0" w:space="0" w:color="auto"/>
                                                            <w:bottom w:val="none" w:sz="0" w:space="0" w:color="auto"/>
                                                            <w:right w:val="none" w:sz="0" w:space="0" w:color="auto"/>
                                                          </w:divBdr>
                                                          <w:divsChild>
                                                            <w:div w:id="6797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BF62-A33D-46D7-82EF-223044E1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4</cp:revision>
  <cp:lastPrinted>2018-08-23T15:20:00Z</cp:lastPrinted>
  <dcterms:created xsi:type="dcterms:W3CDTF">2018-08-23T15:20:00Z</dcterms:created>
  <dcterms:modified xsi:type="dcterms:W3CDTF">2018-08-23T16:21:00Z</dcterms:modified>
</cp:coreProperties>
</file>