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6C6" w:rsidRPr="00BB5BDB" w:rsidRDefault="005F46C6" w:rsidP="005F46C6">
      <w:pPr>
        <w:widowControl/>
        <w:tabs>
          <w:tab w:val="center" w:pos="4680"/>
        </w:tabs>
        <w:suppressAutoHyphens/>
        <w:contextualSpacing/>
        <w:jc w:val="center"/>
        <w:outlineLvl w:val="0"/>
        <w:rPr>
          <w:b/>
          <w:sz w:val="26"/>
          <w:szCs w:val="26"/>
        </w:rPr>
      </w:pPr>
      <w:r w:rsidRPr="00BB5BDB">
        <w:rPr>
          <w:b/>
          <w:sz w:val="26"/>
          <w:szCs w:val="26"/>
        </w:rPr>
        <w:t>PENNSYLVANIA</w:t>
      </w:r>
    </w:p>
    <w:p w:rsidR="005F46C6" w:rsidRPr="00BB5BDB" w:rsidRDefault="005F46C6" w:rsidP="005F46C6">
      <w:pPr>
        <w:widowControl/>
        <w:tabs>
          <w:tab w:val="center" w:pos="4680"/>
        </w:tabs>
        <w:suppressAutoHyphens/>
        <w:contextualSpacing/>
        <w:jc w:val="center"/>
        <w:rPr>
          <w:b/>
          <w:sz w:val="26"/>
          <w:szCs w:val="26"/>
        </w:rPr>
      </w:pPr>
      <w:r w:rsidRPr="00BB5BDB">
        <w:rPr>
          <w:b/>
          <w:sz w:val="26"/>
          <w:szCs w:val="26"/>
        </w:rPr>
        <w:t>PUBLIC UTILITY COMMISSION</w:t>
      </w:r>
    </w:p>
    <w:p w:rsidR="005F46C6" w:rsidRPr="00BB5BDB" w:rsidRDefault="005F46C6" w:rsidP="005F46C6">
      <w:pPr>
        <w:widowControl/>
        <w:tabs>
          <w:tab w:val="center" w:pos="4680"/>
        </w:tabs>
        <w:suppressAutoHyphens/>
        <w:contextualSpacing/>
        <w:jc w:val="center"/>
        <w:rPr>
          <w:b/>
          <w:sz w:val="26"/>
          <w:szCs w:val="26"/>
        </w:rPr>
      </w:pPr>
      <w:r w:rsidRPr="00BB5BDB">
        <w:rPr>
          <w:b/>
          <w:sz w:val="26"/>
          <w:szCs w:val="26"/>
        </w:rPr>
        <w:t>Harrisburg, PA  17105-3265</w:t>
      </w:r>
    </w:p>
    <w:p w:rsidR="005F46C6" w:rsidRPr="00BB5BDB" w:rsidRDefault="005F46C6" w:rsidP="005F46C6">
      <w:pPr>
        <w:widowControl/>
        <w:tabs>
          <w:tab w:val="left" w:pos="-720"/>
        </w:tabs>
        <w:suppressAutoHyphens/>
        <w:contextualSpacing/>
        <w:rPr>
          <w:sz w:val="26"/>
          <w:szCs w:val="26"/>
        </w:rPr>
      </w:pPr>
    </w:p>
    <w:p w:rsidR="00E743CB" w:rsidRPr="00BB5BDB" w:rsidRDefault="00E743CB" w:rsidP="005F46C6">
      <w:pPr>
        <w:widowControl/>
        <w:tabs>
          <w:tab w:val="left" w:pos="-720"/>
        </w:tabs>
        <w:suppressAutoHyphens/>
        <w:contextualSpacing/>
        <w:rPr>
          <w:sz w:val="26"/>
          <w:szCs w:val="26"/>
        </w:rPr>
      </w:pPr>
    </w:p>
    <w:p w:rsidR="005F46C6" w:rsidRPr="00BB5BDB" w:rsidRDefault="005F46C6" w:rsidP="005F46C6">
      <w:pPr>
        <w:widowControl/>
        <w:tabs>
          <w:tab w:val="right" w:pos="9360"/>
        </w:tabs>
        <w:suppressAutoHyphens/>
        <w:contextualSpacing/>
        <w:jc w:val="right"/>
        <w:rPr>
          <w:sz w:val="26"/>
          <w:szCs w:val="26"/>
        </w:rPr>
      </w:pPr>
      <w:r w:rsidRPr="00BB5BDB">
        <w:rPr>
          <w:sz w:val="26"/>
          <w:szCs w:val="26"/>
        </w:rPr>
        <w:t xml:space="preserve">Public Meeting held </w:t>
      </w:r>
      <w:r w:rsidR="00C06FD5" w:rsidRPr="00BB5BDB">
        <w:rPr>
          <w:sz w:val="26"/>
          <w:szCs w:val="26"/>
        </w:rPr>
        <w:t>August 2</w:t>
      </w:r>
      <w:r w:rsidRPr="00BB5BDB">
        <w:rPr>
          <w:sz w:val="26"/>
          <w:szCs w:val="26"/>
        </w:rPr>
        <w:t>, 2018</w:t>
      </w:r>
    </w:p>
    <w:p w:rsidR="005F46C6" w:rsidRPr="00BB5BDB" w:rsidRDefault="005F46C6" w:rsidP="005F46C6">
      <w:pPr>
        <w:widowControl/>
        <w:tabs>
          <w:tab w:val="left" w:pos="-720"/>
        </w:tabs>
        <w:suppressAutoHyphens/>
        <w:contextualSpacing/>
        <w:rPr>
          <w:sz w:val="26"/>
          <w:szCs w:val="26"/>
        </w:rPr>
      </w:pPr>
    </w:p>
    <w:p w:rsidR="005F46C6" w:rsidRPr="00BB5BDB" w:rsidRDefault="005F46C6" w:rsidP="005F46C6">
      <w:pPr>
        <w:widowControl/>
        <w:tabs>
          <w:tab w:val="left" w:pos="-720"/>
        </w:tabs>
        <w:suppressAutoHyphens/>
        <w:contextualSpacing/>
        <w:rPr>
          <w:sz w:val="26"/>
          <w:szCs w:val="26"/>
        </w:rPr>
      </w:pPr>
      <w:r w:rsidRPr="00BB5BDB">
        <w:rPr>
          <w:sz w:val="26"/>
          <w:szCs w:val="26"/>
        </w:rPr>
        <w:t>Commissioners Present:</w:t>
      </w:r>
    </w:p>
    <w:p w:rsidR="005F46C6" w:rsidRPr="00BB5BDB" w:rsidRDefault="005F46C6" w:rsidP="005F46C6">
      <w:pPr>
        <w:widowControl/>
        <w:tabs>
          <w:tab w:val="left" w:pos="-720"/>
        </w:tabs>
        <w:suppressAutoHyphens/>
        <w:contextualSpacing/>
        <w:rPr>
          <w:sz w:val="26"/>
          <w:szCs w:val="26"/>
        </w:rPr>
      </w:pPr>
    </w:p>
    <w:p w:rsidR="005F46C6" w:rsidRPr="00BB5BDB" w:rsidRDefault="005F46C6" w:rsidP="005F46C6">
      <w:pPr>
        <w:widowControl/>
        <w:tabs>
          <w:tab w:val="left" w:pos="-720"/>
        </w:tabs>
        <w:suppressAutoHyphens/>
        <w:ind w:firstLine="720"/>
        <w:contextualSpacing/>
        <w:rPr>
          <w:sz w:val="26"/>
          <w:szCs w:val="26"/>
        </w:rPr>
      </w:pPr>
      <w:r w:rsidRPr="00BB5BDB">
        <w:rPr>
          <w:sz w:val="26"/>
          <w:szCs w:val="26"/>
        </w:rPr>
        <w:t>Gladys M. Brown, Chairman</w:t>
      </w:r>
    </w:p>
    <w:p w:rsidR="005F46C6" w:rsidRPr="00BB5BDB" w:rsidRDefault="005F46C6" w:rsidP="005F46C6">
      <w:pPr>
        <w:widowControl/>
        <w:tabs>
          <w:tab w:val="left" w:pos="-720"/>
        </w:tabs>
        <w:suppressAutoHyphens/>
        <w:ind w:firstLine="720"/>
        <w:contextualSpacing/>
        <w:rPr>
          <w:sz w:val="26"/>
          <w:szCs w:val="26"/>
        </w:rPr>
      </w:pPr>
      <w:r w:rsidRPr="00BB5BDB">
        <w:rPr>
          <w:sz w:val="26"/>
          <w:szCs w:val="26"/>
        </w:rPr>
        <w:t>Andrew G. Place, Vice Chairman</w:t>
      </w:r>
    </w:p>
    <w:p w:rsidR="005F46C6" w:rsidRPr="00BB5BDB" w:rsidRDefault="005F46C6" w:rsidP="005F46C6">
      <w:pPr>
        <w:widowControl/>
        <w:tabs>
          <w:tab w:val="left" w:pos="-720"/>
        </w:tabs>
        <w:suppressAutoHyphens/>
        <w:ind w:firstLine="720"/>
        <w:contextualSpacing/>
        <w:rPr>
          <w:sz w:val="26"/>
          <w:szCs w:val="26"/>
        </w:rPr>
      </w:pPr>
      <w:r w:rsidRPr="00BB5BDB">
        <w:rPr>
          <w:sz w:val="26"/>
          <w:szCs w:val="26"/>
        </w:rPr>
        <w:t>Norman J. Kennard</w:t>
      </w:r>
    </w:p>
    <w:p w:rsidR="005F46C6" w:rsidRPr="00BB5BDB" w:rsidRDefault="005F46C6" w:rsidP="005F46C6">
      <w:pPr>
        <w:widowControl/>
        <w:tabs>
          <w:tab w:val="left" w:pos="-720"/>
        </w:tabs>
        <w:suppressAutoHyphens/>
        <w:ind w:firstLine="720"/>
        <w:contextualSpacing/>
        <w:rPr>
          <w:sz w:val="26"/>
          <w:szCs w:val="26"/>
        </w:rPr>
      </w:pPr>
      <w:r w:rsidRPr="00BB5BDB">
        <w:rPr>
          <w:sz w:val="26"/>
          <w:szCs w:val="26"/>
        </w:rPr>
        <w:t xml:space="preserve">David W. Sweet </w:t>
      </w:r>
    </w:p>
    <w:p w:rsidR="005F46C6" w:rsidRPr="00BB5BDB" w:rsidRDefault="005F46C6" w:rsidP="005F46C6">
      <w:pPr>
        <w:widowControl/>
        <w:tabs>
          <w:tab w:val="left" w:pos="-720"/>
        </w:tabs>
        <w:suppressAutoHyphens/>
        <w:ind w:firstLine="720"/>
        <w:contextualSpacing/>
        <w:rPr>
          <w:sz w:val="26"/>
          <w:szCs w:val="26"/>
        </w:rPr>
      </w:pPr>
      <w:r w:rsidRPr="00BB5BDB">
        <w:rPr>
          <w:sz w:val="26"/>
          <w:szCs w:val="26"/>
        </w:rPr>
        <w:t>John F. Coleman, Jr.</w:t>
      </w:r>
    </w:p>
    <w:p w:rsidR="005F46C6" w:rsidRPr="00BB5BDB" w:rsidRDefault="005F46C6" w:rsidP="005F46C6">
      <w:pPr>
        <w:widowControl/>
        <w:contextualSpacing/>
        <w:rPr>
          <w:sz w:val="26"/>
          <w:szCs w:val="26"/>
        </w:rPr>
      </w:pPr>
    </w:p>
    <w:p w:rsidR="005F46C6" w:rsidRPr="00BB5BDB" w:rsidRDefault="005F46C6" w:rsidP="005F46C6">
      <w:pPr>
        <w:widowControl/>
        <w:contextualSpacing/>
        <w:rPr>
          <w:sz w:val="26"/>
          <w:szCs w:val="26"/>
        </w:rPr>
      </w:pPr>
    </w:p>
    <w:p w:rsidR="008F3671" w:rsidRPr="00BB5BDB" w:rsidRDefault="008F3671" w:rsidP="008F3671">
      <w:pPr>
        <w:widowControl/>
        <w:spacing w:after="160"/>
        <w:contextualSpacing/>
        <w:rPr>
          <w:rFonts w:eastAsiaTheme="minorHAnsi"/>
          <w:sz w:val="26"/>
          <w:szCs w:val="26"/>
        </w:rPr>
      </w:pPr>
      <w:r w:rsidRPr="00BB5BDB">
        <w:rPr>
          <w:rFonts w:eastAsiaTheme="minorHAnsi"/>
          <w:sz w:val="26"/>
          <w:szCs w:val="26"/>
        </w:rPr>
        <w:t>Kelvin E. Thomas</w:t>
      </w:r>
      <w:r w:rsidRPr="00BB5BDB">
        <w:rPr>
          <w:rFonts w:eastAsiaTheme="minorHAnsi"/>
          <w:sz w:val="26"/>
          <w:szCs w:val="26"/>
        </w:rPr>
        <w:tab/>
      </w:r>
      <w:r w:rsidR="00D3013C">
        <w:rPr>
          <w:rFonts w:eastAsiaTheme="minorHAnsi"/>
          <w:sz w:val="26"/>
          <w:szCs w:val="26"/>
        </w:rPr>
        <w:tab/>
      </w:r>
      <w:r w:rsidR="00D3013C">
        <w:rPr>
          <w:rFonts w:eastAsiaTheme="minorHAnsi"/>
          <w:sz w:val="26"/>
          <w:szCs w:val="26"/>
        </w:rPr>
        <w:tab/>
      </w:r>
      <w:r w:rsidR="00D3013C">
        <w:rPr>
          <w:rFonts w:eastAsiaTheme="minorHAnsi"/>
          <w:sz w:val="26"/>
          <w:szCs w:val="26"/>
        </w:rPr>
        <w:tab/>
      </w:r>
      <w:r w:rsidR="00D3013C">
        <w:rPr>
          <w:rFonts w:eastAsiaTheme="minorHAnsi"/>
          <w:sz w:val="26"/>
          <w:szCs w:val="26"/>
        </w:rPr>
        <w:tab/>
      </w:r>
      <w:r w:rsidR="00D3013C">
        <w:rPr>
          <w:rFonts w:eastAsiaTheme="minorHAnsi"/>
          <w:sz w:val="26"/>
          <w:szCs w:val="26"/>
        </w:rPr>
        <w:tab/>
      </w:r>
      <w:r w:rsidR="00D3013C">
        <w:rPr>
          <w:rFonts w:eastAsiaTheme="minorHAnsi"/>
          <w:sz w:val="26"/>
          <w:szCs w:val="26"/>
        </w:rPr>
        <w:tab/>
      </w:r>
      <w:r w:rsidR="00D3013C">
        <w:rPr>
          <w:rFonts w:eastAsiaTheme="minorHAnsi"/>
          <w:sz w:val="26"/>
          <w:szCs w:val="26"/>
        </w:rPr>
        <w:tab/>
        <w:t xml:space="preserve">      </w:t>
      </w:r>
      <w:r w:rsidR="00D3013C" w:rsidRPr="00BB5BDB">
        <w:rPr>
          <w:rFonts w:eastAsiaTheme="minorHAnsi"/>
          <w:sz w:val="26"/>
          <w:szCs w:val="26"/>
        </w:rPr>
        <w:t>F-2017-2611788</w:t>
      </w:r>
    </w:p>
    <w:p w:rsidR="008F3671" w:rsidRPr="00BB5BDB" w:rsidRDefault="008F3671" w:rsidP="008F3671">
      <w:pPr>
        <w:widowControl/>
        <w:spacing w:after="160"/>
        <w:ind w:left="6480" w:firstLine="720"/>
        <w:contextualSpacing/>
        <w:rPr>
          <w:rFonts w:eastAsiaTheme="minorHAnsi"/>
          <w:sz w:val="26"/>
          <w:szCs w:val="26"/>
        </w:rPr>
      </w:pPr>
    </w:p>
    <w:p w:rsidR="008F3671" w:rsidRPr="00BB5BDB" w:rsidRDefault="008F3671" w:rsidP="008F3671">
      <w:pPr>
        <w:widowControl/>
        <w:spacing w:after="160"/>
        <w:ind w:firstLine="720"/>
        <w:contextualSpacing/>
        <w:rPr>
          <w:rFonts w:eastAsiaTheme="minorHAnsi"/>
          <w:sz w:val="26"/>
          <w:szCs w:val="26"/>
        </w:rPr>
      </w:pPr>
      <w:r w:rsidRPr="00BB5BDB">
        <w:rPr>
          <w:rFonts w:eastAsiaTheme="minorHAnsi"/>
          <w:sz w:val="26"/>
          <w:szCs w:val="26"/>
        </w:rPr>
        <w:t>v.</w:t>
      </w:r>
    </w:p>
    <w:p w:rsidR="008F3671" w:rsidRPr="00BB5BDB" w:rsidRDefault="008F3671" w:rsidP="008F3671">
      <w:pPr>
        <w:widowControl/>
        <w:spacing w:after="160"/>
        <w:contextualSpacing/>
        <w:rPr>
          <w:rFonts w:eastAsiaTheme="minorHAnsi"/>
          <w:sz w:val="26"/>
          <w:szCs w:val="26"/>
        </w:rPr>
      </w:pPr>
    </w:p>
    <w:p w:rsidR="008F3671" w:rsidRPr="00BB5BDB" w:rsidRDefault="008F3671" w:rsidP="008F3671">
      <w:pPr>
        <w:widowControl/>
        <w:spacing w:after="160"/>
        <w:contextualSpacing/>
        <w:rPr>
          <w:rFonts w:eastAsiaTheme="minorHAnsi"/>
          <w:sz w:val="26"/>
          <w:szCs w:val="26"/>
        </w:rPr>
      </w:pPr>
      <w:r w:rsidRPr="00BB5BDB">
        <w:rPr>
          <w:rFonts w:eastAsiaTheme="minorHAnsi"/>
          <w:sz w:val="26"/>
          <w:szCs w:val="26"/>
        </w:rPr>
        <w:t>Philadelphia Gas Works</w:t>
      </w:r>
    </w:p>
    <w:p w:rsidR="008F3671" w:rsidRPr="00BB5BDB" w:rsidRDefault="00B34E77" w:rsidP="008F3671">
      <w:pPr>
        <w:widowControl/>
        <w:spacing w:after="160"/>
        <w:contextualSpacing/>
        <w:rPr>
          <w:rFonts w:eastAsiaTheme="minorHAnsi"/>
          <w:sz w:val="26"/>
          <w:szCs w:val="26"/>
        </w:rPr>
      </w:pPr>
      <w:r>
        <w:rPr>
          <w:rFonts w:eastAsiaTheme="minorHAnsi"/>
          <w:sz w:val="26"/>
          <w:szCs w:val="26"/>
        </w:rPr>
        <w:tab/>
      </w:r>
      <w:r w:rsidR="008F3671" w:rsidRPr="00BB5BDB">
        <w:rPr>
          <w:rFonts w:eastAsiaTheme="minorHAnsi"/>
          <w:sz w:val="26"/>
          <w:szCs w:val="26"/>
        </w:rPr>
        <w:t>(Complaint</w:t>
      </w:r>
      <w:r w:rsidR="007352EC">
        <w:rPr>
          <w:rFonts w:eastAsiaTheme="minorHAnsi"/>
          <w:sz w:val="26"/>
          <w:szCs w:val="26"/>
        </w:rPr>
        <w:t>/</w:t>
      </w:r>
      <w:r w:rsidR="008F3671" w:rsidRPr="00BB5BDB">
        <w:rPr>
          <w:rFonts w:eastAsiaTheme="minorHAnsi"/>
          <w:sz w:val="26"/>
          <w:szCs w:val="26"/>
        </w:rPr>
        <w:t>Appellant)</w:t>
      </w:r>
    </w:p>
    <w:p w:rsidR="008F3671" w:rsidRDefault="008F3671" w:rsidP="008F3671">
      <w:pPr>
        <w:widowControl/>
        <w:spacing w:after="160"/>
        <w:contextualSpacing/>
        <w:rPr>
          <w:rFonts w:eastAsiaTheme="minorHAnsi"/>
          <w:sz w:val="26"/>
          <w:szCs w:val="26"/>
        </w:rPr>
      </w:pPr>
    </w:p>
    <w:p w:rsidR="00D3013C" w:rsidRPr="00BB5BDB" w:rsidRDefault="00D3013C" w:rsidP="008F3671">
      <w:pPr>
        <w:widowControl/>
        <w:spacing w:after="160"/>
        <w:contextualSpacing/>
        <w:rPr>
          <w:rFonts w:eastAsiaTheme="minorHAnsi"/>
          <w:sz w:val="26"/>
          <w:szCs w:val="26"/>
        </w:rPr>
      </w:pPr>
    </w:p>
    <w:p w:rsidR="008F3671" w:rsidRPr="00BB5BDB" w:rsidRDefault="008F3671" w:rsidP="008F3671">
      <w:pPr>
        <w:widowControl/>
        <w:spacing w:after="160"/>
        <w:contextualSpacing/>
        <w:rPr>
          <w:rFonts w:eastAsiaTheme="minorHAnsi"/>
          <w:sz w:val="26"/>
          <w:szCs w:val="26"/>
        </w:rPr>
      </w:pPr>
      <w:r w:rsidRPr="00BB5BDB">
        <w:rPr>
          <w:rFonts w:eastAsiaTheme="minorHAnsi"/>
          <w:sz w:val="26"/>
          <w:szCs w:val="26"/>
        </w:rPr>
        <w:t>Kelvin E. Thomas</w:t>
      </w:r>
      <w:r w:rsidRPr="00BB5BDB">
        <w:rPr>
          <w:rFonts w:eastAsiaTheme="minorHAnsi"/>
          <w:sz w:val="26"/>
          <w:szCs w:val="26"/>
        </w:rPr>
        <w:tab/>
      </w:r>
      <w:r w:rsidR="00D3013C">
        <w:rPr>
          <w:rFonts w:eastAsiaTheme="minorHAnsi"/>
          <w:sz w:val="26"/>
          <w:szCs w:val="26"/>
        </w:rPr>
        <w:tab/>
      </w:r>
      <w:r w:rsidR="00D3013C">
        <w:rPr>
          <w:rFonts w:eastAsiaTheme="minorHAnsi"/>
          <w:sz w:val="26"/>
          <w:szCs w:val="26"/>
        </w:rPr>
        <w:tab/>
      </w:r>
      <w:r w:rsidR="00D3013C">
        <w:rPr>
          <w:rFonts w:eastAsiaTheme="minorHAnsi"/>
          <w:sz w:val="26"/>
          <w:szCs w:val="26"/>
        </w:rPr>
        <w:tab/>
      </w:r>
      <w:r w:rsidR="00D3013C">
        <w:rPr>
          <w:rFonts w:eastAsiaTheme="minorHAnsi"/>
          <w:sz w:val="26"/>
          <w:szCs w:val="26"/>
        </w:rPr>
        <w:tab/>
      </w:r>
      <w:r w:rsidR="00D3013C">
        <w:rPr>
          <w:rFonts w:eastAsiaTheme="minorHAnsi"/>
          <w:sz w:val="26"/>
          <w:szCs w:val="26"/>
        </w:rPr>
        <w:tab/>
      </w:r>
      <w:r w:rsidR="00D3013C">
        <w:rPr>
          <w:rFonts w:eastAsiaTheme="minorHAnsi"/>
          <w:sz w:val="26"/>
          <w:szCs w:val="26"/>
        </w:rPr>
        <w:tab/>
      </w:r>
      <w:r w:rsidR="00D3013C">
        <w:rPr>
          <w:rFonts w:eastAsiaTheme="minorHAnsi"/>
          <w:sz w:val="26"/>
          <w:szCs w:val="26"/>
        </w:rPr>
        <w:tab/>
        <w:t xml:space="preserve">     </w:t>
      </w:r>
      <w:r w:rsidR="00D3013C" w:rsidRPr="00BB5BDB">
        <w:rPr>
          <w:rFonts w:eastAsiaTheme="minorHAnsi"/>
          <w:sz w:val="26"/>
          <w:szCs w:val="26"/>
        </w:rPr>
        <w:t>C-2017-2621275</w:t>
      </w:r>
    </w:p>
    <w:p w:rsidR="007352EC" w:rsidRPr="00BB5BDB" w:rsidRDefault="007352EC" w:rsidP="008F3671">
      <w:pPr>
        <w:widowControl/>
        <w:spacing w:after="160"/>
        <w:contextualSpacing/>
        <w:rPr>
          <w:rFonts w:eastAsiaTheme="minorHAnsi"/>
          <w:sz w:val="26"/>
          <w:szCs w:val="26"/>
        </w:rPr>
      </w:pPr>
    </w:p>
    <w:p w:rsidR="008F3671" w:rsidRPr="00BB5BDB" w:rsidRDefault="008F3671" w:rsidP="008F3671">
      <w:pPr>
        <w:widowControl/>
        <w:spacing w:after="160"/>
        <w:contextualSpacing/>
        <w:rPr>
          <w:rFonts w:eastAsiaTheme="minorHAnsi"/>
          <w:sz w:val="26"/>
          <w:szCs w:val="26"/>
        </w:rPr>
      </w:pPr>
      <w:r w:rsidRPr="00BB5BDB">
        <w:rPr>
          <w:rFonts w:eastAsiaTheme="minorHAnsi"/>
          <w:sz w:val="26"/>
          <w:szCs w:val="26"/>
        </w:rPr>
        <w:tab/>
        <w:t>v.</w:t>
      </w:r>
      <w:r w:rsidRPr="00BB5BDB">
        <w:rPr>
          <w:rFonts w:eastAsiaTheme="minorHAnsi"/>
          <w:sz w:val="26"/>
          <w:szCs w:val="26"/>
        </w:rPr>
        <w:tab/>
      </w:r>
    </w:p>
    <w:p w:rsidR="008F3671" w:rsidRPr="00BB5BDB" w:rsidRDefault="008F3671" w:rsidP="008F3671">
      <w:pPr>
        <w:widowControl/>
        <w:spacing w:after="160"/>
        <w:contextualSpacing/>
        <w:rPr>
          <w:rFonts w:eastAsiaTheme="minorHAnsi"/>
          <w:sz w:val="26"/>
          <w:szCs w:val="26"/>
        </w:rPr>
      </w:pPr>
    </w:p>
    <w:p w:rsidR="008F3671" w:rsidRPr="00BB5BDB" w:rsidRDefault="008F3671" w:rsidP="008F3671">
      <w:pPr>
        <w:widowControl/>
        <w:spacing w:after="160"/>
        <w:contextualSpacing/>
        <w:rPr>
          <w:rFonts w:eastAsiaTheme="minorHAnsi"/>
          <w:sz w:val="26"/>
          <w:szCs w:val="26"/>
        </w:rPr>
      </w:pPr>
      <w:r w:rsidRPr="00BB5BDB">
        <w:rPr>
          <w:rFonts w:eastAsiaTheme="minorHAnsi"/>
          <w:sz w:val="26"/>
          <w:szCs w:val="26"/>
        </w:rPr>
        <w:t>Philadelphia Gas Works</w:t>
      </w:r>
    </w:p>
    <w:p w:rsidR="005F46C6" w:rsidRPr="00BB5BDB" w:rsidRDefault="005F46C6" w:rsidP="005F46C6">
      <w:pPr>
        <w:widowControl/>
        <w:contextualSpacing/>
        <w:rPr>
          <w:sz w:val="26"/>
          <w:szCs w:val="26"/>
        </w:rPr>
      </w:pPr>
    </w:p>
    <w:p w:rsidR="005F46C6" w:rsidRPr="00BB5BDB" w:rsidRDefault="005F46C6" w:rsidP="005F46C6">
      <w:pPr>
        <w:widowControl/>
        <w:contextualSpacing/>
        <w:rPr>
          <w:sz w:val="26"/>
          <w:szCs w:val="26"/>
        </w:rPr>
      </w:pPr>
    </w:p>
    <w:p w:rsidR="005F46C6" w:rsidRPr="00BB5BDB" w:rsidRDefault="005F46C6" w:rsidP="005F46C6">
      <w:pPr>
        <w:widowControl/>
        <w:spacing w:line="360" w:lineRule="auto"/>
        <w:contextualSpacing/>
        <w:jc w:val="center"/>
        <w:rPr>
          <w:b/>
          <w:sz w:val="26"/>
          <w:szCs w:val="26"/>
        </w:rPr>
      </w:pPr>
      <w:r w:rsidRPr="00BB5BDB">
        <w:rPr>
          <w:b/>
          <w:sz w:val="26"/>
          <w:szCs w:val="26"/>
        </w:rPr>
        <w:t xml:space="preserve">OPINION </w:t>
      </w:r>
      <w:smartTag w:uri="urn:schemas-microsoft-com:office:smarttags" w:element="stockticker">
        <w:r w:rsidRPr="00BB5BDB">
          <w:rPr>
            <w:b/>
            <w:sz w:val="26"/>
            <w:szCs w:val="26"/>
          </w:rPr>
          <w:t>AND</w:t>
        </w:r>
      </w:smartTag>
      <w:r w:rsidRPr="00BB5BDB">
        <w:rPr>
          <w:b/>
          <w:sz w:val="26"/>
          <w:szCs w:val="26"/>
        </w:rPr>
        <w:t xml:space="preserve"> ORDER</w:t>
      </w:r>
    </w:p>
    <w:p w:rsidR="005F46C6" w:rsidRPr="00BB5BDB" w:rsidRDefault="005F46C6" w:rsidP="005F46C6">
      <w:pPr>
        <w:widowControl/>
        <w:spacing w:line="360" w:lineRule="auto"/>
        <w:contextualSpacing/>
        <w:jc w:val="center"/>
        <w:rPr>
          <w:b/>
          <w:sz w:val="26"/>
          <w:szCs w:val="26"/>
        </w:rPr>
      </w:pPr>
    </w:p>
    <w:p w:rsidR="005F46C6" w:rsidRPr="00BB5BDB" w:rsidRDefault="005F46C6" w:rsidP="005F46C6">
      <w:pPr>
        <w:keepNext/>
        <w:keepLines/>
        <w:widowControl/>
        <w:spacing w:line="360" w:lineRule="auto"/>
        <w:contextualSpacing/>
        <w:rPr>
          <w:b/>
          <w:sz w:val="26"/>
          <w:szCs w:val="26"/>
        </w:rPr>
      </w:pPr>
      <w:r w:rsidRPr="00BB5BDB">
        <w:rPr>
          <w:b/>
          <w:sz w:val="26"/>
          <w:szCs w:val="26"/>
        </w:rPr>
        <w:t>BY THE COMMISSION:</w:t>
      </w:r>
    </w:p>
    <w:p w:rsidR="005F46C6" w:rsidRPr="00BB5BDB" w:rsidRDefault="005F46C6" w:rsidP="005F46C6">
      <w:pPr>
        <w:keepNext/>
        <w:keepLines/>
        <w:widowControl/>
        <w:spacing w:line="360" w:lineRule="auto"/>
        <w:contextualSpacing/>
        <w:rPr>
          <w:sz w:val="26"/>
          <w:szCs w:val="26"/>
        </w:rPr>
      </w:pPr>
    </w:p>
    <w:p w:rsidR="005F46C6" w:rsidRPr="00BB5BDB" w:rsidRDefault="005F46C6" w:rsidP="005F46C6">
      <w:pPr>
        <w:widowControl/>
        <w:spacing w:line="360" w:lineRule="auto"/>
        <w:ind w:firstLine="1440"/>
        <w:contextualSpacing/>
        <w:rPr>
          <w:sz w:val="26"/>
          <w:szCs w:val="26"/>
        </w:rPr>
      </w:pPr>
      <w:r w:rsidRPr="00BB5BDB">
        <w:rPr>
          <w:sz w:val="26"/>
          <w:szCs w:val="26"/>
        </w:rPr>
        <w:t xml:space="preserve">Before the Pennsylvania Public Utility Commission (Commission) for consideration </w:t>
      </w:r>
      <w:r w:rsidR="008F3671" w:rsidRPr="00BB5BDB">
        <w:rPr>
          <w:sz w:val="26"/>
          <w:szCs w:val="26"/>
        </w:rPr>
        <w:t xml:space="preserve">is the Initial Decision (Initial Decision or I.D.) of </w:t>
      </w:r>
      <w:r w:rsidRPr="00BB5BDB">
        <w:rPr>
          <w:sz w:val="26"/>
          <w:szCs w:val="26"/>
        </w:rPr>
        <w:t xml:space="preserve">Administrative Law Judge (ALJ) </w:t>
      </w:r>
      <w:r w:rsidR="008F3671" w:rsidRPr="00BB5BDB">
        <w:rPr>
          <w:sz w:val="26"/>
          <w:szCs w:val="26"/>
        </w:rPr>
        <w:t>Marta Guhl</w:t>
      </w:r>
      <w:r w:rsidRPr="00BB5BDB">
        <w:rPr>
          <w:sz w:val="26"/>
          <w:szCs w:val="26"/>
        </w:rPr>
        <w:t xml:space="preserve">, which was issued on </w:t>
      </w:r>
      <w:r w:rsidR="008F3671" w:rsidRPr="00BB5BDB">
        <w:rPr>
          <w:sz w:val="26"/>
          <w:szCs w:val="26"/>
        </w:rPr>
        <w:t>June 7, 2018</w:t>
      </w:r>
      <w:r w:rsidRPr="00BB5BDB">
        <w:rPr>
          <w:sz w:val="26"/>
          <w:szCs w:val="26"/>
        </w:rPr>
        <w:t xml:space="preserve">, </w:t>
      </w:r>
      <w:r w:rsidR="00CD30A3">
        <w:rPr>
          <w:sz w:val="26"/>
          <w:szCs w:val="26"/>
        </w:rPr>
        <w:t xml:space="preserve">and </w:t>
      </w:r>
      <w:r w:rsidR="00DB7C4F">
        <w:rPr>
          <w:sz w:val="26"/>
          <w:szCs w:val="26"/>
        </w:rPr>
        <w:t xml:space="preserve">that </w:t>
      </w:r>
      <w:r w:rsidR="00F96F58">
        <w:rPr>
          <w:sz w:val="26"/>
          <w:szCs w:val="26"/>
        </w:rPr>
        <w:t>sustain</w:t>
      </w:r>
      <w:r w:rsidR="00DB7C4F">
        <w:rPr>
          <w:sz w:val="26"/>
          <w:szCs w:val="26"/>
        </w:rPr>
        <w:t>ed</w:t>
      </w:r>
      <w:r w:rsidR="00F96F58">
        <w:rPr>
          <w:sz w:val="26"/>
          <w:szCs w:val="26"/>
        </w:rPr>
        <w:t xml:space="preserve"> </w:t>
      </w:r>
      <w:r w:rsidR="0066172B" w:rsidRPr="00BB5BDB">
        <w:rPr>
          <w:sz w:val="26"/>
          <w:szCs w:val="26"/>
        </w:rPr>
        <w:t xml:space="preserve">the formal complaint </w:t>
      </w:r>
      <w:r w:rsidR="00480261" w:rsidRPr="00BB5BDB">
        <w:rPr>
          <w:sz w:val="26"/>
          <w:szCs w:val="26"/>
        </w:rPr>
        <w:t xml:space="preserve">or appeal </w:t>
      </w:r>
      <w:r w:rsidR="0066172B" w:rsidRPr="00BB5BDB">
        <w:rPr>
          <w:sz w:val="26"/>
          <w:szCs w:val="26"/>
        </w:rPr>
        <w:t>(</w:t>
      </w:r>
      <w:r w:rsidR="00480261" w:rsidRPr="00BB5BDB">
        <w:rPr>
          <w:sz w:val="26"/>
          <w:szCs w:val="26"/>
        </w:rPr>
        <w:t>Appeal</w:t>
      </w:r>
      <w:r w:rsidR="0066172B" w:rsidRPr="00BB5BDB">
        <w:rPr>
          <w:sz w:val="26"/>
          <w:szCs w:val="26"/>
        </w:rPr>
        <w:t xml:space="preserve">) of Philadelphia Gas Works (PGW) filed on June 9, 2017.  </w:t>
      </w:r>
      <w:r w:rsidR="0066172B" w:rsidRPr="00BB5BDB">
        <w:rPr>
          <w:sz w:val="26"/>
          <w:szCs w:val="26"/>
        </w:rPr>
        <w:lastRenderedPageBreak/>
        <w:t xml:space="preserve">PGW’s </w:t>
      </w:r>
      <w:r w:rsidR="00480261" w:rsidRPr="00BB5BDB">
        <w:rPr>
          <w:sz w:val="26"/>
          <w:szCs w:val="26"/>
        </w:rPr>
        <w:t>Appeal</w:t>
      </w:r>
      <w:r w:rsidR="0066172B" w:rsidRPr="00BB5BDB">
        <w:rPr>
          <w:sz w:val="26"/>
          <w:szCs w:val="26"/>
        </w:rPr>
        <w:t xml:space="preserve"> was a timely appeal</w:t>
      </w:r>
      <w:r w:rsidR="008F3671" w:rsidRPr="00BB5BDB">
        <w:rPr>
          <w:sz w:val="26"/>
          <w:szCs w:val="26"/>
        </w:rPr>
        <w:t xml:space="preserve"> of </w:t>
      </w:r>
      <w:r w:rsidR="0066172B" w:rsidRPr="00BB5BDB">
        <w:rPr>
          <w:sz w:val="26"/>
          <w:szCs w:val="26"/>
        </w:rPr>
        <w:t>the</w:t>
      </w:r>
      <w:r w:rsidR="008F3671" w:rsidRPr="00BB5BDB">
        <w:rPr>
          <w:sz w:val="26"/>
          <w:szCs w:val="26"/>
        </w:rPr>
        <w:t xml:space="preserve"> informal decision issued by the Commission’s Bureau of Consumer Services (BCS)</w:t>
      </w:r>
      <w:r w:rsidR="00734EA8" w:rsidRPr="00BB5BDB">
        <w:rPr>
          <w:sz w:val="26"/>
          <w:szCs w:val="26"/>
        </w:rPr>
        <w:t>,</w:t>
      </w:r>
      <w:r w:rsidR="008F3671" w:rsidRPr="00BB5BDB">
        <w:rPr>
          <w:rFonts w:eastAsiaTheme="minorHAnsi"/>
          <w:sz w:val="26"/>
          <w:szCs w:val="26"/>
          <w:vertAlign w:val="superscript"/>
        </w:rPr>
        <w:footnoteReference w:id="1"/>
      </w:r>
      <w:r w:rsidR="00734EA8" w:rsidRPr="00BB5BDB">
        <w:rPr>
          <w:sz w:val="26"/>
          <w:szCs w:val="26"/>
        </w:rPr>
        <w:t xml:space="preserve"> which granted, in part, the</w:t>
      </w:r>
      <w:r w:rsidR="008F3671" w:rsidRPr="00BB5BDB">
        <w:rPr>
          <w:sz w:val="26"/>
          <w:szCs w:val="26"/>
        </w:rPr>
        <w:t xml:space="preserve"> informal complaint </w:t>
      </w:r>
      <w:r w:rsidR="002A6231">
        <w:rPr>
          <w:sz w:val="26"/>
          <w:szCs w:val="26"/>
        </w:rPr>
        <w:t>filed</w:t>
      </w:r>
      <w:r w:rsidR="008F3671" w:rsidRPr="00BB5BDB">
        <w:rPr>
          <w:sz w:val="26"/>
          <w:szCs w:val="26"/>
        </w:rPr>
        <w:t xml:space="preserve"> by Kelvin E. Thomas against PGW</w:t>
      </w:r>
      <w:r w:rsidR="0066172B" w:rsidRPr="00BB5BDB">
        <w:rPr>
          <w:sz w:val="26"/>
          <w:szCs w:val="26"/>
        </w:rPr>
        <w:t>, which had been</w:t>
      </w:r>
      <w:r w:rsidR="008F3671" w:rsidRPr="00BB5BDB">
        <w:rPr>
          <w:sz w:val="26"/>
          <w:szCs w:val="26"/>
        </w:rPr>
        <w:t xml:space="preserve"> consolidated with a separate complaint filed several months later by Mr. Thomas, also against PGW. </w:t>
      </w:r>
      <w:r w:rsidRPr="00BB5BDB">
        <w:rPr>
          <w:sz w:val="26"/>
          <w:szCs w:val="26"/>
        </w:rPr>
        <w:t xml:space="preserve"> </w:t>
      </w:r>
      <w:r w:rsidR="00355638">
        <w:rPr>
          <w:sz w:val="26"/>
          <w:szCs w:val="26"/>
        </w:rPr>
        <w:t xml:space="preserve">No </w:t>
      </w:r>
      <w:r w:rsidR="00355638" w:rsidRPr="00C70E8F">
        <w:rPr>
          <w:sz w:val="26"/>
          <w:szCs w:val="26"/>
        </w:rPr>
        <w:t xml:space="preserve">Exceptions </w:t>
      </w:r>
      <w:r w:rsidR="00355638">
        <w:rPr>
          <w:sz w:val="26"/>
          <w:szCs w:val="26"/>
        </w:rPr>
        <w:t>were</w:t>
      </w:r>
      <w:r w:rsidR="00355638" w:rsidRPr="00C70E8F">
        <w:rPr>
          <w:sz w:val="26"/>
          <w:szCs w:val="26"/>
        </w:rPr>
        <w:t xml:space="preserve"> filed.  However, we exercised our right to review the Initial Decision pursuant to Section 332(h) of the Public Utility Code (Code), 66 Pa. C.S. § 332(h).</w:t>
      </w:r>
      <w:r w:rsidR="00355638">
        <w:rPr>
          <w:sz w:val="26"/>
          <w:szCs w:val="26"/>
        </w:rPr>
        <w:t xml:space="preserve">  </w:t>
      </w:r>
      <w:r w:rsidRPr="00BB5BDB">
        <w:rPr>
          <w:sz w:val="26"/>
          <w:szCs w:val="26"/>
        </w:rPr>
        <w:t xml:space="preserve">For the reasons stated below, </w:t>
      </w:r>
      <w:r w:rsidR="00A70DEA" w:rsidRPr="00BB5BDB">
        <w:rPr>
          <w:sz w:val="26"/>
          <w:szCs w:val="26"/>
        </w:rPr>
        <w:t xml:space="preserve">we shall </w:t>
      </w:r>
      <w:r w:rsidR="008F3671" w:rsidRPr="00BB5BDB">
        <w:rPr>
          <w:sz w:val="26"/>
          <w:szCs w:val="26"/>
        </w:rPr>
        <w:t xml:space="preserve">vacate the </w:t>
      </w:r>
      <w:r w:rsidR="00E1334F" w:rsidRPr="00BB5BDB">
        <w:rPr>
          <w:sz w:val="26"/>
          <w:szCs w:val="26"/>
        </w:rPr>
        <w:t xml:space="preserve">ALJ’s </w:t>
      </w:r>
      <w:r w:rsidR="008F3671" w:rsidRPr="00BB5BDB">
        <w:rPr>
          <w:sz w:val="26"/>
          <w:szCs w:val="26"/>
        </w:rPr>
        <w:t>Initial Decision and remand the matter to the Office of Administrative Law Judge</w:t>
      </w:r>
      <w:r w:rsidR="00A70DEA" w:rsidRPr="00BB5BDB">
        <w:rPr>
          <w:sz w:val="26"/>
          <w:szCs w:val="26"/>
        </w:rPr>
        <w:t xml:space="preserve"> for further proceedings, consistent with this Opinion and Order.</w:t>
      </w:r>
    </w:p>
    <w:p w:rsidR="000E05C8" w:rsidRPr="00BB5BDB" w:rsidRDefault="000E05C8" w:rsidP="000E05C8">
      <w:pPr>
        <w:keepNext/>
        <w:keepLines/>
        <w:widowControl/>
        <w:spacing w:line="360" w:lineRule="auto"/>
        <w:contextualSpacing/>
        <w:rPr>
          <w:sz w:val="26"/>
          <w:szCs w:val="26"/>
        </w:rPr>
      </w:pPr>
    </w:p>
    <w:p w:rsidR="005F46C6" w:rsidRPr="00BB5BDB" w:rsidRDefault="005F46C6" w:rsidP="004949A8">
      <w:pPr>
        <w:pStyle w:val="ListParagraph"/>
        <w:keepNext/>
        <w:keepLines/>
        <w:widowControl/>
        <w:numPr>
          <w:ilvl w:val="0"/>
          <w:numId w:val="2"/>
        </w:numPr>
        <w:spacing w:line="360" w:lineRule="auto"/>
        <w:jc w:val="center"/>
        <w:rPr>
          <w:b/>
          <w:sz w:val="26"/>
          <w:szCs w:val="26"/>
        </w:rPr>
      </w:pPr>
      <w:r w:rsidRPr="00BB5BDB">
        <w:rPr>
          <w:b/>
          <w:sz w:val="26"/>
          <w:szCs w:val="26"/>
        </w:rPr>
        <w:t>History of the Proceeding</w:t>
      </w:r>
    </w:p>
    <w:p w:rsidR="00397314" w:rsidRPr="00BB5BDB" w:rsidRDefault="00397314" w:rsidP="00397314">
      <w:pPr>
        <w:widowControl/>
        <w:autoSpaceDE w:val="0"/>
        <w:autoSpaceDN w:val="0"/>
        <w:adjustRightInd w:val="0"/>
        <w:rPr>
          <w:rFonts w:eastAsiaTheme="minorHAnsi"/>
          <w:sz w:val="26"/>
          <w:szCs w:val="26"/>
        </w:rPr>
      </w:pPr>
    </w:p>
    <w:p w:rsidR="00790304" w:rsidRPr="00BB5BDB" w:rsidRDefault="00C86FA8" w:rsidP="00790304">
      <w:pPr>
        <w:pStyle w:val="Default"/>
        <w:spacing w:line="360" w:lineRule="auto"/>
        <w:ind w:firstLine="1440"/>
        <w:rPr>
          <w:color w:val="auto"/>
          <w:sz w:val="26"/>
          <w:szCs w:val="26"/>
        </w:rPr>
      </w:pPr>
      <w:r w:rsidRPr="00BB5BDB">
        <w:rPr>
          <w:color w:val="auto"/>
          <w:sz w:val="26"/>
          <w:szCs w:val="26"/>
        </w:rPr>
        <w:t xml:space="preserve">On June 9, 2017, </w:t>
      </w:r>
      <w:r w:rsidR="0066172B" w:rsidRPr="00BB5BDB">
        <w:rPr>
          <w:color w:val="auto"/>
          <w:sz w:val="26"/>
          <w:szCs w:val="26"/>
        </w:rPr>
        <w:t xml:space="preserve">PGW </w:t>
      </w:r>
      <w:r w:rsidRPr="00BB5BDB">
        <w:rPr>
          <w:color w:val="auto"/>
          <w:sz w:val="26"/>
          <w:szCs w:val="26"/>
        </w:rPr>
        <w:t xml:space="preserve">filed </w:t>
      </w:r>
      <w:r w:rsidR="00D1668F" w:rsidRPr="00BB5BDB">
        <w:rPr>
          <w:color w:val="auto"/>
          <w:sz w:val="26"/>
          <w:szCs w:val="26"/>
        </w:rPr>
        <w:t>its</w:t>
      </w:r>
      <w:r w:rsidR="00DD28C6" w:rsidRPr="00BB5BDB">
        <w:rPr>
          <w:color w:val="auto"/>
          <w:sz w:val="26"/>
          <w:szCs w:val="26"/>
        </w:rPr>
        <w:t xml:space="preserve"> </w:t>
      </w:r>
      <w:r w:rsidR="00480261" w:rsidRPr="00BB5BDB">
        <w:rPr>
          <w:color w:val="auto"/>
          <w:sz w:val="26"/>
          <w:szCs w:val="26"/>
        </w:rPr>
        <w:t>Appeal</w:t>
      </w:r>
      <w:r w:rsidRPr="00BB5BDB">
        <w:rPr>
          <w:color w:val="auto"/>
          <w:sz w:val="26"/>
          <w:szCs w:val="26"/>
        </w:rPr>
        <w:t xml:space="preserve"> with </w:t>
      </w:r>
      <w:r w:rsidR="005F1397" w:rsidRPr="00BB5BDB">
        <w:rPr>
          <w:color w:val="auto"/>
          <w:sz w:val="26"/>
          <w:szCs w:val="26"/>
        </w:rPr>
        <w:t xml:space="preserve">the Commission, at Docket No. F-2017-2611788, </w:t>
      </w:r>
      <w:r w:rsidR="00734EA8" w:rsidRPr="00BB5BDB">
        <w:rPr>
          <w:color w:val="auto"/>
          <w:sz w:val="26"/>
          <w:szCs w:val="26"/>
        </w:rPr>
        <w:t>challenging the</w:t>
      </w:r>
      <w:r w:rsidR="005F1397" w:rsidRPr="00BB5BDB">
        <w:rPr>
          <w:color w:val="auto"/>
          <w:sz w:val="26"/>
          <w:szCs w:val="26"/>
        </w:rPr>
        <w:t xml:space="preserve"> informal decision </w:t>
      </w:r>
      <w:r w:rsidR="00734EA8" w:rsidRPr="00BB5BDB">
        <w:rPr>
          <w:color w:val="auto"/>
          <w:sz w:val="26"/>
          <w:szCs w:val="26"/>
        </w:rPr>
        <w:t>issued by the B</w:t>
      </w:r>
      <w:r w:rsidR="005F1397" w:rsidRPr="00BB5BDB">
        <w:rPr>
          <w:color w:val="auto"/>
          <w:sz w:val="26"/>
          <w:szCs w:val="26"/>
        </w:rPr>
        <w:t xml:space="preserve">CS </w:t>
      </w:r>
      <w:r w:rsidR="00EB5631" w:rsidRPr="00BB5BDB">
        <w:rPr>
          <w:color w:val="auto"/>
          <w:sz w:val="26"/>
          <w:szCs w:val="26"/>
        </w:rPr>
        <w:t>on</w:t>
      </w:r>
      <w:r w:rsidR="005F1397" w:rsidRPr="00BB5BDB">
        <w:rPr>
          <w:color w:val="auto"/>
          <w:sz w:val="26"/>
          <w:szCs w:val="26"/>
        </w:rPr>
        <w:t xml:space="preserve"> April 21, 2017, at Case No. 3491811.  In the </w:t>
      </w:r>
      <w:r w:rsidR="00480261" w:rsidRPr="00BB5BDB">
        <w:rPr>
          <w:color w:val="auto"/>
          <w:sz w:val="26"/>
          <w:szCs w:val="26"/>
        </w:rPr>
        <w:t>Appeal</w:t>
      </w:r>
      <w:r w:rsidR="005F1397" w:rsidRPr="00BB5BDB">
        <w:rPr>
          <w:color w:val="auto"/>
          <w:sz w:val="26"/>
          <w:szCs w:val="26"/>
        </w:rPr>
        <w:t>, PGW argued</w:t>
      </w:r>
      <w:r w:rsidRPr="00BB5BDB">
        <w:rPr>
          <w:color w:val="auto"/>
          <w:sz w:val="26"/>
          <w:szCs w:val="26"/>
        </w:rPr>
        <w:t xml:space="preserve"> </w:t>
      </w:r>
      <w:r w:rsidR="00790304" w:rsidRPr="00BB5BDB">
        <w:rPr>
          <w:color w:val="auto"/>
          <w:sz w:val="26"/>
          <w:szCs w:val="26"/>
        </w:rPr>
        <w:t xml:space="preserve">that </w:t>
      </w:r>
      <w:r w:rsidR="005F1397" w:rsidRPr="00BB5BDB">
        <w:rPr>
          <w:color w:val="auto"/>
          <w:sz w:val="26"/>
          <w:szCs w:val="26"/>
        </w:rPr>
        <w:t>the</w:t>
      </w:r>
      <w:r w:rsidRPr="00BB5BDB">
        <w:rPr>
          <w:color w:val="auto"/>
          <w:sz w:val="26"/>
          <w:szCs w:val="26"/>
        </w:rPr>
        <w:t xml:space="preserve"> BCS</w:t>
      </w:r>
      <w:r w:rsidR="00EB5631" w:rsidRPr="00BB5BDB">
        <w:rPr>
          <w:color w:val="auto"/>
          <w:sz w:val="26"/>
          <w:szCs w:val="26"/>
        </w:rPr>
        <w:t>’s</w:t>
      </w:r>
      <w:r w:rsidR="005F1397" w:rsidRPr="00BB5BDB">
        <w:rPr>
          <w:color w:val="auto"/>
          <w:sz w:val="26"/>
          <w:szCs w:val="26"/>
        </w:rPr>
        <w:t xml:space="preserve"> informal decision</w:t>
      </w:r>
      <w:r w:rsidR="00790304" w:rsidRPr="00BB5BDB">
        <w:rPr>
          <w:color w:val="auto"/>
          <w:sz w:val="26"/>
          <w:szCs w:val="26"/>
        </w:rPr>
        <w:t xml:space="preserve"> erred by</w:t>
      </w:r>
      <w:r w:rsidRPr="00BB5BDB">
        <w:rPr>
          <w:color w:val="auto"/>
          <w:sz w:val="26"/>
          <w:szCs w:val="26"/>
        </w:rPr>
        <w:t xml:space="preserve"> </w:t>
      </w:r>
      <w:r w:rsidR="005F1397" w:rsidRPr="00BB5BDB">
        <w:rPr>
          <w:color w:val="auto"/>
          <w:sz w:val="26"/>
          <w:szCs w:val="26"/>
        </w:rPr>
        <w:t>granting</w:t>
      </w:r>
      <w:r w:rsidR="00934DB7" w:rsidRPr="00BB5BDB">
        <w:rPr>
          <w:color w:val="auto"/>
          <w:sz w:val="26"/>
          <w:szCs w:val="26"/>
        </w:rPr>
        <w:t xml:space="preserve">, in part, </w:t>
      </w:r>
      <w:r w:rsidR="005F1397" w:rsidRPr="00BB5BDB">
        <w:rPr>
          <w:color w:val="auto"/>
          <w:sz w:val="26"/>
          <w:szCs w:val="26"/>
        </w:rPr>
        <w:t xml:space="preserve">Mr. Thomas’ informal complaint.  </w:t>
      </w:r>
      <w:r w:rsidRPr="00BB5BDB">
        <w:rPr>
          <w:color w:val="auto"/>
          <w:sz w:val="26"/>
          <w:szCs w:val="26"/>
        </w:rPr>
        <w:t>Specifically, PGW assert</w:t>
      </w:r>
      <w:r w:rsidR="00D1668F" w:rsidRPr="00BB5BDB">
        <w:rPr>
          <w:color w:val="auto"/>
          <w:sz w:val="26"/>
          <w:szCs w:val="26"/>
        </w:rPr>
        <w:t>ed</w:t>
      </w:r>
      <w:r w:rsidRPr="00BB5BDB">
        <w:rPr>
          <w:color w:val="auto"/>
          <w:sz w:val="26"/>
          <w:szCs w:val="26"/>
        </w:rPr>
        <w:t xml:space="preserve"> that </w:t>
      </w:r>
      <w:r w:rsidR="002A6231">
        <w:rPr>
          <w:color w:val="auto"/>
          <w:sz w:val="26"/>
          <w:szCs w:val="26"/>
        </w:rPr>
        <w:t xml:space="preserve">the </w:t>
      </w:r>
      <w:r w:rsidRPr="00BB5BDB">
        <w:rPr>
          <w:color w:val="auto"/>
          <w:sz w:val="26"/>
          <w:szCs w:val="26"/>
        </w:rPr>
        <w:t xml:space="preserve">BCS erred in determining that a </w:t>
      </w:r>
      <w:r w:rsidR="00AA253B">
        <w:rPr>
          <w:color w:val="auto"/>
          <w:sz w:val="26"/>
          <w:szCs w:val="26"/>
        </w:rPr>
        <w:t xml:space="preserve">gas </w:t>
      </w:r>
      <w:r w:rsidRPr="00BB5BDB">
        <w:rPr>
          <w:color w:val="auto"/>
          <w:sz w:val="26"/>
          <w:szCs w:val="26"/>
        </w:rPr>
        <w:t xml:space="preserve">leak survey conducted at the </w:t>
      </w:r>
      <w:r w:rsidR="005F1397" w:rsidRPr="00BB5BDB">
        <w:rPr>
          <w:color w:val="auto"/>
          <w:sz w:val="26"/>
          <w:szCs w:val="26"/>
        </w:rPr>
        <w:t>s</w:t>
      </w:r>
      <w:r w:rsidRPr="00BB5BDB">
        <w:rPr>
          <w:color w:val="auto"/>
          <w:sz w:val="26"/>
          <w:szCs w:val="26"/>
        </w:rPr>
        <w:t xml:space="preserve">ervice </w:t>
      </w:r>
      <w:r w:rsidR="005F1397" w:rsidRPr="00BB5BDB">
        <w:rPr>
          <w:color w:val="auto"/>
          <w:sz w:val="26"/>
          <w:szCs w:val="26"/>
        </w:rPr>
        <w:t>a</w:t>
      </w:r>
      <w:r w:rsidRPr="00BB5BDB">
        <w:rPr>
          <w:color w:val="auto"/>
          <w:sz w:val="26"/>
          <w:szCs w:val="26"/>
        </w:rPr>
        <w:t xml:space="preserve">ddress should have detected meter tampering. </w:t>
      </w:r>
      <w:r w:rsidR="00D1668F" w:rsidRPr="00BB5BDB">
        <w:rPr>
          <w:color w:val="auto"/>
          <w:sz w:val="26"/>
          <w:szCs w:val="26"/>
        </w:rPr>
        <w:t xml:space="preserve"> </w:t>
      </w:r>
      <w:r w:rsidR="00790304" w:rsidRPr="00BB5BDB">
        <w:rPr>
          <w:color w:val="auto"/>
          <w:sz w:val="26"/>
          <w:szCs w:val="26"/>
        </w:rPr>
        <w:t>Additionally, PGW argued that the BCS erred by requiring PGW to reduce the amount of unauthorized usage from 4940 CCFs to 818 CCFs and that the time frame of unauthorized usage should be limited to April 28, 2015 (the date of the leak survey), to June 16, 2016.  In the Appeal, PGW argued it should be able to charge Mr. Thomas with unauthorized usage dating back to August 9, 2009, the date his gas service was terminated due to non-payment.</w:t>
      </w:r>
    </w:p>
    <w:p w:rsidR="00D1668F" w:rsidRPr="00BB5BDB" w:rsidRDefault="00D1668F" w:rsidP="00790304">
      <w:pPr>
        <w:pStyle w:val="Default"/>
        <w:spacing w:line="360" w:lineRule="auto"/>
        <w:ind w:firstLine="1440"/>
        <w:rPr>
          <w:color w:val="auto"/>
          <w:sz w:val="26"/>
          <w:szCs w:val="26"/>
        </w:rPr>
      </w:pPr>
    </w:p>
    <w:p w:rsidR="00934DB7" w:rsidRPr="00BB5BDB" w:rsidRDefault="00934DB7" w:rsidP="00D1668F">
      <w:pPr>
        <w:pStyle w:val="Default"/>
        <w:spacing w:line="360" w:lineRule="auto"/>
        <w:ind w:firstLine="1440"/>
        <w:rPr>
          <w:color w:val="auto"/>
          <w:sz w:val="26"/>
          <w:szCs w:val="26"/>
        </w:rPr>
      </w:pPr>
      <w:r w:rsidRPr="00BB5BDB">
        <w:rPr>
          <w:color w:val="auto"/>
          <w:sz w:val="26"/>
          <w:szCs w:val="26"/>
        </w:rPr>
        <w:t xml:space="preserve">On June 29, 2017, the Commission’s Secretary’s Bureau served PGW’s </w:t>
      </w:r>
      <w:r w:rsidR="00480261" w:rsidRPr="00BB5BDB">
        <w:rPr>
          <w:color w:val="auto"/>
          <w:sz w:val="26"/>
          <w:szCs w:val="26"/>
        </w:rPr>
        <w:t>Appeal</w:t>
      </w:r>
      <w:r w:rsidRPr="00BB5BDB">
        <w:rPr>
          <w:color w:val="auto"/>
          <w:sz w:val="26"/>
          <w:szCs w:val="26"/>
        </w:rPr>
        <w:t xml:space="preserve"> on Mr. Thomas by certified mail to the address at 2003 North 25th Street, Philadelphia, PA 19121.  The certified mail envelope was returned to the Commission as “</w:t>
      </w:r>
      <w:r w:rsidR="00A37E42">
        <w:rPr>
          <w:color w:val="auto"/>
          <w:sz w:val="26"/>
          <w:szCs w:val="26"/>
        </w:rPr>
        <w:t xml:space="preserve">Return to Sender.  </w:t>
      </w:r>
      <w:r w:rsidRPr="00BB5BDB">
        <w:rPr>
          <w:color w:val="auto"/>
          <w:sz w:val="26"/>
          <w:szCs w:val="26"/>
        </w:rPr>
        <w:t>Unclaimed.  Unable to Forward.”</w:t>
      </w:r>
    </w:p>
    <w:p w:rsidR="00934DB7" w:rsidRPr="00BB5BDB" w:rsidRDefault="00934DB7" w:rsidP="00D1668F">
      <w:pPr>
        <w:pStyle w:val="Default"/>
        <w:spacing w:line="360" w:lineRule="auto"/>
        <w:ind w:firstLine="1440"/>
        <w:rPr>
          <w:color w:val="auto"/>
          <w:sz w:val="26"/>
          <w:szCs w:val="26"/>
        </w:rPr>
      </w:pPr>
    </w:p>
    <w:p w:rsidR="00934DB7" w:rsidRPr="00BB5BDB" w:rsidRDefault="00934DB7" w:rsidP="00D1668F">
      <w:pPr>
        <w:pStyle w:val="Default"/>
        <w:spacing w:line="360" w:lineRule="auto"/>
        <w:ind w:firstLine="1440"/>
        <w:rPr>
          <w:color w:val="auto"/>
          <w:sz w:val="26"/>
          <w:szCs w:val="26"/>
        </w:rPr>
      </w:pPr>
      <w:r w:rsidRPr="00BB5BDB">
        <w:rPr>
          <w:color w:val="auto"/>
          <w:sz w:val="26"/>
          <w:szCs w:val="26"/>
        </w:rPr>
        <w:t xml:space="preserve">On August 8, 2017, the Commission’s Secretary’s Bureau re-served PGW’s </w:t>
      </w:r>
      <w:r w:rsidR="00480261" w:rsidRPr="00BB5BDB">
        <w:rPr>
          <w:color w:val="auto"/>
          <w:sz w:val="26"/>
          <w:szCs w:val="26"/>
        </w:rPr>
        <w:t>Appeal</w:t>
      </w:r>
      <w:r w:rsidRPr="00BB5BDB">
        <w:rPr>
          <w:color w:val="auto"/>
          <w:sz w:val="26"/>
          <w:szCs w:val="26"/>
        </w:rPr>
        <w:t xml:space="preserve"> on Mr. Thomas by certified mail to the </w:t>
      </w:r>
      <w:r w:rsidR="002A6231">
        <w:rPr>
          <w:color w:val="auto"/>
          <w:sz w:val="26"/>
          <w:szCs w:val="26"/>
        </w:rPr>
        <w:t xml:space="preserve">same </w:t>
      </w:r>
      <w:r w:rsidRPr="00BB5BDB">
        <w:rPr>
          <w:color w:val="auto"/>
          <w:sz w:val="26"/>
          <w:szCs w:val="26"/>
        </w:rPr>
        <w:t xml:space="preserve">address at 2003 North 25th Street, Philadelphia, PA 19121.  The Commission’s records do not indicate that the re-served </w:t>
      </w:r>
      <w:r w:rsidR="00480261" w:rsidRPr="00BB5BDB">
        <w:rPr>
          <w:color w:val="auto"/>
          <w:sz w:val="26"/>
          <w:szCs w:val="26"/>
        </w:rPr>
        <w:t>Appeal</w:t>
      </w:r>
      <w:r w:rsidRPr="00BB5BDB">
        <w:rPr>
          <w:color w:val="auto"/>
          <w:sz w:val="26"/>
          <w:szCs w:val="26"/>
        </w:rPr>
        <w:t xml:space="preserve"> was returned as undeliverable.</w:t>
      </w: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r w:rsidRPr="00BB5BDB">
        <w:rPr>
          <w:rFonts w:eastAsiaTheme="minorHAnsi"/>
          <w:sz w:val="26"/>
          <w:szCs w:val="26"/>
        </w:rPr>
        <w:t>Mr. Thomas did not fi</w:t>
      </w:r>
      <w:r w:rsidR="00D1668F" w:rsidRPr="00BB5BDB">
        <w:rPr>
          <w:rFonts w:eastAsiaTheme="minorHAnsi"/>
          <w:sz w:val="26"/>
          <w:szCs w:val="26"/>
        </w:rPr>
        <w:t xml:space="preserve">le an Answer to PGW’s </w:t>
      </w:r>
      <w:r w:rsidR="00480261" w:rsidRPr="00BB5BDB">
        <w:rPr>
          <w:rFonts w:eastAsiaTheme="minorHAnsi"/>
          <w:sz w:val="26"/>
          <w:szCs w:val="26"/>
        </w:rPr>
        <w:t>Appeal</w:t>
      </w:r>
      <w:r w:rsidRPr="00BB5BDB">
        <w:rPr>
          <w:rFonts w:eastAsiaTheme="minorHAnsi"/>
          <w:sz w:val="26"/>
          <w:szCs w:val="26"/>
        </w:rPr>
        <w:t xml:space="preserve"> </w:t>
      </w:r>
      <w:r w:rsidR="00D1668F" w:rsidRPr="00BB5BDB">
        <w:rPr>
          <w:sz w:val="26"/>
          <w:szCs w:val="26"/>
        </w:rPr>
        <w:t>at Docket No. F</w:t>
      </w:r>
      <w:r w:rsidR="00AA253B">
        <w:rPr>
          <w:sz w:val="26"/>
          <w:szCs w:val="26"/>
        </w:rPr>
        <w:noBreakHyphen/>
      </w:r>
      <w:r w:rsidR="00D1668F" w:rsidRPr="00BB5BDB">
        <w:rPr>
          <w:sz w:val="26"/>
          <w:szCs w:val="26"/>
        </w:rPr>
        <w:t>2017-2611788.</w:t>
      </w: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r w:rsidRPr="00BB5BDB">
        <w:rPr>
          <w:rFonts w:eastAsiaTheme="minorHAnsi"/>
          <w:sz w:val="26"/>
          <w:szCs w:val="26"/>
        </w:rPr>
        <w:t>By Hearing Notice dated August 8, 2017, a hearing was scheduled for Thursday, October 12, 2017, at 10:00 a.m., and the matter was assigned to ALJ Guhl.</w:t>
      </w:r>
      <w:r w:rsidR="00934DB7" w:rsidRPr="00BB5BDB">
        <w:rPr>
          <w:rFonts w:eastAsiaTheme="minorHAnsi"/>
          <w:sz w:val="26"/>
          <w:szCs w:val="26"/>
        </w:rPr>
        <w:t xml:space="preserve">  The Hearing Notice was sent to Mr. Thomas to the address at </w:t>
      </w:r>
      <w:r w:rsidR="00934DB7" w:rsidRPr="00BB5BDB">
        <w:rPr>
          <w:sz w:val="26"/>
          <w:szCs w:val="26"/>
        </w:rPr>
        <w:t>2003 North 25th Street, Philadelphia, PA 19121.</w:t>
      </w:r>
      <w:r w:rsidR="005E22CB" w:rsidRPr="00BB5BDB">
        <w:rPr>
          <w:sz w:val="26"/>
          <w:szCs w:val="26"/>
        </w:rPr>
        <w:t xml:space="preserve">  The Commission’s records do not indicate that the Hearing Notice was returned as undeliverable.</w:t>
      </w: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r w:rsidRPr="00BB5BDB">
        <w:rPr>
          <w:rFonts w:eastAsiaTheme="minorHAnsi"/>
          <w:sz w:val="26"/>
          <w:szCs w:val="26"/>
        </w:rPr>
        <w:t xml:space="preserve"> </w:t>
      </w:r>
    </w:p>
    <w:p w:rsidR="00E743CB" w:rsidRPr="00BB5BDB" w:rsidRDefault="00C86FA8" w:rsidP="00C86FA8">
      <w:pPr>
        <w:pStyle w:val="Default"/>
        <w:spacing w:line="360" w:lineRule="auto"/>
        <w:ind w:firstLine="1440"/>
        <w:rPr>
          <w:color w:val="auto"/>
          <w:sz w:val="26"/>
          <w:szCs w:val="26"/>
        </w:rPr>
      </w:pPr>
      <w:r w:rsidRPr="00BB5BDB">
        <w:rPr>
          <w:color w:val="auto"/>
          <w:sz w:val="26"/>
          <w:szCs w:val="26"/>
        </w:rPr>
        <w:t>On August 14, 2</w:t>
      </w:r>
      <w:r w:rsidR="00D1668F" w:rsidRPr="00BB5BDB">
        <w:rPr>
          <w:color w:val="auto"/>
          <w:sz w:val="26"/>
          <w:szCs w:val="26"/>
        </w:rPr>
        <w:t>017, Mr. Thomas filed a formal c</w:t>
      </w:r>
      <w:r w:rsidRPr="00BB5BDB">
        <w:rPr>
          <w:color w:val="auto"/>
          <w:sz w:val="26"/>
          <w:szCs w:val="26"/>
        </w:rPr>
        <w:t>omplaint</w:t>
      </w:r>
      <w:r w:rsidR="00D1668F" w:rsidRPr="00BB5BDB">
        <w:rPr>
          <w:color w:val="auto"/>
          <w:sz w:val="26"/>
          <w:szCs w:val="26"/>
        </w:rPr>
        <w:t xml:space="preserve"> (Complaint)</w:t>
      </w:r>
      <w:r w:rsidRPr="00BB5BDB">
        <w:rPr>
          <w:color w:val="auto"/>
          <w:sz w:val="26"/>
          <w:szCs w:val="26"/>
        </w:rPr>
        <w:t xml:space="preserve"> with the Commission</w:t>
      </w:r>
      <w:r w:rsidR="00D1668F" w:rsidRPr="00BB5BDB">
        <w:rPr>
          <w:color w:val="auto"/>
          <w:sz w:val="26"/>
          <w:szCs w:val="26"/>
        </w:rPr>
        <w:t>, at Docket No. C-2017-2621275</w:t>
      </w:r>
      <w:r w:rsidRPr="00BB5BDB">
        <w:rPr>
          <w:color w:val="auto"/>
          <w:sz w:val="26"/>
          <w:szCs w:val="26"/>
        </w:rPr>
        <w:t xml:space="preserve">. </w:t>
      </w:r>
      <w:r w:rsidR="00D1668F" w:rsidRPr="00BB5BDB">
        <w:rPr>
          <w:color w:val="auto"/>
          <w:sz w:val="26"/>
          <w:szCs w:val="26"/>
        </w:rPr>
        <w:t xml:space="preserve"> </w:t>
      </w:r>
      <w:r w:rsidRPr="00BB5BDB">
        <w:rPr>
          <w:color w:val="auto"/>
          <w:sz w:val="26"/>
          <w:szCs w:val="26"/>
        </w:rPr>
        <w:t xml:space="preserve">Mr. Thomas alleged that there were incorrect charges on his bills and that PGW had overcharged him. </w:t>
      </w:r>
      <w:r w:rsidR="00D1668F" w:rsidRPr="00BB5BDB">
        <w:rPr>
          <w:color w:val="auto"/>
          <w:sz w:val="26"/>
          <w:szCs w:val="26"/>
        </w:rPr>
        <w:t xml:space="preserve"> </w:t>
      </w:r>
      <w:r w:rsidR="00EB5631" w:rsidRPr="00BB5BDB">
        <w:rPr>
          <w:color w:val="auto"/>
          <w:sz w:val="26"/>
          <w:szCs w:val="26"/>
        </w:rPr>
        <w:t xml:space="preserve">In addition, </w:t>
      </w:r>
      <w:r w:rsidRPr="00BB5BDB">
        <w:rPr>
          <w:color w:val="auto"/>
          <w:sz w:val="26"/>
          <w:szCs w:val="26"/>
        </w:rPr>
        <w:t>Mr.</w:t>
      </w:r>
      <w:r w:rsidR="00E1677E">
        <w:rPr>
          <w:color w:val="auto"/>
          <w:sz w:val="26"/>
          <w:szCs w:val="26"/>
        </w:rPr>
        <w:t> </w:t>
      </w:r>
      <w:r w:rsidRPr="00BB5BDB">
        <w:rPr>
          <w:color w:val="auto"/>
          <w:sz w:val="26"/>
          <w:szCs w:val="26"/>
        </w:rPr>
        <w:t>Thomas</w:t>
      </w:r>
      <w:r w:rsidR="00EB5631" w:rsidRPr="00BB5BDB">
        <w:rPr>
          <w:color w:val="auto"/>
          <w:sz w:val="26"/>
          <w:szCs w:val="26"/>
        </w:rPr>
        <w:t xml:space="preserve"> challenged </w:t>
      </w:r>
      <w:r w:rsidRPr="00BB5BDB">
        <w:rPr>
          <w:color w:val="auto"/>
          <w:sz w:val="26"/>
          <w:szCs w:val="26"/>
        </w:rPr>
        <w:t>the BCS</w:t>
      </w:r>
      <w:r w:rsidR="00EB5631" w:rsidRPr="00BB5BDB">
        <w:rPr>
          <w:color w:val="auto"/>
          <w:sz w:val="26"/>
          <w:szCs w:val="26"/>
        </w:rPr>
        <w:t>’s</w:t>
      </w:r>
      <w:r w:rsidR="00D1668F" w:rsidRPr="00BB5BDB">
        <w:rPr>
          <w:color w:val="auto"/>
          <w:sz w:val="26"/>
          <w:szCs w:val="26"/>
        </w:rPr>
        <w:t xml:space="preserve"> informal</w:t>
      </w:r>
      <w:r w:rsidRPr="00BB5BDB">
        <w:rPr>
          <w:color w:val="auto"/>
          <w:sz w:val="26"/>
          <w:szCs w:val="26"/>
        </w:rPr>
        <w:t xml:space="preserve"> decision at Case No. 3491811. </w:t>
      </w:r>
      <w:r w:rsidR="00A37E42">
        <w:rPr>
          <w:color w:val="auto"/>
          <w:sz w:val="26"/>
          <w:szCs w:val="26"/>
        </w:rPr>
        <w:t xml:space="preserve"> The address listed on the Complaint was 4446 N. Gratz Street, Philadelphia, PA 19140.</w:t>
      </w:r>
    </w:p>
    <w:p w:rsidR="00C86FA8" w:rsidRPr="00BB5BDB" w:rsidRDefault="00C86FA8" w:rsidP="00C86FA8">
      <w:pPr>
        <w:pStyle w:val="Default"/>
        <w:spacing w:line="360" w:lineRule="auto"/>
        <w:ind w:firstLine="1440"/>
        <w:rPr>
          <w:color w:val="auto"/>
          <w:sz w:val="26"/>
          <w:szCs w:val="26"/>
        </w:rPr>
      </w:pPr>
    </w:p>
    <w:p w:rsidR="00A37E42" w:rsidRDefault="00D1668F" w:rsidP="00934DB7">
      <w:pPr>
        <w:widowControl/>
        <w:autoSpaceDE w:val="0"/>
        <w:autoSpaceDN w:val="0"/>
        <w:adjustRightInd w:val="0"/>
        <w:spacing w:line="360" w:lineRule="auto"/>
        <w:ind w:firstLine="1440"/>
        <w:rPr>
          <w:sz w:val="26"/>
          <w:szCs w:val="26"/>
        </w:rPr>
      </w:pPr>
      <w:r w:rsidRPr="00BB5BDB">
        <w:rPr>
          <w:sz w:val="26"/>
          <w:szCs w:val="26"/>
        </w:rPr>
        <w:t xml:space="preserve">On September 8, 2017, ALJ Guhl </w:t>
      </w:r>
      <w:r w:rsidR="00C86FA8" w:rsidRPr="00BB5BDB">
        <w:rPr>
          <w:sz w:val="26"/>
          <w:szCs w:val="26"/>
        </w:rPr>
        <w:t>issued a Prehearing Order</w:t>
      </w:r>
      <w:r w:rsidRPr="00BB5BDB">
        <w:rPr>
          <w:sz w:val="26"/>
          <w:szCs w:val="26"/>
        </w:rPr>
        <w:t xml:space="preserve"> which directed the P</w:t>
      </w:r>
      <w:r w:rsidR="00C86FA8" w:rsidRPr="00BB5BDB">
        <w:rPr>
          <w:sz w:val="26"/>
          <w:szCs w:val="26"/>
        </w:rPr>
        <w:t>arties to comply with various procedural requiremen</w:t>
      </w:r>
      <w:r w:rsidR="00480261" w:rsidRPr="00BB5BDB">
        <w:rPr>
          <w:sz w:val="26"/>
          <w:szCs w:val="26"/>
        </w:rPr>
        <w:t>ts and also explained that a c</w:t>
      </w:r>
      <w:r w:rsidR="00C86FA8" w:rsidRPr="00BB5BDB">
        <w:rPr>
          <w:sz w:val="26"/>
          <w:szCs w:val="26"/>
        </w:rPr>
        <w:t xml:space="preserve">omplainant bears the burden of proof to establish that the Respondent violated its tariff, the Public Utility Code, or a Commission Order or regulation, and that it is entitled to the relief requested in the </w:t>
      </w:r>
      <w:r w:rsidR="00480261" w:rsidRPr="00BB5BDB">
        <w:rPr>
          <w:sz w:val="26"/>
          <w:szCs w:val="26"/>
        </w:rPr>
        <w:t>c</w:t>
      </w:r>
      <w:r w:rsidR="00C86FA8" w:rsidRPr="00BB5BDB">
        <w:rPr>
          <w:sz w:val="26"/>
          <w:szCs w:val="26"/>
        </w:rPr>
        <w:t>omplaint.</w:t>
      </w:r>
    </w:p>
    <w:p w:rsidR="00A37E42" w:rsidRDefault="00A37E42" w:rsidP="00934DB7">
      <w:pPr>
        <w:widowControl/>
        <w:autoSpaceDE w:val="0"/>
        <w:autoSpaceDN w:val="0"/>
        <w:adjustRightInd w:val="0"/>
        <w:spacing w:line="360" w:lineRule="auto"/>
        <w:ind w:firstLine="1440"/>
        <w:rPr>
          <w:sz w:val="26"/>
          <w:szCs w:val="26"/>
        </w:rPr>
      </w:pPr>
    </w:p>
    <w:p w:rsidR="00934DB7" w:rsidRPr="00BB5BDB" w:rsidRDefault="00934DB7" w:rsidP="00934DB7">
      <w:pPr>
        <w:widowControl/>
        <w:autoSpaceDE w:val="0"/>
        <w:autoSpaceDN w:val="0"/>
        <w:adjustRightInd w:val="0"/>
        <w:spacing w:line="360" w:lineRule="auto"/>
        <w:ind w:firstLine="1440"/>
        <w:rPr>
          <w:rFonts w:eastAsiaTheme="minorHAnsi"/>
          <w:sz w:val="26"/>
          <w:szCs w:val="26"/>
        </w:rPr>
      </w:pPr>
      <w:r w:rsidRPr="00BB5BDB">
        <w:rPr>
          <w:sz w:val="26"/>
          <w:szCs w:val="26"/>
        </w:rPr>
        <w:t xml:space="preserve">The </w:t>
      </w:r>
      <w:r w:rsidR="00A37E42">
        <w:rPr>
          <w:sz w:val="26"/>
          <w:szCs w:val="26"/>
        </w:rPr>
        <w:t xml:space="preserve">September 8, 2017 </w:t>
      </w:r>
      <w:r w:rsidRPr="00BB5BDB">
        <w:rPr>
          <w:sz w:val="26"/>
          <w:szCs w:val="26"/>
        </w:rPr>
        <w:t xml:space="preserve">Prehearing Order was </w:t>
      </w:r>
      <w:r w:rsidRPr="00BB5BDB">
        <w:rPr>
          <w:rFonts w:eastAsiaTheme="minorHAnsi"/>
          <w:sz w:val="26"/>
          <w:szCs w:val="26"/>
        </w:rPr>
        <w:t xml:space="preserve">sent to Mr. Thomas to the address at </w:t>
      </w:r>
      <w:r w:rsidRPr="00BB5BDB">
        <w:rPr>
          <w:sz w:val="26"/>
          <w:szCs w:val="26"/>
        </w:rPr>
        <w:t>2003 North 25th Street, Philadelphia, PA 19121.  The certified mail envelope was returned to the Commission as “</w:t>
      </w:r>
      <w:r w:rsidR="00A37E42">
        <w:rPr>
          <w:sz w:val="26"/>
          <w:szCs w:val="26"/>
        </w:rPr>
        <w:t xml:space="preserve">Return to Sender.  </w:t>
      </w:r>
      <w:r w:rsidRPr="00BB5BDB">
        <w:rPr>
          <w:sz w:val="26"/>
          <w:szCs w:val="26"/>
        </w:rPr>
        <w:t>Unclaimed.  Unable to Forward.”</w:t>
      </w:r>
    </w:p>
    <w:p w:rsidR="00934DB7" w:rsidRPr="00BB5BDB" w:rsidRDefault="00934DB7" w:rsidP="00934DB7">
      <w:pPr>
        <w:widowControl/>
        <w:autoSpaceDE w:val="0"/>
        <w:autoSpaceDN w:val="0"/>
        <w:adjustRightInd w:val="0"/>
        <w:spacing w:line="360" w:lineRule="auto"/>
        <w:ind w:firstLine="1440"/>
        <w:rPr>
          <w:rFonts w:eastAsiaTheme="minorHAnsi"/>
          <w:sz w:val="26"/>
          <w:szCs w:val="26"/>
        </w:rPr>
      </w:pPr>
      <w:r w:rsidRPr="00BB5BDB">
        <w:rPr>
          <w:rFonts w:eastAsiaTheme="minorHAnsi"/>
          <w:sz w:val="26"/>
          <w:szCs w:val="26"/>
        </w:rPr>
        <w:t xml:space="preserve"> </w:t>
      </w: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r w:rsidRPr="00BB5BDB">
        <w:rPr>
          <w:rFonts w:eastAsiaTheme="minorHAnsi"/>
          <w:sz w:val="26"/>
          <w:szCs w:val="26"/>
        </w:rPr>
        <w:t>On September 20, 2017, PGW filed an Answer to Mr. Thomas’</w:t>
      </w:r>
      <w:r w:rsidR="002A6231">
        <w:rPr>
          <w:rFonts w:eastAsiaTheme="minorHAnsi"/>
          <w:sz w:val="26"/>
          <w:szCs w:val="26"/>
        </w:rPr>
        <w:t>s</w:t>
      </w:r>
      <w:r w:rsidRPr="00BB5BDB">
        <w:rPr>
          <w:rFonts w:eastAsiaTheme="minorHAnsi"/>
          <w:sz w:val="26"/>
          <w:szCs w:val="26"/>
        </w:rPr>
        <w:t xml:space="preserve"> Complaint</w:t>
      </w:r>
      <w:r w:rsidR="00D1668F" w:rsidRPr="00BB5BDB">
        <w:rPr>
          <w:rFonts w:eastAsiaTheme="minorHAnsi"/>
          <w:sz w:val="26"/>
          <w:szCs w:val="26"/>
        </w:rPr>
        <w:t>,</w:t>
      </w:r>
      <w:r w:rsidR="00D1668F" w:rsidRPr="00BB5BDB">
        <w:rPr>
          <w:sz w:val="26"/>
          <w:szCs w:val="26"/>
        </w:rPr>
        <w:t xml:space="preserve"> at Docket No. C-2017-2621275</w:t>
      </w:r>
      <w:r w:rsidRPr="00BB5BDB">
        <w:rPr>
          <w:rFonts w:eastAsiaTheme="minorHAnsi"/>
          <w:sz w:val="26"/>
          <w:szCs w:val="26"/>
        </w:rPr>
        <w:t xml:space="preserve">. </w:t>
      </w:r>
      <w:r w:rsidR="00D1668F" w:rsidRPr="00BB5BDB">
        <w:rPr>
          <w:rFonts w:eastAsiaTheme="minorHAnsi"/>
          <w:sz w:val="26"/>
          <w:szCs w:val="26"/>
        </w:rPr>
        <w:t xml:space="preserve"> In its Answer, </w:t>
      </w:r>
      <w:r w:rsidRPr="00BB5BDB">
        <w:rPr>
          <w:rFonts w:eastAsiaTheme="minorHAnsi"/>
          <w:sz w:val="26"/>
          <w:szCs w:val="26"/>
        </w:rPr>
        <w:t xml:space="preserve">PGW denied the material allegations of the Complaint. </w:t>
      </w:r>
    </w:p>
    <w:p w:rsidR="00934DB7" w:rsidRPr="00BB5BDB" w:rsidRDefault="00934DB7" w:rsidP="00C86FA8">
      <w:pPr>
        <w:widowControl/>
        <w:autoSpaceDE w:val="0"/>
        <w:autoSpaceDN w:val="0"/>
        <w:adjustRightInd w:val="0"/>
        <w:spacing w:line="360" w:lineRule="auto"/>
        <w:ind w:firstLine="1440"/>
        <w:rPr>
          <w:rFonts w:eastAsiaTheme="minorHAnsi"/>
          <w:sz w:val="26"/>
          <w:szCs w:val="26"/>
        </w:rPr>
      </w:pPr>
    </w:p>
    <w:p w:rsidR="00934DB7" w:rsidRPr="00BB5BDB" w:rsidRDefault="00934DB7" w:rsidP="00C86FA8">
      <w:pPr>
        <w:widowControl/>
        <w:autoSpaceDE w:val="0"/>
        <w:autoSpaceDN w:val="0"/>
        <w:adjustRightInd w:val="0"/>
        <w:spacing w:line="360" w:lineRule="auto"/>
        <w:ind w:firstLine="1440"/>
        <w:rPr>
          <w:rFonts w:eastAsiaTheme="minorHAnsi"/>
          <w:sz w:val="26"/>
          <w:szCs w:val="26"/>
        </w:rPr>
      </w:pPr>
      <w:r w:rsidRPr="00BB5BDB">
        <w:rPr>
          <w:rFonts w:eastAsiaTheme="minorHAnsi"/>
          <w:sz w:val="26"/>
          <w:szCs w:val="26"/>
        </w:rPr>
        <w:t xml:space="preserve">On September 22, 2017, </w:t>
      </w:r>
      <w:r w:rsidRPr="00BB5BDB">
        <w:rPr>
          <w:sz w:val="26"/>
          <w:szCs w:val="26"/>
        </w:rPr>
        <w:t xml:space="preserve">the Commission’s Secretary’s Bureau re-served PGW’s </w:t>
      </w:r>
      <w:r w:rsidR="00480261" w:rsidRPr="00BB5BDB">
        <w:rPr>
          <w:sz w:val="26"/>
          <w:szCs w:val="26"/>
        </w:rPr>
        <w:t>Appeal</w:t>
      </w:r>
      <w:r w:rsidRPr="00BB5BDB">
        <w:rPr>
          <w:sz w:val="26"/>
          <w:szCs w:val="26"/>
        </w:rPr>
        <w:t xml:space="preserve"> on Mr. Thomas by certified mail to the address at 2003 North 25th Street, Philadelphia, PA 19121.  The Commission’s records do not indicate that the re-served </w:t>
      </w:r>
      <w:r w:rsidR="00480261" w:rsidRPr="00BB5BDB">
        <w:rPr>
          <w:sz w:val="26"/>
          <w:szCs w:val="26"/>
        </w:rPr>
        <w:t>Appeal</w:t>
      </w:r>
      <w:r w:rsidRPr="00BB5BDB">
        <w:rPr>
          <w:sz w:val="26"/>
          <w:szCs w:val="26"/>
        </w:rPr>
        <w:t xml:space="preserve"> was returned as undeliverable</w:t>
      </w: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p>
    <w:p w:rsidR="002A6231" w:rsidRDefault="00C86FA8" w:rsidP="00C86FA8">
      <w:pPr>
        <w:widowControl/>
        <w:autoSpaceDE w:val="0"/>
        <w:autoSpaceDN w:val="0"/>
        <w:adjustRightInd w:val="0"/>
        <w:spacing w:line="360" w:lineRule="auto"/>
        <w:ind w:firstLine="1440"/>
        <w:rPr>
          <w:rFonts w:eastAsiaTheme="minorHAnsi"/>
          <w:sz w:val="26"/>
          <w:szCs w:val="26"/>
        </w:rPr>
      </w:pPr>
      <w:r w:rsidRPr="00BB5BDB">
        <w:rPr>
          <w:rFonts w:eastAsiaTheme="minorHAnsi"/>
          <w:sz w:val="26"/>
          <w:szCs w:val="26"/>
        </w:rPr>
        <w:t>On September 27, 201</w:t>
      </w:r>
      <w:r w:rsidR="00D1668F" w:rsidRPr="00BB5BDB">
        <w:rPr>
          <w:rFonts w:eastAsiaTheme="minorHAnsi"/>
          <w:sz w:val="26"/>
          <w:szCs w:val="26"/>
        </w:rPr>
        <w:t>7, Mr. Thomas filed an amended c</w:t>
      </w:r>
      <w:r w:rsidRPr="00BB5BDB">
        <w:rPr>
          <w:rFonts w:eastAsiaTheme="minorHAnsi"/>
          <w:sz w:val="26"/>
          <w:szCs w:val="26"/>
        </w:rPr>
        <w:t>omplaint</w:t>
      </w:r>
      <w:r w:rsidR="00D1668F" w:rsidRPr="00BB5BDB">
        <w:rPr>
          <w:rFonts w:eastAsiaTheme="minorHAnsi"/>
          <w:sz w:val="26"/>
          <w:szCs w:val="26"/>
        </w:rPr>
        <w:t xml:space="preserve"> (Amended Complaint),</w:t>
      </w:r>
      <w:r w:rsidRPr="00BB5BDB">
        <w:rPr>
          <w:rFonts w:eastAsiaTheme="minorHAnsi"/>
          <w:sz w:val="26"/>
          <w:szCs w:val="26"/>
        </w:rPr>
        <w:t xml:space="preserve"> with the Commission which was substantially similar to his original complaint. </w:t>
      </w:r>
      <w:r w:rsidR="00D1668F" w:rsidRPr="00BB5BDB">
        <w:rPr>
          <w:rFonts w:eastAsiaTheme="minorHAnsi"/>
          <w:sz w:val="26"/>
          <w:szCs w:val="26"/>
        </w:rPr>
        <w:t xml:space="preserve"> </w:t>
      </w:r>
      <w:r w:rsidR="002A6231">
        <w:rPr>
          <w:sz w:val="26"/>
          <w:szCs w:val="26"/>
        </w:rPr>
        <w:t xml:space="preserve">The address listed on the Amended Complaint was </w:t>
      </w:r>
      <w:r w:rsidR="002A6231" w:rsidRPr="00BB5BDB">
        <w:rPr>
          <w:sz w:val="26"/>
          <w:szCs w:val="26"/>
        </w:rPr>
        <w:t xml:space="preserve">at 2003 North 25th Street, Philadelphia, PA 19121.  </w:t>
      </w:r>
    </w:p>
    <w:p w:rsidR="002A6231" w:rsidRDefault="002A6231" w:rsidP="00C86FA8">
      <w:pPr>
        <w:widowControl/>
        <w:autoSpaceDE w:val="0"/>
        <w:autoSpaceDN w:val="0"/>
        <w:adjustRightInd w:val="0"/>
        <w:spacing w:line="360" w:lineRule="auto"/>
        <w:ind w:firstLine="1440"/>
        <w:rPr>
          <w:rFonts w:eastAsiaTheme="minorHAnsi"/>
          <w:sz w:val="26"/>
          <w:szCs w:val="26"/>
        </w:rPr>
      </w:pP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r w:rsidRPr="00BB5BDB">
        <w:rPr>
          <w:rFonts w:eastAsiaTheme="minorHAnsi"/>
          <w:sz w:val="26"/>
          <w:szCs w:val="26"/>
        </w:rPr>
        <w:t>PG</w:t>
      </w:r>
      <w:r w:rsidR="00C27E02" w:rsidRPr="00BB5BDB">
        <w:rPr>
          <w:rFonts w:eastAsiaTheme="minorHAnsi"/>
          <w:sz w:val="26"/>
          <w:szCs w:val="26"/>
        </w:rPr>
        <w:t xml:space="preserve">W did not file an Answer to Mr. Thomas’s </w:t>
      </w:r>
      <w:r w:rsidR="00D1668F" w:rsidRPr="00BB5BDB">
        <w:rPr>
          <w:rFonts w:eastAsiaTheme="minorHAnsi"/>
          <w:sz w:val="26"/>
          <w:szCs w:val="26"/>
        </w:rPr>
        <w:t>A</w:t>
      </w:r>
      <w:r w:rsidR="00C27E02" w:rsidRPr="00BB5BDB">
        <w:rPr>
          <w:rFonts w:eastAsiaTheme="minorHAnsi"/>
          <w:sz w:val="26"/>
          <w:szCs w:val="26"/>
        </w:rPr>
        <w:t xml:space="preserve">mended </w:t>
      </w:r>
      <w:r w:rsidRPr="00BB5BDB">
        <w:rPr>
          <w:rFonts w:eastAsiaTheme="minorHAnsi"/>
          <w:sz w:val="26"/>
          <w:szCs w:val="26"/>
        </w:rPr>
        <w:t xml:space="preserve">Complaint. </w:t>
      </w:r>
    </w:p>
    <w:p w:rsidR="00934DB7" w:rsidRPr="00BB5BDB" w:rsidRDefault="00934DB7" w:rsidP="00C86FA8">
      <w:pPr>
        <w:widowControl/>
        <w:autoSpaceDE w:val="0"/>
        <w:autoSpaceDN w:val="0"/>
        <w:adjustRightInd w:val="0"/>
        <w:spacing w:line="360" w:lineRule="auto"/>
        <w:ind w:firstLine="1440"/>
        <w:rPr>
          <w:rFonts w:eastAsiaTheme="minorHAnsi"/>
          <w:sz w:val="26"/>
          <w:szCs w:val="26"/>
        </w:rPr>
      </w:pPr>
    </w:p>
    <w:p w:rsidR="00934DB7" w:rsidRPr="00BB5BDB" w:rsidRDefault="00934DB7" w:rsidP="00C86FA8">
      <w:pPr>
        <w:widowControl/>
        <w:autoSpaceDE w:val="0"/>
        <w:autoSpaceDN w:val="0"/>
        <w:adjustRightInd w:val="0"/>
        <w:spacing w:line="360" w:lineRule="auto"/>
        <w:ind w:firstLine="1440"/>
        <w:rPr>
          <w:rFonts w:eastAsiaTheme="minorHAnsi"/>
          <w:sz w:val="26"/>
          <w:szCs w:val="26"/>
        </w:rPr>
      </w:pPr>
      <w:r w:rsidRPr="00BB5BDB">
        <w:rPr>
          <w:sz w:val="26"/>
          <w:szCs w:val="26"/>
        </w:rPr>
        <w:t xml:space="preserve">On October 11, 2017, the Commission’s Secretary’s Bureau re-served PGW’s </w:t>
      </w:r>
      <w:r w:rsidR="00480261" w:rsidRPr="00BB5BDB">
        <w:rPr>
          <w:sz w:val="26"/>
          <w:szCs w:val="26"/>
        </w:rPr>
        <w:t>Appeal</w:t>
      </w:r>
      <w:r w:rsidRPr="00BB5BDB">
        <w:rPr>
          <w:sz w:val="26"/>
          <w:szCs w:val="26"/>
        </w:rPr>
        <w:t xml:space="preserve"> on Mr. Thomas by certified mail to a different address</w:t>
      </w:r>
      <w:r w:rsidR="009E1898" w:rsidRPr="00BB5BDB">
        <w:rPr>
          <w:sz w:val="26"/>
          <w:szCs w:val="26"/>
        </w:rPr>
        <w:t>,</w:t>
      </w:r>
      <w:r w:rsidRPr="00BB5BDB">
        <w:rPr>
          <w:sz w:val="26"/>
          <w:szCs w:val="26"/>
        </w:rPr>
        <w:t xml:space="preserve"> at 4446 N</w:t>
      </w:r>
      <w:r w:rsidR="00CC33B0">
        <w:rPr>
          <w:sz w:val="26"/>
          <w:szCs w:val="26"/>
        </w:rPr>
        <w:t>.</w:t>
      </w:r>
      <w:r w:rsidRPr="00BB5BDB">
        <w:rPr>
          <w:sz w:val="26"/>
          <w:szCs w:val="26"/>
        </w:rPr>
        <w:t xml:space="preserve"> Gran</w:t>
      </w:r>
      <w:r w:rsidR="009E1898" w:rsidRPr="00BB5BDB">
        <w:rPr>
          <w:sz w:val="26"/>
          <w:szCs w:val="26"/>
        </w:rPr>
        <w:t>t Street, Philadelphia, PA 19140</w:t>
      </w:r>
      <w:r w:rsidR="002A6231">
        <w:rPr>
          <w:sz w:val="26"/>
          <w:szCs w:val="26"/>
        </w:rPr>
        <w:t>.</w:t>
      </w:r>
      <w:r w:rsidRPr="00BB5BDB">
        <w:rPr>
          <w:sz w:val="26"/>
          <w:szCs w:val="26"/>
        </w:rPr>
        <w:t xml:space="preserve">  The Commission’s records do not indicate that the re-served </w:t>
      </w:r>
      <w:r w:rsidR="00480261" w:rsidRPr="00BB5BDB">
        <w:rPr>
          <w:sz w:val="26"/>
          <w:szCs w:val="26"/>
        </w:rPr>
        <w:t>Appeal</w:t>
      </w:r>
      <w:r w:rsidRPr="00BB5BDB">
        <w:rPr>
          <w:sz w:val="26"/>
          <w:szCs w:val="26"/>
        </w:rPr>
        <w:t xml:space="preserve"> was returned as undeliverable</w:t>
      </w: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r w:rsidRPr="00BB5BDB">
        <w:rPr>
          <w:rFonts w:eastAsiaTheme="minorHAnsi"/>
          <w:sz w:val="26"/>
          <w:szCs w:val="26"/>
        </w:rPr>
        <w:t xml:space="preserve">On October 11, 2017, a hearing was scheduled for </w:t>
      </w:r>
      <w:r w:rsidR="00832A28">
        <w:rPr>
          <w:rFonts w:eastAsiaTheme="minorHAnsi"/>
          <w:sz w:val="26"/>
          <w:szCs w:val="26"/>
        </w:rPr>
        <w:t xml:space="preserve">the Complaint at </w:t>
      </w:r>
      <w:r w:rsidRPr="00BB5BDB">
        <w:rPr>
          <w:rFonts w:eastAsiaTheme="minorHAnsi"/>
          <w:sz w:val="26"/>
          <w:szCs w:val="26"/>
        </w:rPr>
        <w:t>Docket No. C-2017-2621275 for Monday, January 15, 2018, at 10:00 a.m., and the matter was assigned to ALJ Guhl.</w:t>
      </w: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p>
    <w:p w:rsidR="009E1898" w:rsidRPr="00BB5BDB" w:rsidRDefault="00C86FA8" w:rsidP="00C86FA8">
      <w:pPr>
        <w:widowControl/>
        <w:autoSpaceDE w:val="0"/>
        <w:autoSpaceDN w:val="0"/>
        <w:adjustRightInd w:val="0"/>
        <w:spacing w:line="360" w:lineRule="auto"/>
        <w:ind w:firstLine="1440"/>
        <w:rPr>
          <w:rFonts w:eastAsiaTheme="minorHAnsi"/>
          <w:sz w:val="26"/>
          <w:szCs w:val="26"/>
        </w:rPr>
      </w:pPr>
      <w:r w:rsidRPr="00BB5BDB">
        <w:rPr>
          <w:rFonts w:eastAsiaTheme="minorHAnsi"/>
          <w:sz w:val="26"/>
          <w:szCs w:val="26"/>
        </w:rPr>
        <w:t xml:space="preserve">On October 11, 2017, PGW filed a Motion for Continuance and Consolidation of </w:t>
      </w:r>
      <w:r w:rsidR="00D1668F" w:rsidRPr="00BB5BDB">
        <w:rPr>
          <w:rFonts w:eastAsiaTheme="minorHAnsi"/>
          <w:sz w:val="26"/>
          <w:szCs w:val="26"/>
        </w:rPr>
        <w:t>D</w:t>
      </w:r>
      <w:r w:rsidRPr="00BB5BDB">
        <w:rPr>
          <w:rFonts w:eastAsiaTheme="minorHAnsi"/>
          <w:sz w:val="26"/>
          <w:szCs w:val="26"/>
        </w:rPr>
        <w:t xml:space="preserve">ockets. </w:t>
      </w:r>
      <w:r w:rsidR="00D1668F" w:rsidRPr="00BB5BDB">
        <w:rPr>
          <w:rFonts w:eastAsiaTheme="minorHAnsi"/>
          <w:sz w:val="26"/>
          <w:szCs w:val="26"/>
        </w:rPr>
        <w:t xml:space="preserve"> </w:t>
      </w:r>
      <w:r w:rsidRPr="00BB5BDB">
        <w:rPr>
          <w:rFonts w:eastAsiaTheme="minorHAnsi"/>
          <w:sz w:val="26"/>
          <w:szCs w:val="26"/>
        </w:rPr>
        <w:t xml:space="preserve">PGW requested a continuance of the October 12, 2017 hearing and also requested that its </w:t>
      </w:r>
      <w:r w:rsidR="00480261" w:rsidRPr="00BB5BDB">
        <w:rPr>
          <w:rFonts w:eastAsiaTheme="minorHAnsi"/>
          <w:sz w:val="26"/>
          <w:szCs w:val="26"/>
        </w:rPr>
        <w:t>Appeal</w:t>
      </w:r>
      <w:r w:rsidRPr="00BB5BDB">
        <w:rPr>
          <w:rFonts w:eastAsiaTheme="minorHAnsi"/>
          <w:sz w:val="26"/>
          <w:szCs w:val="26"/>
        </w:rPr>
        <w:t xml:space="preserve"> </w:t>
      </w:r>
      <w:r w:rsidR="00D1668F" w:rsidRPr="00BB5BDB">
        <w:rPr>
          <w:rFonts w:eastAsiaTheme="minorHAnsi"/>
          <w:sz w:val="26"/>
          <w:szCs w:val="26"/>
        </w:rPr>
        <w:t xml:space="preserve">be consolidated with </w:t>
      </w:r>
      <w:r w:rsidR="00C27E02" w:rsidRPr="00BB5BDB">
        <w:rPr>
          <w:rFonts w:eastAsiaTheme="minorHAnsi"/>
          <w:sz w:val="26"/>
          <w:szCs w:val="26"/>
        </w:rPr>
        <w:t xml:space="preserve">Mr. </w:t>
      </w:r>
      <w:r w:rsidR="00D1668F" w:rsidRPr="00BB5BDB">
        <w:rPr>
          <w:rFonts w:eastAsiaTheme="minorHAnsi"/>
          <w:sz w:val="26"/>
          <w:szCs w:val="26"/>
        </w:rPr>
        <w:t>Thomas</w:t>
      </w:r>
      <w:r w:rsidR="00C27E02" w:rsidRPr="00BB5BDB">
        <w:rPr>
          <w:rFonts w:eastAsiaTheme="minorHAnsi"/>
          <w:sz w:val="26"/>
          <w:szCs w:val="26"/>
        </w:rPr>
        <w:t>’s</w:t>
      </w:r>
      <w:r w:rsidR="00D1668F" w:rsidRPr="00BB5BDB">
        <w:rPr>
          <w:rFonts w:eastAsiaTheme="minorHAnsi"/>
          <w:sz w:val="26"/>
          <w:szCs w:val="26"/>
        </w:rPr>
        <w:t xml:space="preserve"> </w:t>
      </w:r>
      <w:r w:rsidRPr="00BB5BDB">
        <w:rPr>
          <w:rFonts w:eastAsiaTheme="minorHAnsi"/>
          <w:sz w:val="26"/>
          <w:szCs w:val="26"/>
        </w:rPr>
        <w:t>Complaint</w:t>
      </w:r>
      <w:r w:rsidR="00D1668F" w:rsidRPr="00BB5BDB">
        <w:rPr>
          <w:rFonts w:eastAsiaTheme="minorHAnsi"/>
          <w:sz w:val="26"/>
          <w:szCs w:val="26"/>
        </w:rPr>
        <w:t xml:space="preserve"> and Amended Complaint</w:t>
      </w:r>
      <w:r w:rsidRPr="00BB5BDB">
        <w:rPr>
          <w:rFonts w:eastAsiaTheme="minorHAnsi"/>
          <w:sz w:val="26"/>
          <w:szCs w:val="26"/>
        </w:rPr>
        <w:t>, as it dealt with the same issues from the BCS</w:t>
      </w:r>
      <w:r w:rsidR="00EB5631" w:rsidRPr="00BB5BDB">
        <w:rPr>
          <w:rFonts w:eastAsiaTheme="minorHAnsi"/>
          <w:sz w:val="26"/>
          <w:szCs w:val="26"/>
        </w:rPr>
        <w:t>’s</w:t>
      </w:r>
      <w:r w:rsidRPr="00BB5BDB">
        <w:rPr>
          <w:rFonts w:eastAsiaTheme="minorHAnsi"/>
          <w:sz w:val="26"/>
          <w:szCs w:val="26"/>
        </w:rPr>
        <w:t xml:space="preserve"> </w:t>
      </w:r>
      <w:r w:rsidR="00D1668F" w:rsidRPr="00BB5BDB">
        <w:rPr>
          <w:rFonts w:eastAsiaTheme="minorHAnsi"/>
          <w:sz w:val="26"/>
          <w:szCs w:val="26"/>
        </w:rPr>
        <w:t xml:space="preserve">informal decision.  </w:t>
      </w:r>
      <w:r w:rsidR="009E1898" w:rsidRPr="00BB5BDB">
        <w:rPr>
          <w:rFonts w:eastAsiaTheme="minorHAnsi"/>
          <w:sz w:val="26"/>
          <w:szCs w:val="26"/>
        </w:rPr>
        <w:t>PGW’s Certificate of Service showed that it served a copy of its Motion for Continuance and Consolidation of Dockets to Mr. Thomas at the address at 4446 North Gratz Street,</w:t>
      </w:r>
      <w:r w:rsidR="009E1898" w:rsidRPr="00BB5BDB">
        <w:rPr>
          <w:rStyle w:val="FootnoteReference"/>
          <w:rFonts w:eastAsiaTheme="minorHAnsi"/>
          <w:sz w:val="26"/>
          <w:szCs w:val="26"/>
        </w:rPr>
        <w:t xml:space="preserve"> </w:t>
      </w:r>
      <w:r w:rsidR="009E1898" w:rsidRPr="00BB5BDB">
        <w:rPr>
          <w:rFonts w:eastAsiaTheme="minorHAnsi"/>
          <w:sz w:val="26"/>
          <w:szCs w:val="26"/>
        </w:rPr>
        <w:t xml:space="preserve">Philadelphia, PA, 19140.  </w:t>
      </w:r>
    </w:p>
    <w:p w:rsidR="009E1898" w:rsidRPr="00BB5BDB" w:rsidRDefault="009E1898" w:rsidP="00C86FA8">
      <w:pPr>
        <w:widowControl/>
        <w:autoSpaceDE w:val="0"/>
        <w:autoSpaceDN w:val="0"/>
        <w:adjustRightInd w:val="0"/>
        <w:spacing w:line="360" w:lineRule="auto"/>
        <w:ind w:firstLine="1440"/>
        <w:rPr>
          <w:rFonts w:eastAsiaTheme="minorHAnsi"/>
          <w:sz w:val="26"/>
          <w:szCs w:val="26"/>
        </w:rPr>
      </w:pPr>
    </w:p>
    <w:p w:rsidR="00C86FA8" w:rsidRPr="00BB5BDB" w:rsidRDefault="009E1898" w:rsidP="00C86FA8">
      <w:pPr>
        <w:widowControl/>
        <w:autoSpaceDE w:val="0"/>
        <w:autoSpaceDN w:val="0"/>
        <w:adjustRightInd w:val="0"/>
        <w:spacing w:line="360" w:lineRule="auto"/>
        <w:ind w:firstLine="1440"/>
        <w:rPr>
          <w:rFonts w:eastAsiaTheme="minorHAnsi"/>
          <w:sz w:val="26"/>
          <w:szCs w:val="26"/>
        </w:rPr>
      </w:pPr>
      <w:r w:rsidRPr="00BB5BDB">
        <w:rPr>
          <w:rFonts w:eastAsiaTheme="minorHAnsi"/>
          <w:sz w:val="26"/>
          <w:szCs w:val="26"/>
        </w:rPr>
        <w:t xml:space="preserve">The </w:t>
      </w:r>
      <w:r w:rsidR="00D1668F" w:rsidRPr="00BB5BDB">
        <w:rPr>
          <w:rFonts w:eastAsiaTheme="minorHAnsi"/>
          <w:sz w:val="26"/>
          <w:szCs w:val="26"/>
        </w:rPr>
        <w:t>ALJ</w:t>
      </w:r>
      <w:r w:rsidR="00C86FA8" w:rsidRPr="00BB5BDB">
        <w:rPr>
          <w:rFonts w:eastAsiaTheme="minorHAnsi"/>
          <w:sz w:val="26"/>
          <w:szCs w:val="26"/>
        </w:rPr>
        <w:t xml:space="preserve"> granted the continuance request to consider the Motion for Consolidation and the hearing for October 12, 2017 was cancelled.</w:t>
      </w:r>
    </w:p>
    <w:p w:rsidR="00C20000" w:rsidRPr="00BB5BDB" w:rsidRDefault="00C20000" w:rsidP="00C86FA8">
      <w:pPr>
        <w:widowControl/>
        <w:autoSpaceDE w:val="0"/>
        <w:autoSpaceDN w:val="0"/>
        <w:adjustRightInd w:val="0"/>
        <w:spacing w:line="360" w:lineRule="auto"/>
        <w:ind w:firstLine="1440"/>
        <w:rPr>
          <w:rFonts w:eastAsiaTheme="minorHAnsi"/>
          <w:sz w:val="26"/>
          <w:szCs w:val="26"/>
        </w:rPr>
      </w:pP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r w:rsidRPr="00BB5BDB">
        <w:rPr>
          <w:rFonts w:eastAsiaTheme="minorHAnsi"/>
          <w:sz w:val="26"/>
          <w:szCs w:val="26"/>
        </w:rPr>
        <w:t xml:space="preserve">On November 30, 2017, a Hearing Cancellation/Reschedule Notice was issued for Docket No. C-2017-2621275, indicating that the initial hearing would take place on February 7, 2018. </w:t>
      </w: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r w:rsidRPr="00BB5BDB">
        <w:rPr>
          <w:rFonts w:eastAsiaTheme="minorHAnsi"/>
          <w:sz w:val="26"/>
          <w:szCs w:val="26"/>
        </w:rPr>
        <w:t xml:space="preserve">On January 30, 2018, a Corrected Hearing Notice was issued indicating that the initial hearing for Wednesday, February 7, 2018 at 10:00 a.m. would be a consolidated hearing for the </w:t>
      </w:r>
      <w:r w:rsidR="00480261" w:rsidRPr="00BB5BDB">
        <w:rPr>
          <w:rFonts w:eastAsiaTheme="minorHAnsi"/>
          <w:sz w:val="26"/>
          <w:szCs w:val="26"/>
        </w:rPr>
        <w:t>Appeal</w:t>
      </w:r>
      <w:r w:rsidRPr="00BB5BDB">
        <w:rPr>
          <w:rFonts w:eastAsiaTheme="minorHAnsi"/>
          <w:sz w:val="26"/>
          <w:szCs w:val="26"/>
        </w:rPr>
        <w:t xml:space="preserve"> filed by PGW and</w:t>
      </w:r>
      <w:r w:rsidR="00480261" w:rsidRPr="00BB5BDB">
        <w:rPr>
          <w:rFonts w:eastAsiaTheme="minorHAnsi"/>
          <w:sz w:val="26"/>
          <w:szCs w:val="26"/>
        </w:rPr>
        <w:t xml:space="preserve"> the Complaints filed by</w:t>
      </w:r>
      <w:r w:rsidRPr="00BB5BDB">
        <w:rPr>
          <w:rFonts w:eastAsiaTheme="minorHAnsi"/>
          <w:sz w:val="26"/>
          <w:szCs w:val="26"/>
        </w:rPr>
        <w:t xml:space="preserve"> Mr. Thomas. </w:t>
      </w: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p>
    <w:p w:rsidR="00C86FA8" w:rsidRPr="00BB5BDB" w:rsidRDefault="00F36CE4" w:rsidP="00C86FA8">
      <w:pPr>
        <w:pStyle w:val="Default"/>
        <w:spacing w:line="360" w:lineRule="auto"/>
        <w:ind w:firstLine="1440"/>
        <w:rPr>
          <w:color w:val="auto"/>
          <w:sz w:val="26"/>
          <w:szCs w:val="26"/>
        </w:rPr>
      </w:pPr>
      <w:r w:rsidRPr="00BB5BDB">
        <w:rPr>
          <w:color w:val="auto"/>
          <w:sz w:val="26"/>
          <w:szCs w:val="26"/>
        </w:rPr>
        <w:t xml:space="preserve">On February 6, 2018, ALJ Guhl </w:t>
      </w:r>
      <w:r w:rsidR="00C86FA8" w:rsidRPr="00BB5BDB">
        <w:rPr>
          <w:color w:val="auto"/>
          <w:sz w:val="26"/>
          <w:szCs w:val="26"/>
        </w:rPr>
        <w:t>issued an Order consolidating the matters for the hearing on February 7, 2018.</w:t>
      </w:r>
      <w:r w:rsidR="00C20000" w:rsidRPr="00BB5BDB">
        <w:rPr>
          <w:color w:val="auto"/>
          <w:sz w:val="26"/>
          <w:szCs w:val="26"/>
        </w:rPr>
        <w:t xml:space="preserve">  The Commission’s records indicate that such Order was not served </w:t>
      </w:r>
      <w:r w:rsidR="00E153D5">
        <w:rPr>
          <w:color w:val="auto"/>
          <w:sz w:val="26"/>
          <w:szCs w:val="26"/>
        </w:rPr>
        <w:t xml:space="preserve">at </w:t>
      </w:r>
      <w:r w:rsidR="00C20000" w:rsidRPr="00BB5BDB">
        <w:rPr>
          <w:color w:val="auto"/>
          <w:sz w:val="26"/>
          <w:szCs w:val="26"/>
        </w:rPr>
        <w:t>the F-2017-2611788 docket.</w:t>
      </w:r>
    </w:p>
    <w:p w:rsidR="00C86FA8" w:rsidRPr="00BB5BDB" w:rsidRDefault="00C86FA8" w:rsidP="00C86FA8">
      <w:pPr>
        <w:pStyle w:val="Default"/>
        <w:spacing w:line="360" w:lineRule="auto"/>
        <w:ind w:firstLine="1440"/>
        <w:rPr>
          <w:color w:val="auto"/>
          <w:sz w:val="26"/>
          <w:szCs w:val="26"/>
        </w:rPr>
      </w:pP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r w:rsidRPr="00BB5BDB">
        <w:rPr>
          <w:rFonts w:eastAsiaTheme="minorHAnsi"/>
          <w:sz w:val="26"/>
          <w:szCs w:val="26"/>
        </w:rPr>
        <w:t xml:space="preserve">The hearing convened as scheduled on February 7, 2018. </w:t>
      </w:r>
      <w:r w:rsidR="00784068" w:rsidRPr="00BB5BDB">
        <w:rPr>
          <w:rFonts w:eastAsiaTheme="minorHAnsi"/>
          <w:sz w:val="26"/>
          <w:szCs w:val="26"/>
        </w:rPr>
        <w:t xml:space="preserve"> </w:t>
      </w:r>
      <w:r w:rsidRPr="00BB5BDB">
        <w:rPr>
          <w:rFonts w:eastAsiaTheme="minorHAnsi"/>
          <w:sz w:val="26"/>
          <w:szCs w:val="26"/>
        </w:rPr>
        <w:t xml:space="preserve">Mr. Thomas did not appear for the hearing. </w:t>
      </w:r>
      <w:r w:rsidR="00F36CE4" w:rsidRPr="00BB5BDB">
        <w:rPr>
          <w:rFonts w:eastAsiaTheme="minorHAnsi"/>
          <w:sz w:val="26"/>
          <w:szCs w:val="26"/>
        </w:rPr>
        <w:t xml:space="preserve"> PGW</w:t>
      </w:r>
      <w:r w:rsidRPr="00BB5BDB">
        <w:rPr>
          <w:rFonts w:eastAsiaTheme="minorHAnsi"/>
          <w:sz w:val="26"/>
          <w:szCs w:val="26"/>
        </w:rPr>
        <w:t xml:space="preserve"> appeared and was represented by </w:t>
      </w:r>
      <w:r w:rsidR="00F36CE4" w:rsidRPr="00BB5BDB">
        <w:rPr>
          <w:rFonts w:eastAsiaTheme="minorHAnsi"/>
          <w:sz w:val="26"/>
          <w:szCs w:val="26"/>
        </w:rPr>
        <w:t xml:space="preserve">counsel, </w:t>
      </w:r>
      <w:r w:rsidRPr="00BB5BDB">
        <w:rPr>
          <w:rFonts w:eastAsiaTheme="minorHAnsi"/>
          <w:sz w:val="26"/>
          <w:szCs w:val="26"/>
        </w:rPr>
        <w:t xml:space="preserve">who presented the testimony of four witnesses. </w:t>
      </w:r>
      <w:r w:rsidR="00F36CE4" w:rsidRPr="00BB5BDB">
        <w:rPr>
          <w:rFonts w:eastAsiaTheme="minorHAnsi"/>
          <w:sz w:val="26"/>
          <w:szCs w:val="26"/>
        </w:rPr>
        <w:t xml:space="preserve"> PGW</w:t>
      </w:r>
      <w:r w:rsidRPr="00BB5BDB">
        <w:rPr>
          <w:rFonts w:eastAsiaTheme="minorHAnsi"/>
          <w:sz w:val="26"/>
          <w:szCs w:val="26"/>
        </w:rPr>
        <w:t xml:space="preserve"> offered seven exhibits which were entered into the record.</w:t>
      </w:r>
    </w:p>
    <w:p w:rsidR="00C86FA8" w:rsidRPr="00BB5BDB" w:rsidRDefault="00C86FA8" w:rsidP="00C86FA8">
      <w:pPr>
        <w:widowControl/>
        <w:autoSpaceDE w:val="0"/>
        <w:autoSpaceDN w:val="0"/>
        <w:adjustRightInd w:val="0"/>
        <w:spacing w:line="360" w:lineRule="auto"/>
        <w:ind w:firstLine="1440"/>
        <w:rPr>
          <w:rFonts w:eastAsiaTheme="minorHAnsi"/>
          <w:sz w:val="26"/>
          <w:szCs w:val="26"/>
        </w:rPr>
      </w:pPr>
    </w:p>
    <w:p w:rsidR="00C86FA8" w:rsidRPr="00BB5BDB" w:rsidRDefault="00C86FA8" w:rsidP="00C86FA8">
      <w:pPr>
        <w:pStyle w:val="Default"/>
        <w:spacing w:line="360" w:lineRule="auto"/>
        <w:ind w:firstLine="1440"/>
        <w:rPr>
          <w:color w:val="auto"/>
          <w:sz w:val="26"/>
          <w:szCs w:val="26"/>
        </w:rPr>
      </w:pPr>
      <w:r w:rsidRPr="00BB5BDB">
        <w:rPr>
          <w:color w:val="auto"/>
          <w:sz w:val="26"/>
          <w:szCs w:val="26"/>
        </w:rPr>
        <w:t xml:space="preserve">The hearing resulted in a transcript with a total of </w:t>
      </w:r>
      <w:r w:rsidR="00E153D5">
        <w:rPr>
          <w:color w:val="auto"/>
          <w:sz w:val="26"/>
          <w:szCs w:val="26"/>
        </w:rPr>
        <w:t>sixty-two</w:t>
      </w:r>
      <w:r w:rsidRPr="00BB5BDB">
        <w:rPr>
          <w:color w:val="auto"/>
          <w:sz w:val="26"/>
          <w:szCs w:val="26"/>
        </w:rPr>
        <w:t xml:space="preserve"> pages. </w:t>
      </w:r>
      <w:r w:rsidR="00F36CE4" w:rsidRPr="00BB5BDB">
        <w:rPr>
          <w:color w:val="auto"/>
          <w:sz w:val="26"/>
          <w:szCs w:val="26"/>
        </w:rPr>
        <w:t xml:space="preserve"> </w:t>
      </w:r>
      <w:r w:rsidRPr="00BB5BDB">
        <w:rPr>
          <w:color w:val="auto"/>
          <w:sz w:val="26"/>
          <w:szCs w:val="26"/>
        </w:rPr>
        <w:t>The record closed on February 27, 2018, when</w:t>
      </w:r>
      <w:r w:rsidR="00F36CE4" w:rsidRPr="00BB5BDB">
        <w:rPr>
          <w:color w:val="auto"/>
          <w:sz w:val="26"/>
          <w:szCs w:val="26"/>
        </w:rPr>
        <w:t xml:space="preserve"> the ALJ</w:t>
      </w:r>
      <w:r w:rsidRPr="00BB5BDB">
        <w:rPr>
          <w:color w:val="auto"/>
          <w:sz w:val="26"/>
          <w:szCs w:val="26"/>
        </w:rPr>
        <w:t xml:space="preserve"> received the transcript of the hearing.</w:t>
      </w:r>
    </w:p>
    <w:p w:rsidR="00480261" w:rsidRPr="00BB5BDB" w:rsidRDefault="00480261" w:rsidP="00C86FA8">
      <w:pPr>
        <w:pStyle w:val="Default"/>
        <w:spacing w:line="360" w:lineRule="auto"/>
        <w:ind w:firstLine="1440"/>
        <w:rPr>
          <w:color w:val="auto"/>
          <w:sz w:val="26"/>
          <w:szCs w:val="26"/>
        </w:rPr>
      </w:pPr>
    </w:p>
    <w:p w:rsidR="00C20000" w:rsidRPr="00BB5BDB" w:rsidRDefault="00C20000" w:rsidP="00C86FA8">
      <w:pPr>
        <w:pStyle w:val="Default"/>
        <w:spacing w:line="360" w:lineRule="auto"/>
        <w:ind w:firstLine="1440"/>
        <w:rPr>
          <w:color w:val="auto"/>
          <w:sz w:val="26"/>
          <w:szCs w:val="26"/>
        </w:rPr>
      </w:pPr>
      <w:r w:rsidRPr="00BB5BDB">
        <w:rPr>
          <w:color w:val="auto"/>
          <w:sz w:val="26"/>
          <w:szCs w:val="26"/>
        </w:rPr>
        <w:t xml:space="preserve">On June 7, 2018, the Initial Decision of ALJ Guhl was issued by Commission Secretarial Letter </w:t>
      </w:r>
      <w:r w:rsidR="00C271C4">
        <w:rPr>
          <w:color w:val="auto"/>
          <w:sz w:val="26"/>
          <w:szCs w:val="26"/>
        </w:rPr>
        <w:t xml:space="preserve">at </w:t>
      </w:r>
      <w:r w:rsidRPr="00BB5BDB">
        <w:rPr>
          <w:color w:val="auto"/>
          <w:sz w:val="26"/>
          <w:szCs w:val="26"/>
        </w:rPr>
        <w:t>both dockets.  Notably, the Initial Decision was served on Mr.</w:t>
      </w:r>
      <w:r w:rsidR="00C271C4">
        <w:rPr>
          <w:color w:val="auto"/>
          <w:sz w:val="26"/>
          <w:szCs w:val="26"/>
        </w:rPr>
        <w:t> </w:t>
      </w:r>
      <w:r w:rsidRPr="00BB5BDB">
        <w:rPr>
          <w:color w:val="auto"/>
          <w:sz w:val="26"/>
          <w:szCs w:val="26"/>
        </w:rPr>
        <w:t>Thomas to the address at 4446 North Gratz Street,</w:t>
      </w:r>
      <w:r w:rsidRPr="00BB5BDB">
        <w:rPr>
          <w:rStyle w:val="FootnoteReference"/>
          <w:color w:val="auto"/>
          <w:sz w:val="26"/>
          <w:szCs w:val="26"/>
        </w:rPr>
        <w:t xml:space="preserve"> </w:t>
      </w:r>
      <w:r w:rsidRPr="00BB5BDB">
        <w:rPr>
          <w:color w:val="auto"/>
          <w:sz w:val="26"/>
          <w:szCs w:val="26"/>
        </w:rPr>
        <w:t>Philadelphia, PA, 19140.</w:t>
      </w:r>
    </w:p>
    <w:p w:rsidR="00042DA6" w:rsidRPr="00BB5BDB" w:rsidRDefault="00042DA6" w:rsidP="00E743CB">
      <w:pPr>
        <w:widowControl/>
        <w:spacing w:line="360" w:lineRule="auto"/>
        <w:ind w:firstLine="1440"/>
        <w:rPr>
          <w:rFonts w:eastAsiaTheme="minorHAnsi"/>
          <w:sz w:val="26"/>
          <w:szCs w:val="26"/>
        </w:rPr>
      </w:pPr>
    </w:p>
    <w:p w:rsidR="005F46C6" w:rsidRPr="00BB5BDB" w:rsidRDefault="005F46C6" w:rsidP="00FA200A">
      <w:pPr>
        <w:pStyle w:val="ListParagraph"/>
        <w:keepNext/>
        <w:keepLines/>
        <w:widowControl/>
        <w:numPr>
          <w:ilvl w:val="0"/>
          <w:numId w:val="2"/>
        </w:numPr>
        <w:spacing w:line="360" w:lineRule="auto"/>
        <w:jc w:val="center"/>
        <w:rPr>
          <w:b/>
          <w:sz w:val="26"/>
          <w:szCs w:val="26"/>
        </w:rPr>
      </w:pPr>
      <w:r w:rsidRPr="00BB5BDB">
        <w:rPr>
          <w:b/>
          <w:sz w:val="26"/>
          <w:szCs w:val="26"/>
        </w:rPr>
        <w:t>Discussion</w:t>
      </w:r>
    </w:p>
    <w:p w:rsidR="005F46C6" w:rsidRPr="00BB5BDB" w:rsidRDefault="005F46C6" w:rsidP="00FA200A">
      <w:pPr>
        <w:keepNext/>
        <w:keepLines/>
        <w:widowControl/>
        <w:spacing w:line="360" w:lineRule="auto"/>
        <w:contextualSpacing/>
        <w:rPr>
          <w:b/>
          <w:sz w:val="26"/>
          <w:szCs w:val="26"/>
        </w:rPr>
      </w:pPr>
    </w:p>
    <w:p w:rsidR="00430CE5" w:rsidRPr="00BB5BDB" w:rsidRDefault="004949A8" w:rsidP="00FA200A">
      <w:pPr>
        <w:pStyle w:val="ListParagraph"/>
        <w:keepNext/>
        <w:keepLines/>
        <w:widowControl/>
        <w:numPr>
          <w:ilvl w:val="0"/>
          <w:numId w:val="3"/>
        </w:numPr>
        <w:spacing w:line="360" w:lineRule="auto"/>
        <w:rPr>
          <w:sz w:val="26"/>
          <w:szCs w:val="26"/>
        </w:rPr>
      </w:pPr>
      <w:r w:rsidRPr="00BB5BDB">
        <w:rPr>
          <w:b/>
          <w:sz w:val="26"/>
          <w:szCs w:val="26"/>
        </w:rPr>
        <w:t xml:space="preserve">  Legal Standards </w:t>
      </w:r>
    </w:p>
    <w:p w:rsidR="006E59BB" w:rsidRPr="00BB5BDB" w:rsidRDefault="006E59BB" w:rsidP="00FA200A">
      <w:pPr>
        <w:keepNext/>
        <w:keepLines/>
        <w:widowControl/>
        <w:spacing w:line="360" w:lineRule="auto"/>
        <w:rPr>
          <w:sz w:val="26"/>
          <w:szCs w:val="26"/>
        </w:rPr>
      </w:pPr>
    </w:p>
    <w:p w:rsidR="00FA200A" w:rsidRPr="00BB5BDB" w:rsidRDefault="00FA200A" w:rsidP="00F233EF">
      <w:pPr>
        <w:keepNext/>
        <w:keepLines/>
        <w:widowControl/>
        <w:spacing w:line="360" w:lineRule="auto"/>
        <w:ind w:firstLine="720"/>
        <w:rPr>
          <w:b/>
          <w:sz w:val="26"/>
          <w:szCs w:val="26"/>
        </w:rPr>
      </w:pPr>
      <w:r w:rsidRPr="00BB5BDB">
        <w:rPr>
          <w:b/>
          <w:sz w:val="26"/>
          <w:szCs w:val="26"/>
        </w:rPr>
        <w:t>Administrative Due Process</w:t>
      </w:r>
    </w:p>
    <w:p w:rsidR="00FA200A" w:rsidRPr="00BB5BDB" w:rsidRDefault="00FA200A" w:rsidP="00FA200A">
      <w:pPr>
        <w:keepNext/>
        <w:keepLines/>
        <w:widowControl/>
        <w:spacing w:line="360" w:lineRule="auto"/>
        <w:ind w:firstLine="1440"/>
        <w:rPr>
          <w:b/>
          <w:sz w:val="26"/>
          <w:szCs w:val="26"/>
        </w:rPr>
      </w:pPr>
    </w:p>
    <w:p w:rsidR="005C1B59" w:rsidRPr="00BB5BDB" w:rsidRDefault="005C1B59" w:rsidP="005C1B59">
      <w:pPr>
        <w:widowControl/>
        <w:spacing w:line="360" w:lineRule="auto"/>
        <w:ind w:firstLine="1440"/>
        <w:rPr>
          <w:sz w:val="26"/>
          <w:szCs w:val="26"/>
        </w:rPr>
      </w:pPr>
      <w:r w:rsidRPr="00BB5BDB">
        <w:rPr>
          <w:sz w:val="26"/>
          <w:szCs w:val="26"/>
        </w:rPr>
        <w:t xml:space="preserve">As an administrative agency of the Commonwealth, the Commission is required to provide due process to the parties appearing before it.  </w:t>
      </w:r>
      <w:r w:rsidRPr="00BB5BDB">
        <w:rPr>
          <w:i/>
          <w:sz w:val="26"/>
          <w:szCs w:val="26"/>
        </w:rPr>
        <w:t>Schneider v. Pa. PUC</w:t>
      </w:r>
      <w:r w:rsidRPr="00BB5BDB">
        <w:rPr>
          <w:sz w:val="26"/>
          <w:szCs w:val="26"/>
        </w:rPr>
        <w:t xml:space="preserve">, 479 A.2d 10, 15 (Pa. Cmwlth. 1984), citing </w:t>
      </w:r>
      <w:r w:rsidRPr="00BB5BDB">
        <w:rPr>
          <w:i/>
          <w:sz w:val="26"/>
          <w:szCs w:val="26"/>
        </w:rPr>
        <w:t>Fusaro v. Pa. PUC</w:t>
      </w:r>
      <w:r w:rsidRPr="00BB5BDB">
        <w:rPr>
          <w:sz w:val="26"/>
          <w:szCs w:val="26"/>
        </w:rPr>
        <w:t xml:space="preserve">, 382 A.2d 794 (Pa. Cmwlth. 1978).   Due process is satisfied when the parties are afforded notice and the opportunity to appear and be heard.  </w:t>
      </w:r>
      <w:r w:rsidRPr="00BB5BDB">
        <w:rPr>
          <w:i/>
          <w:sz w:val="26"/>
          <w:szCs w:val="26"/>
        </w:rPr>
        <w:t>Schneider v. Pa. PUC</w:t>
      </w:r>
      <w:r w:rsidRPr="00BB5BDB">
        <w:rPr>
          <w:sz w:val="26"/>
          <w:szCs w:val="26"/>
        </w:rPr>
        <w:t xml:space="preserve">, 479 A.2d 10, 15 (Pa.  Cmwlth. 1984), citing </w:t>
      </w:r>
      <w:r w:rsidRPr="00BB5BDB">
        <w:rPr>
          <w:i/>
          <w:sz w:val="26"/>
          <w:szCs w:val="26"/>
        </w:rPr>
        <w:t>Township of Middleton v. The Institute District of the County of Delaware</w:t>
      </w:r>
      <w:r w:rsidRPr="00BB5BDB">
        <w:rPr>
          <w:sz w:val="26"/>
          <w:szCs w:val="26"/>
        </w:rPr>
        <w:t xml:space="preserve">, 293 A.2d 885 (Pa. Cmwlth. 1972), </w:t>
      </w:r>
      <w:r w:rsidRPr="00BB5BDB">
        <w:rPr>
          <w:i/>
          <w:sz w:val="26"/>
          <w:szCs w:val="26"/>
        </w:rPr>
        <w:t>aff’d</w:t>
      </w:r>
      <w:r w:rsidRPr="00BB5BDB">
        <w:rPr>
          <w:sz w:val="26"/>
          <w:szCs w:val="26"/>
        </w:rPr>
        <w:t xml:space="preserve"> 450 Pa. 282, 299 A.2d 599 (Pa. Cmwlth. 1973).</w:t>
      </w:r>
    </w:p>
    <w:p w:rsidR="005C1B59" w:rsidRPr="00BB5BDB" w:rsidRDefault="005C1B59" w:rsidP="005C1B59">
      <w:pPr>
        <w:widowControl/>
        <w:spacing w:line="360" w:lineRule="auto"/>
        <w:ind w:firstLine="1440"/>
        <w:rPr>
          <w:sz w:val="26"/>
          <w:szCs w:val="26"/>
        </w:rPr>
      </w:pPr>
    </w:p>
    <w:p w:rsidR="005C1B59" w:rsidRPr="00BB5BDB" w:rsidRDefault="005C1B59" w:rsidP="005C1B59">
      <w:pPr>
        <w:widowControl/>
        <w:spacing w:line="360" w:lineRule="auto"/>
        <w:ind w:firstLine="1440"/>
        <w:rPr>
          <w:sz w:val="26"/>
          <w:szCs w:val="26"/>
        </w:rPr>
      </w:pPr>
      <w:r w:rsidRPr="00BB5BDB">
        <w:rPr>
          <w:sz w:val="26"/>
          <w:szCs w:val="26"/>
        </w:rPr>
        <w:t xml:space="preserve">The Commission is required to fix the time and place of a hearing in a complaint proceeding and to serve notice thereof upon the parties in interest.  </w:t>
      </w:r>
      <w:r w:rsidRPr="00BB5BDB">
        <w:rPr>
          <w:i/>
          <w:sz w:val="26"/>
          <w:szCs w:val="26"/>
        </w:rPr>
        <w:t>See</w:t>
      </w:r>
      <w:r w:rsidRPr="00BB5BDB">
        <w:rPr>
          <w:sz w:val="26"/>
          <w:szCs w:val="26"/>
        </w:rPr>
        <w:t xml:space="preserve"> 66 Pa. C.S. § 703(a)-(b).  Service on interested persons is sufficient to provide notice.  52 Pa. Code § 5.201(a).  Notice mailed to a party’s last known address and not returned by the post office is presumed to have been received.  </w:t>
      </w:r>
      <w:r w:rsidRPr="00BB5BDB">
        <w:rPr>
          <w:i/>
          <w:sz w:val="26"/>
          <w:szCs w:val="26"/>
        </w:rPr>
        <w:t>See</w:t>
      </w:r>
      <w:r w:rsidRPr="00BB5BDB">
        <w:rPr>
          <w:sz w:val="26"/>
          <w:szCs w:val="26"/>
        </w:rPr>
        <w:t xml:space="preserve"> </w:t>
      </w:r>
      <w:r w:rsidRPr="00BB5BDB">
        <w:rPr>
          <w:rFonts w:eastAsiaTheme="minorHAnsi"/>
          <w:i/>
          <w:sz w:val="26"/>
          <w:szCs w:val="26"/>
        </w:rPr>
        <w:t>Berkowitz v. Mayflower Securities, Inc</w:t>
      </w:r>
      <w:r w:rsidRPr="00BB5BDB">
        <w:rPr>
          <w:rFonts w:eastAsiaTheme="minorHAnsi"/>
          <w:sz w:val="26"/>
          <w:szCs w:val="26"/>
        </w:rPr>
        <w:t>., 455 Pa. 531, 317 A.2d 584 (Pa. 1974) (</w:t>
      </w:r>
      <w:r w:rsidRPr="00BB5BDB">
        <w:rPr>
          <w:rFonts w:eastAsiaTheme="minorHAnsi"/>
          <w:i/>
          <w:sz w:val="26"/>
          <w:szCs w:val="26"/>
        </w:rPr>
        <w:t>Mayflower</w:t>
      </w:r>
      <w:r w:rsidRPr="00BB5BDB">
        <w:rPr>
          <w:rFonts w:eastAsiaTheme="minorHAnsi"/>
          <w:sz w:val="26"/>
          <w:szCs w:val="26"/>
        </w:rPr>
        <w:t xml:space="preserve">); </w:t>
      </w:r>
      <w:r w:rsidRPr="00BB5BDB">
        <w:rPr>
          <w:rFonts w:eastAsiaTheme="minorHAnsi"/>
          <w:i/>
          <w:sz w:val="26"/>
          <w:szCs w:val="26"/>
        </w:rPr>
        <w:t>Meierdierck v. Miller</w:t>
      </w:r>
      <w:r w:rsidRPr="00BB5BDB">
        <w:rPr>
          <w:rFonts w:eastAsiaTheme="minorHAnsi"/>
          <w:sz w:val="26"/>
          <w:szCs w:val="26"/>
        </w:rPr>
        <w:t>, 147 A.2d 406 (Pa. 1959) (</w:t>
      </w:r>
      <w:r w:rsidRPr="00BB5BDB">
        <w:rPr>
          <w:rFonts w:eastAsiaTheme="minorHAnsi"/>
          <w:i/>
          <w:sz w:val="26"/>
          <w:szCs w:val="26"/>
        </w:rPr>
        <w:t>Miller</w:t>
      </w:r>
      <w:r w:rsidRPr="00BB5BDB">
        <w:rPr>
          <w:rFonts w:eastAsiaTheme="minorHAnsi"/>
          <w:sz w:val="26"/>
          <w:szCs w:val="26"/>
        </w:rPr>
        <w:t xml:space="preserve">); </w:t>
      </w:r>
      <w:r w:rsidRPr="00BB5BDB">
        <w:rPr>
          <w:rFonts w:eastAsiaTheme="minorHAnsi"/>
          <w:i/>
          <w:sz w:val="26"/>
          <w:szCs w:val="26"/>
        </w:rPr>
        <w:t>Samaras v. Hartwick</w:t>
      </w:r>
      <w:r w:rsidRPr="00BB5BDB">
        <w:rPr>
          <w:rFonts w:eastAsiaTheme="minorHAnsi"/>
          <w:sz w:val="26"/>
          <w:szCs w:val="26"/>
        </w:rPr>
        <w:t>, 698 A.2d 71 (Pa. Super. 1997) (</w:t>
      </w:r>
      <w:r w:rsidRPr="00BB5BDB">
        <w:rPr>
          <w:rFonts w:eastAsiaTheme="minorHAnsi"/>
          <w:i/>
          <w:sz w:val="26"/>
          <w:szCs w:val="26"/>
        </w:rPr>
        <w:t>Samaras</w:t>
      </w:r>
      <w:r w:rsidRPr="00BB5BDB">
        <w:rPr>
          <w:rFonts w:eastAsiaTheme="minorHAnsi"/>
          <w:sz w:val="26"/>
          <w:szCs w:val="26"/>
        </w:rPr>
        <w:t xml:space="preserve">); </w:t>
      </w:r>
      <w:r w:rsidRPr="00BB5BDB">
        <w:rPr>
          <w:i/>
          <w:sz w:val="26"/>
          <w:szCs w:val="26"/>
        </w:rPr>
        <w:t>Chartiers Industrial and Commercial Development Authority v. Allegheny County Board of Property Assessment Appeals and Review</w:t>
      </w:r>
      <w:r w:rsidRPr="00BB5BDB">
        <w:rPr>
          <w:sz w:val="26"/>
          <w:szCs w:val="26"/>
        </w:rPr>
        <w:t xml:space="preserve">, 645 A.2d 944, 946 (Pa. Cmwlth. 1994), </w:t>
      </w:r>
      <w:r w:rsidRPr="00BB5BDB">
        <w:rPr>
          <w:i/>
          <w:sz w:val="26"/>
          <w:szCs w:val="26"/>
        </w:rPr>
        <w:t>appeal denied</w:t>
      </w:r>
      <w:r w:rsidRPr="00BB5BDB">
        <w:rPr>
          <w:sz w:val="26"/>
          <w:szCs w:val="26"/>
        </w:rPr>
        <w:t xml:space="preserve"> 539 Pa. 696, 653 A.2d 1234 (1994); </w:t>
      </w:r>
      <w:r w:rsidRPr="00BB5BDB">
        <w:rPr>
          <w:i/>
          <w:sz w:val="26"/>
          <w:szCs w:val="26"/>
        </w:rPr>
        <w:t>Geary v. Verizon Pennsylvania Inc</w:t>
      </w:r>
      <w:r w:rsidRPr="00BB5BDB">
        <w:rPr>
          <w:sz w:val="26"/>
          <w:szCs w:val="26"/>
        </w:rPr>
        <w:t>., Docket No. C-2009-2118625 (Order entered September 16, 2010) (</w:t>
      </w:r>
      <w:r w:rsidRPr="00BB5BDB">
        <w:rPr>
          <w:i/>
          <w:sz w:val="26"/>
          <w:szCs w:val="26"/>
        </w:rPr>
        <w:t>Geary</w:t>
      </w:r>
      <w:r w:rsidRPr="00BB5BDB">
        <w:rPr>
          <w:sz w:val="26"/>
          <w:szCs w:val="26"/>
        </w:rPr>
        <w:t xml:space="preserve">).  </w:t>
      </w:r>
    </w:p>
    <w:p w:rsidR="005C1B59" w:rsidRPr="00BB5BDB" w:rsidRDefault="005C1B59" w:rsidP="005C1B59">
      <w:pPr>
        <w:widowControl/>
        <w:spacing w:line="360" w:lineRule="auto"/>
        <w:ind w:firstLine="1440"/>
        <w:rPr>
          <w:sz w:val="26"/>
          <w:szCs w:val="26"/>
        </w:rPr>
      </w:pPr>
    </w:p>
    <w:p w:rsidR="005C1B59" w:rsidRPr="00BB5BDB" w:rsidRDefault="005C1B59" w:rsidP="005C1B59">
      <w:pPr>
        <w:widowControl/>
        <w:spacing w:line="360" w:lineRule="auto"/>
        <w:ind w:firstLine="1440"/>
        <w:rPr>
          <w:sz w:val="26"/>
          <w:szCs w:val="26"/>
        </w:rPr>
      </w:pPr>
      <w:r w:rsidRPr="00BB5BDB">
        <w:rPr>
          <w:sz w:val="26"/>
          <w:szCs w:val="26"/>
        </w:rPr>
        <w:t xml:space="preserve">Once notice of a hearing and the opportunity to be heard have been provided by the Commission, it is the responsibility of the parties to appear and participate in the hearing.  </w:t>
      </w:r>
      <w:r w:rsidRPr="00BB5BDB">
        <w:rPr>
          <w:i/>
          <w:sz w:val="26"/>
          <w:szCs w:val="26"/>
        </w:rPr>
        <w:t>Mumma v. PPL Electric Utilities Corporation</w:t>
      </w:r>
      <w:r w:rsidRPr="00BB5BDB">
        <w:rPr>
          <w:sz w:val="26"/>
          <w:szCs w:val="26"/>
        </w:rPr>
        <w:t>, Docket No. C-00014869 (Order entered January 24, 2002) (</w:t>
      </w:r>
      <w:r w:rsidRPr="00BB5BDB">
        <w:rPr>
          <w:i/>
          <w:sz w:val="26"/>
          <w:szCs w:val="26"/>
        </w:rPr>
        <w:t>Mumma</w:t>
      </w:r>
      <w:r w:rsidRPr="00BB5BDB">
        <w:rPr>
          <w:sz w:val="26"/>
          <w:szCs w:val="26"/>
        </w:rPr>
        <w:t xml:space="preserve">); </w:t>
      </w:r>
      <w:r w:rsidRPr="00BB5BDB">
        <w:rPr>
          <w:i/>
          <w:sz w:val="26"/>
          <w:szCs w:val="26"/>
        </w:rPr>
        <w:t>Sentner v. Bell Tel. Co. of PA</w:t>
      </w:r>
      <w:r w:rsidRPr="00BB5BDB">
        <w:rPr>
          <w:sz w:val="26"/>
          <w:szCs w:val="26"/>
        </w:rPr>
        <w:t>, Docket No. F-00161106 (Order entered October 25, 1993) (</w:t>
      </w:r>
      <w:r w:rsidRPr="00BB5BDB">
        <w:rPr>
          <w:i/>
          <w:sz w:val="26"/>
          <w:szCs w:val="26"/>
        </w:rPr>
        <w:t>Sentner</w:t>
      </w:r>
      <w:r w:rsidRPr="00BB5BDB">
        <w:rPr>
          <w:sz w:val="26"/>
          <w:szCs w:val="26"/>
        </w:rPr>
        <w:t>).</w:t>
      </w:r>
    </w:p>
    <w:p w:rsidR="005C1B59" w:rsidRPr="00BB5BDB" w:rsidRDefault="005C1B59" w:rsidP="005C1B59">
      <w:pPr>
        <w:spacing w:line="360" w:lineRule="auto"/>
        <w:ind w:firstLine="1440"/>
        <w:rPr>
          <w:sz w:val="26"/>
          <w:szCs w:val="26"/>
        </w:rPr>
      </w:pPr>
    </w:p>
    <w:p w:rsidR="005E7A25" w:rsidRPr="00BB5BDB" w:rsidRDefault="005C1B59" w:rsidP="0018203E">
      <w:pPr>
        <w:widowControl/>
        <w:spacing w:line="360" w:lineRule="auto"/>
        <w:ind w:firstLine="1440"/>
        <w:rPr>
          <w:sz w:val="26"/>
          <w:szCs w:val="26"/>
        </w:rPr>
      </w:pPr>
      <w:r w:rsidRPr="00BB5BDB">
        <w:rPr>
          <w:sz w:val="26"/>
          <w:szCs w:val="26"/>
        </w:rPr>
        <w:t xml:space="preserve">If a party fails to attend a scheduled hearing, such failure to appear will be deemed a waiver of the party’s opportunity to participate in a hearing, unless the presiding officer </w:t>
      </w:r>
      <w:r w:rsidR="002F56CE">
        <w:rPr>
          <w:sz w:val="26"/>
          <w:szCs w:val="26"/>
        </w:rPr>
        <w:t>finds that such failure was unavoidable,</w:t>
      </w:r>
      <w:r w:rsidRPr="00BB5BDB">
        <w:rPr>
          <w:sz w:val="26"/>
          <w:szCs w:val="26"/>
        </w:rPr>
        <w:t xml:space="preserve"> </w:t>
      </w:r>
      <w:r w:rsidR="002F56CE">
        <w:rPr>
          <w:sz w:val="26"/>
          <w:szCs w:val="26"/>
        </w:rPr>
        <w:t xml:space="preserve">or that the complainant made a good faith effort to attend the hearing, </w:t>
      </w:r>
      <w:r w:rsidRPr="00BB5BDB">
        <w:rPr>
          <w:sz w:val="26"/>
          <w:szCs w:val="26"/>
        </w:rPr>
        <w:t>and that the interests of the other parties</w:t>
      </w:r>
      <w:r w:rsidR="002F56CE">
        <w:rPr>
          <w:sz w:val="26"/>
          <w:szCs w:val="26"/>
        </w:rPr>
        <w:t xml:space="preserve"> and of the public would not be </w:t>
      </w:r>
      <w:r w:rsidRPr="00BB5BDB">
        <w:rPr>
          <w:sz w:val="26"/>
          <w:szCs w:val="26"/>
        </w:rPr>
        <w:t>prejudiced by permitting such reopening or further examination.  66 Pa. C.S. § 332(f); 52 Pa. Code § 5.245(a)-(b).</w:t>
      </w:r>
      <w:r w:rsidR="00953B2B" w:rsidRPr="00BB5BDB">
        <w:rPr>
          <w:sz w:val="26"/>
          <w:szCs w:val="26"/>
        </w:rPr>
        <w:t xml:space="preserve">  </w:t>
      </w:r>
      <w:r w:rsidRPr="00BB5BDB">
        <w:rPr>
          <w:sz w:val="26"/>
          <w:szCs w:val="26"/>
        </w:rPr>
        <w:t xml:space="preserve">Absent </w:t>
      </w:r>
      <w:r w:rsidR="002F56CE">
        <w:rPr>
          <w:sz w:val="26"/>
          <w:szCs w:val="26"/>
        </w:rPr>
        <w:t xml:space="preserve">such </w:t>
      </w:r>
      <w:r w:rsidRPr="00BB5BDB">
        <w:rPr>
          <w:sz w:val="26"/>
          <w:szCs w:val="26"/>
        </w:rPr>
        <w:t>a finding by the presiding officer or the Commission</w:t>
      </w:r>
      <w:r w:rsidR="00953B2B" w:rsidRPr="00BB5BDB">
        <w:rPr>
          <w:sz w:val="26"/>
          <w:szCs w:val="26"/>
        </w:rPr>
        <w:t>, a dismissal of the Compliant is warranted</w:t>
      </w:r>
      <w:r w:rsidR="002F56CE">
        <w:rPr>
          <w:sz w:val="26"/>
          <w:szCs w:val="26"/>
        </w:rPr>
        <w:t xml:space="preserve"> for failure to attend and prosecute</w:t>
      </w:r>
      <w:r w:rsidR="00953B2B" w:rsidRPr="00BB5BDB">
        <w:rPr>
          <w:sz w:val="26"/>
          <w:szCs w:val="26"/>
        </w:rPr>
        <w:t xml:space="preserve">.  52 Pa. Code § 5.245(c).  </w:t>
      </w:r>
      <w:r w:rsidR="0018203E" w:rsidRPr="00BB5BDB">
        <w:rPr>
          <w:sz w:val="26"/>
          <w:szCs w:val="26"/>
        </w:rPr>
        <w:t>Moreover,</w:t>
      </w:r>
      <w:r w:rsidR="00953B2B" w:rsidRPr="00BB5BDB">
        <w:rPr>
          <w:sz w:val="26"/>
          <w:szCs w:val="26"/>
        </w:rPr>
        <w:t xml:space="preserve"> </w:t>
      </w:r>
      <w:r w:rsidR="0018203E" w:rsidRPr="00BB5BDB">
        <w:rPr>
          <w:sz w:val="26"/>
          <w:szCs w:val="26"/>
        </w:rPr>
        <w:t>in such cases,</w:t>
      </w:r>
      <w:r w:rsidR="00953B2B" w:rsidRPr="00BB5BDB">
        <w:rPr>
          <w:sz w:val="26"/>
          <w:szCs w:val="26"/>
        </w:rPr>
        <w:t xml:space="preserve"> </w:t>
      </w:r>
      <w:r w:rsidR="002F56CE">
        <w:rPr>
          <w:sz w:val="26"/>
          <w:szCs w:val="26"/>
        </w:rPr>
        <w:t xml:space="preserve">the Commission has determined that </w:t>
      </w:r>
      <w:r w:rsidR="00953B2B" w:rsidRPr="00BB5BDB">
        <w:rPr>
          <w:sz w:val="26"/>
          <w:szCs w:val="26"/>
        </w:rPr>
        <w:t>a dismissal</w:t>
      </w:r>
      <w:r w:rsidR="0018203E" w:rsidRPr="00BB5BDB">
        <w:rPr>
          <w:sz w:val="26"/>
          <w:szCs w:val="26"/>
        </w:rPr>
        <w:t>,</w:t>
      </w:r>
      <w:r w:rsidR="00953B2B" w:rsidRPr="00BB5BDB">
        <w:rPr>
          <w:sz w:val="26"/>
          <w:szCs w:val="26"/>
        </w:rPr>
        <w:t xml:space="preserve"> with prejudice</w:t>
      </w:r>
      <w:r w:rsidR="0018203E" w:rsidRPr="00BB5BDB">
        <w:rPr>
          <w:sz w:val="26"/>
          <w:szCs w:val="26"/>
        </w:rPr>
        <w:t>,</w:t>
      </w:r>
      <w:r w:rsidR="00953B2B" w:rsidRPr="00BB5BDB">
        <w:rPr>
          <w:sz w:val="26"/>
          <w:szCs w:val="26"/>
        </w:rPr>
        <w:t xml:space="preserve"> is warranted because any</w:t>
      </w:r>
      <w:r w:rsidR="0018203E" w:rsidRPr="00BB5BDB">
        <w:rPr>
          <w:sz w:val="26"/>
          <w:szCs w:val="26"/>
        </w:rPr>
        <w:t xml:space="preserve"> further procedural activity </w:t>
      </w:r>
      <w:r w:rsidR="00953B2B" w:rsidRPr="00BB5BDB">
        <w:rPr>
          <w:sz w:val="26"/>
          <w:szCs w:val="26"/>
        </w:rPr>
        <w:t xml:space="preserve">would prejudice the public interest due to the wasteful use of the agency’s and the respondent’s time and resources in addressing the complaint.  </w:t>
      </w:r>
      <w:r w:rsidR="00953B2B" w:rsidRPr="00BB5BDB">
        <w:rPr>
          <w:i/>
          <w:sz w:val="26"/>
          <w:szCs w:val="26"/>
        </w:rPr>
        <w:t>See Jefferson v. UGI Utilities, Inc.</w:t>
      </w:r>
      <w:r w:rsidR="00953B2B" w:rsidRPr="00BB5BDB">
        <w:rPr>
          <w:sz w:val="26"/>
          <w:szCs w:val="26"/>
        </w:rPr>
        <w:t>,</w:t>
      </w:r>
      <w:r w:rsidR="00953B2B" w:rsidRPr="00BB5BDB">
        <w:rPr>
          <w:i/>
          <w:sz w:val="26"/>
          <w:szCs w:val="26"/>
        </w:rPr>
        <w:t xml:space="preserve"> </w:t>
      </w:r>
      <w:r w:rsidR="00953B2B" w:rsidRPr="00BB5BDB">
        <w:rPr>
          <w:sz w:val="26"/>
          <w:szCs w:val="26"/>
        </w:rPr>
        <w:t>Docket No. Z-00269892 (Order entered December 26, 1995) (“We are concerned with regard to the consequences that these “no-show” cases have on the already strained budget of the Commission</w:t>
      </w:r>
      <w:r w:rsidR="00953B2B" w:rsidRPr="00BB5BDB">
        <w:rPr>
          <w:i/>
          <w:sz w:val="26"/>
          <w:szCs w:val="26"/>
        </w:rPr>
        <w:t xml:space="preserve">. </w:t>
      </w:r>
      <w:r w:rsidR="00953B2B" w:rsidRPr="00BB5BDB">
        <w:rPr>
          <w:sz w:val="26"/>
          <w:szCs w:val="26"/>
        </w:rPr>
        <w:t xml:space="preserve"> Such cases waste the time and resources of the Commission and the utility.  We cannot condone the wastefulness of [a procedure] that permits a “no-show complainant” to refile a complaint and thereby institute yet another stay of termination on the account.  Such misuse of the process as in the case before us cannot be tolerated.”)</w:t>
      </w:r>
      <w:r w:rsidR="00235426" w:rsidRPr="00BB5BDB">
        <w:rPr>
          <w:sz w:val="26"/>
          <w:szCs w:val="26"/>
        </w:rPr>
        <w:t xml:space="preserve"> (</w:t>
      </w:r>
      <w:r w:rsidR="00235426" w:rsidRPr="00BB5BDB">
        <w:rPr>
          <w:i/>
          <w:sz w:val="26"/>
          <w:szCs w:val="26"/>
        </w:rPr>
        <w:t>Jefferson</w:t>
      </w:r>
      <w:r w:rsidR="00235426" w:rsidRPr="00BB5BDB">
        <w:rPr>
          <w:sz w:val="26"/>
          <w:szCs w:val="26"/>
        </w:rPr>
        <w:t>)</w:t>
      </w:r>
      <w:r w:rsidR="00953B2B" w:rsidRPr="00BB5BDB">
        <w:rPr>
          <w:sz w:val="26"/>
          <w:szCs w:val="26"/>
        </w:rPr>
        <w:t xml:space="preserve">; </w:t>
      </w:r>
      <w:r w:rsidR="00953B2B" w:rsidRPr="00BB5BDB">
        <w:rPr>
          <w:i/>
          <w:sz w:val="26"/>
          <w:szCs w:val="26"/>
        </w:rPr>
        <w:t>see also</w:t>
      </w:r>
      <w:r w:rsidR="00953B2B" w:rsidRPr="00BB5BDB">
        <w:rPr>
          <w:sz w:val="26"/>
          <w:szCs w:val="26"/>
        </w:rPr>
        <w:t xml:space="preserve">, </w:t>
      </w:r>
      <w:r w:rsidR="00953B2B" w:rsidRPr="00BB5BDB">
        <w:rPr>
          <w:i/>
          <w:sz w:val="26"/>
          <w:szCs w:val="26"/>
        </w:rPr>
        <w:t>e.g., El-Ayazra v. West Penn Power Company</w:t>
      </w:r>
      <w:r w:rsidR="00953B2B" w:rsidRPr="00BB5BDB">
        <w:rPr>
          <w:sz w:val="26"/>
          <w:szCs w:val="26"/>
        </w:rPr>
        <w:t>, Docket No. F-2015-2509292 (Order entered June 30, 2016)</w:t>
      </w:r>
      <w:r w:rsidR="00953B2B" w:rsidRPr="00BB5BDB">
        <w:rPr>
          <w:i/>
          <w:sz w:val="26"/>
          <w:szCs w:val="26"/>
        </w:rPr>
        <w:t>; Cynthia Santore Smith v. PECO Energy Company</w:t>
      </w:r>
      <w:r w:rsidR="00953B2B" w:rsidRPr="00BB5BDB">
        <w:rPr>
          <w:sz w:val="26"/>
          <w:szCs w:val="26"/>
        </w:rPr>
        <w:t xml:space="preserve">, Docket No. F-2014-2446204 (Order entered September 3, 2015); </w:t>
      </w:r>
      <w:r w:rsidR="00953B2B" w:rsidRPr="00BB5BDB">
        <w:rPr>
          <w:i/>
          <w:sz w:val="26"/>
          <w:szCs w:val="26"/>
        </w:rPr>
        <w:t>Marilyn Day v. PECO Energy Company</w:t>
      </w:r>
      <w:r w:rsidR="00953B2B" w:rsidRPr="00BB5BDB">
        <w:rPr>
          <w:sz w:val="26"/>
          <w:szCs w:val="26"/>
        </w:rPr>
        <w:t xml:space="preserve">, Docket No. C-2010-2181515 (Order entered June 10, 2011); </w:t>
      </w:r>
      <w:r w:rsidR="00953B2B" w:rsidRPr="00BB5BDB">
        <w:rPr>
          <w:i/>
          <w:sz w:val="26"/>
          <w:szCs w:val="26"/>
        </w:rPr>
        <w:t>Deborah</w:t>
      </w:r>
      <w:r w:rsidR="00953B2B" w:rsidRPr="00BB5BDB">
        <w:rPr>
          <w:sz w:val="26"/>
          <w:szCs w:val="26"/>
        </w:rPr>
        <w:t xml:space="preserve"> </w:t>
      </w:r>
      <w:r w:rsidR="00953B2B" w:rsidRPr="00BB5BDB">
        <w:rPr>
          <w:i/>
          <w:sz w:val="26"/>
          <w:szCs w:val="26"/>
        </w:rPr>
        <w:t>Bethay v. PECO Energy Co</w:t>
      </w:r>
      <w:r w:rsidR="00953B2B" w:rsidRPr="00BB5BDB">
        <w:rPr>
          <w:sz w:val="26"/>
          <w:szCs w:val="26"/>
        </w:rPr>
        <w:t>., Docket No. F-2011-2266250 (Order entered August 2, 2012);</w:t>
      </w:r>
      <w:r w:rsidR="00953B2B" w:rsidRPr="00BB5BDB">
        <w:rPr>
          <w:i/>
          <w:sz w:val="26"/>
          <w:szCs w:val="26"/>
        </w:rPr>
        <w:t xml:space="preserve"> Osuji v. PECO Energy Co</w:t>
      </w:r>
      <w:r w:rsidR="00953B2B" w:rsidRPr="00BB5BDB">
        <w:rPr>
          <w:sz w:val="26"/>
          <w:szCs w:val="26"/>
        </w:rPr>
        <w:t>., Docket No. C-2008-2071982 (Order entered July 24, 2009);</w:t>
      </w:r>
      <w:r w:rsidR="00953B2B" w:rsidRPr="00BB5BDB">
        <w:rPr>
          <w:i/>
          <w:sz w:val="26"/>
          <w:szCs w:val="26"/>
        </w:rPr>
        <w:t xml:space="preserve"> Madajewski v. UGI Utilities, Inc</w:t>
      </w:r>
      <w:r w:rsidR="00953B2B" w:rsidRPr="00BB5BDB">
        <w:rPr>
          <w:sz w:val="26"/>
          <w:szCs w:val="26"/>
        </w:rPr>
        <w:t xml:space="preserve">., Docket No. C-2008-2070793 (Order entered July 30, 2009); </w:t>
      </w:r>
      <w:r w:rsidR="00953B2B" w:rsidRPr="00BB5BDB">
        <w:rPr>
          <w:i/>
          <w:sz w:val="26"/>
          <w:szCs w:val="26"/>
        </w:rPr>
        <w:t>Charles Nichols III v. Bell-Atlantic-Pennsyl</w:t>
      </w:r>
      <w:r w:rsidR="00953B2B" w:rsidRPr="00BB5BDB">
        <w:rPr>
          <w:i/>
          <w:sz w:val="26"/>
          <w:szCs w:val="26"/>
        </w:rPr>
        <w:softHyphen/>
        <w:t xml:space="preserve">vania, </w:t>
      </w:r>
      <w:r w:rsidR="00953B2B" w:rsidRPr="00BB5BDB">
        <w:rPr>
          <w:sz w:val="26"/>
          <w:szCs w:val="26"/>
        </w:rPr>
        <w:t>Docket No. </w:t>
      </w:r>
      <w:r w:rsidR="00953B2B" w:rsidRPr="00BB5BDB">
        <w:rPr>
          <w:spacing w:val="-3"/>
          <w:sz w:val="26"/>
          <w:szCs w:val="26"/>
        </w:rPr>
        <w:t>C</w:t>
      </w:r>
      <w:r w:rsidR="00953B2B" w:rsidRPr="00BB5BDB">
        <w:rPr>
          <w:spacing w:val="-3"/>
          <w:sz w:val="26"/>
          <w:szCs w:val="26"/>
        </w:rPr>
        <w:noBreakHyphen/>
        <w:t>00956667 (Order entered August 4, 1995)</w:t>
      </w:r>
      <w:r w:rsidR="00953B2B" w:rsidRPr="00BB5BDB">
        <w:rPr>
          <w:sz w:val="26"/>
          <w:szCs w:val="26"/>
        </w:rPr>
        <w:t>.</w:t>
      </w:r>
    </w:p>
    <w:p w:rsidR="00FA200A" w:rsidRPr="00BB5BDB" w:rsidRDefault="00FA200A" w:rsidP="00953B2B">
      <w:pPr>
        <w:widowControl/>
        <w:spacing w:line="360" w:lineRule="auto"/>
        <w:ind w:firstLine="1440"/>
        <w:rPr>
          <w:sz w:val="26"/>
          <w:szCs w:val="26"/>
        </w:rPr>
      </w:pPr>
    </w:p>
    <w:p w:rsidR="00FA200A" w:rsidRPr="00BB5BDB" w:rsidRDefault="00FA200A" w:rsidP="00F233EF">
      <w:pPr>
        <w:keepNext/>
        <w:keepLines/>
        <w:widowControl/>
        <w:spacing w:line="360" w:lineRule="auto"/>
        <w:ind w:firstLine="720"/>
        <w:rPr>
          <w:b/>
          <w:sz w:val="26"/>
          <w:szCs w:val="26"/>
        </w:rPr>
      </w:pPr>
      <w:r w:rsidRPr="00BB5BDB">
        <w:rPr>
          <w:b/>
          <w:sz w:val="26"/>
          <w:szCs w:val="26"/>
        </w:rPr>
        <w:t xml:space="preserve">Burden of Proof for Appeals of </w:t>
      </w:r>
      <w:r w:rsidR="00EB5631" w:rsidRPr="00BB5BDB">
        <w:rPr>
          <w:b/>
          <w:sz w:val="26"/>
          <w:szCs w:val="26"/>
        </w:rPr>
        <w:t xml:space="preserve">the </w:t>
      </w:r>
      <w:r w:rsidRPr="00BB5BDB">
        <w:rPr>
          <w:b/>
          <w:sz w:val="26"/>
          <w:szCs w:val="26"/>
        </w:rPr>
        <w:t>BCS</w:t>
      </w:r>
      <w:r w:rsidR="00EB5631" w:rsidRPr="00BB5BDB">
        <w:rPr>
          <w:b/>
          <w:sz w:val="26"/>
          <w:szCs w:val="26"/>
        </w:rPr>
        <w:t>’s</w:t>
      </w:r>
      <w:r w:rsidR="00F233EF" w:rsidRPr="00BB5BDB">
        <w:rPr>
          <w:b/>
          <w:sz w:val="26"/>
          <w:szCs w:val="26"/>
        </w:rPr>
        <w:t xml:space="preserve"> Informal</w:t>
      </w:r>
      <w:r w:rsidRPr="00BB5BDB">
        <w:rPr>
          <w:b/>
          <w:sz w:val="26"/>
          <w:szCs w:val="26"/>
        </w:rPr>
        <w:t xml:space="preserve"> Decisions</w:t>
      </w:r>
    </w:p>
    <w:p w:rsidR="00FA200A" w:rsidRPr="00BB5BDB" w:rsidRDefault="00FA200A" w:rsidP="00FA200A">
      <w:pPr>
        <w:keepNext/>
        <w:keepLines/>
        <w:widowControl/>
        <w:spacing w:line="360" w:lineRule="auto"/>
        <w:ind w:firstLine="1440"/>
        <w:rPr>
          <w:sz w:val="26"/>
          <w:szCs w:val="26"/>
        </w:rPr>
      </w:pPr>
    </w:p>
    <w:p w:rsidR="00FA200A" w:rsidRPr="00BB5BDB" w:rsidRDefault="00FA200A" w:rsidP="00FA200A">
      <w:pPr>
        <w:widowControl/>
        <w:spacing w:line="360" w:lineRule="auto"/>
        <w:ind w:firstLine="1440"/>
        <w:rPr>
          <w:sz w:val="26"/>
          <w:szCs w:val="26"/>
        </w:rPr>
      </w:pPr>
      <w:r w:rsidRPr="00BB5BDB">
        <w:rPr>
          <w:rFonts w:eastAsiaTheme="minorHAnsi"/>
          <w:sz w:val="26"/>
          <w:szCs w:val="26"/>
        </w:rPr>
        <w:t>A timely appeal from an informal de</w:t>
      </w:r>
      <w:r w:rsidR="00480261" w:rsidRPr="00BB5BDB">
        <w:rPr>
          <w:rFonts w:eastAsiaTheme="minorHAnsi"/>
          <w:sz w:val="26"/>
          <w:szCs w:val="26"/>
        </w:rPr>
        <w:t>cision</w:t>
      </w:r>
      <w:r w:rsidRPr="00BB5BDB">
        <w:rPr>
          <w:rFonts w:eastAsiaTheme="minorHAnsi"/>
          <w:sz w:val="26"/>
          <w:szCs w:val="26"/>
        </w:rPr>
        <w:t xml:space="preserve"> of </w:t>
      </w:r>
      <w:r w:rsidR="0026435C" w:rsidRPr="00BB5BDB">
        <w:rPr>
          <w:rFonts w:eastAsiaTheme="minorHAnsi"/>
          <w:sz w:val="26"/>
          <w:szCs w:val="26"/>
        </w:rPr>
        <w:t xml:space="preserve">the </w:t>
      </w:r>
      <w:r w:rsidRPr="00BB5BDB">
        <w:rPr>
          <w:rFonts w:eastAsiaTheme="minorHAnsi"/>
          <w:sz w:val="26"/>
          <w:szCs w:val="26"/>
        </w:rPr>
        <w:t>BCS is</w:t>
      </w:r>
      <w:r w:rsidR="0026435C" w:rsidRPr="00BB5BDB">
        <w:rPr>
          <w:rFonts w:eastAsiaTheme="minorHAnsi"/>
          <w:sz w:val="26"/>
          <w:szCs w:val="26"/>
        </w:rPr>
        <w:t xml:space="preserve"> reviewed</w:t>
      </w:r>
      <w:r w:rsidRPr="00BB5BDB">
        <w:rPr>
          <w:rFonts w:eastAsiaTheme="minorHAnsi"/>
          <w:sz w:val="26"/>
          <w:szCs w:val="26"/>
        </w:rPr>
        <w:t xml:space="preserve"> </w:t>
      </w:r>
      <w:r w:rsidR="0026435C" w:rsidRPr="00BB5BDB">
        <w:rPr>
          <w:rFonts w:eastAsiaTheme="minorHAnsi"/>
          <w:i/>
          <w:sz w:val="26"/>
          <w:szCs w:val="26"/>
        </w:rPr>
        <w:t>de novo</w:t>
      </w:r>
      <w:r w:rsidR="0026435C" w:rsidRPr="00BB5BDB">
        <w:rPr>
          <w:rFonts w:eastAsiaTheme="minorHAnsi"/>
          <w:sz w:val="26"/>
          <w:szCs w:val="26"/>
        </w:rPr>
        <w:t>.</w:t>
      </w:r>
      <w:r w:rsidR="0026435C" w:rsidRPr="00BB5BDB">
        <w:rPr>
          <w:rFonts w:eastAsiaTheme="minorHAnsi"/>
          <w:i/>
          <w:sz w:val="26"/>
          <w:szCs w:val="26"/>
        </w:rPr>
        <w:t xml:space="preserve">  </w:t>
      </w:r>
      <w:r w:rsidRPr="00BB5BDB">
        <w:rPr>
          <w:sz w:val="26"/>
          <w:szCs w:val="26"/>
        </w:rPr>
        <w:t>52 Pa. Code §</w:t>
      </w:r>
      <w:r w:rsidR="000B4B63" w:rsidRPr="00BB5BDB">
        <w:rPr>
          <w:sz w:val="26"/>
          <w:szCs w:val="26"/>
        </w:rPr>
        <w:t xml:space="preserve">§ 56.173(a), </w:t>
      </w:r>
      <w:r w:rsidRPr="00BB5BDB">
        <w:rPr>
          <w:sz w:val="26"/>
          <w:szCs w:val="26"/>
        </w:rPr>
        <w:t xml:space="preserve">56.403(a). </w:t>
      </w:r>
      <w:r w:rsidR="00C27E02" w:rsidRPr="00BB5BDB">
        <w:rPr>
          <w:sz w:val="26"/>
          <w:szCs w:val="26"/>
        </w:rPr>
        <w:t xml:space="preserve"> </w:t>
      </w:r>
      <w:r w:rsidR="00C27E02" w:rsidRPr="00BB5BDB">
        <w:rPr>
          <w:i/>
          <w:sz w:val="26"/>
          <w:szCs w:val="26"/>
        </w:rPr>
        <w:t>D</w:t>
      </w:r>
      <w:r w:rsidR="00C27E02" w:rsidRPr="00BB5BDB">
        <w:rPr>
          <w:rFonts w:eastAsiaTheme="minorHAnsi"/>
          <w:i/>
          <w:sz w:val="26"/>
          <w:szCs w:val="26"/>
        </w:rPr>
        <w:t>e novo</w:t>
      </w:r>
      <w:r w:rsidRPr="00BB5BDB">
        <w:rPr>
          <w:rFonts w:eastAsiaTheme="minorHAnsi"/>
          <w:sz w:val="26"/>
          <w:szCs w:val="26"/>
        </w:rPr>
        <w:t xml:space="preserve"> means that there is no part of the record in the informal proceeding that can be relied</w:t>
      </w:r>
      <w:r w:rsidR="00480261" w:rsidRPr="00BB5BDB">
        <w:rPr>
          <w:rFonts w:eastAsiaTheme="minorHAnsi"/>
          <w:sz w:val="26"/>
          <w:szCs w:val="26"/>
        </w:rPr>
        <w:t xml:space="preserve"> upon in the formal proceeding.</w:t>
      </w:r>
      <w:r w:rsidR="00AA1F84" w:rsidRPr="00BB5BDB">
        <w:rPr>
          <w:rFonts w:eastAsiaTheme="minorHAnsi"/>
          <w:sz w:val="26"/>
          <w:szCs w:val="26"/>
        </w:rPr>
        <w:t xml:space="preserve">  </w:t>
      </w:r>
      <w:r w:rsidR="00C27E02" w:rsidRPr="00BB5BDB">
        <w:rPr>
          <w:rFonts w:eastAsiaTheme="minorHAnsi"/>
          <w:sz w:val="26"/>
          <w:szCs w:val="26"/>
        </w:rPr>
        <w:t>In</w:t>
      </w:r>
      <w:r w:rsidR="004553BD">
        <w:rPr>
          <w:rFonts w:eastAsiaTheme="minorHAnsi"/>
          <w:sz w:val="26"/>
          <w:szCs w:val="26"/>
        </w:rPr>
        <w:t xml:space="preserve"> a</w:t>
      </w:r>
      <w:r w:rsidR="00C27E02" w:rsidRPr="00BB5BDB">
        <w:rPr>
          <w:rFonts w:eastAsiaTheme="minorHAnsi"/>
          <w:sz w:val="26"/>
          <w:szCs w:val="26"/>
        </w:rPr>
        <w:t xml:space="preserve"> </w:t>
      </w:r>
      <w:r w:rsidR="00C27E02" w:rsidRPr="00BB5BDB">
        <w:rPr>
          <w:rFonts w:eastAsiaTheme="minorHAnsi"/>
          <w:i/>
          <w:sz w:val="26"/>
          <w:szCs w:val="26"/>
        </w:rPr>
        <w:t>de novo</w:t>
      </w:r>
      <w:r w:rsidR="004553BD">
        <w:rPr>
          <w:rFonts w:eastAsiaTheme="minorHAnsi"/>
          <w:sz w:val="26"/>
          <w:szCs w:val="26"/>
        </w:rPr>
        <w:t xml:space="preserve"> appeal</w:t>
      </w:r>
      <w:r w:rsidR="00C27E02" w:rsidRPr="00BB5BDB">
        <w:rPr>
          <w:rFonts w:eastAsiaTheme="minorHAnsi"/>
          <w:sz w:val="26"/>
          <w:szCs w:val="26"/>
        </w:rPr>
        <w:t xml:space="preserve"> </w:t>
      </w:r>
      <w:r w:rsidR="004553BD">
        <w:rPr>
          <w:rFonts w:eastAsiaTheme="minorHAnsi"/>
          <w:sz w:val="26"/>
          <w:szCs w:val="26"/>
        </w:rPr>
        <w:t>from a</w:t>
      </w:r>
      <w:r w:rsidR="00C27E02" w:rsidRPr="00BB5BDB">
        <w:rPr>
          <w:rFonts w:eastAsiaTheme="minorHAnsi"/>
          <w:sz w:val="26"/>
          <w:szCs w:val="26"/>
        </w:rPr>
        <w:t xml:space="preserve"> decision</w:t>
      </w:r>
      <w:r w:rsidR="004553BD">
        <w:rPr>
          <w:rFonts w:eastAsiaTheme="minorHAnsi"/>
          <w:sz w:val="26"/>
          <w:szCs w:val="26"/>
        </w:rPr>
        <w:t xml:space="preserve"> of the BCS</w:t>
      </w:r>
      <w:r w:rsidR="00C27E02" w:rsidRPr="00BB5BDB">
        <w:rPr>
          <w:rFonts w:eastAsiaTheme="minorHAnsi"/>
          <w:sz w:val="26"/>
          <w:szCs w:val="26"/>
        </w:rPr>
        <w:t>, t</w:t>
      </w:r>
      <w:r w:rsidRPr="00BB5BDB">
        <w:rPr>
          <w:rFonts w:eastAsiaTheme="minorHAnsi"/>
          <w:sz w:val="26"/>
          <w:szCs w:val="26"/>
        </w:rPr>
        <w:t xml:space="preserve">he burden of proof remains with the party who filed the original </w:t>
      </w:r>
      <w:r w:rsidR="00480261" w:rsidRPr="00BB5BDB">
        <w:rPr>
          <w:rFonts w:eastAsiaTheme="minorHAnsi"/>
          <w:sz w:val="26"/>
          <w:szCs w:val="26"/>
        </w:rPr>
        <w:t xml:space="preserve">informal </w:t>
      </w:r>
      <w:r w:rsidRPr="00BB5BDB">
        <w:rPr>
          <w:rFonts w:eastAsiaTheme="minorHAnsi"/>
          <w:sz w:val="26"/>
          <w:szCs w:val="26"/>
        </w:rPr>
        <w:t>complaint, except for legal</w:t>
      </w:r>
      <w:r w:rsidR="00AA1F84" w:rsidRPr="00BB5BDB">
        <w:rPr>
          <w:rFonts w:eastAsiaTheme="minorHAnsi"/>
          <w:sz w:val="26"/>
          <w:szCs w:val="26"/>
        </w:rPr>
        <w:t xml:space="preserve"> or policy</w:t>
      </w:r>
      <w:r w:rsidRPr="00BB5BDB">
        <w:rPr>
          <w:rFonts w:eastAsiaTheme="minorHAnsi"/>
          <w:sz w:val="26"/>
          <w:szCs w:val="26"/>
        </w:rPr>
        <w:t xml:space="preserve"> issues raised by the utility on appeal.  </w:t>
      </w:r>
      <w:r w:rsidR="00C27E02" w:rsidRPr="00BB5BDB">
        <w:rPr>
          <w:rFonts w:eastAsiaTheme="minorHAnsi"/>
          <w:i/>
          <w:sz w:val="26"/>
          <w:szCs w:val="26"/>
        </w:rPr>
        <w:t>See</w:t>
      </w:r>
      <w:r w:rsidR="00C27E02" w:rsidRPr="00BB5BDB">
        <w:rPr>
          <w:rFonts w:eastAsiaTheme="minorHAnsi"/>
          <w:sz w:val="26"/>
          <w:szCs w:val="26"/>
        </w:rPr>
        <w:t xml:space="preserve"> 52 Pa. Code § 56.173(f);</w:t>
      </w:r>
      <w:r w:rsidR="00C27E02" w:rsidRPr="00BB5BDB">
        <w:rPr>
          <w:rFonts w:eastAsiaTheme="minorHAnsi"/>
          <w:sz w:val="26"/>
          <w:szCs w:val="26"/>
          <w:vertAlign w:val="superscript"/>
        </w:rPr>
        <w:footnoteReference w:id="2"/>
      </w:r>
      <w:r w:rsidR="00C27E02" w:rsidRPr="00BB5BDB">
        <w:rPr>
          <w:rFonts w:eastAsiaTheme="minorHAnsi"/>
          <w:sz w:val="26"/>
          <w:szCs w:val="26"/>
        </w:rPr>
        <w:t xml:space="preserve"> </w:t>
      </w:r>
      <w:r w:rsidR="00C27E02" w:rsidRPr="00BB5BDB">
        <w:rPr>
          <w:rFonts w:eastAsiaTheme="minorHAnsi"/>
          <w:i/>
          <w:sz w:val="26"/>
          <w:szCs w:val="26"/>
        </w:rPr>
        <w:t>s</w:t>
      </w:r>
      <w:r w:rsidRPr="00BB5BDB">
        <w:rPr>
          <w:i/>
          <w:sz w:val="26"/>
          <w:szCs w:val="26"/>
        </w:rPr>
        <w:t>ee</w:t>
      </w:r>
      <w:r w:rsidR="00C27E02" w:rsidRPr="00BB5BDB">
        <w:rPr>
          <w:i/>
          <w:sz w:val="26"/>
          <w:szCs w:val="26"/>
        </w:rPr>
        <w:t xml:space="preserve"> also</w:t>
      </w:r>
      <w:r w:rsidRPr="00BB5BDB">
        <w:rPr>
          <w:i/>
          <w:sz w:val="26"/>
          <w:szCs w:val="26"/>
        </w:rPr>
        <w:t xml:space="preserve"> Patrick Rafferty v. Verizon Pennsylvania, Inc., </w:t>
      </w:r>
      <w:r w:rsidRPr="00BB5BDB">
        <w:rPr>
          <w:sz w:val="26"/>
          <w:szCs w:val="26"/>
        </w:rPr>
        <w:t xml:space="preserve">Docket No. F-02211831 (Order entered December 22, 2008); </w:t>
      </w:r>
      <w:r w:rsidRPr="00BB5BDB">
        <w:rPr>
          <w:i/>
          <w:sz w:val="26"/>
          <w:szCs w:val="26"/>
        </w:rPr>
        <w:t xml:space="preserve">Claypool v. T.W. Phillips Gas &amp; Oil Company, </w:t>
      </w:r>
      <w:r w:rsidRPr="00BB5BDB">
        <w:rPr>
          <w:sz w:val="26"/>
          <w:szCs w:val="26"/>
        </w:rPr>
        <w:t>1995 Pa. PUC LEXIS 160 (</w:t>
      </w:r>
      <w:r w:rsidR="000B4B63" w:rsidRPr="00BB5BDB">
        <w:rPr>
          <w:sz w:val="26"/>
          <w:szCs w:val="26"/>
        </w:rPr>
        <w:t>O</w:t>
      </w:r>
      <w:r w:rsidRPr="00BB5BDB">
        <w:rPr>
          <w:sz w:val="26"/>
          <w:szCs w:val="26"/>
        </w:rPr>
        <w:t>rder entered December 22, 1995)</w:t>
      </w:r>
      <w:r w:rsidR="003A735F">
        <w:rPr>
          <w:sz w:val="26"/>
          <w:szCs w:val="26"/>
        </w:rPr>
        <w:t>(I</w:t>
      </w:r>
      <w:r w:rsidR="0026435C" w:rsidRPr="00BB5BDB">
        <w:rPr>
          <w:sz w:val="26"/>
          <w:szCs w:val="26"/>
        </w:rPr>
        <w:t>n formal complaint proceedings, the burden of proof lies with the customer/complainant</w:t>
      </w:r>
      <w:r w:rsidR="00AB0261">
        <w:rPr>
          <w:sz w:val="26"/>
          <w:szCs w:val="26"/>
        </w:rPr>
        <w:t xml:space="preserve">.  “This </w:t>
      </w:r>
      <w:r w:rsidR="0026435C" w:rsidRPr="00BB5BDB">
        <w:rPr>
          <w:sz w:val="26"/>
          <w:szCs w:val="26"/>
        </w:rPr>
        <w:t>remains true whether the case is being litigated as an informal complaint filed by the customer or as a formal complaint on appeal filed by the utility.</w:t>
      </w:r>
      <w:r w:rsidR="003A735F">
        <w:rPr>
          <w:sz w:val="26"/>
          <w:szCs w:val="26"/>
        </w:rPr>
        <w:t>”</w:t>
      </w:r>
      <w:r w:rsidR="0067362F" w:rsidRPr="00BB5BDB">
        <w:rPr>
          <w:sz w:val="26"/>
          <w:szCs w:val="26"/>
        </w:rPr>
        <w:t xml:space="preserve"> </w:t>
      </w:r>
      <w:r w:rsidR="0026435C" w:rsidRPr="00BB5BDB">
        <w:rPr>
          <w:sz w:val="26"/>
          <w:szCs w:val="26"/>
        </w:rPr>
        <w:t xml:space="preserve"> However, for legal or policy issues raised by the utility, </w:t>
      </w:r>
      <w:r w:rsidR="003A735F">
        <w:rPr>
          <w:sz w:val="26"/>
          <w:szCs w:val="26"/>
        </w:rPr>
        <w:t>“</w:t>
      </w:r>
      <w:r w:rsidR="0026435C" w:rsidRPr="00BB5BDB">
        <w:rPr>
          <w:sz w:val="26"/>
          <w:szCs w:val="26"/>
        </w:rPr>
        <w:t>it would be absurd to impose the burden of proof concerning a legal and policy issue upon a customer who did not raise the issue and who probably has little knowledge of the issue itself</w:t>
      </w:r>
      <w:r w:rsidR="003A735F">
        <w:rPr>
          <w:sz w:val="26"/>
          <w:szCs w:val="26"/>
        </w:rPr>
        <w:t>.”</w:t>
      </w:r>
      <w:r w:rsidR="0026435C" w:rsidRPr="00BB5BDB">
        <w:rPr>
          <w:sz w:val="26"/>
          <w:szCs w:val="26"/>
        </w:rPr>
        <w:t>)</w:t>
      </w:r>
      <w:r w:rsidRPr="00BB5BDB">
        <w:rPr>
          <w:sz w:val="26"/>
          <w:szCs w:val="26"/>
        </w:rPr>
        <w:t xml:space="preserve">; </w:t>
      </w:r>
      <w:proofErr w:type="spellStart"/>
      <w:r w:rsidRPr="00BB5BDB">
        <w:rPr>
          <w:i/>
          <w:sz w:val="26"/>
          <w:szCs w:val="26"/>
        </w:rPr>
        <w:t>Zapp</w:t>
      </w:r>
      <w:proofErr w:type="spellEnd"/>
      <w:r w:rsidRPr="00BB5BDB">
        <w:rPr>
          <w:i/>
          <w:sz w:val="26"/>
          <w:szCs w:val="26"/>
        </w:rPr>
        <w:t xml:space="preserve"> v. Equitable Gas Company, </w:t>
      </w:r>
      <w:r w:rsidRPr="00BB5BDB">
        <w:rPr>
          <w:sz w:val="26"/>
          <w:szCs w:val="26"/>
        </w:rPr>
        <w:t xml:space="preserve">Docket No. Z-8188326, 1982 Pa. PUC LEXIS 127, 55 Pa. PUC 701 (Order entered April 2, 1982)(“The filing of such an appeal does not shift the burden of proof to the party taking the appeal, the burden of proof remains with the original complainant.”); </w:t>
      </w:r>
      <w:r w:rsidRPr="00BB5BDB">
        <w:rPr>
          <w:i/>
          <w:sz w:val="26"/>
          <w:szCs w:val="26"/>
        </w:rPr>
        <w:t xml:space="preserve">Corinne Hackett v. Columbia Gas of Pennsylvania, Inc., Complaint Appellant, </w:t>
      </w:r>
      <w:r w:rsidRPr="00BB5BDB">
        <w:rPr>
          <w:sz w:val="26"/>
          <w:szCs w:val="26"/>
        </w:rPr>
        <w:t xml:space="preserve">Docket No. C-2012-2308429, 2013 Pa. PUC LEXIS 527 (citing a change in the 2011 Chapter 56 rulemaking that erroneously states that the burden of proof remains with the party who filed the </w:t>
      </w:r>
      <w:r w:rsidRPr="00BB5BDB">
        <w:rPr>
          <w:i/>
          <w:sz w:val="26"/>
          <w:szCs w:val="26"/>
        </w:rPr>
        <w:t>formal</w:t>
      </w:r>
      <w:r w:rsidRPr="00BB5BDB">
        <w:rPr>
          <w:sz w:val="26"/>
          <w:szCs w:val="26"/>
        </w:rPr>
        <w:t xml:space="preserve"> complaint, instead of </w:t>
      </w:r>
      <w:r w:rsidRPr="00BB5BDB">
        <w:rPr>
          <w:i/>
          <w:sz w:val="26"/>
          <w:szCs w:val="26"/>
        </w:rPr>
        <w:t>informal</w:t>
      </w:r>
      <w:r w:rsidRPr="00BB5BDB">
        <w:rPr>
          <w:sz w:val="26"/>
          <w:szCs w:val="26"/>
        </w:rPr>
        <w:t xml:space="preserve"> complaint. The burden of proof in the BCS decision is with the complainant, and therefore, it would “remain” with the original complainant.  It could not “remain” with the utility, which did not have the burden of proof at all).</w:t>
      </w:r>
    </w:p>
    <w:p w:rsidR="000B4B63" w:rsidRPr="00BB5BDB" w:rsidRDefault="000B4B63" w:rsidP="00FA200A">
      <w:pPr>
        <w:widowControl/>
        <w:spacing w:line="360" w:lineRule="auto"/>
        <w:ind w:firstLine="1440"/>
        <w:rPr>
          <w:sz w:val="26"/>
          <w:szCs w:val="26"/>
        </w:rPr>
      </w:pPr>
    </w:p>
    <w:p w:rsidR="005F46C6" w:rsidRPr="00BB5BDB" w:rsidRDefault="004949A8" w:rsidP="004949A8">
      <w:pPr>
        <w:pStyle w:val="ListParagraph"/>
        <w:keepNext/>
        <w:widowControl/>
        <w:numPr>
          <w:ilvl w:val="0"/>
          <w:numId w:val="3"/>
        </w:numPr>
        <w:spacing w:line="360" w:lineRule="auto"/>
        <w:rPr>
          <w:b/>
          <w:sz w:val="26"/>
          <w:szCs w:val="26"/>
        </w:rPr>
      </w:pPr>
      <w:r w:rsidRPr="00BB5BDB">
        <w:rPr>
          <w:b/>
          <w:sz w:val="26"/>
          <w:szCs w:val="26"/>
        </w:rPr>
        <w:t xml:space="preserve">  </w:t>
      </w:r>
      <w:r w:rsidR="005F46C6" w:rsidRPr="00BB5BDB">
        <w:rPr>
          <w:b/>
          <w:sz w:val="26"/>
          <w:szCs w:val="26"/>
        </w:rPr>
        <w:t>ALJ’s Initial Decision</w:t>
      </w:r>
    </w:p>
    <w:p w:rsidR="003D5C5F" w:rsidRPr="00BB5BDB" w:rsidRDefault="003D5C5F">
      <w:pPr>
        <w:rPr>
          <w:sz w:val="26"/>
          <w:szCs w:val="26"/>
        </w:rPr>
      </w:pPr>
    </w:p>
    <w:p w:rsidR="005C1B59" w:rsidRPr="00BB5BDB" w:rsidRDefault="005C1B59" w:rsidP="005C1B59">
      <w:pPr>
        <w:widowControl/>
        <w:spacing w:line="360" w:lineRule="auto"/>
        <w:ind w:firstLine="1440"/>
        <w:rPr>
          <w:sz w:val="26"/>
          <w:szCs w:val="26"/>
        </w:rPr>
      </w:pPr>
      <w:bookmarkStart w:id="0" w:name="_Hlk522700027"/>
      <w:r w:rsidRPr="00BB5BDB">
        <w:rPr>
          <w:sz w:val="26"/>
          <w:szCs w:val="26"/>
        </w:rPr>
        <w:t>ALJ Guhl made thirty-five Findings of Fact and reached fourteen Conclusions of law.  I.D. at 4-7; 13-15.  The Findings of Fact and Conclusions of Law are incorporated herein by reference and are adopted without comment unless they are either expressly or by necessary implication rejected or modified by this Opinion and Order.</w:t>
      </w:r>
    </w:p>
    <w:bookmarkEnd w:id="0"/>
    <w:p w:rsidR="005C1B59" w:rsidRPr="00BB5BDB" w:rsidRDefault="005C1B59" w:rsidP="00F36CE4">
      <w:pPr>
        <w:widowControl/>
        <w:autoSpaceDE w:val="0"/>
        <w:autoSpaceDN w:val="0"/>
        <w:adjustRightInd w:val="0"/>
        <w:spacing w:line="360" w:lineRule="auto"/>
        <w:ind w:firstLine="1440"/>
        <w:rPr>
          <w:rFonts w:eastAsiaTheme="minorHAnsi"/>
          <w:sz w:val="26"/>
          <w:szCs w:val="26"/>
        </w:rPr>
      </w:pPr>
    </w:p>
    <w:p w:rsidR="00235426" w:rsidRPr="00BB5BDB" w:rsidRDefault="004553BD" w:rsidP="00F36CE4">
      <w:pPr>
        <w:widowControl/>
        <w:autoSpaceDE w:val="0"/>
        <w:autoSpaceDN w:val="0"/>
        <w:adjustRightInd w:val="0"/>
        <w:spacing w:line="360" w:lineRule="auto"/>
        <w:ind w:firstLine="1440"/>
        <w:rPr>
          <w:sz w:val="26"/>
          <w:szCs w:val="26"/>
        </w:rPr>
      </w:pPr>
      <w:r>
        <w:rPr>
          <w:rFonts w:eastAsiaTheme="minorHAnsi"/>
          <w:sz w:val="26"/>
          <w:szCs w:val="26"/>
        </w:rPr>
        <w:t>As it pertains</w:t>
      </w:r>
      <w:r w:rsidR="00235426" w:rsidRPr="00BB5BDB">
        <w:rPr>
          <w:rFonts w:eastAsiaTheme="minorHAnsi"/>
          <w:sz w:val="26"/>
          <w:szCs w:val="26"/>
        </w:rPr>
        <w:t xml:space="preserve"> to PGW’s </w:t>
      </w:r>
      <w:r w:rsidR="00480261" w:rsidRPr="00BB5BDB">
        <w:rPr>
          <w:rFonts w:eastAsiaTheme="minorHAnsi"/>
          <w:sz w:val="26"/>
          <w:szCs w:val="26"/>
        </w:rPr>
        <w:t>Appeal</w:t>
      </w:r>
      <w:r w:rsidR="00AA1F84" w:rsidRPr="00BB5BDB">
        <w:rPr>
          <w:rFonts w:eastAsiaTheme="minorHAnsi"/>
          <w:sz w:val="26"/>
          <w:szCs w:val="26"/>
        </w:rPr>
        <w:t xml:space="preserve"> filed at </w:t>
      </w:r>
      <w:r w:rsidR="00AA1F84" w:rsidRPr="00BB5BDB">
        <w:rPr>
          <w:sz w:val="26"/>
          <w:szCs w:val="26"/>
        </w:rPr>
        <w:t>Docket No. F-2017-2611788</w:t>
      </w:r>
      <w:r w:rsidR="005C1B59" w:rsidRPr="00BB5BDB">
        <w:rPr>
          <w:rFonts w:eastAsiaTheme="minorHAnsi"/>
          <w:sz w:val="26"/>
          <w:szCs w:val="26"/>
        </w:rPr>
        <w:t>,</w:t>
      </w:r>
      <w:r w:rsidR="00235426" w:rsidRPr="00BB5BDB">
        <w:rPr>
          <w:rFonts w:eastAsiaTheme="minorHAnsi"/>
          <w:sz w:val="26"/>
          <w:szCs w:val="26"/>
        </w:rPr>
        <w:t xml:space="preserve"> in relevant part,</w:t>
      </w:r>
      <w:r w:rsidR="005C1B59" w:rsidRPr="00BB5BDB">
        <w:rPr>
          <w:rFonts w:eastAsiaTheme="minorHAnsi"/>
          <w:sz w:val="26"/>
          <w:szCs w:val="26"/>
        </w:rPr>
        <w:t xml:space="preserve"> the ALJ concluded i</w:t>
      </w:r>
      <w:r w:rsidR="006E59BB" w:rsidRPr="00BB5BDB">
        <w:rPr>
          <w:rFonts w:eastAsiaTheme="minorHAnsi"/>
          <w:sz w:val="26"/>
          <w:szCs w:val="26"/>
        </w:rPr>
        <w:t>n her</w:t>
      </w:r>
      <w:r w:rsidR="007C4F47" w:rsidRPr="00BB5BDB">
        <w:rPr>
          <w:rFonts w:eastAsiaTheme="minorHAnsi"/>
          <w:sz w:val="26"/>
          <w:szCs w:val="26"/>
        </w:rPr>
        <w:t xml:space="preserve"> Initial Decision, </w:t>
      </w:r>
      <w:r w:rsidR="005C1B59" w:rsidRPr="00BB5BDB">
        <w:rPr>
          <w:rFonts w:eastAsiaTheme="minorHAnsi"/>
          <w:sz w:val="26"/>
          <w:szCs w:val="26"/>
        </w:rPr>
        <w:t xml:space="preserve">citing to 66 Pa. C.S. § 332(a), </w:t>
      </w:r>
      <w:r w:rsidR="00B5652C" w:rsidRPr="00BB5BDB">
        <w:rPr>
          <w:rFonts w:eastAsiaTheme="minorHAnsi"/>
          <w:sz w:val="26"/>
          <w:szCs w:val="26"/>
        </w:rPr>
        <w:t xml:space="preserve">that the burden of proof </w:t>
      </w:r>
      <w:r w:rsidR="005C1B59" w:rsidRPr="00BB5BDB">
        <w:rPr>
          <w:rFonts w:eastAsiaTheme="minorHAnsi"/>
          <w:sz w:val="26"/>
          <w:szCs w:val="26"/>
        </w:rPr>
        <w:t xml:space="preserve">in this proceeding is upon PGW, as the </w:t>
      </w:r>
      <w:r w:rsidR="00AA1F84" w:rsidRPr="00BB5BDB">
        <w:rPr>
          <w:rFonts w:eastAsiaTheme="minorHAnsi"/>
          <w:sz w:val="26"/>
          <w:szCs w:val="26"/>
        </w:rPr>
        <w:t>party that filed the formal complaint/Appeal</w:t>
      </w:r>
      <w:r w:rsidR="005C1B59" w:rsidRPr="00BB5BDB">
        <w:rPr>
          <w:rFonts w:eastAsiaTheme="minorHAnsi"/>
          <w:sz w:val="26"/>
          <w:szCs w:val="26"/>
        </w:rPr>
        <w:t>.</w:t>
      </w:r>
      <w:r w:rsidR="00B1505B" w:rsidRPr="00BB5BDB">
        <w:rPr>
          <w:sz w:val="26"/>
          <w:szCs w:val="26"/>
        </w:rPr>
        <w:t xml:space="preserve"> </w:t>
      </w:r>
      <w:r w:rsidR="005C1B59" w:rsidRPr="00BB5BDB">
        <w:rPr>
          <w:sz w:val="26"/>
          <w:szCs w:val="26"/>
        </w:rPr>
        <w:t xml:space="preserve"> COL No. 2.  </w:t>
      </w:r>
      <w:r w:rsidR="00235426" w:rsidRPr="00BB5BDB">
        <w:rPr>
          <w:sz w:val="26"/>
          <w:szCs w:val="26"/>
        </w:rPr>
        <w:t xml:space="preserve">For the reasons discussed in more detail in the Initial Decision, the ALJ determined that PGW met its burden of proof in demonstrating that there was meter tampering at the service address while Mr. Thomas was associated with the service address and in showing that the BCS erred in limiting the time frame for the unauthorized usage beginning at the point when the leak survey was conducted on April 28, 2015.  I.D. at 10, 12.  Accordingly, the ALJ granted PGW’s </w:t>
      </w:r>
      <w:r w:rsidR="00480261" w:rsidRPr="00BB5BDB">
        <w:rPr>
          <w:sz w:val="26"/>
          <w:szCs w:val="26"/>
        </w:rPr>
        <w:t>Appeal</w:t>
      </w:r>
      <w:r w:rsidR="00235426" w:rsidRPr="00BB5BDB">
        <w:rPr>
          <w:sz w:val="26"/>
          <w:szCs w:val="26"/>
        </w:rPr>
        <w:t xml:space="preserve">.  I.D. at 15 </w:t>
      </w:r>
    </w:p>
    <w:p w:rsidR="00235426" w:rsidRPr="00BB5BDB" w:rsidRDefault="00235426" w:rsidP="00F36CE4">
      <w:pPr>
        <w:widowControl/>
        <w:autoSpaceDE w:val="0"/>
        <w:autoSpaceDN w:val="0"/>
        <w:adjustRightInd w:val="0"/>
        <w:spacing w:line="360" w:lineRule="auto"/>
        <w:ind w:firstLine="1440"/>
        <w:rPr>
          <w:sz w:val="26"/>
          <w:szCs w:val="26"/>
        </w:rPr>
      </w:pPr>
    </w:p>
    <w:p w:rsidR="00B1505B" w:rsidRPr="00BB5BDB" w:rsidRDefault="00235426" w:rsidP="00235426">
      <w:pPr>
        <w:widowControl/>
        <w:autoSpaceDE w:val="0"/>
        <w:autoSpaceDN w:val="0"/>
        <w:adjustRightInd w:val="0"/>
        <w:spacing w:line="360" w:lineRule="auto"/>
        <w:ind w:firstLine="1440"/>
        <w:rPr>
          <w:sz w:val="26"/>
          <w:szCs w:val="26"/>
        </w:rPr>
      </w:pPr>
      <w:r w:rsidRPr="00BB5BDB">
        <w:rPr>
          <w:sz w:val="26"/>
          <w:szCs w:val="26"/>
        </w:rPr>
        <w:t xml:space="preserve">Regarding </w:t>
      </w:r>
      <w:r w:rsidR="00480261" w:rsidRPr="00BB5BDB">
        <w:rPr>
          <w:sz w:val="26"/>
          <w:szCs w:val="26"/>
        </w:rPr>
        <w:t xml:space="preserve">Mr. Thomas’s </w:t>
      </w:r>
      <w:r w:rsidRPr="00BB5BDB">
        <w:rPr>
          <w:sz w:val="26"/>
          <w:szCs w:val="26"/>
        </w:rPr>
        <w:t>Complaint and Amended Complaint</w:t>
      </w:r>
      <w:r w:rsidR="00AA1F84" w:rsidRPr="00BB5BDB">
        <w:rPr>
          <w:sz w:val="26"/>
          <w:szCs w:val="26"/>
        </w:rPr>
        <w:t xml:space="preserve"> filed at Docket No. C-2017-2621275</w:t>
      </w:r>
      <w:r w:rsidRPr="00BB5BDB">
        <w:rPr>
          <w:sz w:val="26"/>
          <w:szCs w:val="26"/>
        </w:rPr>
        <w:t>, the ALJ noted that Mr. Thomas did not appear for the hearing or present any evidence.  The ALJ concluded that Mr. Thomas had adequate notice of the hearing on February 7, 2018, through the Hearing Notice dated November</w:t>
      </w:r>
      <w:r w:rsidR="00C1170A">
        <w:rPr>
          <w:sz w:val="26"/>
          <w:szCs w:val="26"/>
        </w:rPr>
        <w:t> </w:t>
      </w:r>
      <w:r w:rsidRPr="00BB5BDB">
        <w:rPr>
          <w:sz w:val="26"/>
          <w:szCs w:val="26"/>
        </w:rPr>
        <w:t xml:space="preserve">30, 2017.  The ALJ noted that Mr. Thomas did not request a continuance or postponement of the hearing or request to withdraw his Complaint.  Due to the waste of the Commission’s and PGW’s time, money, and energy occasioned by the Complainant’s failure to appear at a hearing of which he had notice, the ALJ ruled to dismiss, </w:t>
      </w:r>
      <w:r w:rsidRPr="00BB5BDB">
        <w:rPr>
          <w:i/>
          <w:sz w:val="26"/>
          <w:szCs w:val="26"/>
        </w:rPr>
        <w:t>with prejudice</w:t>
      </w:r>
      <w:r w:rsidRPr="00BB5BDB">
        <w:rPr>
          <w:sz w:val="26"/>
          <w:szCs w:val="26"/>
        </w:rPr>
        <w:t>, Mr. Thomas’ Complaints in accordance with well-established Commission precedent.  I.D. at 12-13.</w:t>
      </w:r>
    </w:p>
    <w:p w:rsidR="00424683" w:rsidRPr="00BB5BDB" w:rsidRDefault="00424683" w:rsidP="00747476">
      <w:pPr>
        <w:spacing w:line="360" w:lineRule="auto"/>
        <w:rPr>
          <w:sz w:val="26"/>
          <w:szCs w:val="26"/>
        </w:rPr>
      </w:pPr>
    </w:p>
    <w:p w:rsidR="00430CE5" w:rsidRPr="00BB5BDB" w:rsidRDefault="004949A8" w:rsidP="00B5652C">
      <w:pPr>
        <w:pStyle w:val="ListParagraph"/>
        <w:keepNext/>
        <w:keepLines/>
        <w:widowControl/>
        <w:numPr>
          <w:ilvl w:val="0"/>
          <w:numId w:val="3"/>
        </w:numPr>
        <w:rPr>
          <w:b/>
          <w:sz w:val="26"/>
          <w:szCs w:val="26"/>
        </w:rPr>
      </w:pPr>
      <w:r w:rsidRPr="00BB5BDB">
        <w:rPr>
          <w:b/>
          <w:sz w:val="26"/>
          <w:szCs w:val="26"/>
        </w:rPr>
        <w:t xml:space="preserve">  </w:t>
      </w:r>
      <w:r w:rsidR="00430CE5" w:rsidRPr="00BB5BDB">
        <w:rPr>
          <w:b/>
          <w:sz w:val="26"/>
          <w:szCs w:val="26"/>
        </w:rPr>
        <w:t xml:space="preserve">Disposition </w:t>
      </w:r>
    </w:p>
    <w:p w:rsidR="00430CE5" w:rsidRPr="00BB5BDB" w:rsidRDefault="00430CE5" w:rsidP="00747476">
      <w:pPr>
        <w:keepNext/>
        <w:keepLines/>
        <w:widowControl/>
        <w:spacing w:line="360" w:lineRule="auto"/>
        <w:ind w:firstLine="1440"/>
        <w:rPr>
          <w:sz w:val="26"/>
          <w:szCs w:val="26"/>
        </w:rPr>
      </w:pPr>
    </w:p>
    <w:p w:rsidR="00AA1F84" w:rsidRPr="00BB5BDB" w:rsidRDefault="00C20000" w:rsidP="002C0350">
      <w:pPr>
        <w:widowControl/>
        <w:spacing w:line="360" w:lineRule="auto"/>
        <w:ind w:firstLine="1440"/>
        <w:rPr>
          <w:rFonts w:eastAsiaTheme="minorHAnsi"/>
          <w:sz w:val="26"/>
          <w:szCs w:val="26"/>
        </w:rPr>
      </w:pPr>
      <w:r w:rsidRPr="00BB5BDB">
        <w:rPr>
          <w:rFonts w:eastAsiaTheme="minorHAnsi"/>
          <w:sz w:val="26"/>
          <w:szCs w:val="26"/>
        </w:rPr>
        <w:t xml:space="preserve">As an initial matter, </w:t>
      </w:r>
      <w:r w:rsidR="005A1C81" w:rsidRPr="00BB5BDB">
        <w:rPr>
          <w:rFonts w:eastAsiaTheme="minorHAnsi"/>
          <w:sz w:val="26"/>
          <w:szCs w:val="26"/>
        </w:rPr>
        <w:t xml:space="preserve">it is our opinion that </w:t>
      </w:r>
      <w:r w:rsidR="00CB0BE8" w:rsidRPr="00BB5BDB">
        <w:rPr>
          <w:rFonts w:eastAsiaTheme="minorHAnsi"/>
          <w:sz w:val="26"/>
          <w:szCs w:val="26"/>
        </w:rPr>
        <w:t>t</w:t>
      </w:r>
      <w:r w:rsidR="002A0A82" w:rsidRPr="00BB5BDB">
        <w:rPr>
          <w:rFonts w:eastAsiaTheme="minorHAnsi"/>
          <w:sz w:val="26"/>
          <w:szCs w:val="26"/>
        </w:rPr>
        <w:t xml:space="preserve">he </w:t>
      </w:r>
      <w:r w:rsidR="00FA200A" w:rsidRPr="00BB5BDB">
        <w:rPr>
          <w:rFonts w:eastAsiaTheme="minorHAnsi"/>
          <w:sz w:val="26"/>
          <w:szCs w:val="26"/>
        </w:rPr>
        <w:t xml:space="preserve">ALJ erred in her legal conclusion that the burden of proof rested with PGW in </w:t>
      </w:r>
      <w:r w:rsidR="006F3D6E">
        <w:rPr>
          <w:rFonts w:eastAsiaTheme="minorHAnsi"/>
          <w:sz w:val="26"/>
          <w:szCs w:val="26"/>
        </w:rPr>
        <w:t>its Appeal docket</w:t>
      </w:r>
      <w:r w:rsidR="00FA200A" w:rsidRPr="00BB5BDB">
        <w:rPr>
          <w:rFonts w:eastAsiaTheme="minorHAnsi"/>
          <w:sz w:val="26"/>
          <w:szCs w:val="26"/>
        </w:rPr>
        <w:t xml:space="preserve">.  </w:t>
      </w:r>
      <w:r w:rsidR="00CB0BE8" w:rsidRPr="00BB5BDB">
        <w:rPr>
          <w:rFonts w:eastAsiaTheme="minorHAnsi"/>
          <w:sz w:val="26"/>
          <w:szCs w:val="26"/>
        </w:rPr>
        <w:t xml:space="preserve">As indicated above, </w:t>
      </w:r>
      <w:r w:rsidR="00FA200A" w:rsidRPr="00BB5BDB">
        <w:rPr>
          <w:rFonts w:eastAsiaTheme="minorHAnsi"/>
          <w:sz w:val="26"/>
          <w:szCs w:val="26"/>
        </w:rPr>
        <w:t xml:space="preserve">PGW’s </w:t>
      </w:r>
      <w:r w:rsidR="00CB0BE8" w:rsidRPr="00BB5BDB">
        <w:rPr>
          <w:rFonts w:eastAsiaTheme="minorHAnsi"/>
          <w:sz w:val="26"/>
          <w:szCs w:val="26"/>
        </w:rPr>
        <w:t xml:space="preserve">formal complaint </w:t>
      </w:r>
      <w:r w:rsidR="00FA200A" w:rsidRPr="00BB5BDB">
        <w:rPr>
          <w:rFonts w:eastAsiaTheme="minorHAnsi"/>
          <w:sz w:val="26"/>
          <w:szCs w:val="26"/>
        </w:rPr>
        <w:t>was a timely appeal of</w:t>
      </w:r>
      <w:r w:rsidR="002E5F94" w:rsidRPr="00BB5BDB">
        <w:rPr>
          <w:rFonts w:eastAsiaTheme="minorHAnsi"/>
          <w:sz w:val="26"/>
          <w:szCs w:val="26"/>
        </w:rPr>
        <w:t xml:space="preserve"> </w:t>
      </w:r>
      <w:r w:rsidR="00EA055C" w:rsidRPr="00BB5BDB">
        <w:rPr>
          <w:rFonts w:eastAsiaTheme="minorHAnsi"/>
          <w:sz w:val="26"/>
          <w:szCs w:val="26"/>
        </w:rPr>
        <w:t xml:space="preserve">the BCS’s </w:t>
      </w:r>
      <w:r w:rsidR="002E5F94" w:rsidRPr="00BB5BDB">
        <w:rPr>
          <w:rFonts w:eastAsiaTheme="minorHAnsi"/>
          <w:sz w:val="26"/>
          <w:szCs w:val="26"/>
        </w:rPr>
        <w:t>informal decision</w:t>
      </w:r>
      <w:r w:rsidR="005D6E89" w:rsidRPr="00BB5BDB">
        <w:rPr>
          <w:rFonts w:eastAsiaTheme="minorHAnsi"/>
          <w:sz w:val="26"/>
          <w:szCs w:val="26"/>
        </w:rPr>
        <w:t>, at</w:t>
      </w:r>
      <w:r w:rsidR="005D6E89" w:rsidRPr="00BB5BDB">
        <w:rPr>
          <w:sz w:val="26"/>
          <w:szCs w:val="26"/>
        </w:rPr>
        <w:t xml:space="preserve"> Case No. 3491811,</w:t>
      </w:r>
      <w:r w:rsidR="002E5F94" w:rsidRPr="00BB5BDB">
        <w:rPr>
          <w:rFonts w:eastAsiaTheme="minorHAnsi"/>
          <w:sz w:val="26"/>
          <w:szCs w:val="26"/>
        </w:rPr>
        <w:t xml:space="preserve"> </w:t>
      </w:r>
      <w:r w:rsidR="00CB0BE8" w:rsidRPr="00BB5BDB">
        <w:rPr>
          <w:rFonts w:eastAsiaTheme="minorHAnsi"/>
          <w:sz w:val="26"/>
          <w:szCs w:val="26"/>
        </w:rPr>
        <w:t xml:space="preserve">which granted, in part, </w:t>
      </w:r>
      <w:r w:rsidR="002E5F94" w:rsidRPr="00BB5BDB">
        <w:rPr>
          <w:rFonts w:eastAsiaTheme="minorHAnsi"/>
          <w:sz w:val="26"/>
          <w:szCs w:val="26"/>
        </w:rPr>
        <w:t xml:space="preserve">the informal complaint filed by Mr. Thomas against PGW.  </w:t>
      </w:r>
      <w:r w:rsidR="00CB0BE8" w:rsidRPr="00BB5BDB">
        <w:rPr>
          <w:rFonts w:eastAsiaTheme="minorHAnsi"/>
          <w:sz w:val="26"/>
          <w:szCs w:val="26"/>
        </w:rPr>
        <w:t>T</w:t>
      </w:r>
      <w:r w:rsidR="00FA200A" w:rsidRPr="00BB5BDB">
        <w:rPr>
          <w:rFonts w:eastAsiaTheme="minorHAnsi"/>
          <w:sz w:val="26"/>
          <w:szCs w:val="26"/>
        </w:rPr>
        <w:t xml:space="preserve">he burden of proof remained with Mr. Thomas, </w:t>
      </w:r>
      <w:r w:rsidR="002E5F94" w:rsidRPr="00BB5BDB">
        <w:rPr>
          <w:rFonts w:eastAsiaTheme="minorHAnsi"/>
          <w:sz w:val="26"/>
          <w:szCs w:val="26"/>
        </w:rPr>
        <w:t xml:space="preserve">as </w:t>
      </w:r>
      <w:r w:rsidR="00FA200A" w:rsidRPr="00BB5BDB">
        <w:rPr>
          <w:rFonts w:eastAsiaTheme="minorHAnsi"/>
          <w:sz w:val="26"/>
          <w:szCs w:val="26"/>
        </w:rPr>
        <w:t>the party who filed the</w:t>
      </w:r>
      <w:r w:rsidR="00CB0BE8" w:rsidRPr="00BB5BDB">
        <w:rPr>
          <w:rFonts w:eastAsiaTheme="minorHAnsi"/>
          <w:sz w:val="26"/>
          <w:szCs w:val="26"/>
        </w:rPr>
        <w:t xml:space="preserve"> original</w:t>
      </w:r>
      <w:r w:rsidR="00FA200A" w:rsidRPr="00BB5BDB">
        <w:rPr>
          <w:rFonts w:eastAsiaTheme="minorHAnsi"/>
          <w:sz w:val="26"/>
          <w:szCs w:val="26"/>
        </w:rPr>
        <w:t xml:space="preserve"> </w:t>
      </w:r>
      <w:r w:rsidR="002E5F94" w:rsidRPr="00BB5BDB">
        <w:rPr>
          <w:rFonts w:eastAsiaTheme="minorHAnsi"/>
          <w:sz w:val="26"/>
          <w:szCs w:val="26"/>
        </w:rPr>
        <w:t xml:space="preserve">informal </w:t>
      </w:r>
      <w:r w:rsidR="00FA200A" w:rsidRPr="00BB5BDB">
        <w:rPr>
          <w:rFonts w:eastAsiaTheme="minorHAnsi"/>
          <w:sz w:val="26"/>
          <w:szCs w:val="26"/>
        </w:rPr>
        <w:t xml:space="preserve">complaint.  </w:t>
      </w:r>
      <w:r w:rsidR="002E5F94" w:rsidRPr="00BB5BDB">
        <w:rPr>
          <w:rFonts w:eastAsiaTheme="minorHAnsi"/>
          <w:sz w:val="26"/>
          <w:szCs w:val="26"/>
        </w:rPr>
        <w:t>52 Pa. Code § 56.173(f).</w:t>
      </w:r>
      <w:r w:rsidR="00CB0BE8" w:rsidRPr="00BB5BDB">
        <w:rPr>
          <w:rFonts w:eastAsiaTheme="minorHAnsi"/>
          <w:sz w:val="26"/>
          <w:szCs w:val="26"/>
        </w:rPr>
        <w:t xml:space="preserve">  Thus, the discussion in the Initial Decision of PGW’s meeting its burden of proof is both unnecessary and inaccurate.</w:t>
      </w:r>
    </w:p>
    <w:p w:rsidR="00480261" w:rsidRPr="00BB5BDB" w:rsidRDefault="00480261" w:rsidP="002C0350">
      <w:pPr>
        <w:widowControl/>
        <w:spacing w:line="360" w:lineRule="auto"/>
        <w:ind w:firstLine="1440"/>
        <w:rPr>
          <w:rFonts w:eastAsiaTheme="minorHAnsi"/>
          <w:sz w:val="26"/>
          <w:szCs w:val="26"/>
        </w:rPr>
      </w:pPr>
    </w:p>
    <w:p w:rsidR="00F36CE4" w:rsidRPr="00BB5BDB" w:rsidRDefault="00F36CE4" w:rsidP="006F3D6E">
      <w:pPr>
        <w:widowControl/>
        <w:spacing w:line="360" w:lineRule="auto"/>
        <w:ind w:firstLine="1440"/>
        <w:rPr>
          <w:rFonts w:eastAsiaTheme="minorHAnsi"/>
          <w:sz w:val="26"/>
          <w:szCs w:val="26"/>
        </w:rPr>
      </w:pPr>
      <w:r w:rsidRPr="00BB5BDB">
        <w:rPr>
          <w:rFonts w:eastAsiaTheme="minorHAnsi"/>
          <w:sz w:val="26"/>
          <w:szCs w:val="26"/>
        </w:rPr>
        <w:t>When Mr. Thomas failed to attend the hearing, he failed to sustain his burden of proof</w:t>
      </w:r>
      <w:r w:rsidR="006F3D6E">
        <w:rPr>
          <w:rFonts w:eastAsiaTheme="minorHAnsi"/>
          <w:sz w:val="26"/>
          <w:szCs w:val="26"/>
        </w:rPr>
        <w:t xml:space="preserve"> for the consolidated Complaints, including PGW’s Appeal</w:t>
      </w:r>
      <w:r w:rsidRPr="00BB5BDB">
        <w:rPr>
          <w:rFonts w:eastAsiaTheme="minorHAnsi"/>
          <w:sz w:val="26"/>
          <w:szCs w:val="26"/>
        </w:rPr>
        <w:t>.  66 Pa. C.S. §</w:t>
      </w:r>
      <w:r w:rsidR="005C5F7C">
        <w:rPr>
          <w:rFonts w:eastAsiaTheme="minorHAnsi"/>
          <w:sz w:val="26"/>
          <w:szCs w:val="26"/>
        </w:rPr>
        <w:t> </w:t>
      </w:r>
      <w:r w:rsidRPr="00BB5BDB">
        <w:rPr>
          <w:rFonts w:eastAsiaTheme="minorHAnsi"/>
          <w:sz w:val="26"/>
          <w:szCs w:val="26"/>
        </w:rPr>
        <w:t xml:space="preserve">332(a).  </w:t>
      </w:r>
      <w:r w:rsidR="002C0350" w:rsidRPr="00BB5BDB">
        <w:rPr>
          <w:rFonts w:eastAsiaTheme="minorHAnsi"/>
          <w:sz w:val="26"/>
          <w:szCs w:val="26"/>
        </w:rPr>
        <w:t>Given that there was no finding by the ALJ that Mr. Thomas’</w:t>
      </w:r>
      <w:r w:rsidR="005E22CB" w:rsidRPr="00BB5BDB">
        <w:rPr>
          <w:rFonts w:eastAsiaTheme="minorHAnsi"/>
          <w:sz w:val="26"/>
          <w:szCs w:val="26"/>
        </w:rPr>
        <w:t>s</w:t>
      </w:r>
      <w:r w:rsidR="002C0350" w:rsidRPr="00BB5BDB">
        <w:rPr>
          <w:rFonts w:eastAsiaTheme="minorHAnsi"/>
          <w:sz w:val="26"/>
          <w:szCs w:val="26"/>
        </w:rPr>
        <w:t xml:space="preserve"> failure to appear </w:t>
      </w:r>
      <w:r w:rsidR="00EA055C" w:rsidRPr="00BB5BDB">
        <w:rPr>
          <w:rFonts w:eastAsiaTheme="minorHAnsi"/>
          <w:sz w:val="26"/>
          <w:szCs w:val="26"/>
        </w:rPr>
        <w:t xml:space="preserve">at the scheduled hearing </w:t>
      </w:r>
      <w:r w:rsidR="002C0350" w:rsidRPr="00BB5BDB">
        <w:rPr>
          <w:rFonts w:eastAsiaTheme="minorHAnsi"/>
          <w:sz w:val="26"/>
          <w:szCs w:val="26"/>
        </w:rPr>
        <w:t>was “unavoidable,” the</w:t>
      </w:r>
      <w:r w:rsidRPr="00BB5BDB">
        <w:rPr>
          <w:rFonts w:eastAsiaTheme="minorHAnsi"/>
          <w:sz w:val="26"/>
          <w:szCs w:val="26"/>
        </w:rPr>
        <w:t xml:space="preserve"> </w:t>
      </w:r>
      <w:r w:rsidR="00EA055C" w:rsidRPr="00BB5BDB">
        <w:rPr>
          <w:rFonts w:eastAsiaTheme="minorHAnsi"/>
          <w:sz w:val="26"/>
          <w:szCs w:val="26"/>
        </w:rPr>
        <w:t xml:space="preserve">consolidated </w:t>
      </w:r>
      <w:r w:rsidRPr="00BB5BDB">
        <w:rPr>
          <w:rFonts w:eastAsiaTheme="minorHAnsi"/>
          <w:sz w:val="26"/>
          <w:szCs w:val="26"/>
        </w:rPr>
        <w:t>Complaints</w:t>
      </w:r>
      <w:r w:rsidR="000A6CA3" w:rsidRPr="00BB5BDB">
        <w:rPr>
          <w:rFonts w:eastAsiaTheme="minorHAnsi"/>
          <w:sz w:val="26"/>
          <w:szCs w:val="26"/>
        </w:rPr>
        <w:t>, including PGW’s Appeal,</w:t>
      </w:r>
      <w:r w:rsidRPr="00BB5BDB">
        <w:rPr>
          <w:rFonts w:eastAsiaTheme="minorHAnsi"/>
          <w:sz w:val="26"/>
          <w:szCs w:val="26"/>
        </w:rPr>
        <w:t xml:space="preserve"> should have been dismissed due to Mr. Thomas’ failure to prosecute. </w:t>
      </w:r>
      <w:r w:rsidR="008C0423" w:rsidRPr="00BB5BDB">
        <w:rPr>
          <w:rFonts w:eastAsiaTheme="minorHAnsi"/>
          <w:sz w:val="26"/>
          <w:szCs w:val="26"/>
        </w:rPr>
        <w:t xml:space="preserve"> </w:t>
      </w:r>
      <w:r w:rsidR="002C0350" w:rsidRPr="00BB5BDB">
        <w:rPr>
          <w:sz w:val="26"/>
          <w:szCs w:val="26"/>
        </w:rPr>
        <w:t xml:space="preserve">66 Pa. C.S. § 332(f); 52 Pa. Code § 5.245(a)-(c). </w:t>
      </w:r>
      <w:r w:rsidRPr="00BB5BDB">
        <w:rPr>
          <w:rFonts w:eastAsiaTheme="minorHAnsi"/>
          <w:sz w:val="26"/>
          <w:szCs w:val="26"/>
        </w:rPr>
        <w:t xml:space="preserve"> W</w:t>
      </w:r>
      <w:r w:rsidR="00A5496E" w:rsidRPr="00BB5BDB">
        <w:rPr>
          <w:rFonts w:eastAsiaTheme="minorHAnsi"/>
          <w:sz w:val="26"/>
          <w:szCs w:val="26"/>
        </w:rPr>
        <w:t>hen an informal decision</w:t>
      </w:r>
      <w:r w:rsidR="006F3D6E">
        <w:rPr>
          <w:rFonts w:eastAsiaTheme="minorHAnsi"/>
          <w:sz w:val="26"/>
          <w:szCs w:val="26"/>
        </w:rPr>
        <w:t xml:space="preserve"> of the BCS</w:t>
      </w:r>
      <w:r w:rsidRPr="00BB5BDB">
        <w:rPr>
          <w:rFonts w:eastAsiaTheme="minorHAnsi"/>
          <w:sz w:val="26"/>
          <w:szCs w:val="26"/>
        </w:rPr>
        <w:t xml:space="preserve"> is timely appealed and not prosecuted, </w:t>
      </w:r>
      <w:r w:rsidR="006F3D6E">
        <w:rPr>
          <w:rFonts w:eastAsiaTheme="minorHAnsi"/>
          <w:sz w:val="26"/>
          <w:szCs w:val="26"/>
        </w:rPr>
        <w:t>such decision</w:t>
      </w:r>
      <w:r w:rsidRPr="00BB5BDB">
        <w:rPr>
          <w:rFonts w:eastAsiaTheme="minorHAnsi"/>
          <w:sz w:val="26"/>
          <w:szCs w:val="26"/>
        </w:rPr>
        <w:t xml:space="preserve"> does not stand.</w:t>
      </w:r>
      <w:r w:rsidR="00544142" w:rsidRPr="00BB5BDB">
        <w:rPr>
          <w:rStyle w:val="FootnoteReference"/>
          <w:rFonts w:eastAsiaTheme="minorHAnsi"/>
          <w:sz w:val="26"/>
          <w:szCs w:val="26"/>
        </w:rPr>
        <w:footnoteReference w:id="3"/>
      </w:r>
      <w:r w:rsidRPr="00BB5BDB">
        <w:rPr>
          <w:rFonts w:eastAsiaTheme="minorHAnsi"/>
          <w:sz w:val="26"/>
          <w:szCs w:val="26"/>
        </w:rPr>
        <w:t xml:space="preserve">  </w:t>
      </w:r>
      <w:r w:rsidR="00F233EF" w:rsidRPr="00BB5BDB">
        <w:rPr>
          <w:rFonts w:eastAsiaTheme="minorHAnsi"/>
          <w:sz w:val="26"/>
          <w:szCs w:val="26"/>
        </w:rPr>
        <w:t xml:space="preserve">Accordingly, a dismissal of the </w:t>
      </w:r>
      <w:r w:rsidR="007A123A" w:rsidRPr="00BB5BDB">
        <w:rPr>
          <w:rFonts w:eastAsiaTheme="minorHAnsi"/>
          <w:sz w:val="26"/>
          <w:szCs w:val="26"/>
        </w:rPr>
        <w:t xml:space="preserve">consolidated </w:t>
      </w:r>
      <w:r w:rsidR="00F233EF" w:rsidRPr="00BB5BDB">
        <w:rPr>
          <w:rFonts w:eastAsiaTheme="minorHAnsi"/>
          <w:sz w:val="26"/>
          <w:szCs w:val="26"/>
        </w:rPr>
        <w:t>Complaints would have</w:t>
      </w:r>
      <w:r w:rsidR="007A123A" w:rsidRPr="00BB5BDB">
        <w:rPr>
          <w:rFonts w:eastAsiaTheme="minorHAnsi"/>
          <w:sz w:val="26"/>
          <w:szCs w:val="26"/>
        </w:rPr>
        <w:t xml:space="preserve"> meant a vacat</w:t>
      </w:r>
      <w:r w:rsidR="005E22CB" w:rsidRPr="00BB5BDB">
        <w:rPr>
          <w:rFonts w:eastAsiaTheme="minorHAnsi"/>
          <w:sz w:val="26"/>
          <w:szCs w:val="26"/>
        </w:rPr>
        <w:t>ing</w:t>
      </w:r>
      <w:r w:rsidR="007A123A" w:rsidRPr="00BB5BDB">
        <w:rPr>
          <w:rFonts w:eastAsiaTheme="minorHAnsi"/>
          <w:sz w:val="26"/>
          <w:szCs w:val="26"/>
        </w:rPr>
        <w:t xml:space="preserve"> of the</w:t>
      </w:r>
      <w:r w:rsidR="00F233EF" w:rsidRPr="00BB5BDB">
        <w:rPr>
          <w:rFonts w:eastAsiaTheme="minorHAnsi"/>
          <w:sz w:val="26"/>
          <w:szCs w:val="26"/>
        </w:rPr>
        <w:t xml:space="preserve"> BCS’</w:t>
      </w:r>
      <w:r w:rsidR="005E22CB" w:rsidRPr="00BB5BDB">
        <w:rPr>
          <w:rFonts w:eastAsiaTheme="minorHAnsi"/>
          <w:sz w:val="26"/>
          <w:szCs w:val="26"/>
        </w:rPr>
        <w:t>s</w:t>
      </w:r>
      <w:r w:rsidR="00F233EF" w:rsidRPr="00BB5BDB">
        <w:rPr>
          <w:rFonts w:eastAsiaTheme="minorHAnsi"/>
          <w:sz w:val="26"/>
          <w:szCs w:val="26"/>
        </w:rPr>
        <w:t xml:space="preserve"> informal decision</w:t>
      </w:r>
      <w:r w:rsidR="007A123A" w:rsidRPr="00BB5BDB">
        <w:rPr>
          <w:sz w:val="26"/>
          <w:szCs w:val="26"/>
        </w:rPr>
        <w:t xml:space="preserve"> at Case No. 3491811</w:t>
      </w:r>
      <w:r w:rsidR="007A123A" w:rsidRPr="00BB5BDB">
        <w:rPr>
          <w:rFonts w:eastAsiaTheme="minorHAnsi"/>
          <w:sz w:val="26"/>
          <w:szCs w:val="26"/>
        </w:rPr>
        <w:t>.</w:t>
      </w:r>
    </w:p>
    <w:p w:rsidR="00F36CE4" w:rsidRPr="00BB5BDB" w:rsidRDefault="00F36CE4" w:rsidP="00F36CE4">
      <w:pPr>
        <w:widowControl/>
        <w:spacing w:line="360" w:lineRule="auto"/>
        <w:ind w:firstLine="1440"/>
        <w:rPr>
          <w:rFonts w:eastAsiaTheme="minorHAnsi"/>
          <w:sz w:val="26"/>
          <w:szCs w:val="26"/>
        </w:rPr>
      </w:pPr>
    </w:p>
    <w:p w:rsidR="008C0423" w:rsidRPr="00BB5BDB" w:rsidRDefault="00A5496E" w:rsidP="000027B0">
      <w:pPr>
        <w:widowControl/>
        <w:spacing w:line="360" w:lineRule="auto"/>
        <w:ind w:firstLine="1440"/>
        <w:rPr>
          <w:rFonts w:eastAsiaTheme="minorHAnsi"/>
          <w:sz w:val="26"/>
          <w:szCs w:val="26"/>
        </w:rPr>
      </w:pPr>
      <w:r w:rsidRPr="00BB5BDB">
        <w:rPr>
          <w:rFonts w:eastAsiaTheme="minorHAnsi"/>
          <w:sz w:val="26"/>
          <w:szCs w:val="26"/>
        </w:rPr>
        <w:t>All of the foregoing</w:t>
      </w:r>
      <w:r w:rsidR="00F36CE4" w:rsidRPr="00BB5BDB">
        <w:rPr>
          <w:rFonts w:eastAsiaTheme="minorHAnsi"/>
          <w:sz w:val="26"/>
          <w:szCs w:val="26"/>
        </w:rPr>
        <w:t xml:space="preserve"> would </w:t>
      </w:r>
      <w:r w:rsidR="005E22CB" w:rsidRPr="00BB5BDB">
        <w:rPr>
          <w:rFonts w:eastAsiaTheme="minorHAnsi"/>
          <w:sz w:val="26"/>
          <w:szCs w:val="26"/>
        </w:rPr>
        <w:t>be</w:t>
      </w:r>
      <w:r w:rsidRPr="00BB5BDB">
        <w:rPr>
          <w:rFonts w:eastAsiaTheme="minorHAnsi"/>
          <w:sz w:val="26"/>
          <w:szCs w:val="26"/>
        </w:rPr>
        <w:t xml:space="preserve"> true </w:t>
      </w:r>
      <w:r w:rsidR="006F3D6E">
        <w:rPr>
          <w:rFonts w:eastAsiaTheme="minorHAnsi"/>
          <w:sz w:val="26"/>
          <w:szCs w:val="26"/>
        </w:rPr>
        <w:t>here</w:t>
      </w:r>
      <w:r w:rsidR="00F36CE4" w:rsidRPr="00BB5BDB">
        <w:rPr>
          <w:rFonts w:eastAsiaTheme="minorHAnsi"/>
          <w:sz w:val="26"/>
          <w:szCs w:val="26"/>
        </w:rPr>
        <w:t xml:space="preserve"> if the record reflected </w:t>
      </w:r>
      <w:r w:rsidR="006F3D6E">
        <w:rPr>
          <w:rFonts w:eastAsiaTheme="minorHAnsi"/>
          <w:sz w:val="26"/>
          <w:szCs w:val="26"/>
        </w:rPr>
        <w:t xml:space="preserve">adequate </w:t>
      </w:r>
      <w:r w:rsidR="00F36CE4" w:rsidRPr="00BB5BDB">
        <w:rPr>
          <w:rFonts w:eastAsiaTheme="minorHAnsi"/>
          <w:sz w:val="26"/>
          <w:szCs w:val="26"/>
        </w:rPr>
        <w:t>due process.  H</w:t>
      </w:r>
      <w:r w:rsidR="002E5F94" w:rsidRPr="00BB5BDB">
        <w:rPr>
          <w:rFonts w:eastAsiaTheme="minorHAnsi"/>
          <w:sz w:val="26"/>
          <w:szCs w:val="26"/>
        </w:rPr>
        <w:t>owever</w:t>
      </w:r>
      <w:r w:rsidR="00F36CE4" w:rsidRPr="00BB5BDB">
        <w:rPr>
          <w:rFonts w:eastAsiaTheme="minorHAnsi"/>
          <w:sz w:val="26"/>
          <w:szCs w:val="26"/>
        </w:rPr>
        <w:t xml:space="preserve">, </w:t>
      </w:r>
      <w:r w:rsidRPr="00BB5BDB">
        <w:rPr>
          <w:rFonts w:eastAsiaTheme="minorHAnsi"/>
          <w:sz w:val="26"/>
          <w:szCs w:val="26"/>
        </w:rPr>
        <w:t xml:space="preserve">upon close review of the Commission’s </w:t>
      </w:r>
      <w:r w:rsidR="006F3D6E">
        <w:rPr>
          <w:rFonts w:eastAsiaTheme="minorHAnsi"/>
          <w:sz w:val="26"/>
          <w:szCs w:val="26"/>
        </w:rPr>
        <w:t>records</w:t>
      </w:r>
      <w:r w:rsidRPr="00BB5BDB">
        <w:rPr>
          <w:rFonts w:eastAsiaTheme="minorHAnsi"/>
          <w:sz w:val="26"/>
          <w:szCs w:val="26"/>
        </w:rPr>
        <w:t>,</w:t>
      </w:r>
      <w:r w:rsidRPr="00BB5BDB">
        <w:rPr>
          <w:rStyle w:val="FootnoteReference"/>
          <w:rFonts w:eastAsiaTheme="minorHAnsi"/>
          <w:sz w:val="26"/>
          <w:szCs w:val="26"/>
        </w:rPr>
        <w:footnoteReference w:id="4"/>
      </w:r>
      <w:r w:rsidRPr="00BB5BDB">
        <w:rPr>
          <w:rFonts w:eastAsiaTheme="minorHAnsi"/>
          <w:sz w:val="26"/>
          <w:szCs w:val="26"/>
        </w:rPr>
        <w:t xml:space="preserve"> </w:t>
      </w:r>
      <w:r w:rsidR="000027B0" w:rsidRPr="00BB5BDB">
        <w:rPr>
          <w:rFonts w:eastAsiaTheme="minorHAnsi"/>
          <w:sz w:val="26"/>
          <w:szCs w:val="26"/>
        </w:rPr>
        <w:t>we note that</w:t>
      </w:r>
      <w:r w:rsidR="00F36CE4" w:rsidRPr="00BB5BDB">
        <w:rPr>
          <w:rFonts w:eastAsiaTheme="minorHAnsi"/>
          <w:sz w:val="26"/>
          <w:szCs w:val="26"/>
        </w:rPr>
        <w:t xml:space="preserve"> there </w:t>
      </w:r>
      <w:r w:rsidRPr="00BB5BDB">
        <w:rPr>
          <w:rFonts w:eastAsiaTheme="minorHAnsi"/>
          <w:sz w:val="26"/>
          <w:szCs w:val="26"/>
        </w:rPr>
        <w:t>were several failed attempts to serve PGW’s Appeal on Mr. Thomas as well as</w:t>
      </w:r>
      <w:r w:rsidR="006F3D6E">
        <w:rPr>
          <w:rFonts w:eastAsiaTheme="minorHAnsi"/>
          <w:sz w:val="26"/>
          <w:szCs w:val="26"/>
        </w:rPr>
        <w:t xml:space="preserve"> a failed attempt to serve</w:t>
      </w:r>
      <w:r w:rsidRPr="00BB5BDB">
        <w:rPr>
          <w:rFonts w:eastAsiaTheme="minorHAnsi"/>
          <w:sz w:val="26"/>
          <w:szCs w:val="26"/>
        </w:rPr>
        <w:t xml:space="preserve"> the </w:t>
      </w:r>
      <w:r w:rsidR="005E22CB" w:rsidRPr="00BB5BDB">
        <w:rPr>
          <w:rFonts w:eastAsiaTheme="minorHAnsi"/>
          <w:sz w:val="26"/>
          <w:szCs w:val="26"/>
        </w:rPr>
        <w:t>Preh</w:t>
      </w:r>
      <w:r w:rsidRPr="00BB5BDB">
        <w:rPr>
          <w:rFonts w:eastAsiaTheme="minorHAnsi"/>
          <w:sz w:val="26"/>
          <w:szCs w:val="26"/>
        </w:rPr>
        <w:t>earing</w:t>
      </w:r>
      <w:r w:rsidR="005E22CB" w:rsidRPr="00BB5BDB">
        <w:rPr>
          <w:rFonts w:eastAsiaTheme="minorHAnsi"/>
          <w:sz w:val="26"/>
          <w:szCs w:val="26"/>
        </w:rPr>
        <w:t xml:space="preserve"> Order</w:t>
      </w:r>
      <w:r w:rsidR="006F3D6E">
        <w:rPr>
          <w:rFonts w:eastAsiaTheme="minorHAnsi"/>
          <w:sz w:val="26"/>
          <w:szCs w:val="26"/>
        </w:rPr>
        <w:t xml:space="preserve"> on Mr. Thomas</w:t>
      </w:r>
      <w:r w:rsidRPr="00BB5BDB">
        <w:rPr>
          <w:rFonts w:eastAsiaTheme="minorHAnsi"/>
          <w:sz w:val="26"/>
          <w:szCs w:val="26"/>
        </w:rPr>
        <w:t>.  Specifically,</w:t>
      </w:r>
      <w:r w:rsidR="00F36CE4" w:rsidRPr="00BB5BDB">
        <w:rPr>
          <w:rFonts w:eastAsiaTheme="minorHAnsi"/>
          <w:sz w:val="26"/>
          <w:szCs w:val="26"/>
        </w:rPr>
        <w:t xml:space="preserve"> the </w:t>
      </w:r>
      <w:r w:rsidRPr="00BB5BDB">
        <w:rPr>
          <w:rFonts w:eastAsiaTheme="minorHAnsi"/>
          <w:sz w:val="26"/>
          <w:szCs w:val="26"/>
        </w:rPr>
        <w:t xml:space="preserve">service </w:t>
      </w:r>
      <w:r w:rsidR="00F36CE4" w:rsidRPr="00BB5BDB">
        <w:rPr>
          <w:rFonts w:eastAsiaTheme="minorHAnsi"/>
          <w:sz w:val="26"/>
          <w:szCs w:val="26"/>
        </w:rPr>
        <w:t>process was returned as undeliverable</w:t>
      </w:r>
      <w:r w:rsidR="008C0423" w:rsidRPr="00BB5BDB">
        <w:rPr>
          <w:rFonts w:eastAsiaTheme="minorHAnsi"/>
          <w:sz w:val="26"/>
          <w:szCs w:val="26"/>
        </w:rPr>
        <w:t>.  There</w:t>
      </w:r>
      <w:r w:rsidR="00F36CE4" w:rsidRPr="00BB5BDB">
        <w:rPr>
          <w:rFonts w:eastAsiaTheme="minorHAnsi"/>
          <w:sz w:val="26"/>
          <w:szCs w:val="26"/>
        </w:rPr>
        <w:t xml:space="preserve"> is no mention of this</w:t>
      </w:r>
      <w:r w:rsidR="008C0423" w:rsidRPr="00BB5BDB">
        <w:rPr>
          <w:rFonts w:eastAsiaTheme="minorHAnsi"/>
          <w:sz w:val="26"/>
          <w:szCs w:val="26"/>
        </w:rPr>
        <w:t xml:space="preserve"> service failure</w:t>
      </w:r>
      <w:r w:rsidR="00F36CE4" w:rsidRPr="00BB5BDB">
        <w:rPr>
          <w:rFonts w:eastAsiaTheme="minorHAnsi"/>
          <w:sz w:val="26"/>
          <w:szCs w:val="26"/>
        </w:rPr>
        <w:t xml:space="preserve"> in the Initial Decision</w:t>
      </w:r>
      <w:r w:rsidR="008C0423" w:rsidRPr="00BB5BDB">
        <w:rPr>
          <w:rFonts w:eastAsiaTheme="minorHAnsi"/>
          <w:sz w:val="26"/>
          <w:szCs w:val="26"/>
        </w:rPr>
        <w:t>, however</w:t>
      </w:r>
      <w:r w:rsidR="00F36CE4" w:rsidRPr="00BB5BDB">
        <w:rPr>
          <w:rFonts w:eastAsiaTheme="minorHAnsi"/>
          <w:sz w:val="26"/>
          <w:szCs w:val="26"/>
        </w:rPr>
        <w:t>.</w:t>
      </w:r>
    </w:p>
    <w:p w:rsidR="008C0423" w:rsidRPr="00BB5BDB" w:rsidRDefault="008C0423" w:rsidP="000027B0">
      <w:pPr>
        <w:widowControl/>
        <w:spacing w:line="360" w:lineRule="auto"/>
        <w:ind w:firstLine="1440"/>
        <w:rPr>
          <w:rFonts w:eastAsiaTheme="minorHAnsi"/>
          <w:sz w:val="26"/>
          <w:szCs w:val="26"/>
        </w:rPr>
      </w:pPr>
    </w:p>
    <w:p w:rsidR="000027B0" w:rsidRPr="00BB5BDB" w:rsidRDefault="00D87DC9" w:rsidP="000027B0">
      <w:pPr>
        <w:widowControl/>
        <w:spacing w:line="360" w:lineRule="auto"/>
        <w:ind w:firstLine="1440"/>
        <w:rPr>
          <w:rFonts w:eastAsiaTheme="minorHAnsi"/>
          <w:sz w:val="26"/>
          <w:szCs w:val="26"/>
        </w:rPr>
      </w:pPr>
      <w:r w:rsidRPr="00BB5BDB">
        <w:rPr>
          <w:rFonts w:eastAsiaTheme="minorHAnsi"/>
          <w:sz w:val="26"/>
          <w:szCs w:val="26"/>
        </w:rPr>
        <w:t>More s</w:t>
      </w:r>
      <w:r w:rsidR="009D2D93" w:rsidRPr="00BB5BDB">
        <w:rPr>
          <w:rFonts w:eastAsiaTheme="minorHAnsi"/>
          <w:sz w:val="26"/>
          <w:szCs w:val="26"/>
        </w:rPr>
        <w:t>pecifically, i</w:t>
      </w:r>
      <w:r w:rsidR="008C0423" w:rsidRPr="00BB5BDB">
        <w:rPr>
          <w:rFonts w:eastAsiaTheme="minorHAnsi"/>
          <w:sz w:val="26"/>
          <w:szCs w:val="26"/>
        </w:rPr>
        <w:t xml:space="preserve">t appears </w:t>
      </w:r>
      <w:r w:rsidR="00F36CE4" w:rsidRPr="00BB5BDB">
        <w:rPr>
          <w:rFonts w:eastAsiaTheme="minorHAnsi"/>
          <w:sz w:val="26"/>
          <w:szCs w:val="26"/>
        </w:rPr>
        <w:t>Mr. Thomas provided an address for service which was not the subject of the case, and service to this address, North 25</w:t>
      </w:r>
      <w:r w:rsidR="008C0423" w:rsidRPr="00BB5BDB">
        <w:rPr>
          <w:rFonts w:eastAsiaTheme="minorHAnsi"/>
          <w:sz w:val="26"/>
          <w:szCs w:val="26"/>
        </w:rPr>
        <w:t>th</w:t>
      </w:r>
      <w:r w:rsidR="00F36CE4" w:rsidRPr="00BB5BDB">
        <w:rPr>
          <w:rFonts w:eastAsiaTheme="minorHAnsi"/>
          <w:sz w:val="26"/>
          <w:szCs w:val="26"/>
        </w:rPr>
        <w:t xml:space="preserve"> Street, was returned as undeliverable.  </w:t>
      </w:r>
      <w:r w:rsidRPr="00BB5BDB">
        <w:rPr>
          <w:rFonts w:eastAsiaTheme="minorHAnsi"/>
          <w:sz w:val="26"/>
          <w:szCs w:val="26"/>
        </w:rPr>
        <w:t>As noted above, o</w:t>
      </w:r>
      <w:r w:rsidR="00F36CE4" w:rsidRPr="00BB5BDB">
        <w:rPr>
          <w:rFonts w:eastAsiaTheme="minorHAnsi"/>
          <w:sz w:val="26"/>
          <w:szCs w:val="26"/>
        </w:rPr>
        <w:t>ne attempt at service went to North Grant Street, instead of the subject address of North Gratz Street.  When Mr. Thomas</w:t>
      </w:r>
      <w:r w:rsidR="000027B0" w:rsidRPr="00BB5BDB">
        <w:rPr>
          <w:rFonts w:eastAsiaTheme="minorHAnsi"/>
          <w:sz w:val="26"/>
          <w:szCs w:val="26"/>
        </w:rPr>
        <w:t xml:space="preserve"> filed </w:t>
      </w:r>
      <w:r w:rsidR="00C27E02" w:rsidRPr="00BB5BDB">
        <w:rPr>
          <w:rFonts w:eastAsiaTheme="minorHAnsi"/>
          <w:sz w:val="26"/>
          <w:szCs w:val="26"/>
        </w:rPr>
        <w:t>his</w:t>
      </w:r>
      <w:r w:rsidR="000027B0" w:rsidRPr="00BB5BDB">
        <w:rPr>
          <w:rFonts w:eastAsiaTheme="minorHAnsi"/>
          <w:sz w:val="26"/>
          <w:szCs w:val="26"/>
        </w:rPr>
        <w:t xml:space="preserve"> C</w:t>
      </w:r>
      <w:r w:rsidR="00F36CE4" w:rsidRPr="00BB5BDB">
        <w:rPr>
          <w:rFonts w:eastAsiaTheme="minorHAnsi"/>
          <w:sz w:val="26"/>
          <w:szCs w:val="26"/>
        </w:rPr>
        <w:t>omplaint, he stated his address as North Gratz Street, but when he filed the Amended Complaint, he listed North 25</w:t>
      </w:r>
      <w:r w:rsidR="008C0423" w:rsidRPr="00BB5BDB">
        <w:rPr>
          <w:rFonts w:eastAsiaTheme="minorHAnsi"/>
          <w:sz w:val="26"/>
          <w:szCs w:val="26"/>
        </w:rPr>
        <w:t>th</w:t>
      </w:r>
      <w:r w:rsidR="00F36CE4" w:rsidRPr="00BB5BDB">
        <w:rPr>
          <w:rFonts w:eastAsiaTheme="minorHAnsi"/>
          <w:sz w:val="26"/>
          <w:szCs w:val="26"/>
        </w:rPr>
        <w:t xml:space="preserve">. </w:t>
      </w:r>
      <w:r w:rsidR="000027B0" w:rsidRPr="00BB5BDB">
        <w:rPr>
          <w:rFonts w:eastAsiaTheme="minorHAnsi"/>
          <w:sz w:val="26"/>
          <w:szCs w:val="26"/>
        </w:rPr>
        <w:t xml:space="preserve"> </w:t>
      </w:r>
      <w:r w:rsidR="008C0423" w:rsidRPr="00BB5BDB">
        <w:rPr>
          <w:rFonts w:eastAsiaTheme="minorHAnsi"/>
          <w:sz w:val="26"/>
          <w:szCs w:val="26"/>
        </w:rPr>
        <w:t>Although the ALJ indicate</w:t>
      </w:r>
      <w:r w:rsidR="006F3D6E">
        <w:rPr>
          <w:rFonts w:eastAsiaTheme="minorHAnsi"/>
          <w:sz w:val="26"/>
          <w:szCs w:val="26"/>
        </w:rPr>
        <w:t>d</w:t>
      </w:r>
      <w:r w:rsidR="008C0423" w:rsidRPr="00BB5BDB">
        <w:rPr>
          <w:rFonts w:eastAsiaTheme="minorHAnsi"/>
          <w:sz w:val="26"/>
          <w:szCs w:val="26"/>
        </w:rPr>
        <w:t xml:space="preserve"> on the transcript that she spoke to Mr. Thomas to assure him that the hearing would be held despite inclement weather, </w:t>
      </w:r>
      <w:r w:rsidRPr="00BB5BDB">
        <w:rPr>
          <w:rFonts w:eastAsiaTheme="minorHAnsi"/>
          <w:i/>
          <w:sz w:val="26"/>
          <w:szCs w:val="26"/>
        </w:rPr>
        <w:t>see</w:t>
      </w:r>
      <w:r w:rsidRPr="00BB5BDB">
        <w:rPr>
          <w:rFonts w:eastAsiaTheme="minorHAnsi"/>
          <w:sz w:val="26"/>
          <w:szCs w:val="26"/>
        </w:rPr>
        <w:t xml:space="preserve"> Tr. 4-5, </w:t>
      </w:r>
      <w:r w:rsidR="008C0423" w:rsidRPr="00BB5BDB">
        <w:rPr>
          <w:rFonts w:eastAsiaTheme="minorHAnsi"/>
          <w:sz w:val="26"/>
          <w:szCs w:val="26"/>
        </w:rPr>
        <w:t>he did not attend the in-person hearing, and there is no mention of this conversation in the I</w:t>
      </w:r>
      <w:r w:rsidRPr="00BB5BDB">
        <w:rPr>
          <w:rFonts w:eastAsiaTheme="minorHAnsi"/>
          <w:sz w:val="26"/>
          <w:szCs w:val="26"/>
        </w:rPr>
        <w:t>nitial Decision</w:t>
      </w:r>
      <w:r w:rsidR="008C0423" w:rsidRPr="00BB5BDB">
        <w:rPr>
          <w:rFonts w:eastAsiaTheme="minorHAnsi"/>
          <w:sz w:val="26"/>
          <w:szCs w:val="26"/>
        </w:rPr>
        <w:t xml:space="preserve">.  </w:t>
      </w:r>
      <w:r w:rsidRPr="00BB5BDB">
        <w:rPr>
          <w:rFonts w:eastAsiaTheme="minorHAnsi"/>
          <w:sz w:val="26"/>
          <w:szCs w:val="26"/>
        </w:rPr>
        <w:t>T</w:t>
      </w:r>
      <w:r w:rsidR="008C0423" w:rsidRPr="00BB5BDB">
        <w:rPr>
          <w:rFonts w:eastAsiaTheme="minorHAnsi"/>
          <w:sz w:val="26"/>
          <w:szCs w:val="26"/>
        </w:rPr>
        <w:t>he foregoing</w:t>
      </w:r>
      <w:r w:rsidRPr="00BB5BDB">
        <w:rPr>
          <w:rFonts w:eastAsiaTheme="minorHAnsi"/>
          <w:sz w:val="26"/>
          <w:szCs w:val="26"/>
        </w:rPr>
        <w:t xml:space="preserve"> </w:t>
      </w:r>
      <w:r w:rsidR="00F36CE4" w:rsidRPr="00BB5BDB">
        <w:rPr>
          <w:rFonts w:eastAsiaTheme="minorHAnsi"/>
          <w:sz w:val="26"/>
          <w:szCs w:val="26"/>
        </w:rPr>
        <w:t>raises doubts regardin</w:t>
      </w:r>
      <w:r w:rsidR="008C0423" w:rsidRPr="00BB5BDB">
        <w:rPr>
          <w:rFonts w:eastAsiaTheme="minorHAnsi"/>
          <w:sz w:val="26"/>
          <w:szCs w:val="26"/>
        </w:rPr>
        <w:t>g whether there had been service of important documents and adequate notice of hearing in this proceeding.</w:t>
      </w:r>
    </w:p>
    <w:p w:rsidR="000027B0" w:rsidRPr="00BB5BDB" w:rsidRDefault="000027B0" w:rsidP="000027B0">
      <w:pPr>
        <w:widowControl/>
        <w:spacing w:line="360" w:lineRule="auto"/>
        <w:ind w:firstLine="1440"/>
        <w:rPr>
          <w:rFonts w:eastAsiaTheme="minorHAnsi"/>
          <w:sz w:val="26"/>
          <w:szCs w:val="26"/>
        </w:rPr>
      </w:pPr>
    </w:p>
    <w:p w:rsidR="002E5F94" w:rsidRPr="00BB5BDB" w:rsidRDefault="000027B0" w:rsidP="000027B0">
      <w:pPr>
        <w:widowControl/>
        <w:spacing w:line="360" w:lineRule="auto"/>
        <w:ind w:firstLine="1440"/>
        <w:rPr>
          <w:rFonts w:eastAsiaTheme="minorHAnsi"/>
          <w:sz w:val="26"/>
          <w:szCs w:val="26"/>
        </w:rPr>
      </w:pPr>
      <w:r w:rsidRPr="00BB5BDB">
        <w:rPr>
          <w:rFonts w:eastAsiaTheme="minorHAnsi"/>
          <w:sz w:val="26"/>
          <w:szCs w:val="26"/>
        </w:rPr>
        <w:t xml:space="preserve">We </w:t>
      </w:r>
      <w:r w:rsidR="00F36CE4" w:rsidRPr="00BB5BDB">
        <w:rPr>
          <w:rFonts w:eastAsiaTheme="minorHAnsi"/>
          <w:sz w:val="26"/>
          <w:szCs w:val="26"/>
        </w:rPr>
        <w:t>recognize that it is the responsibility of the party</w:t>
      </w:r>
      <w:r w:rsidRPr="00BB5BDB">
        <w:rPr>
          <w:rFonts w:eastAsiaTheme="minorHAnsi"/>
          <w:sz w:val="26"/>
          <w:szCs w:val="26"/>
        </w:rPr>
        <w:t>, not the Commission,</w:t>
      </w:r>
      <w:r w:rsidR="00F36CE4" w:rsidRPr="00BB5BDB">
        <w:rPr>
          <w:rFonts w:eastAsiaTheme="minorHAnsi"/>
          <w:sz w:val="26"/>
          <w:szCs w:val="26"/>
        </w:rPr>
        <w:t xml:space="preserve"> to ensure that the accurate address for service </w:t>
      </w:r>
      <w:r w:rsidRPr="00BB5BDB">
        <w:rPr>
          <w:rFonts w:eastAsiaTheme="minorHAnsi"/>
          <w:sz w:val="26"/>
          <w:szCs w:val="26"/>
        </w:rPr>
        <w:t xml:space="preserve">is maintained by the Commission. </w:t>
      </w:r>
      <w:r w:rsidR="0095266C">
        <w:rPr>
          <w:rFonts w:eastAsiaTheme="minorHAnsi"/>
          <w:sz w:val="26"/>
          <w:szCs w:val="26"/>
        </w:rPr>
        <w:t xml:space="preserve"> </w:t>
      </w:r>
      <w:r w:rsidRPr="00BB5BDB">
        <w:rPr>
          <w:rFonts w:eastAsiaTheme="minorHAnsi"/>
          <w:i/>
          <w:sz w:val="26"/>
          <w:szCs w:val="26"/>
        </w:rPr>
        <w:t>See</w:t>
      </w:r>
      <w:r w:rsidRPr="00BB5BDB">
        <w:rPr>
          <w:rFonts w:eastAsiaTheme="minorHAnsi"/>
          <w:sz w:val="26"/>
          <w:szCs w:val="26"/>
        </w:rPr>
        <w:t xml:space="preserve"> 52</w:t>
      </w:r>
      <w:r w:rsidR="00EF3AE0">
        <w:rPr>
          <w:rFonts w:eastAsiaTheme="minorHAnsi"/>
          <w:sz w:val="26"/>
          <w:szCs w:val="26"/>
        </w:rPr>
        <w:t> </w:t>
      </w:r>
      <w:r w:rsidRPr="00BB5BDB">
        <w:rPr>
          <w:rFonts w:eastAsiaTheme="minorHAnsi"/>
          <w:sz w:val="26"/>
          <w:szCs w:val="26"/>
        </w:rPr>
        <w:t>Pa. Code § 1.53(d) (“It is the duty of a party to apprise the Commission promptly of changes to the party’s current address.”).  We also recognize that</w:t>
      </w:r>
      <w:r w:rsidR="00BB5BDB" w:rsidRPr="00BB5BDB">
        <w:rPr>
          <w:rFonts w:eastAsiaTheme="minorHAnsi"/>
          <w:sz w:val="26"/>
          <w:szCs w:val="26"/>
        </w:rPr>
        <w:t>,</w:t>
      </w:r>
      <w:r w:rsidRPr="00BB5BDB">
        <w:rPr>
          <w:rFonts w:eastAsiaTheme="minorHAnsi"/>
          <w:sz w:val="26"/>
          <w:szCs w:val="26"/>
        </w:rPr>
        <w:t xml:space="preserve"> i</w:t>
      </w:r>
      <w:r w:rsidR="00F36CE4" w:rsidRPr="00BB5BDB">
        <w:rPr>
          <w:rFonts w:eastAsiaTheme="minorHAnsi"/>
          <w:sz w:val="26"/>
          <w:szCs w:val="26"/>
        </w:rPr>
        <w:t>n this s</w:t>
      </w:r>
      <w:r w:rsidRPr="00BB5BDB">
        <w:rPr>
          <w:rFonts w:eastAsiaTheme="minorHAnsi"/>
          <w:sz w:val="26"/>
          <w:szCs w:val="26"/>
        </w:rPr>
        <w:t>ituation, it is not clear that Mr. Thomas</w:t>
      </w:r>
      <w:r w:rsidR="00F36CE4" w:rsidRPr="00BB5BDB">
        <w:rPr>
          <w:rFonts w:eastAsiaTheme="minorHAnsi"/>
          <w:sz w:val="26"/>
          <w:szCs w:val="26"/>
        </w:rPr>
        <w:t xml:space="preserve"> </w:t>
      </w:r>
      <w:r w:rsidRPr="00BB5BDB">
        <w:rPr>
          <w:rFonts w:eastAsiaTheme="minorHAnsi"/>
          <w:sz w:val="26"/>
          <w:szCs w:val="26"/>
        </w:rPr>
        <w:t>met his obligation to keep the Commission informed of his address.</w:t>
      </w:r>
    </w:p>
    <w:p w:rsidR="002E5F94" w:rsidRPr="00BB5BDB" w:rsidRDefault="002E5F94" w:rsidP="000027B0">
      <w:pPr>
        <w:widowControl/>
        <w:spacing w:line="360" w:lineRule="auto"/>
        <w:ind w:firstLine="1440"/>
        <w:rPr>
          <w:rFonts w:eastAsiaTheme="minorHAnsi"/>
          <w:sz w:val="26"/>
          <w:szCs w:val="26"/>
        </w:rPr>
      </w:pPr>
    </w:p>
    <w:p w:rsidR="00F36CE4" w:rsidRPr="00BB5BDB" w:rsidRDefault="002E5F94" w:rsidP="000027B0">
      <w:pPr>
        <w:widowControl/>
        <w:spacing w:line="360" w:lineRule="auto"/>
        <w:ind w:firstLine="1440"/>
        <w:rPr>
          <w:rFonts w:eastAsiaTheme="minorHAnsi"/>
          <w:sz w:val="26"/>
          <w:szCs w:val="26"/>
        </w:rPr>
      </w:pPr>
      <w:r w:rsidRPr="00BB5BDB">
        <w:rPr>
          <w:rFonts w:eastAsiaTheme="minorHAnsi"/>
          <w:sz w:val="26"/>
          <w:szCs w:val="26"/>
        </w:rPr>
        <w:t>Nevertheless</w:t>
      </w:r>
      <w:r w:rsidR="00F36CE4" w:rsidRPr="00BB5BDB">
        <w:rPr>
          <w:rFonts w:eastAsiaTheme="minorHAnsi"/>
          <w:sz w:val="26"/>
          <w:szCs w:val="26"/>
        </w:rPr>
        <w:t xml:space="preserve">, </w:t>
      </w:r>
      <w:r w:rsidR="005E22CB" w:rsidRPr="00BB5BDB">
        <w:rPr>
          <w:rFonts w:eastAsiaTheme="minorHAnsi"/>
          <w:sz w:val="26"/>
          <w:szCs w:val="26"/>
        </w:rPr>
        <w:t xml:space="preserve">based on the record, we </w:t>
      </w:r>
      <w:r w:rsidR="00655272">
        <w:rPr>
          <w:rFonts w:eastAsiaTheme="minorHAnsi"/>
          <w:sz w:val="26"/>
          <w:szCs w:val="26"/>
        </w:rPr>
        <w:t xml:space="preserve">shall </w:t>
      </w:r>
      <w:r w:rsidR="005E22CB" w:rsidRPr="00BB5BDB">
        <w:rPr>
          <w:rFonts w:eastAsiaTheme="minorHAnsi"/>
          <w:sz w:val="26"/>
          <w:szCs w:val="26"/>
        </w:rPr>
        <w:t xml:space="preserve"> refrain from presuming that sufficient notice of PGW’s Appeal and of the hearing had been provided to Mr. Thomas</w:t>
      </w:r>
      <w:r w:rsidR="005E22CB" w:rsidRPr="00BB5BDB">
        <w:rPr>
          <w:sz w:val="26"/>
          <w:szCs w:val="26"/>
        </w:rPr>
        <w:t xml:space="preserve">.  Accordingly, </w:t>
      </w:r>
      <w:r w:rsidR="00C5786C" w:rsidRPr="00BB5BDB">
        <w:rPr>
          <w:rFonts w:eastAsiaTheme="minorHAnsi"/>
          <w:sz w:val="26"/>
          <w:szCs w:val="26"/>
        </w:rPr>
        <w:t xml:space="preserve">in an abundance of caution, </w:t>
      </w:r>
      <w:r w:rsidR="005E22CB" w:rsidRPr="00BB5BDB">
        <w:rPr>
          <w:sz w:val="26"/>
          <w:szCs w:val="26"/>
        </w:rPr>
        <w:t xml:space="preserve">we </w:t>
      </w:r>
      <w:r w:rsidR="00F36CE4" w:rsidRPr="00BB5BDB">
        <w:rPr>
          <w:rFonts w:eastAsiaTheme="minorHAnsi"/>
          <w:sz w:val="26"/>
          <w:szCs w:val="26"/>
        </w:rPr>
        <w:t>remand th</w:t>
      </w:r>
      <w:r w:rsidR="00D87DC9" w:rsidRPr="00BB5BDB">
        <w:rPr>
          <w:rFonts w:eastAsiaTheme="minorHAnsi"/>
          <w:sz w:val="26"/>
          <w:szCs w:val="26"/>
        </w:rPr>
        <w:t>is</w:t>
      </w:r>
      <w:r w:rsidR="00F36CE4" w:rsidRPr="00BB5BDB">
        <w:rPr>
          <w:rFonts w:eastAsiaTheme="minorHAnsi"/>
          <w:sz w:val="26"/>
          <w:szCs w:val="26"/>
        </w:rPr>
        <w:t xml:space="preserve"> matter to the Office of Administrative Law Judge to start this case again, with service of every document, to both addresses, unless Mr. Thomas provides another address</w:t>
      </w:r>
      <w:r w:rsidR="000027B0" w:rsidRPr="00BB5BDB">
        <w:rPr>
          <w:rFonts w:eastAsiaTheme="minorHAnsi"/>
          <w:sz w:val="26"/>
          <w:szCs w:val="26"/>
        </w:rPr>
        <w:t xml:space="preserve">.  </w:t>
      </w:r>
      <w:r w:rsidR="00544142" w:rsidRPr="00BB5BDB">
        <w:rPr>
          <w:rFonts w:eastAsiaTheme="minorHAnsi"/>
          <w:sz w:val="26"/>
          <w:szCs w:val="26"/>
        </w:rPr>
        <w:t>For purposes of an Initial Decision on R</w:t>
      </w:r>
      <w:r w:rsidR="000027B0" w:rsidRPr="00BB5BDB">
        <w:rPr>
          <w:rFonts w:eastAsiaTheme="minorHAnsi"/>
          <w:sz w:val="26"/>
          <w:szCs w:val="26"/>
        </w:rPr>
        <w:t xml:space="preserve">emand, </w:t>
      </w:r>
      <w:r w:rsidR="00D964C2" w:rsidRPr="00BB5BDB">
        <w:rPr>
          <w:rFonts w:eastAsiaTheme="minorHAnsi"/>
          <w:sz w:val="26"/>
          <w:szCs w:val="26"/>
        </w:rPr>
        <w:t xml:space="preserve">we </w:t>
      </w:r>
      <w:r w:rsidR="00D87DC9" w:rsidRPr="00BB5BDB">
        <w:rPr>
          <w:rFonts w:eastAsiaTheme="minorHAnsi"/>
          <w:sz w:val="26"/>
          <w:szCs w:val="26"/>
        </w:rPr>
        <w:t xml:space="preserve">direct the ALJ to utilize the </w:t>
      </w:r>
      <w:r w:rsidR="00B5652C" w:rsidRPr="00BB5BDB">
        <w:rPr>
          <w:rFonts w:eastAsiaTheme="minorHAnsi"/>
          <w:sz w:val="26"/>
          <w:szCs w:val="26"/>
        </w:rPr>
        <w:t xml:space="preserve">correct </w:t>
      </w:r>
      <w:r w:rsidR="00F36CE4" w:rsidRPr="00BB5BDB">
        <w:rPr>
          <w:rFonts w:eastAsiaTheme="minorHAnsi"/>
          <w:sz w:val="26"/>
          <w:szCs w:val="26"/>
        </w:rPr>
        <w:t>application of the burden of proof</w:t>
      </w:r>
      <w:r w:rsidR="00B5652C" w:rsidRPr="00BB5BDB">
        <w:rPr>
          <w:rFonts w:eastAsiaTheme="minorHAnsi"/>
          <w:sz w:val="26"/>
          <w:szCs w:val="26"/>
        </w:rPr>
        <w:t>, as discussed above.</w:t>
      </w:r>
    </w:p>
    <w:p w:rsidR="00193EA2" w:rsidRPr="00BB5BDB" w:rsidRDefault="00193EA2" w:rsidP="00DC6BA3">
      <w:pPr>
        <w:widowControl/>
        <w:spacing w:line="360" w:lineRule="auto"/>
        <w:rPr>
          <w:rFonts w:eastAsia="Calibri"/>
          <w:sz w:val="26"/>
          <w:szCs w:val="26"/>
        </w:rPr>
      </w:pPr>
    </w:p>
    <w:p w:rsidR="009B3B8E" w:rsidRPr="00BB5BDB" w:rsidRDefault="009B3B8E" w:rsidP="009B3B8E">
      <w:pPr>
        <w:pStyle w:val="ListParagraph"/>
        <w:keepNext/>
        <w:keepLines/>
        <w:numPr>
          <w:ilvl w:val="0"/>
          <w:numId w:val="2"/>
        </w:numPr>
        <w:spacing w:line="360" w:lineRule="auto"/>
        <w:jc w:val="center"/>
        <w:rPr>
          <w:b/>
          <w:sz w:val="26"/>
          <w:szCs w:val="26"/>
        </w:rPr>
      </w:pPr>
      <w:r w:rsidRPr="00BB5BDB">
        <w:rPr>
          <w:b/>
          <w:sz w:val="26"/>
          <w:szCs w:val="26"/>
        </w:rPr>
        <w:t>Conclusion</w:t>
      </w:r>
    </w:p>
    <w:p w:rsidR="009B3B8E" w:rsidRPr="00BB5BDB" w:rsidRDefault="009B3B8E" w:rsidP="009B3B8E">
      <w:pPr>
        <w:keepNext/>
        <w:keepLines/>
        <w:spacing w:line="360" w:lineRule="auto"/>
        <w:rPr>
          <w:sz w:val="26"/>
          <w:szCs w:val="26"/>
        </w:rPr>
      </w:pPr>
    </w:p>
    <w:p w:rsidR="009B3B8E" w:rsidRPr="00BB5BDB" w:rsidRDefault="009B3B8E" w:rsidP="009B3B8E">
      <w:pPr>
        <w:spacing w:line="360" w:lineRule="auto"/>
        <w:ind w:firstLine="1440"/>
        <w:rPr>
          <w:sz w:val="26"/>
          <w:szCs w:val="26"/>
        </w:rPr>
      </w:pPr>
      <w:r w:rsidRPr="00BB5BDB">
        <w:rPr>
          <w:sz w:val="26"/>
          <w:szCs w:val="26"/>
        </w:rPr>
        <w:t xml:space="preserve">Based on the foregoing discussion, we shall </w:t>
      </w:r>
      <w:r w:rsidR="00D964C2" w:rsidRPr="00BB5BDB">
        <w:rPr>
          <w:sz w:val="26"/>
          <w:szCs w:val="26"/>
        </w:rPr>
        <w:t xml:space="preserve">vacate the Initial Decision of ALJ Guhl and remand this matter to the Office of Administrative Law Judge for additional proceedings, </w:t>
      </w:r>
      <w:r w:rsidRPr="00BB5BDB">
        <w:rPr>
          <w:sz w:val="26"/>
          <w:szCs w:val="26"/>
        </w:rPr>
        <w:t xml:space="preserve">consistent with this Opinion and Order; </w:t>
      </w:r>
      <w:r w:rsidRPr="00BB5BDB">
        <w:rPr>
          <w:b/>
          <w:sz w:val="26"/>
          <w:szCs w:val="26"/>
        </w:rPr>
        <w:t>THEREFORE,</w:t>
      </w:r>
    </w:p>
    <w:p w:rsidR="009B3B8E" w:rsidRPr="00BB5BDB" w:rsidRDefault="009B3B8E" w:rsidP="009B3B8E">
      <w:pPr>
        <w:spacing w:line="360" w:lineRule="auto"/>
        <w:rPr>
          <w:sz w:val="26"/>
          <w:szCs w:val="26"/>
        </w:rPr>
      </w:pPr>
    </w:p>
    <w:p w:rsidR="009B3B8E" w:rsidRPr="00BB5BDB" w:rsidRDefault="009B3B8E" w:rsidP="009B3B8E">
      <w:pPr>
        <w:keepNext/>
        <w:keepLines/>
        <w:spacing w:line="360" w:lineRule="auto"/>
        <w:rPr>
          <w:b/>
          <w:sz w:val="26"/>
          <w:szCs w:val="26"/>
        </w:rPr>
      </w:pPr>
      <w:r w:rsidRPr="00BB5BDB">
        <w:rPr>
          <w:b/>
          <w:sz w:val="26"/>
          <w:szCs w:val="26"/>
        </w:rPr>
        <w:tab/>
      </w:r>
      <w:r w:rsidRPr="00BB5BDB">
        <w:rPr>
          <w:b/>
          <w:sz w:val="26"/>
          <w:szCs w:val="26"/>
        </w:rPr>
        <w:tab/>
        <w:t>IT IS ORDERED:</w:t>
      </w:r>
    </w:p>
    <w:p w:rsidR="009B3B8E" w:rsidRPr="00BB5BDB" w:rsidRDefault="009B3B8E" w:rsidP="009B3B8E">
      <w:pPr>
        <w:keepNext/>
        <w:keepLines/>
        <w:spacing w:line="360" w:lineRule="auto"/>
        <w:rPr>
          <w:sz w:val="26"/>
          <w:szCs w:val="26"/>
        </w:rPr>
      </w:pPr>
    </w:p>
    <w:p w:rsidR="00D964C2" w:rsidRPr="00BB5BDB" w:rsidRDefault="00D964C2" w:rsidP="00D964C2">
      <w:pPr>
        <w:keepNext/>
        <w:widowControl/>
        <w:numPr>
          <w:ilvl w:val="0"/>
          <w:numId w:val="5"/>
        </w:numPr>
        <w:tabs>
          <w:tab w:val="num" w:pos="0"/>
        </w:tabs>
        <w:spacing w:line="360" w:lineRule="auto"/>
        <w:ind w:left="0" w:firstLine="1440"/>
        <w:rPr>
          <w:sz w:val="26"/>
          <w:szCs w:val="26"/>
        </w:rPr>
      </w:pPr>
      <w:r w:rsidRPr="00BB5BDB">
        <w:rPr>
          <w:sz w:val="26"/>
          <w:szCs w:val="26"/>
        </w:rPr>
        <w:t>That the Initial Decision of the presiding Administrative Law Judge in this proceeding, issued June 7, 2018, is vacated.</w:t>
      </w:r>
    </w:p>
    <w:p w:rsidR="00D964C2" w:rsidRPr="00BB5BDB" w:rsidRDefault="00D964C2" w:rsidP="00D964C2">
      <w:pPr>
        <w:keepNext/>
        <w:widowControl/>
        <w:spacing w:line="360" w:lineRule="auto"/>
        <w:ind w:left="1440"/>
        <w:rPr>
          <w:sz w:val="26"/>
          <w:szCs w:val="26"/>
        </w:rPr>
      </w:pPr>
    </w:p>
    <w:p w:rsidR="00C76D6F" w:rsidRDefault="009B3B8E" w:rsidP="00D964C2">
      <w:pPr>
        <w:widowControl/>
        <w:numPr>
          <w:ilvl w:val="0"/>
          <w:numId w:val="5"/>
        </w:numPr>
        <w:tabs>
          <w:tab w:val="num" w:pos="0"/>
        </w:tabs>
        <w:spacing w:line="360" w:lineRule="auto"/>
        <w:ind w:left="0" w:firstLine="1440"/>
        <w:rPr>
          <w:sz w:val="26"/>
          <w:szCs w:val="26"/>
        </w:rPr>
      </w:pPr>
      <w:r w:rsidRPr="00BB5BDB">
        <w:rPr>
          <w:sz w:val="26"/>
          <w:szCs w:val="26"/>
        </w:rPr>
        <w:t xml:space="preserve">That </w:t>
      </w:r>
      <w:r w:rsidR="00D964C2" w:rsidRPr="00BB5BDB">
        <w:rPr>
          <w:sz w:val="26"/>
          <w:szCs w:val="26"/>
        </w:rPr>
        <w:t>the cases of Kelvin E. Thomas v. Philadelphia Gas Works, Complaint Appellant, at Docket No. F-2017-2611788, and Kelvin E. Thomas v. Philadelphia Gas Works, at Docket No. C-2017-2621275, are remanded to the Office of Administrative Law Judge for additional proceedings, consistent with this Opinion and Order.</w:t>
      </w:r>
    </w:p>
    <w:p w:rsidR="00B34E77" w:rsidRPr="00BB5BDB" w:rsidRDefault="00B34E77" w:rsidP="00B34E77">
      <w:pPr>
        <w:widowControl/>
        <w:spacing w:line="360" w:lineRule="auto"/>
        <w:ind w:left="1440"/>
        <w:rPr>
          <w:sz w:val="26"/>
          <w:szCs w:val="26"/>
        </w:rPr>
      </w:pPr>
    </w:p>
    <w:p w:rsidR="004A1916" w:rsidRPr="00BB5BDB" w:rsidRDefault="00EB0D4C" w:rsidP="004A1916">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simplePos x="0" y="0"/>
            <wp:positionH relativeFrom="column">
              <wp:posOffset>3067050</wp:posOffset>
            </wp:positionH>
            <wp:positionV relativeFrom="paragraph">
              <wp:posOffset>170180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4A1916" w:rsidRPr="00BB5BDB">
        <w:rPr>
          <w:b/>
          <w:sz w:val="26"/>
          <w:szCs w:val="26"/>
        </w:rPr>
        <w:t>BY THE COMMISSION,</w:t>
      </w:r>
    </w:p>
    <w:p w:rsidR="004A1916" w:rsidRPr="00BB5BDB" w:rsidRDefault="004A1916" w:rsidP="004A1916">
      <w:pPr>
        <w:keepNext/>
        <w:keepLines/>
        <w:widowControl/>
        <w:tabs>
          <w:tab w:val="left" w:pos="-720"/>
        </w:tabs>
        <w:rPr>
          <w:sz w:val="26"/>
          <w:szCs w:val="26"/>
        </w:rPr>
      </w:pPr>
    </w:p>
    <w:p w:rsidR="00EB0D4C" w:rsidRDefault="00EB0D4C"/>
    <w:p w:rsidR="004A1916" w:rsidRPr="00BB5BDB" w:rsidRDefault="004A1916" w:rsidP="004A1916">
      <w:pPr>
        <w:keepNext/>
        <w:keepLines/>
        <w:widowControl/>
        <w:tabs>
          <w:tab w:val="left" w:pos="-720"/>
        </w:tabs>
        <w:rPr>
          <w:sz w:val="26"/>
          <w:szCs w:val="26"/>
        </w:rPr>
      </w:pPr>
    </w:p>
    <w:p w:rsidR="004A1916" w:rsidRPr="00BB5BDB" w:rsidRDefault="004A1916" w:rsidP="004A1916">
      <w:pPr>
        <w:keepNext/>
        <w:keepLines/>
        <w:widowControl/>
        <w:tabs>
          <w:tab w:val="left" w:pos="-720"/>
        </w:tabs>
        <w:rPr>
          <w:sz w:val="26"/>
          <w:szCs w:val="26"/>
        </w:rPr>
      </w:pPr>
    </w:p>
    <w:p w:rsidR="004A1916" w:rsidRPr="00BB5BDB" w:rsidRDefault="004A1916" w:rsidP="004A1916">
      <w:pPr>
        <w:keepNext/>
        <w:keepLines/>
        <w:widowControl/>
        <w:tabs>
          <w:tab w:val="left" w:pos="-720"/>
        </w:tabs>
        <w:rPr>
          <w:sz w:val="26"/>
          <w:szCs w:val="26"/>
        </w:rPr>
      </w:pPr>
    </w:p>
    <w:p w:rsidR="004A1916" w:rsidRPr="00BB5BDB" w:rsidRDefault="004A1916" w:rsidP="004A1916">
      <w:pPr>
        <w:keepNext/>
        <w:keepLines/>
        <w:widowControl/>
        <w:tabs>
          <w:tab w:val="left" w:pos="-720"/>
        </w:tabs>
        <w:ind w:firstLine="5040"/>
        <w:rPr>
          <w:b/>
          <w:sz w:val="26"/>
          <w:szCs w:val="26"/>
        </w:rPr>
      </w:pPr>
      <w:r w:rsidRPr="00BB5BDB">
        <w:rPr>
          <w:sz w:val="26"/>
          <w:szCs w:val="26"/>
        </w:rPr>
        <w:t>Rosemary Chiavetta</w:t>
      </w:r>
    </w:p>
    <w:p w:rsidR="004A1916" w:rsidRPr="00BB5BDB" w:rsidRDefault="004A1916" w:rsidP="004A1916">
      <w:pPr>
        <w:keepNext/>
        <w:keepLines/>
        <w:widowControl/>
        <w:tabs>
          <w:tab w:val="left" w:pos="-720"/>
        </w:tabs>
        <w:ind w:firstLine="5040"/>
        <w:rPr>
          <w:sz w:val="26"/>
          <w:szCs w:val="26"/>
        </w:rPr>
      </w:pPr>
      <w:r w:rsidRPr="00BB5BDB">
        <w:rPr>
          <w:sz w:val="26"/>
          <w:szCs w:val="26"/>
        </w:rPr>
        <w:t>Secretary</w:t>
      </w:r>
    </w:p>
    <w:p w:rsidR="004A1916" w:rsidRPr="00BB5BDB" w:rsidRDefault="004A1916" w:rsidP="004A1916">
      <w:pPr>
        <w:keepNext/>
        <w:keepLines/>
        <w:widowControl/>
        <w:tabs>
          <w:tab w:val="left" w:pos="-720"/>
        </w:tabs>
        <w:ind w:firstLine="5040"/>
        <w:rPr>
          <w:sz w:val="26"/>
          <w:szCs w:val="26"/>
        </w:rPr>
      </w:pPr>
    </w:p>
    <w:p w:rsidR="004A1916" w:rsidRPr="00BB5BDB" w:rsidRDefault="004A1916" w:rsidP="004A1916">
      <w:pPr>
        <w:keepNext/>
        <w:keepLines/>
        <w:widowControl/>
        <w:tabs>
          <w:tab w:val="left" w:pos="-720"/>
        </w:tabs>
        <w:rPr>
          <w:sz w:val="26"/>
          <w:szCs w:val="26"/>
        </w:rPr>
      </w:pPr>
      <w:r w:rsidRPr="00BB5BDB">
        <w:rPr>
          <w:sz w:val="26"/>
          <w:szCs w:val="26"/>
        </w:rPr>
        <w:t>(SEAL)</w:t>
      </w:r>
    </w:p>
    <w:p w:rsidR="004A1916" w:rsidRPr="00BB5BDB" w:rsidRDefault="004A1916" w:rsidP="004A1916">
      <w:pPr>
        <w:keepNext/>
        <w:keepLines/>
        <w:widowControl/>
        <w:tabs>
          <w:tab w:val="left" w:pos="-720"/>
        </w:tabs>
        <w:rPr>
          <w:sz w:val="26"/>
          <w:szCs w:val="26"/>
        </w:rPr>
      </w:pPr>
    </w:p>
    <w:p w:rsidR="004A1916" w:rsidRPr="00BB5BDB" w:rsidRDefault="004A1916" w:rsidP="004A1916">
      <w:pPr>
        <w:keepNext/>
        <w:keepLines/>
        <w:widowControl/>
        <w:tabs>
          <w:tab w:val="left" w:pos="-720"/>
        </w:tabs>
        <w:rPr>
          <w:sz w:val="26"/>
          <w:szCs w:val="26"/>
        </w:rPr>
      </w:pPr>
      <w:r w:rsidRPr="00BB5BDB">
        <w:rPr>
          <w:sz w:val="26"/>
          <w:szCs w:val="26"/>
        </w:rPr>
        <w:t xml:space="preserve">ORDER ADOPTED: </w:t>
      </w:r>
      <w:r w:rsidR="00D964C2" w:rsidRPr="00BB5BDB">
        <w:rPr>
          <w:sz w:val="26"/>
          <w:szCs w:val="26"/>
        </w:rPr>
        <w:t>August 2</w:t>
      </w:r>
      <w:r w:rsidRPr="00BB5BDB">
        <w:rPr>
          <w:sz w:val="26"/>
          <w:szCs w:val="26"/>
        </w:rPr>
        <w:t>, 2018</w:t>
      </w:r>
    </w:p>
    <w:p w:rsidR="004A1916" w:rsidRPr="00BB5BDB" w:rsidRDefault="004A1916" w:rsidP="004A1916">
      <w:pPr>
        <w:keepNext/>
        <w:keepLines/>
        <w:widowControl/>
        <w:tabs>
          <w:tab w:val="left" w:pos="-720"/>
        </w:tabs>
        <w:rPr>
          <w:sz w:val="26"/>
          <w:szCs w:val="26"/>
        </w:rPr>
      </w:pPr>
    </w:p>
    <w:p w:rsidR="004A1916" w:rsidRPr="00BB5BDB" w:rsidRDefault="004A1916" w:rsidP="004A1916">
      <w:pPr>
        <w:keepNext/>
        <w:keepLines/>
        <w:widowControl/>
        <w:tabs>
          <w:tab w:val="left" w:pos="-720"/>
        </w:tabs>
        <w:rPr>
          <w:sz w:val="26"/>
          <w:szCs w:val="26"/>
        </w:rPr>
      </w:pPr>
      <w:r w:rsidRPr="00BB5BDB">
        <w:rPr>
          <w:sz w:val="26"/>
          <w:szCs w:val="26"/>
        </w:rPr>
        <w:t xml:space="preserve">ORDER ENTERED:  </w:t>
      </w:r>
      <w:r w:rsidR="00EB0D4C">
        <w:rPr>
          <w:sz w:val="26"/>
          <w:szCs w:val="26"/>
        </w:rPr>
        <w:t>August 31, 2018</w:t>
      </w:r>
      <w:bookmarkStart w:id="1" w:name="_GoBack"/>
      <w:bookmarkEnd w:id="1"/>
    </w:p>
    <w:p w:rsidR="002A578E" w:rsidRPr="00BB5BDB" w:rsidRDefault="002A578E">
      <w:pPr>
        <w:rPr>
          <w:sz w:val="26"/>
          <w:szCs w:val="26"/>
        </w:rPr>
      </w:pPr>
    </w:p>
    <w:sectPr w:rsidR="002A578E" w:rsidRPr="00BB5B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316C" w:rsidRDefault="007C316C" w:rsidP="005F46C6">
      <w:r>
        <w:separator/>
      </w:r>
    </w:p>
  </w:endnote>
  <w:endnote w:type="continuationSeparator" w:id="0">
    <w:p w:rsidR="007C316C" w:rsidRDefault="007C316C" w:rsidP="005F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211639"/>
      <w:docPartObj>
        <w:docPartGallery w:val="Page Numbers (Bottom of Page)"/>
        <w:docPartUnique/>
      </w:docPartObj>
    </w:sdtPr>
    <w:sdtEndPr>
      <w:rPr>
        <w:noProof/>
        <w:sz w:val="26"/>
        <w:szCs w:val="26"/>
      </w:rPr>
    </w:sdtEndPr>
    <w:sdtContent>
      <w:p w:rsidR="00AB0261" w:rsidRPr="007F1A39" w:rsidRDefault="00AB0261">
        <w:pPr>
          <w:pStyle w:val="Footer"/>
          <w:jc w:val="center"/>
          <w:rPr>
            <w:sz w:val="26"/>
            <w:szCs w:val="26"/>
          </w:rPr>
        </w:pPr>
        <w:r w:rsidRPr="007F1A39">
          <w:rPr>
            <w:sz w:val="26"/>
            <w:szCs w:val="26"/>
          </w:rPr>
          <w:fldChar w:fldCharType="begin"/>
        </w:r>
        <w:r w:rsidRPr="007F1A39">
          <w:rPr>
            <w:sz w:val="26"/>
            <w:szCs w:val="26"/>
          </w:rPr>
          <w:instrText xml:space="preserve"> PAGE   \* MERGEFORMAT </w:instrText>
        </w:r>
        <w:r w:rsidRPr="007F1A39">
          <w:rPr>
            <w:sz w:val="26"/>
            <w:szCs w:val="26"/>
          </w:rPr>
          <w:fldChar w:fldCharType="separate"/>
        </w:r>
        <w:r w:rsidR="00355638">
          <w:rPr>
            <w:noProof/>
            <w:sz w:val="26"/>
            <w:szCs w:val="26"/>
          </w:rPr>
          <w:t>10</w:t>
        </w:r>
        <w:r w:rsidRPr="007F1A39">
          <w:rPr>
            <w:noProof/>
            <w:sz w:val="26"/>
            <w:szCs w:val="26"/>
          </w:rPr>
          <w:fldChar w:fldCharType="end"/>
        </w:r>
      </w:p>
    </w:sdtContent>
  </w:sdt>
  <w:p w:rsidR="00AB0261" w:rsidRDefault="00AB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316C" w:rsidRDefault="007C316C" w:rsidP="005F46C6">
      <w:r>
        <w:separator/>
      </w:r>
    </w:p>
  </w:footnote>
  <w:footnote w:type="continuationSeparator" w:id="0">
    <w:p w:rsidR="007C316C" w:rsidRDefault="007C316C" w:rsidP="005F46C6">
      <w:r>
        <w:continuationSeparator/>
      </w:r>
    </w:p>
  </w:footnote>
  <w:footnote w:id="1">
    <w:p w:rsidR="00AB0261" w:rsidRPr="008F3671" w:rsidRDefault="00AB0261" w:rsidP="008F3671">
      <w:pPr>
        <w:pStyle w:val="FootnoteText"/>
        <w:ind w:firstLine="720"/>
        <w:rPr>
          <w:sz w:val="26"/>
          <w:szCs w:val="26"/>
        </w:rPr>
      </w:pPr>
      <w:r w:rsidRPr="008F3671">
        <w:rPr>
          <w:rStyle w:val="FootnoteReference"/>
          <w:sz w:val="26"/>
          <w:szCs w:val="26"/>
        </w:rPr>
        <w:footnoteRef/>
      </w:r>
      <w:r>
        <w:rPr>
          <w:sz w:val="26"/>
          <w:szCs w:val="26"/>
        </w:rPr>
        <w:tab/>
      </w:r>
      <w:r w:rsidRPr="008F3671">
        <w:rPr>
          <w:sz w:val="26"/>
          <w:szCs w:val="26"/>
        </w:rPr>
        <w:t xml:space="preserve">Note that the </w:t>
      </w:r>
      <w:r>
        <w:rPr>
          <w:sz w:val="26"/>
          <w:szCs w:val="26"/>
        </w:rPr>
        <w:t xml:space="preserve">case </w:t>
      </w:r>
      <w:r w:rsidRPr="008F3671">
        <w:rPr>
          <w:sz w:val="26"/>
          <w:szCs w:val="26"/>
        </w:rPr>
        <w:t>caption has been corrected to comply with 52 Pa. Code §</w:t>
      </w:r>
      <w:r w:rsidR="00C24EB1">
        <w:rPr>
          <w:sz w:val="26"/>
          <w:szCs w:val="26"/>
        </w:rPr>
        <w:t>56.</w:t>
      </w:r>
      <w:r w:rsidRPr="008F3671">
        <w:rPr>
          <w:sz w:val="26"/>
          <w:szCs w:val="26"/>
        </w:rPr>
        <w:t xml:space="preserve">173(c). </w:t>
      </w:r>
    </w:p>
  </w:footnote>
  <w:footnote w:id="2">
    <w:p w:rsidR="00AB0261" w:rsidRPr="00C86FA8" w:rsidRDefault="00AB0261" w:rsidP="00C27E02">
      <w:pPr>
        <w:pStyle w:val="FootnoteText"/>
        <w:ind w:firstLine="720"/>
        <w:rPr>
          <w:sz w:val="26"/>
          <w:szCs w:val="26"/>
        </w:rPr>
      </w:pPr>
      <w:r w:rsidRPr="00C86FA8">
        <w:rPr>
          <w:rStyle w:val="FootnoteReference"/>
          <w:sz w:val="26"/>
          <w:szCs w:val="26"/>
        </w:rPr>
        <w:footnoteRef/>
      </w:r>
      <w:r w:rsidRPr="00C86FA8">
        <w:rPr>
          <w:sz w:val="26"/>
          <w:szCs w:val="26"/>
        </w:rPr>
        <w:t xml:space="preserve"> </w:t>
      </w:r>
      <w:r>
        <w:rPr>
          <w:sz w:val="26"/>
          <w:szCs w:val="26"/>
        </w:rPr>
        <w:tab/>
      </w:r>
      <w:r w:rsidRPr="00C86FA8">
        <w:rPr>
          <w:sz w:val="26"/>
          <w:szCs w:val="26"/>
        </w:rPr>
        <w:t xml:space="preserve">We note here that 52 Pa. Code §56.173(f) is part of the ongoing rulemaking at Docket No. L-2015-2508421, </w:t>
      </w:r>
      <w:r w:rsidRPr="00C86FA8">
        <w:rPr>
          <w:i/>
          <w:sz w:val="26"/>
          <w:szCs w:val="26"/>
        </w:rPr>
        <w:t xml:space="preserve">Rulemaking to Amend the Provisions of 52 Pa. Code, Chapter 56 to Comply with the Amended Provisions of 66 Pa. C.S. Chapter 14 </w:t>
      </w:r>
      <w:r w:rsidRPr="00C86FA8">
        <w:rPr>
          <w:sz w:val="26"/>
          <w:szCs w:val="26"/>
        </w:rPr>
        <w:t xml:space="preserve">which explains that the language will be revised to clarify that the burden of proof remains with the party who filed the informal complaint in order to be consistent with Commission practice.  Order of July 21, 2016 at p. 9.   As Commission jurisdiction covers utilities and licensees, but only extends to those consumers who voluntarily submit to it, the only way to provide a meaningful appeal from a BCS determination is to start over, with the complainant in the informal BCS investigation as the complainant in the formal case arising from it.  </w:t>
      </w:r>
    </w:p>
  </w:footnote>
  <w:footnote w:id="3">
    <w:p w:rsidR="00AB0261" w:rsidRPr="00BB5BDB" w:rsidRDefault="00AB0261" w:rsidP="00544142">
      <w:pPr>
        <w:pStyle w:val="FootnoteText"/>
        <w:ind w:firstLine="720"/>
      </w:pPr>
      <w:r w:rsidRPr="00544142">
        <w:rPr>
          <w:rStyle w:val="FootnoteReference"/>
          <w:sz w:val="26"/>
          <w:szCs w:val="26"/>
        </w:rPr>
        <w:footnoteRef/>
      </w:r>
      <w:r w:rsidRPr="00544142">
        <w:rPr>
          <w:sz w:val="26"/>
          <w:szCs w:val="26"/>
        </w:rPr>
        <w:t xml:space="preserve"> </w:t>
      </w:r>
      <w:r>
        <w:tab/>
      </w:r>
      <w:r w:rsidRPr="00FC43EC">
        <w:rPr>
          <w:sz w:val="26"/>
          <w:szCs w:val="26"/>
        </w:rPr>
        <w:t>Indeed,</w:t>
      </w:r>
      <w:r>
        <w:rPr>
          <w:sz w:val="26"/>
          <w:szCs w:val="26"/>
        </w:rPr>
        <w:t xml:space="preserve"> as to the merits of PGW’s Appeal, based on the record evidence produced by PGW, it appears that the BCS’s informal decision should not stand as</w:t>
      </w:r>
      <w:r w:rsidRPr="00F36CE4">
        <w:rPr>
          <w:sz w:val="26"/>
          <w:szCs w:val="26"/>
        </w:rPr>
        <w:t xml:space="preserve"> PGW</w:t>
      </w:r>
      <w:r>
        <w:rPr>
          <w:sz w:val="26"/>
          <w:szCs w:val="26"/>
        </w:rPr>
        <w:t>’s</w:t>
      </w:r>
      <w:r w:rsidRPr="00F36CE4">
        <w:rPr>
          <w:sz w:val="26"/>
          <w:szCs w:val="26"/>
        </w:rPr>
        <w:t xml:space="preserve"> testimony</w:t>
      </w:r>
      <w:r>
        <w:rPr>
          <w:sz w:val="26"/>
          <w:szCs w:val="26"/>
        </w:rPr>
        <w:t xml:space="preserve"> presented at the evidentiary hearing</w:t>
      </w:r>
      <w:r w:rsidRPr="00F36CE4">
        <w:rPr>
          <w:sz w:val="26"/>
          <w:szCs w:val="26"/>
        </w:rPr>
        <w:t xml:space="preserve"> effectively rebutted the BCS</w:t>
      </w:r>
      <w:r>
        <w:rPr>
          <w:sz w:val="26"/>
          <w:szCs w:val="26"/>
        </w:rPr>
        <w:t>’s</w:t>
      </w:r>
      <w:r w:rsidRPr="00F36CE4">
        <w:rPr>
          <w:sz w:val="26"/>
          <w:szCs w:val="26"/>
        </w:rPr>
        <w:t xml:space="preserve"> </w:t>
      </w:r>
      <w:r>
        <w:rPr>
          <w:sz w:val="26"/>
          <w:szCs w:val="26"/>
        </w:rPr>
        <w:t xml:space="preserve">conclusion </w:t>
      </w:r>
      <w:r w:rsidRPr="00F36CE4">
        <w:rPr>
          <w:sz w:val="26"/>
          <w:szCs w:val="26"/>
        </w:rPr>
        <w:t xml:space="preserve">that a leak survey would detect unauthorized usage.  In fact, it only detects </w:t>
      </w:r>
      <w:r w:rsidRPr="00BB5BDB">
        <w:rPr>
          <w:sz w:val="26"/>
          <w:szCs w:val="26"/>
        </w:rPr>
        <w:t xml:space="preserve">leaks.  Unauthorized usage that was not leaking would not be detected. Tr. 48-50.    </w:t>
      </w:r>
    </w:p>
  </w:footnote>
  <w:footnote w:id="4">
    <w:p w:rsidR="00AB0261" w:rsidRPr="00A5496E" w:rsidRDefault="00AB0261" w:rsidP="00A5496E">
      <w:pPr>
        <w:pStyle w:val="FootnoteText"/>
        <w:ind w:firstLine="720"/>
        <w:rPr>
          <w:sz w:val="26"/>
          <w:szCs w:val="26"/>
        </w:rPr>
      </w:pPr>
      <w:r w:rsidRPr="00BB5BDB">
        <w:rPr>
          <w:rStyle w:val="FootnoteReference"/>
          <w:sz w:val="26"/>
          <w:szCs w:val="26"/>
        </w:rPr>
        <w:footnoteRef/>
      </w:r>
      <w:r w:rsidRPr="00BB5BDB">
        <w:rPr>
          <w:sz w:val="26"/>
          <w:szCs w:val="26"/>
        </w:rPr>
        <w:t xml:space="preserve"> </w:t>
      </w:r>
      <w:r w:rsidRPr="00BB5BDB">
        <w:rPr>
          <w:sz w:val="26"/>
          <w:szCs w:val="26"/>
        </w:rPr>
        <w:tab/>
        <w:t xml:space="preserve">Such information </w:t>
      </w:r>
      <w:r>
        <w:rPr>
          <w:sz w:val="26"/>
          <w:szCs w:val="26"/>
        </w:rPr>
        <w:t xml:space="preserve">is not discernible </w:t>
      </w:r>
      <w:r w:rsidRPr="00BB5BDB">
        <w:rPr>
          <w:sz w:val="26"/>
          <w:szCs w:val="26"/>
        </w:rPr>
        <w:t xml:space="preserve">simply by reviewing the Commission’s records online either via the Commission’s external website or </w:t>
      </w:r>
      <w:r w:rsidR="006F3D6E">
        <w:rPr>
          <w:sz w:val="26"/>
          <w:szCs w:val="26"/>
        </w:rPr>
        <w:t>the Commission’s intranet site, called InfoMap</w:t>
      </w:r>
      <w:r w:rsidRPr="00BB5BDB">
        <w:rPr>
          <w:sz w:val="26"/>
          <w:szCs w:val="26"/>
        </w:rPr>
        <w:t>.  A review of the paper file</w:t>
      </w:r>
      <w:r w:rsidR="006F3D6E">
        <w:rPr>
          <w:sz w:val="26"/>
          <w:szCs w:val="26"/>
        </w:rPr>
        <w:t xml:space="preserve"> located in the Secretary’s Bureau</w:t>
      </w:r>
      <w:r>
        <w:rPr>
          <w:sz w:val="26"/>
          <w:szCs w:val="26"/>
        </w:rPr>
        <w:t>, specifically the red document folder,</w:t>
      </w:r>
      <w:r w:rsidRPr="00BB5BDB">
        <w:rPr>
          <w:sz w:val="26"/>
          <w:szCs w:val="26"/>
        </w:rPr>
        <w:t xml:space="preserve"> is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A67F49"/>
    <w:multiLevelType w:val="hybridMultilevel"/>
    <w:tmpl w:val="0A6658CC"/>
    <w:lvl w:ilvl="0" w:tplc="4CF83CB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93AA2"/>
    <w:multiLevelType w:val="hybridMultilevel"/>
    <w:tmpl w:val="1BB434CE"/>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15:restartNumberingAfterBreak="0">
    <w:nsid w:val="3F265643"/>
    <w:multiLevelType w:val="hybridMultilevel"/>
    <w:tmpl w:val="6D70DCD8"/>
    <w:lvl w:ilvl="0" w:tplc="0568AA7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CE64BE7"/>
    <w:multiLevelType w:val="hybridMultilevel"/>
    <w:tmpl w:val="D756841A"/>
    <w:lvl w:ilvl="0" w:tplc="15B06C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282BCA"/>
    <w:multiLevelType w:val="hybridMultilevel"/>
    <w:tmpl w:val="13949CF2"/>
    <w:lvl w:ilvl="0" w:tplc="98581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632FF9"/>
    <w:multiLevelType w:val="hybridMultilevel"/>
    <w:tmpl w:val="31FE571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1"/>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6C6"/>
    <w:rsid w:val="000027B0"/>
    <w:rsid w:val="00003B52"/>
    <w:rsid w:val="00027177"/>
    <w:rsid w:val="00031F5F"/>
    <w:rsid w:val="00033495"/>
    <w:rsid w:val="00033A89"/>
    <w:rsid w:val="0003785C"/>
    <w:rsid w:val="00042DA6"/>
    <w:rsid w:val="0005674C"/>
    <w:rsid w:val="0006365F"/>
    <w:rsid w:val="000671C9"/>
    <w:rsid w:val="00080E11"/>
    <w:rsid w:val="00083FFD"/>
    <w:rsid w:val="000A4A2F"/>
    <w:rsid w:val="000A4DA8"/>
    <w:rsid w:val="000A6CA3"/>
    <w:rsid w:val="000B4B63"/>
    <w:rsid w:val="000C6885"/>
    <w:rsid w:val="000E05C8"/>
    <w:rsid w:val="000E65ED"/>
    <w:rsid w:val="000F3A4A"/>
    <w:rsid w:val="000F491D"/>
    <w:rsid w:val="000F50C9"/>
    <w:rsid w:val="00107D01"/>
    <w:rsid w:val="00115256"/>
    <w:rsid w:val="00123312"/>
    <w:rsid w:val="0014738D"/>
    <w:rsid w:val="00154AB9"/>
    <w:rsid w:val="00155943"/>
    <w:rsid w:val="001803BA"/>
    <w:rsid w:val="0018203E"/>
    <w:rsid w:val="00186D63"/>
    <w:rsid w:val="00191AAE"/>
    <w:rsid w:val="00193EA2"/>
    <w:rsid w:val="00195B3F"/>
    <w:rsid w:val="00197143"/>
    <w:rsid w:val="001B648F"/>
    <w:rsid w:val="001D7397"/>
    <w:rsid w:val="001E37CD"/>
    <w:rsid w:val="001F148E"/>
    <w:rsid w:val="00232394"/>
    <w:rsid w:val="002333E3"/>
    <w:rsid w:val="00235426"/>
    <w:rsid w:val="00240BD2"/>
    <w:rsid w:val="0024364C"/>
    <w:rsid w:val="00256083"/>
    <w:rsid w:val="00257E69"/>
    <w:rsid w:val="00262FC3"/>
    <w:rsid w:val="0026435C"/>
    <w:rsid w:val="00264779"/>
    <w:rsid w:val="002665AD"/>
    <w:rsid w:val="00267070"/>
    <w:rsid w:val="00275C90"/>
    <w:rsid w:val="0027641E"/>
    <w:rsid w:val="00277C4A"/>
    <w:rsid w:val="00287272"/>
    <w:rsid w:val="002907BC"/>
    <w:rsid w:val="002A0A82"/>
    <w:rsid w:val="002A37E2"/>
    <w:rsid w:val="002A578E"/>
    <w:rsid w:val="002A6231"/>
    <w:rsid w:val="002B45DB"/>
    <w:rsid w:val="002C0350"/>
    <w:rsid w:val="002E5F94"/>
    <w:rsid w:val="002F34E1"/>
    <w:rsid w:val="002F3976"/>
    <w:rsid w:val="002F56CE"/>
    <w:rsid w:val="002F5D37"/>
    <w:rsid w:val="0031255C"/>
    <w:rsid w:val="003148E7"/>
    <w:rsid w:val="00317FC1"/>
    <w:rsid w:val="003203F7"/>
    <w:rsid w:val="003364C3"/>
    <w:rsid w:val="00336515"/>
    <w:rsid w:val="00346D89"/>
    <w:rsid w:val="0035546E"/>
    <w:rsid w:val="00355638"/>
    <w:rsid w:val="003660CD"/>
    <w:rsid w:val="003679F1"/>
    <w:rsid w:val="0037539D"/>
    <w:rsid w:val="003916B2"/>
    <w:rsid w:val="0039710E"/>
    <w:rsid w:val="00397314"/>
    <w:rsid w:val="003A735F"/>
    <w:rsid w:val="003B7C79"/>
    <w:rsid w:val="003C0EE5"/>
    <w:rsid w:val="003D5C5F"/>
    <w:rsid w:val="003D781E"/>
    <w:rsid w:val="003E1706"/>
    <w:rsid w:val="003E72BF"/>
    <w:rsid w:val="00416F66"/>
    <w:rsid w:val="00420FBF"/>
    <w:rsid w:val="00424683"/>
    <w:rsid w:val="00430CE5"/>
    <w:rsid w:val="00437584"/>
    <w:rsid w:val="004537B4"/>
    <w:rsid w:val="004553BD"/>
    <w:rsid w:val="00457734"/>
    <w:rsid w:val="00465B85"/>
    <w:rsid w:val="00474FFC"/>
    <w:rsid w:val="00480261"/>
    <w:rsid w:val="004804C7"/>
    <w:rsid w:val="00480B5A"/>
    <w:rsid w:val="00483611"/>
    <w:rsid w:val="00485459"/>
    <w:rsid w:val="0049276F"/>
    <w:rsid w:val="004949A8"/>
    <w:rsid w:val="004A07FF"/>
    <w:rsid w:val="004A0D22"/>
    <w:rsid w:val="004A1916"/>
    <w:rsid w:val="004A55A5"/>
    <w:rsid w:val="004C7707"/>
    <w:rsid w:val="004D0770"/>
    <w:rsid w:val="004D6D92"/>
    <w:rsid w:val="004D78E7"/>
    <w:rsid w:val="005056BA"/>
    <w:rsid w:val="0051790B"/>
    <w:rsid w:val="0051798D"/>
    <w:rsid w:val="00544142"/>
    <w:rsid w:val="00545D6C"/>
    <w:rsid w:val="00564F2E"/>
    <w:rsid w:val="0057464C"/>
    <w:rsid w:val="005762F2"/>
    <w:rsid w:val="00585AA0"/>
    <w:rsid w:val="00586638"/>
    <w:rsid w:val="005916C5"/>
    <w:rsid w:val="00593EF1"/>
    <w:rsid w:val="00596F40"/>
    <w:rsid w:val="005A1C81"/>
    <w:rsid w:val="005A5320"/>
    <w:rsid w:val="005B6415"/>
    <w:rsid w:val="005C1B59"/>
    <w:rsid w:val="005C5F7C"/>
    <w:rsid w:val="005D2436"/>
    <w:rsid w:val="005D370C"/>
    <w:rsid w:val="005D6E89"/>
    <w:rsid w:val="005E22CB"/>
    <w:rsid w:val="005E7A25"/>
    <w:rsid w:val="005F1397"/>
    <w:rsid w:val="005F46C6"/>
    <w:rsid w:val="005F676C"/>
    <w:rsid w:val="00611FD1"/>
    <w:rsid w:val="00612E08"/>
    <w:rsid w:val="006234A2"/>
    <w:rsid w:val="006238D7"/>
    <w:rsid w:val="00642A4C"/>
    <w:rsid w:val="00650B65"/>
    <w:rsid w:val="00651F55"/>
    <w:rsid w:val="00655272"/>
    <w:rsid w:val="00656DC7"/>
    <w:rsid w:val="0066172B"/>
    <w:rsid w:val="006619E7"/>
    <w:rsid w:val="0067362F"/>
    <w:rsid w:val="00691305"/>
    <w:rsid w:val="006A10B6"/>
    <w:rsid w:val="006D0F65"/>
    <w:rsid w:val="006E59BB"/>
    <w:rsid w:val="006F3D6E"/>
    <w:rsid w:val="00702D70"/>
    <w:rsid w:val="00706183"/>
    <w:rsid w:val="0070690F"/>
    <w:rsid w:val="00710724"/>
    <w:rsid w:val="00712782"/>
    <w:rsid w:val="00720ED3"/>
    <w:rsid w:val="00734EA8"/>
    <w:rsid w:val="007352EC"/>
    <w:rsid w:val="0074013C"/>
    <w:rsid w:val="00747476"/>
    <w:rsid w:val="007474D1"/>
    <w:rsid w:val="00763421"/>
    <w:rsid w:val="007646BC"/>
    <w:rsid w:val="00765E3F"/>
    <w:rsid w:val="00775B30"/>
    <w:rsid w:val="007761EA"/>
    <w:rsid w:val="00784068"/>
    <w:rsid w:val="00790304"/>
    <w:rsid w:val="007926D5"/>
    <w:rsid w:val="007A123A"/>
    <w:rsid w:val="007A397E"/>
    <w:rsid w:val="007C316C"/>
    <w:rsid w:val="007C4F47"/>
    <w:rsid w:val="007E1FAC"/>
    <w:rsid w:val="007E2669"/>
    <w:rsid w:val="007E39C6"/>
    <w:rsid w:val="007E50F4"/>
    <w:rsid w:val="007F1A39"/>
    <w:rsid w:val="007F66A0"/>
    <w:rsid w:val="00813501"/>
    <w:rsid w:val="00821C96"/>
    <w:rsid w:val="00832A28"/>
    <w:rsid w:val="008332E0"/>
    <w:rsid w:val="008338C4"/>
    <w:rsid w:val="00833E4E"/>
    <w:rsid w:val="00850B96"/>
    <w:rsid w:val="008633EF"/>
    <w:rsid w:val="00871A31"/>
    <w:rsid w:val="00875827"/>
    <w:rsid w:val="00884818"/>
    <w:rsid w:val="00884FB8"/>
    <w:rsid w:val="00896AF8"/>
    <w:rsid w:val="008B14D8"/>
    <w:rsid w:val="008B4326"/>
    <w:rsid w:val="008B70D2"/>
    <w:rsid w:val="008C0423"/>
    <w:rsid w:val="008C3BEB"/>
    <w:rsid w:val="008C491E"/>
    <w:rsid w:val="008D0B8F"/>
    <w:rsid w:val="008D10E4"/>
    <w:rsid w:val="008D2CB9"/>
    <w:rsid w:val="008D6D1F"/>
    <w:rsid w:val="008F1EA3"/>
    <w:rsid w:val="008F3671"/>
    <w:rsid w:val="00910F99"/>
    <w:rsid w:val="00912BF2"/>
    <w:rsid w:val="009134B7"/>
    <w:rsid w:val="009145E8"/>
    <w:rsid w:val="00917942"/>
    <w:rsid w:val="009227C4"/>
    <w:rsid w:val="00934DB7"/>
    <w:rsid w:val="00944CEF"/>
    <w:rsid w:val="0095266C"/>
    <w:rsid w:val="00953B2B"/>
    <w:rsid w:val="00970C65"/>
    <w:rsid w:val="009850FC"/>
    <w:rsid w:val="009968B8"/>
    <w:rsid w:val="009A04B8"/>
    <w:rsid w:val="009A1249"/>
    <w:rsid w:val="009A36EF"/>
    <w:rsid w:val="009B17B0"/>
    <w:rsid w:val="009B3B8E"/>
    <w:rsid w:val="009C40E0"/>
    <w:rsid w:val="009D2D93"/>
    <w:rsid w:val="009E1898"/>
    <w:rsid w:val="009E225B"/>
    <w:rsid w:val="009F115E"/>
    <w:rsid w:val="00A1591E"/>
    <w:rsid w:val="00A227EF"/>
    <w:rsid w:val="00A37E42"/>
    <w:rsid w:val="00A42371"/>
    <w:rsid w:val="00A5496E"/>
    <w:rsid w:val="00A569C7"/>
    <w:rsid w:val="00A63D69"/>
    <w:rsid w:val="00A660C6"/>
    <w:rsid w:val="00A70DEA"/>
    <w:rsid w:val="00A81AA3"/>
    <w:rsid w:val="00AA1F84"/>
    <w:rsid w:val="00AA253B"/>
    <w:rsid w:val="00AA67E1"/>
    <w:rsid w:val="00AB0261"/>
    <w:rsid w:val="00AC3D48"/>
    <w:rsid w:val="00AE74DE"/>
    <w:rsid w:val="00B00395"/>
    <w:rsid w:val="00B023EA"/>
    <w:rsid w:val="00B02F2E"/>
    <w:rsid w:val="00B1480F"/>
    <w:rsid w:val="00B1505B"/>
    <w:rsid w:val="00B17C9E"/>
    <w:rsid w:val="00B25EDB"/>
    <w:rsid w:val="00B328DA"/>
    <w:rsid w:val="00B34E77"/>
    <w:rsid w:val="00B400C1"/>
    <w:rsid w:val="00B458C8"/>
    <w:rsid w:val="00B45B94"/>
    <w:rsid w:val="00B46E92"/>
    <w:rsid w:val="00B518F4"/>
    <w:rsid w:val="00B519F1"/>
    <w:rsid w:val="00B522D0"/>
    <w:rsid w:val="00B5291A"/>
    <w:rsid w:val="00B5652C"/>
    <w:rsid w:val="00B6788F"/>
    <w:rsid w:val="00B75CF4"/>
    <w:rsid w:val="00B85910"/>
    <w:rsid w:val="00B86845"/>
    <w:rsid w:val="00B94569"/>
    <w:rsid w:val="00BB4409"/>
    <w:rsid w:val="00BB5BDB"/>
    <w:rsid w:val="00BC2A75"/>
    <w:rsid w:val="00BC4C7F"/>
    <w:rsid w:val="00BD0780"/>
    <w:rsid w:val="00BD0CE3"/>
    <w:rsid w:val="00BD6086"/>
    <w:rsid w:val="00BD6106"/>
    <w:rsid w:val="00BE5089"/>
    <w:rsid w:val="00BE658A"/>
    <w:rsid w:val="00BF261F"/>
    <w:rsid w:val="00C0353B"/>
    <w:rsid w:val="00C04829"/>
    <w:rsid w:val="00C05C82"/>
    <w:rsid w:val="00C06FD5"/>
    <w:rsid w:val="00C113F3"/>
    <w:rsid w:val="00C1170A"/>
    <w:rsid w:val="00C11A9F"/>
    <w:rsid w:val="00C166C7"/>
    <w:rsid w:val="00C20000"/>
    <w:rsid w:val="00C24EB1"/>
    <w:rsid w:val="00C271C4"/>
    <w:rsid w:val="00C27E02"/>
    <w:rsid w:val="00C5786C"/>
    <w:rsid w:val="00C6296D"/>
    <w:rsid w:val="00C76D6F"/>
    <w:rsid w:val="00C772FC"/>
    <w:rsid w:val="00C86FA8"/>
    <w:rsid w:val="00C915BE"/>
    <w:rsid w:val="00C9341B"/>
    <w:rsid w:val="00CB0BE8"/>
    <w:rsid w:val="00CC1C16"/>
    <w:rsid w:val="00CC33B0"/>
    <w:rsid w:val="00CC4DDD"/>
    <w:rsid w:val="00CC7F43"/>
    <w:rsid w:val="00CD30A3"/>
    <w:rsid w:val="00D038DB"/>
    <w:rsid w:val="00D163B5"/>
    <w:rsid w:val="00D1668F"/>
    <w:rsid w:val="00D17BE9"/>
    <w:rsid w:val="00D24CFA"/>
    <w:rsid w:val="00D3013C"/>
    <w:rsid w:val="00D31BAA"/>
    <w:rsid w:val="00D33D8E"/>
    <w:rsid w:val="00D44703"/>
    <w:rsid w:val="00D66021"/>
    <w:rsid w:val="00D74CBA"/>
    <w:rsid w:val="00D87DC9"/>
    <w:rsid w:val="00D93808"/>
    <w:rsid w:val="00D9602F"/>
    <w:rsid w:val="00D964C2"/>
    <w:rsid w:val="00D97D9A"/>
    <w:rsid w:val="00DA44BD"/>
    <w:rsid w:val="00DB7C4F"/>
    <w:rsid w:val="00DC56F3"/>
    <w:rsid w:val="00DC6BA3"/>
    <w:rsid w:val="00DD28C6"/>
    <w:rsid w:val="00E1334F"/>
    <w:rsid w:val="00E153D5"/>
    <w:rsid w:val="00E1677E"/>
    <w:rsid w:val="00E17871"/>
    <w:rsid w:val="00E36D94"/>
    <w:rsid w:val="00E42672"/>
    <w:rsid w:val="00E51235"/>
    <w:rsid w:val="00E5531E"/>
    <w:rsid w:val="00E555FA"/>
    <w:rsid w:val="00E66A62"/>
    <w:rsid w:val="00E7011A"/>
    <w:rsid w:val="00E743CB"/>
    <w:rsid w:val="00E86157"/>
    <w:rsid w:val="00E94B71"/>
    <w:rsid w:val="00EA055C"/>
    <w:rsid w:val="00EB042B"/>
    <w:rsid w:val="00EB0D4C"/>
    <w:rsid w:val="00EB1C8D"/>
    <w:rsid w:val="00EB448A"/>
    <w:rsid w:val="00EB5631"/>
    <w:rsid w:val="00ED4AC0"/>
    <w:rsid w:val="00ED739E"/>
    <w:rsid w:val="00EE4207"/>
    <w:rsid w:val="00EE4898"/>
    <w:rsid w:val="00EF053A"/>
    <w:rsid w:val="00EF3AE0"/>
    <w:rsid w:val="00F10611"/>
    <w:rsid w:val="00F1433B"/>
    <w:rsid w:val="00F15124"/>
    <w:rsid w:val="00F21195"/>
    <w:rsid w:val="00F233EF"/>
    <w:rsid w:val="00F36CE4"/>
    <w:rsid w:val="00F528CF"/>
    <w:rsid w:val="00F57594"/>
    <w:rsid w:val="00F86AB9"/>
    <w:rsid w:val="00F90432"/>
    <w:rsid w:val="00F96F58"/>
    <w:rsid w:val="00FA200A"/>
    <w:rsid w:val="00FA72F3"/>
    <w:rsid w:val="00FB35AA"/>
    <w:rsid w:val="00FB5058"/>
    <w:rsid w:val="00FC424A"/>
    <w:rsid w:val="00FC43EC"/>
    <w:rsid w:val="00FC532A"/>
    <w:rsid w:val="00FE113B"/>
    <w:rsid w:val="00FF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F37D719"/>
  <w15:chartTrackingRefBased/>
  <w15:docId w15:val="{CFFBC5A0-98FF-40E5-97F9-BB39C49E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6C6"/>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F46C6"/>
    <w:rPr>
      <w:color w:val="0000FF"/>
      <w:u w:val="single"/>
    </w:rPr>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Car"/>
    <w:basedOn w:val="Normal"/>
    <w:link w:val="FootnoteTextChar"/>
    <w:unhideWhenUsed/>
    <w:qFormat/>
    <w:rsid w:val="005F46C6"/>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5F46C6"/>
    <w:rPr>
      <w:rFonts w:ascii="Times New Roman" w:eastAsia="Times New Roman" w:hAnsi="Times New Roman" w:cs="Times New Roman"/>
      <w:sz w:val="20"/>
      <w:szCs w:val="20"/>
    </w:rPr>
  </w:style>
  <w:style w:type="character" w:styleId="FootnoteReference">
    <w:name w:val="footnote reference"/>
    <w:aliases w:val="o,fr,footnote text,Style 13,Style 12,Style 28,(NECG) Footnote Reference,Style 11,Style 9,Style 16,Style 15,Style 17,Style 20,o1,fr1,o2,fr2,o3,fr3,Style 8,Style 7,Style 19"/>
    <w:basedOn w:val="DefaultParagraphFont"/>
    <w:uiPriority w:val="99"/>
    <w:unhideWhenUsed/>
    <w:rsid w:val="005F46C6"/>
    <w:rPr>
      <w:vertAlign w:val="superscript"/>
    </w:rPr>
  </w:style>
  <w:style w:type="paragraph" w:customStyle="1" w:styleId="Default">
    <w:name w:val="Default"/>
    <w:rsid w:val="005F46C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30CE5"/>
    <w:pPr>
      <w:ind w:left="720"/>
      <w:contextualSpacing/>
    </w:pPr>
  </w:style>
  <w:style w:type="paragraph" w:styleId="Header">
    <w:name w:val="header"/>
    <w:basedOn w:val="Normal"/>
    <w:link w:val="HeaderChar"/>
    <w:uiPriority w:val="99"/>
    <w:unhideWhenUsed/>
    <w:rsid w:val="0070690F"/>
    <w:pPr>
      <w:tabs>
        <w:tab w:val="center" w:pos="4680"/>
        <w:tab w:val="right" w:pos="9360"/>
      </w:tabs>
    </w:pPr>
  </w:style>
  <w:style w:type="character" w:customStyle="1" w:styleId="HeaderChar">
    <w:name w:val="Header Char"/>
    <w:basedOn w:val="DefaultParagraphFont"/>
    <w:link w:val="Header"/>
    <w:uiPriority w:val="99"/>
    <w:rsid w:val="007069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0690F"/>
    <w:pPr>
      <w:tabs>
        <w:tab w:val="center" w:pos="4680"/>
        <w:tab w:val="right" w:pos="9360"/>
      </w:tabs>
    </w:pPr>
  </w:style>
  <w:style w:type="character" w:customStyle="1" w:styleId="FooterChar">
    <w:name w:val="Footer Char"/>
    <w:basedOn w:val="DefaultParagraphFont"/>
    <w:link w:val="Footer"/>
    <w:uiPriority w:val="99"/>
    <w:rsid w:val="007069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34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E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897486">
      <w:bodyDiv w:val="1"/>
      <w:marLeft w:val="0"/>
      <w:marRight w:val="0"/>
      <w:marTop w:val="0"/>
      <w:marBottom w:val="0"/>
      <w:divBdr>
        <w:top w:val="none" w:sz="0" w:space="0" w:color="auto"/>
        <w:left w:val="none" w:sz="0" w:space="0" w:color="auto"/>
        <w:bottom w:val="none" w:sz="0" w:space="0" w:color="auto"/>
        <w:right w:val="none" w:sz="0" w:space="0" w:color="auto"/>
      </w:divBdr>
    </w:div>
    <w:div w:id="1436709567">
      <w:bodyDiv w:val="1"/>
      <w:marLeft w:val="0"/>
      <w:marRight w:val="0"/>
      <w:marTop w:val="0"/>
      <w:marBottom w:val="0"/>
      <w:divBdr>
        <w:top w:val="none" w:sz="0" w:space="0" w:color="auto"/>
        <w:left w:val="none" w:sz="0" w:space="0" w:color="auto"/>
        <w:bottom w:val="none" w:sz="0" w:space="0" w:color="auto"/>
        <w:right w:val="none" w:sz="0" w:space="0" w:color="auto"/>
      </w:divBdr>
    </w:div>
    <w:div w:id="185738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CD4EA-D331-4B67-841F-FBA80A30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3007</Words>
  <Characters>17146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Reynolds, Doris</cp:lastModifiedBy>
  <cp:revision>3</cp:revision>
  <cp:lastPrinted>2018-08-31T17:11:00Z</cp:lastPrinted>
  <dcterms:created xsi:type="dcterms:W3CDTF">2018-08-31T17:15:00Z</dcterms:created>
  <dcterms:modified xsi:type="dcterms:W3CDTF">2018-08-31T17:15:00Z</dcterms:modified>
</cp:coreProperties>
</file>